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0A6795">
      <w:pPr>
        <w:pStyle w:val="6"/>
        <w:spacing w:before="600" w:beforeLines="250" w:after="120"/>
        <w:ind w:firstLine="236"/>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开元名都写字楼能源智能化项目</w:t>
      </w:r>
    </w:p>
    <w:p w14:paraId="3BCB452B">
      <w:pPr>
        <w:pStyle w:val="6"/>
        <w:spacing w:before="600" w:beforeLines="250" w:after="120"/>
        <w:ind w:firstLine="216"/>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（编号：SXWH2024-9-2）</w:t>
      </w:r>
    </w:p>
    <w:p w14:paraId="43D3837D">
      <w:pPr>
        <w:spacing w:line="500" w:lineRule="exact"/>
        <w:jc w:val="center"/>
        <w:rPr>
          <w:rFonts w:ascii="仿宋" w:hAnsi="仿宋" w:eastAsia="仿宋" w:cs="仿宋"/>
          <w:b/>
          <w:color w:val="auto"/>
          <w:w w:val="150"/>
          <w:sz w:val="44"/>
          <w:highlight w:val="none"/>
        </w:rPr>
      </w:pPr>
    </w:p>
    <w:p w14:paraId="50C51F40">
      <w:pPr>
        <w:pStyle w:val="2"/>
        <w:rPr>
          <w:rFonts w:ascii="仿宋" w:hAnsi="仿宋" w:eastAsia="仿宋" w:cs="仿宋"/>
          <w:color w:val="auto"/>
          <w:highlight w:val="none"/>
        </w:rPr>
      </w:pPr>
    </w:p>
    <w:p w14:paraId="486DFF9E">
      <w:pPr>
        <w:snapToGrid w:val="0"/>
        <w:spacing w:line="800" w:lineRule="exact"/>
        <w:rPr>
          <w:rFonts w:ascii="仿宋" w:hAnsi="仿宋" w:eastAsia="仿宋" w:cs="仿宋"/>
          <w:b/>
          <w:color w:val="auto"/>
          <w:sz w:val="52"/>
          <w:szCs w:val="52"/>
          <w:highlight w:val="none"/>
        </w:rPr>
      </w:pPr>
    </w:p>
    <w:p w14:paraId="5D5F43D8">
      <w:pPr>
        <w:snapToGrid w:val="0"/>
        <w:spacing w:line="800" w:lineRule="exact"/>
        <w:jc w:val="center"/>
        <w:rPr>
          <w:rFonts w:ascii="仿宋" w:hAnsi="仿宋" w:eastAsia="仿宋" w:cs="仿宋"/>
          <w:b/>
          <w:color w:val="auto"/>
          <w:sz w:val="52"/>
          <w:szCs w:val="52"/>
          <w:highlight w:val="none"/>
        </w:rPr>
      </w:pPr>
    </w:p>
    <w:p w14:paraId="302946C0">
      <w:pPr>
        <w:snapToGrid w:val="0"/>
        <w:spacing w:line="800" w:lineRule="exact"/>
        <w:jc w:val="center"/>
        <w:rPr>
          <w:rFonts w:ascii="仿宋" w:hAnsi="仿宋" w:eastAsia="仿宋" w:cs="仿宋"/>
          <w:b/>
          <w:color w:val="auto"/>
          <w:sz w:val="48"/>
          <w:szCs w:val="48"/>
          <w:highlight w:val="none"/>
        </w:rPr>
      </w:pPr>
    </w:p>
    <w:p w14:paraId="63116CD6">
      <w:pPr>
        <w:snapToGrid w:val="0"/>
        <w:spacing w:line="800" w:lineRule="exact"/>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公开招标采购文件</w:t>
      </w:r>
    </w:p>
    <w:p w14:paraId="7470243F">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（国企采购）</w:t>
      </w:r>
    </w:p>
    <w:p w14:paraId="0B7D9F5C">
      <w:pPr>
        <w:pStyle w:val="2"/>
        <w:rPr>
          <w:rFonts w:ascii="仿宋" w:hAnsi="仿宋" w:eastAsia="仿宋" w:cs="仿宋"/>
          <w:color w:val="auto"/>
          <w:highlight w:val="none"/>
        </w:rPr>
      </w:pPr>
    </w:p>
    <w:p w14:paraId="1C03247A">
      <w:pPr>
        <w:rPr>
          <w:rFonts w:ascii="仿宋" w:hAnsi="仿宋" w:eastAsia="仿宋" w:cs="仿宋"/>
          <w:color w:val="auto"/>
          <w:sz w:val="44"/>
          <w:highlight w:val="none"/>
        </w:rPr>
      </w:pPr>
    </w:p>
    <w:p w14:paraId="2DFB71F5">
      <w:pPr>
        <w:pStyle w:val="3"/>
        <w:rPr>
          <w:rFonts w:ascii="仿宋" w:hAnsi="仿宋" w:eastAsia="仿宋" w:cs="仿宋"/>
          <w:color w:val="auto"/>
          <w:highlight w:val="none"/>
        </w:rPr>
      </w:pPr>
    </w:p>
    <w:p w14:paraId="73C6DC6E">
      <w:pPr>
        <w:spacing w:line="660" w:lineRule="exact"/>
        <w:ind w:firstLine="1084" w:firstLineChars="300"/>
        <w:rPr>
          <w:rFonts w:ascii="仿宋" w:hAnsi="仿宋" w:eastAsia="仿宋" w:cs="仿宋"/>
          <w:b/>
          <w:color w:val="auto"/>
          <w:sz w:val="36"/>
          <w:highlight w:val="none"/>
        </w:rPr>
      </w:pPr>
    </w:p>
    <w:p w14:paraId="05E60E0E">
      <w:pPr>
        <w:spacing w:line="780" w:lineRule="exact"/>
        <w:ind w:firstLine="1205" w:firstLineChars="300"/>
        <w:rPr>
          <w:rFonts w:ascii="仿宋" w:hAnsi="仿宋" w:eastAsia="仿宋" w:cs="仿宋"/>
          <w:b/>
          <w:color w:val="auto"/>
          <w:sz w:val="40"/>
          <w:szCs w:val="21"/>
          <w:highlight w:val="none"/>
        </w:rPr>
      </w:pPr>
    </w:p>
    <w:p w14:paraId="33AF0695">
      <w:pPr>
        <w:spacing w:line="780" w:lineRule="exact"/>
        <w:ind w:firstLine="1205" w:firstLineChars="300"/>
        <w:rPr>
          <w:rFonts w:ascii="仿宋" w:hAnsi="仿宋" w:eastAsia="仿宋" w:cs="仿宋"/>
          <w:b/>
          <w:color w:val="auto"/>
          <w:sz w:val="40"/>
          <w:szCs w:val="21"/>
          <w:highlight w:val="none"/>
        </w:rPr>
      </w:pPr>
      <w:r>
        <w:rPr>
          <w:rFonts w:hint="eastAsia" w:ascii="仿宋" w:hAnsi="仿宋" w:eastAsia="仿宋" w:cs="仿宋"/>
          <w:b/>
          <w:color w:val="auto"/>
          <w:sz w:val="40"/>
          <w:szCs w:val="21"/>
          <w:highlight w:val="none"/>
        </w:rPr>
        <w:t>采购单位：嵊州市城南建设投资有限公司</w:t>
      </w:r>
    </w:p>
    <w:p w14:paraId="6A37866F">
      <w:pPr>
        <w:spacing w:line="780" w:lineRule="exact"/>
        <w:jc w:val="center"/>
        <w:rPr>
          <w:rFonts w:ascii="仿宋" w:hAnsi="仿宋" w:eastAsia="仿宋" w:cs="仿宋"/>
          <w:b/>
          <w:color w:val="auto"/>
          <w:sz w:val="36"/>
          <w:highlight w:val="none"/>
        </w:rPr>
      </w:pPr>
      <w:r>
        <w:rPr>
          <w:rFonts w:hint="eastAsia" w:ascii="仿宋" w:hAnsi="仿宋" w:eastAsia="仿宋" w:cs="仿宋"/>
          <w:b/>
          <w:color w:val="auto"/>
          <w:sz w:val="40"/>
          <w:szCs w:val="21"/>
          <w:highlight w:val="none"/>
        </w:rPr>
        <w:t xml:space="preserve"> 采购代理机构：绍兴市文汇项目管理有限公司</w:t>
      </w:r>
    </w:p>
    <w:p w14:paraId="48A248EC">
      <w:pPr>
        <w:pStyle w:val="47"/>
        <w:widowControl w:val="0"/>
        <w:spacing w:line="780" w:lineRule="exact"/>
        <w:jc w:val="center"/>
        <w:rPr>
          <w:rFonts w:ascii="宋体" w:hAnsi="宋体" w:eastAsia="宋体" w:cs="宋体"/>
          <w:color w:val="auto"/>
          <w:highlight w:val="none"/>
        </w:rPr>
      </w:pPr>
      <w:bookmarkStart w:id="0" w:name="用户单位名称"/>
      <w:bookmarkEnd w:id="0"/>
      <w:bookmarkStart w:id="1" w:name="_Toc180555915"/>
      <w:bookmarkStart w:id="2" w:name="_Toc105829294"/>
      <w:r>
        <w:rPr>
          <w:rFonts w:hint="eastAsia" w:ascii="仿宋" w:hAnsi="仿宋" w:eastAsia="仿宋" w:cs="仿宋"/>
          <w:b/>
          <w:color w:val="auto"/>
          <w:sz w:val="36"/>
          <w:szCs w:val="36"/>
          <w:highlight w:val="none"/>
        </w:rPr>
        <w:t>日期：2024年9月</w:t>
      </w:r>
      <w:r>
        <w:rPr>
          <w:rFonts w:hint="eastAsia" w:ascii="宋体" w:hAnsi="宋体" w:eastAsia="宋体" w:cs="宋体"/>
          <w:b/>
          <w:color w:val="auto"/>
          <w:highlight w:val="none"/>
        </w:rPr>
        <w:br w:type="page"/>
      </w:r>
      <w:bookmarkStart w:id="3" w:name="_Toc226337756"/>
      <w:bookmarkStart w:id="4" w:name="_Toc304551308"/>
      <w:bookmarkStart w:id="5" w:name="_Toc248065034"/>
      <w:bookmarkStart w:id="6" w:name="_Toc340321907"/>
      <w:bookmarkStart w:id="7" w:name="_Toc340322162"/>
      <w:bookmarkStart w:id="8" w:name="_Toc10071"/>
      <w:bookmarkStart w:id="9" w:name="_Toc339302123"/>
    </w:p>
    <w:p w14:paraId="73725FF2">
      <w:pPr>
        <w:rPr>
          <w:rFonts w:ascii="宋体" w:hAnsi="宋体"/>
          <w:color w:val="auto"/>
          <w:highlight w:val="none"/>
        </w:rPr>
      </w:pPr>
    </w:p>
    <w:p w14:paraId="46E519B3">
      <w:pPr>
        <w:pStyle w:val="47"/>
        <w:widowControl w:val="0"/>
        <w:spacing w:line="580" w:lineRule="exact"/>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14:paraId="57542B8C">
      <w:pPr>
        <w:rPr>
          <w:rFonts w:ascii="仿宋" w:hAnsi="仿宋" w:eastAsia="仿宋" w:cs="仿宋"/>
          <w:color w:val="auto"/>
          <w:highlight w:val="none"/>
        </w:rPr>
      </w:pPr>
    </w:p>
    <w:p w14:paraId="238A6429">
      <w:pPr>
        <w:rPr>
          <w:rFonts w:ascii="仿宋" w:hAnsi="仿宋" w:eastAsia="仿宋" w:cs="仿宋"/>
          <w:color w:val="auto"/>
          <w:highlight w:val="none"/>
        </w:rPr>
      </w:pPr>
    </w:p>
    <w:p w14:paraId="0565265D">
      <w:pPr>
        <w:pStyle w:val="54"/>
        <w:tabs>
          <w:tab w:val="right" w:leader="dot" w:pos="9110"/>
        </w:tabs>
        <w:spacing w:line="700" w:lineRule="exact"/>
        <w:rPr>
          <w:rFonts w:ascii="仿宋" w:hAnsi="仿宋" w:eastAsia="仿宋" w:cs="仿宋"/>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"_Toc54978887" </w:instrText>
      </w:r>
      <w:r>
        <w:rPr>
          <w:color w:val="auto"/>
          <w:highlight w:val="none"/>
        </w:rPr>
        <w:fldChar w:fldCharType="separate"/>
      </w:r>
      <w:r>
        <w:rPr>
          <w:rStyle w:val="87"/>
          <w:rFonts w:hint="eastAsia" w:ascii="仿宋" w:hAnsi="仿宋" w:eastAsia="仿宋" w:cs="仿宋"/>
          <w:color w:val="auto"/>
          <w:sz w:val="30"/>
          <w:szCs w:val="30"/>
          <w:highlight w:val="none"/>
        </w:rPr>
        <w:t>第一部分  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_Toc54978887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5899DB9">
      <w:pPr>
        <w:pStyle w:val="54"/>
        <w:tabs>
          <w:tab w:val="right" w:leader="dot" w:pos="9110"/>
        </w:tabs>
        <w:spacing w:line="700" w:lineRule="exact"/>
        <w:rPr>
          <w:rFonts w:ascii="仿宋" w:hAnsi="仿宋" w:eastAsia="仿宋" w:cs="仿宋"/>
          <w:caps w:val="0"/>
          <w:color w:val="auto"/>
          <w:sz w:val="30"/>
          <w:szCs w:val="30"/>
          <w:highlight w:val="none"/>
        </w:rPr>
      </w:pPr>
      <w:r>
        <w:rPr>
          <w:color w:val="auto"/>
          <w:highlight w:val="none"/>
        </w:rPr>
        <w:fldChar w:fldCharType="begin"/>
      </w:r>
      <w:r>
        <w:rPr>
          <w:color w:val="auto"/>
          <w:highlight w:val="none"/>
        </w:rPr>
        <w:instrText xml:space="preserve"> HYPERLINK \l "_Toc54978888" </w:instrText>
      </w:r>
      <w:r>
        <w:rPr>
          <w:color w:val="auto"/>
          <w:highlight w:val="none"/>
        </w:rPr>
        <w:fldChar w:fldCharType="separate"/>
      </w:r>
      <w:r>
        <w:rPr>
          <w:rStyle w:val="87"/>
          <w:rFonts w:hint="eastAsia" w:ascii="仿宋" w:hAnsi="仿宋" w:eastAsia="仿宋" w:cs="仿宋"/>
          <w:color w:val="auto"/>
          <w:sz w:val="30"/>
          <w:szCs w:val="30"/>
          <w:highlight w:val="none"/>
        </w:rPr>
        <w:t>第二部分  投标须知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rPr>
        <w:fldChar w:fldCharType="end"/>
      </w:r>
    </w:p>
    <w:p w14:paraId="09DD0A2B">
      <w:pPr>
        <w:pStyle w:val="54"/>
        <w:tabs>
          <w:tab w:val="right" w:leader="dot" w:pos="9110"/>
        </w:tabs>
        <w:spacing w:line="700" w:lineRule="exact"/>
        <w:rPr>
          <w:rFonts w:ascii="仿宋" w:hAnsi="仿宋" w:eastAsia="仿宋" w:cs="仿宋"/>
          <w:caps w:val="0"/>
          <w:color w:val="auto"/>
          <w:sz w:val="30"/>
          <w:szCs w:val="30"/>
          <w:highlight w:val="none"/>
        </w:rPr>
      </w:pPr>
      <w:r>
        <w:rPr>
          <w:color w:val="auto"/>
          <w:highlight w:val="none"/>
        </w:rPr>
        <w:fldChar w:fldCharType="begin"/>
      </w:r>
      <w:r>
        <w:rPr>
          <w:color w:val="auto"/>
          <w:highlight w:val="none"/>
        </w:rPr>
        <w:instrText xml:space="preserve"> HYPERLINK \l "_Toc54978898" </w:instrText>
      </w:r>
      <w:r>
        <w:rPr>
          <w:color w:val="auto"/>
          <w:highlight w:val="none"/>
        </w:rPr>
        <w:fldChar w:fldCharType="separate"/>
      </w:r>
      <w:r>
        <w:rPr>
          <w:rStyle w:val="87"/>
          <w:rFonts w:hint="eastAsia" w:ascii="仿宋" w:hAnsi="仿宋" w:eastAsia="仿宋" w:cs="仿宋"/>
          <w:color w:val="auto"/>
          <w:sz w:val="30"/>
          <w:szCs w:val="30"/>
          <w:highlight w:val="none"/>
        </w:rPr>
        <w:t>第三部分  项目招标范围及技术要求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_Toc54978898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3C8D59F">
      <w:pPr>
        <w:pStyle w:val="54"/>
        <w:tabs>
          <w:tab w:val="right" w:leader="dot" w:pos="9110"/>
        </w:tabs>
        <w:spacing w:line="700" w:lineRule="exact"/>
        <w:rPr>
          <w:rFonts w:ascii="仿宋" w:hAnsi="仿宋" w:eastAsia="仿宋" w:cs="仿宋"/>
          <w:caps w:val="0"/>
          <w:color w:val="auto"/>
          <w:sz w:val="30"/>
          <w:szCs w:val="30"/>
          <w:highlight w:val="none"/>
        </w:rPr>
      </w:pPr>
      <w:r>
        <w:rPr>
          <w:color w:val="auto"/>
          <w:highlight w:val="none"/>
        </w:rPr>
        <w:fldChar w:fldCharType="begin"/>
      </w:r>
      <w:r>
        <w:rPr>
          <w:color w:val="auto"/>
          <w:highlight w:val="none"/>
        </w:rPr>
        <w:instrText xml:space="preserve"> HYPERLINK \l "_Toc54978899" </w:instrText>
      </w:r>
      <w:r>
        <w:rPr>
          <w:color w:val="auto"/>
          <w:highlight w:val="none"/>
        </w:rPr>
        <w:fldChar w:fldCharType="separate"/>
      </w:r>
      <w:r>
        <w:rPr>
          <w:rStyle w:val="87"/>
          <w:rFonts w:hint="eastAsia" w:ascii="仿宋" w:hAnsi="仿宋" w:eastAsia="仿宋" w:cs="仿宋"/>
          <w:color w:val="auto"/>
          <w:sz w:val="30"/>
          <w:szCs w:val="30"/>
          <w:highlight w:val="none"/>
        </w:rPr>
        <w:t>第四部分  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4</w:t>
      </w:r>
    </w:p>
    <w:p w14:paraId="3D127AB3">
      <w:pPr>
        <w:pStyle w:val="54"/>
        <w:tabs>
          <w:tab w:val="right" w:leader="dot" w:pos="9110"/>
        </w:tabs>
        <w:spacing w:line="700" w:lineRule="exact"/>
        <w:rPr>
          <w:rFonts w:ascii="仿宋" w:hAnsi="仿宋" w:eastAsia="仿宋" w:cs="仿宋"/>
          <w:caps w:val="0"/>
          <w:color w:val="auto"/>
          <w:sz w:val="30"/>
          <w:szCs w:val="30"/>
          <w:highlight w:val="none"/>
        </w:rPr>
      </w:pPr>
      <w:r>
        <w:rPr>
          <w:color w:val="auto"/>
          <w:highlight w:val="none"/>
        </w:rPr>
        <w:fldChar w:fldCharType="begin"/>
      </w:r>
      <w:r>
        <w:rPr>
          <w:color w:val="auto"/>
          <w:highlight w:val="none"/>
        </w:rPr>
        <w:instrText xml:space="preserve"> HYPERLINK \l "_Toc54978900" </w:instrText>
      </w:r>
      <w:r>
        <w:rPr>
          <w:color w:val="auto"/>
          <w:highlight w:val="none"/>
        </w:rPr>
        <w:fldChar w:fldCharType="separate"/>
      </w:r>
      <w:r>
        <w:rPr>
          <w:rStyle w:val="87"/>
          <w:rFonts w:hint="eastAsia" w:ascii="仿宋" w:hAnsi="仿宋" w:eastAsia="仿宋" w:cs="仿宋"/>
          <w:bCs/>
          <w:color w:val="auto"/>
          <w:sz w:val="30"/>
          <w:szCs w:val="30"/>
          <w:highlight w:val="none"/>
        </w:rPr>
        <w:t>第五部分  拟签订合同范本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8</w:t>
      </w:r>
    </w:p>
    <w:p w14:paraId="23426CE2">
      <w:pPr>
        <w:pStyle w:val="54"/>
        <w:tabs>
          <w:tab w:val="right" w:leader="dot" w:pos="9110"/>
        </w:tabs>
        <w:spacing w:line="700" w:lineRule="exact"/>
        <w:rPr>
          <w:rFonts w:ascii="仿宋" w:hAnsi="仿宋" w:eastAsia="仿宋" w:cs="仿宋"/>
          <w:caps w:val="0"/>
          <w:color w:val="auto"/>
          <w:sz w:val="28"/>
          <w:szCs w:val="28"/>
          <w:highlight w:val="none"/>
        </w:rPr>
      </w:pPr>
      <w:r>
        <w:rPr>
          <w:color w:val="auto"/>
          <w:highlight w:val="none"/>
        </w:rPr>
        <w:fldChar w:fldCharType="begin"/>
      </w:r>
      <w:r>
        <w:rPr>
          <w:color w:val="auto"/>
          <w:highlight w:val="none"/>
        </w:rPr>
        <w:instrText xml:space="preserve"> HYPERLINK \l "_Toc54978901" </w:instrText>
      </w:r>
      <w:r>
        <w:rPr>
          <w:color w:val="auto"/>
          <w:highlight w:val="none"/>
        </w:rPr>
        <w:fldChar w:fldCharType="separate"/>
      </w:r>
      <w:r>
        <w:rPr>
          <w:rStyle w:val="87"/>
          <w:rFonts w:hint="eastAsia" w:ascii="仿宋" w:hAnsi="仿宋" w:eastAsia="仿宋" w:cs="仿宋"/>
          <w:color w:val="auto"/>
          <w:sz w:val="30"/>
          <w:szCs w:val="30"/>
          <w:highlight w:val="none"/>
        </w:rPr>
        <w:t>第六部分  投标文件及其附件格式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szCs w:val="28"/>
          <w:highlight w:val="none"/>
        </w:rPr>
        <w:t>3</w:t>
      </w:r>
    </w:p>
    <w:p w14:paraId="3741BC3A">
      <w:pPr>
        <w:pStyle w:val="4"/>
        <w:spacing w:line="700" w:lineRule="exact"/>
        <w:rPr>
          <w:rFonts w:ascii="仿宋" w:hAnsi="仿宋" w:eastAsia="仿宋" w:cs="仿宋"/>
          <w:b/>
          <w:bCs/>
          <w:color w:val="auto"/>
          <w:sz w:val="32"/>
          <w:szCs w:val="32"/>
          <w:highlight w:val="none"/>
        </w:rPr>
      </w:pPr>
      <w:r>
        <w:rPr>
          <w:rFonts w:hint="eastAsia" w:ascii="仿宋" w:hAnsi="仿宋" w:eastAsia="仿宋" w:cs="仿宋"/>
          <w:color w:val="auto"/>
          <w:highlight w:val="none"/>
        </w:rPr>
        <w:fldChar w:fldCharType="end"/>
      </w:r>
      <w:bookmarkStart w:id="10" w:name="_Toc54978887"/>
      <w:r>
        <w:rPr>
          <w:rFonts w:hint="eastAsia" w:ascii="仿宋" w:hAnsi="仿宋" w:eastAsia="仿宋" w:cs="仿宋"/>
          <w:b/>
          <w:bCs/>
          <w:color w:val="auto"/>
          <w:sz w:val="32"/>
          <w:szCs w:val="32"/>
          <w:highlight w:val="none"/>
        </w:rPr>
        <w:t>第一部分</w:t>
      </w:r>
      <w:bookmarkEnd w:id="1"/>
      <w:bookmarkEnd w:id="2"/>
      <w:bookmarkEnd w:id="3"/>
      <w:bookmarkEnd w:id="4"/>
      <w:bookmarkEnd w:id="5"/>
      <w:r>
        <w:rPr>
          <w:rFonts w:hint="eastAsia" w:ascii="仿宋" w:hAnsi="仿宋" w:eastAsia="仿宋" w:cs="仿宋"/>
          <w:b/>
          <w:bCs/>
          <w:color w:val="auto"/>
          <w:sz w:val="32"/>
          <w:szCs w:val="32"/>
          <w:highlight w:val="none"/>
        </w:rPr>
        <w:t xml:space="preserve">  </w:t>
      </w:r>
      <w:bookmarkEnd w:id="6"/>
      <w:bookmarkEnd w:id="7"/>
      <w:bookmarkEnd w:id="8"/>
      <w:bookmarkEnd w:id="9"/>
      <w:r>
        <w:rPr>
          <w:rFonts w:hint="eastAsia" w:ascii="仿宋" w:hAnsi="仿宋" w:eastAsia="仿宋" w:cs="仿宋"/>
          <w:b/>
          <w:bCs/>
          <w:color w:val="auto"/>
          <w:sz w:val="32"/>
          <w:szCs w:val="32"/>
          <w:highlight w:val="none"/>
        </w:rPr>
        <w:t>招标公告</w:t>
      </w:r>
      <w:bookmarkEnd w:id="10"/>
    </w:p>
    <w:p w14:paraId="6AB2DB9B">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Cs w:val="24"/>
          <w:highlight w:val="none"/>
        </w:rPr>
      </w:pPr>
      <w:bookmarkStart w:id="11" w:name="_Toc180555916"/>
      <w:bookmarkStart w:id="12" w:name="_Toc304551309"/>
      <w:bookmarkStart w:id="13" w:name="_Toc248065035"/>
      <w:bookmarkStart w:id="14" w:name="_Toc226337757"/>
      <w:bookmarkStart w:id="15" w:name="_Toc340322163"/>
      <w:bookmarkStart w:id="16" w:name="_Toc339302124"/>
      <w:bookmarkStart w:id="17" w:name="_Toc54978888"/>
      <w:bookmarkStart w:id="18" w:name="_Toc5837"/>
      <w:bookmarkStart w:id="19" w:name="_Toc340321908"/>
      <w:r>
        <w:rPr>
          <w:rFonts w:hint="eastAsia" w:ascii="仿宋" w:hAnsi="仿宋" w:eastAsia="仿宋" w:cs="仿宋"/>
          <w:color w:val="auto"/>
          <w:szCs w:val="24"/>
          <w:highlight w:val="none"/>
        </w:rPr>
        <w:t>项目概况:</w:t>
      </w:r>
    </w:p>
    <w:p w14:paraId="0F34820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u w:val="single"/>
        </w:rPr>
        <w:t>开元名都写字楼能源智能化项目的潜在供应商应在乐采云平台（https://www.lecaiyun.com/）获取采购文件，并于2024年</w:t>
      </w:r>
      <w:r>
        <w:rPr>
          <w:rFonts w:hint="eastAsia" w:ascii="仿宋" w:hAnsi="仿宋" w:eastAsia="仿宋" w:cs="仿宋"/>
          <w:color w:val="auto"/>
          <w:szCs w:val="24"/>
          <w:highlight w:val="none"/>
          <w:u w:val="single"/>
          <w:lang w:val="en-US" w:eastAsia="zh-CN"/>
        </w:rPr>
        <w:t>9</w:t>
      </w:r>
      <w:r>
        <w:rPr>
          <w:rFonts w:hint="eastAsia" w:ascii="仿宋" w:hAnsi="仿宋" w:eastAsia="仿宋" w:cs="仿宋"/>
          <w:color w:val="auto"/>
          <w:szCs w:val="24"/>
          <w:highlight w:val="none"/>
          <w:u w:val="single"/>
        </w:rPr>
        <w:t>月</w:t>
      </w:r>
      <w:r>
        <w:rPr>
          <w:rFonts w:hint="eastAsia" w:ascii="仿宋" w:hAnsi="仿宋" w:eastAsia="仿宋" w:cs="仿宋"/>
          <w:color w:val="auto"/>
          <w:szCs w:val="24"/>
          <w:highlight w:val="none"/>
          <w:u w:val="single"/>
          <w:lang w:val="en-US" w:eastAsia="zh-CN"/>
        </w:rPr>
        <w:t>29</w:t>
      </w:r>
      <w:r>
        <w:rPr>
          <w:rFonts w:hint="eastAsia" w:ascii="仿宋" w:hAnsi="仿宋" w:eastAsia="仿宋" w:cs="仿宋"/>
          <w:color w:val="auto"/>
          <w:szCs w:val="24"/>
          <w:highlight w:val="none"/>
          <w:u w:val="single"/>
        </w:rPr>
        <w:t>日上午09点30分（北京时间）前提交投标文件</w:t>
      </w:r>
      <w:r>
        <w:rPr>
          <w:rFonts w:hint="eastAsia" w:ascii="仿宋" w:hAnsi="仿宋" w:eastAsia="仿宋" w:cs="仿宋"/>
          <w:color w:val="auto"/>
          <w:szCs w:val="24"/>
          <w:highlight w:val="none"/>
        </w:rPr>
        <w:t>。</w:t>
      </w:r>
    </w:p>
    <w:p w14:paraId="2389F2C4">
      <w:pPr>
        <w:spacing w:line="360" w:lineRule="auto"/>
        <w:rPr>
          <w:rFonts w:ascii="仿宋" w:hAnsi="仿宋" w:eastAsia="仿宋" w:cs="仿宋"/>
          <w:b/>
          <w:bCs/>
          <w:color w:val="auto"/>
          <w:spacing w:val="6"/>
          <w:szCs w:val="24"/>
          <w:highlight w:val="none"/>
        </w:rPr>
      </w:pPr>
      <w:bookmarkStart w:id="20" w:name="_Toc35393621"/>
      <w:bookmarkStart w:id="21" w:name="_Toc35393790"/>
      <w:bookmarkStart w:id="22" w:name="_Toc28359079"/>
      <w:bookmarkStart w:id="23" w:name="_Toc28359002"/>
      <w:bookmarkStart w:id="24" w:name="_Hlk24379207"/>
      <w:r>
        <w:rPr>
          <w:rFonts w:hint="eastAsia" w:ascii="仿宋" w:hAnsi="仿宋" w:eastAsia="仿宋" w:cs="仿宋"/>
          <w:b/>
          <w:bCs/>
          <w:color w:val="auto"/>
          <w:spacing w:val="6"/>
          <w:szCs w:val="24"/>
          <w:highlight w:val="none"/>
        </w:rPr>
        <w:t>一、项目基本情况</w:t>
      </w:r>
      <w:bookmarkEnd w:id="20"/>
      <w:bookmarkEnd w:id="21"/>
      <w:bookmarkEnd w:id="22"/>
      <w:bookmarkEnd w:id="23"/>
    </w:p>
    <w:p w14:paraId="16FBBE76">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1.项目编号：SXWH2024-9-2</w:t>
      </w:r>
    </w:p>
    <w:p w14:paraId="3DD0550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2.项目名称：</w:t>
      </w:r>
      <w:bookmarkEnd w:id="24"/>
      <w:r>
        <w:rPr>
          <w:rFonts w:hint="eastAsia" w:ascii="仿宋" w:hAnsi="仿宋" w:eastAsia="仿宋" w:cs="仿宋"/>
          <w:color w:val="auto"/>
          <w:szCs w:val="24"/>
          <w:highlight w:val="none"/>
        </w:rPr>
        <w:t>开元名都写字楼能源智能化项目</w:t>
      </w:r>
    </w:p>
    <w:p w14:paraId="2FB11B4B">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t>预算金额：1</w:t>
      </w:r>
      <w:r>
        <w:rPr>
          <w:rFonts w:ascii="仿宋" w:hAnsi="仿宋" w:eastAsia="仿宋" w:cs="仿宋"/>
          <w:color w:val="auto"/>
          <w:szCs w:val="24"/>
          <w:highlight w:val="none"/>
        </w:rPr>
        <w:t>3</w:t>
      </w:r>
      <w:r>
        <w:rPr>
          <w:rFonts w:hint="eastAsia" w:ascii="仿宋" w:hAnsi="仿宋" w:eastAsia="仿宋" w:cs="仿宋"/>
          <w:color w:val="auto"/>
          <w:szCs w:val="24"/>
          <w:highlight w:val="none"/>
        </w:rPr>
        <w:t>00000元</w:t>
      </w:r>
    </w:p>
    <w:p w14:paraId="155B7670">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rPr>
        <w:t>最高限价：1170000元</w:t>
      </w:r>
    </w:p>
    <w:p w14:paraId="50CD497A">
      <w:pPr>
        <w:spacing w:line="42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5.采购需求：详见招标文件第三部分</w:t>
      </w:r>
    </w:p>
    <w:tbl>
      <w:tblPr>
        <w:tblStyle w:val="8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842"/>
        <w:gridCol w:w="992"/>
        <w:gridCol w:w="1839"/>
        <w:gridCol w:w="1796"/>
      </w:tblGrid>
      <w:tr w14:paraId="68D7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22" w:type="dxa"/>
            <w:vAlign w:val="center"/>
          </w:tcPr>
          <w:p w14:paraId="5FD8EDD5">
            <w:pPr>
              <w:spacing w:line="500" w:lineRule="exact"/>
              <w:jc w:val="center"/>
              <w:rPr>
                <w:rFonts w:ascii="仿宋" w:hAnsi="仿宋" w:eastAsia="仿宋" w:cs="仿宋"/>
                <w:b/>
                <w:bCs/>
                <w:color w:val="auto"/>
                <w:szCs w:val="24"/>
                <w:highlight w:val="none"/>
              </w:rPr>
            </w:pPr>
            <w:bookmarkStart w:id="25" w:name="_Toc28359003"/>
            <w:bookmarkStart w:id="26" w:name="_Toc28359080"/>
            <w:bookmarkStart w:id="27" w:name="_Toc35393791"/>
            <w:bookmarkStart w:id="28" w:name="_Toc35393622"/>
            <w:r>
              <w:rPr>
                <w:rFonts w:hint="eastAsia" w:ascii="仿宋" w:hAnsi="仿宋" w:eastAsia="仿宋" w:cs="仿宋"/>
                <w:b/>
                <w:bCs/>
                <w:color w:val="auto"/>
                <w:szCs w:val="24"/>
                <w:highlight w:val="none"/>
              </w:rPr>
              <w:t>序号</w:t>
            </w:r>
          </w:p>
        </w:tc>
        <w:tc>
          <w:tcPr>
            <w:tcW w:w="3842" w:type="dxa"/>
            <w:vAlign w:val="center"/>
          </w:tcPr>
          <w:p w14:paraId="3A88921A">
            <w:pPr>
              <w:spacing w:line="500" w:lineRule="exact"/>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内容</w:t>
            </w:r>
          </w:p>
        </w:tc>
        <w:tc>
          <w:tcPr>
            <w:tcW w:w="992" w:type="dxa"/>
            <w:vAlign w:val="center"/>
          </w:tcPr>
          <w:p w14:paraId="44615426">
            <w:pPr>
              <w:spacing w:line="440" w:lineRule="exact"/>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数量</w:t>
            </w:r>
          </w:p>
        </w:tc>
        <w:tc>
          <w:tcPr>
            <w:tcW w:w="1839" w:type="dxa"/>
            <w:vAlign w:val="center"/>
          </w:tcPr>
          <w:p w14:paraId="023056D5">
            <w:pPr>
              <w:spacing w:line="440" w:lineRule="exact"/>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预算金额</w:t>
            </w:r>
          </w:p>
        </w:tc>
        <w:tc>
          <w:tcPr>
            <w:tcW w:w="1796" w:type="dxa"/>
            <w:vAlign w:val="center"/>
          </w:tcPr>
          <w:p w14:paraId="034A10BA">
            <w:pPr>
              <w:spacing w:line="500" w:lineRule="exact"/>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备注</w:t>
            </w:r>
          </w:p>
        </w:tc>
      </w:tr>
      <w:tr w14:paraId="7BA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22" w:type="dxa"/>
            <w:vAlign w:val="center"/>
          </w:tcPr>
          <w:p w14:paraId="1DD63795">
            <w:pPr>
              <w:spacing w:line="5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3842" w:type="dxa"/>
            <w:vAlign w:val="center"/>
          </w:tcPr>
          <w:p w14:paraId="025A9822">
            <w:pPr>
              <w:spacing w:line="5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开元名都写字楼能源智能化项目</w:t>
            </w:r>
          </w:p>
        </w:tc>
        <w:tc>
          <w:tcPr>
            <w:tcW w:w="992" w:type="dxa"/>
            <w:vAlign w:val="center"/>
          </w:tcPr>
          <w:p w14:paraId="2806FCA8">
            <w:pPr>
              <w:spacing w:line="5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1项</w:t>
            </w:r>
          </w:p>
        </w:tc>
        <w:tc>
          <w:tcPr>
            <w:tcW w:w="1839" w:type="dxa"/>
            <w:vAlign w:val="center"/>
          </w:tcPr>
          <w:p w14:paraId="660FAA83">
            <w:pPr>
              <w:spacing w:line="5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ascii="仿宋" w:hAnsi="仿宋" w:eastAsia="仿宋" w:cs="仿宋"/>
                <w:color w:val="auto"/>
                <w:szCs w:val="24"/>
                <w:highlight w:val="none"/>
              </w:rPr>
              <w:t>3</w:t>
            </w:r>
            <w:r>
              <w:rPr>
                <w:rFonts w:hint="eastAsia" w:ascii="仿宋" w:hAnsi="仿宋" w:eastAsia="仿宋" w:cs="仿宋"/>
                <w:color w:val="auto"/>
                <w:szCs w:val="24"/>
                <w:highlight w:val="none"/>
              </w:rPr>
              <w:t>00000元</w:t>
            </w:r>
          </w:p>
        </w:tc>
        <w:tc>
          <w:tcPr>
            <w:tcW w:w="1796" w:type="dxa"/>
            <w:vAlign w:val="center"/>
          </w:tcPr>
          <w:p w14:paraId="5D3E5900">
            <w:pPr>
              <w:spacing w:line="500" w:lineRule="exact"/>
              <w:jc w:val="center"/>
              <w:rPr>
                <w:rFonts w:ascii="仿宋" w:hAnsi="仿宋" w:eastAsia="仿宋" w:cs="仿宋"/>
                <w:color w:val="auto"/>
                <w:szCs w:val="24"/>
                <w:highlight w:val="none"/>
              </w:rPr>
            </w:pPr>
          </w:p>
        </w:tc>
      </w:tr>
    </w:tbl>
    <w:p w14:paraId="3E8EDD1A">
      <w:pPr>
        <w:spacing w:before="120" w:beforeLines="50" w:line="360" w:lineRule="auto"/>
        <w:ind w:firstLine="480" w:firstLineChars="20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6.合同履约期限：合同签订之日起60天内安装调试完毕</w:t>
      </w:r>
      <w:r>
        <w:rPr>
          <w:rFonts w:hint="eastAsia" w:ascii="仿宋" w:hAnsi="仿宋" w:eastAsia="仿宋" w:cs="仿宋"/>
          <w:color w:val="auto"/>
          <w:szCs w:val="24"/>
          <w:highlight w:val="none"/>
          <w:lang w:eastAsia="zh-CN"/>
        </w:rPr>
        <w:t>。</w:t>
      </w:r>
    </w:p>
    <w:p w14:paraId="0828D7D3">
      <w:pPr>
        <w:spacing w:line="360" w:lineRule="auto"/>
        <w:rPr>
          <w:rFonts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二、申请人的资格要求：</w:t>
      </w:r>
      <w:bookmarkEnd w:id="25"/>
      <w:bookmarkEnd w:id="26"/>
      <w:bookmarkEnd w:id="27"/>
      <w:bookmarkEnd w:id="28"/>
    </w:p>
    <w:p w14:paraId="4B7CCB1B">
      <w:pPr>
        <w:snapToGrid w:val="0"/>
        <w:spacing w:line="360" w:lineRule="auto"/>
        <w:ind w:firstLine="480" w:firstLineChars="200"/>
        <w:rPr>
          <w:rFonts w:ascii="仿宋" w:hAnsi="仿宋" w:eastAsia="仿宋" w:cs="仿宋"/>
          <w:color w:val="auto"/>
          <w:szCs w:val="24"/>
          <w:highlight w:val="none"/>
        </w:rPr>
      </w:pPr>
      <w:bookmarkStart w:id="29" w:name="_Toc35393623"/>
      <w:bookmarkStart w:id="30" w:name="_Toc28359004"/>
      <w:bookmarkStart w:id="31" w:name="_Toc35393792"/>
      <w:bookmarkStart w:id="32" w:name="_Toc28359081"/>
      <w:r>
        <w:rPr>
          <w:rFonts w:hint="eastAsia" w:ascii="仿宋" w:hAnsi="仿宋" w:eastAsia="仿宋" w:cs="仿宋"/>
          <w:color w:val="auto"/>
          <w:szCs w:val="24"/>
          <w:highlight w:val="none"/>
        </w:rPr>
        <w:t>1.具有独立承担民事责任的能力；具有良好的商业信誉和健全的财务会计制度；具有履行合同所必需的设备和专业技术能力；有依法缴纳税收和社会保障资金的良好记录；参加政企采购活动前三年内，在经营活动中没有重大违法记录；法律、行政法规规定的其他条件；</w:t>
      </w:r>
    </w:p>
    <w:p w14:paraId="49A654AA">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2.投标人未被列入失信被执行人名单、重大税收违法案件当事人名单、政府采购严重违法失信行为记录名单，信息以信用中国网站（www.creditchina.gov.cn）、中国政府采购网（www.ccgp.gov.cn）公布和查询为准。</w:t>
      </w:r>
    </w:p>
    <w:p w14:paraId="0C4494CE">
      <w:pPr>
        <w:snapToGrid w:val="0"/>
        <w:spacing w:line="360" w:lineRule="auto"/>
        <w:ind w:firstLine="504" w:firstLineChars="200"/>
        <w:rPr>
          <w:rFonts w:ascii="仿宋" w:hAnsi="仿宋" w:eastAsia="仿宋" w:cs="仿宋"/>
          <w:color w:val="auto"/>
          <w:szCs w:val="24"/>
          <w:highlight w:val="none"/>
        </w:rPr>
      </w:pPr>
      <w:r>
        <w:rPr>
          <w:rFonts w:hint="eastAsia" w:ascii="仿宋" w:hAnsi="仿宋" w:eastAsia="仿宋" w:cs="仿宋"/>
          <w:color w:val="auto"/>
          <w:spacing w:val="6"/>
          <w:szCs w:val="24"/>
          <w:highlight w:val="none"/>
        </w:rPr>
        <w:t>3.</w:t>
      </w:r>
      <w:r>
        <w:rPr>
          <w:rFonts w:hint="eastAsia" w:ascii="仿宋" w:hAnsi="仿宋" w:eastAsia="仿宋" w:cs="仿宋"/>
          <w:color w:val="auto"/>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2F79E89">
      <w:pPr>
        <w:snapToGrid w:val="0"/>
        <w:spacing w:line="360" w:lineRule="auto"/>
        <w:ind w:firstLine="480" w:firstLineChars="200"/>
        <w:rPr>
          <w:rFonts w:ascii="仿宋" w:hAnsi="仿宋" w:eastAsia="仿宋" w:cs="仿宋"/>
          <w:color w:val="auto"/>
          <w:spacing w:val="6"/>
          <w:szCs w:val="24"/>
          <w:highlight w:val="none"/>
        </w:rPr>
      </w:pPr>
      <w:r>
        <w:rPr>
          <w:rFonts w:hint="eastAsia" w:ascii="仿宋" w:hAnsi="仿宋" w:eastAsia="仿宋" w:cs="仿宋"/>
          <w:color w:val="auto"/>
          <w:szCs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8A86F16">
      <w:pPr>
        <w:snapToGrid w:val="0"/>
        <w:spacing w:line="360" w:lineRule="auto"/>
        <w:ind w:firstLine="506" w:firstLineChars="200"/>
        <w:rPr>
          <w:rFonts w:ascii="仿宋" w:hAnsi="仿宋" w:eastAsia="仿宋" w:cs="仿宋"/>
          <w:b/>
          <w:bCs/>
          <w:color w:val="auto"/>
          <w:szCs w:val="24"/>
          <w:highlight w:val="none"/>
        </w:rPr>
      </w:pPr>
      <w:r>
        <w:rPr>
          <w:rFonts w:hint="eastAsia" w:ascii="仿宋" w:hAnsi="仿宋" w:eastAsia="仿宋" w:cs="仿宋"/>
          <w:b/>
          <w:bCs/>
          <w:color w:val="auto"/>
          <w:spacing w:val="6"/>
          <w:szCs w:val="24"/>
          <w:highlight w:val="none"/>
        </w:rPr>
        <w:t>5.特定资格要求:</w:t>
      </w:r>
      <w:r>
        <w:rPr>
          <w:rFonts w:hint="eastAsia" w:ascii="仿宋" w:hAnsi="仿宋" w:eastAsia="仿宋" w:cs="仿宋"/>
          <w:color w:val="auto"/>
          <w:spacing w:val="6"/>
          <w:szCs w:val="24"/>
          <w:highlight w:val="none"/>
        </w:rPr>
        <w:t>无。</w:t>
      </w:r>
    </w:p>
    <w:p w14:paraId="05ECFEC6">
      <w:pPr>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6.本项目不接受联合体投标。</w:t>
      </w:r>
    </w:p>
    <w:p w14:paraId="520E095A">
      <w:pPr>
        <w:pStyle w:val="3"/>
        <w:spacing w:line="360" w:lineRule="auto"/>
        <w:ind w:firstLine="253" w:firstLineChars="100"/>
        <w:rPr>
          <w:rFonts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三、获取</w:t>
      </w:r>
      <w:bookmarkEnd w:id="29"/>
      <w:bookmarkEnd w:id="30"/>
      <w:bookmarkEnd w:id="31"/>
      <w:bookmarkEnd w:id="32"/>
      <w:r>
        <w:rPr>
          <w:rFonts w:hint="eastAsia" w:ascii="仿宋" w:hAnsi="仿宋" w:eastAsia="仿宋" w:cs="仿宋"/>
          <w:b/>
          <w:bCs/>
          <w:color w:val="auto"/>
          <w:spacing w:val="6"/>
          <w:szCs w:val="24"/>
          <w:highlight w:val="none"/>
        </w:rPr>
        <w:t>采购文件</w:t>
      </w:r>
      <w:bookmarkStart w:id="33" w:name="_Toc28359082"/>
      <w:bookmarkStart w:id="34" w:name="_Toc28359005"/>
      <w:bookmarkStart w:id="35" w:name="_Toc35393624"/>
      <w:bookmarkStart w:id="36" w:name="_Toc35393793"/>
    </w:p>
    <w:p w14:paraId="61983090">
      <w:pPr>
        <w:pStyle w:val="3"/>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1.采购文件获取时间：2024年</w:t>
      </w:r>
      <w:r>
        <w:rPr>
          <w:rFonts w:hint="eastAsia" w:ascii="仿宋" w:hAnsi="仿宋" w:eastAsia="仿宋" w:cs="仿宋"/>
          <w:color w:val="auto"/>
          <w:spacing w:val="6"/>
          <w:szCs w:val="24"/>
          <w:highlight w:val="none"/>
          <w:lang w:val="en-US" w:eastAsia="zh-CN"/>
        </w:rPr>
        <w:t>9</w:t>
      </w:r>
      <w:r>
        <w:rPr>
          <w:rFonts w:hint="eastAsia" w:ascii="仿宋" w:hAnsi="仿宋" w:eastAsia="仿宋" w:cs="仿宋"/>
          <w:color w:val="auto"/>
          <w:spacing w:val="6"/>
          <w:szCs w:val="24"/>
          <w:highlight w:val="none"/>
        </w:rPr>
        <w:t>月</w:t>
      </w:r>
      <w:r>
        <w:rPr>
          <w:rFonts w:hint="eastAsia" w:ascii="仿宋" w:hAnsi="仿宋" w:eastAsia="仿宋" w:cs="仿宋"/>
          <w:color w:val="auto"/>
          <w:spacing w:val="6"/>
          <w:szCs w:val="24"/>
          <w:highlight w:val="none"/>
          <w:lang w:val="en-US" w:eastAsia="zh-CN"/>
        </w:rPr>
        <w:t>9</w:t>
      </w:r>
      <w:r>
        <w:rPr>
          <w:rFonts w:hint="eastAsia" w:ascii="仿宋" w:hAnsi="仿宋" w:eastAsia="仿宋" w:cs="仿宋"/>
          <w:color w:val="auto"/>
          <w:spacing w:val="6"/>
          <w:szCs w:val="24"/>
          <w:highlight w:val="none"/>
        </w:rPr>
        <w:t>日至2024年</w:t>
      </w:r>
      <w:r>
        <w:rPr>
          <w:rFonts w:hint="eastAsia" w:ascii="仿宋" w:hAnsi="仿宋" w:eastAsia="仿宋" w:cs="仿宋"/>
          <w:color w:val="auto"/>
          <w:spacing w:val="6"/>
          <w:szCs w:val="24"/>
          <w:highlight w:val="none"/>
          <w:lang w:val="en-US" w:eastAsia="zh-CN"/>
        </w:rPr>
        <w:t>9</w:t>
      </w:r>
      <w:r>
        <w:rPr>
          <w:rFonts w:hint="eastAsia" w:ascii="仿宋" w:hAnsi="仿宋" w:eastAsia="仿宋" w:cs="仿宋"/>
          <w:color w:val="auto"/>
          <w:spacing w:val="6"/>
          <w:szCs w:val="24"/>
          <w:highlight w:val="none"/>
        </w:rPr>
        <w:t>月</w:t>
      </w:r>
      <w:r>
        <w:rPr>
          <w:rFonts w:hint="eastAsia" w:ascii="仿宋" w:hAnsi="仿宋" w:eastAsia="仿宋" w:cs="仿宋"/>
          <w:color w:val="auto"/>
          <w:spacing w:val="6"/>
          <w:szCs w:val="24"/>
          <w:highlight w:val="none"/>
          <w:lang w:val="en-US" w:eastAsia="zh-CN"/>
        </w:rPr>
        <w:t>29</w:t>
      </w:r>
      <w:r>
        <w:rPr>
          <w:rFonts w:hint="eastAsia" w:ascii="仿宋" w:hAnsi="仿宋" w:eastAsia="仿宋" w:cs="仿宋"/>
          <w:color w:val="auto"/>
          <w:spacing w:val="6"/>
          <w:szCs w:val="24"/>
          <w:highlight w:val="none"/>
        </w:rPr>
        <w:t>日，每天上午00:00至12:00，下午12:00至23:59（北京时间，线上获取法定节假日均可，线下获取文件法定节假日除外）</w:t>
      </w:r>
    </w:p>
    <w:p w14:paraId="009AA610">
      <w:pPr>
        <w:pStyle w:val="3"/>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2.地点（网址）：乐采云平台（https://www.lecaiyun.com/） </w:t>
      </w:r>
    </w:p>
    <w:p w14:paraId="269B14AB">
      <w:pPr>
        <w:pStyle w:val="3"/>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3.获取方式：供应商登录乐采云平台（https://www.lecaiyun.com/），在线申请获取采购文件（进入“项目采购”应用，在获取采购文件菜单中选择项目，申请获取采购文件,仅需浏览采购文件的供应商可点击“游客，浏览采购文件”直接下载采购文件浏览）。</w:t>
      </w:r>
    </w:p>
    <w:p w14:paraId="6C4585A9">
      <w:pPr>
        <w:spacing w:line="360" w:lineRule="auto"/>
        <w:ind w:firstLine="504" w:firstLineChars="200"/>
        <w:rPr>
          <w:rFonts w:ascii="仿宋" w:hAnsi="仿宋" w:eastAsia="仿宋" w:cs="仿宋"/>
          <w:b/>
          <w:bCs/>
          <w:color w:val="auto"/>
          <w:spacing w:val="6"/>
          <w:szCs w:val="24"/>
          <w:highlight w:val="none"/>
        </w:rPr>
      </w:pPr>
      <w:r>
        <w:rPr>
          <w:rFonts w:hint="eastAsia" w:ascii="仿宋" w:hAnsi="仿宋" w:eastAsia="仿宋" w:cs="仿宋"/>
          <w:color w:val="auto"/>
          <w:spacing w:val="6"/>
          <w:szCs w:val="24"/>
          <w:highlight w:val="none"/>
        </w:rPr>
        <w:t>4.采购文件售价：免费。</w:t>
      </w:r>
    </w:p>
    <w:p w14:paraId="2A91195F">
      <w:pPr>
        <w:spacing w:line="360" w:lineRule="auto"/>
        <w:rPr>
          <w:rFonts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四、提交投标文件</w:t>
      </w:r>
      <w:bookmarkEnd w:id="33"/>
      <w:bookmarkEnd w:id="34"/>
      <w:r>
        <w:rPr>
          <w:rFonts w:hint="eastAsia" w:ascii="仿宋" w:hAnsi="仿宋" w:eastAsia="仿宋" w:cs="仿宋"/>
          <w:b/>
          <w:bCs/>
          <w:color w:val="auto"/>
          <w:spacing w:val="6"/>
          <w:szCs w:val="24"/>
          <w:highlight w:val="none"/>
        </w:rPr>
        <w:t>截止时间、开标时间和地点</w:t>
      </w:r>
      <w:bookmarkEnd w:id="35"/>
      <w:bookmarkEnd w:id="36"/>
    </w:p>
    <w:p w14:paraId="62A914B7">
      <w:pPr>
        <w:spacing w:line="360" w:lineRule="auto"/>
        <w:ind w:firstLine="504" w:firstLineChars="200"/>
        <w:rPr>
          <w:rFonts w:ascii="仿宋" w:hAnsi="仿宋" w:eastAsia="仿宋" w:cs="仿宋"/>
          <w:color w:val="auto"/>
          <w:spacing w:val="6"/>
          <w:szCs w:val="24"/>
          <w:highlight w:val="none"/>
        </w:rPr>
      </w:pPr>
      <w:bookmarkStart w:id="37" w:name="_Toc35393794"/>
      <w:bookmarkStart w:id="38" w:name="_Toc35393625"/>
      <w:bookmarkStart w:id="39" w:name="_Toc28359084"/>
      <w:bookmarkStart w:id="40" w:name="_Toc28359007"/>
      <w:r>
        <w:rPr>
          <w:rFonts w:hint="eastAsia" w:ascii="仿宋" w:hAnsi="仿宋" w:eastAsia="仿宋" w:cs="仿宋"/>
          <w:color w:val="auto"/>
          <w:spacing w:val="6"/>
          <w:szCs w:val="24"/>
          <w:highlight w:val="none"/>
        </w:rPr>
        <w:t>1.提交投标文件截止时间：2024年</w:t>
      </w:r>
      <w:r>
        <w:rPr>
          <w:rFonts w:hint="eastAsia" w:ascii="仿宋" w:hAnsi="仿宋" w:eastAsia="仿宋" w:cs="仿宋"/>
          <w:color w:val="auto"/>
          <w:spacing w:val="6"/>
          <w:szCs w:val="24"/>
          <w:highlight w:val="none"/>
          <w:lang w:val="en-US" w:eastAsia="zh-CN"/>
        </w:rPr>
        <w:t>9</w:t>
      </w:r>
      <w:r>
        <w:rPr>
          <w:rFonts w:hint="eastAsia" w:ascii="仿宋" w:hAnsi="仿宋" w:eastAsia="仿宋" w:cs="仿宋"/>
          <w:color w:val="auto"/>
          <w:spacing w:val="6"/>
          <w:szCs w:val="24"/>
          <w:highlight w:val="none"/>
        </w:rPr>
        <w:t>月</w:t>
      </w:r>
      <w:r>
        <w:rPr>
          <w:rFonts w:hint="eastAsia" w:ascii="仿宋" w:hAnsi="仿宋" w:eastAsia="仿宋" w:cs="仿宋"/>
          <w:color w:val="auto"/>
          <w:spacing w:val="6"/>
          <w:szCs w:val="24"/>
          <w:highlight w:val="none"/>
          <w:lang w:val="en-US" w:eastAsia="zh-CN"/>
        </w:rPr>
        <w:t>29</w:t>
      </w:r>
      <w:r>
        <w:rPr>
          <w:rFonts w:hint="eastAsia" w:ascii="仿宋" w:hAnsi="仿宋" w:eastAsia="仿宋" w:cs="仿宋"/>
          <w:color w:val="auto"/>
          <w:spacing w:val="6"/>
          <w:szCs w:val="24"/>
          <w:highlight w:val="none"/>
        </w:rPr>
        <w:t>日上午09:30（北京时间）。</w:t>
      </w:r>
    </w:p>
    <w:p w14:paraId="47978F25">
      <w:pPr>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2.投标地点（网址）：乐采云平台（https://www.lecaiyun.com/）。</w:t>
      </w:r>
    </w:p>
    <w:p w14:paraId="0EB08048">
      <w:pPr>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3.开标时间：2024年</w:t>
      </w:r>
      <w:r>
        <w:rPr>
          <w:rFonts w:hint="eastAsia" w:ascii="仿宋" w:hAnsi="仿宋" w:eastAsia="仿宋" w:cs="仿宋"/>
          <w:color w:val="auto"/>
          <w:spacing w:val="6"/>
          <w:szCs w:val="24"/>
          <w:highlight w:val="none"/>
          <w:lang w:val="en-US" w:eastAsia="zh-CN"/>
        </w:rPr>
        <w:t>9</w:t>
      </w:r>
      <w:r>
        <w:rPr>
          <w:rFonts w:hint="eastAsia" w:ascii="仿宋" w:hAnsi="仿宋" w:eastAsia="仿宋" w:cs="仿宋"/>
          <w:color w:val="auto"/>
          <w:spacing w:val="6"/>
          <w:szCs w:val="24"/>
          <w:highlight w:val="none"/>
        </w:rPr>
        <w:t>月</w:t>
      </w:r>
      <w:r>
        <w:rPr>
          <w:rFonts w:hint="eastAsia" w:ascii="仿宋" w:hAnsi="仿宋" w:eastAsia="仿宋" w:cs="仿宋"/>
          <w:color w:val="auto"/>
          <w:spacing w:val="6"/>
          <w:szCs w:val="24"/>
          <w:highlight w:val="none"/>
          <w:lang w:val="en-US" w:eastAsia="zh-CN"/>
        </w:rPr>
        <w:t>29</w:t>
      </w:r>
      <w:r>
        <w:rPr>
          <w:rFonts w:hint="eastAsia" w:ascii="仿宋" w:hAnsi="仿宋" w:eastAsia="仿宋" w:cs="仿宋"/>
          <w:color w:val="auto"/>
          <w:spacing w:val="6"/>
          <w:szCs w:val="24"/>
          <w:highlight w:val="none"/>
        </w:rPr>
        <w:t>日上午09：30分整。</w:t>
      </w:r>
    </w:p>
    <w:p w14:paraId="3A4EDEB2">
      <w:pPr>
        <w:spacing w:line="360" w:lineRule="auto"/>
        <w:ind w:firstLine="504" w:firstLineChars="200"/>
        <w:rPr>
          <w:rFonts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4.开标地点（网址）：乐采云平台（https://www.lecaiyun.com/）。</w:t>
      </w:r>
    </w:p>
    <w:p w14:paraId="1195D80B">
      <w:pPr>
        <w:spacing w:line="360" w:lineRule="auto"/>
        <w:rPr>
          <w:rFonts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五、公告期限</w:t>
      </w:r>
      <w:bookmarkEnd w:id="37"/>
      <w:bookmarkEnd w:id="38"/>
      <w:bookmarkEnd w:id="39"/>
      <w:bookmarkEnd w:id="40"/>
    </w:p>
    <w:p w14:paraId="3D780787">
      <w:pPr>
        <w:spacing w:line="360" w:lineRule="auto"/>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自本公告发布之日起5个工作日。</w:t>
      </w:r>
    </w:p>
    <w:p w14:paraId="3F654FF1">
      <w:pPr>
        <w:pStyle w:val="43"/>
        <w:adjustRightInd w:val="0"/>
        <w:snapToGrid w:val="0"/>
        <w:spacing w:line="360" w:lineRule="auto"/>
        <w:rPr>
          <w:rFonts w:ascii="仿宋" w:hAnsi="仿宋" w:eastAsia="仿宋" w:cs="仿宋"/>
          <w:b/>
          <w:bCs/>
          <w:color w:val="auto"/>
          <w:spacing w:val="6"/>
          <w:sz w:val="24"/>
          <w:szCs w:val="24"/>
          <w:highlight w:val="none"/>
        </w:rPr>
      </w:pPr>
      <w:bookmarkStart w:id="41" w:name="_Toc35393626"/>
      <w:bookmarkStart w:id="42" w:name="_Toc35393795"/>
      <w:r>
        <w:rPr>
          <w:rFonts w:hint="eastAsia" w:ascii="仿宋" w:hAnsi="仿宋" w:eastAsia="仿宋" w:cs="仿宋"/>
          <w:b/>
          <w:bCs/>
          <w:color w:val="auto"/>
          <w:spacing w:val="6"/>
          <w:sz w:val="24"/>
          <w:szCs w:val="24"/>
          <w:highlight w:val="none"/>
        </w:rPr>
        <w:t>六、投标保证金</w:t>
      </w:r>
    </w:p>
    <w:p w14:paraId="461DB0F4">
      <w:pPr>
        <w:pStyle w:val="43"/>
        <w:adjustRightInd w:val="0"/>
        <w:snapToGrid w:val="0"/>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投标保证金额：22000元人民币。  </w:t>
      </w:r>
    </w:p>
    <w:p w14:paraId="3B504691">
      <w:pPr>
        <w:pStyle w:val="43"/>
        <w:adjustRightInd w:val="0"/>
        <w:snapToGrid w:val="0"/>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投标人应于2024年</w:t>
      </w:r>
      <w:r>
        <w:rPr>
          <w:rFonts w:hint="eastAsia" w:ascii="仿宋" w:hAnsi="仿宋" w:eastAsia="仿宋" w:cs="仿宋"/>
          <w:color w:val="auto"/>
          <w:spacing w:val="6"/>
          <w:sz w:val="24"/>
          <w:szCs w:val="24"/>
          <w:highlight w:val="none"/>
          <w:lang w:val="en-US" w:eastAsia="zh-CN"/>
        </w:rPr>
        <w:t>9</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27</w:t>
      </w:r>
      <w:r>
        <w:rPr>
          <w:rFonts w:hint="eastAsia" w:ascii="仿宋" w:hAnsi="仿宋" w:eastAsia="仿宋" w:cs="仿宋"/>
          <w:color w:val="auto"/>
          <w:spacing w:val="6"/>
          <w:sz w:val="24"/>
          <w:szCs w:val="24"/>
          <w:highlight w:val="none"/>
        </w:rPr>
        <w:t>日16：30时前将投标保证金以电汇、转账、网上银行等形式交至</w:t>
      </w:r>
      <w:r>
        <w:rPr>
          <w:rFonts w:hint="eastAsia" w:ascii="仿宋" w:hAnsi="仿宋" w:eastAsia="仿宋" w:cs="仿宋"/>
          <w:color w:val="auto"/>
          <w:sz w:val="24"/>
          <w:szCs w:val="24"/>
          <w:highlight w:val="none"/>
        </w:rPr>
        <w:t>绍兴市文汇项目管理有限公司</w:t>
      </w:r>
      <w:r>
        <w:rPr>
          <w:rFonts w:hint="eastAsia" w:ascii="仿宋" w:hAnsi="仿宋" w:eastAsia="仿宋" w:cs="仿宋"/>
          <w:color w:val="auto"/>
          <w:spacing w:val="6"/>
          <w:sz w:val="24"/>
          <w:szCs w:val="24"/>
          <w:highlight w:val="none"/>
        </w:rPr>
        <w:t>（开户名称：</w:t>
      </w:r>
      <w:r>
        <w:rPr>
          <w:rFonts w:hint="eastAsia" w:ascii="仿宋" w:hAnsi="仿宋" w:eastAsia="仿宋" w:cs="仿宋"/>
          <w:color w:val="auto"/>
          <w:sz w:val="24"/>
          <w:szCs w:val="24"/>
          <w:highlight w:val="none"/>
        </w:rPr>
        <w:t>绍兴市文汇项目管理有限公司</w:t>
      </w:r>
      <w:r>
        <w:rPr>
          <w:rFonts w:hint="eastAsia" w:ascii="仿宋" w:hAnsi="仿宋" w:eastAsia="仿宋" w:cs="仿宋"/>
          <w:color w:val="auto"/>
          <w:spacing w:val="6"/>
          <w:sz w:val="24"/>
          <w:szCs w:val="24"/>
          <w:highlight w:val="none"/>
        </w:rPr>
        <w:t>，开户行：工商银行嵊州支行，账号：1211026009200820957），投标保证金以到账时间为准。如因投标人自身原因，造成投标单位保证金未及时到账的，一律视为不响应招标文件，投标文件不予接收。投标人的投标保证金必须从其基本账户转出。</w:t>
      </w:r>
    </w:p>
    <w:p w14:paraId="2327A258">
      <w:pPr>
        <w:pStyle w:val="43"/>
        <w:adjustRightInd w:val="0"/>
        <w:snapToGrid w:val="0"/>
        <w:spacing w:line="360" w:lineRule="auto"/>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七、其他补充事宜</w:t>
      </w:r>
    </w:p>
    <w:p w14:paraId="7A08E5EA">
      <w:pPr>
        <w:pStyle w:val="43"/>
        <w:adjustRightInd w:val="0"/>
        <w:snapToGrid w:val="0"/>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本项目通过“采购云平台（www.lecaiyun.com）”实行在线投标响应（电子投标），供应商应先安装“乐采云电子交易客户端”，并按照本采购文件和“采购云平台”的要求，通过“乐采云电子交易客户端”编制并加密投标文件。供应商未按规定加密的投标文件，“采购云平台”将予以拒收。</w:t>
      </w:r>
    </w:p>
    <w:p w14:paraId="5DF6EACB">
      <w:pPr>
        <w:pStyle w:val="43"/>
        <w:adjustRightInd w:val="0"/>
        <w:snapToGrid w:val="0"/>
        <w:spacing w:line="360" w:lineRule="auto"/>
        <w:ind w:firstLine="506" w:firstLineChars="20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乐采云电子交易客户端”请自行前往“浙江政府采购网-下载专区-电子交易客户端”进行下载；电子投标具体操作流程详见本公告附件《供应商项目采购-电子招投标操作指南》；通过“采购云平台”参与在线投标时如遇平台技术问题详询95763。</w:t>
      </w:r>
    </w:p>
    <w:p w14:paraId="29D2088D">
      <w:pPr>
        <w:pStyle w:val="43"/>
        <w:adjustRightInd w:val="0"/>
        <w:snapToGrid w:val="0"/>
        <w:spacing w:line="360" w:lineRule="auto"/>
        <w:ind w:firstLine="506" w:firstLineChars="20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为确保网上操作合法、有效和安全，供应商应当在投标截止时间前完成在“采购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采购文件后立即办理。</w:t>
      </w:r>
    </w:p>
    <w:p w14:paraId="5F87A69B">
      <w:pPr>
        <w:pStyle w:val="43"/>
        <w:adjustRightInd w:val="0"/>
        <w:snapToGrid w:val="0"/>
        <w:spacing w:line="360" w:lineRule="auto"/>
        <w:ind w:firstLine="506" w:firstLineChars="20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3.投标供应商应当在投标截止时间前，将生成的“电子加密投标文件”上传至“采购云平台”。投标截止时间以后上传递交的投标文件将被“采购云平台”拒收。</w:t>
      </w:r>
    </w:p>
    <w:p w14:paraId="78460007">
      <w:pPr>
        <w:pStyle w:val="43"/>
        <w:adjustRightInd w:val="0"/>
        <w:snapToGrid w:val="0"/>
        <w:spacing w:line="360" w:lineRule="auto"/>
        <w:ind w:firstLine="506" w:firstLineChars="20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投标供应商在“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4961D545">
      <w:pPr>
        <w:pStyle w:val="43"/>
        <w:adjustRightInd w:val="0"/>
        <w:snapToGrid w:val="0"/>
        <w:spacing w:line="360" w:lineRule="auto"/>
        <w:ind w:firstLine="506" w:firstLineChars="201"/>
        <w:rPr>
          <w:rFonts w:ascii="仿宋" w:hAnsi="仿宋" w:eastAsia="仿宋" w:cs="仿宋"/>
          <w:b/>
          <w:bCs/>
          <w:color w:val="auto"/>
          <w:spacing w:val="6"/>
          <w:sz w:val="24"/>
          <w:szCs w:val="24"/>
          <w:highlight w:val="none"/>
        </w:rPr>
      </w:pPr>
      <w:r>
        <w:rPr>
          <w:rFonts w:hint="eastAsia" w:ascii="仿宋" w:hAnsi="仿宋" w:eastAsia="仿宋" w:cs="仿宋"/>
          <w:color w:val="auto"/>
          <w:spacing w:val="6"/>
          <w:sz w:val="24"/>
          <w:szCs w:val="24"/>
          <w:highlight w:val="none"/>
        </w:rPr>
        <w:t>5.通过“采购云平台”上传递交的“电子加密投标文件”无法按时解密，投标供应商递交了备份投标文件的，以备份投标文件为依据，否则视为投标文件撤回。通过“采购云平台”上传递交的“电子加密投标文件”已按时解密的，“备份投标文件”自动失效。投标供应商仅递交备份投标文件的，投标无效。</w:t>
      </w:r>
      <w:bookmarkEnd w:id="41"/>
      <w:bookmarkEnd w:id="42"/>
    </w:p>
    <w:p w14:paraId="169C833B">
      <w:pPr>
        <w:spacing w:line="360" w:lineRule="auto"/>
        <w:rPr>
          <w:rFonts w:ascii="仿宋" w:hAnsi="仿宋" w:eastAsia="仿宋" w:cs="仿宋"/>
          <w:b/>
          <w:bCs/>
          <w:color w:val="auto"/>
          <w:spacing w:val="6"/>
          <w:szCs w:val="24"/>
          <w:highlight w:val="none"/>
        </w:rPr>
      </w:pPr>
      <w:bookmarkStart w:id="43" w:name="_Toc35393796"/>
      <w:bookmarkStart w:id="44" w:name="_Toc28359008"/>
      <w:bookmarkStart w:id="45" w:name="_Toc35393627"/>
      <w:bookmarkStart w:id="46" w:name="_Toc28359085"/>
      <w:r>
        <w:rPr>
          <w:rFonts w:hint="eastAsia" w:ascii="仿宋" w:hAnsi="仿宋" w:eastAsia="仿宋" w:cs="仿宋"/>
          <w:b/>
          <w:bCs/>
          <w:color w:val="auto"/>
          <w:spacing w:val="6"/>
          <w:szCs w:val="24"/>
          <w:highlight w:val="none"/>
        </w:rPr>
        <w:t>八、对本次采购提出询问，请按以下方式联系</w:t>
      </w:r>
      <w:bookmarkEnd w:id="43"/>
      <w:bookmarkEnd w:id="44"/>
      <w:bookmarkEnd w:id="45"/>
      <w:bookmarkEnd w:id="46"/>
    </w:p>
    <w:p w14:paraId="57869B08">
      <w:pPr>
        <w:widowControl/>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1.采购人信息</w:t>
      </w:r>
    </w:p>
    <w:p w14:paraId="6CEF572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名 称：嵊州市城南建设投资有限公司      　</w:t>
      </w:r>
    </w:p>
    <w:p w14:paraId="0F227B78">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val="zh-CN"/>
        </w:rPr>
        <w:t>嵊州市三江街道领带园四路11号</w:t>
      </w:r>
      <w:r>
        <w:rPr>
          <w:rFonts w:hint="eastAsia" w:ascii="仿宋" w:hAnsi="仿宋" w:eastAsia="仿宋" w:cs="仿宋"/>
          <w:color w:val="auto"/>
          <w:szCs w:val="24"/>
          <w:highlight w:val="none"/>
        </w:rPr>
        <w:t xml:space="preserve">   </w:t>
      </w:r>
    </w:p>
    <w:p w14:paraId="331984BC">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eastAsia="zh-CN"/>
        </w:rPr>
        <w:t>叶先生</w:t>
      </w:r>
      <w:r>
        <w:rPr>
          <w:rFonts w:hint="eastAsia" w:ascii="仿宋" w:hAnsi="仿宋" w:eastAsia="仿宋" w:cs="仿宋"/>
          <w:color w:val="auto"/>
          <w:szCs w:val="24"/>
          <w:highlight w:val="none"/>
        </w:rPr>
        <w:t xml:space="preserve">　 　        　　  </w:t>
      </w:r>
    </w:p>
    <w:p w14:paraId="73644FD9">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联系方式：</w:t>
      </w:r>
      <w:r>
        <w:rPr>
          <w:rFonts w:hint="eastAsia" w:ascii="仿宋" w:hAnsi="仿宋" w:eastAsia="仿宋" w:cs="仿宋"/>
          <w:color w:val="auto"/>
          <w:szCs w:val="24"/>
          <w:highlight w:val="none"/>
          <w:lang w:val="en-US" w:eastAsia="zh-CN"/>
        </w:rPr>
        <w:t>0575-88880555</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        </w:t>
      </w:r>
    </w:p>
    <w:p w14:paraId="5E7C5860">
      <w:pPr>
        <w:spacing w:line="360" w:lineRule="auto"/>
        <w:ind w:firstLine="480" w:firstLineChars="200"/>
        <w:jc w:val="left"/>
        <w:rPr>
          <w:rFonts w:ascii="仿宋" w:hAnsi="仿宋" w:eastAsia="仿宋" w:cs="仿宋"/>
          <w:color w:val="auto"/>
          <w:szCs w:val="24"/>
          <w:highlight w:val="none"/>
        </w:rPr>
      </w:pPr>
      <w:bookmarkStart w:id="47" w:name="_Toc28359086"/>
      <w:bookmarkStart w:id="48" w:name="_Toc28359009"/>
      <w:r>
        <w:rPr>
          <w:rFonts w:hint="eastAsia" w:ascii="仿宋" w:hAnsi="仿宋" w:eastAsia="仿宋" w:cs="仿宋"/>
          <w:color w:val="auto"/>
          <w:szCs w:val="24"/>
          <w:highlight w:val="none"/>
        </w:rPr>
        <w:t>2.采购代理机构信息</w:t>
      </w:r>
      <w:bookmarkEnd w:id="47"/>
      <w:bookmarkEnd w:id="48"/>
      <w:bookmarkStart w:id="187" w:name="_GoBack"/>
      <w:bookmarkEnd w:id="187"/>
    </w:p>
    <w:p w14:paraId="29C136CE">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名 称：绍兴市文汇项目管理有限公司      </w:t>
      </w:r>
    </w:p>
    <w:p w14:paraId="4C19933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地　址：嵊州市官河南路339号量子芯座11楼1105室</w:t>
      </w:r>
    </w:p>
    <w:p w14:paraId="7809501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项目联系人（询问）：章科学         </w:t>
      </w:r>
    </w:p>
    <w:p w14:paraId="1E42AD3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项目联系方式（询问）：0575-83275561</w:t>
      </w:r>
    </w:p>
    <w:p w14:paraId="30B8640C">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质疑联系人：裘文燕              </w:t>
      </w:r>
    </w:p>
    <w:p w14:paraId="55349C3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质疑联系方式：0575-83275560</w:t>
      </w:r>
    </w:p>
    <w:p w14:paraId="643DC3E4">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3.采购监督管理部门</w:t>
      </w:r>
    </w:p>
    <w:p w14:paraId="173DDCA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名称：嵊州市经开建设发展集团有限公司</w:t>
      </w:r>
    </w:p>
    <w:p w14:paraId="2E97757F">
      <w:pPr>
        <w:spacing w:line="360" w:lineRule="auto"/>
        <w:ind w:firstLine="480" w:firstLineChars="20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val="en-US" w:eastAsia="zh-CN"/>
        </w:rPr>
        <w:t>张先生</w:t>
      </w:r>
    </w:p>
    <w:p w14:paraId="2ED6C2C5">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val="en-US" w:eastAsia="zh-CN"/>
        </w:rPr>
        <w:t>0575-83193929</w:t>
      </w:r>
      <w:r>
        <w:rPr>
          <w:rFonts w:hint="eastAsia" w:ascii="仿宋" w:hAnsi="仿宋" w:eastAsia="仿宋" w:cs="仿宋"/>
          <w:color w:val="auto"/>
          <w:szCs w:val="24"/>
          <w:highlight w:val="none"/>
        </w:rPr>
        <w:t>　　　</w:t>
      </w:r>
    </w:p>
    <w:p w14:paraId="3D70EB1D">
      <w:pPr>
        <w:spacing w:line="40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若对项目采购电子交易系统操作有疑问，可登录乐采云（https://www.lecaiyun.com/），点击右侧咨询小采，获取采小蜜智能服务管家帮助，或拨打乐采云服务热线95763获取热线服务帮助。</w:t>
      </w:r>
    </w:p>
    <w:p w14:paraId="40639F64">
      <w:pPr>
        <w:spacing w:line="400" w:lineRule="exact"/>
        <w:ind w:firstLine="482" w:firstLineChars="200"/>
        <w:jc w:val="lef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CA问题联系电话（人工）：汇信CA 400-888-4636；天谷CA 400-087-8198。</w:t>
      </w:r>
    </w:p>
    <w:p w14:paraId="16EF6446">
      <w:pPr>
        <w:pStyle w:val="4"/>
        <w:spacing w:line="700" w:lineRule="exac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投标须知</w:t>
      </w:r>
      <w:bookmarkEnd w:id="11"/>
      <w:bookmarkEnd w:id="12"/>
      <w:bookmarkEnd w:id="13"/>
      <w:bookmarkEnd w:id="14"/>
      <w:bookmarkEnd w:id="15"/>
      <w:bookmarkEnd w:id="16"/>
      <w:bookmarkEnd w:id="17"/>
      <w:bookmarkEnd w:id="18"/>
      <w:bookmarkEnd w:id="19"/>
    </w:p>
    <w:p w14:paraId="6D224372">
      <w:pPr>
        <w:pStyle w:val="5"/>
        <w:spacing w:line="500" w:lineRule="exact"/>
        <w:ind w:left="357"/>
        <w:rPr>
          <w:rFonts w:ascii="仿宋" w:hAnsi="仿宋" w:eastAsia="仿宋" w:cs="仿宋"/>
          <w:color w:val="auto"/>
          <w:sz w:val="24"/>
          <w:szCs w:val="24"/>
          <w:highlight w:val="none"/>
        </w:rPr>
      </w:pPr>
      <w:bookmarkStart w:id="49" w:name="_Toc19659"/>
      <w:bookmarkStart w:id="50" w:name="_Toc180555917"/>
      <w:bookmarkStart w:id="51" w:name="_Toc248065036"/>
      <w:bookmarkStart w:id="52" w:name="_Toc54978889"/>
      <w:bookmarkStart w:id="53" w:name="_Toc513456140"/>
      <w:bookmarkStart w:id="54" w:name="_Toc339302125"/>
      <w:bookmarkStart w:id="55" w:name="_Toc340322164"/>
      <w:bookmarkStart w:id="56" w:name="_Toc226337758"/>
      <w:bookmarkStart w:id="57" w:name="_Toc304551310"/>
      <w:bookmarkStart w:id="58" w:name="_Toc340321909"/>
      <w:bookmarkStart w:id="59" w:name="_Toc489481887"/>
      <w:r>
        <w:rPr>
          <w:rFonts w:hint="eastAsia" w:ascii="仿宋" w:hAnsi="仿宋" w:eastAsia="仿宋" w:cs="仿宋"/>
          <w:b w:val="0"/>
          <w:bCs/>
          <w:color w:val="auto"/>
          <w:sz w:val="24"/>
          <w:szCs w:val="24"/>
          <w:highlight w:val="none"/>
        </w:rPr>
        <w:t>一、</w:t>
      </w:r>
      <w:r>
        <w:rPr>
          <w:rFonts w:hint="eastAsia" w:ascii="仿宋" w:hAnsi="仿宋" w:eastAsia="仿宋" w:cs="仿宋"/>
          <w:color w:val="auto"/>
          <w:sz w:val="24"/>
          <w:szCs w:val="24"/>
          <w:highlight w:val="none"/>
        </w:rPr>
        <w:t>投标须知前附表</w:t>
      </w:r>
      <w:bookmarkEnd w:id="49"/>
      <w:bookmarkEnd w:id="50"/>
      <w:bookmarkEnd w:id="51"/>
      <w:bookmarkEnd w:id="52"/>
      <w:bookmarkEnd w:id="53"/>
      <w:bookmarkEnd w:id="54"/>
      <w:bookmarkEnd w:id="55"/>
      <w:bookmarkEnd w:id="56"/>
      <w:bookmarkEnd w:id="57"/>
      <w:bookmarkEnd w:id="58"/>
      <w:bookmarkEnd w:id="59"/>
    </w:p>
    <w:tbl>
      <w:tblPr>
        <w:tblStyle w:val="7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14:paraId="320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32" w:type="dxa"/>
            <w:vAlign w:val="center"/>
          </w:tcPr>
          <w:p w14:paraId="19ACA901">
            <w:pPr>
              <w:autoSpaceDE w:val="0"/>
              <w:autoSpaceDN w:val="0"/>
              <w:snapToGrid w:val="0"/>
              <w:spacing w:line="400" w:lineRule="exact"/>
              <w:jc w:val="center"/>
              <w:textAlignment w:val="bottom"/>
              <w:rPr>
                <w:rFonts w:ascii="仿宋" w:hAnsi="仿宋" w:eastAsia="仿宋" w:cs="仿宋"/>
                <w:color w:val="auto"/>
                <w:szCs w:val="24"/>
                <w:highlight w:val="none"/>
              </w:rPr>
            </w:pPr>
            <w:bookmarkStart w:id="60" w:name="_Toc82338239"/>
            <w:bookmarkStart w:id="61" w:name="_Toc82873322"/>
            <w:bookmarkStart w:id="62" w:name="_Toc35261571"/>
            <w:r>
              <w:rPr>
                <w:rFonts w:hint="eastAsia" w:ascii="仿宋" w:hAnsi="仿宋" w:eastAsia="仿宋" w:cs="仿宋"/>
                <w:color w:val="auto"/>
                <w:szCs w:val="24"/>
                <w:highlight w:val="none"/>
              </w:rPr>
              <w:t>序号</w:t>
            </w:r>
          </w:p>
        </w:tc>
        <w:tc>
          <w:tcPr>
            <w:tcW w:w="1788" w:type="dxa"/>
            <w:vAlign w:val="center"/>
          </w:tcPr>
          <w:p w14:paraId="31031D2D">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项目</w:t>
            </w:r>
          </w:p>
        </w:tc>
        <w:tc>
          <w:tcPr>
            <w:tcW w:w="7412" w:type="dxa"/>
            <w:vAlign w:val="center"/>
          </w:tcPr>
          <w:p w14:paraId="09551712">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编  例  内  容</w:t>
            </w:r>
          </w:p>
        </w:tc>
      </w:tr>
      <w:tr w14:paraId="1480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732" w:type="dxa"/>
            <w:vAlign w:val="center"/>
          </w:tcPr>
          <w:p w14:paraId="28883DF0">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788" w:type="dxa"/>
            <w:vAlign w:val="center"/>
          </w:tcPr>
          <w:p w14:paraId="07489416">
            <w:pPr>
              <w:autoSpaceDE w:val="0"/>
              <w:autoSpaceDN w:val="0"/>
              <w:snapToGrid w:val="0"/>
              <w:spacing w:line="400" w:lineRule="exact"/>
              <w:jc w:val="center"/>
              <w:textAlignment w:val="center"/>
              <w:rPr>
                <w:rFonts w:ascii="仿宋" w:hAnsi="仿宋" w:eastAsia="仿宋" w:cs="仿宋"/>
                <w:color w:val="auto"/>
                <w:szCs w:val="24"/>
                <w:highlight w:val="none"/>
              </w:rPr>
            </w:pPr>
            <w:r>
              <w:rPr>
                <w:rFonts w:hint="eastAsia" w:ascii="仿宋" w:hAnsi="仿宋" w:eastAsia="仿宋" w:cs="仿宋"/>
                <w:b/>
                <w:color w:val="auto"/>
                <w:szCs w:val="24"/>
                <w:highlight w:val="none"/>
              </w:rPr>
              <w:t>项目属性与核心产品</w:t>
            </w:r>
          </w:p>
        </w:tc>
        <w:tc>
          <w:tcPr>
            <w:tcW w:w="7412" w:type="dxa"/>
            <w:vAlign w:val="center"/>
          </w:tcPr>
          <w:p w14:paraId="796EE943">
            <w:pPr>
              <w:snapToGrid w:val="0"/>
              <w:spacing w:line="440" w:lineRule="exact"/>
              <w:contextualSpacing/>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sym w:font="Wingdings" w:char="00A8"/>
            </w:r>
            <w:r>
              <w:rPr>
                <w:rFonts w:hint="eastAsia" w:ascii="仿宋" w:hAnsi="仿宋" w:eastAsia="仿宋" w:cs="仿宋"/>
                <w:color w:val="auto"/>
                <w:kern w:val="0"/>
                <w:szCs w:val="24"/>
                <w:highlight w:val="none"/>
              </w:rPr>
              <w:t>货物类，</w:t>
            </w:r>
            <w:r>
              <w:rPr>
                <w:rFonts w:hint="eastAsia" w:ascii="仿宋" w:hAnsi="仿宋" w:eastAsia="仿宋" w:cs="仿宋"/>
                <w:color w:val="auto"/>
                <w:szCs w:val="24"/>
                <w:highlight w:val="none"/>
              </w:rPr>
              <w:t>单一产品或核心产品为：</w:t>
            </w:r>
            <w:r>
              <w:rPr>
                <w:rFonts w:hint="eastAsia" w:ascii="仿宋" w:hAnsi="仿宋" w:eastAsia="仿宋" w:cs="仿宋"/>
                <w:color w:val="auto"/>
                <w:szCs w:val="24"/>
                <w:highlight w:val="none"/>
                <w:u w:val="single"/>
              </w:rPr>
              <w:t xml:space="preserve">      </w:t>
            </w:r>
          </w:p>
          <w:p w14:paraId="59642103">
            <w:pPr>
              <w:snapToGrid w:val="0"/>
              <w:spacing w:line="440" w:lineRule="exact"/>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00FE"/>
            </w:r>
            <w:r>
              <w:rPr>
                <w:rFonts w:hint="eastAsia" w:ascii="仿宋" w:hAnsi="仿宋" w:eastAsia="仿宋" w:cs="仿宋"/>
                <w:color w:val="auto"/>
                <w:kern w:val="0"/>
                <w:szCs w:val="24"/>
                <w:highlight w:val="none"/>
              </w:rPr>
              <w:t>服务类</w:t>
            </w:r>
          </w:p>
          <w:p w14:paraId="6159A811">
            <w:pPr>
              <w:autoSpaceDE w:val="0"/>
              <w:autoSpaceDN w:val="0"/>
              <w:spacing w:line="400" w:lineRule="exact"/>
              <w:textAlignment w:val="center"/>
              <w:rPr>
                <w:rFonts w:ascii="仿宋" w:hAnsi="仿宋" w:eastAsia="仿宋" w:cs="仿宋"/>
                <w:color w:val="auto"/>
                <w:szCs w:val="24"/>
                <w:highlight w:val="none"/>
              </w:rPr>
            </w:pPr>
          </w:p>
        </w:tc>
      </w:tr>
      <w:tr w14:paraId="33A0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732" w:type="dxa"/>
            <w:vAlign w:val="center"/>
          </w:tcPr>
          <w:p w14:paraId="036E1271">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788" w:type="dxa"/>
            <w:vAlign w:val="center"/>
          </w:tcPr>
          <w:p w14:paraId="51A98501">
            <w:pPr>
              <w:autoSpaceDE w:val="0"/>
              <w:autoSpaceDN w:val="0"/>
              <w:snapToGrid w:val="0"/>
              <w:spacing w:line="400" w:lineRule="exact"/>
              <w:jc w:val="center"/>
              <w:textAlignment w:val="bottom"/>
              <w:rPr>
                <w:rFonts w:ascii="仿宋" w:hAnsi="仿宋" w:eastAsia="仿宋" w:cs="仿宋"/>
                <w:bCs/>
                <w:color w:val="auto"/>
                <w:szCs w:val="24"/>
                <w:highlight w:val="none"/>
              </w:rPr>
            </w:pPr>
            <w:r>
              <w:rPr>
                <w:rFonts w:hint="eastAsia" w:ascii="仿宋" w:hAnsi="仿宋" w:eastAsia="仿宋" w:cs="仿宋"/>
                <w:b/>
                <w:color w:val="auto"/>
                <w:szCs w:val="24"/>
                <w:highlight w:val="none"/>
              </w:rPr>
              <w:t>是否允许采购进口产品</w:t>
            </w:r>
          </w:p>
        </w:tc>
        <w:tc>
          <w:tcPr>
            <w:tcW w:w="7412" w:type="dxa"/>
            <w:vAlign w:val="center"/>
          </w:tcPr>
          <w:p w14:paraId="3704671C">
            <w:pPr>
              <w:snapToGrid w:val="0"/>
              <w:spacing w:line="440" w:lineRule="exact"/>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00FE"/>
            </w:r>
            <w:r>
              <w:rPr>
                <w:rFonts w:hint="eastAsia" w:ascii="仿宋" w:hAnsi="仿宋" w:eastAsia="仿宋" w:cs="仿宋"/>
                <w:color w:val="auto"/>
                <w:kern w:val="0"/>
                <w:szCs w:val="24"/>
                <w:highlight w:val="none"/>
              </w:rPr>
              <w:t>本项目不允许采购进口产品。</w:t>
            </w:r>
          </w:p>
          <w:p w14:paraId="5872BEE7">
            <w:pPr>
              <w:autoSpaceDE w:val="0"/>
              <w:autoSpaceDN w:val="0"/>
              <w:snapToGrid w:val="0"/>
              <w:spacing w:line="440" w:lineRule="exact"/>
              <w:textAlignment w:val="bottom"/>
              <w:rPr>
                <w:rFonts w:ascii="仿宋" w:hAnsi="仿宋" w:eastAsia="仿宋" w:cs="仿宋"/>
                <w:color w:val="auto"/>
                <w:szCs w:val="24"/>
                <w:highlight w:val="none"/>
              </w:rPr>
            </w:pPr>
            <w:r>
              <w:rPr>
                <w:rFonts w:hint="eastAsia" w:ascii="仿宋" w:hAnsi="仿宋" w:eastAsia="仿宋" w:cs="仿宋"/>
                <w:color w:val="auto"/>
                <w:kern w:val="0"/>
                <w:szCs w:val="24"/>
                <w:highlight w:val="none"/>
              </w:rPr>
              <w:t>☐可以就</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采购进口产品。</w:t>
            </w:r>
          </w:p>
        </w:tc>
      </w:tr>
      <w:tr w14:paraId="72B5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732" w:type="dxa"/>
            <w:vAlign w:val="center"/>
          </w:tcPr>
          <w:p w14:paraId="3E0A064B">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788" w:type="dxa"/>
            <w:vAlign w:val="center"/>
          </w:tcPr>
          <w:p w14:paraId="13549D3D">
            <w:pPr>
              <w:autoSpaceDE w:val="0"/>
              <w:autoSpaceDN w:val="0"/>
              <w:snapToGrid w:val="0"/>
              <w:spacing w:line="400" w:lineRule="exact"/>
              <w:jc w:val="center"/>
              <w:textAlignment w:val="bottom"/>
              <w:rPr>
                <w:rFonts w:ascii="仿宋" w:hAnsi="仿宋" w:eastAsia="仿宋" w:cs="仿宋"/>
                <w:b/>
                <w:color w:val="auto"/>
                <w:szCs w:val="24"/>
                <w:highlight w:val="none"/>
              </w:rPr>
            </w:pPr>
            <w:r>
              <w:rPr>
                <w:rFonts w:hint="eastAsia" w:ascii="仿宋" w:hAnsi="仿宋" w:eastAsia="仿宋" w:cs="仿宋"/>
                <w:b/>
                <w:color w:val="auto"/>
                <w:szCs w:val="24"/>
                <w:highlight w:val="none"/>
              </w:rPr>
              <w:t>转包</w:t>
            </w:r>
          </w:p>
        </w:tc>
        <w:tc>
          <w:tcPr>
            <w:tcW w:w="7412" w:type="dxa"/>
            <w:vAlign w:val="center"/>
          </w:tcPr>
          <w:p w14:paraId="3442287F">
            <w:pPr>
              <w:autoSpaceDE w:val="0"/>
              <w:autoSpaceDN w:val="0"/>
              <w:snapToGrid w:val="0"/>
              <w:spacing w:line="440" w:lineRule="exact"/>
              <w:textAlignment w:val="bottom"/>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不允许</w:t>
            </w:r>
          </w:p>
        </w:tc>
      </w:tr>
      <w:tr w14:paraId="7576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732" w:type="dxa"/>
            <w:vAlign w:val="center"/>
          </w:tcPr>
          <w:p w14:paraId="0357B609">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788" w:type="dxa"/>
            <w:vAlign w:val="center"/>
          </w:tcPr>
          <w:p w14:paraId="223138BF">
            <w:pPr>
              <w:autoSpaceDE w:val="0"/>
              <w:autoSpaceDN w:val="0"/>
              <w:snapToGrid w:val="0"/>
              <w:spacing w:line="400" w:lineRule="exact"/>
              <w:jc w:val="center"/>
              <w:textAlignment w:val="bottom"/>
              <w:rPr>
                <w:rFonts w:ascii="仿宋" w:hAnsi="仿宋" w:eastAsia="仿宋" w:cs="仿宋"/>
                <w:b/>
                <w:color w:val="auto"/>
                <w:szCs w:val="24"/>
                <w:highlight w:val="none"/>
              </w:rPr>
            </w:pPr>
            <w:r>
              <w:rPr>
                <w:rFonts w:hint="eastAsia" w:ascii="仿宋" w:hAnsi="仿宋" w:eastAsia="仿宋" w:cs="仿宋"/>
                <w:b/>
                <w:color w:val="auto"/>
                <w:szCs w:val="24"/>
                <w:highlight w:val="none"/>
              </w:rPr>
              <w:t>分包</w:t>
            </w:r>
          </w:p>
        </w:tc>
        <w:tc>
          <w:tcPr>
            <w:tcW w:w="7412" w:type="dxa"/>
            <w:vAlign w:val="center"/>
          </w:tcPr>
          <w:p w14:paraId="43FF6D01">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t>☐A</w:t>
            </w:r>
            <w:r>
              <w:rPr>
                <w:rFonts w:hint="eastAsia" w:ascii="仿宋" w:hAnsi="仿宋" w:eastAsia="仿宋" w:cs="仿宋"/>
                <w:color w:val="auto"/>
                <w:szCs w:val="24"/>
                <w:highlight w:val="none"/>
              </w:rPr>
              <w:t>同意将非主体、非关键性的</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工作分包。</w:t>
            </w:r>
          </w:p>
          <w:p w14:paraId="6B862A5B">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00FE"/>
            </w:r>
            <w:r>
              <w:rPr>
                <w:rFonts w:hint="eastAsia" w:ascii="仿宋" w:hAnsi="仿宋" w:eastAsia="仿宋" w:cs="仿宋"/>
                <w:color w:val="auto"/>
                <w:kern w:val="0"/>
                <w:szCs w:val="24"/>
                <w:highlight w:val="none"/>
              </w:rPr>
              <w:t>B</w:t>
            </w:r>
            <w:r>
              <w:rPr>
                <w:rFonts w:hint="eastAsia" w:ascii="仿宋" w:hAnsi="仿宋" w:eastAsia="仿宋" w:cs="仿宋"/>
                <w:color w:val="auto"/>
                <w:szCs w:val="24"/>
                <w:highlight w:val="none"/>
              </w:rPr>
              <w:t>不同意分包。</w:t>
            </w:r>
          </w:p>
        </w:tc>
      </w:tr>
      <w:tr w14:paraId="292C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19EF571F">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788" w:type="dxa"/>
            <w:vAlign w:val="center"/>
          </w:tcPr>
          <w:p w14:paraId="12EBB277">
            <w:pPr>
              <w:snapToGrid w:val="0"/>
              <w:jc w:val="center"/>
              <w:rPr>
                <w:rFonts w:ascii="仿宋" w:hAnsi="仿宋" w:eastAsia="仿宋" w:cs="仿宋"/>
                <w:bCs/>
                <w:color w:val="auto"/>
                <w:szCs w:val="24"/>
                <w:highlight w:val="none"/>
              </w:rPr>
            </w:pPr>
            <w:r>
              <w:rPr>
                <w:rFonts w:hint="eastAsia" w:ascii="仿宋" w:hAnsi="仿宋" w:eastAsia="仿宋" w:cs="仿宋"/>
                <w:b/>
                <w:color w:val="auto"/>
                <w:szCs w:val="24"/>
                <w:highlight w:val="none"/>
              </w:rPr>
              <w:t>开标前答疑会或现场考察</w:t>
            </w:r>
          </w:p>
        </w:tc>
        <w:tc>
          <w:tcPr>
            <w:tcW w:w="7412" w:type="dxa"/>
            <w:vAlign w:val="center"/>
          </w:tcPr>
          <w:p w14:paraId="2E4C7D05">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sym w:font="Wingdings" w:char="F0FE"/>
            </w:r>
            <w:r>
              <w:rPr>
                <w:rFonts w:hint="eastAsia" w:ascii="仿宋" w:hAnsi="仿宋" w:eastAsia="仿宋" w:cs="仿宋"/>
                <w:color w:val="auto"/>
                <w:kern w:val="0"/>
                <w:szCs w:val="24"/>
                <w:highlight w:val="none"/>
              </w:rPr>
              <w:t>A</w:t>
            </w:r>
            <w:r>
              <w:rPr>
                <w:rFonts w:hint="eastAsia" w:ascii="仿宋" w:hAnsi="仿宋" w:eastAsia="仿宋" w:cs="仿宋"/>
                <w:color w:val="auto"/>
                <w:szCs w:val="24"/>
                <w:highlight w:val="none"/>
              </w:rPr>
              <w:t>不组织。</w:t>
            </w:r>
          </w:p>
          <w:p w14:paraId="2BE1286A">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t>☐B组织，</w:t>
            </w:r>
            <w:r>
              <w:rPr>
                <w:rFonts w:hint="eastAsia" w:ascii="仿宋" w:hAnsi="仿宋" w:eastAsia="仿宋" w:cs="仿宋"/>
                <w:color w:val="auto"/>
                <w:szCs w:val="24"/>
                <w:highlight w:val="none"/>
              </w:rPr>
              <w:t>时间：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,地点：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，联系方式：</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tc>
      </w:tr>
      <w:tr w14:paraId="4AF9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3B624B17">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788" w:type="dxa"/>
            <w:vAlign w:val="center"/>
          </w:tcPr>
          <w:p w14:paraId="1BB37412">
            <w:pPr>
              <w:snapToGrid w:val="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样品提供</w:t>
            </w:r>
          </w:p>
        </w:tc>
        <w:tc>
          <w:tcPr>
            <w:tcW w:w="7412" w:type="dxa"/>
            <w:vAlign w:val="center"/>
          </w:tcPr>
          <w:p w14:paraId="322CAF7D">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sym w:font="Wingdings" w:char="00FE"/>
            </w:r>
            <w:r>
              <w:rPr>
                <w:rFonts w:hint="eastAsia" w:ascii="仿宋" w:hAnsi="仿宋" w:eastAsia="仿宋" w:cs="仿宋"/>
                <w:color w:val="auto"/>
                <w:kern w:val="0"/>
                <w:szCs w:val="24"/>
                <w:highlight w:val="none"/>
              </w:rPr>
              <w:t>A</w:t>
            </w:r>
            <w:r>
              <w:rPr>
                <w:rFonts w:hint="eastAsia" w:ascii="仿宋" w:hAnsi="仿宋" w:eastAsia="仿宋" w:cs="仿宋"/>
                <w:color w:val="auto"/>
                <w:szCs w:val="24"/>
                <w:highlight w:val="none"/>
              </w:rPr>
              <w:t>不要求提供。</w:t>
            </w:r>
          </w:p>
          <w:p w14:paraId="2C51E6A7">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00A8"/>
            </w:r>
            <w:r>
              <w:rPr>
                <w:rFonts w:hint="eastAsia" w:ascii="仿宋" w:hAnsi="仿宋" w:eastAsia="仿宋" w:cs="仿宋"/>
                <w:color w:val="auto"/>
                <w:kern w:val="0"/>
                <w:szCs w:val="24"/>
                <w:highlight w:val="none"/>
              </w:rPr>
              <w:t>B要求提供，</w:t>
            </w:r>
          </w:p>
          <w:p w14:paraId="437B81E4">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snapToGrid w:val="0"/>
                <w:color w:val="auto"/>
                <w:kern w:val="28"/>
                <w:szCs w:val="24"/>
                <w:highlight w:val="none"/>
              </w:rPr>
              <w:t>样品：</w:t>
            </w:r>
            <w:r>
              <w:rPr>
                <w:rFonts w:hint="eastAsia" w:ascii="仿宋" w:hAnsi="仿宋" w:eastAsia="仿宋" w:cs="仿宋"/>
                <w:color w:val="auto"/>
                <w:szCs w:val="24"/>
                <w:highlight w:val="none"/>
                <w:u w:val="single"/>
              </w:rPr>
              <w:t xml:space="preserve"> 详见项目招标范围及服务要求 </w:t>
            </w:r>
            <w:r>
              <w:rPr>
                <w:rFonts w:hint="eastAsia" w:ascii="仿宋" w:hAnsi="仿宋" w:eastAsia="仿宋" w:cs="仿宋"/>
                <w:color w:val="auto"/>
                <w:kern w:val="0"/>
                <w:szCs w:val="24"/>
                <w:highlight w:val="none"/>
              </w:rPr>
              <w:t>；</w:t>
            </w:r>
          </w:p>
          <w:p w14:paraId="2D6D1832">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hint="eastAsia" w:ascii="仿宋" w:hAnsi="仿宋" w:eastAsia="仿宋" w:cs="仿宋"/>
                <w:snapToGrid w:val="0"/>
                <w:color w:val="auto"/>
                <w:kern w:val="28"/>
                <w:szCs w:val="24"/>
                <w:highlight w:val="none"/>
              </w:rPr>
              <w:t>样品制作的标准和要求：</w:t>
            </w:r>
            <w:r>
              <w:rPr>
                <w:rFonts w:hint="eastAsia" w:ascii="仿宋" w:hAnsi="仿宋" w:eastAsia="仿宋" w:cs="仿宋"/>
                <w:color w:val="auto"/>
                <w:szCs w:val="24"/>
                <w:highlight w:val="none"/>
                <w:u w:val="single"/>
              </w:rPr>
              <w:t xml:space="preserve"> 详见项目招标范围及服务要求 </w:t>
            </w:r>
            <w:r>
              <w:rPr>
                <w:rFonts w:hint="eastAsia" w:ascii="仿宋" w:hAnsi="仿宋" w:eastAsia="仿宋" w:cs="仿宋"/>
                <w:color w:val="auto"/>
                <w:kern w:val="0"/>
                <w:szCs w:val="24"/>
                <w:highlight w:val="none"/>
              </w:rPr>
              <w:t>；</w:t>
            </w:r>
          </w:p>
          <w:p w14:paraId="1E3C1119">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（3）样品的评审方法以及评审标准</w:t>
            </w:r>
            <w:r>
              <w:rPr>
                <w:rFonts w:hint="eastAsia" w:ascii="仿宋" w:hAnsi="仿宋" w:eastAsia="仿宋" w:cs="仿宋"/>
                <w:snapToGrid w:val="0"/>
                <w:color w:val="auto"/>
                <w:kern w:val="28"/>
                <w:szCs w:val="24"/>
                <w:highlight w:val="none"/>
              </w:rPr>
              <w:t>：详见</w:t>
            </w:r>
            <w:r>
              <w:rPr>
                <w:rFonts w:hint="eastAsia" w:ascii="仿宋" w:hAnsi="仿宋" w:eastAsia="仿宋" w:cs="仿宋"/>
                <w:color w:val="auto"/>
                <w:szCs w:val="24"/>
                <w:highlight w:val="none"/>
                <w:u w:val="single"/>
              </w:rPr>
              <w:t>评标办法</w:t>
            </w:r>
            <w:r>
              <w:rPr>
                <w:rFonts w:hint="eastAsia" w:ascii="仿宋" w:hAnsi="仿宋" w:eastAsia="仿宋" w:cs="仿宋"/>
                <w:color w:val="auto"/>
                <w:kern w:val="0"/>
                <w:szCs w:val="24"/>
                <w:highlight w:val="none"/>
              </w:rPr>
              <w:t>；</w:t>
            </w:r>
          </w:p>
          <w:p w14:paraId="24D263B3">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（4）是否需要随样品提交检测报告：</w:t>
            </w:r>
            <w:r>
              <w:rPr>
                <w:rFonts w:hint="eastAsia" w:ascii="仿宋" w:hAnsi="仿宋" w:eastAsia="仿宋" w:cs="仿宋"/>
                <w:color w:val="auto"/>
                <w:kern w:val="0"/>
                <w:szCs w:val="24"/>
                <w:highlight w:val="none"/>
              </w:rPr>
              <w:sym w:font="Wingdings" w:char="00A8"/>
            </w:r>
            <w:r>
              <w:rPr>
                <w:rFonts w:hint="eastAsia" w:ascii="仿宋" w:hAnsi="仿宋" w:eastAsia="仿宋" w:cs="仿宋"/>
                <w:color w:val="auto"/>
                <w:kern w:val="0"/>
                <w:szCs w:val="24"/>
                <w:highlight w:val="none"/>
              </w:rPr>
              <w:t>否；☐是，检测机构的要求</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；检测内容</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w:t>
            </w:r>
          </w:p>
          <w:p w14:paraId="1B8EAB6D">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szCs w:val="24"/>
                <w:highlight w:val="none"/>
              </w:rPr>
              <w:t>（5）提供样品的时间：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；地点：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。请投标人在上述时间内提供样品并按规定位置安装完毕。超过截止时间的，采购人或采购代理机构将不予接收，并将清场并封闭样品现场。</w:t>
            </w:r>
          </w:p>
          <w:p w14:paraId="0BE49A3A">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szCs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969675">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szCs w:val="24"/>
                <w:highlight w:val="none"/>
              </w:rPr>
              <w:t>（7）制作、运输、安装和保管样品所发生的一切费用由投标人自理。</w:t>
            </w:r>
          </w:p>
        </w:tc>
      </w:tr>
      <w:tr w14:paraId="6929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6FB7CE7B">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788" w:type="dxa"/>
            <w:vAlign w:val="center"/>
          </w:tcPr>
          <w:p w14:paraId="55C8734F">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质疑与澄清</w:t>
            </w:r>
          </w:p>
        </w:tc>
        <w:tc>
          <w:tcPr>
            <w:tcW w:w="7412" w:type="dxa"/>
            <w:vAlign w:val="center"/>
          </w:tcPr>
          <w:p w14:paraId="48A19EB5">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pacing w:val="6"/>
                <w:szCs w:val="24"/>
                <w:highlight w:val="none"/>
              </w:rPr>
              <w:t>投标人如对采购文件有异议应该按财政部第94号令规定的时间</w:t>
            </w:r>
            <w:r>
              <w:rPr>
                <w:rFonts w:hint="eastAsia" w:ascii="仿宋" w:hAnsi="仿宋" w:eastAsia="仿宋" w:cs="仿宋"/>
                <w:color w:val="auto"/>
                <w:szCs w:val="24"/>
                <w:highlight w:val="none"/>
              </w:rPr>
              <w:t>要求一次性提出针对同一采购程序环节的质疑</w:t>
            </w:r>
            <w:r>
              <w:rPr>
                <w:rFonts w:hint="eastAsia" w:ascii="仿宋" w:hAnsi="仿宋" w:eastAsia="仿宋" w:cs="仿宋"/>
                <w:color w:val="auto"/>
                <w:spacing w:val="6"/>
                <w:szCs w:val="24"/>
                <w:highlight w:val="none"/>
              </w:rPr>
              <w:t>，逾期提出的，代理机构不予受理、答复。对未按上述方式获取采购文件的供应商对该文件提出的质疑，采购人或采购代理机构将不予处理。</w:t>
            </w:r>
          </w:p>
        </w:tc>
      </w:tr>
      <w:tr w14:paraId="52A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3A090195">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788" w:type="dxa"/>
            <w:vAlign w:val="center"/>
          </w:tcPr>
          <w:p w14:paraId="547A0419">
            <w:pPr>
              <w:snapToGrid w:val="0"/>
              <w:jc w:val="center"/>
              <w:rPr>
                <w:rFonts w:ascii="仿宋" w:hAnsi="仿宋" w:eastAsia="仿宋" w:cs="仿宋"/>
                <w:color w:val="auto"/>
                <w:szCs w:val="24"/>
                <w:highlight w:val="none"/>
              </w:rPr>
            </w:pPr>
            <w:r>
              <w:rPr>
                <w:rFonts w:hint="eastAsia" w:ascii="仿宋" w:hAnsi="仿宋" w:eastAsia="仿宋" w:cs="仿宋"/>
                <w:b/>
                <w:color w:val="auto"/>
                <w:szCs w:val="24"/>
                <w:highlight w:val="none"/>
              </w:rPr>
              <w:t>方案讲解演示</w:t>
            </w:r>
          </w:p>
        </w:tc>
        <w:tc>
          <w:tcPr>
            <w:tcW w:w="7412" w:type="dxa"/>
            <w:vAlign w:val="center"/>
          </w:tcPr>
          <w:p w14:paraId="304F02A1">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t>☐A</w:t>
            </w:r>
            <w:r>
              <w:rPr>
                <w:rFonts w:hint="eastAsia" w:ascii="仿宋" w:hAnsi="仿宋" w:eastAsia="仿宋" w:cs="仿宋"/>
                <w:color w:val="auto"/>
                <w:szCs w:val="24"/>
                <w:highlight w:val="none"/>
              </w:rPr>
              <w:t>不组织。</w:t>
            </w:r>
          </w:p>
          <w:p w14:paraId="23139410">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F0FE"/>
            </w:r>
            <w:r>
              <w:rPr>
                <w:rFonts w:hint="eastAsia" w:ascii="仿宋" w:hAnsi="仿宋" w:eastAsia="仿宋" w:cs="仿宋"/>
                <w:color w:val="auto"/>
                <w:kern w:val="0"/>
                <w:szCs w:val="24"/>
                <w:highlight w:val="none"/>
              </w:rPr>
              <w:t>B组织。</w:t>
            </w:r>
          </w:p>
          <w:p w14:paraId="098B02C8">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1CD99ED">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（2）方案讲解演示可选择以下其中一种方式：</w:t>
            </w:r>
          </w:p>
          <w:p w14:paraId="5288E254">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r>
              <w:rPr>
                <w:rFonts w:hint="eastAsia" w:ascii="仿宋" w:hAnsi="仿宋" w:eastAsia="仿宋" w:cs="仿宋"/>
                <w:b/>
                <w:bCs/>
                <w:color w:val="auto"/>
                <w:kern w:val="0"/>
                <w:szCs w:val="24"/>
                <w:highlight w:val="none"/>
              </w:rPr>
              <w:t>方式一：</w:t>
            </w:r>
            <w:r>
              <w:rPr>
                <w:rFonts w:hint="eastAsia" w:ascii="仿宋" w:hAnsi="仿宋" w:eastAsia="仿宋" w:cs="仿宋"/>
                <w:color w:val="auto"/>
                <w:kern w:val="0"/>
                <w:szCs w:val="24"/>
                <w:highlight w:val="none"/>
              </w:rPr>
              <w:t>乐采云平台在线讲解演示。乐采云平台在线讲解需投标人根据乐采云平台操作要求做好准备工作，提前完善软硬件配置环境。</w:t>
            </w:r>
          </w:p>
          <w:p w14:paraId="7E57868F">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F0FE"/>
            </w:r>
            <w:r>
              <w:rPr>
                <w:rFonts w:hint="eastAsia" w:ascii="仿宋" w:hAnsi="仿宋" w:eastAsia="仿宋" w:cs="仿宋"/>
                <w:b/>
                <w:bCs/>
                <w:color w:val="auto"/>
                <w:kern w:val="0"/>
                <w:szCs w:val="24"/>
                <w:highlight w:val="none"/>
              </w:rPr>
              <w:t>方式二：</w:t>
            </w:r>
            <w:r>
              <w:rPr>
                <w:rFonts w:hint="eastAsia" w:ascii="仿宋" w:hAnsi="仿宋" w:eastAsia="仿宋" w:cs="仿宋"/>
                <w:color w:val="auto"/>
                <w:kern w:val="0"/>
                <w:szCs w:val="24"/>
                <w:highlight w:val="none"/>
              </w:rPr>
              <w:t>代理机构评标场所现场讲解演示。现场讲解地点为</w:t>
            </w:r>
            <w:r>
              <w:rPr>
                <w:rFonts w:hint="eastAsia" w:ascii="仿宋" w:hAnsi="仿宋" w:eastAsia="仿宋" w:cs="仿宋"/>
                <w:color w:val="auto"/>
                <w:szCs w:val="24"/>
                <w:highlight w:val="none"/>
                <w:u w:val="single"/>
              </w:rPr>
              <w:t xml:space="preserve"> 嵊州市官河南路339号量子芯座11楼1105室 </w:t>
            </w:r>
            <w:r>
              <w:rPr>
                <w:rFonts w:hint="eastAsia" w:ascii="仿宋" w:hAnsi="仿宋" w:eastAsia="仿宋" w:cs="仿宋"/>
                <w:color w:val="auto"/>
                <w:kern w:val="0"/>
                <w:szCs w:val="24"/>
                <w:highlight w:val="none"/>
              </w:rPr>
              <w:t>，讲解演示所用电脑等设备由投标人自备。现场讲解演示人员进场时提供讲解人员名单（加盖公章）及身份证明，否则不得讲解演示。</w:t>
            </w:r>
          </w:p>
          <w:p w14:paraId="7B10EDC8">
            <w:pPr>
              <w:snapToGrid w:val="0"/>
              <w:spacing w:line="360" w:lineRule="auto"/>
              <w:contextualSpacing/>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r>
              <w:rPr>
                <w:rFonts w:hint="eastAsia" w:ascii="仿宋" w:hAnsi="仿宋" w:eastAsia="仿宋" w:cs="仿宋"/>
                <w:b/>
                <w:bCs/>
                <w:color w:val="auto"/>
                <w:kern w:val="0"/>
                <w:szCs w:val="24"/>
                <w:highlight w:val="none"/>
              </w:rPr>
              <w:t>方式三：</w:t>
            </w:r>
            <w:r>
              <w:rPr>
                <w:rFonts w:hint="eastAsia" w:ascii="仿宋" w:hAnsi="仿宋" w:eastAsia="仿宋" w:cs="仿宋"/>
                <w:color w:val="auto"/>
                <w:kern w:val="0"/>
                <w:szCs w:val="24"/>
                <w:highlight w:val="none"/>
              </w:rPr>
              <w:t>采用视频录制方式，用U盘介质储存快递或邮寄至代理机构（公告中列明的地址），视频中演示人应出示身份证。</w:t>
            </w:r>
            <w:r>
              <w:rPr>
                <w:rFonts w:hint="eastAsia" w:ascii="仿宋" w:hAnsi="仿宋" w:eastAsia="仿宋" w:cs="仿宋"/>
                <w:b/>
                <w:bCs/>
                <w:color w:val="auto"/>
                <w:kern w:val="0"/>
                <w:szCs w:val="24"/>
                <w:highlight w:val="none"/>
              </w:rPr>
              <w:t>未派遣投标文件中的</w:t>
            </w:r>
            <w:r>
              <w:rPr>
                <w:rFonts w:hint="eastAsia" w:ascii="仿宋" w:hAnsi="仿宋" w:eastAsia="仿宋" w:cs="仿宋"/>
                <w:b/>
                <w:bCs/>
                <w:color w:val="auto"/>
                <w:kern w:val="0"/>
                <w:szCs w:val="24"/>
                <w:highlight w:val="none"/>
                <w:u w:val="single"/>
              </w:rPr>
              <w:t>项目组人员</w:t>
            </w:r>
            <w:r>
              <w:rPr>
                <w:rFonts w:hint="eastAsia" w:ascii="仿宋" w:hAnsi="仿宋" w:eastAsia="仿宋" w:cs="仿宋"/>
                <w:b/>
                <w:bCs/>
                <w:color w:val="auto"/>
                <w:kern w:val="0"/>
                <w:szCs w:val="24"/>
                <w:highlight w:val="none"/>
              </w:rPr>
              <w:t>进行演示讲解或未提供身份证明的，评分项不得分。</w:t>
            </w:r>
            <w:r>
              <w:rPr>
                <w:rFonts w:hint="eastAsia" w:ascii="仿宋" w:hAnsi="仿宋" w:eastAsia="仿宋" w:cs="仿宋"/>
                <w:color w:val="auto"/>
                <w:kern w:val="0"/>
                <w:szCs w:val="24"/>
                <w:highlight w:val="none"/>
              </w:rPr>
              <w:t>若因U盘损坏或打不开则按视为未提交。</w:t>
            </w:r>
          </w:p>
          <w:p w14:paraId="54409372">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rPr>
              <w:t>☐</w:t>
            </w:r>
            <w:r>
              <w:rPr>
                <w:rFonts w:hint="eastAsia" w:ascii="仿宋" w:hAnsi="仿宋" w:eastAsia="仿宋" w:cs="仿宋"/>
                <w:b/>
                <w:bCs/>
                <w:color w:val="auto"/>
                <w:kern w:val="0"/>
                <w:szCs w:val="24"/>
                <w:highlight w:val="none"/>
              </w:rPr>
              <w:t>方式四：</w:t>
            </w:r>
            <w:r>
              <w:rPr>
                <w:rFonts w:hint="eastAsia" w:ascii="仿宋" w:hAnsi="仿宋" w:eastAsia="仿宋" w:cs="仿宋"/>
                <w:color w:val="auto"/>
                <w:kern w:val="0"/>
                <w:szCs w:val="24"/>
                <w:highlight w:val="none"/>
              </w:rPr>
              <w:t xml:space="preserve">采用现场钉钉直播演示的。开标后，演示人请加钉钉号： </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0B1FBB08">
            <w:pPr>
              <w:snapToGrid w:val="0"/>
              <w:spacing w:line="360" w:lineRule="auto"/>
              <w:contextualSpacing/>
              <w:rPr>
                <w:rFonts w:ascii="仿宋" w:hAnsi="仿宋" w:eastAsia="仿宋" w:cs="仿宋"/>
                <w:color w:val="auto"/>
                <w:spacing w:val="6"/>
                <w:szCs w:val="24"/>
                <w:highlight w:val="none"/>
              </w:rPr>
            </w:pPr>
            <w:r>
              <w:rPr>
                <w:rFonts w:hint="eastAsia" w:ascii="仿宋" w:hAnsi="仿宋" w:eastAsia="仿宋" w:cs="仿宋"/>
                <w:color w:val="auto"/>
                <w:kern w:val="0"/>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0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2" w:type="dxa"/>
            <w:vMerge w:val="restart"/>
            <w:vAlign w:val="center"/>
          </w:tcPr>
          <w:p w14:paraId="5F46FC1F">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788" w:type="dxa"/>
            <w:vMerge w:val="restart"/>
            <w:vAlign w:val="center"/>
          </w:tcPr>
          <w:p w14:paraId="29320858">
            <w:pPr>
              <w:snapToGrid w:val="0"/>
              <w:jc w:val="center"/>
              <w:rPr>
                <w:rFonts w:ascii="仿宋" w:hAnsi="仿宋" w:eastAsia="仿宋" w:cs="仿宋"/>
                <w:color w:val="auto"/>
                <w:szCs w:val="24"/>
                <w:highlight w:val="none"/>
              </w:rPr>
            </w:pPr>
            <w:r>
              <w:rPr>
                <w:rFonts w:hint="eastAsia" w:ascii="仿宋" w:hAnsi="仿宋" w:eastAsia="仿宋" w:cs="仿宋"/>
                <w:b/>
                <w:color w:val="auto"/>
                <w:szCs w:val="24"/>
                <w:highlight w:val="none"/>
              </w:rPr>
              <w:t>投标人应当提供的资格、资信证明文件</w:t>
            </w:r>
          </w:p>
        </w:tc>
        <w:tc>
          <w:tcPr>
            <w:tcW w:w="7412" w:type="dxa"/>
            <w:vAlign w:val="center"/>
          </w:tcPr>
          <w:p w14:paraId="2282DF0F">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szCs w:val="24"/>
                <w:highlight w:val="none"/>
              </w:rPr>
              <w:t>（1）资格证明文件见招标文件第二部分4.2.1</w:t>
            </w:r>
          </w:p>
          <w:p w14:paraId="4DFD26AA">
            <w:pPr>
              <w:snapToGrid w:val="0"/>
              <w:spacing w:line="360" w:lineRule="auto"/>
              <w:contextualSpacing/>
              <w:rPr>
                <w:rFonts w:ascii="仿宋" w:hAnsi="仿宋" w:eastAsia="仿宋" w:cs="仿宋"/>
                <w:color w:val="auto"/>
                <w:szCs w:val="24"/>
                <w:highlight w:val="none"/>
              </w:rPr>
            </w:pPr>
            <w:r>
              <w:rPr>
                <w:rFonts w:hint="eastAsia" w:ascii="仿宋" w:hAnsi="仿宋" w:eastAsia="仿宋" w:cs="仿宋"/>
                <w:color w:val="auto"/>
                <w:kern w:val="0"/>
                <w:szCs w:val="24"/>
                <w:highlight w:val="none"/>
                <w:lang w:val="zh-CN"/>
              </w:rPr>
              <w:t>投标人未提供有效的资格证明文件的，视为投标人不具备采购文件中规定的资格要求，投标无效。</w:t>
            </w:r>
          </w:p>
        </w:tc>
      </w:tr>
      <w:tr w14:paraId="02E5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2" w:type="dxa"/>
            <w:vMerge w:val="continue"/>
            <w:vAlign w:val="center"/>
          </w:tcPr>
          <w:p w14:paraId="69093954">
            <w:pPr>
              <w:snapToGrid w:val="0"/>
              <w:spacing w:line="360" w:lineRule="auto"/>
              <w:contextualSpacing/>
              <w:rPr>
                <w:rFonts w:ascii="仿宋" w:hAnsi="仿宋" w:eastAsia="仿宋" w:cs="仿宋"/>
                <w:color w:val="auto"/>
                <w:szCs w:val="24"/>
                <w:highlight w:val="none"/>
              </w:rPr>
            </w:pPr>
          </w:p>
        </w:tc>
        <w:tc>
          <w:tcPr>
            <w:tcW w:w="1788" w:type="dxa"/>
            <w:vMerge w:val="continue"/>
            <w:vAlign w:val="center"/>
          </w:tcPr>
          <w:p w14:paraId="293CAE59">
            <w:pPr>
              <w:snapToGrid w:val="0"/>
              <w:spacing w:line="360" w:lineRule="auto"/>
              <w:contextualSpacing/>
              <w:rPr>
                <w:rFonts w:ascii="仿宋" w:hAnsi="仿宋" w:eastAsia="仿宋" w:cs="仿宋"/>
                <w:color w:val="auto"/>
                <w:szCs w:val="24"/>
                <w:highlight w:val="none"/>
              </w:rPr>
            </w:pPr>
          </w:p>
        </w:tc>
        <w:tc>
          <w:tcPr>
            <w:tcW w:w="7412" w:type="dxa"/>
            <w:vAlign w:val="center"/>
          </w:tcPr>
          <w:p w14:paraId="2E7643A7">
            <w:pPr>
              <w:snapToGrid w:val="0"/>
              <w:spacing w:line="360" w:lineRule="auto"/>
              <w:contextualSpacing/>
              <w:rPr>
                <w:rFonts w:ascii="仿宋" w:hAnsi="仿宋" w:eastAsia="仿宋" w:cs="仿宋"/>
                <w:color w:val="auto"/>
                <w:kern w:val="0"/>
                <w:szCs w:val="24"/>
                <w:highlight w:val="none"/>
                <w:lang w:val="zh-CN"/>
              </w:rPr>
            </w:pPr>
            <w:r>
              <w:rPr>
                <w:rFonts w:hint="eastAsia" w:ascii="仿宋" w:hAnsi="仿宋" w:eastAsia="仿宋" w:cs="仿宋"/>
                <w:color w:val="auto"/>
                <w:szCs w:val="24"/>
                <w:highlight w:val="none"/>
              </w:rPr>
              <w:t>（2）商务技术文件：根据采购文件第四部分评标标准提供。</w:t>
            </w:r>
          </w:p>
        </w:tc>
      </w:tr>
      <w:tr w14:paraId="40DE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3F9D24ED">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788" w:type="dxa"/>
            <w:vAlign w:val="center"/>
          </w:tcPr>
          <w:p w14:paraId="7087A1C8">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投标文件编制</w:t>
            </w:r>
          </w:p>
        </w:tc>
        <w:tc>
          <w:tcPr>
            <w:tcW w:w="7412" w:type="dxa"/>
            <w:vAlign w:val="center"/>
          </w:tcPr>
          <w:p w14:paraId="5E8F020F">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供应商应先安装“乐采云电子交易客户端”，并按照本采购文件和“采购云平台”的要求，通过“乐采云电子交易客户端”编制并加密投标文件。</w:t>
            </w:r>
          </w:p>
        </w:tc>
      </w:tr>
      <w:tr w14:paraId="7118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3D63F8A9">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788" w:type="dxa"/>
            <w:vAlign w:val="center"/>
          </w:tcPr>
          <w:p w14:paraId="019A2C4D">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签字或盖章要求</w:t>
            </w:r>
          </w:p>
        </w:tc>
        <w:tc>
          <w:tcPr>
            <w:tcW w:w="7412" w:type="dxa"/>
            <w:vAlign w:val="center"/>
          </w:tcPr>
          <w:p w14:paraId="14CE2ED7">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（1）电子投标文件必须有电子签章；</w:t>
            </w:r>
          </w:p>
          <w:p w14:paraId="1F0AE9CF">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（2）开标后，相关信息记录确认、澄清说明、回复等内容，电子签章、或者签章后上传相关文件，均认可；</w:t>
            </w:r>
          </w:p>
          <w:p w14:paraId="66C7B7E6">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（3）乐采云系统平台有新的操作流程的，按其规定。</w:t>
            </w:r>
          </w:p>
        </w:tc>
      </w:tr>
      <w:tr w14:paraId="20F5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0E54C70A">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788" w:type="dxa"/>
            <w:vAlign w:val="center"/>
          </w:tcPr>
          <w:p w14:paraId="46A33F98">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投标文件的形式</w:t>
            </w:r>
          </w:p>
        </w:tc>
        <w:tc>
          <w:tcPr>
            <w:tcW w:w="7412" w:type="dxa"/>
            <w:vAlign w:val="center"/>
          </w:tcPr>
          <w:p w14:paraId="3829FC2B">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电子投标文件（包括“电子加密投标文件”和“备份投标文件”，在投标文件编制完成后同时生成）；</w:t>
            </w:r>
          </w:p>
          <w:p w14:paraId="41BE5434">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（1）“电子加密投标文件”是指通过“乐采云电子交易客户端”完成投标文件编制后生成并加密的数据电文形式的投标文件。</w:t>
            </w:r>
          </w:p>
          <w:p w14:paraId="3F25BD2E">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（2）“备份投标文件”是指与“电子加密投标文件”同时生成的以介质（U盘）存储的数据电文形式的电子文件（备份标书），其他方式编制的备份投标文件视为无效备份投标文件。</w:t>
            </w:r>
          </w:p>
        </w:tc>
      </w:tr>
      <w:tr w14:paraId="550D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43A48A15">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788" w:type="dxa"/>
            <w:vAlign w:val="center"/>
          </w:tcPr>
          <w:p w14:paraId="4F0FAFC5">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投标文件份数</w:t>
            </w:r>
          </w:p>
        </w:tc>
        <w:tc>
          <w:tcPr>
            <w:tcW w:w="7412" w:type="dxa"/>
            <w:vAlign w:val="center"/>
          </w:tcPr>
          <w:p w14:paraId="12F11A1B">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（1）一份电子加密标书（后缀格式为.jmbs），一份备份标书文件（后缀格式为.bfbs）。</w:t>
            </w:r>
          </w:p>
          <w:p w14:paraId="77433A92">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每份电子投标文件应包括资格证明文件、资信技术文件及报价文件三部分内容。</w:t>
            </w:r>
          </w:p>
          <w:p w14:paraId="3652A99F">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（2）如中标，中标人需根据采购人要求提供纸质投标文件至少二份。采购人有权要求中标人提供原版技术资料。</w:t>
            </w:r>
          </w:p>
          <w:p w14:paraId="03CA0F51">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（3）“备份投标文件”：密封包装后（邮寄形式）投标截止时间前递交一份（邮寄地址：嵊州市官河南路339号量子芯座11楼1105室，裘老师收）</w:t>
            </w:r>
          </w:p>
        </w:tc>
      </w:tr>
      <w:tr w14:paraId="608E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3BB21E3F">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788" w:type="dxa"/>
            <w:vAlign w:val="center"/>
          </w:tcPr>
          <w:p w14:paraId="50A943D0">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电子加密投标文件的上传、递交</w:t>
            </w:r>
          </w:p>
        </w:tc>
        <w:tc>
          <w:tcPr>
            <w:tcW w:w="7412" w:type="dxa"/>
            <w:vAlign w:val="center"/>
          </w:tcPr>
          <w:p w14:paraId="1B34A0BF">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（1）投标供应商应在投标截止时间前将“电子加密投标文件”成功上传递交至“采购云平台”，否则投标无效。</w:t>
            </w:r>
          </w:p>
          <w:p w14:paraId="121F858E">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（2）“电子加密投标文件”成功上传递交后，供应商可自行打印投标文件接收回执。</w:t>
            </w:r>
          </w:p>
        </w:tc>
      </w:tr>
      <w:tr w14:paraId="078D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07396CDB">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788" w:type="dxa"/>
            <w:vAlign w:val="center"/>
          </w:tcPr>
          <w:p w14:paraId="1282D29E">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备份投标文件的密封包装、递交</w:t>
            </w:r>
          </w:p>
        </w:tc>
        <w:tc>
          <w:tcPr>
            <w:tcW w:w="7412" w:type="dxa"/>
            <w:vAlign w:val="center"/>
          </w:tcPr>
          <w:p w14:paraId="0B3DDD8D">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（1）投标供应商在“采购云平台”完成“电子加密投标文件”的上传递交后，还可以（邮寄形式）在投标截止时间前递交以介质（U盘）存储的“备份投标文件”（一份）；</w:t>
            </w:r>
          </w:p>
          <w:p w14:paraId="486CA027">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（2）“备份投标文件”应当密封包装，并在包装上标注投标项目名称、投标人名称并加盖公章。没有密封包装或者逾期邮寄送达至投标地点的“备份投标文件”将不予接收；</w:t>
            </w:r>
          </w:p>
          <w:p w14:paraId="3E625330">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通过“采购云平台”成功上传递交的“电子加密投标文件”已按时解密的，“备份投标文件”自动失效。投标截止时间前，投标供应商仅递交了“备份投标文件”而未将“电子加密投标文件”成功上传至“采购云平台”的，投标无效。</w:t>
            </w:r>
          </w:p>
        </w:tc>
      </w:tr>
      <w:tr w14:paraId="4E99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vAlign w:val="center"/>
          </w:tcPr>
          <w:p w14:paraId="0DA1BDC9">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16</w:t>
            </w:r>
          </w:p>
        </w:tc>
        <w:tc>
          <w:tcPr>
            <w:tcW w:w="1788" w:type="dxa"/>
            <w:vAlign w:val="center"/>
          </w:tcPr>
          <w:p w14:paraId="5DDB6CCA">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电子加密投标文件的解密和异常情况处理</w:t>
            </w:r>
          </w:p>
        </w:tc>
        <w:tc>
          <w:tcPr>
            <w:tcW w:w="7412" w:type="dxa"/>
            <w:vAlign w:val="center"/>
          </w:tcPr>
          <w:p w14:paraId="63B40AC7">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（1）开标后，采购组织机构将向各投标供应商发出“电子加密投标文件”的解密通知，各投标供应商代表应当在接到解密通知后30分钟内自行完成“电子加密投标文件”的在线解密。</w:t>
            </w:r>
          </w:p>
          <w:p w14:paraId="4F14E58C">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14:paraId="59E0E619">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（3）投标截止时间前，投标供应商仅递交了“备份投标文件”而未将电子加密投标文件上传至“采购云平台”的，投标无效。</w:t>
            </w:r>
          </w:p>
        </w:tc>
      </w:tr>
      <w:tr w14:paraId="61CA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2" w:type="dxa"/>
            <w:vAlign w:val="center"/>
          </w:tcPr>
          <w:p w14:paraId="2BE6E882">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17</w:t>
            </w:r>
          </w:p>
        </w:tc>
        <w:tc>
          <w:tcPr>
            <w:tcW w:w="1788" w:type="dxa"/>
            <w:vAlign w:val="center"/>
          </w:tcPr>
          <w:p w14:paraId="2267964E">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投标有效期</w:t>
            </w:r>
          </w:p>
        </w:tc>
        <w:tc>
          <w:tcPr>
            <w:tcW w:w="7412" w:type="dxa"/>
            <w:vAlign w:val="center"/>
          </w:tcPr>
          <w:p w14:paraId="2919EF1F">
            <w:pPr>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投标截止时间后90天。</w:t>
            </w:r>
          </w:p>
        </w:tc>
      </w:tr>
      <w:tr w14:paraId="5C13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32" w:type="dxa"/>
            <w:vAlign w:val="center"/>
          </w:tcPr>
          <w:p w14:paraId="543A7152">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1788" w:type="dxa"/>
            <w:vAlign w:val="center"/>
          </w:tcPr>
          <w:p w14:paraId="0C477A76">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特别说明</w:t>
            </w:r>
          </w:p>
        </w:tc>
        <w:tc>
          <w:tcPr>
            <w:tcW w:w="7412" w:type="dxa"/>
            <w:vAlign w:val="center"/>
          </w:tcPr>
          <w:p w14:paraId="6184BFB8">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056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2" w:type="dxa"/>
            <w:vAlign w:val="center"/>
          </w:tcPr>
          <w:p w14:paraId="52C3BFA6">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19</w:t>
            </w:r>
          </w:p>
        </w:tc>
        <w:tc>
          <w:tcPr>
            <w:tcW w:w="1788" w:type="dxa"/>
            <w:vAlign w:val="center"/>
          </w:tcPr>
          <w:p w14:paraId="4F980C24">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有关费用</w:t>
            </w:r>
          </w:p>
        </w:tc>
        <w:tc>
          <w:tcPr>
            <w:tcW w:w="7412" w:type="dxa"/>
            <w:vAlign w:val="center"/>
          </w:tcPr>
          <w:p w14:paraId="304EB4E0">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中标人须向招标代理机构支付以下费用，根据本项目的中标金额，采用差额定率累进法进行计算，具体费率按如下标准规定下浮40%执行，其他费用按实结算，请在投标报价中自行考虑：</w:t>
            </w:r>
          </w:p>
          <w:p w14:paraId="337B4800">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ascii="仿宋" w:hAnsi="仿宋" w:eastAsia="仿宋" w:cs="仿宋"/>
                <w:color w:val="auto"/>
                <w:szCs w:val="24"/>
                <w:highlight w:val="none"/>
              </w:rPr>
              <w:t>①</w:t>
            </w:r>
            <w:r>
              <w:rPr>
                <w:rFonts w:hint="eastAsia" w:ascii="仿宋" w:hAnsi="仿宋" w:eastAsia="仿宋" w:cs="仿宋"/>
                <w:color w:val="auto"/>
                <w:szCs w:val="24"/>
                <w:highlight w:val="none"/>
              </w:rPr>
              <w:t>成交金额100万元以下的部分，服务类采购费率1.50%；</w:t>
            </w:r>
          </w:p>
          <w:p w14:paraId="780A29B1">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ascii="仿宋" w:hAnsi="仿宋" w:eastAsia="仿宋" w:cs="仿宋"/>
                <w:color w:val="auto"/>
                <w:szCs w:val="24"/>
                <w:highlight w:val="none"/>
              </w:rPr>
              <w:t>②</w:t>
            </w:r>
            <w:r>
              <w:rPr>
                <w:rFonts w:hint="eastAsia" w:ascii="仿宋" w:hAnsi="仿宋" w:eastAsia="仿宋" w:cs="仿宋"/>
                <w:color w:val="auto"/>
                <w:szCs w:val="24"/>
                <w:highlight w:val="none"/>
              </w:rPr>
              <w:t>成交金额100万元至500万元的部分，服务类采购费率0.80%；</w:t>
            </w:r>
          </w:p>
          <w:p w14:paraId="4F889AEC">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③成交金额500万元至1000万元的部分，服务类采购费率0.45%；</w:t>
            </w:r>
          </w:p>
          <w:p w14:paraId="7A8057AF">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④成交金额1000万元至5000万元的部分，服务类采购费率0.25%。</w:t>
            </w:r>
          </w:p>
          <w:p w14:paraId="40DE0EB0">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⑤中标服务费的交纳方式：</w:t>
            </w:r>
          </w:p>
          <w:p w14:paraId="02211029">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用银行支票、汇票、电汇、现金等付款方式直接交纳中标服务费。</w:t>
            </w:r>
          </w:p>
          <w:p w14:paraId="7D562927">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公司名称：绍兴市文汇项目管理有限公司</w:t>
            </w:r>
          </w:p>
          <w:p w14:paraId="5456E299">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开户行：工商银行嵊州支行</w:t>
            </w:r>
          </w:p>
          <w:p w14:paraId="1EF699D7">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账  号：1211026009200820957</w:t>
            </w:r>
          </w:p>
        </w:tc>
      </w:tr>
      <w:tr w14:paraId="2D9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32" w:type="dxa"/>
            <w:vAlign w:val="center"/>
          </w:tcPr>
          <w:p w14:paraId="1492A327">
            <w:pPr>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20</w:t>
            </w:r>
          </w:p>
        </w:tc>
        <w:tc>
          <w:tcPr>
            <w:tcW w:w="1788" w:type="dxa"/>
            <w:vAlign w:val="center"/>
          </w:tcPr>
          <w:p w14:paraId="307CFB2B">
            <w:pPr>
              <w:pStyle w:val="293"/>
              <w:widowControl w:val="0"/>
              <w:autoSpaceDE w:val="0"/>
              <w:autoSpaceDN w:val="0"/>
              <w:snapToGrid w:val="0"/>
              <w:spacing w:line="400" w:lineRule="exact"/>
              <w:jc w:val="center"/>
              <w:textAlignment w:val="bottom"/>
              <w:rPr>
                <w:rFonts w:ascii="仿宋" w:hAnsi="仿宋" w:eastAsia="仿宋" w:cs="仿宋"/>
                <w:color w:val="auto"/>
                <w:szCs w:val="24"/>
                <w:highlight w:val="none"/>
              </w:rPr>
            </w:pPr>
            <w:r>
              <w:rPr>
                <w:rFonts w:hint="eastAsia" w:ascii="仿宋" w:hAnsi="仿宋" w:eastAsia="仿宋" w:cs="仿宋"/>
                <w:b/>
                <w:bCs/>
                <w:color w:val="auto"/>
                <w:szCs w:val="24"/>
                <w:highlight w:val="none"/>
              </w:rPr>
              <w:t>解释</w:t>
            </w:r>
          </w:p>
        </w:tc>
        <w:tc>
          <w:tcPr>
            <w:tcW w:w="7412" w:type="dxa"/>
            <w:vAlign w:val="center"/>
          </w:tcPr>
          <w:p w14:paraId="2EBDF145">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凡涉及本采购文件的解释权属于招标采购人及采购机构。</w:t>
            </w:r>
          </w:p>
        </w:tc>
      </w:tr>
      <w:tr w14:paraId="38E1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32" w:type="dxa"/>
            <w:gridSpan w:val="3"/>
            <w:vAlign w:val="center"/>
          </w:tcPr>
          <w:p w14:paraId="035A6074">
            <w:pPr>
              <w:pStyle w:val="293"/>
              <w:widowControl w:val="0"/>
              <w:autoSpaceDE w:val="0"/>
              <w:autoSpaceDN w:val="0"/>
              <w:snapToGrid w:val="0"/>
              <w:spacing w:line="400" w:lineRule="exact"/>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注：中标人放弃中标资格或因质疑、投诉被取消预中标资格或不能履行合同的，本项目组织重新招标。</w:t>
            </w:r>
          </w:p>
        </w:tc>
      </w:tr>
    </w:tbl>
    <w:p w14:paraId="6740D6F8">
      <w:pPr>
        <w:pStyle w:val="5"/>
        <w:spacing w:line="460" w:lineRule="exact"/>
        <w:jc w:val="center"/>
        <w:rPr>
          <w:rFonts w:ascii="仿宋" w:hAnsi="仿宋" w:eastAsia="仿宋" w:cs="仿宋"/>
          <w:color w:val="auto"/>
          <w:szCs w:val="32"/>
          <w:highlight w:val="none"/>
        </w:rPr>
      </w:pPr>
      <w:bookmarkStart w:id="63" w:name="_Toc54978890"/>
      <w:r>
        <w:rPr>
          <w:rFonts w:hint="eastAsia" w:ascii="仿宋" w:hAnsi="仿宋" w:eastAsia="仿宋" w:cs="仿宋"/>
          <w:color w:val="auto"/>
          <w:szCs w:val="32"/>
          <w:highlight w:val="none"/>
        </w:rPr>
        <w:t>二、</w:t>
      </w:r>
      <w:bookmarkEnd w:id="60"/>
      <w:bookmarkEnd w:id="61"/>
      <w:r>
        <w:rPr>
          <w:rFonts w:hint="eastAsia" w:ascii="仿宋" w:hAnsi="仿宋" w:eastAsia="仿宋" w:cs="仿宋"/>
          <w:color w:val="auto"/>
          <w:szCs w:val="32"/>
          <w:highlight w:val="none"/>
        </w:rPr>
        <w:t>总则</w:t>
      </w:r>
      <w:bookmarkEnd w:id="62"/>
      <w:bookmarkEnd w:id="63"/>
    </w:p>
    <w:p w14:paraId="6E8CC642">
      <w:pPr>
        <w:spacing w:line="460" w:lineRule="exact"/>
        <w:ind w:firstLine="420"/>
        <w:rPr>
          <w:rFonts w:ascii="仿宋" w:hAnsi="仿宋" w:eastAsia="仿宋" w:cs="仿宋"/>
          <w:color w:val="auto"/>
          <w:szCs w:val="24"/>
          <w:highlight w:val="none"/>
        </w:rPr>
      </w:pPr>
      <w:bookmarkStart w:id="64" w:name="_Toc82338240"/>
      <w:bookmarkStart w:id="65" w:name="_Toc82873323"/>
      <w:r>
        <w:rPr>
          <w:rFonts w:hint="eastAsia" w:ascii="仿宋" w:hAnsi="仿宋" w:eastAsia="仿宋" w:cs="仿宋"/>
          <w:color w:val="auto"/>
          <w:szCs w:val="24"/>
          <w:highlight w:val="none"/>
        </w:rPr>
        <w:t>1、实施依据</w:t>
      </w:r>
    </w:p>
    <w:p w14:paraId="14E388A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本次招标工作是按照</w:t>
      </w:r>
      <w:r>
        <w:rPr>
          <w:rFonts w:hint="eastAsia" w:ascii="仿宋" w:hAnsi="仿宋" w:eastAsia="仿宋" w:cs="仿宋"/>
          <w:color w:val="auto"/>
          <w:kern w:val="0"/>
          <w:szCs w:val="24"/>
          <w:highlight w:val="none"/>
        </w:rPr>
        <w:t>《嵊州市市属国有企业货物和服务采购管理办法》</w:t>
      </w:r>
      <w:r>
        <w:rPr>
          <w:rFonts w:hint="eastAsia" w:ascii="仿宋" w:hAnsi="仿宋" w:eastAsia="仿宋" w:cs="仿宋"/>
          <w:color w:val="auto"/>
          <w:szCs w:val="24"/>
          <w:highlight w:val="none"/>
        </w:rPr>
        <w:t>等招标投标有关法律、法规、规章、文件的规定组织和实施。</w:t>
      </w:r>
    </w:p>
    <w:p w14:paraId="305E479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2、定义</w:t>
      </w:r>
    </w:p>
    <w:p w14:paraId="5E096FE6">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2.1 “采购人”系指采购公告中载明的本项目的采购人。</w:t>
      </w:r>
    </w:p>
    <w:p w14:paraId="67343769">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2.2 “采购机构”系指采购公告中载明的本项目的采购代理机构。</w:t>
      </w:r>
    </w:p>
    <w:p w14:paraId="5D9B42BB">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2.3 “投标人”系指是指响应招标、参加投标竞争的法人、其他组织或者自然人。</w:t>
      </w:r>
    </w:p>
    <w:p w14:paraId="50BC0EBC">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2.4 “负责人”系指法人企业的法定负责人，或其他组织为法律、行政法规规定代表单位行使职权的主要负责人，或自然人本人。</w:t>
      </w:r>
    </w:p>
    <w:p w14:paraId="2AAB711F">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附件）。</w:t>
      </w:r>
    </w:p>
    <w:p w14:paraId="69D3E576">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2.6“电子交易平台”是指本项目采购活动所依托的采购云平台（https://www.lecaiyun.com/）。</w:t>
      </w:r>
    </w:p>
    <w:p w14:paraId="794715D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2.7 “★”系指实质性指标要求条款，“▲”系指主要性能指标要求条款。如任意一条打“★”的指标出现负偏离视为实质性不响应招标文件要求，作无效投标处理；如任意一条打“▲”的指标出现负偏离按评分标准规定处理。</w:t>
      </w:r>
    </w:p>
    <w:p w14:paraId="43B73B62">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rPr>
        <w:sym w:font="Wingdings" w:char="F0FE"/>
      </w:r>
      <w:r>
        <w:rPr>
          <w:rFonts w:hint="eastAsia" w:ascii="仿宋" w:hAnsi="仿宋" w:eastAsia="仿宋" w:cs="仿宋"/>
          <w:color w:val="auto"/>
          <w:szCs w:val="24"/>
          <w:highlight w:val="none"/>
        </w:rPr>
        <w:t>” 系指适用本项目的要求，“☐” 系指不适用本项目的要求。</w:t>
      </w:r>
    </w:p>
    <w:p w14:paraId="5F1C1E3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投标联合体：是指两个以上供应商组成联合体，以一个投标人的身份参加投标；</w:t>
      </w:r>
    </w:p>
    <w:p w14:paraId="7188A51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货物和服务：是指按采购文件要求的货物和服务；</w:t>
      </w:r>
    </w:p>
    <w:p w14:paraId="02AD438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3、投标人须知前附表规定接受联合体投标的，应遵守以下规定：</w:t>
      </w:r>
      <w:r>
        <w:rPr>
          <w:rFonts w:hint="eastAsia" w:ascii="仿宋" w:hAnsi="仿宋" w:eastAsia="仿宋" w:cs="仿宋"/>
          <w:b/>
          <w:color w:val="auto"/>
          <w:szCs w:val="24"/>
          <w:highlight w:val="none"/>
        </w:rPr>
        <w:t>（本项目不适用）</w:t>
      </w:r>
    </w:p>
    <w:p w14:paraId="567B501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3.1两个以上供应商可以组成一个联合体，以一个供应商的身份共同参加投标；</w:t>
      </w:r>
    </w:p>
    <w:p w14:paraId="43B8C25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3.2组成联合体参加本项目投标的，投标人须在购买采购文件时向采购代理机构作出相关书面说明，否则投标无效；</w:t>
      </w:r>
    </w:p>
    <w:p w14:paraId="469858F2">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3.3以联合体形式参加本项目投标的，联合体各方中至少应当有一方符合采购人规定的特定条件，但同一专业的投标人组成的联合体以资质最低的一方为依据；</w:t>
      </w:r>
    </w:p>
    <w:p w14:paraId="05F91D1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5C0465E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3.5联合体各方签订投标联合协议后，不得再以自己名义单独在本项目中参加投标，也不得组成新的联合体参加本项目投标；</w:t>
      </w:r>
    </w:p>
    <w:p w14:paraId="2313D9F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3.6联合体各方共同与采购人签订采购合同，就采购合同约定的事项对采购人承担连带责任；</w:t>
      </w:r>
    </w:p>
    <w:p w14:paraId="1C2D48A8">
      <w:pPr>
        <w:spacing w:line="460" w:lineRule="exact"/>
        <w:ind w:firstLine="420"/>
        <w:rPr>
          <w:rFonts w:ascii="仿宋" w:hAnsi="仿宋" w:eastAsia="仿宋" w:cs="仿宋"/>
          <w:bCs/>
          <w:color w:val="auto"/>
          <w:szCs w:val="24"/>
          <w:highlight w:val="none"/>
        </w:rPr>
      </w:pPr>
      <w:r>
        <w:rPr>
          <w:rFonts w:hint="eastAsia" w:ascii="仿宋" w:hAnsi="仿宋" w:eastAsia="仿宋" w:cs="仿宋"/>
          <w:bCs/>
          <w:color w:val="auto"/>
          <w:szCs w:val="24"/>
          <w:highlight w:val="none"/>
        </w:rPr>
        <w:t>4、费用</w:t>
      </w:r>
    </w:p>
    <w:p w14:paraId="310165F0">
      <w:pPr>
        <w:spacing w:line="460" w:lineRule="exact"/>
        <w:ind w:firstLine="420"/>
        <w:rPr>
          <w:rFonts w:ascii="仿宋" w:hAnsi="仿宋" w:eastAsia="仿宋" w:cs="仿宋"/>
          <w:b/>
          <w:bCs/>
          <w:color w:val="auto"/>
          <w:szCs w:val="24"/>
          <w:highlight w:val="none"/>
        </w:rPr>
      </w:pPr>
      <w:r>
        <w:rPr>
          <w:rFonts w:hint="eastAsia" w:ascii="仿宋" w:hAnsi="仿宋" w:eastAsia="仿宋" w:cs="仿宋"/>
          <w:color w:val="auto"/>
          <w:szCs w:val="24"/>
          <w:highlight w:val="none"/>
        </w:rPr>
        <w:t>无论招投标过程中的做法和结果如何，投标人自行承担招投标活动中所发生的全部费用。</w:t>
      </w:r>
    </w:p>
    <w:p w14:paraId="6C30DAB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5、保密</w:t>
      </w:r>
    </w:p>
    <w:p w14:paraId="37A69AF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参与招标投标活动的各方应对采购文件和投标文件中的商业和技术等秘密保密，违者应对此造成的后果承担法律责任。</w:t>
      </w:r>
    </w:p>
    <w:p w14:paraId="1283435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6、语言文字</w:t>
      </w:r>
    </w:p>
    <w:p w14:paraId="1EEE7C0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除专用术语外，与招标投标有关的语言使用中文。专用术语应附有中文注释。</w:t>
      </w:r>
    </w:p>
    <w:p w14:paraId="5984956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7、计量单位</w:t>
      </w:r>
    </w:p>
    <w:p w14:paraId="1C74686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所有计量均采用中华人民共和国法定计量单位。</w:t>
      </w:r>
    </w:p>
    <w:p w14:paraId="39C5422F">
      <w:pPr>
        <w:spacing w:line="460" w:lineRule="exact"/>
        <w:ind w:firstLine="42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8、踏勘现场</w:t>
      </w:r>
      <w:r>
        <w:rPr>
          <w:rFonts w:hint="eastAsia" w:ascii="仿宋" w:hAnsi="仿宋" w:eastAsia="仿宋" w:cs="仿宋"/>
          <w:b/>
          <w:bCs/>
          <w:color w:val="auto"/>
          <w:szCs w:val="24"/>
          <w:highlight w:val="none"/>
          <w:lang w:eastAsia="zh-CN"/>
        </w:rPr>
        <w:t>（本项目不组织）</w:t>
      </w:r>
    </w:p>
    <w:p w14:paraId="2536332F">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8.1投标人须知前附表规定组织踏勘现场的，采购人按投标人须知前附表规定的时间、地点组织投标人踏勘项目现场。</w:t>
      </w:r>
    </w:p>
    <w:p w14:paraId="1417743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8.2投标人踏勘现场发生的费用自理。</w:t>
      </w:r>
    </w:p>
    <w:p w14:paraId="03CD2F3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8.3除采购人的原因外，投标人自行负责在踏勘现场中所发生的人员伤亡和财产损失。</w:t>
      </w:r>
    </w:p>
    <w:p w14:paraId="0DBEAA1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8.4采购人在踏勘现场中介绍的场地和相关的周边环境情况，供投标人在编制投标文件时参考，采购人不对投标人据此作出的判断和决策负责。</w:t>
      </w:r>
    </w:p>
    <w:p w14:paraId="11085630">
      <w:pPr>
        <w:spacing w:line="460" w:lineRule="exact"/>
        <w:ind w:firstLine="42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9、答疑会</w:t>
      </w:r>
      <w:r>
        <w:rPr>
          <w:rFonts w:hint="eastAsia" w:ascii="仿宋" w:hAnsi="仿宋" w:eastAsia="仿宋" w:cs="仿宋"/>
          <w:b/>
          <w:bCs/>
          <w:color w:val="auto"/>
          <w:szCs w:val="24"/>
          <w:highlight w:val="none"/>
          <w:lang w:eastAsia="zh-CN"/>
        </w:rPr>
        <w:t>（本项目不组织）</w:t>
      </w:r>
    </w:p>
    <w:p w14:paraId="13B879B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9.1投标人须知前附表规定召开答疑会的，采购人按投标人须知前附表规定的时间和地点召开答疑会，澄清投标人提出的问题。</w:t>
      </w:r>
    </w:p>
    <w:p w14:paraId="6F748EC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9.2投标人应在答疑会时间的前一天，以书面形式将提出的问题送达采购人，以便采购人在会议期间澄清。</w:t>
      </w:r>
    </w:p>
    <w:p w14:paraId="0E7D401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9.3答疑会后，采购人按本章3.4款规定对投标人所提问题进行澄清答复。</w:t>
      </w:r>
    </w:p>
    <w:p w14:paraId="74F008C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10、转包与分包</w:t>
      </w:r>
    </w:p>
    <w:p w14:paraId="275CBE3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本项目不允许转包及分包。</w:t>
      </w:r>
    </w:p>
    <w:p w14:paraId="4D3E6AB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11、偏离</w:t>
      </w:r>
    </w:p>
    <w:p w14:paraId="28EF7D5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投标文件应完全响应采购文件规定的实质性内容和条件。</w:t>
      </w:r>
    </w:p>
    <w:p w14:paraId="7293A26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12、其他</w:t>
      </w:r>
    </w:p>
    <w:p w14:paraId="08DAFEC8">
      <w:pPr>
        <w:spacing w:line="460" w:lineRule="exact"/>
        <w:ind w:firstLine="420"/>
        <w:rPr>
          <w:rFonts w:ascii="仿宋" w:hAnsi="仿宋" w:eastAsia="仿宋" w:cs="仿宋"/>
          <w:b/>
          <w:bCs/>
          <w:color w:val="auto"/>
          <w:szCs w:val="24"/>
          <w:highlight w:val="none"/>
          <w:u w:val="single"/>
        </w:rPr>
      </w:pPr>
      <w:r>
        <w:rPr>
          <w:rFonts w:hint="eastAsia" w:ascii="仿宋" w:hAnsi="仿宋" w:eastAsia="仿宋" w:cs="仿宋"/>
          <w:color w:val="auto"/>
          <w:szCs w:val="24"/>
          <w:highlight w:val="none"/>
        </w:rPr>
        <w:t>12.1★</w:t>
      </w:r>
      <w:r>
        <w:rPr>
          <w:rFonts w:hint="eastAsia" w:ascii="仿宋" w:hAnsi="仿宋" w:eastAsia="仿宋" w:cs="仿宋"/>
          <w:b/>
          <w:bCs/>
          <w:color w:val="auto"/>
          <w:szCs w:val="24"/>
          <w:highlight w:val="none"/>
          <w:u w:val="single"/>
        </w:rPr>
        <w:t>投标人对所投标项内的产品或服务必须按采购数量全部进行报价。</w:t>
      </w:r>
    </w:p>
    <w:p w14:paraId="5DDA6BAA">
      <w:pPr>
        <w:spacing w:line="460" w:lineRule="exact"/>
        <w:ind w:firstLine="420"/>
        <w:rPr>
          <w:rFonts w:ascii="仿宋" w:hAnsi="仿宋" w:eastAsia="仿宋" w:cs="仿宋"/>
          <w:b/>
          <w:color w:val="auto"/>
          <w:szCs w:val="24"/>
          <w:highlight w:val="none"/>
          <w:u w:val="single"/>
        </w:rPr>
      </w:pPr>
      <w:r>
        <w:rPr>
          <w:rFonts w:hint="eastAsia" w:ascii="仿宋" w:hAnsi="仿宋" w:eastAsia="仿宋" w:cs="仿宋"/>
          <w:color w:val="auto"/>
          <w:szCs w:val="24"/>
          <w:highlight w:val="none"/>
        </w:rPr>
        <w:t>12.2</w:t>
      </w:r>
      <w:r>
        <w:rPr>
          <w:rFonts w:hint="eastAsia" w:ascii="仿宋" w:hAnsi="仿宋" w:eastAsia="仿宋" w:cs="仿宋"/>
          <w:b/>
          <w:color w:val="auto"/>
          <w:szCs w:val="24"/>
          <w:highlight w:val="none"/>
          <w:u w:val="single"/>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751C05">
      <w:pPr>
        <w:spacing w:line="460" w:lineRule="exact"/>
        <w:ind w:firstLine="420"/>
        <w:rPr>
          <w:rFonts w:ascii="仿宋" w:hAnsi="仿宋" w:eastAsia="仿宋" w:cs="仿宋"/>
          <w:color w:val="auto"/>
          <w:szCs w:val="24"/>
          <w:highlight w:val="none"/>
        </w:rPr>
      </w:pPr>
      <w:r>
        <w:rPr>
          <w:rFonts w:hint="eastAsia" w:ascii="仿宋" w:hAnsi="仿宋" w:eastAsia="仿宋" w:cs="仿宋"/>
          <w:bCs/>
          <w:color w:val="auto"/>
          <w:szCs w:val="24"/>
          <w:highlight w:val="none"/>
        </w:rPr>
        <w:t>12.3</w:t>
      </w:r>
      <w:r>
        <w:rPr>
          <w:rFonts w:hint="eastAsia" w:ascii="仿宋" w:hAnsi="仿宋" w:eastAsia="仿宋" w:cs="仿宋"/>
          <w:color w:val="auto"/>
          <w:szCs w:val="24"/>
          <w:highlight w:val="none"/>
        </w:rPr>
        <w:t>投标截止后投标人不足3家或者通过资格审查或符合性审查的投标人不足3家的，除采购任务取消情形外，按照以下方式处理：采购文件存在不合理条款或者招标程序不符合规定的，采购人、采购代理机构改正后依法重新招标；</w:t>
      </w:r>
    </w:p>
    <w:p w14:paraId="2CD0E9B4">
      <w:pPr>
        <w:spacing w:line="460" w:lineRule="exact"/>
        <w:ind w:firstLine="420"/>
        <w:rPr>
          <w:rFonts w:ascii="仿宋" w:hAnsi="仿宋" w:eastAsia="仿宋" w:cs="仿宋"/>
          <w:bCs/>
          <w:color w:val="auto"/>
          <w:szCs w:val="24"/>
          <w:highlight w:val="none"/>
        </w:rPr>
      </w:pPr>
      <w:r>
        <w:rPr>
          <w:rFonts w:hint="eastAsia" w:ascii="仿宋" w:hAnsi="仿宋" w:eastAsia="仿宋" w:cs="仿宋"/>
          <w:color w:val="auto"/>
          <w:szCs w:val="24"/>
          <w:highlight w:val="none"/>
        </w:rPr>
        <w:t>12.4</w:t>
      </w:r>
      <w:r>
        <w:rPr>
          <w:rFonts w:hint="eastAsia" w:ascii="仿宋" w:hAnsi="仿宋" w:eastAsia="仿宋" w:cs="仿宋"/>
          <w:bCs/>
          <w:color w:val="auto"/>
          <w:szCs w:val="24"/>
          <w:highlight w:val="none"/>
        </w:rPr>
        <w:t>采购文件中如有描述歧义或前后不一致的地方，评标委员会有权按公平、合理的原则进行评判，但对同一条款的评判适用于每个投标人。</w:t>
      </w:r>
    </w:p>
    <w:p w14:paraId="3BE9027F">
      <w:pPr>
        <w:spacing w:line="460" w:lineRule="exact"/>
        <w:ind w:firstLine="420"/>
        <w:rPr>
          <w:rFonts w:ascii="仿宋" w:hAnsi="仿宋" w:eastAsia="仿宋" w:cs="仿宋"/>
          <w:color w:val="auto"/>
          <w:szCs w:val="24"/>
          <w:highlight w:val="none"/>
        </w:rPr>
      </w:pPr>
      <w:r>
        <w:rPr>
          <w:rFonts w:hint="eastAsia" w:ascii="仿宋" w:hAnsi="仿宋" w:eastAsia="仿宋" w:cs="仿宋"/>
          <w:bCs/>
          <w:color w:val="auto"/>
          <w:szCs w:val="24"/>
          <w:highlight w:val="none"/>
        </w:rPr>
        <w:t>12.5投标文件的响应内容必须真实、明确、准确。否则，评标委员会将对其作出不利的评审。</w:t>
      </w:r>
    </w:p>
    <w:p w14:paraId="40535C7B">
      <w:pPr>
        <w:spacing w:line="460" w:lineRule="exact"/>
        <w:ind w:firstLine="420"/>
        <w:rPr>
          <w:rFonts w:ascii="仿宋" w:hAnsi="仿宋" w:eastAsia="仿宋" w:cs="仿宋"/>
          <w:color w:val="auto"/>
          <w:szCs w:val="24"/>
          <w:highlight w:val="none"/>
        </w:rPr>
      </w:pPr>
      <w:r>
        <w:rPr>
          <w:rFonts w:hint="eastAsia" w:ascii="仿宋" w:hAnsi="仿宋" w:eastAsia="仿宋" w:cs="仿宋"/>
          <w:bCs/>
          <w:color w:val="auto"/>
          <w:szCs w:val="24"/>
          <w:highlight w:val="none"/>
        </w:rPr>
        <w:t>12.6乙</w:t>
      </w:r>
      <w:r>
        <w:rPr>
          <w:rFonts w:hint="eastAsia" w:ascii="仿宋" w:hAnsi="仿宋" w:eastAsia="仿宋" w:cs="仿宋"/>
          <w:color w:val="auto"/>
          <w:szCs w:val="24"/>
          <w:highlight w:val="none"/>
        </w:rPr>
        <w:t>方为履行合同引起的相关人员的差旅费、食宿费以及其它不可预知的费用由乙方自理。合同实施过程中，须与甲、丙双方积极配合。</w:t>
      </w:r>
    </w:p>
    <w:p w14:paraId="51F84E8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12.7项目资金已落实。</w:t>
      </w:r>
    </w:p>
    <w:p w14:paraId="6CAEABDB">
      <w:pPr>
        <w:pStyle w:val="5"/>
        <w:spacing w:line="460" w:lineRule="exact"/>
        <w:ind w:firstLine="420"/>
        <w:jc w:val="center"/>
        <w:rPr>
          <w:rFonts w:ascii="仿宋" w:hAnsi="仿宋" w:eastAsia="仿宋" w:cs="仿宋"/>
          <w:color w:val="auto"/>
          <w:szCs w:val="32"/>
          <w:highlight w:val="none"/>
        </w:rPr>
      </w:pPr>
      <w:bookmarkStart w:id="66" w:name="_Toc35261572"/>
      <w:bookmarkStart w:id="67" w:name="_Toc54978891"/>
      <w:r>
        <w:rPr>
          <w:rFonts w:hint="eastAsia" w:ascii="仿宋" w:hAnsi="仿宋" w:eastAsia="仿宋" w:cs="仿宋"/>
          <w:color w:val="auto"/>
          <w:szCs w:val="32"/>
          <w:highlight w:val="none"/>
        </w:rPr>
        <w:t>三、采购文件</w:t>
      </w:r>
      <w:bookmarkEnd w:id="64"/>
      <w:bookmarkEnd w:id="65"/>
      <w:bookmarkEnd w:id="66"/>
      <w:bookmarkEnd w:id="67"/>
      <w:r>
        <w:rPr>
          <w:rFonts w:hint="eastAsia" w:ascii="仿宋" w:hAnsi="仿宋" w:eastAsia="仿宋" w:cs="仿宋"/>
          <w:color w:val="auto"/>
          <w:szCs w:val="32"/>
          <w:highlight w:val="none"/>
        </w:rPr>
        <w:t>的构成、澄清、修改</w:t>
      </w:r>
    </w:p>
    <w:p w14:paraId="37D8CEB2">
      <w:pPr>
        <w:spacing w:line="460" w:lineRule="exact"/>
        <w:ind w:firstLine="420"/>
        <w:rPr>
          <w:rFonts w:ascii="仿宋" w:hAnsi="仿宋" w:eastAsia="仿宋" w:cs="仿宋"/>
          <w:b/>
          <w:bCs/>
          <w:color w:val="auto"/>
          <w:szCs w:val="24"/>
          <w:highlight w:val="none"/>
        </w:rPr>
      </w:pPr>
      <w:bookmarkStart w:id="68" w:name="_Toc82338241"/>
      <w:bookmarkStart w:id="69" w:name="_Toc82873324"/>
      <w:r>
        <w:rPr>
          <w:rFonts w:hint="eastAsia" w:ascii="仿宋" w:hAnsi="仿宋" w:eastAsia="仿宋" w:cs="仿宋"/>
          <w:b/>
          <w:bCs/>
          <w:color w:val="auto"/>
          <w:szCs w:val="24"/>
          <w:highlight w:val="none"/>
        </w:rPr>
        <w:t>3.1、采购文件组成</w:t>
      </w:r>
    </w:p>
    <w:p w14:paraId="2D52829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3.1.1第一章 招标公告</w:t>
      </w:r>
    </w:p>
    <w:p w14:paraId="305496D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3.1.2第二章 投标须知</w:t>
      </w:r>
    </w:p>
    <w:p w14:paraId="3785283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3.1.3第三章 项目招标范围及技术要求</w:t>
      </w:r>
    </w:p>
    <w:p w14:paraId="358CF09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3.1.4第四章 评标办法</w:t>
      </w:r>
    </w:p>
    <w:p w14:paraId="30CEF95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3.1.5第五章 拟签订合同范本</w:t>
      </w:r>
    </w:p>
    <w:p w14:paraId="16D2810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3.1.6第六章 投标文件格式及其附件格式</w:t>
      </w:r>
    </w:p>
    <w:p w14:paraId="4DFBF7F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3.1.7补充文件（如有）</w:t>
      </w:r>
    </w:p>
    <w:p w14:paraId="70AB37A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3.1.8与本项目有关的</w:t>
      </w:r>
      <w:r>
        <w:rPr>
          <w:rFonts w:hint="eastAsia" w:ascii="仿宋" w:hAnsi="仿宋" w:eastAsia="仿宋" w:cs="仿宋"/>
          <w:bCs/>
          <w:color w:val="auto"/>
          <w:szCs w:val="24"/>
          <w:highlight w:val="none"/>
        </w:rPr>
        <w:t>澄清或者修改的内容为采购文件的组成部分</w:t>
      </w:r>
      <w:r>
        <w:rPr>
          <w:rFonts w:hint="eastAsia" w:ascii="仿宋" w:hAnsi="仿宋" w:eastAsia="仿宋" w:cs="仿宋"/>
          <w:color w:val="auto"/>
          <w:szCs w:val="24"/>
          <w:highlight w:val="none"/>
        </w:rPr>
        <w:t>。</w:t>
      </w:r>
    </w:p>
    <w:p w14:paraId="36D281D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采购文件的解释权归采购组织机构所有。</w:t>
      </w:r>
    </w:p>
    <w:p w14:paraId="5CD62822">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3.2、采购文件的澄清</w:t>
      </w:r>
    </w:p>
    <w:p w14:paraId="509E0C8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3.2.1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14:paraId="363E0DB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3.2.2 投标人要求解释或澄清的问题应以书面形式送达，并加盖公章、写明日期。</w:t>
      </w:r>
    </w:p>
    <w:p w14:paraId="510361F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3.2.3 所有要求解释或澄清的问题都予以解答，答疑内容与补充内容以更正（澄清）公告形式告知所有购买采购文件的投标人。</w:t>
      </w:r>
    </w:p>
    <w:p w14:paraId="33ACB067">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3.3、采购文件的修改</w:t>
      </w:r>
    </w:p>
    <w:p w14:paraId="45F540F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3.3.1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152A361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3.3.2 采购文件的修改将以更正（澄清）公告通知所有购买采购文件的投标人，并对其具有约束力。投标人应及时关注浙江政府采购网、嵊州市公共资源交易网上该项目的公告信息。</w:t>
      </w:r>
    </w:p>
    <w:p w14:paraId="5367CCB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3.3.3 在更正（澄清）公告发布后，如果投标人认为编制投标文件的时间不充分的，必须在公告发布之日的24小时内通知采购人和采购代理机构。否则，视同投标人有充足时间编制投标文件。</w:t>
      </w:r>
    </w:p>
    <w:p w14:paraId="0B20C6C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3.3.4采购文件澄清、答复、修改、补充的内容为采购文件的组成部分。当采购文件与采购文件的答复、澄清、修改、补充通知就同一内容的表述不一致时，以最后发出的更正（澄清）公告为准。</w:t>
      </w:r>
    </w:p>
    <w:p w14:paraId="36A0A0BE">
      <w:pPr>
        <w:snapToGrid w:val="0"/>
        <w:spacing w:line="440" w:lineRule="exact"/>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3.3.5采购文件的澄清、答复、修改或补充都应该通过本代理机构以法定形式发布，除此以外的发布不属于采购文件的组成部分。</w:t>
      </w:r>
    </w:p>
    <w:bookmarkEnd w:id="68"/>
    <w:bookmarkEnd w:id="69"/>
    <w:p w14:paraId="3266223F">
      <w:pPr>
        <w:pStyle w:val="5"/>
        <w:spacing w:line="460" w:lineRule="exact"/>
        <w:jc w:val="center"/>
        <w:rPr>
          <w:rFonts w:ascii="仿宋" w:hAnsi="仿宋" w:eastAsia="仿宋" w:cs="仿宋"/>
          <w:color w:val="auto"/>
          <w:szCs w:val="32"/>
          <w:highlight w:val="none"/>
        </w:rPr>
      </w:pPr>
      <w:bookmarkStart w:id="70" w:name="_Toc35261573"/>
      <w:bookmarkStart w:id="71" w:name="_Toc450482498"/>
      <w:bookmarkStart w:id="72" w:name="_Toc54978892"/>
      <w:bookmarkStart w:id="73" w:name="_Toc82873325"/>
      <w:bookmarkStart w:id="74" w:name="_Toc82338242"/>
      <w:r>
        <w:rPr>
          <w:rFonts w:hint="eastAsia" w:ascii="仿宋" w:hAnsi="仿宋" w:eastAsia="仿宋" w:cs="仿宋"/>
          <w:color w:val="auto"/>
          <w:szCs w:val="32"/>
          <w:highlight w:val="none"/>
        </w:rPr>
        <w:t>四、投标文件</w:t>
      </w:r>
      <w:bookmarkEnd w:id="70"/>
      <w:bookmarkEnd w:id="71"/>
      <w:bookmarkEnd w:id="72"/>
    </w:p>
    <w:p w14:paraId="3248522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4.1、投标文件</w:t>
      </w:r>
    </w:p>
    <w:p w14:paraId="03D55A9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4.1.1 投标人应仔细阅读采购文件规定的所有内容，以保证能全面准确理解采购文件，并按照采购文件要求，详细编制投标文件，投标文件内容必须针对本次招标响应。</w:t>
      </w:r>
    </w:p>
    <w:p w14:paraId="3BE3C416">
      <w:pPr>
        <w:spacing w:line="460" w:lineRule="exact"/>
        <w:ind w:firstLine="420"/>
        <w:rPr>
          <w:rFonts w:ascii="仿宋" w:hAnsi="仿宋" w:eastAsia="仿宋" w:cs="仿宋"/>
          <w:bCs/>
          <w:color w:val="auto"/>
          <w:szCs w:val="24"/>
          <w:highlight w:val="none"/>
        </w:rPr>
      </w:pPr>
      <w:r>
        <w:rPr>
          <w:rFonts w:hint="eastAsia" w:ascii="仿宋" w:hAnsi="仿宋" w:eastAsia="仿宋" w:cs="仿宋"/>
          <w:color w:val="auto"/>
          <w:szCs w:val="24"/>
          <w:highlight w:val="none"/>
        </w:rPr>
        <w:t>4.1.2投标人必须按采购文件的要求提供相关资料，并对采购文件中提出的所有内容要求给予实质性响应，须保证投标文件的准确、真实、明确</w:t>
      </w:r>
      <w:r>
        <w:rPr>
          <w:rFonts w:hint="eastAsia" w:ascii="仿宋" w:hAnsi="仿宋" w:eastAsia="仿宋" w:cs="仿宋"/>
          <w:bCs/>
          <w:color w:val="auto"/>
          <w:szCs w:val="24"/>
          <w:highlight w:val="none"/>
        </w:rPr>
        <w:t>。投标文件响应内容对采购文件要求如有偏离均应填写偏离表，如不填写，采购人有权视作投标文件完全响应采购文件要求。</w:t>
      </w:r>
    </w:p>
    <w:p w14:paraId="4B9F59E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4.2、投标文件组成</w:t>
      </w:r>
    </w:p>
    <w:p w14:paraId="6F7C4947">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4.2.1资格证明文件</w:t>
      </w:r>
    </w:p>
    <w:p w14:paraId="5CA7B6E6">
      <w:pPr>
        <w:widowControl/>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zh-CN"/>
        </w:rPr>
        <w:t>提供</w:t>
      </w: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val="zh-CN"/>
        </w:rPr>
        <w:t>营业执照</w:t>
      </w:r>
      <w:r>
        <w:rPr>
          <w:rFonts w:hint="eastAsia" w:ascii="仿宋" w:hAnsi="仿宋" w:eastAsia="仿宋" w:cs="仿宋"/>
          <w:color w:val="auto"/>
          <w:szCs w:val="24"/>
          <w:highlight w:val="none"/>
        </w:rPr>
        <w:t>扫描</w:t>
      </w:r>
      <w:r>
        <w:rPr>
          <w:rFonts w:hint="eastAsia" w:ascii="仿宋" w:hAnsi="仿宋" w:eastAsia="仿宋" w:cs="仿宋"/>
          <w:color w:val="auto"/>
          <w:szCs w:val="24"/>
          <w:highlight w:val="none"/>
          <w:lang w:val="zh-CN"/>
        </w:rPr>
        <w:t>件；</w:t>
      </w:r>
    </w:p>
    <w:p w14:paraId="0EF1B1F7">
      <w:pPr>
        <w:spacing w:line="460" w:lineRule="exact"/>
        <w:ind w:firstLine="420"/>
        <w:rPr>
          <w:rFonts w:ascii="仿宋" w:hAnsi="仿宋" w:eastAsia="仿宋" w:cs="仿宋"/>
          <w:color w:val="auto"/>
          <w:spacing w:val="6"/>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）符合参加政企采购活动应当具备的一般条件的承诺函</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16581785">
      <w:pPr>
        <w:spacing w:line="460" w:lineRule="exact"/>
        <w:ind w:firstLine="420"/>
        <w:rPr>
          <w:rFonts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color w:val="auto"/>
          <w:szCs w:val="24"/>
          <w:highlight w:val="none"/>
        </w:rPr>
        <w:t>本项目的特定资格要求（如有）；</w:t>
      </w:r>
    </w:p>
    <w:p w14:paraId="211F0E46">
      <w:pPr>
        <w:spacing w:line="460" w:lineRule="exact"/>
        <w:ind w:firstLine="420"/>
        <w:rPr>
          <w:rFonts w:ascii="仿宋" w:hAnsi="仿宋" w:eastAsia="仿宋" w:cs="仿宋"/>
          <w:bCs/>
          <w:color w:val="auto"/>
          <w:szCs w:val="24"/>
          <w:highlight w:val="none"/>
        </w:rPr>
      </w:pPr>
      <w:r>
        <w:rPr>
          <w:rFonts w:hint="eastAsia" w:ascii="仿宋" w:hAnsi="仿宋" w:eastAsia="仿宋" w:cs="仿宋"/>
          <w:bCs/>
          <w:color w:val="auto"/>
          <w:szCs w:val="24"/>
          <w:highlight w:val="none"/>
        </w:rPr>
        <w:t>4）投标文件解密后半小时内提供《政企采购活动现场确认声明书》，发送至邮箱984537027@qq.com。</w:t>
      </w:r>
    </w:p>
    <w:p w14:paraId="6FB08181">
      <w:pPr>
        <w:spacing w:line="460" w:lineRule="exact"/>
        <w:ind w:firstLine="420"/>
        <w:rPr>
          <w:rFonts w:ascii="仿宋" w:hAnsi="仿宋" w:eastAsia="仿宋" w:cs="仿宋"/>
          <w:bCs/>
          <w:color w:val="auto"/>
          <w:szCs w:val="24"/>
          <w:highlight w:val="none"/>
        </w:rPr>
      </w:pPr>
      <w:r>
        <w:rPr>
          <w:rFonts w:hint="eastAsia" w:ascii="仿宋" w:hAnsi="仿宋" w:eastAsia="仿宋" w:cs="仿宋"/>
          <w:b/>
          <w:color w:val="auto"/>
          <w:szCs w:val="24"/>
          <w:highlight w:val="none"/>
        </w:rPr>
        <w:t>4.2.2商务技术文件</w:t>
      </w:r>
    </w:p>
    <w:p w14:paraId="014FD617">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1）评分索引表；</w:t>
      </w:r>
    </w:p>
    <w:p w14:paraId="24B1B80E">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2）营业执照扫描件；</w:t>
      </w:r>
    </w:p>
    <w:p w14:paraId="59A6F234">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3）投标函；</w:t>
      </w:r>
    </w:p>
    <w:p w14:paraId="08BEE07C">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4）法定代表人及其授权代表身份证；法定代表人身份证明书；</w:t>
      </w:r>
    </w:p>
    <w:p w14:paraId="108C96F3">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5）商务技术偏离表；</w:t>
      </w:r>
    </w:p>
    <w:p w14:paraId="5EF95786">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6）主要业绩证明；</w:t>
      </w:r>
    </w:p>
    <w:p w14:paraId="005E7596">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）项目小组人员名单；</w:t>
      </w:r>
    </w:p>
    <w:p w14:paraId="5E47C753">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8</w:t>
      </w:r>
      <w:r>
        <w:rPr>
          <w:rFonts w:hint="eastAsia" w:ascii="仿宋" w:hAnsi="仿宋" w:eastAsia="仿宋" w:cs="仿宋"/>
          <w:color w:val="auto"/>
          <w:szCs w:val="24"/>
          <w:highlight w:val="none"/>
          <w:lang w:val="zh-CN"/>
        </w:rPr>
        <w:t>）设备配置清单；</w:t>
      </w:r>
    </w:p>
    <w:p w14:paraId="390261B9">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9</w:t>
      </w:r>
      <w:r>
        <w:rPr>
          <w:rFonts w:hint="eastAsia" w:ascii="仿宋" w:hAnsi="仿宋" w:eastAsia="仿宋" w:cs="仿宋"/>
          <w:color w:val="auto"/>
          <w:szCs w:val="24"/>
          <w:highlight w:val="none"/>
          <w:lang w:val="zh-CN"/>
        </w:rPr>
        <w:t>）评标标准相应的商务技术资料；</w:t>
      </w:r>
    </w:p>
    <w:p w14:paraId="02AEF542">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10）投标</w:t>
      </w:r>
      <w:r>
        <w:rPr>
          <w:rFonts w:hint="eastAsia" w:ascii="仿宋" w:hAnsi="仿宋" w:eastAsia="仿宋" w:cs="仿宋"/>
          <w:color w:val="auto"/>
          <w:szCs w:val="24"/>
          <w:highlight w:val="none"/>
          <w:lang w:val="zh-CN"/>
        </w:rPr>
        <w:t>供应商廉洁自律承诺书；</w:t>
      </w:r>
    </w:p>
    <w:p w14:paraId="7CF48E33">
      <w:pPr>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11）</w:t>
      </w:r>
      <w:r>
        <w:rPr>
          <w:rFonts w:hint="eastAsia" w:ascii="仿宋" w:hAnsi="仿宋" w:eastAsia="仿宋" w:cs="仿宋"/>
          <w:color w:val="auto"/>
          <w:szCs w:val="24"/>
          <w:highlight w:val="none"/>
          <w:lang w:val="zh-CN"/>
        </w:rPr>
        <w:t>供应商认为需要的其他商务技术文件或说明。</w:t>
      </w:r>
    </w:p>
    <w:p w14:paraId="262C2261">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4.2.3报价文件</w:t>
      </w:r>
    </w:p>
    <w:p w14:paraId="44590A14">
      <w:pPr>
        <w:tabs>
          <w:tab w:val="left" w:pos="399"/>
        </w:tabs>
        <w:spacing w:line="460" w:lineRule="exact"/>
        <w:ind w:firstLine="420"/>
        <w:rPr>
          <w:rFonts w:ascii="仿宋" w:hAnsi="仿宋" w:eastAsia="仿宋" w:cs="仿宋"/>
          <w:color w:val="auto"/>
          <w:szCs w:val="24"/>
          <w:highlight w:val="none"/>
          <w:lang w:val="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zh-CN"/>
        </w:rPr>
        <w:t>开标一览表（</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57389CA0">
      <w:pPr>
        <w:tabs>
          <w:tab w:val="left" w:pos="399"/>
        </w:tabs>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2）投标报价明细表；</w:t>
      </w:r>
    </w:p>
    <w:p w14:paraId="73EB2DE6">
      <w:pPr>
        <w:tabs>
          <w:tab w:val="left" w:pos="399"/>
        </w:tabs>
        <w:spacing w:line="460" w:lineRule="exact"/>
        <w:ind w:firstLine="420"/>
        <w:rPr>
          <w:rFonts w:ascii="仿宋" w:hAnsi="仿宋" w:eastAsia="仿宋" w:cs="仿宋"/>
          <w:b/>
          <w:bCs/>
          <w:color w:val="auto"/>
          <w:szCs w:val="24"/>
          <w:highlight w:val="none"/>
        </w:rPr>
      </w:pPr>
      <w:r>
        <w:rPr>
          <w:rFonts w:hint="eastAsia" w:ascii="仿宋" w:hAnsi="仿宋" w:eastAsia="仿宋" w:cs="仿宋"/>
          <w:color w:val="auto"/>
          <w:szCs w:val="24"/>
          <w:highlight w:val="none"/>
        </w:rPr>
        <w:t>3）投标人针对报价需要说明的其他文件和说明，格式自拟。</w:t>
      </w:r>
    </w:p>
    <w:p w14:paraId="7B64DFD8">
      <w:pPr>
        <w:tabs>
          <w:tab w:val="left" w:pos="399"/>
        </w:tabs>
        <w:spacing w:line="460" w:lineRule="exact"/>
        <w:ind w:firstLine="420"/>
        <w:rPr>
          <w:rFonts w:ascii="仿宋" w:hAnsi="仿宋" w:eastAsia="仿宋" w:cs="仿宋"/>
          <w:color w:val="auto"/>
          <w:szCs w:val="24"/>
          <w:highlight w:val="none"/>
        </w:rPr>
      </w:pPr>
      <w:r>
        <w:rPr>
          <w:rFonts w:hint="eastAsia" w:ascii="仿宋" w:hAnsi="仿宋" w:eastAsia="仿宋" w:cs="仿宋"/>
          <w:b/>
          <w:bCs/>
          <w:color w:val="auto"/>
          <w:szCs w:val="24"/>
          <w:highlight w:val="none"/>
        </w:rPr>
        <w:t>4.2.4投标时提供的人员、业绩、荣誉、资质、项目案例等，必须为投标人本身所具有。</w:t>
      </w:r>
    </w:p>
    <w:p w14:paraId="14B8CD4F">
      <w:pPr>
        <w:spacing w:line="460" w:lineRule="exact"/>
        <w:ind w:firstLine="482" w:firstLineChars="200"/>
        <w:rPr>
          <w:rFonts w:ascii="仿宋" w:hAnsi="仿宋" w:eastAsia="仿宋" w:cs="仿宋"/>
          <w:b/>
          <w:color w:val="auto"/>
          <w:szCs w:val="24"/>
          <w:highlight w:val="none"/>
        </w:rPr>
      </w:pPr>
      <w:r>
        <w:rPr>
          <w:rFonts w:hint="eastAsia" w:ascii="仿宋" w:hAnsi="仿宋" w:eastAsia="仿宋" w:cs="仿宋"/>
          <w:b/>
          <w:bCs/>
          <w:color w:val="auto"/>
          <w:szCs w:val="24"/>
          <w:highlight w:val="none"/>
        </w:rPr>
        <w:t>4.2.5注意事项：</w:t>
      </w:r>
      <w:r>
        <w:rPr>
          <w:rFonts w:hint="eastAsia" w:ascii="仿宋" w:hAnsi="仿宋" w:eastAsia="仿宋" w:cs="仿宋"/>
          <w:b/>
          <w:color w:val="auto"/>
          <w:szCs w:val="24"/>
          <w:highlight w:val="none"/>
        </w:rPr>
        <w:t>投标文件含有采购人不能接受的附加条件的，投标无效；</w:t>
      </w:r>
    </w:p>
    <w:p w14:paraId="3411188F">
      <w:pPr>
        <w:spacing w:line="460" w:lineRule="exact"/>
        <w:ind w:firstLine="482" w:firstLineChars="200"/>
        <w:rPr>
          <w:rFonts w:ascii="仿宋" w:hAnsi="仿宋" w:eastAsia="仿宋" w:cs="仿宋"/>
          <w:b/>
          <w:bCs/>
          <w:color w:val="auto"/>
          <w:szCs w:val="24"/>
          <w:highlight w:val="none"/>
        </w:rPr>
      </w:pPr>
      <w:r>
        <w:rPr>
          <w:rFonts w:hint="eastAsia" w:ascii="仿宋" w:hAnsi="仿宋" w:eastAsia="仿宋" w:cs="仿宋"/>
          <w:b/>
          <w:color w:val="auto"/>
          <w:szCs w:val="24"/>
          <w:highlight w:val="none"/>
        </w:rPr>
        <w:t>4.2.6投标人提供虚假材料投标的，投标无效。</w:t>
      </w:r>
    </w:p>
    <w:p w14:paraId="4F5DC0EB">
      <w:pPr>
        <w:spacing w:line="46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4.3、投标文件的编制</w:t>
      </w:r>
    </w:p>
    <w:p w14:paraId="52DB1C15">
      <w:pPr>
        <w:spacing w:line="460" w:lineRule="exact"/>
        <w:ind w:firstLine="482" w:firstLineChars="200"/>
        <w:rPr>
          <w:rFonts w:ascii="仿宋" w:hAnsi="仿宋" w:eastAsia="仿宋" w:cs="仿宋"/>
          <w:color w:val="auto"/>
          <w:szCs w:val="24"/>
          <w:highlight w:val="none"/>
        </w:rPr>
      </w:pPr>
      <w:r>
        <w:rPr>
          <w:rFonts w:hint="eastAsia" w:ascii="仿宋" w:hAnsi="仿宋" w:eastAsia="仿宋" w:cs="仿宋"/>
          <w:b/>
          <w:bCs/>
          <w:color w:val="auto"/>
          <w:kern w:val="0"/>
          <w:szCs w:val="24"/>
          <w:highlight w:val="none"/>
        </w:rPr>
        <w:t>4.3.1</w:t>
      </w:r>
      <w:r>
        <w:rPr>
          <w:rFonts w:hint="eastAsia" w:ascii="仿宋" w:hAnsi="仿宋" w:eastAsia="仿宋" w:cs="仿宋"/>
          <w:b/>
          <w:bCs/>
          <w:color w:val="auto"/>
          <w:kern w:val="0"/>
          <w:szCs w:val="24"/>
          <w:highlight w:val="none"/>
          <w:lang w:val="zh-CN"/>
        </w:rPr>
        <w:t>投标文件分为资格</w:t>
      </w:r>
      <w:r>
        <w:rPr>
          <w:rFonts w:hint="eastAsia" w:ascii="仿宋" w:hAnsi="仿宋" w:eastAsia="仿宋" w:cs="仿宋"/>
          <w:b/>
          <w:bCs/>
          <w:color w:val="auto"/>
          <w:kern w:val="0"/>
          <w:szCs w:val="24"/>
          <w:highlight w:val="none"/>
        </w:rPr>
        <w:t>证明</w:t>
      </w:r>
      <w:r>
        <w:rPr>
          <w:rFonts w:hint="eastAsia" w:ascii="仿宋" w:hAnsi="仿宋" w:eastAsia="仿宋" w:cs="仿宋"/>
          <w:b/>
          <w:bCs/>
          <w:color w:val="auto"/>
          <w:kern w:val="0"/>
          <w:szCs w:val="24"/>
          <w:highlight w:val="none"/>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09C6AE3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4.3.2本项目通过“采购云平台（www.lecaiyun.com）”实行在线投标响应（电子投标）。供应商应通过“乐采云电子交易客户端”，并按照本采购文件和“采购云平台”的要求编制并加密投标文件。</w:t>
      </w:r>
    </w:p>
    <w:p w14:paraId="331B6D0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4.3.3投标供应商应当按照本章4.2款中规定的内容及顺序在“乐采云电子交易客户端”编制投标文件。其中《资格证明文件》和《资信技术文件》中不得出现本项目投标报价，否则作无效投标。</w:t>
      </w:r>
    </w:p>
    <w:p w14:paraId="617F65D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4.3.4本文件《第六章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773C8A6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4.3.5投标文件应当对采购文件规定的内容进行明确，对采购文件规定的实质性内容应当作出响应。</w:t>
      </w:r>
    </w:p>
    <w:p w14:paraId="27B1ABE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4.3.6投标文件由于字迹模糊或表达不清引起的后果由投标人负责。</w:t>
      </w:r>
    </w:p>
    <w:p w14:paraId="11DC639C">
      <w:pPr>
        <w:snapToGrid w:val="0"/>
        <w:spacing w:line="460" w:lineRule="exact"/>
        <w:ind w:firstLine="480" w:firstLineChars="200"/>
        <w:jc w:val="left"/>
        <w:outlineLvl w:val="2"/>
        <w:rPr>
          <w:rFonts w:ascii="仿宋" w:hAnsi="仿宋" w:eastAsia="仿宋" w:cs="仿宋"/>
          <w:color w:val="auto"/>
          <w:szCs w:val="24"/>
          <w:highlight w:val="none"/>
        </w:rPr>
      </w:pPr>
      <w:r>
        <w:rPr>
          <w:rFonts w:hint="eastAsia" w:ascii="仿宋" w:hAnsi="仿宋" w:eastAsia="仿宋" w:cs="仿宋"/>
          <w:color w:val="auto"/>
          <w:szCs w:val="24"/>
          <w:highlight w:val="none"/>
        </w:rPr>
        <w:t>4.3.7投标供应商没有按照本章节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53B905A2">
      <w:pPr>
        <w:snapToGrid w:val="0"/>
        <w:spacing w:line="460" w:lineRule="exact"/>
        <w:jc w:val="left"/>
        <w:outlineLvl w:val="2"/>
        <w:rPr>
          <w:rFonts w:ascii="仿宋" w:hAnsi="仿宋" w:eastAsia="仿宋" w:cs="仿宋"/>
          <w:b/>
          <w:color w:val="auto"/>
          <w:szCs w:val="24"/>
          <w:highlight w:val="none"/>
        </w:rPr>
      </w:pPr>
      <w:r>
        <w:rPr>
          <w:rFonts w:hint="eastAsia" w:ascii="仿宋" w:hAnsi="仿宋" w:eastAsia="仿宋" w:cs="仿宋"/>
          <w:b/>
          <w:bCs/>
          <w:color w:val="auto"/>
          <w:szCs w:val="24"/>
          <w:highlight w:val="none"/>
        </w:rPr>
        <w:t>5</w:t>
      </w:r>
      <w:r>
        <w:rPr>
          <w:rFonts w:hint="eastAsia" w:ascii="仿宋" w:hAnsi="仿宋" w:eastAsia="仿宋" w:cs="仿宋"/>
          <w:color w:val="auto"/>
          <w:szCs w:val="24"/>
          <w:highlight w:val="none"/>
        </w:rPr>
        <w:t>.</w:t>
      </w:r>
      <w:r>
        <w:rPr>
          <w:rFonts w:hint="eastAsia" w:ascii="仿宋" w:hAnsi="仿宋" w:eastAsia="仿宋" w:cs="仿宋"/>
          <w:b/>
          <w:color w:val="auto"/>
          <w:szCs w:val="24"/>
          <w:highlight w:val="none"/>
        </w:rPr>
        <w:t>投标文件的签署、盖章</w:t>
      </w:r>
    </w:p>
    <w:p w14:paraId="01AF73FD">
      <w:pPr>
        <w:snapToGrid w:val="0"/>
        <w:spacing w:line="46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5.1投标人的投标文件未按照采购文件要求签署、盖章的，其投标无效。</w:t>
      </w:r>
    </w:p>
    <w:p w14:paraId="5D421039">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5.2为确保网上操作合法、有效和安全，投标人应当在投标截止时间前完成在“采购云平台”的身份认证，确保在电子投标过程中能够对相关数据电文进行加密和使用电子签名。</w:t>
      </w:r>
    </w:p>
    <w:p w14:paraId="5DDBBFA3">
      <w:pPr>
        <w:snapToGrid w:val="0"/>
        <w:spacing w:line="460" w:lineRule="exact"/>
        <w:ind w:firstLine="480" w:firstLineChars="200"/>
        <w:jc w:val="left"/>
        <w:outlineLvl w:val="2"/>
        <w:rPr>
          <w:rFonts w:ascii="仿宋" w:hAnsi="仿宋" w:eastAsia="仿宋" w:cs="仿宋"/>
          <w:color w:val="auto"/>
          <w:szCs w:val="24"/>
          <w:highlight w:val="none"/>
        </w:rPr>
      </w:pPr>
      <w:r>
        <w:rPr>
          <w:rFonts w:hint="eastAsia" w:ascii="仿宋" w:hAnsi="仿宋" w:eastAsia="仿宋" w:cs="仿宋"/>
          <w:color w:val="auto"/>
          <w:szCs w:val="24"/>
          <w:highlight w:val="none"/>
        </w:rPr>
        <w:t>5.3采购文件对投标文件签署、盖章的要求适用于电子签名。</w:t>
      </w:r>
    </w:p>
    <w:p w14:paraId="50F35F16">
      <w:pPr>
        <w:snapToGrid w:val="0"/>
        <w:spacing w:line="460" w:lineRule="exact"/>
        <w:jc w:val="left"/>
        <w:outlineLvl w:val="2"/>
        <w:rPr>
          <w:rFonts w:ascii="仿宋" w:hAnsi="仿宋" w:eastAsia="仿宋" w:cs="仿宋"/>
          <w:b/>
          <w:color w:val="auto"/>
          <w:szCs w:val="24"/>
          <w:highlight w:val="none"/>
        </w:rPr>
      </w:pPr>
      <w:r>
        <w:rPr>
          <w:rFonts w:hint="eastAsia" w:ascii="仿宋" w:hAnsi="仿宋" w:eastAsia="仿宋" w:cs="仿宋"/>
          <w:b/>
          <w:bCs/>
          <w:color w:val="auto"/>
          <w:szCs w:val="24"/>
          <w:highlight w:val="none"/>
        </w:rPr>
        <w:t>6.投</w:t>
      </w:r>
      <w:r>
        <w:rPr>
          <w:rFonts w:hint="eastAsia" w:ascii="仿宋" w:hAnsi="仿宋" w:eastAsia="仿宋" w:cs="仿宋"/>
          <w:b/>
          <w:color w:val="auto"/>
          <w:szCs w:val="24"/>
          <w:highlight w:val="none"/>
        </w:rPr>
        <w:t>标文件的提交、补充、修改、撤回</w:t>
      </w:r>
    </w:p>
    <w:p w14:paraId="7E46B86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6.1、投标文件的上传、递交</w:t>
      </w:r>
    </w:p>
    <w:p w14:paraId="302380B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6.1.1电子加密投标文件的上传、递交：</w:t>
      </w:r>
    </w:p>
    <w:p w14:paraId="02732B2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6.1.1.1投标供应商应在投标截止时间前将“电子加密投标文件”成功上传递交至“采购云平台”，否则投标无效。</w:t>
      </w:r>
    </w:p>
    <w:p w14:paraId="23A41AA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6.1.1.2“电子加密投标文件”成功上传递交后，供应商可自行打印投标文件接收回执。</w:t>
      </w:r>
    </w:p>
    <w:p w14:paraId="5A35309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6.1.2备份投标文件的密封包装、递交：</w:t>
      </w:r>
    </w:p>
    <w:p w14:paraId="63BF1B2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6.1.2.1投标供应商在“采购云平台”完成“电子加密投标文件”的上传递交后，还可以（邮寄形式）在投标截止时间前递交以介质（U盘）存储的“备份投标文件”（一份）；</w:t>
      </w:r>
    </w:p>
    <w:p w14:paraId="2AAAE2E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6.1.2.2“备份投标文件”应当密封包装，并在包装上标注投标项目名称、投标人名称并加盖公章。没有密封包装或者逾期邮寄送达至投标地点的“备份投标文件”将不予接收，（邮寄公司采用EMS或顺丰，以代理机构工作人员签收时间为准），采用邮寄的方式的请提前一天通知代理机构；</w:t>
      </w:r>
    </w:p>
    <w:p w14:paraId="1E9B086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6.1.2.3通过“采购云平台”成功上传递交的“电子加密投标文件”已按时解密的，“备份投标文件”自动失效。投标截止时间前，投标供应商仅递交了“备份投标文件”而未将“电子加密投标文件”成功上传至“采购云平台”的，投标无效。</w:t>
      </w:r>
    </w:p>
    <w:p w14:paraId="6683510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6.2、解密和异常情况处理</w:t>
      </w:r>
    </w:p>
    <w:p w14:paraId="7DE6D98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6.2.1开标后，采购组织机构将向各投标供应商发出“电子加密投标文件”的解密通知，各投标供应商代表应当在接到解密通知后30分钟内自行完成“电子加密投标文件”的在线解密。</w:t>
      </w:r>
    </w:p>
    <w:p w14:paraId="48BD80B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6.2.2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14:paraId="2195295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6.2.3投标截止时间前，投标供应商仅递交了“备份投标文件”而未将电子加密投标文件上传至“采购云平台”的，投标无效。</w:t>
      </w:r>
    </w:p>
    <w:p w14:paraId="47B57C0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6.3、投标文件的修改和撤回</w:t>
      </w:r>
    </w:p>
    <w:p w14:paraId="3027713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采购云平台”将予以拒收。</w:t>
      </w:r>
    </w:p>
    <w:p w14:paraId="1A4BACD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6.3.2投标截止时间后，投标供应商不得撤回、修改投标文件。</w:t>
      </w:r>
    </w:p>
    <w:p w14:paraId="308146B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6.4、备选投标方案</w:t>
      </w:r>
    </w:p>
    <w:p w14:paraId="2F591693">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投标人不得提交备选投标方案，否则，投标文件将被判定为无效标。（与“电子加密投标文件”同时生成的“备份投标文件”不是投标备选（替代）方案）</w:t>
      </w:r>
    </w:p>
    <w:p w14:paraId="044713E4">
      <w:pPr>
        <w:numPr>
          <w:ilvl w:val="0"/>
          <w:numId w:val="11"/>
        </w:numPr>
        <w:spacing w:line="46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备份投标文件</w:t>
      </w:r>
    </w:p>
    <w:p w14:paraId="2FC1938C">
      <w:pPr>
        <w:spacing w:line="460" w:lineRule="exact"/>
        <w:ind w:firstLine="480" w:firstLineChars="200"/>
        <w:rPr>
          <w:rFonts w:ascii="仿宋" w:hAnsi="仿宋" w:eastAsia="仿宋" w:cs="仿宋"/>
          <w:snapToGrid w:val="0"/>
          <w:color w:val="auto"/>
          <w:szCs w:val="24"/>
          <w:highlight w:val="none"/>
        </w:rPr>
      </w:pPr>
      <w:r>
        <w:rPr>
          <w:rFonts w:hint="eastAsia" w:ascii="仿宋" w:hAnsi="仿宋" w:eastAsia="仿宋" w:cs="仿宋"/>
          <w:color w:val="auto"/>
          <w:szCs w:val="24"/>
          <w:highlight w:val="none"/>
        </w:rPr>
        <w:t>7.1</w:t>
      </w:r>
      <w:r>
        <w:rPr>
          <w:rFonts w:hint="eastAsia" w:ascii="仿宋" w:hAnsi="仿宋" w:eastAsia="仿宋" w:cs="仿宋"/>
          <w:snapToGrid w:val="0"/>
          <w:color w:val="auto"/>
          <w:szCs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bCs/>
          <w:snapToGrid w:val="0"/>
          <w:color w:val="auto"/>
          <w:szCs w:val="24"/>
          <w:highlight w:val="none"/>
        </w:rPr>
        <w:t>，</w:t>
      </w:r>
      <w:r>
        <w:rPr>
          <w:rFonts w:hint="eastAsia" w:ascii="仿宋" w:hAnsi="仿宋" w:eastAsia="仿宋" w:cs="仿宋"/>
          <w:snapToGrid w:val="0"/>
          <w:color w:val="auto"/>
          <w:szCs w:val="24"/>
          <w:highlight w:val="none"/>
        </w:rPr>
        <w:t>但采购人、采购机构不强制或变相强制投标人提交备份投标文件。</w:t>
      </w:r>
    </w:p>
    <w:p w14:paraId="337B7D19">
      <w:pPr>
        <w:spacing w:line="460" w:lineRule="exact"/>
        <w:ind w:firstLine="480" w:firstLineChars="200"/>
        <w:rPr>
          <w:rFonts w:ascii="仿宋" w:hAnsi="仿宋" w:eastAsia="仿宋" w:cs="仿宋"/>
          <w:b/>
          <w:snapToGrid w:val="0"/>
          <w:color w:val="auto"/>
          <w:szCs w:val="24"/>
          <w:highlight w:val="none"/>
        </w:rPr>
      </w:pPr>
      <w:r>
        <w:rPr>
          <w:rFonts w:hint="eastAsia" w:ascii="仿宋" w:hAnsi="仿宋" w:eastAsia="仿宋" w:cs="仿宋"/>
          <w:snapToGrid w:val="0"/>
          <w:color w:val="auto"/>
          <w:szCs w:val="24"/>
          <w:highlight w:val="none"/>
        </w:rPr>
        <w:t>7.2备份投标文件须在“乐采云投标客户端”制作生成，并储存在U盘中。</w:t>
      </w:r>
      <w:r>
        <w:rPr>
          <w:rFonts w:hint="eastAsia" w:ascii="仿宋" w:hAnsi="仿宋" w:eastAsia="仿宋" w:cs="仿宋"/>
          <w:b/>
          <w:bCs/>
          <w:snapToGrid w:val="0"/>
          <w:color w:val="auto"/>
          <w:szCs w:val="24"/>
          <w:highlight w:val="none"/>
        </w:rPr>
        <w:t>备份投标文件应当密封包装并在包装上加盖公章并注明投标项目名称，投标人名称</w:t>
      </w:r>
      <w:r>
        <w:rPr>
          <w:rFonts w:hint="eastAsia" w:ascii="仿宋" w:hAnsi="仿宋" w:eastAsia="仿宋" w:cs="仿宋"/>
          <w:snapToGrid w:val="0"/>
          <w:color w:val="auto"/>
          <w:szCs w:val="24"/>
          <w:highlight w:val="none"/>
        </w:rPr>
        <w:t>(联合体投标的，包装物封面需注明联合体投标，并注明联合体成员各方的名称和联合协议中约定的牵头人的名称)。</w:t>
      </w:r>
      <w:r>
        <w:rPr>
          <w:rFonts w:hint="eastAsia" w:ascii="仿宋" w:hAnsi="仿宋" w:eastAsia="仿宋" w:cs="仿宋"/>
          <w:b/>
          <w:snapToGrid w:val="0"/>
          <w:color w:val="auto"/>
          <w:szCs w:val="24"/>
          <w:highlight w:val="none"/>
        </w:rPr>
        <w:t>不符合上述制作、存储、密封规定的备份投标文件将被视为无效或者被拒绝接收。</w:t>
      </w:r>
    </w:p>
    <w:p w14:paraId="052DEA10">
      <w:pPr>
        <w:spacing w:line="460" w:lineRule="exact"/>
        <w:ind w:firstLine="480" w:firstLineChars="200"/>
        <w:rPr>
          <w:rFonts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7.3直接提交备份投标文件的，投标人应于投标截止时间前在采购公告中载明的开标地点将备份投标文件提交给采购机构，采购机构将拒绝接受逾期送达的备份投标文件。</w:t>
      </w:r>
    </w:p>
    <w:p w14:paraId="58848BC0">
      <w:pPr>
        <w:spacing w:line="460" w:lineRule="exact"/>
        <w:ind w:firstLine="480" w:firstLineChars="200"/>
        <w:rPr>
          <w:rFonts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7.4以快递方式递交备份投标文件的，投标人应先将备份投标文件按要求密封和标记，再进行快递包装后邮寄。</w:t>
      </w:r>
    </w:p>
    <w:p w14:paraId="0E6173F9">
      <w:pPr>
        <w:spacing w:line="460" w:lineRule="exact"/>
        <w:ind w:firstLine="480" w:firstLineChars="200"/>
        <w:rPr>
          <w:rFonts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7.5备份投标文件须在投标截止时间之前送达</w:t>
      </w:r>
      <w:r>
        <w:rPr>
          <w:rFonts w:hint="eastAsia" w:ascii="仿宋" w:hAnsi="仿宋" w:eastAsia="仿宋" w:cs="仿宋"/>
          <w:color w:val="auto"/>
          <w:szCs w:val="24"/>
          <w:highlight w:val="none"/>
        </w:rPr>
        <w:t>采购文件第二部分投标人须知前附表规定的备份投标文件送达地点；</w:t>
      </w:r>
      <w:r>
        <w:rPr>
          <w:rFonts w:hint="eastAsia" w:ascii="仿宋" w:hAnsi="仿宋" w:eastAsia="仿宋" w:cs="仿宋"/>
          <w:snapToGrid w:val="0"/>
          <w:color w:val="auto"/>
          <w:szCs w:val="24"/>
          <w:highlight w:val="none"/>
        </w:rPr>
        <w:t>送达时间以签收人签收时间为准。采购机构将拒绝接受逾期送达的备份投标文件。邮寄过程中，电子备份投标文件发生泄露、遗失、损坏或延期送达等情况的，由投标人自行负责。</w:t>
      </w:r>
    </w:p>
    <w:p w14:paraId="6CB57D1F">
      <w:pPr>
        <w:spacing w:line="460" w:lineRule="exact"/>
        <w:ind w:firstLine="482" w:firstLineChars="200"/>
        <w:rPr>
          <w:rFonts w:ascii="仿宋" w:hAnsi="仿宋" w:eastAsia="仿宋" w:cs="仿宋"/>
          <w:b/>
          <w:snapToGrid w:val="0"/>
          <w:color w:val="auto"/>
          <w:szCs w:val="24"/>
          <w:highlight w:val="none"/>
        </w:rPr>
      </w:pPr>
      <w:r>
        <w:rPr>
          <w:rFonts w:hint="eastAsia" w:ascii="仿宋" w:hAnsi="仿宋" w:eastAsia="仿宋" w:cs="仿宋"/>
          <w:b/>
          <w:snapToGrid w:val="0"/>
          <w:color w:val="auto"/>
          <w:szCs w:val="24"/>
          <w:highlight w:val="none"/>
        </w:rPr>
        <w:t>7.6投标人仅提交备份投标文件，没有在电子交易平台传输递交投标文件的，投标无效。</w:t>
      </w:r>
    </w:p>
    <w:p w14:paraId="747D7D8B">
      <w:pPr>
        <w:snapToGrid w:val="0"/>
        <w:spacing w:line="460" w:lineRule="exact"/>
        <w:ind w:firstLine="482" w:firstLineChars="200"/>
        <w:jc w:val="left"/>
        <w:outlineLvl w:val="2"/>
        <w:rPr>
          <w:rFonts w:ascii="仿宋" w:hAnsi="仿宋" w:eastAsia="仿宋" w:cs="仿宋"/>
          <w:b/>
          <w:color w:val="auto"/>
          <w:szCs w:val="24"/>
          <w:highlight w:val="none"/>
        </w:rPr>
      </w:pPr>
      <w:r>
        <w:rPr>
          <w:rFonts w:hint="eastAsia" w:ascii="仿宋" w:hAnsi="仿宋" w:eastAsia="仿宋" w:cs="仿宋"/>
          <w:b/>
          <w:snapToGrid w:val="0"/>
          <w:color w:val="auto"/>
          <w:szCs w:val="24"/>
          <w:highlight w:val="none"/>
        </w:rPr>
        <w:t>8.</w:t>
      </w:r>
      <w:r>
        <w:rPr>
          <w:rFonts w:hint="eastAsia" w:ascii="仿宋" w:hAnsi="仿宋" w:eastAsia="仿宋" w:cs="仿宋"/>
          <w:b/>
          <w:color w:val="auto"/>
          <w:szCs w:val="24"/>
          <w:highlight w:val="none"/>
        </w:rPr>
        <w:t>投标有效期</w:t>
      </w:r>
    </w:p>
    <w:p w14:paraId="14082838">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8.1投标有效期为从提交投标文件的截止之日起90天。★投标人的投标文件中承诺的投标有效期少于采购文件中载明的投标有效期的，投标无效。</w:t>
      </w:r>
    </w:p>
    <w:p w14:paraId="367CB8CF">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8.2投标文件合格投递后，自投标截止日期起，在投标有效期内有效。</w:t>
      </w:r>
    </w:p>
    <w:p w14:paraId="595B4191">
      <w:pPr>
        <w:spacing w:line="460" w:lineRule="exact"/>
        <w:ind w:firstLine="42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8.3在原定投标有效期满之前，如果出现特殊情况，采购机构可以以书面形式通知投标人延长投标有效期。投标人同意延长的，不得要求或被允许修改其投标文件，投标人拒绝延长的，其投标无效。</w:t>
      </w:r>
    </w:p>
    <w:p w14:paraId="4FEE9AF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kern w:val="0"/>
          <w:szCs w:val="24"/>
          <w:highlight w:val="none"/>
        </w:rPr>
        <w:t xml:space="preserve"> 8.4</w:t>
      </w:r>
      <w:r>
        <w:rPr>
          <w:rFonts w:hint="eastAsia" w:ascii="仿宋" w:hAnsi="仿宋" w:eastAsia="仿宋" w:cs="仿宋"/>
          <w:snapToGrid w:val="0"/>
          <w:color w:val="auto"/>
          <w:kern w:val="0"/>
          <w:szCs w:val="24"/>
          <w:highlight w:val="none"/>
        </w:rPr>
        <w:t>中标人的投标文件自开标之日起至合同履行完毕止均应保持有效。</w:t>
      </w:r>
    </w:p>
    <w:p w14:paraId="0D0101D1">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9、投标报价</w:t>
      </w:r>
    </w:p>
    <w:p w14:paraId="50A8E0B5">
      <w:pPr>
        <w:spacing w:line="460" w:lineRule="exact"/>
        <w:ind w:firstLine="420"/>
        <w:rPr>
          <w:rFonts w:ascii="仿宋" w:hAnsi="仿宋" w:eastAsia="仿宋" w:cs="仿宋"/>
          <w:b/>
          <w:color w:val="auto"/>
          <w:szCs w:val="24"/>
          <w:highlight w:val="none"/>
          <w:u w:val="thick"/>
        </w:rPr>
      </w:pPr>
      <w:r>
        <w:rPr>
          <w:rFonts w:hint="eastAsia" w:ascii="仿宋" w:hAnsi="仿宋" w:eastAsia="仿宋" w:cs="仿宋"/>
          <w:color w:val="auto"/>
          <w:szCs w:val="24"/>
          <w:highlight w:val="none"/>
        </w:rPr>
        <w:t>9.1 ★</w:t>
      </w:r>
      <w:r>
        <w:rPr>
          <w:rFonts w:hint="eastAsia" w:ascii="仿宋" w:hAnsi="仿宋" w:eastAsia="仿宋" w:cs="仿宋"/>
          <w:b/>
          <w:color w:val="auto"/>
          <w:szCs w:val="24"/>
          <w:highlight w:val="none"/>
          <w:u w:val="thick"/>
        </w:rPr>
        <w:t>本次投标报价为人民币报价，超过预算价或单价最高限价的作无效标处理</w:t>
      </w:r>
      <w:r>
        <w:rPr>
          <w:rFonts w:hint="eastAsia" w:ascii="仿宋" w:hAnsi="仿宋" w:eastAsia="仿宋" w:cs="仿宋"/>
          <w:b/>
          <w:bCs/>
          <w:color w:val="auto"/>
          <w:szCs w:val="24"/>
          <w:highlight w:val="none"/>
        </w:rPr>
        <w:t>。</w:t>
      </w:r>
    </w:p>
    <w:p w14:paraId="314C441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2C2DEE67">
      <w:pPr>
        <w:spacing w:line="460" w:lineRule="exact"/>
        <w:ind w:firstLine="420"/>
        <w:rPr>
          <w:rFonts w:ascii="仿宋" w:hAnsi="仿宋" w:eastAsia="仿宋" w:cs="仿宋"/>
          <w:color w:val="auto"/>
          <w:szCs w:val="24"/>
          <w:highlight w:val="none"/>
        </w:rPr>
      </w:pPr>
      <w:r>
        <w:rPr>
          <w:rFonts w:hint="eastAsia" w:ascii="仿宋" w:hAnsi="仿宋" w:eastAsia="仿宋" w:cs="仿宋"/>
          <w:bCs/>
          <w:color w:val="auto"/>
          <w:szCs w:val="24"/>
          <w:highlight w:val="none"/>
        </w:rPr>
        <w:t xml:space="preserve">9.3 </w:t>
      </w:r>
      <w:r>
        <w:rPr>
          <w:rFonts w:hint="eastAsia" w:ascii="仿宋" w:hAnsi="仿宋" w:eastAsia="仿宋" w:cs="仿宋"/>
          <w:color w:val="auto"/>
          <w:szCs w:val="24"/>
          <w:highlight w:val="none"/>
        </w:rPr>
        <w:t>投标报价应按不同费用类别分开填写，具体详见“投标文件格式”。</w:t>
      </w:r>
    </w:p>
    <w:p w14:paraId="4ECA7B11">
      <w:pPr>
        <w:spacing w:line="460" w:lineRule="exact"/>
        <w:ind w:firstLine="420"/>
        <w:rPr>
          <w:rFonts w:ascii="仿宋" w:hAnsi="仿宋" w:eastAsia="仿宋" w:cs="仿宋"/>
          <w:b/>
          <w:color w:val="auto"/>
          <w:szCs w:val="24"/>
          <w:highlight w:val="none"/>
          <w:u w:val="thick"/>
        </w:rPr>
      </w:pPr>
      <w:r>
        <w:rPr>
          <w:rFonts w:hint="eastAsia" w:ascii="仿宋" w:hAnsi="仿宋" w:eastAsia="仿宋" w:cs="仿宋"/>
          <w:color w:val="auto"/>
          <w:szCs w:val="24"/>
          <w:highlight w:val="none"/>
        </w:rPr>
        <w:t>9.4 ★</w:t>
      </w:r>
      <w:r>
        <w:rPr>
          <w:rFonts w:hint="eastAsia" w:ascii="仿宋" w:hAnsi="仿宋" w:eastAsia="仿宋" w:cs="仿宋"/>
          <w:b/>
          <w:color w:val="auto"/>
          <w:szCs w:val="24"/>
          <w:highlight w:val="none"/>
          <w:u w:val="thick"/>
        </w:rPr>
        <w:t>所投标项只允许有一个报价，不接受有选择报价的投标文件。</w:t>
      </w:r>
    </w:p>
    <w:p w14:paraId="02FBF3CA">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10、投标文件的式样</w:t>
      </w:r>
    </w:p>
    <w:p w14:paraId="0C0BB10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10.1 投标人通过“乐采云”平台制作电子投标文件，投标文件制作详见“供应商-采购项目电子交易操作指南”。</w:t>
      </w:r>
    </w:p>
    <w:p w14:paraId="3581C39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 投标文件是电子投标文件，包括“电子加密投标文件”和“备份投标文件”，在投标文件编制完成后同时生成。</w:t>
      </w:r>
    </w:p>
    <w:p w14:paraId="76FF1A0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10.2.1“电子加密投标文件”是指通过“乐采云电子交易客户端”完成投标文件编制后生成并加密的数据电文形式的投标文件。</w:t>
      </w:r>
    </w:p>
    <w:p w14:paraId="7B46450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10.2.2“备份投标文件”是指与“电子加密投标文件”同时生成的数据电文形式的电子文件（备份标书，用于供应商标书解密异常时应急使用），其他方式编制的备份投标文件视为无效备份投标文件。</w:t>
      </w:r>
    </w:p>
    <w:p w14:paraId="03B9AB6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10.2.3一份电子加密标书（后缀格式为.jmbs），一份备份标书文件（后缀格式为.bfbs）</w:t>
      </w:r>
    </w:p>
    <w:p w14:paraId="1000016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10.2.4每份电子投标文件应包括资格证明文件、资信技术文件、报价文件三部分内容。</w:t>
      </w:r>
    </w:p>
    <w:p w14:paraId="2DFA49A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10.3 投标文件中投标函、</w:t>
      </w:r>
      <w:r>
        <w:rPr>
          <w:rFonts w:hint="eastAsia" w:ascii="仿宋" w:hAnsi="仿宋" w:eastAsia="仿宋" w:cs="仿宋"/>
          <w:color w:val="auto"/>
          <w:szCs w:val="24"/>
          <w:highlight w:val="none"/>
          <w:lang w:val="zh-CN"/>
        </w:rPr>
        <w:t>法定代表人授权委托书</w:t>
      </w:r>
      <w:r>
        <w:rPr>
          <w:rFonts w:hint="eastAsia" w:ascii="仿宋" w:hAnsi="仿宋" w:eastAsia="仿宋" w:cs="仿宋"/>
          <w:color w:val="auto"/>
          <w:szCs w:val="24"/>
          <w:highlight w:val="none"/>
        </w:rPr>
        <w:t>的格式、签字、盖章及内容均应符合采购文件格式要求，否则投标文件无效。</w:t>
      </w:r>
    </w:p>
    <w:p w14:paraId="09684A5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10.4投标人应根据“乐采云供应商项目采购-电子招投标操作指南”及本采购文件规定编制电子投标文件并进行关联定位，以便评标委员会在评标时，点击评分项，可直接定位到该评分项内容。</w:t>
      </w:r>
    </w:p>
    <w:p w14:paraId="114BABF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如对采购文件的某项要求，投标人的投标响应文件未能提供相应的内容与其对应，则评标委员会在评审时会提示投标人未对此项招标要求提供相应内容。由此产生的评分影响由投标人自行承担。</w:t>
      </w:r>
    </w:p>
    <w:bookmarkEnd w:id="73"/>
    <w:bookmarkEnd w:id="74"/>
    <w:p w14:paraId="75064A3B">
      <w:pPr>
        <w:pStyle w:val="5"/>
        <w:spacing w:line="460" w:lineRule="exact"/>
        <w:ind w:firstLine="420"/>
        <w:jc w:val="center"/>
        <w:rPr>
          <w:rFonts w:ascii="仿宋" w:hAnsi="仿宋" w:eastAsia="仿宋" w:cs="仿宋"/>
          <w:color w:val="auto"/>
          <w:szCs w:val="32"/>
          <w:highlight w:val="none"/>
        </w:rPr>
      </w:pPr>
      <w:bookmarkStart w:id="75" w:name="_Toc35261575"/>
      <w:bookmarkStart w:id="76" w:name="_Toc82873326"/>
      <w:bookmarkStart w:id="77" w:name="_Toc450482500"/>
      <w:bookmarkStart w:id="78" w:name="_Toc54978894"/>
      <w:bookmarkStart w:id="79" w:name="_Toc82338243"/>
      <w:r>
        <w:rPr>
          <w:rFonts w:hint="eastAsia" w:ascii="仿宋" w:hAnsi="仿宋" w:eastAsia="仿宋" w:cs="仿宋"/>
          <w:color w:val="auto"/>
          <w:szCs w:val="32"/>
          <w:highlight w:val="none"/>
        </w:rPr>
        <w:t>五、开标、资格审查与信用信息查询</w:t>
      </w:r>
      <w:bookmarkEnd w:id="75"/>
      <w:bookmarkEnd w:id="76"/>
      <w:bookmarkEnd w:id="77"/>
      <w:bookmarkEnd w:id="78"/>
      <w:bookmarkEnd w:id="79"/>
    </w:p>
    <w:p w14:paraId="663E887C">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5.1开标</w:t>
      </w:r>
    </w:p>
    <w:p w14:paraId="7EB8603E">
      <w:pPr>
        <w:spacing w:line="460" w:lineRule="exact"/>
        <w:ind w:firstLine="420"/>
        <w:rPr>
          <w:rFonts w:ascii="仿宋" w:hAnsi="仿宋" w:eastAsia="仿宋" w:cs="仿宋"/>
          <w:color w:val="auto"/>
          <w:kern w:val="0"/>
          <w:szCs w:val="24"/>
          <w:highlight w:val="none"/>
        </w:rPr>
      </w:pPr>
      <w:r>
        <w:rPr>
          <w:rFonts w:hint="eastAsia" w:ascii="仿宋" w:hAnsi="仿宋" w:eastAsia="仿宋" w:cs="仿宋"/>
          <w:color w:val="auto"/>
          <w:szCs w:val="24"/>
          <w:highlight w:val="none"/>
        </w:rPr>
        <w:t xml:space="preserve">5.1.1 </w:t>
      </w:r>
      <w:r>
        <w:rPr>
          <w:rFonts w:hint="eastAsia" w:ascii="仿宋" w:hAnsi="仿宋" w:eastAsia="仿宋" w:cs="仿宋"/>
          <w:color w:val="auto"/>
          <w:kern w:val="0"/>
          <w:szCs w:val="24"/>
          <w:highlight w:val="none"/>
        </w:rPr>
        <w:t>采购机构按照采购文件规定的时间通过电子交易平台组织开标，所有投标人均应当准时在线参加。投标人不足3家的，不得开标。</w:t>
      </w:r>
    </w:p>
    <w:p w14:paraId="3BB94873">
      <w:pPr>
        <w:autoSpaceDE w:val="0"/>
        <w:autoSpaceDN w:val="0"/>
        <w:spacing w:line="460" w:lineRule="exact"/>
        <w:ind w:firstLine="480" w:firstLineChars="200"/>
        <w:contextualSpacing/>
        <w:rPr>
          <w:rFonts w:ascii="仿宋" w:hAnsi="仿宋" w:eastAsia="仿宋" w:cs="仿宋"/>
          <w:color w:val="auto"/>
          <w:kern w:val="0"/>
          <w:szCs w:val="24"/>
          <w:highlight w:val="none"/>
        </w:rPr>
      </w:pPr>
      <w:r>
        <w:rPr>
          <w:rFonts w:hint="eastAsia" w:ascii="仿宋" w:hAnsi="仿宋" w:eastAsia="仿宋" w:cs="仿宋"/>
          <w:color w:val="auto"/>
          <w:szCs w:val="24"/>
          <w:highlight w:val="none"/>
        </w:rPr>
        <w:t>5.1.2</w:t>
      </w:r>
      <w:r>
        <w:rPr>
          <w:rFonts w:hint="eastAsia" w:ascii="仿宋" w:hAnsi="仿宋" w:eastAsia="仿宋" w:cs="仿宋"/>
          <w:color w:val="auto"/>
          <w:kern w:val="0"/>
          <w:szCs w:val="24"/>
          <w:highlight w:val="none"/>
        </w:rPr>
        <w:t>开标时，电子交易平台按开标时间自动提取所有投标文件。采购机构依托电子交易平台发起开始解密指令，投标人按照平台提示和采购文件的规定在半小时内完成在线解密。</w:t>
      </w:r>
    </w:p>
    <w:p w14:paraId="0F2316D5">
      <w:pPr>
        <w:autoSpaceDE w:val="0"/>
        <w:autoSpaceDN w:val="0"/>
        <w:spacing w:line="460" w:lineRule="exact"/>
        <w:ind w:firstLine="482" w:firstLineChars="200"/>
        <w:contextualSpacing/>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5.1.3投标文件未按时解密，投标人提供了备份投标文件的，以备份投标文件作为依据，否则视为投标文件撤回。投标文件已按时解密的，备份投标文件自动失效。</w:t>
      </w:r>
    </w:p>
    <w:p w14:paraId="7628F16D">
      <w:pPr>
        <w:snapToGrid w:val="0"/>
        <w:spacing w:line="460" w:lineRule="exact"/>
        <w:ind w:firstLine="480" w:firstLineChars="200"/>
        <w:jc w:val="left"/>
        <w:outlineLvl w:val="2"/>
        <w:rPr>
          <w:rFonts w:ascii="仿宋" w:hAnsi="仿宋" w:eastAsia="仿宋" w:cs="仿宋"/>
          <w:color w:val="auto"/>
          <w:szCs w:val="24"/>
          <w:highlight w:val="none"/>
        </w:rPr>
      </w:pPr>
      <w:r>
        <w:rPr>
          <w:rFonts w:hint="eastAsia" w:ascii="仿宋" w:hAnsi="仿宋" w:eastAsia="仿宋" w:cs="仿宋"/>
          <w:color w:val="auto"/>
          <w:szCs w:val="24"/>
          <w:highlight w:val="none"/>
        </w:rPr>
        <w:t>5.1.4开评标期间，投标人代表应在线操作，并关注乐采云有关信息公布、澄清等情况。投标人代表不参加开标程序的，事后不得对采购相关人员、开标过程和开标结果提出异议。</w:t>
      </w:r>
    </w:p>
    <w:p w14:paraId="03E5DBDB">
      <w:pPr>
        <w:snapToGrid w:val="0"/>
        <w:spacing w:line="460" w:lineRule="exact"/>
        <w:ind w:firstLine="482" w:firstLineChars="200"/>
        <w:jc w:val="left"/>
        <w:outlineLvl w:val="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5.2资格审查</w:t>
      </w:r>
    </w:p>
    <w:p w14:paraId="535D47AF">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5.2.1开标后，采购人或采购机构将依法对投标人的资格进行审查。</w:t>
      </w:r>
    </w:p>
    <w:p w14:paraId="171642B2">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kern w:val="0"/>
          <w:szCs w:val="24"/>
          <w:highlight w:val="none"/>
        </w:rPr>
        <w:t>5.2.2</w:t>
      </w:r>
      <w:r>
        <w:rPr>
          <w:rFonts w:hint="eastAsia" w:ascii="仿宋" w:hAnsi="仿宋" w:eastAsia="仿宋" w:cs="仿宋"/>
          <w:color w:val="auto"/>
          <w:szCs w:val="24"/>
          <w:highlight w:val="none"/>
        </w:rPr>
        <w:t>采购人或采购机构依据法律法规和采购文件的规定，对投标人的资格进行审查。</w:t>
      </w:r>
    </w:p>
    <w:p w14:paraId="563E1F71">
      <w:pPr>
        <w:pStyle w:val="288"/>
        <w:spacing w:before="0" w:line="460" w:lineRule="exact"/>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5.2.3投标人未按照采购文件要求提供与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投标人不具备采购文件中规定的资格要求，其投标无效。</w:t>
      </w:r>
    </w:p>
    <w:p w14:paraId="263E62AA">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kern w:val="0"/>
          <w:szCs w:val="24"/>
          <w:highlight w:val="none"/>
        </w:rPr>
        <w:t>5.2.</w:t>
      </w:r>
      <w:r>
        <w:rPr>
          <w:rFonts w:hint="eastAsia" w:ascii="仿宋" w:hAnsi="仿宋" w:eastAsia="仿宋" w:cs="仿宋"/>
          <w:color w:val="auto"/>
          <w:szCs w:val="24"/>
          <w:highlight w:val="none"/>
        </w:rPr>
        <w:t>4对未通过资格审查的投标人，采购人或采购机构告知其未通过的原因。</w:t>
      </w:r>
    </w:p>
    <w:p w14:paraId="15072ED3">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kern w:val="0"/>
          <w:szCs w:val="24"/>
          <w:highlight w:val="none"/>
        </w:rPr>
        <w:t>5.2.</w:t>
      </w:r>
      <w:r>
        <w:rPr>
          <w:rFonts w:hint="eastAsia" w:ascii="仿宋" w:hAnsi="仿宋" w:eastAsia="仿宋" w:cs="仿宋"/>
          <w:color w:val="auto"/>
          <w:szCs w:val="24"/>
          <w:highlight w:val="none"/>
        </w:rPr>
        <w:t>5合格投标人不足3家的，不再评标。</w:t>
      </w:r>
    </w:p>
    <w:p w14:paraId="12CA9C57">
      <w:pPr>
        <w:pStyle w:val="288"/>
        <w:spacing w:before="0" w:line="460" w:lineRule="exact"/>
        <w:ind w:firstLine="480"/>
        <w:rPr>
          <w:rFonts w:ascii="仿宋" w:hAnsi="仿宋" w:eastAsia="仿宋" w:cs="仿宋"/>
          <w:b/>
          <w:bCs/>
          <w:color w:val="auto"/>
          <w:kern w:val="0"/>
          <w:szCs w:val="24"/>
          <w:highlight w:val="none"/>
        </w:rPr>
      </w:pPr>
      <w:r>
        <w:rPr>
          <w:rFonts w:hint="eastAsia" w:ascii="仿宋" w:hAnsi="仿宋" w:eastAsia="仿宋" w:cs="仿宋"/>
          <w:b/>
          <w:bCs/>
          <w:color w:val="auto"/>
          <w:szCs w:val="24"/>
          <w:highlight w:val="none"/>
        </w:rPr>
        <w:t>5.3</w:t>
      </w:r>
      <w:r>
        <w:rPr>
          <w:rFonts w:hint="eastAsia" w:ascii="仿宋" w:hAnsi="仿宋" w:eastAsia="仿宋" w:cs="仿宋"/>
          <w:b/>
          <w:bCs/>
          <w:color w:val="auto"/>
          <w:kern w:val="0"/>
          <w:szCs w:val="24"/>
          <w:highlight w:val="none"/>
        </w:rPr>
        <w:t>信用信息查询</w:t>
      </w:r>
    </w:p>
    <w:p w14:paraId="6FE606AB">
      <w:pPr>
        <w:pStyle w:val="288"/>
        <w:spacing w:before="0" w:line="46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5.3.1信用信息查询渠道及截止时间：采购机构将在资格审查时通过“信用中国”网站(www.creditchina.gov.cn)、中国政府采购网(www.ccgp.gov.cn)渠道查询投标人接受资格时的信用记录。</w:t>
      </w:r>
    </w:p>
    <w:p w14:paraId="0D440518">
      <w:pPr>
        <w:pStyle w:val="288"/>
        <w:spacing w:before="0" w:line="460" w:lineRule="exact"/>
        <w:ind w:firstLine="480"/>
        <w:rPr>
          <w:rFonts w:ascii="仿宋" w:hAnsi="仿宋" w:eastAsia="仿宋" w:cs="仿宋"/>
          <w:color w:val="auto"/>
          <w:kern w:val="0"/>
          <w:szCs w:val="24"/>
          <w:highlight w:val="none"/>
        </w:rPr>
      </w:pPr>
      <w:bookmarkStart w:id="80" w:name="_Hlk125840869"/>
      <w:r>
        <w:rPr>
          <w:rFonts w:hint="eastAsia" w:ascii="仿宋" w:hAnsi="仿宋" w:eastAsia="仿宋" w:cs="仿宋"/>
          <w:color w:val="auto"/>
          <w:kern w:val="0"/>
          <w:szCs w:val="24"/>
          <w:highlight w:val="none"/>
        </w:rPr>
        <w:t>5.3.2信用信息查询记录和证据留存的具体方式：现场查询的投标人的信用记录、查询结果经确认后将与采购文件一起存档。</w:t>
      </w:r>
    </w:p>
    <w:p w14:paraId="2C0839D8">
      <w:pPr>
        <w:pStyle w:val="288"/>
        <w:spacing w:before="0" w:line="46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5.3.3信用信息的使用规则：经查询列入失信被执行人名单、重大税收违法案件当事人名单、政府采购严重违法失信行为记录名单的投标人将被拒绝参与采购活动。</w:t>
      </w:r>
    </w:p>
    <w:p w14:paraId="2C940814">
      <w:pPr>
        <w:pStyle w:val="288"/>
        <w:spacing w:before="0" w:line="460" w:lineRule="exact"/>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5.3.4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bookmarkEnd w:id="80"/>
      <w:r>
        <w:rPr>
          <w:rFonts w:hint="eastAsia" w:ascii="仿宋" w:hAnsi="仿宋" w:eastAsia="仿宋" w:cs="仿宋"/>
          <w:color w:val="auto"/>
          <w:szCs w:val="24"/>
          <w:highlight w:val="none"/>
        </w:rPr>
        <w:t>。</w:t>
      </w:r>
    </w:p>
    <w:p w14:paraId="3AF50CDB">
      <w:pPr>
        <w:spacing w:before="240" w:beforeLines="100" w:line="4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六、评标</w:t>
      </w:r>
    </w:p>
    <w:p w14:paraId="1CD1512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6.1 评标组织</w:t>
      </w:r>
    </w:p>
    <w:p w14:paraId="10EDF83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14:paraId="1BF679D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6.2评标纪律</w:t>
      </w:r>
    </w:p>
    <w:p w14:paraId="7F4E8C2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本次评标工作将在严格保密的情况下进行，评标委员会成员名单在定标前将保密。</w:t>
      </w:r>
    </w:p>
    <w:p w14:paraId="1AAAB0B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6.3评标办法</w:t>
      </w:r>
    </w:p>
    <w:p w14:paraId="4C4A8C4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采用综合评分法，详见采购文件第四章“评标办法”。</w:t>
      </w:r>
    </w:p>
    <w:p w14:paraId="49F6121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 评标程序</w:t>
      </w:r>
    </w:p>
    <w:p w14:paraId="0C8B9C4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6.4.1投标文件初审。初审分为资格审查和符合性审查。</w:t>
      </w:r>
    </w:p>
    <w:p w14:paraId="28BE5EE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6.4.1.1资格审查。</w:t>
      </w:r>
    </w:p>
    <w:p w14:paraId="195EA97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开标后，采购人或采购代理机构将依据法律法规和供应商资格条件对投标人的基本资格条件、特定资格条件进行审查。</w:t>
      </w:r>
    </w:p>
    <w:p w14:paraId="6165D64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投标人未按照采购文件中供应商资格条件要求提供相应的有效资格证明材料的，视为投标人不具备采购文件中规定的资格要求，其资格审查不通过。</w:t>
      </w:r>
    </w:p>
    <w:p w14:paraId="128D924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6.4.1.2符合性审查。依据采购文件的规定，从投标文件的有效性、完整性和对采购文件的响应程度进行审查，以确定是否对采购文件的实质性要求作出响应。具体审查内容见投标须知6.5.1条“无效投标的认定”。</w:t>
      </w:r>
    </w:p>
    <w:p w14:paraId="7AC6999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评标委员会决定投标文件的响应性只根据投标文件本身的内容，而不寻求外部证据。</w:t>
      </w:r>
    </w:p>
    <w:p w14:paraId="175C632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如果投标文件没有实质上响应采购文件的要求，评标委员会将判定无效，投标人不得通过修改或撤销不合要求的偏离或保留而使其投标成为实质性响应的投标。</w:t>
      </w:r>
    </w:p>
    <w:p w14:paraId="63FEBDE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6.4.1.3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6A4304B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投标供应商的澄清、说明或者补正应当由法定代表人或其授权的代表签字（或加盖公章）后扫描上传提交。</w:t>
      </w:r>
    </w:p>
    <w:p w14:paraId="26EACD6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授权代表对澄清、说明或者补正内容未签字确认的，将自行承担由此可能导致的对其不利的评审结果，评标委员会按少数服从多数原则对相关内容进行评判。</w:t>
      </w:r>
    </w:p>
    <w:p w14:paraId="574D559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除邮件交互外，如乐采云平台提供信息发布、澄清说明、数据交换等操作方式的，或者乐采云系统平台有新的操作流程的，按其规定。</w:t>
      </w:r>
    </w:p>
    <w:p w14:paraId="3C6FD2C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6.4.1.4修正原则</w:t>
      </w:r>
    </w:p>
    <w:p w14:paraId="476D5A5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投标文件报价出现前后不一致的，按照下列规定修正：</w:t>
      </w:r>
    </w:p>
    <w:p w14:paraId="5CBFCEF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投标文件中开标一览表(报价表)内容与投标文件中相应内容不一致的，以开标一览表(报价表)为准；</w:t>
      </w:r>
    </w:p>
    <w:p w14:paraId="3239B55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大写金额和小写金额不一致的，以大写金额为准；</w:t>
      </w:r>
    </w:p>
    <w:p w14:paraId="6382624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单价金额小数点或者百分比有明显错位的，以开标一览表的总价为准，并修改单价；</w:t>
      </w:r>
    </w:p>
    <w:p w14:paraId="3A0AE76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总价金额与按单价汇总金额不一致的，以单价金额计算结果为准。</w:t>
      </w:r>
    </w:p>
    <w:p w14:paraId="283CCCA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同时出现两种以上不一致的，按照前款规定的顺序修正。修正后的报价经投标人确认后产生约束力，投标人不确认的，其投标无效。</w:t>
      </w:r>
    </w:p>
    <w:p w14:paraId="33D2AB1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6.4.1.5比较与评价。</w:t>
      </w:r>
    </w:p>
    <w:p w14:paraId="08C2216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按采购文件中规定的评标方法和标准，对资格性检查和符合性检查合格的投标文件进行商务和技术评估，综合比较与评价。</w:t>
      </w:r>
    </w:p>
    <w:p w14:paraId="5E418FD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6.4.1.6按采购文件中规定的评标方法和标准，对投标人进行排序，并推荐中标候选人。</w:t>
      </w:r>
    </w:p>
    <w:p w14:paraId="71633F2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6.4.1.7编写评标报告。</w:t>
      </w:r>
    </w:p>
    <w:p w14:paraId="16816420">
      <w:pPr>
        <w:spacing w:line="460" w:lineRule="exact"/>
        <w:ind w:firstLine="42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6.5无效投标的认定</w:t>
      </w:r>
    </w:p>
    <w:p w14:paraId="60962BE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8D76070">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6.5.1如发现下列情形之一的，投标文件将被视为无效投标：</w:t>
      </w:r>
    </w:p>
    <w:p w14:paraId="261D1279">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kern w:val="0"/>
          <w:szCs w:val="24"/>
          <w:highlight w:val="none"/>
        </w:rPr>
        <w:t>1）投标人不具备采购文件中规定的资格要求的（投标人未提供有效的资格文件的，视为投标人不具备采购文件中规定的资格要求）；</w:t>
      </w:r>
    </w:p>
    <w:p w14:paraId="30058093">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2）未按时上传或按时解密电子投标文件的</w:t>
      </w:r>
    </w:p>
    <w:p w14:paraId="234157C4">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3）电子投标文件解密失败的，且未在规定时间内提交有效备份投标文件的；</w:t>
      </w:r>
    </w:p>
    <w:p w14:paraId="1BD894A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4）电子投标文件未按规定要求提供电子签章的；</w:t>
      </w:r>
    </w:p>
    <w:p w14:paraId="1A7ACCE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5）投标文件没有投标人的法定代表人或法定代表人授权委托人签字、投标文件应盖公章而未盖公章或盖非公司公章、未有效授权、法定代表人授权书填写不完整或有涂改的；</w:t>
      </w:r>
    </w:p>
    <w:p w14:paraId="756B3ED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6）不响应采购文件标注“★”条款要求的；</w:t>
      </w:r>
    </w:p>
    <w:p w14:paraId="2321AB3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7）投标文件载明的招标项目合同期或服务期少于采购文件规定期限的；</w:t>
      </w:r>
    </w:p>
    <w:p w14:paraId="269836C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8）投标文件未响应采购文件规定的付款方式的；</w:t>
      </w:r>
    </w:p>
    <w:p w14:paraId="1294F91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9）投标报价超出预算或最高限价，采购人无法接受的；</w:t>
      </w:r>
    </w:p>
    <w:p w14:paraId="709EDAC7">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kern w:val="0"/>
          <w:szCs w:val="24"/>
          <w:highlight w:val="none"/>
        </w:rPr>
        <w:t>报价明显低于其他通过符合性审查投标人的报价，有可能影响产品质量或者不能诚信履约的，未能按要求提供书面说明或者提交相关证明材料，不能证明其报价合理性的；</w:t>
      </w:r>
    </w:p>
    <w:p w14:paraId="3B05930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11）投标货物的技术规范、技术标准明显不符合国家强制性要求的；</w:t>
      </w:r>
    </w:p>
    <w:p w14:paraId="0DF8909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12）投标人提交两份或多份内容不同的报价响应文件，或在一份报价响应文件中对同一内容报有两个或多个报价，且未声明哪一个为最终报价的；</w:t>
      </w:r>
    </w:p>
    <w:p w14:paraId="598C6CF4">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szCs w:val="24"/>
          <w:highlight w:val="none"/>
        </w:rPr>
        <w:t>13）</w:t>
      </w:r>
      <w:r>
        <w:rPr>
          <w:rFonts w:hint="eastAsia" w:ascii="仿宋" w:hAnsi="仿宋" w:eastAsia="仿宋" w:cs="仿宋"/>
          <w:color w:val="auto"/>
          <w:kern w:val="0"/>
          <w:szCs w:val="24"/>
          <w:highlight w:val="none"/>
        </w:rPr>
        <w:t>投标报价超过采购文件中规定的预算金额或者最高限价的；</w:t>
      </w:r>
    </w:p>
    <w:p w14:paraId="5B584DFE">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14）投标人对根据修正原则修正后的报价不确认的；</w:t>
      </w:r>
    </w:p>
    <w:p w14:paraId="725D783B">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15）投标人提供虚假材料投标的；</w:t>
      </w:r>
    </w:p>
    <w:p w14:paraId="2C0EEC51">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16）投标人有恶意串通、妨碍其他投标人的竞争行为、损害采购人或者其他投标人的合法权益情形的；</w:t>
      </w:r>
    </w:p>
    <w:p w14:paraId="0D571D50">
      <w:pPr>
        <w:spacing w:line="460" w:lineRule="exact"/>
        <w:ind w:left="658" w:leftChars="174" w:hanging="240" w:hangingChars="1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17）资信技术文件出现投标报价的；</w:t>
      </w:r>
    </w:p>
    <w:p w14:paraId="0AB815F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18）投标文件附有采购人不能接受的条款；</w:t>
      </w:r>
    </w:p>
    <w:p w14:paraId="7364DA82">
      <w:pPr>
        <w:spacing w:line="460" w:lineRule="exact"/>
        <w:ind w:firstLine="480" w:firstLineChars="2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19）投标人仅提交备份投标文件，没有在电子交易平台传输递交投标文件的，投标无效；</w:t>
      </w:r>
    </w:p>
    <w:p w14:paraId="5F0C52F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20）不满足采购文件规定的实质性要求的；</w:t>
      </w:r>
    </w:p>
    <w:p w14:paraId="7998E27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21）国家和省另有规定属无效投标文件的。</w:t>
      </w:r>
    </w:p>
    <w:p w14:paraId="55A2207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6.3.2有下列情形之一的，视为投标人串通投标，其投标无效：</w:t>
      </w:r>
    </w:p>
    <w:p w14:paraId="28C46FD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1）不同投标人的投标文件由同一单位或者个人编制；</w:t>
      </w:r>
    </w:p>
    <w:p w14:paraId="3542A1B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2）不同投标人委托同一单位或者个人办理投标事宜；</w:t>
      </w:r>
    </w:p>
    <w:p w14:paraId="01D84B9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3）不同投标人的投标文件载明的项目管理成员或者联系人员为同一人；</w:t>
      </w:r>
    </w:p>
    <w:p w14:paraId="27F2802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4）不同投标人的投标文件异常一致或者投标报价呈规律性差异；</w:t>
      </w:r>
    </w:p>
    <w:p w14:paraId="39CF77D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5）不同投标人的投标文件相互混装。</w:t>
      </w:r>
    </w:p>
    <w:p w14:paraId="6AA41066">
      <w:pPr>
        <w:snapToGrid w:val="0"/>
        <w:spacing w:line="460" w:lineRule="exact"/>
        <w:jc w:val="left"/>
        <w:outlineLvl w:val="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w:t>
      </w:r>
    </w:p>
    <w:p w14:paraId="62326E4C">
      <w:pPr>
        <w:snapToGrid w:val="0"/>
        <w:spacing w:line="460" w:lineRule="exact"/>
        <w:jc w:val="center"/>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  定标</w:t>
      </w:r>
    </w:p>
    <w:p w14:paraId="1AA47BEB">
      <w:pPr>
        <w:pStyle w:val="288"/>
        <w:snapToGrid w:val="0"/>
        <w:spacing w:before="0" w:line="460" w:lineRule="exact"/>
        <w:ind w:firstLine="480"/>
        <w:rPr>
          <w:rFonts w:ascii="仿宋" w:hAnsi="仿宋" w:eastAsia="仿宋" w:cs="仿宋"/>
          <w:b/>
          <w:color w:val="auto"/>
          <w:szCs w:val="24"/>
          <w:highlight w:val="none"/>
        </w:rPr>
      </w:pPr>
      <w:r>
        <w:rPr>
          <w:rFonts w:hint="eastAsia" w:ascii="仿宋" w:hAnsi="仿宋" w:eastAsia="仿宋" w:cs="仿宋"/>
          <w:b/>
          <w:color w:val="auto"/>
          <w:szCs w:val="24"/>
          <w:highlight w:val="none"/>
        </w:rPr>
        <w:t>7.1确定中标人</w:t>
      </w:r>
    </w:p>
    <w:p w14:paraId="59D2DBE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7.1.1采购代理机构应当自评审结束之日起2个工作日内将评审报告送交采购人。</w:t>
      </w:r>
    </w:p>
    <w:p w14:paraId="20FCF21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6683B3C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79AAF0C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采购人或者采购代理机构应当自中标人确定之日起2个工作日内，在省级以上财政部门指定的媒体上公告中标结果。</w:t>
      </w:r>
    </w:p>
    <w:p w14:paraId="499A367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公告期限为1个工作日。</w:t>
      </w:r>
    </w:p>
    <w:p w14:paraId="7538A74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7.2 除国务院财政部门规定的情形外，采购人、采购代理机构不得以任何理由组织重新评审。采购人、采购代理机构按照国务院财政部门的规定组织重新评审的，应当书面报告本级人民政府财政部门。</w:t>
      </w:r>
    </w:p>
    <w:p w14:paraId="4219F82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7.3中标通知书发出后，采购人不得违法改变中标结果，中标人无正当理由不得放弃中标。 </w:t>
      </w:r>
    </w:p>
    <w:p w14:paraId="6FC3BCFD">
      <w:pPr>
        <w:snapToGrid w:val="0"/>
        <w:spacing w:line="460" w:lineRule="exact"/>
        <w:ind w:firstLine="482" w:firstLineChars="200"/>
        <w:jc w:val="left"/>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7.2. 中标通知与中标结果公告</w:t>
      </w:r>
    </w:p>
    <w:p w14:paraId="7E21ADD8">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7.2.1自中标人确定之日起2个工作日内，采购机构通过电子交易平台向中标人发出中标通知书，同时编制发布采购结果公告。采购机构也可以以纸质形式进行中标通知。</w:t>
      </w:r>
    </w:p>
    <w:p w14:paraId="0065FBA2">
      <w:pPr>
        <w:widowControl/>
        <w:shd w:val="clear" w:color="auto" w:fill="FFFFFF"/>
        <w:spacing w:line="460" w:lineRule="exact"/>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7.2.2中标结果公告内容包括采购人及其委托的采购机构的名称、地址、联系方式，项目名称和项目编号，中标人名称、地址和中标金额，主要中标标的的名称、规格型号、数量、单价、服务要求，开标记录、</w:t>
      </w:r>
      <w:bookmarkStart w:id="81" w:name="_Hlk101184471"/>
      <w:r>
        <w:rPr>
          <w:rFonts w:hint="eastAsia" w:ascii="仿宋" w:hAnsi="仿宋" w:eastAsia="仿宋" w:cs="仿宋"/>
          <w:color w:val="auto"/>
          <w:szCs w:val="24"/>
          <w:highlight w:val="none"/>
        </w:rPr>
        <w:t>资格审查情况、评审专家抽取规则、符合性审查情况、</w:t>
      </w:r>
      <w:bookmarkEnd w:id="81"/>
      <w:r>
        <w:rPr>
          <w:rFonts w:hint="eastAsia" w:ascii="仿宋" w:hAnsi="仿宋" w:eastAsia="仿宋" w:cs="仿宋"/>
          <w:color w:val="auto"/>
          <w:szCs w:val="24"/>
          <w:highlight w:val="none"/>
        </w:rPr>
        <w:t>未中标情况说明、中标公告期限以及评审专家名单、评分汇总及明细。</w:t>
      </w:r>
    </w:p>
    <w:p w14:paraId="6D564307">
      <w:pPr>
        <w:snapToGrid w:val="0"/>
        <w:spacing w:line="460" w:lineRule="exact"/>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7.2.3公告期限为1个工作日。</w:t>
      </w:r>
    </w:p>
    <w:p w14:paraId="3D493A81">
      <w:pPr>
        <w:spacing w:line="4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八、废标</w:t>
      </w:r>
    </w:p>
    <w:p w14:paraId="1EE8C1E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8.1出现下列情形之一的，应予以废标：</w:t>
      </w:r>
    </w:p>
    <w:p w14:paraId="4AE85AF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8.1.1符合专业条件的供应商或者对采购文件作实质响应的供应商不足三家的；</w:t>
      </w:r>
    </w:p>
    <w:p w14:paraId="10E3E12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8.1.2出现影响采购公正的违法、违规行为的；</w:t>
      </w:r>
    </w:p>
    <w:p w14:paraId="549D2AD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8.1.3所有投标人的报价均超过了采购预算，采购人不能支付的；</w:t>
      </w:r>
    </w:p>
    <w:p w14:paraId="339348E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8.1.4因重大变故，采购任务取消的。</w:t>
      </w:r>
    </w:p>
    <w:p w14:paraId="6DC6E888">
      <w:pPr>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8.2采购过程中出现以下情形，导致电子交易平台无法正常运行，或者无法保证电子交易的公平、公正和安全时，采购组织机构可中止电子交易活动：</w:t>
      </w:r>
    </w:p>
    <w:p w14:paraId="7B74A03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8.2.1电子交易平台发生故障而无法登录访问的； </w:t>
      </w:r>
    </w:p>
    <w:p w14:paraId="6456B22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8.2.2电子交易平台应用或数据库出现错误，不能进行正常操作的；</w:t>
      </w:r>
    </w:p>
    <w:p w14:paraId="44A5BA9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8.2.3电子交易平台发现严重安全漏洞，有潜在泄密危险的；</w:t>
      </w:r>
    </w:p>
    <w:p w14:paraId="0F2C9D3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8.2.4病毒发作导致不能进行正常操作的； </w:t>
      </w:r>
    </w:p>
    <w:p w14:paraId="56FC5D1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8.2.5其他无法保证电子交易的公平、公正和安全的情况。</w:t>
      </w:r>
    </w:p>
    <w:p w14:paraId="05004A8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DB8AC1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8.2.6 废标后，采购人应当将废标理由通知所有投标人并重新组织招标；或者经主管部门批准，采取其他方式组织采购。</w:t>
      </w:r>
    </w:p>
    <w:p w14:paraId="7285F129">
      <w:pPr>
        <w:pStyle w:val="5"/>
        <w:spacing w:line="460" w:lineRule="exact"/>
        <w:jc w:val="center"/>
        <w:rPr>
          <w:rFonts w:ascii="仿宋" w:hAnsi="仿宋" w:eastAsia="仿宋" w:cs="仿宋"/>
          <w:color w:val="auto"/>
          <w:szCs w:val="32"/>
          <w:highlight w:val="none"/>
        </w:rPr>
      </w:pPr>
      <w:bookmarkStart w:id="82" w:name="_Toc450482502"/>
      <w:bookmarkStart w:id="83" w:name="_Toc35261577"/>
      <w:bookmarkStart w:id="84" w:name="_Toc54978896"/>
      <w:r>
        <w:rPr>
          <w:rFonts w:hint="eastAsia" w:ascii="仿宋" w:hAnsi="仿宋" w:eastAsia="仿宋" w:cs="仿宋"/>
          <w:color w:val="auto"/>
          <w:szCs w:val="32"/>
          <w:highlight w:val="none"/>
        </w:rPr>
        <w:t>九、合同授予</w:t>
      </w:r>
      <w:bookmarkEnd w:id="82"/>
      <w:r>
        <w:rPr>
          <w:rFonts w:hint="eastAsia" w:ascii="仿宋" w:hAnsi="仿宋" w:eastAsia="仿宋" w:cs="仿宋"/>
          <w:color w:val="auto"/>
          <w:szCs w:val="32"/>
          <w:highlight w:val="none"/>
        </w:rPr>
        <w:t>及签订</w:t>
      </w:r>
      <w:bookmarkEnd w:id="83"/>
      <w:bookmarkEnd w:id="84"/>
    </w:p>
    <w:p w14:paraId="2EC074F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9.1合同授予</w:t>
      </w:r>
    </w:p>
    <w:p w14:paraId="56CF351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9.1.1本项目的合同将授予按本须知第7.1.1款所确定的中标人。</w:t>
      </w:r>
    </w:p>
    <w:p w14:paraId="7BC94BE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9.1.2 中标或者成交供应商拒绝与采购人签订合同的，采购人可以按照评审报告推荐的中标或者成交候选人名单排序，确定下一候选人为中标或者成交供应商，也可以重新开展采购活动。</w:t>
      </w:r>
    </w:p>
    <w:p w14:paraId="4D0686B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9.2签订合同</w:t>
      </w:r>
    </w:p>
    <w:p w14:paraId="04CB824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9.2.1 中标人应按中标通知书规定的时间与采购人签订合同。中标人在领取中标通知书时须向采购人提供一份关于本项目在实施过程中的相关人员的通讯录作为合同附件。</w:t>
      </w:r>
    </w:p>
    <w:p w14:paraId="26034AF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9.2.2 中标人如不遵守采购文件或投标文件各项条款的邀约与要约，或在接到中标通知书后借故拖延，拒签合同的，采购人将依据国家和采购文件有关规定要求中标人予以赔偿，同时采购人可根据相关规定另行选择中标人；</w:t>
      </w:r>
    </w:p>
    <w:p w14:paraId="3067C09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9.2.3 采购文件、中标人的投标文件及投标修改文件、评标过程中有关澄清文件及经投标人法定代表人或授权代表签字确认的询标回复和承诺及中标通知书均作为合同组成部分。</w:t>
      </w:r>
    </w:p>
    <w:p w14:paraId="46C424C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9.3履约保证金</w:t>
      </w:r>
    </w:p>
    <w:p w14:paraId="08F76E9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9.3.1中标人按“投标人须知前附表”规定的缴纳履约保证金。</w:t>
      </w:r>
    </w:p>
    <w:p w14:paraId="24CB2E5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9.3.2履约保证金有效期按“投标人须知前附表”规定。</w:t>
      </w:r>
    </w:p>
    <w:p w14:paraId="014B60D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9.3.3履约保证金有效期结束后，中标人凭保证金收据无息退还。</w:t>
      </w:r>
    </w:p>
    <w:p w14:paraId="7DE622FA">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9.3.4如投标人有下列情况，投标人将承担赔偿责任，赔偿金额为项目预算金额的2%，如实际损失超过前述金额的，投标人需赔偿超过前述金额部分的实际损失。</w:t>
      </w:r>
    </w:p>
    <w:p w14:paraId="65E91BC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9.3.4.1投标人在投标截止时间后撤销投标文件的；</w:t>
      </w:r>
    </w:p>
    <w:p w14:paraId="19090C5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9.3.4.2投标人未按规定签订合同或转让中标的；</w:t>
      </w:r>
    </w:p>
    <w:p w14:paraId="66DB7FB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9.3.4.3投标人违反相关法律法规规定，给采购人造成损失的。</w:t>
      </w:r>
    </w:p>
    <w:p w14:paraId="585AFA1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9.4采购代理服务费</w:t>
      </w:r>
    </w:p>
    <w:p w14:paraId="00000276">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本次采购代理服务费按“投标人须知前附表”规定收取。</w:t>
      </w:r>
      <w:bookmarkStart w:id="85" w:name="_Toc180555950"/>
      <w:bookmarkStart w:id="86" w:name="_Toc248065069"/>
      <w:bookmarkStart w:id="87" w:name="_Toc226337791"/>
    </w:p>
    <w:p w14:paraId="684D8B7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9.5诚实信用</w:t>
      </w:r>
      <w:bookmarkEnd w:id="85"/>
      <w:bookmarkEnd w:id="86"/>
      <w:bookmarkEnd w:id="87"/>
    </w:p>
    <w:p w14:paraId="3E1D291C">
      <w:pPr>
        <w:spacing w:line="460" w:lineRule="exact"/>
        <w:ind w:firstLine="420"/>
        <w:rPr>
          <w:rFonts w:ascii="仿宋" w:hAnsi="仿宋" w:eastAsia="仿宋" w:cs="仿宋"/>
          <w:color w:val="auto"/>
          <w:szCs w:val="24"/>
          <w:highlight w:val="none"/>
        </w:rPr>
      </w:pPr>
      <w:bookmarkStart w:id="88" w:name="_Toc180555951"/>
      <w:bookmarkStart w:id="89" w:name="_Toc248065070"/>
      <w:bookmarkStart w:id="90" w:name="_Toc226337792"/>
      <w:r>
        <w:rPr>
          <w:rFonts w:hint="eastAsia" w:ascii="仿宋" w:hAnsi="仿宋" w:eastAsia="仿宋" w:cs="仿宋"/>
          <w:color w:val="auto"/>
          <w:szCs w:val="24"/>
          <w:highlight w:val="none"/>
        </w:rPr>
        <w:t>9.5.1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338C78E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9.5.2如果采购人有证据表明投标人在本招标项目的竞争中存在腐败、欺诈、失信记录或其他严重违背诚信原则的行为，则将拒绝其投标，或中标无效。</w:t>
      </w:r>
    </w:p>
    <w:p w14:paraId="3C26E88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9.5.3如果中标人没有按照采购文件和中标通知书的规定签订合同，报嵊州市采购监督管理部门按照采购的有关规定进行处理。</w:t>
      </w:r>
      <w:bookmarkEnd w:id="88"/>
      <w:bookmarkEnd w:id="89"/>
      <w:bookmarkEnd w:id="90"/>
    </w:p>
    <w:p w14:paraId="7ACC44D9">
      <w:pPr>
        <w:pStyle w:val="5"/>
        <w:spacing w:line="460" w:lineRule="exact"/>
        <w:jc w:val="center"/>
        <w:rPr>
          <w:rFonts w:ascii="仿宋" w:hAnsi="仿宋" w:eastAsia="仿宋" w:cs="仿宋"/>
          <w:color w:val="auto"/>
          <w:szCs w:val="32"/>
          <w:highlight w:val="none"/>
        </w:rPr>
      </w:pPr>
      <w:bookmarkStart w:id="91" w:name="_Toc35261578"/>
      <w:bookmarkStart w:id="92" w:name="_Toc54978897"/>
      <w:r>
        <w:rPr>
          <w:rFonts w:hint="eastAsia" w:ascii="仿宋" w:hAnsi="仿宋" w:eastAsia="仿宋" w:cs="仿宋"/>
          <w:color w:val="auto"/>
          <w:szCs w:val="32"/>
          <w:highlight w:val="none"/>
        </w:rPr>
        <w:t>十、询问、投诉、质疑</w:t>
      </w:r>
      <w:bookmarkEnd w:id="91"/>
      <w:bookmarkEnd w:id="92"/>
    </w:p>
    <w:p w14:paraId="63D723C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采购供应商（投标人，下同）可以依法提起质疑和投诉。</w:t>
      </w:r>
    </w:p>
    <w:p w14:paraId="547F5DE1">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质疑函范本、投诉书范本请到浙江政府采购网下载专区下载。</w:t>
      </w:r>
    </w:p>
    <w:p w14:paraId="3B173824">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10.1供应商询问</w:t>
      </w:r>
    </w:p>
    <w:p w14:paraId="4229158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供应商对采购活动事项有疑问的，可以向采购机构提出询问，采购人或者采购代理机构应当在3个工作日内对供应商依法提出的询问作出答复，但答复的内容不得涉及商业秘密。</w:t>
      </w:r>
    </w:p>
    <w:p w14:paraId="5BA26C5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10.2供应商质疑</w:t>
      </w:r>
    </w:p>
    <w:p w14:paraId="1E06E42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10.2.1投标人认为采购文件、采购过程、中标或者成交结果使自己的权益受到损害的，可以在知道或者应知其权益受到损害之日起7个工作日内，以书面形式向采购人、采购代理机构提出质疑。</w:t>
      </w:r>
    </w:p>
    <w:p w14:paraId="28684DF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本项目要求投标人在法定质疑期内一次性提出针对同一采购程序环节的质疑。</w:t>
      </w:r>
    </w:p>
    <w:p w14:paraId="2F7DC4A9">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10.2.2提出质疑的投标人（以下简称质疑人）应当是参与所质疑项目采购活动的投标人。</w:t>
      </w:r>
    </w:p>
    <w:p w14:paraId="42184EE7">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潜在投标人已依法获取其可质疑的采购文件的，可以对该文件提出质疑。对采购文件提出质疑的，应当在获取采购文件或者采购文件公告期限届满之日起7个工作日内提出。</w:t>
      </w:r>
    </w:p>
    <w:p w14:paraId="017379FC">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10.2.3投标人提出质疑应当提交质疑函和必要的证明材料。质疑函应当包括下列内容：</w:t>
      </w:r>
    </w:p>
    <w:p w14:paraId="36EB2092">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（一）投标人的姓名或者名称、地址、邮编、联系人及联系电话；</w:t>
      </w:r>
    </w:p>
    <w:p w14:paraId="17BE290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（二）质疑项目的名称、编号；</w:t>
      </w:r>
    </w:p>
    <w:p w14:paraId="262C7EE0">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（三）具体、明确的质疑事项和与质疑事项相关的请求；</w:t>
      </w:r>
    </w:p>
    <w:p w14:paraId="03C7C64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（四）事实依据；</w:t>
      </w:r>
    </w:p>
    <w:p w14:paraId="6D73866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（五）必要的法律依据；</w:t>
      </w:r>
    </w:p>
    <w:p w14:paraId="0AC8E60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（六）提出质疑的日期。</w:t>
      </w:r>
    </w:p>
    <w:p w14:paraId="7190644F">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投标人为自然人的，应当由本人签字；投标人为法人或者其他组织的，应当由法定代表人、主要负责人，或者其授权代表签字或者盖章，并加盖公章。</w:t>
      </w:r>
    </w:p>
    <w:p w14:paraId="6F497363">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10.2.4采购人、采购代理机构在收到法定质疑期内发出的质疑函后7个工作日内作出答复，并以书面形式通知质疑人和其他有关投标人。质疑答复的内容不得涉及商业秘密。</w:t>
      </w:r>
    </w:p>
    <w:p w14:paraId="62C90F3B">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10.3供应商投诉</w:t>
      </w:r>
    </w:p>
    <w:p w14:paraId="57B45B1D">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质疑供应商对采购机构的答复不满意或者采购机构未在规定的时间内作出答复的，可以在答复期满后十五个工作日内向同级采购监督管理部门提出投诉。</w:t>
      </w:r>
    </w:p>
    <w:p w14:paraId="5F9BABB8">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10.4采购结束</w:t>
      </w:r>
    </w:p>
    <w:p w14:paraId="72174935">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10.4.1中标人与采购人签订合同生效后即为采购结束。</w:t>
      </w:r>
    </w:p>
    <w:p w14:paraId="7DCC5A6E">
      <w:pPr>
        <w:spacing w:line="460" w:lineRule="exact"/>
        <w:ind w:firstLine="420"/>
        <w:rPr>
          <w:rFonts w:ascii="仿宋" w:hAnsi="仿宋" w:eastAsia="仿宋" w:cs="仿宋"/>
          <w:color w:val="auto"/>
          <w:szCs w:val="24"/>
          <w:highlight w:val="none"/>
        </w:rPr>
      </w:pPr>
      <w:r>
        <w:rPr>
          <w:rFonts w:hint="eastAsia" w:ascii="仿宋" w:hAnsi="仿宋" w:eastAsia="仿宋" w:cs="仿宋"/>
          <w:color w:val="auto"/>
          <w:szCs w:val="24"/>
          <w:highlight w:val="none"/>
        </w:rPr>
        <w:t>10.4.2本项目的投标文件不予退回。</w:t>
      </w:r>
    </w:p>
    <w:p w14:paraId="634D1F4D">
      <w:pPr>
        <w:snapToGrid w:val="0"/>
        <w:spacing w:line="460" w:lineRule="exact"/>
        <w:outlineLvl w:val="1"/>
        <w:rPr>
          <w:rFonts w:ascii="仿宋" w:hAnsi="仿宋" w:eastAsia="仿宋" w:cs="仿宋"/>
          <w:b/>
          <w:color w:val="auto"/>
          <w:szCs w:val="24"/>
          <w:highlight w:val="none"/>
        </w:rPr>
      </w:pPr>
      <w:bookmarkStart w:id="93" w:name="_Toc54978898"/>
    </w:p>
    <w:p w14:paraId="2DCA0550">
      <w:pPr>
        <w:snapToGrid w:val="0"/>
        <w:spacing w:line="460" w:lineRule="exact"/>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十一、电子交易活动的中止</w:t>
      </w:r>
    </w:p>
    <w:p w14:paraId="527F9615">
      <w:pPr>
        <w:snapToGrid w:val="0"/>
        <w:spacing w:line="460" w:lineRule="exact"/>
        <w:jc w:val="left"/>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   11.1电子交易活动的中止。</w:t>
      </w:r>
    </w:p>
    <w:p w14:paraId="5B227508">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14:paraId="4FE6BB7C">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11.1.1电子交易平台发生故障而无法登录访问的； </w:t>
      </w:r>
    </w:p>
    <w:p w14:paraId="67987F2C">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11.1.2电子交易平台应用或数据库出现错误，不能进行正常操作的；</w:t>
      </w:r>
    </w:p>
    <w:p w14:paraId="4E720677">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11.1.3电子交易平台发现严重安全漏洞，有潜在泄密危险的；</w:t>
      </w:r>
    </w:p>
    <w:p w14:paraId="1288B75D">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11.1.4病毒发作导致不能进行正常操作的；</w:t>
      </w:r>
    </w:p>
    <w:p w14:paraId="7A6A6ED2">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11.1.5其他无法保证电子交易的公平、公正和安全的情况。</w:t>
      </w:r>
    </w:p>
    <w:p w14:paraId="05D76462">
      <w:pPr>
        <w:widowControl/>
        <w:snapToGrid w:val="0"/>
        <w:spacing w:line="460" w:lineRule="exact"/>
        <w:jc w:val="left"/>
        <w:rPr>
          <w:rFonts w:ascii="仿宋" w:hAnsi="仿宋" w:eastAsia="仿宋" w:cs="仿宋"/>
          <w:color w:val="auto"/>
          <w:szCs w:val="24"/>
          <w:highlight w:val="none"/>
          <w:lang w:val="zh-CN"/>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CC153EF">
      <w:pPr>
        <w:snapToGrid w:val="0"/>
        <w:spacing w:line="460" w:lineRule="exact"/>
        <w:jc w:val="center"/>
        <w:outlineLvl w:val="1"/>
        <w:rPr>
          <w:rFonts w:ascii="仿宋" w:hAnsi="仿宋" w:eastAsia="仿宋" w:cs="仿宋"/>
          <w:b/>
          <w:bCs/>
          <w:color w:val="auto"/>
          <w:szCs w:val="24"/>
          <w:highlight w:val="none"/>
        </w:rPr>
      </w:pPr>
    </w:p>
    <w:p w14:paraId="713D362F">
      <w:pPr>
        <w:snapToGrid w:val="0"/>
        <w:spacing w:line="460" w:lineRule="exact"/>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十二、验收</w:t>
      </w:r>
    </w:p>
    <w:p w14:paraId="27BD502F">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12.1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8F397D">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12.2采购人可以邀请参加本项目的其他投标人或者第三方机构参与验收。参与验收的投标人或者第三方机构的意见作为验收书的参考资料一并存档。</w:t>
      </w:r>
    </w:p>
    <w:p w14:paraId="1DC43472">
      <w:pPr>
        <w:snapToGrid w:val="0"/>
        <w:spacing w:line="4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E824BD">
      <w:pPr>
        <w:snapToGrid w:val="0"/>
        <w:spacing w:line="460" w:lineRule="exact"/>
        <w:ind w:firstLine="480" w:firstLineChars="200"/>
        <w:rPr>
          <w:rFonts w:ascii="仿宋" w:hAnsi="仿宋" w:eastAsia="仿宋" w:cs="仿宋"/>
          <w:color w:val="auto"/>
          <w:szCs w:val="24"/>
          <w:highlight w:val="none"/>
        </w:rPr>
        <w:sectPr>
          <w:headerReference r:id="rId4" w:type="first"/>
          <w:footerReference r:id="rId6" w:type="first"/>
          <w:headerReference r:id="rId3" w:type="default"/>
          <w:footerReference r:id="rId5" w:type="default"/>
          <w:pgSz w:w="11906" w:h="16838"/>
          <w:pgMar w:top="1418" w:right="1418" w:bottom="1418" w:left="1418" w:header="851" w:footer="992" w:gutter="0"/>
          <w:cols w:space="720" w:num="1"/>
          <w:titlePg/>
          <w:docGrid w:linePitch="312" w:charSpace="0"/>
        </w:sectPr>
      </w:pPr>
      <w:r>
        <w:rPr>
          <w:rFonts w:hint="eastAsia" w:ascii="仿宋" w:hAnsi="仿宋" w:eastAsia="仿宋" w:cs="仿宋"/>
          <w:color w:val="auto"/>
          <w:szCs w:val="24"/>
          <w:highlight w:val="none"/>
        </w:rPr>
        <w:t>12.4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94" w:name="_Hlt75236011"/>
      <w:bookmarkEnd w:id="94"/>
      <w:bookmarkStart w:id="95" w:name="_Hlt68073093"/>
      <w:bookmarkEnd w:id="95"/>
      <w:bookmarkStart w:id="96" w:name="_Hlt74729768"/>
      <w:bookmarkEnd w:id="96"/>
      <w:bookmarkStart w:id="97" w:name="_Hlt74730295"/>
      <w:bookmarkEnd w:id="97"/>
      <w:bookmarkStart w:id="98" w:name="_Hlt75236101"/>
      <w:bookmarkEnd w:id="98"/>
      <w:bookmarkStart w:id="99" w:name="_Hlt68072990"/>
      <w:bookmarkEnd w:id="99"/>
      <w:bookmarkStart w:id="100" w:name="_Hlt74707468"/>
      <w:bookmarkEnd w:id="100"/>
      <w:bookmarkStart w:id="101" w:name="_Hlt68057669"/>
      <w:bookmarkEnd w:id="101"/>
      <w:bookmarkStart w:id="102" w:name="_Hlt75236290"/>
      <w:bookmarkEnd w:id="102"/>
      <w:bookmarkStart w:id="103" w:name="_Hlt68072998"/>
      <w:bookmarkEnd w:id="103"/>
      <w:bookmarkStart w:id="104" w:name="_Hlt74714665"/>
      <w:bookmarkEnd w:id="104"/>
      <w:bookmarkStart w:id="105" w:name="_Hlt68403820"/>
      <w:bookmarkEnd w:id="105"/>
      <w:r>
        <w:rPr>
          <w:rFonts w:hint="eastAsia" w:ascii="仿宋" w:hAnsi="仿宋" w:eastAsia="仿宋" w:cs="仿宋"/>
          <w:color w:val="auto"/>
          <w:szCs w:val="24"/>
          <w:highlight w:val="none"/>
        </w:rPr>
        <w:t>相关主管部门。</w:t>
      </w:r>
    </w:p>
    <w:p w14:paraId="6F33E117">
      <w:pPr>
        <w:pStyle w:val="349"/>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第三部分  项目招标范围及技术要求</w:t>
      </w:r>
    </w:p>
    <w:p w14:paraId="037F4D3C">
      <w:pPr>
        <w:spacing w:line="360" w:lineRule="auto"/>
        <w:rPr>
          <w:rFonts w:ascii="仿宋" w:hAnsi="仿宋" w:eastAsia="仿宋" w:cs="仿宋"/>
          <w:b/>
          <w:bCs/>
          <w:color w:val="auto"/>
          <w:szCs w:val="24"/>
          <w:highlight w:val="none"/>
        </w:rPr>
      </w:pPr>
      <w:bookmarkStart w:id="106" w:name="_Toc367271165"/>
      <w:bookmarkStart w:id="107" w:name="_Toc14383"/>
      <w:bookmarkStart w:id="108" w:name="_Toc388709313"/>
      <w:bookmarkStart w:id="109" w:name="_Toc4126"/>
      <w:r>
        <w:rPr>
          <w:rFonts w:hint="eastAsia" w:ascii="仿宋" w:hAnsi="仿宋" w:eastAsia="仿宋" w:cs="仿宋"/>
          <w:b/>
          <w:bCs/>
          <w:color w:val="auto"/>
          <w:szCs w:val="24"/>
          <w:highlight w:val="none"/>
        </w:rPr>
        <w:t>一、</w:t>
      </w:r>
      <w:bookmarkEnd w:id="106"/>
      <w:bookmarkEnd w:id="107"/>
      <w:bookmarkEnd w:id="108"/>
      <w:bookmarkEnd w:id="109"/>
      <w:r>
        <w:rPr>
          <w:rFonts w:hint="eastAsia" w:ascii="仿宋" w:hAnsi="仿宋" w:eastAsia="仿宋" w:cs="仿宋"/>
          <w:b/>
          <w:bCs/>
          <w:color w:val="auto"/>
          <w:szCs w:val="24"/>
          <w:highlight w:val="none"/>
        </w:rPr>
        <w:t>建设背景</w:t>
      </w:r>
    </w:p>
    <w:p w14:paraId="37A094B6">
      <w:pPr>
        <w:snapToGrid w:val="0"/>
        <w:spacing w:line="360" w:lineRule="auto"/>
        <w:ind w:firstLine="480" w:firstLineChars="200"/>
        <w:rPr>
          <w:rFonts w:ascii="仿宋" w:hAnsi="仿宋" w:eastAsia="仿宋" w:cs="仿宋"/>
          <w:color w:val="auto"/>
          <w:szCs w:val="24"/>
          <w:highlight w:val="none"/>
        </w:rPr>
      </w:pPr>
      <w:bookmarkStart w:id="110" w:name="_Toc13275"/>
      <w:r>
        <w:rPr>
          <w:rFonts w:hint="eastAsia" w:ascii="仿宋" w:hAnsi="仿宋" w:eastAsia="仿宋" w:cs="仿宋"/>
          <w:color w:val="auto"/>
          <w:szCs w:val="24"/>
          <w:highlight w:val="none"/>
        </w:rPr>
        <w:t>开元名都酒店主楼四十五层，其中6-24层为商业办公用房，其中13层为设备层；为了达到节能降耗、智能化管控及冷量计量计费的目的，拟对开元名都6至24层写字楼中央空调系统进行改造。</w:t>
      </w:r>
    </w:p>
    <w:p w14:paraId="37133D9E">
      <w:pPr>
        <w:spacing w:line="360" w:lineRule="auto"/>
        <w:ind w:firstLine="48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写字楼中央空调制冷系统采用两台制冷量1775KW冷水机组提供冷冻水，并对应配置3台45KW冷冻泵、3台55KW冷却泵及2组2*11KW冷却塔，采暖系统采用两台供热量1163KW真空热水锅炉及3台15KW的热水泵；</w:t>
      </w:r>
      <w:r>
        <w:rPr>
          <w:rFonts w:hint="eastAsia" w:ascii="仿宋" w:hAnsi="仿宋" w:eastAsia="仿宋" w:cs="仿宋"/>
          <w:color w:val="auto"/>
          <w:szCs w:val="24"/>
          <w:highlight w:val="none"/>
        </w:rPr>
        <w:t>现针对开元名都写字楼中央空调系统做节能改造。酒店中央空调系统冷源为两台螺杆式冷水机组，热源为一台真空热水锅炉。冷热水系统为一次泵系统。</w:t>
      </w:r>
    </w:p>
    <w:p w14:paraId="231E29A4">
      <w:pPr>
        <w:spacing w:line="360" w:lineRule="auto"/>
        <w:rPr>
          <w:rFonts w:ascii="仿宋" w:hAnsi="仿宋" w:eastAsia="仿宋" w:cs="仿宋"/>
          <w:b/>
          <w:bCs/>
          <w:color w:val="auto"/>
          <w:szCs w:val="24"/>
          <w:highlight w:val="none"/>
        </w:rPr>
      </w:pPr>
      <w:r>
        <w:rPr>
          <w:rFonts w:hint="eastAsia" w:ascii="宋体" w:hAnsi="宋体" w:cs="宋体"/>
          <w:b/>
          <w:bCs/>
          <w:color w:val="auto"/>
          <w:szCs w:val="24"/>
          <w:highlight w:val="none"/>
        </w:rPr>
        <w:t>★</w:t>
      </w:r>
      <w:r>
        <w:rPr>
          <w:rFonts w:hint="eastAsia" w:ascii="仿宋" w:hAnsi="仿宋" w:eastAsia="仿宋" w:cs="仿宋"/>
          <w:b/>
          <w:bCs/>
          <w:color w:val="auto"/>
          <w:szCs w:val="24"/>
          <w:highlight w:val="none"/>
        </w:rPr>
        <w:t>现有中央空调机房配置情况</w:t>
      </w:r>
      <w:bookmarkEnd w:id="110"/>
    </w:p>
    <w:tbl>
      <w:tblPr>
        <w:tblStyle w:val="7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783"/>
        <w:gridCol w:w="751"/>
        <w:gridCol w:w="1032"/>
        <w:gridCol w:w="4948"/>
      </w:tblGrid>
      <w:tr w14:paraId="2DBC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4F81BD"/>
            <w:noWrap/>
            <w:vAlign w:val="center"/>
          </w:tcPr>
          <w:p w14:paraId="47F5CD1F">
            <w:pPr>
              <w:widowControl/>
              <w:jc w:val="center"/>
              <w:textAlignment w:val="bottom"/>
              <w:rPr>
                <w:rFonts w:ascii="仿宋" w:hAnsi="仿宋" w:eastAsia="仿宋" w:cs="仿宋"/>
                <w:b/>
                <w:color w:val="auto"/>
                <w:szCs w:val="24"/>
                <w:highlight w:val="none"/>
              </w:rPr>
            </w:pPr>
            <w:r>
              <w:rPr>
                <w:rFonts w:hint="eastAsia" w:ascii="仿宋" w:hAnsi="仿宋" w:eastAsia="仿宋" w:cs="仿宋"/>
                <w:b/>
                <w:color w:val="auto"/>
                <w:kern w:val="0"/>
                <w:szCs w:val="24"/>
                <w:highlight w:val="none"/>
                <w:lang w:bidi="ar"/>
              </w:rPr>
              <w:t>序号</w:t>
            </w:r>
          </w:p>
        </w:tc>
        <w:tc>
          <w:tcPr>
            <w:tcW w:w="1783" w:type="dxa"/>
            <w:tcBorders>
              <w:top w:val="single" w:color="FFFFFF" w:sz="4" w:space="0"/>
              <w:left w:val="single" w:color="FFFFFF" w:sz="4" w:space="0"/>
              <w:bottom w:val="single" w:color="FFFFFF" w:sz="4" w:space="0"/>
              <w:right w:val="single" w:color="FFFFFF" w:sz="4" w:space="0"/>
            </w:tcBorders>
            <w:shd w:val="clear" w:color="auto" w:fill="4F81BD"/>
            <w:noWrap/>
            <w:vAlign w:val="center"/>
          </w:tcPr>
          <w:p w14:paraId="7B531D98">
            <w:pPr>
              <w:widowControl/>
              <w:jc w:val="center"/>
              <w:textAlignment w:val="bottom"/>
              <w:rPr>
                <w:rFonts w:ascii="仿宋" w:hAnsi="仿宋" w:eastAsia="仿宋" w:cs="仿宋"/>
                <w:b/>
                <w:color w:val="auto"/>
                <w:szCs w:val="24"/>
                <w:highlight w:val="none"/>
              </w:rPr>
            </w:pPr>
            <w:r>
              <w:rPr>
                <w:rFonts w:hint="eastAsia" w:ascii="仿宋" w:hAnsi="仿宋" w:eastAsia="仿宋" w:cs="仿宋"/>
                <w:b/>
                <w:color w:val="auto"/>
                <w:kern w:val="0"/>
                <w:szCs w:val="24"/>
                <w:highlight w:val="none"/>
                <w:lang w:bidi="ar"/>
              </w:rPr>
              <w:t>名称</w:t>
            </w:r>
          </w:p>
        </w:tc>
        <w:tc>
          <w:tcPr>
            <w:tcW w:w="751" w:type="dxa"/>
            <w:tcBorders>
              <w:top w:val="single" w:color="FFFFFF" w:sz="4" w:space="0"/>
              <w:left w:val="single" w:color="FFFFFF" w:sz="4" w:space="0"/>
              <w:bottom w:val="single" w:color="FFFFFF" w:sz="4" w:space="0"/>
              <w:right w:val="single" w:color="FFFFFF" w:sz="4" w:space="0"/>
            </w:tcBorders>
            <w:shd w:val="clear" w:color="auto" w:fill="4F81BD"/>
            <w:noWrap/>
            <w:vAlign w:val="center"/>
          </w:tcPr>
          <w:p w14:paraId="6F58634B">
            <w:pPr>
              <w:widowControl/>
              <w:jc w:val="center"/>
              <w:textAlignment w:val="bottom"/>
              <w:rPr>
                <w:rFonts w:ascii="仿宋" w:hAnsi="仿宋" w:eastAsia="仿宋" w:cs="仿宋"/>
                <w:b/>
                <w:color w:val="auto"/>
                <w:szCs w:val="24"/>
                <w:highlight w:val="none"/>
              </w:rPr>
            </w:pPr>
            <w:r>
              <w:rPr>
                <w:rFonts w:hint="eastAsia" w:ascii="仿宋" w:hAnsi="仿宋" w:eastAsia="仿宋" w:cs="仿宋"/>
                <w:b/>
                <w:color w:val="auto"/>
                <w:kern w:val="0"/>
                <w:szCs w:val="24"/>
                <w:highlight w:val="none"/>
                <w:lang w:bidi="ar"/>
              </w:rPr>
              <w:t>数量</w:t>
            </w:r>
          </w:p>
        </w:tc>
        <w:tc>
          <w:tcPr>
            <w:tcW w:w="1032" w:type="dxa"/>
            <w:tcBorders>
              <w:top w:val="single" w:color="FFFFFF" w:sz="4" w:space="0"/>
              <w:left w:val="single" w:color="FFFFFF" w:sz="4" w:space="0"/>
              <w:bottom w:val="single" w:color="FFFFFF" w:sz="4" w:space="0"/>
              <w:right w:val="single" w:color="FFFFFF" w:sz="4" w:space="0"/>
            </w:tcBorders>
            <w:shd w:val="clear" w:color="auto" w:fill="4F81BD"/>
            <w:noWrap/>
            <w:vAlign w:val="center"/>
          </w:tcPr>
          <w:p w14:paraId="22BD37B1">
            <w:pPr>
              <w:widowControl/>
              <w:jc w:val="center"/>
              <w:textAlignment w:val="bottom"/>
              <w:rPr>
                <w:rFonts w:ascii="仿宋" w:hAnsi="仿宋" w:eastAsia="仿宋" w:cs="仿宋"/>
                <w:b/>
                <w:color w:val="auto"/>
                <w:szCs w:val="24"/>
                <w:highlight w:val="none"/>
              </w:rPr>
            </w:pPr>
            <w:r>
              <w:rPr>
                <w:rFonts w:hint="eastAsia" w:ascii="仿宋" w:hAnsi="仿宋" w:eastAsia="仿宋" w:cs="仿宋"/>
                <w:b/>
                <w:color w:val="auto"/>
                <w:kern w:val="0"/>
                <w:szCs w:val="24"/>
                <w:highlight w:val="none"/>
                <w:lang w:bidi="ar"/>
              </w:rPr>
              <w:t>功率</w:t>
            </w:r>
          </w:p>
        </w:tc>
        <w:tc>
          <w:tcPr>
            <w:tcW w:w="4948" w:type="dxa"/>
            <w:tcBorders>
              <w:top w:val="single" w:color="FFFFFF" w:sz="4" w:space="0"/>
              <w:left w:val="single" w:color="FFFFFF" w:sz="4" w:space="0"/>
              <w:bottom w:val="single" w:color="FFFFFF" w:sz="4" w:space="0"/>
              <w:right w:val="single" w:color="FFFFFF" w:sz="4" w:space="0"/>
            </w:tcBorders>
            <w:shd w:val="clear" w:color="auto" w:fill="4F81BD"/>
            <w:noWrap/>
            <w:vAlign w:val="center"/>
          </w:tcPr>
          <w:p w14:paraId="7BCA7331">
            <w:pPr>
              <w:widowControl/>
              <w:jc w:val="center"/>
              <w:textAlignment w:val="bottom"/>
              <w:rPr>
                <w:rFonts w:ascii="仿宋" w:hAnsi="仿宋" w:eastAsia="仿宋" w:cs="仿宋"/>
                <w:b/>
                <w:color w:val="auto"/>
                <w:szCs w:val="24"/>
                <w:highlight w:val="none"/>
              </w:rPr>
            </w:pPr>
            <w:r>
              <w:rPr>
                <w:rFonts w:hint="eastAsia" w:ascii="仿宋" w:hAnsi="仿宋" w:eastAsia="仿宋" w:cs="仿宋"/>
                <w:b/>
                <w:color w:val="auto"/>
                <w:kern w:val="0"/>
                <w:szCs w:val="24"/>
                <w:highlight w:val="none"/>
                <w:lang w:bidi="ar"/>
              </w:rPr>
              <w:t>备注</w:t>
            </w:r>
          </w:p>
        </w:tc>
      </w:tr>
      <w:tr w14:paraId="1A5BC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31D0F88F">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1783"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73140402">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离心式冷水机组</w:t>
            </w:r>
          </w:p>
        </w:tc>
        <w:tc>
          <w:tcPr>
            <w:tcW w:w="751"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7875D34B">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0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4182FD4C">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334.6KW</w:t>
            </w:r>
          </w:p>
        </w:tc>
        <w:tc>
          <w:tcPr>
            <w:tcW w:w="4948"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38CFED06">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品牌：约克；制冷量：1775KW；制冷剂：R134A；充注量：358KG；出水温度设定7℃，主机冷冻侧有电动开关阀，冷却侧无电动开关阀</w:t>
            </w:r>
          </w:p>
        </w:tc>
      </w:tr>
      <w:tr w14:paraId="4481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7CF4F683">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w:t>
            </w:r>
          </w:p>
        </w:tc>
        <w:tc>
          <w:tcPr>
            <w:tcW w:w="1783"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57DA6B85">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离心式冷水机组</w:t>
            </w:r>
          </w:p>
        </w:tc>
        <w:tc>
          <w:tcPr>
            <w:tcW w:w="751"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240D8A5A">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0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61A327F8">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314.4KW</w:t>
            </w:r>
          </w:p>
        </w:tc>
        <w:tc>
          <w:tcPr>
            <w:tcW w:w="4948"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672D7868">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品牌：约克；制冷量：1775KW；制冷剂：R134A；充注量：356KG；出水温度设定7℃，主机冷冻侧有电动开关阀，冷却侧无电动开关阀</w:t>
            </w:r>
          </w:p>
        </w:tc>
      </w:tr>
      <w:tr w14:paraId="5F24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509881E2">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3</w:t>
            </w:r>
          </w:p>
        </w:tc>
        <w:tc>
          <w:tcPr>
            <w:tcW w:w="1783"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3D916A0E">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冷冻泵</w:t>
            </w:r>
          </w:p>
        </w:tc>
        <w:tc>
          <w:tcPr>
            <w:tcW w:w="751"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2A737FC1">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0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2369712B">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45KW</w:t>
            </w:r>
          </w:p>
        </w:tc>
        <w:tc>
          <w:tcPr>
            <w:tcW w:w="4948" w:type="dxa"/>
            <w:tcBorders>
              <w:top w:val="single" w:color="FFFFFF" w:sz="4" w:space="0"/>
              <w:left w:val="single" w:color="FFFFFF" w:sz="4" w:space="0"/>
              <w:bottom w:val="single" w:color="FFFFFF" w:sz="4" w:space="0"/>
              <w:right w:val="single" w:color="FFFFFF" w:sz="4" w:space="0"/>
            </w:tcBorders>
            <w:shd w:val="clear" w:color="auto" w:fill="DBE6F2"/>
            <w:noWrap w:val="0"/>
            <w:vAlign w:val="center"/>
          </w:tcPr>
          <w:p w14:paraId="02A323BE">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品牌：威乐；变频；流量：380m³/h；扬程：31.5m</w:t>
            </w:r>
          </w:p>
        </w:tc>
      </w:tr>
      <w:tr w14:paraId="0D35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03004D73">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w:t>
            </w:r>
          </w:p>
        </w:tc>
        <w:tc>
          <w:tcPr>
            <w:tcW w:w="1783"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6E31071F">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冷却泵</w:t>
            </w:r>
          </w:p>
        </w:tc>
        <w:tc>
          <w:tcPr>
            <w:tcW w:w="751"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25647B44">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0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1F07A7F6">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55KW</w:t>
            </w:r>
          </w:p>
        </w:tc>
        <w:tc>
          <w:tcPr>
            <w:tcW w:w="4948" w:type="dxa"/>
            <w:tcBorders>
              <w:top w:val="single" w:color="FFFFFF" w:sz="4" w:space="0"/>
              <w:left w:val="single" w:color="FFFFFF" w:sz="4" w:space="0"/>
              <w:bottom w:val="single" w:color="FFFFFF" w:sz="4" w:space="0"/>
              <w:right w:val="single" w:color="FFFFFF" w:sz="4" w:space="0"/>
            </w:tcBorders>
            <w:shd w:val="clear" w:color="auto" w:fill="B8CDE5"/>
            <w:noWrap w:val="0"/>
            <w:vAlign w:val="center"/>
          </w:tcPr>
          <w:p w14:paraId="6C60F0F9">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品牌：威乐；变频；扬程：28.6m</w:t>
            </w:r>
          </w:p>
        </w:tc>
      </w:tr>
      <w:tr w14:paraId="1DB7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0A87C456">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w:t>
            </w:r>
          </w:p>
        </w:tc>
        <w:tc>
          <w:tcPr>
            <w:tcW w:w="1783"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3C366188">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分水器</w:t>
            </w:r>
          </w:p>
        </w:tc>
        <w:tc>
          <w:tcPr>
            <w:tcW w:w="751"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2E9E0127">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0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68FC6C37">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4948" w:type="dxa"/>
            <w:tcBorders>
              <w:top w:val="single" w:color="FFFFFF" w:sz="4" w:space="0"/>
              <w:left w:val="single" w:color="FFFFFF" w:sz="4" w:space="0"/>
              <w:bottom w:val="single" w:color="FFFFFF" w:sz="4" w:space="0"/>
              <w:right w:val="single" w:color="FFFFFF" w:sz="4" w:space="0"/>
            </w:tcBorders>
            <w:shd w:val="clear" w:color="auto" w:fill="B8CDE5"/>
            <w:noWrap w:val="0"/>
            <w:vAlign w:val="center"/>
          </w:tcPr>
          <w:p w14:paraId="5B1F90AC">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供两个区：6-24层(办公主楼)；</w:t>
            </w:r>
          </w:p>
          <w:p w14:paraId="795EC8C2">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负1-2层（办公大堂）</w:t>
            </w:r>
          </w:p>
        </w:tc>
      </w:tr>
      <w:tr w14:paraId="39C21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77385052">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w:t>
            </w:r>
          </w:p>
        </w:tc>
        <w:tc>
          <w:tcPr>
            <w:tcW w:w="1783"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02BA6794">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集水器</w:t>
            </w:r>
          </w:p>
        </w:tc>
        <w:tc>
          <w:tcPr>
            <w:tcW w:w="751"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0EEBF72C">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032" w:type="dxa"/>
            <w:tcBorders>
              <w:top w:val="single" w:color="FFFFFF" w:sz="4" w:space="0"/>
              <w:left w:val="single" w:color="FFFFFF" w:sz="4" w:space="0"/>
              <w:bottom w:val="single" w:color="FFFFFF" w:sz="4" w:space="0"/>
              <w:right w:val="single" w:color="FFFFFF" w:sz="4" w:space="0"/>
            </w:tcBorders>
            <w:shd w:val="clear" w:color="auto" w:fill="B8CDE5"/>
            <w:noWrap/>
            <w:vAlign w:val="center"/>
          </w:tcPr>
          <w:p w14:paraId="4A3BA338">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4948" w:type="dxa"/>
            <w:tcBorders>
              <w:top w:val="single" w:color="FFFFFF" w:sz="4" w:space="0"/>
              <w:left w:val="single" w:color="FFFFFF" w:sz="4" w:space="0"/>
              <w:bottom w:val="single" w:color="FFFFFF" w:sz="4" w:space="0"/>
              <w:right w:val="single" w:color="FFFFFF" w:sz="4" w:space="0"/>
            </w:tcBorders>
            <w:shd w:val="clear" w:color="auto" w:fill="B8CDE5"/>
            <w:noWrap w:val="0"/>
            <w:vAlign w:val="center"/>
          </w:tcPr>
          <w:p w14:paraId="7DFFA734">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供两个区：6-24层(办公主楼)；</w:t>
            </w:r>
          </w:p>
          <w:p w14:paraId="19483E02">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负1-2层（办公大堂）</w:t>
            </w:r>
          </w:p>
        </w:tc>
      </w:tr>
      <w:tr w14:paraId="43CA5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7EB3F602">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w:t>
            </w:r>
          </w:p>
        </w:tc>
        <w:tc>
          <w:tcPr>
            <w:tcW w:w="1783"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17CCA9D2">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冷却塔</w:t>
            </w:r>
          </w:p>
        </w:tc>
        <w:tc>
          <w:tcPr>
            <w:tcW w:w="751"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5212BC53">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0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54EE8C74">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11*2KW</w:t>
            </w:r>
          </w:p>
        </w:tc>
        <w:tc>
          <w:tcPr>
            <w:tcW w:w="4948" w:type="dxa"/>
            <w:tcBorders>
              <w:top w:val="single" w:color="FFFFFF" w:sz="4" w:space="0"/>
              <w:left w:val="single" w:color="FFFFFF" w:sz="4" w:space="0"/>
              <w:bottom w:val="single" w:color="FFFFFF" w:sz="4" w:space="0"/>
              <w:right w:val="single" w:color="FFFFFF" w:sz="4" w:space="0"/>
            </w:tcBorders>
            <w:shd w:val="clear" w:color="auto" w:fill="DBE6F2"/>
            <w:noWrap w:val="0"/>
            <w:vAlign w:val="center"/>
          </w:tcPr>
          <w:p w14:paraId="2DB6E800">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2个工频启动柜在屋顶</w:t>
            </w:r>
          </w:p>
        </w:tc>
      </w:tr>
      <w:tr w14:paraId="2011C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1B6E5215">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8</w:t>
            </w:r>
          </w:p>
        </w:tc>
        <w:tc>
          <w:tcPr>
            <w:tcW w:w="1783"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2E0C3A3C">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真空热水机组</w:t>
            </w:r>
          </w:p>
        </w:tc>
        <w:tc>
          <w:tcPr>
            <w:tcW w:w="751"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02F3EF89">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0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167E6D69">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2.2KW</w:t>
            </w:r>
          </w:p>
        </w:tc>
        <w:tc>
          <w:tcPr>
            <w:tcW w:w="4948" w:type="dxa"/>
            <w:tcBorders>
              <w:top w:val="single" w:color="FFFFFF" w:sz="4" w:space="0"/>
              <w:left w:val="single" w:color="FFFFFF" w:sz="4" w:space="0"/>
              <w:bottom w:val="single" w:color="FFFFFF" w:sz="4" w:space="0"/>
              <w:right w:val="single" w:color="FFFFFF" w:sz="4" w:space="0"/>
            </w:tcBorders>
            <w:shd w:val="clear" w:color="auto" w:fill="DBE6F2"/>
            <w:noWrap w:val="0"/>
            <w:vAlign w:val="center"/>
          </w:tcPr>
          <w:p w14:paraId="14CD834B">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品牌：力聚；供热量：1163KW;</w:t>
            </w:r>
          </w:p>
          <w:p w14:paraId="3FFD24F6">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进/出口水温：50/60℃</w:t>
            </w:r>
          </w:p>
        </w:tc>
      </w:tr>
      <w:tr w14:paraId="33BB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53E8BC85">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9</w:t>
            </w:r>
          </w:p>
        </w:tc>
        <w:tc>
          <w:tcPr>
            <w:tcW w:w="1783"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0AFF38CA">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空调热水泵</w:t>
            </w:r>
          </w:p>
        </w:tc>
        <w:tc>
          <w:tcPr>
            <w:tcW w:w="751"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5CD1126E">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0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2A3BF740">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15KW</w:t>
            </w:r>
          </w:p>
        </w:tc>
        <w:tc>
          <w:tcPr>
            <w:tcW w:w="4948" w:type="dxa"/>
            <w:tcBorders>
              <w:top w:val="single" w:color="FFFFFF" w:sz="4" w:space="0"/>
              <w:left w:val="single" w:color="FFFFFF" w:sz="4" w:space="0"/>
              <w:bottom w:val="single" w:color="FFFFFF" w:sz="4" w:space="0"/>
              <w:right w:val="single" w:color="FFFFFF" w:sz="4" w:space="0"/>
            </w:tcBorders>
            <w:shd w:val="clear" w:color="auto" w:fill="DBE6F2"/>
            <w:noWrap w:val="0"/>
            <w:vAlign w:val="center"/>
          </w:tcPr>
          <w:p w14:paraId="42F2E798">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品牌：威乐；变频；流量：120m³/h；扬程：28m</w:t>
            </w:r>
          </w:p>
        </w:tc>
      </w:tr>
      <w:tr w14:paraId="5A2E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8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0B78C92C">
            <w:pPr>
              <w:widowControl/>
              <w:jc w:val="center"/>
              <w:textAlignment w:val="bottom"/>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10</w:t>
            </w:r>
          </w:p>
        </w:tc>
        <w:tc>
          <w:tcPr>
            <w:tcW w:w="1783"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35974445">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空调新风机组</w:t>
            </w:r>
          </w:p>
        </w:tc>
        <w:tc>
          <w:tcPr>
            <w:tcW w:w="751"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3B7EDDC9">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1032" w:type="dxa"/>
            <w:tcBorders>
              <w:top w:val="single" w:color="FFFFFF" w:sz="4" w:space="0"/>
              <w:left w:val="single" w:color="FFFFFF" w:sz="4" w:space="0"/>
              <w:bottom w:val="single" w:color="FFFFFF" w:sz="4" w:space="0"/>
              <w:right w:val="single" w:color="FFFFFF" w:sz="4" w:space="0"/>
            </w:tcBorders>
            <w:shd w:val="clear" w:color="auto" w:fill="DBE6F2"/>
            <w:noWrap/>
            <w:vAlign w:val="center"/>
          </w:tcPr>
          <w:p w14:paraId="2D94FF36">
            <w:pPr>
              <w:widowControl/>
              <w:jc w:val="center"/>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4948" w:type="dxa"/>
            <w:tcBorders>
              <w:top w:val="single" w:color="FFFFFF" w:sz="4" w:space="0"/>
              <w:left w:val="single" w:color="FFFFFF" w:sz="4" w:space="0"/>
              <w:bottom w:val="single" w:color="FFFFFF" w:sz="4" w:space="0"/>
              <w:right w:val="single" w:color="FFFFFF" w:sz="4" w:space="0"/>
            </w:tcBorders>
            <w:shd w:val="clear" w:color="auto" w:fill="DBE6F2"/>
            <w:noWrap w:val="0"/>
            <w:vAlign w:val="center"/>
          </w:tcPr>
          <w:p w14:paraId="007C821A">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054D7A81">
      <w:pPr>
        <w:spacing w:line="360" w:lineRule="auto"/>
        <w:rPr>
          <w:rFonts w:ascii="仿宋" w:hAnsi="仿宋" w:eastAsia="仿宋" w:cs="仿宋"/>
          <w:b/>
          <w:color w:val="auto"/>
          <w:szCs w:val="24"/>
          <w:highlight w:val="none"/>
        </w:rPr>
      </w:pPr>
      <w:r>
        <w:rPr>
          <w:rFonts w:hint="eastAsia" w:ascii="仿宋" w:hAnsi="仿宋" w:eastAsia="仿宋" w:cs="仿宋"/>
          <w:b/>
          <w:color w:val="auto"/>
          <w:szCs w:val="24"/>
          <w:highlight w:val="none"/>
        </w:rPr>
        <w:t>二、中央空调能源管理控制系统技术要求</w:t>
      </w:r>
    </w:p>
    <w:p w14:paraId="362A8E62">
      <w:pPr>
        <w:spacing w:line="348" w:lineRule="auto"/>
        <w:rPr>
          <w:rFonts w:ascii="仿宋" w:hAnsi="仿宋" w:eastAsia="仿宋" w:cs="仿宋"/>
          <w:b/>
          <w:color w:val="auto"/>
          <w:szCs w:val="24"/>
          <w:highlight w:val="none"/>
        </w:rPr>
      </w:pPr>
      <w:r>
        <w:rPr>
          <w:rFonts w:hint="eastAsia" w:ascii="仿宋" w:hAnsi="仿宋" w:eastAsia="仿宋" w:cs="仿宋"/>
          <w:b/>
          <w:bCs/>
          <w:color w:val="auto"/>
          <w:szCs w:val="24"/>
          <w:highlight w:val="none"/>
        </w:rPr>
        <w:t>1.中央空调能源管理控制系统</w:t>
      </w:r>
      <w:r>
        <w:rPr>
          <w:rFonts w:hint="eastAsia" w:ascii="仿宋" w:hAnsi="仿宋" w:eastAsia="仿宋" w:cs="仿宋"/>
          <w:b/>
          <w:color w:val="auto"/>
          <w:szCs w:val="24"/>
          <w:highlight w:val="none"/>
        </w:rPr>
        <w:t>各子项设备及技术要求</w:t>
      </w:r>
    </w:p>
    <w:tbl>
      <w:tblPr>
        <w:tblStyle w:val="79"/>
        <w:tblW w:w="0" w:type="auto"/>
        <w:jc w:val="center"/>
        <w:tblLayout w:type="fixed"/>
        <w:tblCellMar>
          <w:top w:w="0" w:type="dxa"/>
          <w:left w:w="0" w:type="dxa"/>
          <w:bottom w:w="0" w:type="dxa"/>
          <w:right w:w="0" w:type="dxa"/>
        </w:tblCellMar>
      </w:tblPr>
      <w:tblGrid>
        <w:gridCol w:w="501"/>
        <w:gridCol w:w="1669"/>
        <w:gridCol w:w="621"/>
        <w:gridCol w:w="591"/>
        <w:gridCol w:w="6386"/>
      </w:tblGrid>
      <w:tr w14:paraId="01A91AE2">
        <w:tblPrEx>
          <w:tblCellMar>
            <w:top w:w="0" w:type="dxa"/>
            <w:left w:w="0" w:type="dxa"/>
            <w:bottom w:w="0" w:type="dxa"/>
            <w:right w:w="0" w:type="dxa"/>
          </w:tblCellMar>
        </w:tblPrEx>
        <w:trPr>
          <w:trHeight w:val="371" w:hRule="atLeast"/>
          <w:tblHeader/>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DB16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8DC4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设备名称</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43C80">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单位</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DA7EC">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数量</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DA72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技术功能要求</w:t>
            </w:r>
          </w:p>
        </w:tc>
      </w:tr>
      <w:tr w14:paraId="1067ABD3">
        <w:tblPrEx>
          <w:tblCellMar>
            <w:top w:w="0" w:type="dxa"/>
            <w:left w:w="0" w:type="dxa"/>
            <w:bottom w:w="0" w:type="dxa"/>
            <w:right w:w="0"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96A96">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4377B">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中央空调智慧运维平台</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71C0C">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55FCA">
            <w:pPr>
              <w:widowControl/>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ED2A5">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1.1含（包含冷源系统、热源系统、冷却塔系统、末端新风机组系统、冷热量计量计费系统)。</w:t>
            </w:r>
            <w:r>
              <w:rPr>
                <w:rFonts w:hint="eastAsia" w:ascii="仿宋" w:hAnsi="仿宋" w:eastAsia="仿宋" w:cs="仿宋"/>
                <w:color w:val="auto"/>
                <w:kern w:val="0"/>
                <w:szCs w:val="24"/>
                <w:highlight w:val="none"/>
                <w:lang w:bidi="ar"/>
              </w:rPr>
              <w:t>工控机硬件要求：2U机架式服务器；主频≥2.1GHz,核心数≥12C;配置≥64</w:t>
            </w:r>
            <w:r>
              <w:rPr>
                <w:rFonts w:ascii="仿宋" w:hAnsi="仿宋" w:eastAsia="仿宋" w:cs="仿宋"/>
                <w:color w:val="auto"/>
                <w:kern w:val="0"/>
                <w:szCs w:val="24"/>
                <w:highlight w:val="none"/>
                <w:lang w:bidi="ar"/>
              </w:rPr>
              <w:t>G</w:t>
            </w:r>
            <w:r>
              <w:rPr>
                <w:rFonts w:hint="eastAsia" w:ascii="仿宋" w:hAnsi="仿宋" w:eastAsia="仿宋" w:cs="仿宋"/>
                <w:color w:val="auto"/>
                <w:kern w:val="0"/>
                <w:szCs w:val="24"/>
                <w:highlight w:val="none"/>
                <w:lang w:bidi="ar"/>
              </w:rPr>
              <w:t>内存，单根要求≥32</w:t>
            </w:r>
            <w:r>
              <w:rPr>
                <w:rFonts w:ascii="仿宋" w:hAnsi="仿宋" w:eastAsia="仿宋" w:cs="仿宋"/>
                <w:color w:val="auto"/>
                <w:kern w:val="0"/>
                <w:szCs w:val="24"/>
                <w:highlight w:val="none"/>
                <w:lang w:bidi="ar"/>
              </w:rPr>
              <w:t>G</w:t>
            </w:r>
            <w:r>
              <w:rPr>
                <w:rFonts w:hint="eastAsia" w:ascii="仿宋" w:hAnsi="仿宋" w:eastAsia="仿宋" w:cs="仿宋"/>
                <w:color w:val="auto"/>
                <w:kern w:val="0"/>
                <w:szCs w:val="24"/>
                <w:highlight w:val="none"/>
                <w:lang w:bidi="ar"/>
              </w:rPr>
              <w:t>内存,频率≥3200MT/s;配置≥2块1.2T HDD热插拔硬盘。</w:t>
            </w:r>
          </w:p>
          <w:p w14:paraId="3C2AB88A">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▲1.2.运维平台界面要求：</w:t>
            </w:r>
          </w:p>
          <w:p w14:paraId="68CDF4BD">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1.2.1能够提供冷冻机房设备（冷水机组、冷冻泵、冷却泵、冷却塔风机）的能耗占比分析图。</w:t>
            </w:r>
          </w:p>
          <w:p w14:paraId="11D671AD">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1.2.2能够提供系统性能（综合COP、主机COP、冷却COP）诊断直观分析图。</w:t>
            </w:r>
          </w:p>
          <w:p w14:paraId="5D9AD194">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1.2.3能够提供显示空调综合COP实时值并与原始值对比。</w:t>
            </w:r>
          </w:p>
          <w:p w14:paraId="0FECA956">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1.2.4能够提供动态实时的通讯架构图运维情况。</w:t>
            </w:r>
          </w:p>
          <w:p w14:paraId="4A9C88AD">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1.2.5能够提供维护预测功能界面。</w:t>
            </w:r>
          </w:p>
          <w:p w14:paraId="36B1F7D6">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1.2.6能够提供暖通设备台账功能界面，可逐条查询也可输入信息查询。</w:t>
            </w:r>
          </w:p>
          <w:p w14:paraId="29A80367">
            <w:pPr>
              <w:rPr>
                <w:rFonts w:hint="eastAsia" w:ascii="仿宋" w:hAnsi="仿宋" w:eastAsia="仿宋" w:cs="仿宋"/>
                <w:color w:val="auto"/>
                <w:kern w:val="0"/>
                <w:szCs w:val="24"/>
                <w:highlight w:val="none"/>
                <w:lang w:eastAsia="zh-CN" w:bidi="ar"/>
              </w:rPr>
            </w:pPr>
            <w:r>
              <w:rPr>
                <w:rFonts w:hint="eastAsia" w:ascii="仿宋" w:hAnsi="仿宋" w:eastAsia="仿宋" w:cs="仿宋"/>
                <w:color w:val="auto"/>
                <w:kern w:val="0"/>
                <w:szCs w:val="24"/>
                <w:highlight w:val="none"/>
                <w:lang w:bidi="ar"/>
              </w:rPr>
              <w:t>1.2.7软件平台支持报警信息语音播报，同时可将报警信息通过微信、钉钉、短信推送给用户</w:t>
            </w:r>
            <w:r>
              <w:rPr>
                <w:rFonts w:hint="eastAsia" w:ascii="仿宋" w:hAnsi="仿宋" w:eastAsia="仿宋" w:cs="仿宋"/>
                <w:color w:val="auto"/>
                <w:kern w:val="0"/>
                <w:szCs w:val="24"/>
                <w:highlight w:val="none"/>
                <w:lang w:eastAsia="zh-CN" w:bidi="ar"/>
              </w:rPr>
              <w:t>。</w:t>
            </w:r>
          </w:p>
          <w:p w14:paraId="593B9F1A">
            <w:pPr>
              <w:rPr>
                <w:rFonts w:hint="eastAsia" w:eastAsia="仿宋"/>
                <w:color w:val="auto"/>
                <w:highlight w:val="none"/>
                <w:lang w:eastAsia="zh-CN" w:bidi="ar"/>
              </w:rPr>
            </w:pPr>
            <w:r>
              <w:rPr>
                <w:rFonts w:hint="eastAsia" w:ascii="仿宋" w:hAnsi="仿宋" w:eastAsia="仿宋" w:cs="仿宋"/>
                <w:color w:val="auto"/>
                <w:kern w:val="0"/>
                <w:szCs w:val="24"/>
                <w:highlight w:val="none"/>
                <w:lang w:bidi="ar"/>
              </w:rPr>
              <w:t>1.2.8为方便用户，软件平台支持视频摄像头联动，可以调取冷水机房、锅炉房等重要区域摄像头画面，以方便设备管理</w:t>
            </w:r>
            <w:r>
              <w:rPr>
                <w:rFonts w:hint="eastAsia" w:ascii="仿宋" w:hAnsi="仿宋" w:eastAsia="仿宋" w:cs="仿宋"/>
                <w:color w:val="auto"/>
                <w:kern w:val="0"/>
                <w:szCs w:val="24"/>
                <w:highlight w:val="none"/>
                <w:lang w:eastAsia="zh-CN" w:bidi="ar"/>
              </w:rPr>
              <w:t>。</w:t>
            </w:r>
          </w:p>
        </w:tc>
      </w:tr>
      <w:tr w14:paraId="50AE5BFA">
        <w:tblPrEx>
          <w:tblCellMar>
            <w:top w:w="0" w:type="dxa"/>
            <w:left w:w="0" w:type="dxa"/>
            <w:bottom w:w="0" w:type="dxa"/>
            <w:right w:w="0"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1384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52DBC">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静态BIM运维</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C4CB3">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4EAE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D76B4">
            <w:pPr>
              <w:rPr>
                <w:rFonts w:ascii="仿宋" w:hAnsi="仿宋" w:eastAsia="仿宋" w:cs="仿宋"/>
                <w:color w:val="auto"/>
                <w:szCs w:val="24"/>
                <w:highlight w:val="none"/>
              </w:rPr>
            </w:pPr>
            <w:r>
              <w:rPr>
                <w:rFonts w:hint="eastAsia" w:ascii="仿宋" w:hAnsi="仿宋" w:eastAsia="仿宋" w:cs="仿宋"/>
                <w:color w:val="auto"/>
                <w:szCs w:val="24"/>
                <w:highlight w:val="none"/>
              </w:rPr>
              <w:t>2.1.BIM运维三维画面(包含冷热源平面、楼层空调平面)，必须根据此项目的空调平面设计图，重新设计静态三维BIM，并对所控制的空调设备进行BIM运维管理控制。</w:t>
            </w:r>
          </w:p>
          <w:p w14:paraId="0112A2DF">
            <w:pPr>
              <w:rPr>
                <w:rFonts w:ascii="仿宋" w:hAnsi="仿宋" w:eastAsia="仿宋" w:cs="仿宋"/>
                <w:color w:val="auto"/>
                <w:szCs w:val="24"/>
                <w:highlight w:val="none"/>
              </w:rPr>
            </w:pPr>
          </w:p>
        </w:tc>
      </w:tr>
      <w:tr w14:paraId="1838FC03">
        <w:tblPrEx>
          <w:tblCellMar>
            <w:top w:w="0" w:type="dxa"/>
            <w:left w:w="0" w:type="dxa"/>
            <w:bottom w:w="0" w:type="dxa"/>
            <w:right w:w="0" w:type="dxa"/>
          </w:tblCellMar>
        </w:tblPrEx>
        <w:trPr>
          <w:trHeight w:val="1745"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40D1B">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D7F8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天气预报站</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B089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41513">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F7ACA">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3.1.就地气象从站（或为此项目配置简易气象站）获取未来一周天气预报，包含每日24小时的天气阴晴状况、时刻温度、湿度、风速等参数，</w:t>
            </w:r>
          </w:p>
          <w:p w14:paraId="788BBDB7">
            <w:pP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3.2.系统能够结合天气预报参数制定中央空调节能控制策略单元模块</w:t>
            </w:r>
            <w:r>
              <w:rPr>
                <w:rFonts w:hint="eastAsia" w:ascii="仿宋" w:hAnsi="仿宋" w:eastAsia="仿宋" w:cs="仿宋"/>
                <w:color w:val="auto"/>
                <w:szCs w:val="24"/>
                <w:highlight w:val="none"/>
              </w:rPr>
              <w:t>。</w:t>
            </w:r>
          </w:p>
        </w:tc>
      </w:tr>
      <w:tr w14:paraId="387C177D">
        <w:tblPrEx>
          <w:tblCellMar>
            <w:top w:w="0" w:type="dxa"/>
            <w:left w:w="0" w:type="dxa"/>
            <w:bottom w:w="0" w:type="dxa"/>
            <w:right w:w="0" w:type="dxa"/>
          </w:tblCellMar>
        </w:tblPrEx>
        <w:trPr>
          <w:trHeight w:val="3808"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1C5D3">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4</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F7728">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智能控制柜</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FEB6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62416">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40F91">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4.1.冷源智慧控制从站：控制冷冻机房系统设备，内嵌控制器(模块)，CPU可扩展模块至少支持4路MODBUS RTU协议，本体带1路以太网IP服务接口，至少可支持8个客户端同时访问读写。可支持模块扩展功能，根据控制功能需求，匹配相应功能模块。基本逻辑控制功能须由此控制器独立完成，不能依赖主站控制器。其接口可与第三方RS485设备集成，如冷水主机、热水锅炉、电能表、冷热量表等。</w:t>
            </w:r>
          </w:p>
          <w:p w14:paraId="3AD5D659">
            <w:pPr>
              <w:pStyle w:val="89"/>
              <w:ind w:left="0"/>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bidi="ar"/>
              </w:rPr>
              <w:t>2.控制器要求：</w:t>
            </w:r>
          </w:p>
          <w:p w14:paraId="200BF793">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4.2.1CPU须以以太网方式接入节能控制系统中，集成到智慧运维平台，不得以RS485方式集成节能控制系统。</w:t>
            </w:r>
          </w:p>
          <w:p w14:paraId="2492C3D5">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4.2.2控制器须至少可扩展4个RS485通讯口</w:t>
            </w:r>
          </w:p>
          <w:p w14:paraId="702812DA">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4.2.3控制器具备联网通信接口，能支持以太网通讯功能，可支持BACNET IP 或MODBUS TCP/IP</w:t>
            </w:r>
          </w:p>
          <w:p w14:paraId="301BB1AC">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4.2.4数字量、模拟量模块可扩展6-8个模块</w:t>
            </w:r>
          </w:p>
          <w:p w14:paraId="2A5A912B">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4.2.5控制器之间可互为数据共享</w:t>
            </w:r>
          </w:p>
          <w:p w14:paraId="0E901FA8">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4.2.6控制器DO输出点必须为继电器型或晶体管输出，接线点互相有联系</w:t>
            </w:r>
          </w:p>
          <w:p w14:paraId="5DCA6420">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4.2.7控制器必须具有5%以上的点数冗余</w:t>
            </w:r>
          </w:p>
          <w:p w14:paraId="6E605654">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4.2.</w:t>
            </w:r>
            <w:r>
              <w:rPr>
                <w:rFonts w:hint="eastAsia" w:ascii="仿宋" w:hAnsi="仿宋" w:eastAsia="仿宋" w:cs="仿宋"/>
                <w:color w:val="auto"/>
                <w:kern w:val="0"/>
                <w:szCs w:val="24"/>
                <w:highlight w:val="none"/>
                <w:lang w:val="en-US" w:eastAsia="zh-CN" w:bidi="ar"/>
              </w:rPr>
              <w:t>8</w:t>
            </w:r>
            <w:r>
              <w:rPr>
                <w:rFonts w:hint="eastAsia" w:ascii="仿宋" w:hAnsi="仿宋" w:eastAsia="仿宋" w:cs="仿宋"/>
                <w:color w:val="auto"/>
                <w:kern w:val="0"/>
                <w:szCs w:val="24"/>
                <w:highlight w:val="none"/>
                <w:lang w:bidi="ar"/>
              </w:rPr>
              <w:t>控制器须采用独立编程工具，方便后期业主学习与维护</w:t>
            </w:r>
          </w:p>
          <w:p w14:paraId="2FF60D64">
            <w:pPr>
              <w:widowControl/>
              <w:jc w:val="left"/>
              <w:textAlignment w:val="center"/>
              <w:rPr>
                <w:color w:val="auto"/>
                <w:highlight w:val="none"/>
              </w:rPr>
            </w:pPr>
            <w:r>
              <w:rPr>
                <w:rFonts w:hint="eastAsia" w:ascii="仿宋" w:hAnsi="仿宋" w:eastAsia="仿宋" w:cs="仿宋"/>
                <w:color w:val="auto"/>
                <w:kern w:val="0"/>
                <w:szCs w:val="24"/>
                <w:highlight w:val="none"/>
                <w:lang w:bidi="ar"/>
              </w:rPr>
              <w:t>4.2.</w:t>
            </w:r>
            <w:r>
              <w:rPr>
                <w:rFonts w:hint="eastAsia" w:ascii="仿宋" w:hAnsi="仿宋" w:eastAsia="仿宋" w:cs="仿宋"/>
                <w:color w:val="auto"/>
                <w:kern w:val="0"/>
                <w:szCs w:val="24"/>
                <w:highlight w:val="none"/>
                <w:lang w:val="en-US" w:eastAsia="zh-CN" w:bidi="ar"/>
              </w:rPr>
              <w:t>9</w:t>
            </w:r>
            <w:r>
              <w:rPr>
                <w:rFonts w:hint="eastAsia" w:ascii="仿宋" w:hAnsi="仿宋" w:eastAsia="仿宋" w:cs="仿宋"/>
                <w:color w:val="auto"/>
                <w:kern w:val="0"/>
                <w:szCs w:val="24"/>
                <w:highlight w:val="none"/>
                <w:lang w:bidi="ar"/>
              </w:rPr>
              <w:t>编程语言采用图形化编程界面，通过拖、拉、拽方式实现逻辑编程</w:t>
            </w:r>
          </w:p>
        </w:tc>
      </w:tr>
      <w:tr w14:paraId="31761C81">
        <w:tblPrEx>
          <w:tblCellMar>
            <w:top w:w="0" w:type="dxa"/>
            <w:left w:w="0" w:type="dxa"/>
            <w:bottom w:w="0" w:type="dxa"/>
            <w:right w:w="0"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2CCF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F686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智能控制柜</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E59E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30562">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A9A04">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5.1.热源智慧控制从站：控制采暖锅炉机房系统设备，内嵌控制器(模块)，CPU可扩展模块至少支持2路MODBUS RTU协议，本体带1路以太网IP服务接口，至少可支持8个客户端同时访问读写。可支持模块扩展功能，根据控制功能需求，匹配相应功能模块。基本逻辑控制功能须由此控制器独立完成，不能依赖主站控制器。其接口可与第三方RS485设备集成，如冷水主机、热水锅炉、电能表、冷热量表等。</w:t>
            </w:r>
          </w:p>
          <w:p w14:paraId="47A5CED5">
            <w:pPr>
              <w:pStyle w:val="89"/>
              <w:ind w:left="0"/>
              <w:rPr>
                <w:rFonts w:ascii="仿宋" w:hAnsi="仿宋" w:eastAsia="仿宋" w:cs="仿宋"/>
                <w:color w:val="auto"/>
                <w:kern w:val="0"/>
                <w:sz w:val="24"/>
                <w:szCs w:val="24"/>
                <w:highlight w:val="none"/>
                <w:lang w:bidi="ar"/>
              </w:rPr>
            </w:pPr>
            <w:r>
              <w:rPr>
                <w:rFonts w:hint="eastAsia" w:ascii="仿宋" w:hAnsi="仿宋" w:eastAsia="仿宋" w:cs="仿宋"/>
                <w:color w:val="auto"/>
                <w:szCs w:val="24"/>
                <w:highlight w:val="none"/>
              </w:rPr>
              <w:t>▲</w:t>
            </w:r>
            <w:r>
              <w:rPr>
                <w:rFonts w:hint="eastAsia" w:ascii="仿宋" w:hAnsi="仿宋" w:eastAsia="仿宋" w:cs="仿宋"/>
                <w:color w:val="auto"/>
                <w:kern w:val="0"/>
                <w:sz w:val="24"/>
                <w:szCs w:val="24"/>
                <w:highlight w:val="none"/>
                <w:lang w:bidi="ar"/>
              </w:rPr>
              <w:t>5.</w:t>
            </w:r>
            <w:r>
              <w:rPr>
                <w:rFonts w:hint="eastAsia" w:ascii="仿宋" w:hAnsi="仿宋" w:eastAsia="仿宋" w:cs="仿宋"/>
                <w:color w:val="auto"/>
                <w:kern w:val="0"/>
                <w:sz w:val="24"/>
                <w:szCs w:val="24"/>
                <w:highlight w:val="none"/>
                <w:lang w:bidi="ar"/>
              </w:rPr>
              <w:t>2.控制器要求：</w:t>
            </w:r>
          </w:p>
          <w:p w14:paraId="4A3763BF">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5.2.1CPU须以以太网方式接入节能控制系统中，集成到智慧运维平台，不得以RS485方式集成节能控制系统。</w:t>
            </w:r>
          </w:p>
          <w:p w14:paraId="6AD83238">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5.2.2控制器须至少可扩展4个RS485通讯口</w:t>
            </w:r>
          </w:p>
          <w:p w14:paraId="163A3481">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5.2.3控制器具备联网通信接口，能支持以太网通讯功能，可支持BACNET IP 或MODBUS TCP/IP</w:t>
            </w:r>
          </w:p>
          <w:p w14:paraId="42A3C884">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5.2.4数字量、模拟量模块可扩展6-8个模块</w:t>
            </w:r>
          </w:p>
          <w:p w14:paraId="6D5254B8">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5.2.5控制器之间可互为数据共享</w:t>
            </w:r>
          </w:p>
          <w:p w14:paraId="530DCFA2">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5.2.6控制器DO输出点必须为继电器型或晶体管输出，接线点互相有联系</w:t>
            </w:r>
          </w:p>
          <w:p w14:paraId="11BE607D">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5.2.7控制器必须具有5%以上的点数冗余</w:t>
            </w:r>
          </w:p>
          <w:p w14:paraId="7E2CFF41">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5.2.</w:t>
            </w:r>
            <w:r>
              <w:rPr>
                <w:rFonts w:hint="eastAsia" w:ascii="仿宋" w:hAnsi="仿宋" w:eastAsia="仿宋" w:cs="仿宋"/>
                <w:color w:val="auto"/>
                <w:kern w:val="0"/>
                <w:szCs w:val="24"/>
                <w:highlight w:val="none"/>
                <w:lang w:val="en-US" w:eastAsia="zh-CN" w:bidi="ar"/>
              </w:rPr>
              <w:t>8</w:t>
            </w:r>
            <w:r>
              <w:rPr>
                <w:rFonts w:hint="eastAsia" w:ascii="仿宋" w:hAnsi="仿宋" w:eastAsia="仿宋" w:cs="仿宋"/>
                <w:color w:val="auto"/>
                <w:kern w:val="0"/>
                <w:szCs w:val="24"/>
                <w:highlight w:val="none"/>
                <w:lang w:bidi="ar"/>
              </w:rPr>
              <w:t>控制器须采用独立编程工具，方便后期业主学习与维护</w:t>
            </w:r>
          </w:p>
          <w:p w14:paraId="70EFD66D">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5.2.</w:t>
            </w:r>
            <w:r>
              <w:rPr>
                <w:rFonts w:hint="eastAsia" w:ascii="仿宋" w:hAnsi="仿宋" w:eastAsia="仿宋" w:cs="仿宋"/>
                <w:color w:val="auto"/>
                <w:kern w:val="0"/>
                <w:szCs w:val="24"/>
                <w:highlight w:val="none"/>
                <w:lang w:val="en-US" w:eastAsia="zh-CN" w:bidi="ar"/>
              </w:rPr>
              <w:t>9</w:t>
            </w:r>
            <w:r>
              <w:rPr>
                <w:rFonts w:hint="eastAsia" w:ascii="仿宋" w:hAnsi="仿宋" w:eastAsia="仿宋" w:cs="仿宋"/>
                <w:color w:val="auto"/>
                <w:kern w:val="0"/>
                <w:szCs w:val="24"/>
                <w:highlight w:val="none"/>
                <w:lang w:bidi="ar"/>
              </w:rPr>
              <w:t>编程语言采用图形化编程界面，通过拖、拉、拽方式实现逻辑编程</w:t>
            </w:r>
          </w:p>
        </w:tc>
      </w:tr>
      <w:tr w14:paraId="68D911AD">
        <w:tblPrEx>
          <w:tblCellMar>
            <w:top w:w="0" w:type="dxa"/>
            <w:left w:w="0" w:type="dxa"/>
            <w:bottom w:w="0" w:type="dxa"/>
            <w:right w:w="0" w:type="dxa"/>
          </w:tblCellMar>
        </w:tblPrEx>
        <w:trPr>
          <w:trHeight w:val="30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9793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923E5">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智能控制柜</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179BB">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5F37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D8A89">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6.1.冷却塔智慧控制从站：控制冷却系统设备，内嵌控制器(模块)，CPU可扩展模块至少支持2路MODBUS RTU协议，本体带1路以太网IP服务接口，至少可支持8个客户端同时访问读写。可支持模块扩展功能，根据控制功能需求，匹配相应功能模块。基本逻辑控制功能须由此控制器独立完成，不能依赖主站控制器。其接口可与第三方RS485设备集成，如冷水主机、热水锅炉、电能表、冷热量表等。</w:t>
            </w:r>
          </w:p>
          <w:p w14:paraId="0932B477">
            <w:pPr>
              <w:pStyle w:val="89"/>
              <w:ind w:left="0"/>
              <w:rPr>
                <w:rFonts w:ascii="仿宋" w:hAnsi="仿宋" w:eastAsia="仿宋" w:cs="仿宋"/>
                <w:color w:val="auto"/>
                <w:kern w:val="0"/>
                <w:sz w:val="24"/>
                <w:szCs w:val="24"/>
                <w:highlight w:val="none"/>
                <w:lang w:bidi="ar"/>
              </w:rPr>
            </w:pPr>
            <w:r>
              <w:rPr>
                <w:rFonts w:hint="eastAsia" w:ascii="仿宋" w:hAnsi="仿宋" w:eastAsia="仿宋" w:cs="仿宋"/>
                <w:color w:val="auto"/>
                <w:szCs w:val="24"/>
                <w:highlight w:val="none"/>
              </w:rPr>
              <w:t>▲</w:t>
            </w:r>
            <w:r>
              <w:rPr>
                <w:rFonts w:hint="eastAsia" w:ascii="仿宋" w:hAnsi="仿宋" w:eastAsia="仿宋" w:cs="仿宋"/>
                <w:color w:val="auto"/>
                <w:kern w:val="0"/>
                <w:sz w:val="24"/>
                <w:szCs w:val="24"/>
                <w:highlight w:val="none"/>
                <w:lang w:bidi="ar"/>
              </w:rPr>
              <w:t>6.</w:t>
            </w:r>
            <w:r>
              <w:rPr>
                <w:rFonts w:hint="eastAsia" w:ascii="仿宋" w:hAnsi="仿宋" w:eastAsia="仿宋" w:cs="仿宋"/>
                <w:color w:val="auto"/>
                <w:kern w:val="0"/>
                <w:sz w:val="24"/>
                <w:szCs w:val="24"/>
                <w:highlight w:val="none"/>
                <w:lang w:bidi="ar"/>
              </w:rPr>
              <w:t>2.控制器要求：</w:t>
            </w:r>
          </w:p>
          <w:p w14:paraId="2EC1730F">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6.2.1CPU须以以太网方式接入节能控制系统中，集成到智慧运维平台，不得以RS485方式集成节能控制系统。</w:t>
            </w:r>
          </w:p>
          <w:p w14:paraId="3A40BEB6">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6.2.2控制器须至少可扩展4个RS485通讯口</w:t>
            </w:r>
          </w:p>
          <w:p w14:paraId="5FD2530E">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6.2.3控制器具备联网通信接口，能支持以太网通讯功能，可支持BACNET IP 或MODBUS TCP/IP</w:t>
            </w:r>
          </w:p>
          <w:p w14:paraId="49EBABB6">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6.2.4数字量、模拟量模块可扩展6-8个模块</w:t>
            </w:r>
          </w:p>
          <w:p w14:paraId="42DF828A">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6.2.5控制器之间可互为数据共享</w:t>
            </w:r>
          </w:p>
          <w:p w14:paraId="6B2F56BE">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6.2.6控制器DO输出点必须为继电器型或晶体管输出，接线点互相有联系</w:t>
            </w:r>
          </w:p>
          <w:p w14:paraId="1375D3F5">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6.2.7控制器必须具有5%以上的点数冗余</w:t>
            </w:r>
          </w:p>
          <w:p w14:paraId="44D6A5A1">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6.2.</w:t>
            </w:r>
            <w:r>
              <w:rPr>
                <w:rFonts w:hint="eastAsia" w:ascii="仿宋" w:hAnsi="仿宋" w:eastAsia="仿宋" w:cs="仿宋"/>
                <w:color w:val="auto"/>
                <w:kern w:val="0"/>
                <w:szCs w:val="24"/>
                <w:highlight w:val="none"/>
                <w:lang w:val="en-US" w:eastAsia="zh-CN" w:bidi="ar"/>
              </w:rPr>
              <w:t>8</w:t>
            </w:r>
            <w:r>
              <w:rPr>
                <w:rFonts w:hint="eastAsia" w:ascii="仿宋" w:hAnsi="仿宋" w:eastAsia="仿宋" w:cs="仿宋"/>
                <w:color w:val="auto"/>
                <w:kern w:val="0"/>
                <w:szCs w:val="24"/>
                <w:highlight w:val="none"/>
                <w:lang w:bidi="ar"/>
              </w:rPr>
              <w:t>控制器必须采用独立编程工具，方便后期业主学习与维护</w:t>
            </w:r>
          </w:p>
          <w:p w14:paraId="4739D927">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6.2.</w:t>
            </w:r>
            <w:r>
              <w:rPr>
                <w:rFonts w:hint="eastAsia" w:ascii="仿宋" w:hAnsi="仿宋" w:eastAsia="仿宋" w:cs="仿宋"/>
                <w:color w:val="auto"/>
                <w:kern w:val="0"/>
                <w:szCs w:val="24"/>
                <w:highlight w:val="none"/>
                <w:lang w:val="en-US" w:eastAsia="zh-CN" w:bidi="ar"/>
              </w:rPr>
              <w:t>9</w:t>
            </w:r>
            <w:r>
              <w:rPr>
                <w:rFonts w:hint="eastAsia" w:ascii="仿宋" w:hAnsi="仿宋" w:eastAsia="仿宋" w:cs="仿宋"/>
                <w:color w:val="auto"/>
                <w:kern w:val="0"/>
                <w:szCs w:val="24"/>
                <w:highlight w:val="none"/>
                <w:lang w:bidi="ar"/>
              </w:rPr>
              <w:t>编程语言采用图形化编程界面，通过拖、拉、拽方式实现逻辑编程</w:t>
            </w:r>
          </w:p>
        </w:tc>
      </w:tr>
      <w:tr w14:paraId="69CFD12A">
        <w:tblPrEx>
          <w:tblCellMar>
            <w:top w:w="0" w:type="dxa"/>
            <w:left w:w="0" w:type="dxa"/>
            <w:bottom w:w="0" w:type="dxa"/>
            <w:right w:w="0" w:type="dxa"/>
          </w:tblCellMar>
        </w:tblPrEx>
        <w:trPr>
          <w:trHeight w:val="1588"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1027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B0D86">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智能控制柜</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1F239">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EF9F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CAB32">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7.1.空调箱智慧控制从站：控制末端新风机组空调设备，内嵌控制器(模块)，CPU可扩展模块至少支持2路MODBUS RTU协议，本体带1路以太网IP服务接口，至少可支持8个客户端同时访问读写。可支持模块扩展功能，根据控制功能需求，匹配相应功能模块。基本逻辑控制功能须由此控制器独立完成，不能依赖主站控制器。其接口可与第三方RS485设备集成，如冷水主机、热水锅炉、电能表、冷热量表等。</w:t>
            </w:r>
          </w:p>
          <w:p w14:paraId="1EDF73EF">
            <w:pPr>
              <w:pStyle w:val="89"/>
              <w:ind w:left="0"/>
              <w:rPr>
                <w:rFonts w:ascii="仿宋" w:hAnsi="仿宋" w:eastAsia="仿宋" w:cs="仿宋"/>
                <w:color w:val="auto"/>
                <w:kern w:val="0"/>
                <w:sz w:val="24"/>
                <w:szCs w:val="24"/>
                <w:highlight w:val="none"/>
                <w:lang w:bidi="ar"/>
              </w:rPr>
            </w:pPr>
            <w:r>
              <w:rPr>
                <w:rFonts w:hint="eastAsia" w:ascii="仿宋" w:hAnsi="仿宋" w:eastAsia="仿宋" w:cs="仿宋"/>
                <w:color w:val="auto"/>
                <w:szCs w:val="24"/>
                <w:highlight w:val="none"/>
              </w:rPr>
              <w:t>▲</w:t>
            </w:r>
            <w:r>
              <w:rPr>
                <w:rFonts w:hint="eastAsia" w:ascii="仿宋" w:hAnsi="仿宋" w:eastAsia="仿宋" w:cs="仿宋"/>
                <w:color w:val="auto"/>
                <w:kern w:val="0"/>
                <w:sz w:val="24"/>
                <w:szCs w:val="24"/>
                <w:highlight w:val="none"/>
                <w:lang w:bidi="ar"/>
              </w:rPr>
              <w:t>7.</w:t>
            </w:r>
            <w:r>
              <w:rPr>
                <w:rFonts w:hint="eastAsia" w:ascii="仿宋" w:hAnsi="仿宋" w:eastAsia="仿宋" w:cs="仿宋"/>
                <w:color w:val="auto"/>
                <w:kern w:val="0"/>
                <w:sz w:val="24"/>
                <w:szCs w:val="24"/>
                <w:highlight w:val="none"/>
                <w:lang w:bidi="ar"/>
              </w:rPr>
              <w:t>2.控制器要求：</w:t>
            </w:r>
          </w:p>
          <w:p w14:paraId="38C95FDD">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7.2.1CPU须以以太网方式接入节能控制系统中，集成到智慧运维平台，不得以RS485方式集成节能控制系统。</w:t>
            </w:r>
          </w:p>
          <w:p w14:paraId="619E4C67">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7.2.2控制器须至少可扩展4个RS485通讯口</w:t>
            </w:r>
          </w:p>
          <w:p w14:paraId="700180D3">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7.2.3控制器具备联网通信接口，能支持以太网通讯功能，可支持BACNET IP 或MODBUS TCP/IP</w:t>
            </w:r>
          </w:p>
          <w:p w14:paraId="6909ECA6">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7.2.4数字量、模拟量模块可扩展6-8个模块</w:t>
            </w:r>
          </w:p>
          <w:p w14:paraId="2573C4F5">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7.2.5控制器之间可互为数据共享</w:t>
            </w:r>
          </w:p>
          <w:p w14:paraId="38E3E194">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7.2.6控制器DO输出点必须为继电器型或晶体管输出，接线点互相有联系</w:t>
            </w:r>
          </w:p>
          <w:p w14:paraId="2EDE4B5D">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7.2.7控制器必须具有5%以上的点数冗余</w:t>
            </w:r>
          </w:p>
          <w:p w14:paraId="2E31DEF8">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7.2.</w:t>
            </w:r>
            <w:r>
              <w:rPr>
                <w:rFonts w:hint="eastAsia" w:ascii="仿宋" w:hAnsi="仿宋" w:eastAsia="仿宋" w:cs="仿宋"/>
                <w:color w:val="auto"/>
                <w:kern w:val="0"/>
                <w:szCs w:val="24"/>
                <w:highlight w:val="none"/>
                <w:lang w:val="en-US" w:eastAsia="zh-CN" w:bidi="ar"/>
              </w:rPr>
              <w:t>8</w:t>
            </w:r>
            <w:r>
              <w:rPr>
                <w:rFonts w:hint="eastAsia" w:ascii="仿宋" w:hAnsi="仿宋" w:eastAsia="仿宋" w:cs="仿宋"/>
                <w:color w:val="auto"/>
                <w:kern w:val="0"/>
                <w:szCs w:val="24"/>
                <w:highlight w:val="none"/>
                <w:lang w:bidi="ar"/>
              </w:rPr>
              <w:t>控制器须采用独立编程工具，方便后期业主学习与维护</w:t>
            </w:r>
          </w:p>
          <w:p w14:paraId="37DEC1BF">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7.2.</w:t>
            </w:r>
            <w:r>
              <w:rPr>
                <w:rFonts w:hint="eastAsia" w:ascii="仿宋" w:hAnsi="仿宋" w:eastAsia="仿宋" w:cs="仿宋"/>
                <w:color w:val="auto"/>
                <w:kern w:val="0"/>
                <w:szCs w:val="24"/>
                <w:highlight w:val="none"/>
                <w:lang w:val="en-US" w:eastAsia="zh-CN" w:bidi="ar"/>
              </w:rPr>
              <w:t>9</w:t>
            </w:r>
            <w:r>
              <w:rPr>
                <w:rFonts w:hint="eastAsia" w:ascii="仿宋" w:hAnsi="仿宋" w:eastAsia="仿宋" w:cs="仿宋"/>
                <w:color w:val="auto"/>
                <w:kern w:val="0"/>
                <w:szCs w:val="24"/>
                <w:highlight w:val="none"/>
                <w:lang w:bidi="ar"/>
              </w:rPr>
              <w:t>编程语言采用图形化编程界面，通过拖、拉、拽方式实现逻辑编程</w:t>
            </w:r>
          </w:p>
        </w:tc>
      </w:tr>
      <w:tr w14:paraId="569C2D8A">
        <w:tblPrEx>
          <w:tblCellMar>
            <w:top w:w="0" w:type="dxa"/>
            <w:left w:w="0" w:type="dxa"/>
            <w:bottom w:w="0" w:type="dxa"/>
            <w:right w:w="0" w:type="dxa"/>
          </w:tblCellMar>
        </w:tblPrEx>
        <w:trPr>
          <w:trHeight w:val="868"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E74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8</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9CB91">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光纤网络控制柜</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277E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C5CD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B7F2C">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负责完成现场</w:t>
            </w:r>
            <w:r>
              <w:rPr>
                <w:rFonts w:hint="eastAsia" w:ascii="仿宋" w:hAnsi="仿宋" w:eastAsia="仿宋" w:cs="仿宋"/>
                <w:color w:val="auto"/>
                <w:szCs w:val="24"/>
                <w:highlight w:val="none"/>
              </w:rPr>
              <w:t>数据管理器至运维平台网络光纤交换机柜的管理，</w:t>
            </w:r>
            <w:r>
              <w:rPr>
                <w:rFonts w:hint="eastAsia" w:ascii="仿宋" w:hAnsi="仿宋" w:eastAsia="仿宋" w:cs="仿宋"/>
                <w:color w:val="auto"/>
                <w:kern w:val="0"/>
                <w:szCs w:val="24"/>
                <w:highlight w:val="none"/>
                <w:lang w:bidi="ar"/>
              </w:rPr>
              <w:t>光口及网口数量根据需要自行优化。</w:t>
            </w:r>
          </w:p>
        </w:tc>
      </w:tr>
      <w:tr w14:paraId="3409EADD">
        <w:tblPrEx>
          <w:tblCellMar>
            <w:top w:w="0" w:type="dxa"/>
            <w:left w:w="0" w:type="dxa"/>
            <w:bottom w:w="0" w:type="dxa"/>
            <w:right w:w="0" w:type="dxa"/>
          </w:tblCellMar>
        </w:tblPrEx>
        <w:trPr>
          <w:trHeight w:val="733"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6F34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9</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0D108">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水管温度传感器（含配套附件）</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773A5">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4E30C">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6</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3B3D">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空调水管温度检测，输出4-20mA信号检测量程，0-50°C,精度正负0.3%</w:t>
            </w:r>
          </w:p>
        </w:tc>
      </w:tr>
      <w:tr w14:paraId="39682115">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F9E1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10</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6D9B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水管压力传感器（含配套附件）</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D63A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E82FC">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A4FF9">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空调压力温度检测,DC24V，4-20MA信号 1.6MPA</w:t>
            </w:r>
          </w:p>
        </w:tc>
      </w:tr>
      <w:tr w14:paraId="189F57F4">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0F75">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11</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050DD">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管道电磁冷热量表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AB236">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E30EB">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8E2A5">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DN350,冷冻水总管冷热量检测,管道式安装，带液晶显示面板，带MODBUS RTU协议通讯</w:t>
            </w:r>
            <w:r>
              <w:rPr>
                <w:rFonts w:hint="eastAsia" w:ascii="仿宋" w:hAnsi="仿宋" w:eastAsia="仿宋" w:cs="仿宋"/>
                <w:color w:val="auto"/>
                <w:kern w:val="0"/>
                <w:szCs w:val="24"/>
                <w:highlight w:val="none"/>
                <w:lang w:bidi="ar"/>
              </w:rPr>
              <w:t>，</w:t>
            </w:r>
            <w:r>
              <w:rPr>
                <w:rFonts w:hint="eastAsia" w:ascii="宋体" w:hAnsi="宋体" w:cs="宋体"/>
                <w:color w:val="auto"/>
                <w:kern w:val="0"/>
                <w:szCs w:val="24"/>
                <w:highlight w:val="none"/>
                <w:lang w:bidi="ar"/>
              </w:rPr>
              <w:t>▲</w:t>
            </w:r>
            <w:r>
              <w:rPr>
                <w:rFonts w:hint="eastAsia" w:ascii="仿宋" w:hAnsi="仿宋" w:eastAsia="仿宋" w:cs="仿宋"/>
                <w:color w:val="auto"/>
                <w:kern w:val="0"/>
                <w:szCs w:val="24"/>
                <w:highlight w:val="none"/>
                <w:lang w:bidi="ar"/>
              </w:rPr>
              <w:t>提供中华人民共和国制造计量器具许可证复印件。</w:t>
            </w:r>
          </w:p>
        </w:tc>
      </w:tr>
      <w:tr w14:paraId="6F0EB1F1">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7E740">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12</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6DCD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管道电磁冷热量表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A17C5">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CF52C">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8A7DF">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DN300,热水总管冷热量检测,管道式安装，带液晶显示面板，带MODBUS RTU协议通讯</w:t>
            </w:r>
            <w:r>
              <w:rPr>
                <w:rFonts w:hint="eastAsia" w:ascii="仿宋" w:hAnsi="仿宋" w:eastAsia="仿宋" w:cs="仿宋"/>
                <w:color w:val="auto"/>
                <w:kern w:val="0"/>
                <w:szCs w:val="24"/>
                <w:highlight w:val="none"/>
                <w:lang w:bidi="ar"/>
              </w:rPr>
              <w:t>，</w:t>
            </w:r>
            <w:r>
              <w:rPr>
                <w:rFonts w:hint="eastAsia" w:ascii="宋体" w:hAnsi="宋体" w:cs="宋体"/>
                <w:color w:val="auto"/>
                <w:kern w:val="0"/>
                <w:szCs w:val="24"/>
                <w:highlight w:val="none"/>
                <w:lang w:bidi="ar"/>
              </w:rPr>
              <w:t>▲</w:t>
            </w:r>
            <w:r>
              <w:rPr>
                <w:rFonts w:hint="eastAsia" w:ascii="仿宋" w:hAnsi="仿宋" w:eastAsia="仿宋" w:cs="仿宋"/>
                <w:color w:val="auto"/>
                <w:kern w:val="0"/>
                <w:szCs w:val="24"/>
                <w:highlight w:val="none"/>
                <w:lang w:bidi="ar"/>
              </w:rPr>
              <w:t>提供中华人民共和国制造计量器具许可证复印件。</w:t>
            </w:r>
          </w:p>
        </w:tc>
      </w:tr>
      <w:tr w14:paraId="500F1921">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2ADB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13</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4843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管道电磁冷热量表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BC899">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16E9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17</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57EAB">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DN100,6-24F各楼层冷热量检测,管道式安装，带液晶显示面板，带MODBUS RTU协议通讯</w:t>
            </w:r>
            <w:r>
              <w:rPr>
                <w:rFonts w:hint="eastAsia" w:ascii="仿宋" w:hAnsi="仿宋" w:eastAsia="仿宋" w:cs="仿宋"/>
                <w:color w:val="auto"/>
                <w:kern w:val="0"/>
                <w:szCs w:val="24"/>
                <w:highlight w:val="none"/>
                <w:lang w:bidi="ar"/>
              </w:rPr>
              <w:t>，</w:t>
            </w:r>
            <w:r>
              <w:rPr>
                <w:rFonts w:hint="eastAsia" w:ascii="宋体" w:hAnsi="宋体" w:cs="宋体"/>
                <w:color w:val="auto"/>
                <w:kern w:val="0"/>
                <w:szCs w:val="24"/>
                <w:highlight w:val="none"/>
                <w:lang w:bidi="ar"/>
              </w:rPr>
              <w:t>▲</w:t>
            </w:r>
            <w:r>
              <w:rPr>
                <w:rFonts w:hint="eastAsia" w:ascii="仿宋" w:hAnsi="仿宋" w:eastAsia="仿宋" w:cs="仿宋"/>
                <w:color w:val="auto"/>
                <w:kern w:val="0"/>
                <w:szCs w:val="24"/>
                <w:highlight w:val="none"/>
                <w:lang w:bidi="ar"/>
              </w:rPr>
              <w:t>提供中华人民共和国制造计量器具许可证复印件。</w:t>
            </w:r>
          </w:p>
        </w:tc>
      </w:tr>
      <w:tr w14:paraId="27710EE6">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525D4">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14</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FC52B">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管道电磁冷热量表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90D9C">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6118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D6E44">
            <w:pPr>
              <w:widowControl/>
              <w:jc w:val="left"/>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DN80,6-24F各楼层冷热量检测,管道式安装，带液晶显示面板，带MODBUS RTU协议通讯</w:t>
            </w:r>
            <w:r>
              <w:rPr>
                <w:rFonts w:hint="eastAsia" w:ascii="仿宋" w:hAnsi="仿宋" w:eastAsia="仿宋" w:cs="仿宋"/>
                <w:color w:val="auto"/>
                <w:kern w:val="0"/>
                <w:szCs w:val="24"/>
                <w:highlight w:val="none"/>
                <w:lang w:bidi="ar"/>
              </w:rPr>
              <w:t>，</w:t>
            </w:r>
            <w:r>
              <w:rPr>
                <w:rFonts w:hint="eastAsia" w:ascii="宋体" w:hAnsi="宋体" w:cs="宋体"/>
                <w:color w:val="auto"/>
                <w:kern w:val="0"/>
                <w:szCs w:val="24"/>
                <w:highlight w:val="none"/>
                <w:lang w:bidi="ar"/>
              </w:rPr>
              <w:t>▲</w:t>
            </w:r>
            <w:r>
              <w:rPr>
                <w:rFonts w:hint="eastAsia" w:ascii="仿宋" w:hAnsi="仿宋" w:eastAsia="仿宋" w:cs="仿宋"/>
                <w:color w:val="auto"/>
                <w:kern w:val="0"/>
                <w:szCs w:val="24"/>
                <w:highlight w:val="none"/>
                <w:lang w:bidi="ar"/>
              </w:rPr>
              <w:t>提供中华人民共和国制造计量器具许可证复印件。</w:t>
            </w:r>
          </w:p>
        </w:tc>
      </w:tr>
      <w:tr w14:paraId="56CE5FD2">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E84B6">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15</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1DF09">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电动开关蝶阀</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E1C5C">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A82D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575B2">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DN250,冷水机组冷却侧回水</w:t>
            </w:r>
            <w:r>
              <w:rPr>
                <w:rFonts w:hint="eastAsia" w:ascii="仿宋" w:hAnsi="仿宋" w:eastAsia="仿宋" w:cs="仿宋"/>
                <w:color w:val="auto"/>
                <w:szCs w:val="24"/>
                <w:highlight w:val="none"/>
              </w:rPr>
              <w:t>，开关量</w:t>
            </w:r>
            <w:r>
              <w:rPr>
                <w:rFonts w:hint="eastAsia" w:ascii="仿宋" w:hAnsi="仿宋" w:eastAsia="仿宋" w:cs="仿宋"/>
                <w:color w:val="auto"/>
                <w:kern w:val="0"/>
                <w:szCs w:val="24"/>
                <w:highlight w:val="none"/>
                <w:lang w:bidi="ar"/>
              </w:rPr>
              <w:t>，电源AC220V,开关量控制，开到位和关到位反馈为无源干触点</w:t>
            </w:r>
          </w:p>
        </w:tc>
      </w:tr>
      <w:tr w14:paraId="7DB6D85B">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F56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16</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3BC1A">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szCs w:val="24"/>
                <w:highlight w:val="none"/>
              </w:rPr>
              <w:t>室外温湿度传感器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BEF7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1E173">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5F7F0">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带防护罩，4-20MA输出,温度量程</w:t>
            </w:r>
            <w:r>
              <w:rPr>
                <w:rFonts w:hint="eastAsia" w:ascii="仿宋" w:hAnsi="仿宋" w:eastAsia="仿宋" w:cs="仿宋"/>
                <w:color w:val="auto"/>
                <w:kern w:val="0"/>
                <w:szCs w:val="24"/>
                <w:highlight w:val="none"/>
                <w:lang w:bidi="ar"/>
              </w:rPr>
              <w:t>-20~80°C,精度正负0.3°C，</w:t>
            </w:r>
            <w:r>
              <w:rPr>
                <w:rFonts w:hint="eastAsia" w:ascii="仿宋" w:hAnsi="仿宋" w:eastAsia="仿宋" w:cs="仿宋"/>
                <w:color w:val="auto"/>
                <w:szCs w:val="24"/>
                <w:highlight w:val="none"/>
              </w:rPr>
              <w:t>湿度度量程</w:t>
            </w:r>
            <w:r>
              <w:rPr>
                <w:rFonts w:hint="eastAsia" w:ascii="仿宋" w:hAnsi="仿宋" w:eastAsia="仿宋" w:cs="仿宋"/>
                <w:color w:val="auto"/>
                <w:kern w:val="0"/>
                <w:szCs w:val="24"/>
                <w:highlight w:val="none"/>
                <w:lang w:bidi="ar"/>
              </w:rPr>
              <w:t>0~100%,精度正负3%</w:t>
            </w:r>
          </w:p>
        </w:tc>
      </w:tr>
      <w:tr w14:paraId="587E5046">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6A67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17</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ED273">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风管温度传感器(变送)</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577B2">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8413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BB17D">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风管温度检测，4-20MA输出,温度量程</w:t>
            </w:r>
            <w:r>
              <w:rPr>
                <w:rFonts w:hint="eastAsia" w:ascii="仿宋" w:hAnsi="仿宋" w:eastAsia="仿宋" w:cs="仿宋"/>
                <w:color w:val="auto"/>
                <w:kern w:val="0"/>
                <w:szCs w:val="24"/>
                <w:highlight w:val="none"/>
                <w:lang w:bidi="ar"/>
              </w:rPr>
              <w:t>-20~80°C,精度正负0.3°C</w:t>
            </w:r>
          </w:p>
        </w:tc>
      </w:tr>
      <w:tr w14:paraId="62850DBE">
        <w:tblPrEx>
          <w:tblCellMar>
            <w:top w:w="0" w:type="dxa"/>
            <w:left w:w="0" w:type="dxa"/>
            <w:bottom w:w="0" w:type="dxa"/>
            <w:right w:w="0" w:type="dxa"/>
          </w:tblCellMar>
        </w:tblPrEx>
        <w:trPr>
          <w:trHeight w:val="561"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12B83">
            <w:pPr>
              <w:widowControl/>
              <w:jc w:val="center"/>
              <w:textAlignment w:val="center"/>
              <w:rPr>
                <w:rFonts w:ascii="仿宋" w:hAnsi="仿宋" w:eastAsia="仿宋" w:cs="仿宋"/>
                <w:color w:val="auto"/>
                <w:szCs w:val="24"/>
                <w:highlight w:val="none"/>
              </w:rPr>
            </w:pPr>
            <w:bookmarkStart w:id="111" w:name="_Hlk135410549"/>
            <w:r>
              <w:rPr>
                <w:rFonts w:hint="eastAsia" w:ascii="仿宋" w:hAnsi="仿宋" w:eastAsia="仿宋" w:cs="仿宋"/>
                <w:color w:val="auto"/>
                <w:kern w:val="0"/>
                <w:szCs w:val="24"/>
                <w:highlight w:val="none"/>
                <w:lang w:bidi="ar"/>
              </w:rPr>
              <w:t>18</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03FA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室内温湿度传感器</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A0D8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95990">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1B9B6">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温度测量范围：-30-60度，内置探头</w:t>
            </w:r>
          </w:p>
          <w:p w14:paraId="3B7C06CA">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湿度测量范围：0-99%</w:t>
            </w:r>
          </w:p>
          <w:p w14:paraId="0C72FAAF">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测量精度：温度精度：正负0.5度，湿度:正负5%</w:t>
            </w:r>
          </w:p>
          <w:p w14:paraId="22FE80B4">
            <w:pPr>
              <w:widowControl/>
              <w:jc w:val="left"/>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分辨率：0.01</w:t>
            </w:r>
          </w:p>
        </w:tc>
      </w:tr>
      <w:tr w14:paraId="1DCCD9B0">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E5D9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19</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25B8F">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网关</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610C5">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9A74F">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7EC8">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以太网RS485 4口，与系统通讯</w:t>
            </w:r>
          </w:p>
        </w:tc>
      </w:tr>
      <w:bookmarkEnd w:id="111"/>
      <w:tr w14:paraId="1BE22904">
        <w:tblPrEx>
          <w:tblCellMar>
            <w:top w:w="0" w:type="dxa"/>
            <w:left w:w="0" w:type="dxa"/>
            <w:bottom w:w="0" w:type="dxa"/>
            <w:right w:w="0" w:type="dxa"/>
          </w:tblCellMar>
        </w:tblPrEx>
        <w:trPr>
          <w:trHeight w:val="714"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8B2C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20</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08B70">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冷热量集成通讯网关</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C900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545A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27A42">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以太网RS485 4口，与冷热量表通讯</w:t>
            </w:r>
          </w:p>
        </w:tc>
      </w:tr>
      <w:tr w14:paraId="723286CB">
        <w:tblPrEx>
          <w:tblCellMar>
            <w:top w:w="0" w:type="dxa"/>
            <w:left w:w="0" w:type="dxa"/>
            <w:bottom w:w="0" w:type="dxa"/>
            <w:right w:w="0" w:type="dxa"/>
          </w:tblCellMar>
        </w:tblPrEx>
        <w:trPr>
          <w:trHeight w:val="456"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69FD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21</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DA03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冷水主机通讯网关</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459F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2D919">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181C7">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实现与2台主机通讯数据对接</w:t>
            </w:r>
          </w:p>
        </w:tc>
      </w:tr>
      <w:tr w14:paraId="7F8C383A">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17EE2">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22</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C69E9">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锅炉通讯网关</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6F426">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套</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15C99">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2BDC">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实现与2台锅炉通讯数据对接</w:t>
            </w:r>
          </w:p>
        </w:tc>
      </w:tr>
      <w:tr w14:paraId="08F4F175">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81025">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23</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600F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定制塑料护套铜电缆（弱电专用软电缆）</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D81CE">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02C3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21CFE">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RVV2*1.0mm2，RVV3*6.0mm2，RVV6*1.0mm2，RVV6*2.5mm2，RVV3*2.5mm2，RVV3*1.5mm2</w:t>
            </w:r>
          </w:p>
        </w:tc>
      </w:tr>
      <w:tr w14:paraId="6E5E41B1">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887F3">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24</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6D01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定制塑料护套屏蔽铜电缆（弱电专用软电缆）</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EBF6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5E1ED">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DCC51">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RVVP2*1.0mm2，RVVP6*1.0mm2，RVVP4*1.0mm2</w:t>
            </w:r>
          </w:p>
        </w:tc>
      </w:tr>
      <w:tr w14:paraId="03F1E32B">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C16C4">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25</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6DFA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定制塑料护套双绞屏蔽铜电缆(麻花式加强）</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4A2DA">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9C89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B4596">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RVVSP2*1.0mm2</w:t>
            </w:r>
          </w:p>
        </w:tc>
      </w:tr>
      <w:tr w14:paraId="4E3CDAF5">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5E723">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26</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F87D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普通桥架</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2EEF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CF030">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470B">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SR100*75*1.0</w:t>
            </w:r>
          </w:p>
        </w:tc>
      </w:tr>
      <w:tr w14:paraId="116FB466">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039EB">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27</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511E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桥架水平上弯</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2015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BA762">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D21A2">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SR100*75*1.0</w:t>
            </w:r>
          </w:p>
        </w:tc>
      </w:tr>
      <w:tr w14:paraId="18E2BE84">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F480A">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28</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58C8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桥架水平下弯</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F71E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EC33A">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E9CE8">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SR100*75*1.0</w:t>
            </w:r>
          </w:p>
        </w:tc>
      </w:tr>
      <w:tr w14:paraId="7194965A">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83CF0">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29</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5FE09">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镀锌管及配套附件</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5F8A5">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EC4A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E7179">
            <w:pPr>
              <w:widowControl/>
              <w:jc w:val="left"/>
              <w:textAlignment w:val="center"/>
              <w:rPr>
                <w:rFonts w:ascii="仿宋" w:hAnsi="仿宋" w:eastAsia="仿宋" w:cs="仿宋"/>
                <w:color w:val="auto"/>
                <w:szCs w:val="24"/>
                <w:highlight w:val="none"/>
              </w:rPr>
            </w:pPr>
            <w:r>
              <w:rPr>
                <w:rFonts w:ascii="Calibri" w:hAnsi="Calibri" w:eastAsia="仿宋" w:cs="Calibri"/>
                <w:color w:val="auto"/>
                <w:szCs w:val="24"/>
                <w:highlight w:val="none"/>
              </w:rPr>
              <w:t>Ø</w:t>
            </w:r>
            <w:r>
              <w:rPr>
                <w:rFonts w:hint="eastAsia" w:ascii="仿宋" w:hAnsi="仿宋" w:eastAsia="仿宋" w:cs="仿宋"/>
                <w:color w:val="auto"/>
                <w:szCs w:val="24"/>
                <w:highlight w:val="none"/>
              </w:rPr>
              <w:t>25X1.0</w:t>
            </w:r>
          </w:p>
        </w:tc>
      </w:tr>
      <w:tr w14:paraId="57416C2B">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D56A3">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30</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76E6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包缩金属软管</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0FD5A">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B9D8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B2935">
            <w:pPr>
              <w:widowControl/>
              <w:jc w:val="left"/>
              <w:textAlignment w:val="center"/>
              <w:rPr>
                <w:rFonts w:ascii="仿宋" w:hAnsi="仿宋" w:eastAsia="仿宋" w:cs="仿宋"/>
                <w:color w:val="auto"/>
                <w:szCs w:val="24"/>
                <w:highlight w:val="none"/>
              </w:rPr>
            </w:pPr>
            <w:r>
              <w:rPr>
                <w:rFonts w:ascii="Calibri" w:hAnsi="Calibri" w:eastAsia="仿宋" w:cs="Calibri"/>
                <w:color w:val="auto"/>
                <w:szCs w:val="24"/>
                <w:highlight w:val="none"/>
              </w:rPr>
              <w:t>Ø</w:t>
            </w:r>
            <w:r>
              <w:rPr>
                <w:rFonts w:hint="eastAsia" w:ascii="仿宋" w:hAnsi="仿宋" w:eastAsia="仿宋" w:cs="仿宋"/>
                <w:color w:val="auto"/>
                <w:szCs w:val="24"/>
                <w:highlight w:val="none"/>
              </w:rPr>
              <w:t>16</w:t>
            </w:r>
          </w:p>
        </w:tc>
      </w:tr>
      <w:tr w14:paraId="101CD6DA">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36E0D">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31</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8052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光纤线缆</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542D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B8CCC">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8FBE5">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GYXWP4B1</w:t>
            </w:r>
          </w:p>
        </w:tc>
      </w:tr>
      <w:tr w14:paraId="1FFCE8D5">
        <w:tblPrEx>
          <w:tblCellMar>
            <w:top w:w="0" w:type="dxa"/>
            <w:left w:w="0" w:type="dxa"/>
            <w:bottom w:w="0" w:type="dxa"/>
            <w:right w:w="0" w:type="dxa"/>
          </w:tblCellMar>
        </w:tblPrEx>
        <w:trPr>
          <w:trHeight w:val="467" w:hRule="atLeast"/>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E23AC">
            <w:pPr>
              <w:widowControl/>
              <w:tabs>
                <w:tab w:val="left" w:pos="392"/>
              </w:tabs>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32</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8036E">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六类网线</w:t>
            </w:r>
          </w:p>
        </w:tc>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F0A4A">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批</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782ED">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6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B9D00">
            <w:pPr>
              <w:widowControl/>
              <w:jc w:val="left"/>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AP-5E-01</w:t>
            </w:r>
          </w:p>
        </w:tc>
      </w:tr>
    </w:tbl>
    <w:p w14:paraId="1670CA39">
      <w:pPr>
        <w:widowControl/>
        <w:spacing w:line="360" w:lineRule="auto"/>
        <w:ind w:right="60"/>
        <w:jc w:val="lef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注：本项目为交钥匙工程，范围包括但不限于：中央空调能源管理控制系统采购（包含深化设计、供货、包装运输、调试、安装、验收、培训及售后服务等所有费用）。</w:t>
      </w:r>
    </w:p>
    <w:p w14:paraId="298739AC">
      <w:pPr>
        <w:spacing w:line="360" w:lineRule="auto"/>
        <w:ind w:firstLine="482" w:firstLineChars="200"/>
        <w:jc w:val="lef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2.总体架构要求</w:t>
      </w:r>
    </w:p>
    <w:p w14:paraId="7ABB471D">
      <w:pPr>
        <w:spacing w:line="360" w:lineRule="auto"/>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2.1</w:t>
      </w:r>
      <w:bookmarkStart w:id="112" w:name="OLE_LINK6"/>
      <w:r>
        <w:rPr>
          <w:rFonts w:hint="eastAsia" w:ascii="仿宋" w:hAnsi="仿宋" w:eastAsia="仿宋" w:cs="仿宋"/>
          <w:b/>
          <w:bCs/>
          <w:color w:val="auto"/>
          <w:szCs w:val="24"/>
          <w:highlight w:val="none"/>
        </w:rPr>
        <w:t>系统总体架构：</w:t>
      </w:r>
    </w:p>
    <w:p w14:paraId="6FB8C97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中央空调能源管理控制系统总体架构应充分体现“集中管理、分散控制”的设计理念，中央空调能源管理控制系统应由管理层和控制层二级结构组成。</w:t>
      </w:r>
    </w:p>
    <w:p w14:paraId="2EC8A032">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管理层为</w:t>
      </w:r>
      <w:r>
        <w:rPr>
          <w:rFonts w:hint="eastAsia" w:ascii="仿宋" w:hAnsi="仿宋" w:eastAsia="仿宋" w:cs="仿宋"/>
          <w:b/>
          <w:bCs/>
          <w:color w:val="auto"/>
          <w:szCs w:val="24"/>
          <w:highlight w:val="none"/>
        </w:rPr>
        <w:t>智慧运维平台</w:t>
      </w:r>
      <w:r>
        <w:rPr>
          <w:rFonts w:hint="eastAsia" w:ascii="仿宋" w:hAnsi="仿宋" w:eastAsia="仿宋" w:cs="仿宋"/>
          <w:color w:val="auto"/>
          <w:szCs w:val="24"/>
          <w:highlight w:val="none"/>
        </w:rPr>
        <w:t>，其通过网络通讯可与控制层进行连接，负责受控制冷冻机房控制系统，空调采暖锅炉机房控制系统、末端新风机组控制系统、冷热量计量计费系统、环境监测系统、空调设备能耗管理系统、</w:t>
      </w:r>
      <w:bookmarkStart w:id="113" w:name="_Hlk72410731"/>
      <w:r>
        <w:rPr>
          <w:rFonts w:hint="eastAsia" w:ascii="仿宋" w:hAnsi="仿宋" w:eastAsia="仿宋" w:cs="仿宋"/>
          <w:color w:val="auto"/>
          <w:szCs w:val="24"/>
          <w:highlight w:val="none"/>
        </w:rPr>
        <w:t>天气预报系</w:t>
      </w:r>
      <w:bookmarkEnd w:id="113"/>
      <w:r>
        <w:rPr>
          <w:rFonts w:hint="eastAsia" w:ascii="仿宋" w:hAnsi="仿宋" w:eastAsia="仿宋" w:cs="仿宋"/>
          <w:color w:val="auto"/>
          <w:szCs w:val="24"/>
          <w:highlight w:val="none"/>
        </w:rPr>
        <w:t>统等节能控制子系统。其平台打通各个子系统的通讯链路，由智慧运维平台作为统一的指挥调度中心，对各子系统进行数据清洗、数据分析、负荷预测、统一决策，实现中央空调系统按需供给、全自动、智能化运行，实现整个中央空调系统的高效节能控制与冷热量计量计费数据分析。</w:t>
      </w:r>
    </w:p>
    <w:p w14:paraId="2EC04F90">
      <w:pPr>
        <w:pStyle w:val="89"/>
        <w:spacing w:line="360" w:lineRule="auto"/>
        <w:ind w:left="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2.2总线协议：</w:t>
      </w:r>
    </w:p>
    <w:p w14:paraId="2E6EC235">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智慧运维平台与各控制层（控制器）基于IP架构</w:t>
      </w:r>
      <w:bookmarkStart w:id="114" w:name="OLE_LINK10"/>
      <w:r>
        <w:rPr>
          <w:rFonts w:hint="eastAsia" w:ascii="仿宋" w:hAnsi="仿宋" w:eastAsia="仿宋" w:cs="仿宋"/>
          <w:color w:val="auto"/>
          <w:szCs w:val="24"/>
          <w:highlight w:val="none"/>
        </w:rPr>
        <w:t>以太网MODBUS TCP/IP</w:t>
      </w:r>
      <w:bookmarkEnd w:id="114"/>
      <w:r>
        <w:rPr>
          <w:rFonts w:hint="eastAsia" w:ascii="仿宋" w:hAnsi="仿宋" w:eastAsia="仿宋" w:cs="仿宋"/>
          <w:color w:val="auto"/>
          <w:szCs w:val="24"/>
          <w:highlight w:val="none"/>
        </w:rPr>
        <w:t>或BACNEIT IP协议传输。每个控制层的控制器须自带或可扩展模块至少支持4路MODBUS RTU协议与第三方设备通讯，比如电能表，变频器、冷热量传感器、冷水主机、锅炉、传感器仪表等设备。从而使中央空调能源管理控制系统的网络架构通讯更稳定更可靠更快。</w:t>
      </w:r>
      <w:bookmarkEnd w:id="112"/>
    </w:p>
    <w:p w14:paraId="3AF33C03">
      <w:pPr>
        <w:spacing w:line="360" w:lineRule="auto"/>
        <w:ind w:firstLine="482" w:firstLineChars="200"/>
        <w:jc w:val="lef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3．智慧运维平台技术要求：</w:t>
      </w:r>
      <w:bookmarkStart w:id="115" w:name="_Toc16708"/>
      <w:bookmarkStart w:id="116" w:name="_Toc25698"/>
      <w:bookmarkStart w:id="117" w:name="_Toc6428"/>
      <w:bookmarkStart w:id="118" w:name="_Toc3450"/>
      <w:bookmarkStart w:id="119" w:name="_Toc433632960"/>
      <w:bookmarkStart w:id="120" w:name="_Toc21221"/>
      <w:bookmarkStart w:id="121" w:name="_Toc1723345"/>
      <w:bookmarkStart w:id="122" w:name="_Toc6687"/>
      <w:bookmarkStart w:id="123" w:name="_Toc32353"/>
    </w:p>
    <w:p w14:paraId="721B0267">
      <w:pPr>
        <w:spacing w:line="360" w:lineRule="auto"/>
        <w:ind w:firstLine="482" w:firstLineChars="200"/>
        <w:jc w:val="left"/>
        <w:rPr>
          <w:rFonts w:ascii="仿宋" w:hAnsi="仿宋" w:eastAsia="仿宋" w:cs="仿宋"/>
          <w:color w:val="auto"/>
          <w:szCs w:val="24"/>
          <w:highlight w:val="none"/>
        </w:rPr>
      </w:pPr>
      <w:r>
        <w:rPr>
          <w:rFonts w:hint="eastAsia" w:ascii="仿宋" w:hAnsi="仿宋" w:eastAsia="仿宋" w:cs="仿宋"/>
          <w:b/>
          <w:bCs/>
          <w:color w:val="auto"/>
          <w:szCs w:val="24"/>
          <w:highlight w:val="none"/>
        </w:rPr>
        <w:t>3.1概述</w:t>
      </w:r>
      <w:bookmarkEnd w:id="115"/>
      <w:bookmarkEnd w:id="116"/>
      <w:bookmarkEnd w:id="117"/>
      <w:bookmarkEnd w:id="118"/>
      <w:bookmarkEnd w:id="119"/>
      <w:bookmarkEnd w:id="120"/>
      <w:bookmarkEnd w:id="121"/>
      <w:bookmarkEnd w:id="122"/>
      <w:bookmarkEnd w:id="123"/>
    </w:p>
    <w:p w14:paraId="2B5377CD">
      <w:pPr>
        <w:pStyle w:val="561"/>
        <w:numPr>
          <w:ilvl w:val="0"/>
          <w:numId w:val="12"/>
        </w:numPr>
        <w:ind w:left="0"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本次招标范围为中央空调能源管理控制系统各设备及相关辅材，卖方提供的产品应是运行安全、技术先进、可靠性高、便于安装和维护、高效节能、自动控制性能高的产品。</w:t>
      </w:r>
    </w:p>
    <w:p w14:paraId="3D2F4E21">
      <w:pPr>
        <w:pStyle w:val="561"/>
        <w:numPr>
          <w:ilvl w:val="0"/>
          <w:numId w:val="12"/>
        </w:numPr>
        <w:ind w:left="0" w:firstLine="480"/>
        <w:rPr>
          <w:rFonts w:ascii="仿宋" w:hAnsi="仿宋" w:eastAsia="仿宋" w:cs="仿宋"/>
          <w:color w:val="auto"/>
          <w:szCs w:val="24"/>
          <w:highlight w:val="none"/>
        </w:rPr>
      </w:pPr>
      <w:r>
        <w:rPr>
          <w:rFonts w:hint="eastAsia" w:ascii="仿宋" w:hAnsi="仿宋" w:eastAsia="仿宋" w:cs="仿宋"/>
          <w:color w:val="auto"/>
          <w:szCs w:val="24"/>
          <w:highlight w:val="none"/>
        </w:rPr>
        <w:t>供电电源：单相交流220V/50Hz，允许电压波动±10%，允许频率波动±5%。</w:t>
      </w:r>
    </w:p>
    <w:p w14:paraId="032A4999">
      <w:pPr>
        <w:pStyle w:val="561"/>
        <w:numPr>
          <w:ilvl w:val="0"/>
          <w:numId w:val="12"/>
        </w:numPr>
        <w:ind w:left="0" w:firstLine="480"/>
        <w:rPr>
          <w:rFonts w:ascii="仿宋" w:hAnsi="仿宋" w:eastAsia="仿宋" w:cs="仿宋"/>
          <w:color w:val="auto"/>
          <w:szCs w:val="24"/>
          <w:highlight w:val="none"/>
        </w:rPr>
      </w:pPr>
      <w:r>
        <w:rPr>
          <w:rFonts w:hint="eastAsia" w:ascii="仿宋" w:hAnsi="仿宋" w:eastAsia="仿宋" w:cs="仿宋"/>
          <w:color w:val="auto"/>
          <w:szCs w:val="24"/>
          <w:highlight w:val="none"/>
        </w:rPr>
        <w:t>运行要求：智慧运维平台负责受控系统设备的集中监视和管理，并实现各子系统间的协调控制，实现中央空调系统的高效节能控制。</w:t>
      </w:r>
    </w:p>
    <w:p w14:paraId="2EF3BF1E">
      <w:pPr>
        <w:pStyle w:val="561"/>
        <w:ind w:firstLine="482"/>
        <w:rPr>
          <w:rFonts w:ascii="仿宋" w:hAnsi="仿宋" w:eastAsia="仿宋" w:cs="仿宋"/>
          <w:color w:val="auto"/>
          <w:szCs w:val="24"/>
          <w:highlight w:val="none"/>
        </w:rPr>
      </w:pPr>
      <w:bookmarkStart w:id="124" w:name="_Toc2569"/>
      <w:bookmarkStart w:id="125" w:name="_Toc26450"/>
      <w:bookmarkStart w:id="126" w:name="_Toc2273"/>
      <w:bookmarkStart w:id="127" w:name="_Toc22904"/>
      <w:bookmarkStart w:id="128" w:name="_Toc27609"/>
      <w:bookmarkStart w:id="129" w:name="_Toc1723349"/>
      <w:bookmarkStart w:id="130" w:name="_Toc18260"/>
      <w:bookmarkStart w:id="131" w:name="_Toc483579693"/>
      <w:bookmarkStart w:id="132" w:name="_Toc580"/>
      <w:r>
        <w:rPr>
          <w:rFonts w:hint="eastAsia" w:ascii="仿宋" w:hAnsi="仿宋" w:eastAsia="仿宋" w:cs="仿宋"/>
          <w:b/>
          <w:bCs/>
          <w:color w:val="auto"/>
          <w:szCs w:val="24"/>
          <w:highlight w:val="none"/>
        </w:rPr>
        <w:t>3.2接口要求</w:t>
      </w:r>
      <w:bookmarkEnd w:id="124"/>
      <w:bookmarkEnd w:id="125"/>
      <w:bookmarkEnd w:id="126"/>
      <w:bookmarkEnd w:id="127"/>
      <w:bookmarkEnd w:id="128"/>
      <w:bookmarkEnd w:id="129"/>
      <w:bookmarkEnd w:id="130"/>
      <w:bookmarkEnd w:id="131"/>
      <w:bookmarkEnd w:id="132"/>
    </w:p>
    <w:p w14:paraId="19AA6B2C">
      <w:pPr>
        <w:pStyle w:val="561"/>
        <w:ind w:firstLine="482"/>
        <w:rPr>
          <w:rFonts w:ascii="仿宋" w:hAnsi="仿宋" w:eastAsia="仿宋" w:cs="仿宋"/>
          <w:color w:val="auto"/>
          <w:szCs w:val="24"/>
          <w:highlight w:val="none"/>
        </w:rPr>
      </w:pPr>
      <w:r>
        <w:rPr>
          <w:rFonts w:hint="eastAsia" w:ascii="仿宋" w:hAnsi="仿宋" w:eastAsia="仿宋" w:cs="仿宋"/>
          <w:b/>
          <w:bCs/>
          <w:color w:val="auto"/>
          <w:szCs w:val="24"/>
          <w:highlight w:val="none"/>
        </w:rPr>
        <w:t>智慧运维平台软件驱动程序接口要求：</w:t>
      </w:r>
      <w:r>
        <w:rPr>
          <w:rFonts w:hint="eastAsia" w:ascii="仿宋" w:hAnsi="仿宋" w:eastAsia="仿宋" w:cs="仿宋"/>
          <w:color w:val="auto"/>
          <w:szCs w:val="24"/>
          <w:highlight w:val="none"/>
        </w:rPr>
        <w:t>应提供标准开放的通信接口，将信息转换为楼宇自控系统可识别的形式，完成与楼宇自控之间的通信协议转换；软件协议应首选BacNet驱动.其软件本体须支持多种楼宇常用的协议如BacNet驱动、Modbus驱动，OPC UA驱动，KNX ,MQTT，S7Net驱动，模拟驱动（内存驱动），投标所使用的软件不得少于上述几种常规的软件驱动程序接口，不得使用第三方驱动程序软件。</w:t>
      </w:r>
    </w:p>
    <w:p w14:paraId="0D900112">
      <w:pPr>
        <w:spacing w:line="360" w:lineRule="auto"/>
        <w:ind w:firstLine="480" w:firstLineChars="200"/>
        <w:rPr>
          <w:rFonts w:ascii="仿宋" w:hAnsi="仿宋" w:eastAsia="仿宋" w:cs="仿宋"/>
          <w:b/>
          <w:bCs/>
          <w:color w:val="auto"/>
          <w:szCs w:val="24"/>
          <w:highlight w:val="none"/>
        </w:rPr>
      </w:pPr>
      <w:r>
        <w:rPr>
          <w:rFonts w:hint="eastAsia" w:ascii="仿宋" w:hAnsi="仿宋" w:eastAsia="仿宋" w:cs="仿宋"/>
          <w:color w:val="auto"/>
          <w:kern w:val="0"/>
          <w:szCs w:val="24"/>
          <w:highlight w:val="none"/>
          <w:lang w:bidi="ar"/>
        </w:rPr>
        <w:t>▲</w:t>
      </w:r>
      <w:r>
        <w:rPr>
          <w:rFonts w:hint="eastAsia" w:ascii="仿宋" w:hAnsi="仿宋" w:eastAsia="仿宋" w:cs="仿宋"/>
          <w:b/>
          <w:bCs/>
          <w:color w:val="auto"/>
          <w:szCs w:val="24"/>
          <w:highlight w:val="none"/>
        </w:rPr>
        <w:t>3.3智慧运维平台软件功能基本要求</w:t>
      </w:r>
    </w:p>
    <w:p w14:paraId="3B3F07A4">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3.3.1.软件组件功能</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可接入云平台端开发服务，也可以与第三方API建立数据通讯通道，进行二次开发数据功能。</w:t>
      </w:r>
    </w:p>
    <w:p w14:paraId="2819B736">
      <w:pPr>
        <w:spacing w:line="360" w:lineRule="auto"/>
        <w:ind w:firstLine="480" w:firstLineChars="200"/>
        <w:rPr>
          <w:rFonts w:ascii="仿宋" w:hAnsi="仿宋" w:eastAsia="仿宋" w:cs="仿宋"/>
          <w:color w:val="auto"/>
          <w:szCs w:val="24"/>
          <w:highlight w:val="none"/>
        </w:rPr>
      </w:pPr>
      <w:bookmarkStart w:id="133" w:name="_Hlk119482488"/>
      <w:r>
        <w:rPr>
          <w:rFonts w:hint="eastAsia" w:ascii="仿宋" w:hAnsi="仿宋" w:eastAsia="仿宋" w:cs="仿宋"/>
          <w:color w:val="auto"/>
          <w:szCs w:val="24"/>
          <w:highlight w:val="none"/>
        </w:rPr>
        <w:t>3.3.2.软件需基于HTML5网页组态，用户无需安装客户端软件，可直接使用常用的浏览器在手机端或电脑端打开使用界面。</w:t>
      </w:r>
    </w:p>
    <w:bookmarkEnd w:id="133"/>
    <w:p w14:paraId="227F290E">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3.3.3.基于HTML5网页可开发各种大屏展示的数据分析一站式管理。</w:t>
      </w:r>
    </w:p>
    <w:p w14:paraId="3E656239">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3.3.4.软件本体可实现中央空调大数据多种复杂算法。</w:t>
      </w:r>
    </w:p>
    <w:p w14:paraId="3CE12FE3">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3.3.5.软件可实现中央空调大数据分析高性能数据支撑。</w:t>
      </w:r>
    </w:p>
    <w:p w14:paraId="25F8591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3.3.6.支持中央空调关键型的数据进行实时的微信、短信、钉钉推送。</w:t>
      </w:r>
    </w:p>
    <w:p w14:paraId="23EBE125">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3.3.7.软件点位容量要求为无限点，日志归档、行归档、列归档、历史归档的条数无限制。</w:t>
      </w:r>
    </w:p>
    <w:p w14:paraId="4288C68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3.3.8.BIM运维三维画面(包含冷热源平面、楼层空调平面)，必须根据此项目的空调平面设计图，重新设计静态三维BIM，进行BIM运维。</w:t>
      </w:r>
    </w:p>
    <w:p w14:paraId="6B8C8E2A">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3.3.9.提供各设备的能耗占比分析图。</w:t>
      </w:r>
    </w:p>
    <w:p w14:paraId="0FEE775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3.3.10.</w:t>
      </w:r>
      <w:r>
        <w:rPr>
          <w:rFonts w:hint="eastAsia" w:ascii="仿宋" w:hAnsi="仿宋" w:eastAsia="仿宋" w:cs="仿宋"/>
          <w:color w:val="auto"/>
          <w:kern w:val="0"/>
          <w:szCs w:val="24"/>
          <w:highlight w:val="none"/>
          <w:lang w:bidi="ar"/>
        </w:rPr>
        <w:t xml:space="preserve"> 能够提供暖通设备历史数据信息和变位信息界面，支持用户自定义历史数据看板，以图形及列表形式展示，并支持导出图片或表格</w:t>
      </w:r>
      <w:r>
        <w:rPr>
          <w:rFonts w:hint="eastAsia" w:ascii="仿宋" w:hAnsi="仿宋" w:eastAsia="仿宋" w:cs="仿宋"/>
          <w:color w:val="auto"/>
          <w:szCs w:val="24"/>
          <w:highlight w:val="none"/>
        </w:rPr>
        <w:t>。</w:t>
      </w:r>
    </w:p>
    <w:p w14:paraId="4FF14AFA">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3.3.11.提供动态实时的通讯架构图运维情况</w:t>
      </w:r>
      <w:r>
        <w:rPr>
          <w:rFonts w:hint="eastAsia" w:ascii="仿宋" w:hAnsi="仿宋" w:eastAsia="仿宋" w:cs="仿宋"/>
          <w:color w:val="auto"/>
          <w:szCs w:val="24"/>
          <w:highlight w:val="none"/>
        </w:rPr>
        <w:t>。</w:t>
      </w:r>
    </w:p>
    <w:p w14:paraId="70DFD473">
      <w:pPr>
        <w:spacing w:line="360" w:lineRule="auto"/>
        <w:ind w:firstLine="480" w:firstLineChars="200"/>
        <w:rPr>
          <w:rFonts w:ascii="仿宋" w:hAnsi="仿宋" w:eastAsia="仿宋" w:cs="仿宋"/>
          <w:color w:val="auto"/>
          <w:szCs w:val="24"/>
          <w:highlight w:val="none"/>
        </w:rPr>
      </w:pPr>
      <w:bookmarkStart w:id="134" w:name="_Hlk119488214"/>
      <w:r>
        <w:rPr>
          <w:rFonts w:hint="eastAsia" w:ascii="仿宋" w:hAnsi="仿宋" w:eastAsia="仿宋" w:cs="仿宋"/>
          <w:color w:val="auto"/>
          <w:szCs w:val="24"/>
          <w:highlight w:val="none"/>
        </w:rPr>
        <w:t>3.3.12.提供动态实时的能源流向图</w:t>
      </w:r>
      <w:r>
        <w:rPr>
          <w:rFonts w:hint="eastAsia" w:ascii="仿宋" w:hAnsi="仿宋" w:eastAsia="仿宋" w:cs="仿宋"/>
          <w:color w:val="auto"/>
          <w:szCs w:val="24"/>
          <w:highlight w:val="none"/>
        </w:rPr>
        <w:t>。</w:t>
      </w:r>
    </w:p>
    <w:bookmarkEnd w:id="134"/>
    <w:p w14:paraId="6D567DF3">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3.3.13.提供安全的用户登陆、注销、新建、修改、删除等功能的，针对用户组设定相应的使用权限，保证系统秩序运行。控制系统必须具备多层级控制，设置普通级、操作员级、管理员级和工程师级，确保系统的运行安全。</w:t>
      </w:r>
    </w:p>
    <w:p w14:paraId="0E7E4C1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3.3.14.提供多功能全方面的实时数据查看，包括列表、图形、棒图等多种显示方式，为用户实时掌握系统的当前运行状态下COP能效参数、设备的实时耗电、设备的节电量、二氧化碳排放量等实时参数，为用户提高可靠数据支持</w:t>
      </w:r>
      <w:r>
        <w:rPr>
          <w:rFonts w:hint="eastAsia" w:ascii="仿宋" w:hAnsi="仿宋" w:eastAsia="仿宋" w:cs="仿宋"/>
          <w:color w:val="auto"/>
          <w:szCs w:val="24"/>
          <w:highlight w:val="none"/>
        </w:rPr>
        <w:t>。</w:t>
      </w:r>
    </w:p>
    <w:p w14:paraId="3DF5061D">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3.3.15.在主控画面显示主要关键数据的同时，系统还提供更为详细的二级图形数据查看，方便用户精准了解系统</w:t>
      </w:r>
      <w:r>
        <w:rPr>
          <w:rFonts w:hint="eastAsia" w:ascii="仿宋" w:hAnsi="仿宋" w:eastAsia="仿宋" w:cs="仿宋"/>
          <w:color w:val="auto"/>
          <w:szCs w:val="24"/>
          <w:highlight w:val="none"/>
        </w:rPr>
        <w:t>。</w:t>
      </w:r>
    </w:p>
    <w:p w14:paraId="67E75F82">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3.3.17.提供直观的历史曲线查询，往年、往月、往日数据随时查看，方便用户了解系统的以往运行状态，形成系统运行轨迹</w:t>
      </w:r>
      <w:r>
        <w:rPr>
          <w:rFonts w:hint="eastAsia" w:ascii="仿宋" w:hAnsi="仿宋" w:eastAsia="仿宋" w:cs="仿宋"/>
          <w:color w:val="auto"/>
          <w:szCs w:val="24"/>
          <w:highlight w:val="none"/>
        </w:rPr>
        <w:t>。</w:t>
      </w:r>
    </w:p>
    <w:p w14:paraId="1842D13B">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3.3.18.提供安全可靠的一周定时控制，方便用户一周启停</w:t>
      </w:r>
      <w:r>
        <w:rPr>
          <w:rFonts w:hint="eastAsia" w:ascii="仿宋" w:hAnsi="仿宋" w:eastAsia="仿宋" w:cs="仿宋"/>
          <w:color w:val="auto"/>
          <w:szCs w:val="24"/>
          <w:highlight w:val="none"/>
        </w:rPr>
        <w:t>。</w:t>
      </w:r>
    </w:p>
    <w:p w14:paraId="00957D63">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3.3.19.平台提供报警中心，可以查看实时报警、历史报警功能；</w:t>
      </w:r>
    </w:p>
    <w:p w14:paraId="0701F69B">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3.3.20.软件平台支持报警信息语音播报，同时可将报警信息通过微信、钉钉、短信推送给用户；</w:t>
      </w:r>
    </w:p>
    <w:p w14:paraId="77950F1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3.3.21.为方便用户，软件平台支持视频摄像头联动，可以调取冷水机房、锅炉房等重要区域摄像头画面，以方便设备管理；</w:t>
      </w:r>
    </w:p>
    <w:p w14:paraId="2A896970">
      <w:pPr>
        <w:spacing w:line="360" w:lineRule="auto"/>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3.4.软件须完善中央空调系统的安全智能运维管理功能</w:t>
      </w:r>
    </w:p>
    <w:p w14:paraId="1720B559">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3.4.1智慧运维平台进行统一协调调控，对冷源、热源机房设备、末端新风机组设备进行控制、环境温湿度参数、气象预报数据、能耗运维、冷热量运维等进行统一监控管理。</w:t>
      </w:r>
    </w:p>
    <w:p w14:paraId="0778EC8D">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实现冷水机组、冷冻泵变频、冷却泵变频、热水锅炉、采暖水泵变频、电动阀、冷热源系统温度、压力、冷热量数据采集以及全新风机组的新风阀、压差开关、冷热水阀、送风温度，送风机等所有受控设备的远程启停、运行状态及运行参数的集中监视记录、故障报警监视、软连锁开关控制。所有的开关阀须具备开、关2个点控制，开到位、关到位、中间位位置图标显示。</w:t>
      </w:r>
    </w:p>
    <w:p w14:paraId="7839FA0A">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3.4.2.设定多种控制策略，保证空调系统的安全运行：</w:t>
      </w:r>
    </w:p>
    <w:p w14:paraId="67311DC8">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根据各设备的运行状况、累计运行时间、负载状况等，将空调各设备自动编组，实施轮换运行，降低设备的使用时长，增加设备的使用寿命。并设置多层级控制，普通级、操作员级、管理员级和工程师级；智能模式、单机联动模式、管理员模式等多控制模式，保证系统的安全运行和运行数据的有序管理。系统对冷冻水、冷却水进行低温、调速、流量等方面全面保护，确保空调系统整体设备在任何工况下的安全性。</w:t>
      </w:r>
    </w:p>
    <w:p w14:paraId="644555D0">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3.4.3.运维预测功能：</w:t>
      </w:r>
    </w:p>
    <w:p w14:paraId="669313D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结合历史运行稳定数据分析，当水泵、主机等控制信号超标，运维管理界面提醒检修；冷冻水瞬时流量与循环水泵频率对应，若流量超出正常范围，则预报警，提醒检查过滤装置是否堵塞；冷冻水、冷却水温度、压力异常的预报警，提醒当班人员及时处理；环境温湿度参数超标预警；节能控制系统通讯故障的报警等。</w:t>
      </w:r>
    </w:p>
    <w:p w14:paraId="67EC8DB9">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3.4.4．安全保护功能</w:t>
      </w:r>
    </w:p>
    <w:p w14:paraId="5338B542">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3.4.4.1冷冻水低流量保护功能：当冷冻水系统流量低于设定的下限保护值时，节能控制系统自动采取措施（如增大冷冻水流量）以保护制冷机组蒸发器安全运行。</w:t>
      </w:r>
    </w:p>
    <w:p w14:paraId="536A457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3.4.4.2冷冻水低温保护功能：当制冷机组蒸发器的出水（即冷冻水的供水）温度低于设定的下限值时，节能控制系统自动采取措施（如提高冷冻水温度）以保证制冷机组蒸发器安全运行。</w:t>
      </w:r>
    </w:p>
    <w:p w14:paraId="65BCC6F2">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3.4.4.3冷冻水低压差保护功能：当冷冻水供回水压差ΔP小于设定的下限值时，节能控制系统自动采取措施以保障末端空调设备所需水流量。</w:t>
      </w:r>
    </w:p>
    <w:p w14:paraId="35FB1C24">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3.4.4.4冷冻水高压差保护功能：当冷冻水供回水压差ΔP大于设定的上限值时，节能控制系统自动采取措施以保障空调系统安全运行。</w:t>
      </w:r>
    </w:p>
    <w:p w14:paraId="5A05164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3.4.4.5冷却水出水高温保护功能：当制冷机组冷凝器的冷却水出水温度高于其设定的上限值时，节能控制系统自动采取措施以保障制冷机组安全运行。</w:t>
      </w:r>
    </w:p>
    <w:p w14:paraId="548D30CB">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3.4.4.6冷却水进水低温保护功能：当制冷机组冷凝器的冷却水进水温度低于其设定的下限值时，节能控制系统自动采取措施以保障制冷机组正常运行的一种功能。</w:t>
      </w:r>
    </w:p>
    <w:p w14:paraId="7D01F417">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3.4.4.7风系统报警及保护内容包含风机故障、变频器故障、服务区间的温湿度上、下限保护，送风温度上限保护、送风温度下限保护功能等。</w:t>
      </w:r>
    </w:p>
    <w:p w14:paraId="5DCB6826">
      <w:pPr>
        <w:spacing w:line="360" w:lineRule="auto"/>
        <w:ind w:firstLine="480" w:firstLineChars="200"/>
        <w:rPr>
          <w:rFonts w:ascii="仿宋" w:hAnsi="仿宋" w:eastAsia="仿宋" w:cs="仿宋"/>
          <w:b/>
          <w:bCs/>
          <w:color w:val="auto"/>
          <w:szCs w:val="24"/>
          <w:highlight w:val="none"/>
        </w:rPr>
      </w:pPr>
      <w:r>
        <w:rPr>
          <w:rFonts w:hint="eastAsia" w:ascii="仿宋" w:hAnsi="仿宋" w:eastAsia="仿宋" w:cs="仿宋"/>
          <w:color w:val="auto"/>
          <w:kern w:val="0"/>
          <w:szCs w:val="24"/>
          <w:highlight w:val="none"/>
          <w:lang w:bidi="ar"/>
        </w:rPr>
        <w:t>▲</w:t>
      </w:r>
      <w:r>
        <w:rPr>
          <w:rFonts w:hint="eastAsia" w:ascii="仿宋" w:hAnsi="仿宋" w:eastAsia="仿宋" w:cs="仿宋"/>
          <w:b/>
          <w:bCs/>
          <w:color w:val="auto"/>
          <w:szCs w:val="24"/>
          <w:highlight w:val="none"/>
        </w:rPr>
        <w:t>4.中央空调节能优化控制功能要求：</w:t>
      </w:r>
    </w:p>
    <w:p w14:paraId="6650E0C4">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w:t>
      </w:r>
      <w:r>
        <w:rPr>
          <w:rFonts w:hint="eastAsia" w:ascii="仿宋" w:hAnsi="仿宋" w:eastAsia="仿宋" w:cs="仿宋"/>
          <w:color w:val="auto"/>
          <w:szCs w:val="24"/>
          <w:highlight w:val="none"/>
        </w:rPr>
        <w:t>由智慧运维平台作为统一的指挥调度中心，采集气象环境监控从站的气象数据、末端环境质量数据、末端新风机组数据、冷热源系统等关联设备运行工况数据等，各空调设备的能耗采集站数据及各楼层冷热量数据，打通各个系统的通讯链路，进行数据清洗、数据分析、负荷预测、统一决策，实现中央空调系统按需供给、全自动、智能化运行，实现整个中央空调系统的高效节能控制。</w:t>
      </w:r>
      <w:r>
        <w:rPr>
          <w:rFonts w:hint="eastAsia" w:ascii="仿宋" w:hAnsi="仿宋" w:eastAsia="仿宋" w:cs="仿宋"/>
          <w:color w:val="auto"/>
          <w:szCs w:val="24"/>
          <w:highlight w:val="none"/>
        </w:rPr>
        <w:t>投标人必须提供详细的科学</w:t>
      </w:r>
      <w:r>
        <w:rPr>
          <w:rFonts w:hint="eastAsia" w:ascii="仿宋" w:hAnsi="仿宋" w:eastAsia="仿宋" w:cs="仿宋"/>
          <w:color w:val="auto"/>
          <w:szCs w:val="24"/>
          <w:highlight w:val="none"/>
        </w:rPr>
        <w:t>合理的控制策略。</w:t>
      </w:r>
    </w:p>
    <w:p w14:paraId="3612E8BE">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4.2节能控制系统自动预控冷热源系统、末端新风机组系统</w:t>
      </w:r>
      <w:r>
        <w:rPr>
          <w:rFonts w:hint="eastAsia" w:ascii="仿宋" w:hAnsi="仿宋" w:eastAsia="仿宋" w:cs="仿宋"/>
          <w:b/>
          <w:bCs/>
          <w:color w:val="auto"/>
          <w:szCs w:val="24"/>
          <w:highlight w:val="none"/>
        </w:rPr>
        <w:t>开机、关机</w:t>
      </w:r>
      <w:r>
        <w:rPr>
          <w:rFonts w:hint="eastAsia" w:ascii="仿宋" w:hAnsi="仿宋" w:eastAsia="仿宋" w:cs="仿宋"/>
          <w:color w:val="auto"/>
          <w:szCs w:val="24"/>
          <w:highlight w:val="none"/>
        </w:rPr>
        <w:t>时间点，以达到在营业时间点时室内温度在业主设定范围内。投标人必须提供详细的科学合理的控制策略。</w:t>
      </w:r>
    </w:p>
    <w:p w14:paraId="4B0291FF">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4.3在过度季节，节能控制系统自动预控冷热源系统、末端新风机组系统开、关机时间。且满足室内环境温湿度需求。投标人必须提供详细的科学合理的控制策略。</w:t>
      </w:r>
    </w:p>
    <w:p w14:paraId="039DB95D">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4.4根据天气预报、预测冷量与实时冷量，主机性能曲线，</w:t>
      </w:r>
      <w:bookmarkStart w:id="135" w:name="_Hlk119484517"/>
      <w:r>
        <w:rPr>
          <w:rFonts w:hint="eastAsia" w:ascii="仿宋" w:hAnsi="仿宋" w:eastAsia="仿宋" w:cs="仿宋"/>
          <w:color w:val="auto"/>
          <w:szCs w:val="24"/>
          <w:highlight w:val="none"/>
        </w:rPr>
        <w:t>实现冷水</w:t>
      </w:r>
      <w:bookmarkEnd w:id="135"/>
      <w:r>
        <w:rPr>
          <w:rFonts w:hint="eastAsia" w:ascii="仿宋" w:hAnsi="仿宋" w:eastAsia="仿宋" w:cs="仿宋"/>
          <w:color w:val="auto"/>
          <w:szCs w:val="24"/>
          <w:highlight w:val="none"/>
        </w:rPr>
        <w:t>主机台数节能优化控制功能，投标人必须提供详细的科学合理的冷水主机控制策略。</w:t>
      </w:r>
    </w:p>
    <w:p w14:paraId="48CA0E6A">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4.5根据末端环境参数，空调机组运行参数、天气预报，实现冷水主机出水温度重设，投标人必须提供详细的科学合理的主机出水温度控制策略。</w:t>
      </w:r>
    </w:p>
    <w:p w14:paraId="1AC6AD81">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4.6根据负荷冷量，实现空调冷冻水泵动态变流量，投标人必须提供详细的科学合理的冷冻泵变流量控制策略。</w:t>
      </w:r>
    </w:p>
    <w:p w14:paraId="30930559">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4.7根据湿球温度，大数据控制算法，优化控制冷却塔风机台数</w:t>
      </w:r>
      <w:bookmarkStart w:id="136" w:name="_Hlk72417973"/>
      <w:r>
        <w:rPr>
          <w:rFonts w:hint="eastAsia" w:ascii="仿宋" w:hAnsi="仿宋" w:eastAsia="仿宋" w:cs="仿宋"/>
          <w:color w:val="auto"/>
          <w:szCs w:val="24"/>
          <w:highlight w:val="none"/>
        </w:rPr>
        <w:t>，控制最佳冷却塔回水温度，</w:t>
      </w:r>
      <w:bookmarkEnd w:id="136"/>
      <w:r>
        <w:rPr>
          <w:rFonts w:hint="eastAsia" w:ascii="仿宋" w:hAnsi="仿宋" w:eastAsia="仿宋" w:cs="仿宋"/>
          <w:color w:val="auto"/>
          <w:szCs w:val="24"/>
          <w:highlight w:val="none"/>
        </w:rPr>
        <w:t>投标人必须提供详细的科学合理的冷却塔风机控制策略。</w:t>
      </w:r>
    </w:p>
    <w:p w14:paraId="3FBFDEE1">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4.8根据主机冷凝热，优化控制冷却水泵变流量，投标人必须提供详细的科学合理的冷却水泵变流量控制策略。</w:t>
      </w:r>
    </w:p>
    <w:p w14:paraId="6B0BAE6E">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4.9根据天气预报，负荷参数，大数据分析推荐出实时负荷下锅炉开启台数，实现热水锅炉台数节能优化控制功能，投标人必须提供详细的科学合理的锅炉控制策略。</w:t>
      </w:r>
    </w:p>
    <w:p w14:paraId="12F7C96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4.10根据天气预报，负荷参数，大数据分析推荐出重设实时锅炉出水温度，投标人必须提供详细的科学合理的锅炉出水温度控制策略。</w:t>
      </w:r>
    </w:p>
    <w:p w14:paraId="4A5D6E6C">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4.11为了充分节能，在保证空气质量前提下，结合大数据分析，控制新风量的引入，针对新风机组的新风的节能控制策略，投标人必须提供详细的科学合理的新风机组控制策略。</w:t>
      </w:r>
    </w:p>
    <w:p w14:paraId="1CF0D8EF">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4.12通过大数据分析，预测至少5天的相似日的能耗关系列表及曲线，关系列表曲线中至少有每日的相关的日最高温度、最低温度、出水温度，回水温度、水泵频率，风机频率，末端环境，主机台数，投标人必须提供详细的科学合理的控制策略。</w:t>
      </w:r>
    </w:p>
    <w:p w14:paraId="6040399D">
      <w:pPr>
        <w:pStyle w:val="5"/>
        <w:spacing w:before="0"/>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4.13工作日、节假日空调系统节能控制策略，投标人必须提供详细的科学合理的控制策略。</w:t>
      </w:r>
    </w:p>
    <w:p w14:paraId="6011320E">
      <w:pPr>
        <w:pStyle w:val="5"/>
        <w:spacing w:before="156" w:beforeLines="50"/>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三、商务要求表</w:t>
      </w:r>
    </w:p>
    <w:tbl>
      <w:tblPr>
        <w:tblStyle w:val="79"/>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8054"/>
      </w:tblGrid>
      <w:tr w14:paraId="72F1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0" w:type="dxa"/>
            <w:noWrap w:val="0"/>
            <w:vAlign w:val="center"/>
          </w:tcPr>
          <w:p w14:paraId="031E8BF6">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建设期限</w:t>
            </w:r>
          </w:p>
        </w:tc>
        <w:tc>
          <w:tcPr>
            <w:tcW w:w="8054" w:type="dxa"/>
            <w:noWrap w:val="0"/>
            <w:vAlign w:val="center"/>
          </w:tcPr>
          <w:p w14:paraId="54D2404C">
            <w:pPr>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合同签订之日起60天内安装调试完毕。</w:t>
            </w:r>
          </w:p>
        </w:tc>
      </w:tr>
      <w:tr w14:paraId="7768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00" w:type="dxa"/>
            <w:noWrap w:val="0"/>
            <w:vAlign w:val="center"/>
          </w:tcPr>
          <w:p w14:paraId="54010EE1">
            <w:pPr>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1"/>
                <w:highlight w:val="none"/>
              </w:rPr>
              <w:t>建设地点</w:t>
            </w:r>
          </w:p>
        </w:tc>
        <w:tc>
          <w:tcPr>
            <w:tcW w:w="8054" w:type="dxa"/>
            <w:noWrap w:val="0"/>
            <w:vAlign w:val="center"/>
          </w:tcPr>
          <w:p w14:paraId="60B9FB20">
            <w:pPr>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采购人指定地点。</w:t>
            </w:r>
          </w:p>
        </w:tc>
      </w:tr>
      <w:tr w14:paraId="03D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noWrap w:val="0"/>
            <w:vAlign w:val="center"/>
          </w:tcPr>
          <w:p w14:paraId="1978E432">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8054" w:type="dxa"/>
            <w:noWrap w:val="0"/>
            <w:vAlign w:val="center"/>
          </w:tcPr>
          <w:p w14:paraId="05FC15FA">
            <w:pPr>
              <w:spacing w:line="400" w:lineRule="exact"/>
              <w:jc w:val="left"/>
              <w:rPr>
                <w:rFonts w:ascii="仿宋" w:hAnsi="仿宋" w:eastAsia="仿宋" w:cs="仿宋"/>
                <w:color w:val="auto"/>
                <w:szCs w:val="24"/>
                <w:highlight w:val="none"/>
              </w:rPr>
            </w:pPr>
            <w:r>
              <w:rPr>
                <w:rFonts w:hint="eastAsia" w:ascii="仿宋" w:hAnsi="仿宋" w:eastAsia="仿宋" w:cs="仿宋"/>
                <w:bCs/>
                <w:color w:val="auto"/>
                <w:highlight w:val="none"/>
              </w:rPr>
              <w:t>合格</w:t>
            </w:r>
            <w:r>
              <w:rPr>
                <w:rFonts w:hint="eastAsia" w:ascii="仿宋" w:hAnsi="仿宋" w:eastAsia="仿宋" w:cs="仿宋"/>
                <w:color w:val="auto"/>
                <w:highlight w:val="none"/>
              </w:rPr>
              <w:t>（符合投标承诺以及国家、行业有关技术规范和标准）</w:t>
            </w:r>
          </w:p>
        </w:tc>
      </w:tr>
      <w:tr w14:paraId="4613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00" w:type="dxa"/>
            <w:noWrap w:val="0"/>
            <w:vAlign w:val="center"/>
          </w:tcPr>
          <w:p w14:paraId="656B44E6">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验收</w:t>
            </w:r>
          </w:p>
        </w:tc>
        <w:tc>
          <w:tcPr>
            <w:tcW w:w="8054" w:type="dxa"/>
            <w:noWrap w:val="0"/>
            <w:vAlign w:val="center"/>
          </w:tcPr>
          <w:p w14:paraId="24074DE8">
            <w:pPr>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采购人委托有资质的第三方检测机构进行验收，并提供中央空调能源管理控制系统项目节能量审核报告(综合节能率达到20%及以上)，验收及检测费用由中标人承担。</w:t>
            </w:r>
          </w:p>
        </w:tc>
      </w:tr>
      <w:tr w14:paraId="78A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500" w:type="dxa"/>
            <w:noWrap w:val="0"/>
            <w:vAlign w:val="center"/>
          </w:tcPr>
          <w:p w14:paraId="19EE37F7">
            <w:pPr>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1"/>
                <w:highlight w:val="none"/>
              </w:rPr>
              <w:t>履约保证金</w:t>
            </w:r>
          </w:p>
        </w:tc>
        <w:tc>
          <w:tcPr>
            <w:tcW w:w="8054" w:type="dxa"/>
            <w:noWrap w:val="0"/>
            <w:vAlign w:val="center"/>
          </w:tcPr>
          <w:p w14:paraId="1D302599">
            <w:pPr>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中标供应商向采购人缴纳合同价的1%作为履约保证金，验收合格后无服务质量问题的1个月内无息退还。</w:t>
            </w:r>
            <w:r>
              <w:rPr>
                <w:rFonts w:hint="eastAsia" w:ascii="仿宋" w:hAnsi="仿宋" w:eastAsia="仿宋" w:cs="仿宋"/>
                <w:bCs/>
                <w:color w:val="auto"/>
                <w:highlight w:val="none"/>
              </w:rPr>
              <w:t>（中标人应当以银行转账、支票、汇票、本票或者金融机构、保险公司出具的保函等形式提交）。</w:t>
            </w:r>
          </w:p>
        </w:tc>
      </w:tr>
      <w:tr w14:paraId="15FF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00" w:type="dxa"/>
            <w:noWrap w:val="0"/>
            <w:vAlign w:val="center"/>
          </w:tcPr>
          <w:p w14:paraId="5AE8F440">
            <w:pPr>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1"/>
                <w:highlight w:val="none"/>
              </w:rPr>
              <w:t>付款方式</w:t>
            </w:r>
          </w:p>
        </w:tc>
        <w:tc>
          <w:tcPr>
            <w:tcW w:w="8054" w:type="dxa"/>
            <w:noWrap w:val="0"/>
            <w:vAlign w:val="center"/>
          </w:tcPr>
          <w:p w14:paraId="50D8685F">
            <w:pPr>
              <w:pStyle w:val="89"/>
              <w:spacing w:line="400" w:lineRule="exact"/>
              <w:ind w:left="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（1）验收合格后支付合同价的</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w:t>
            </w:r>
          </w:p>
          <w:p w14:paraId="798927E0">
            <w:pPr>
              <w:pStyle w:val="89"/>
              <w:spacing w:line="400" w:lineRule="exact"/>
              <w:ind w:left="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（2）试运行六个月并复验合格后支付至合同价的1</w:t>
            </w:r>
            <w:r>
              <w:rPr>
                <w:rFonts w:ascii="仿宋" w:hAnsi="仿宋" w:eastAsia="仿宋" w:cs="仿宋"/>
                <w:color w:val="auto"/>
                <w:sz w:val="24"/>
                <w:szCs w:val="24"/>
                <w:highlight w:val="none"/>
              </w:rPr>
              <w:t>00%</w:t>
            </w:r>
            <w:r>
              <w:rPr>
                <w:rFonts w:hint="eastAsia" w:ascii="仿宋" w:hAnsi="仿宋" w:eastAsia="仿宋" w:cs="仿宋"/>
                <w:color w:val="auto"/>
                <w:sz w:val="24"/>
                <w:szCs w:val="24"/>
                <w:highlight w:val="none"/>
              </w:rPr>
              <w:t>，中标单位在付款前汇合同价格的5%到采购人指定账户作为维修基金；</w:t>
            </w:r>
          </w:p>
          <w:p w14:paraId="32CA09A9">
            <w:pPr>
              <w:pStyle w:val="89"/>
              <w:spacing w:line="400" w:lineRule="exact"/>
              <w:ind w:left="0"/>
              <w:rPr>
                <w:color w:val="auto"/>
                <w:highlight w:val="none"/>
              </w:rPr>
            </w:pPr>
            <w:r>
              <w:rPr>
                <w:rFonts w:hint="eastAsia" w:ascii="仿宋" w:hAnsi="仿宋" w:eastAsia="仿宋" w:cs="仿宋"/>
                <w:color w:val="auto"/>
                <w:sz w:val="24"/>
                <w:szCs w:val="24"/>
                <w:highlight w:val="none"/>
              </w:rPr>
              <w:t>（3）维修基金在质保期满后无服务质量问题</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个工作日内退还（不计息）。</w:t>
            </w:r>
          </w:p>
        </w:tc>
      </w:tr>
      <w:tr w14:paraId="6E07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00" w:type="dxa"/>
            <w:noWrap w:val="0"/>
            <w:vAlign w:val="center"/>
          </w:tcPr>
          <w:p w14:paraId="2D4A9F5E">
            <w:pPr>
              <w:spacing w:line="380" w:lineRule="exact"/>
              <w:jc w:val="center"/>
              <w:rPr>
                <w:rFonts w:ascii="仿宋" w:hAnsi="仿宋" w:eastAsia="仿宋" w:cs="仿宋"/>
                <w:color w:val="auto"/>
                <w:szCs w:val="21"/>
                <w:highlight w:val="none"/>
              </w:rPr>
            </w:pPr>
            <w:r>
              <w:rPr>
                <w:rFonts w:hint="eastAsia" w:ascii="仿宋" w:hAnsi="仿宋" w:eastAsia="仿宋" w:cs="仿宋"/>
                <w:color w:val="auto"/>
                <w:highlight w:val="none"/>
              </w:rPr>
              <w:t>质保期</w:t>
            </w:r>
          </w:p>
        </w:tc>
        <w:tc>
          <w:tcPr>
            <w:tcW w:w="8054" w:type="dxa"/>
            <w:noWrap w:val="0"/>
            <w:vAlign w:val="top"/>
          </w:tcPr>
          <w:p w14:paraId="77DE22D6">
            <w:pPr>
              <w:spacing w:line="380" w:lineRule="exact"/>
              <w:rPr>
                <w:rFonts w:ascii="仿宋" w:hAnsi="仿宋" w:eastAsia="仿宋" w:cs="仿宋"/>
                <w:bCs/>
                <w:color w:val="auto"/>
                <w:highlight w:val="none"/>
              </w:rPr>
            </w:pPr>
            <w:r>
              <w:rPr>
                <w:rFonts w:hint="eastAsia" w:ascii="仿宋" w:hAnsi="仿宋" w:eastAsia="仿宋" w:cs="仿宋"/>
                <w:color w:val="auto"/>
                <w:highlight w:val="none"/>
              </w:rPr>
              <w:t>供应商应承诺终身维修。经</w:t>
            </w:r>
            <w:r>
              <w:rPr>
                <w:rFonts w:hint="eastAsia" w:ascii="仿宋" w:hAnsi="仿宋" w:eastAsia="仿宋" w:cs="仿宋"/>
                <w:bCs/>
                <w:color w:val="auto"/>
                <w:highlight w:val="none"/>
              </w:rPr>
              <w:t>采购人</w:t>
            </w:r>
            <w:r>
              <w:rPr>
                <w:rFonts w:hint="eastAsia" w:ascii="仿宋" w:hAnsi="仿宋" w:eastAsia="仿宋" w:cs="仿宋"/>
                <w:color w:val="auto"/>
                <w:highlight w:val="none"/>
              </w:rPr>
              <w:t>验收合格之日起提供</w:t>
            </w:r>
            <w:r>
              <w:rPr>
                <w:rFonts w:hint="eastAsia" w:ascii="仿宋" w:hAnsi="仿宋" w:eastAsia="仿宋" w:cs="仿宋"/>
                <w:color w:val="auto"/>
                <w:highlight w:val="none"/>
              </w:rPr>
              <w:t>不少于4年</w:t>
            </w:r>
            <w:r>
              <w:rPr>
                <w:rFonts w:hint="eastAsia" w:ascii="仿宋" w:hAnsi="仿宋" w:eastAsia="仿宋" w:cs="仿宋"/>
                <w:color w:val="auto"/>
                <w:highlight w:val="none"/>
              </w:rPr>
              <w:t>的质保时间，</w:t>
            </w:r>
            <w:r>
              <w:rPr>
                <w:rFonts w:hint="eastAsia" w:ascii="仿宋" w:hAnsi="仿宋" w:eastAsia="仿宋" w:cs="仿宋"/>
                <w:color w:val="auto"/>
                <w:kern w:val="0"/>
                <w:highlight w:val="none"/>
              </w:rPr>
              <w:t>每年不少于2次上门巡检服务</w:t>
            </w:r>
            <w:r>
              <w:rPr>
                <w:rFonts w:hint="eastAsia" w:ascii="仿宋" w:hAnsi="仿宋" w:eastAsia="仿宋" w:cs="仿宋"/>
                <w:color w:val="auto"/>
                <w:highlight w:val="none"/>
              </w:rPr>
              <w:t>。质保期内产生的维修费及维修替换损坏的部件费均无偿免费（人为损坏除外）提供。质保期外，供应商只承担免费维修费，维修需替换的部件费，另按实结算。</w:t>
            </w:r>
          </w:p>
        </w:tc>
      </w:tr>
      <w:tr w14:paraId="4BB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00" w:type="dxa"/>
            <w:noWrap w:val="0"/>
            <w:vAlign w:val="center"/>
          </w:tcPr>
          <w:p w14:paraId="4C392B03">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w:t>
            </w:r>
          </w:p>
        </w:tc>
        <w:tc>
          <w:tcPr>
            <w:tcW w:w="8054" w:type="dxa"/>
            <w:noWrap w:val="0"/>
            <w:vAlign w:val="center"/>
          </w:tcPr>
          <w:p w14:paraId="28612001">
            <w:pPr>
              <w:spacing w:line="276" w:lineRule="auto"/>
              <w:rPr>
                <w:rFonts w:ascii="仿宋" w:hAnsi="仿宋" w:eastAsia="仿宋" w:cs="仿宋"/>
                <w:color w:val="auto"/>
                <w:highlight w:val="none"/>
              </w:rPr>
            </w:pPr>
            <w:r>
              <w:rPr>
                <w:rFonts w:hint="eastAsia" w:ascii="仿宋" w:hAnsi="仿宋" w:eastAsia="仿宋" w:cs="仿宋"/>
                <w:bCs/>
                <w:color w:val="auto"/>
                <w:highlight w:val="none"/>
              </w:rPr>
              <w:t>（1）中标人应提供7×24小时现场技术服务，并提供充足的备品备件，满足日常维修需求；</w:t>
            </w:r>
          </w:p>
          <w:p w14:paraId="5CA01279">
            <w:pPr>
              <w:spacing w:line="276" w:lineRule="auto"/>
              <w:rPr>
                <w:rFonts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color w:val="auto"/>
                <w:highlight w:val="none"/>
              </w:rPr>
              <w:t>质保期内因产品本身缺陷造成各种故障应由</w:t>
            </w:r>
            <w:r>
              <w:rPr>
                <w:rFonts w:hint="eastAsia" w:ascii="仿宋" w:hAnsi="仿宋" w:eastAsia="仿宋" w:cs="仿宋"/>
                <w:bCs/>
                <w:color w:val="auto"/>
                <w:highlight w:val="none"/>
              </w:rPr>
              <w:t>中标人</w:t>
            </w:r>
            <w:r>
              <w:rPr>
                <w:rFonts w:hint="eastAsia" w:ascii="仿宋" w:hAnsi="仿宋" w:eastAsia="仿宋" w:cs="仿宋"/>
                <w:color w:val="auto"/>
                <w:highlight w:val="none"/>
              </w:rPr>
              <w:t>免费维修，并在《投标文件》中说明在保质期内提供的服务计划。在产品整个使用期内，</w:t>
            </w:r>
            <w:r>
              <w:rPr>
                <w:rFonts w:hint="eastAsia" w:ascii="仿宋" w:hAnsi="仿宋" w:eastAsia="仿宋" w:cs="仿宋"/>
                <w:bCs/>
                <w:color w:val="auto"/>
                <w:highlight w:val="none"/>
              </w:rPr>
              <w:t>中标人</w:t>
            </w:r>
            <w:r>
              <w:rPr>
                <w:rFonts w:hint="eastAsia" w:ascii="仿宋" w:hAnsi="仿宋" w:eastAsia="仿宋" w:cs="仿宋"/>
                <w:color w:val="auto"/>
                <w:highlight w:val="none"/>
              </w:rPr>
              <w:t>应确保货物的正常使用。在接到采购人维修要求后</w:t>
            </w:r>
            <w:r>
              <w:rPr>
                <w:rFonts w:ascii="仿宋" w:hAnsi="仿宋" w:eastAsia="仿宋" w:cs="仿宋"/>
                <w:b/>
                <w:iCs/>
                <w:color w:val="auto"/>
                <w:highlight w:val="none"/>
                <w:u w:val="single"/>
              </w:rPr>
              <w:t>10</w:t>
            </w:r>
            <w:r>
              <w:rPr>
                <w:rFonts w:hint="eastAsia" w:ascii="仿宋" w:hAnsi="仿宋" w:eastAsia="仿宋" w:cs="仿宋"/>
                <w:b/>
                <w:iCs/>
                <w:color w:val="auto"/>
                <w:highlight w:val="none"/>
                <w:u w:val="single"/>
              </w:rPr>
              <w:t>分钟</w:t>
            </w:r>
            <w:r>
              <w:rPr>
                <w:rFonts w:hint="eastAsia" w:ascii="仿宋" w:hAnsi="仿宋" w:eastAsia="仿宋" w:cs="仿宋"/>
                <w:color w:val="auto"/>
                <w:highlight w:val="none"/>
              </w:rPr>
              <w:t>内作出响应，</w:t>
            </w:r>
            <w:r>
              <w:rPr>
                <w:rFonts w:ascii="仿宋" w:hAnsi="仿宋" w:eastAsia="仿宋" w:cs="仿宋"/>
                <w:b/>
                <w:bCs/>
                <w:color w:val="auto"/>
                <w:highlight w:val="none"/>
                <w:u w:val="single"/>
              </w:rPr>
              <w:t>30</w:t>
            </w:r>
            <w:r>
              <w:rPr>
                <w:rFonts w:hint="eastAsia" w:ascii="仿宋" w:hAnsi="仿宋" w:eastAsia="仿宋" w:cs="仿宋"/>
                <w:b/>
                <w:bCs/>
                <w:color w:val="auto"/>
                <w:highlight w:val="none"/>
                <w:u w:val="single"/>
              </w:rPr>
              <w:t>分钟</w:t>
            </w:r>
            <w:r>
              <w:rPr>
                <w:rFonts w:hint="eastAsia" w:ascii="仿宋" w:hAnsi="仿宋" w:eastAsia="仿宋" w:cs="仿宋"/>
                <w:color w:val="auto"/>
                <w:highlight w:val="none"/>
              </w:rPr>
              <w:t>到达现场处置，24小时内修复。若不能修复，则需要免费提供后备或替代产品，以保证采购人正常的使用；</w:t>
            </w:r>
          </w:p>
          <w:p w14:paraId="54CCCEFE">
            <w:pPr>
              <w:spacing w:line="400" w:lineRule="exact"/>
              <w:jc w:val="left"/>
              <w:rPr>
                <w:rFonts w:ascii="仿宋" w:hAnsi="仿宋" w:eastAsia="仿宋" w:cs="仿宋"/>
                <w:color w:val="auto"/>
                <w:kern w:val="0"/>
                <w:szCs w:val="24"/>
                <w:highlight w:val="none"/>
                <w:shd w:val="clear" w:color="auto" w:fill="FFFFFF"/>
              </w:rPr>
            </w:pPr>
            <w:r>
              <w:rPr>
                <w:rFonts w:hint="eastAsia" w:ascii="仿宋" w:hAnsi="仿宋" w:eastAsia="仿宋" w:cs="仿宋"/>
                <w:bCs/>
                <w:color w:val="auto"/>
                <w:highlight w:val="none"/>
              </w:rPr>
              <w:t>（</w:t>
            </w:r>
            <w:r>
              <w:rPr>
                <w:rFonts w:ascii="仿宋" w:hAnsi="仿宋" w:eastAsia="仿宋" w:cs="仿宋"/>
                <w:bCs/>
                <w:color w:val="auto"/>
                <w:highlight w:val="none"/>
              </w:rPr>
              <w:t>3</w:t>
            </w:r>
            <w:r>
              <w:rPr>
                <w:rFonts w:hint="eastAsia" w:ascii="仿宋" w:hAnsi="仿宋" w:eastAsia="仿宋" w:cs="仿宋"/>
                <w:bCs/>
                <w:color w:val="auto"/>
                <w:highlight w:val="none"/>
              </w:rPr>
              <w:t>）</w:t>
            </w:r>
            <w:r>
              <w:rPr>
                <w:rFonts w:hint="eastAsia" w:ascii="仿宋" w:hAnsi="仿宋" w:eastAsia="仿宋" w:cs="仿宋"/>
                <w:color w:val="auto"/>
                <w:highlight w:val="none"/>
              </w:rPr>
              <w:t>投标</w:t>
            </w:r>
            <w:r>
              <w:rPr>
                <w:rFonts w:hint="eastAsia" w:ascii="仿宋" w:hAnsi="仿宋" w:eastAsia="仿宋" w:cs="仿宋"/>
                <w:bCs/>
                <w:color w:val="auto"/>
                <w:highlight w:val="none"/>
              </w:rPr>
              <w:t>人在投标时</w:t>
            </w:r>
            <w:r>
              <w:rPr>
                <w:rFonts w:hint="eastAsia" w:ascii="仿宋" w:hAnsi="仿宋" w:eastAsia="仿宋" w:cs="仿宋"/>
                <w:color w:val="auto"/>
                <w:highlight w:val="none"/>
              </w:rPr>
              <w:t>应提供质保期后的服务计划或建议，明确收费事项及标准，保修后免费维修。</w:t>
            </w:r>
          </w:p>
        </w:tc>
      </w:tr>
      <w:tr w14:paraId="5FC8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00" w:type="dxa"/>
            <w:noWrap w:val="0"/>
            <w:vAlign w:val="center"/>
          </w:tcPr>
          <w:p w14:paraId="56F40C91">
            <w:pPr>
              <w:spacing w:line="380" w:lineRule="exact"/>
              <w:jc w:val="center"/>
              <w:rPr>
                <w:rFonts w:ascii="仿宋" w:hAnsi="仿宋" w:eastAsia="仿宋" w:cs="仿宋"/>
                <w:color w:val="auto"/>
                <w:szCs w:val="21"/>
                <w:highlight w:val="none"/>
              </w:rPr>
            </w:pPr>
            <w:r>
              <w:rPr>
                <w:rFonts w:hint="eastAsia" w:ascii="仿宋" w:hAnsi="仿宋" w:eastAsia="仿宋" w:cs="仿宋"/>
                <w:color w:val="auto"/>
                <w:highlight w:val="none"/>
              </w:rPr>
              <w:t>技术培训</w:t>
            </w:r>
          </w:p>
        </w:tc>
        <w:tc>
          <w:tcPr>
            <w:tcW w:w="8054" w:type="dxa"/>
            <w:noWrap w:val="0"/>
            <w:vAlign w:val="center"/>
          </w:tcPr>
          <w:p w14:paraId="46D90DD7">
            <w:pPr>
              <w:spacing w:line="276" w:lineRule="auto"/>
              <w:rPr>
                <w:rFonts w:ascii="仿宋" w:hAnsi="仿宋" w:eastAsia="仿宋" w:cs="仿宋"/>
                <w:bCs/>
                <w:color w:val="auto"/>
                <w:highlight w:val="none"/>
              </w:rPr>
            </w:pPr>
            <w:r>
              <w:rPr>
                <w:rFonts w:hint="eastAsia" w:ascii="仿宋" w:hAnsi="仿宋" w:eastAsia="仿宋" w:cs="仿宋"/>
                <w:color w:val="auto"/>
                <w:highlight w:val="none"/>
              </w:rPr>
              <w:t>免费为采购使用单位的维修人员提供现场培训，使受培训人员至少达到以下水平：掌握一般运行原理、使用方法、紧急救援及日常维护等常用技能。培训涉及的所有费用由中标人承担。</w:t>
            </w:r>
            <w:r>
              <w:rPr>
                <w:rFonts w:hint="eastAsia" w:ascii="仿宋" w:hAnsi="仿宋" w:eastAsia="仿宋" w:cs="仿宋"/>
                <w:bCs/>
                <w:color w:val="auto"/>
                <w:highlight w:val="none"/>
              </w:rPr>
              <w:t>具体培训方案请在投标文件中明确说明。</w:t>
            </w:r>
          </w:p>
        </w:tc>
      </w:tr>
      <w:tr w14:paraId="284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00" w:type="dxa"/>
            <w:noWrap w:val="0"/>
            <w:vAlign w:val="center"/>
          </w:tcPr>
          <w:p w14:paraId="4DBCE6CF">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安全责任</w:t>
            </w:r>
          </w:p>
        </w:tc>
        <w:tc>
          <w:tcPr>
            <w:tcW w:w="8054" w:type="dxa"/>
            <w:noWrap w:val="0"/>
            <w:vAlign w:val="center"/>
          </w:tcPr>
          <w:p w14:paraId="78D9BC17">
            <w:pPr>
              <w:spacing w:line="400" w:lineRule="exact"/>
              <w:jc w:val="left"/>
              <w:rPr>
                <w:rFonts w:ascii="仿宋" w:hAnsi="仿宋" w:eastAsia="仿宋" w:cs="仿宋"/>
                <w:color w:val="auto"/>
                <w:szCs w:val="21"/>
                <w:highlight w:val="none"/>
              </w:rPr>
            </w:pPr>
            <w:r>
              <w:rPr>
                <w:rFonts w:hint="eastAsia" w:ascii="仿宋" w:hAnsi="仿宋" w:eastAsia="仿宋" w:cs="仿宋"/>
                <w:color w:val="auto"/>
                <w:kern w:val="0"/>
                <w:szCs w:val="24"/>
                <w:highlight w:val="none"/>
                <w:shd w:val="clear" w:color="auto" w:fill="FFFFFF"/>
              </w:rPr>
              <w:t>项目实施过程中做好安全措施，杜绝一切安全事故的发生</w:t>
            </w:r>
            <w:r>
              <w:rPr>
                <w:rFonts w:hint="eastAsia" w:ascii="仿宋" w:hAnsi="仿宋" w:eastAsia="仿宋" w:cs="仿宋"/>
                <w:color w:val="auto"/>
                <w:szCs w:val="21"/>
                <w:highlight w:val="none"/>
              </w:rPr>
              <w:t>，服务期内如发生意外伤亡事故的，采购人不承担任何经济及法律责任，所有的责任由中标供应商承担。</w:t>
            </w:r>
          </w:p>
        </w:tc>
      </w:tr>
    </w:tbl>
    <w:p w14:paraId="73B54118">
      <w:pPr>
        <w:pStyle w:val="349"/>
        <w:rPr>
          <w:rFonts w:ascii="仿宋" w:hAnsi="仿宋" w:eastAsia="仿宋" w:cs="仿宋"/>
          <w:color w:val="auto"/>
          <w:szCs w:val="24"/>
          <w:highlight w:val="none"/>
        </w:rPr>
        <w:sectPr>
          <w:headerReference r:id="rId7" w:type="default"/>
          <w:pgSz w:w="11906" w:h="16838"/>
          <w:pgMar w:top="1418" w:right="1418" w:bottom="1418" w:left="1418" w:header="851" w:footer="992" w:gutter="0"/>
          <w:cols w:space="720" w:num="1"/>
          <w:titlePg/>
          <w:docGrid w:linePitch="312" w:charSpace="0"/>
        </w:sectPr>
      </w:pPr>
    </w:p>
    <w:bookmarkEnd w:id="93"/>
    <w:p w14:paraId="0552284B">
      <w:pPr>
        <w:pStyle w:val="4"/>
        <w:spacing w:line="700" w:lineRule="exact"/>
        <w:ind w:left="0" w:firstLine="0"/>
        <w:rPr>
          <w:rFonts w:ascii="仿宋" w:hAnsi="仿宋" w:eastAsia="仿宋" w:cs="仿宋"/>
          <w:b/>
          <w:bCs/>
          <w:color w:val="auto"/>
          <w:szCs w:val="36"/>
          <w:highlight w:val="none"/>
        </w:rPr>
      </w:pPr>
      <w:bookmarkStart w:id="137" w:name="_Toc22296"/>
      <w:bookmarkStart w:id="138" w:name="_Toc340321940"/>
      <w:bookmarkStart w:id="139" w:name="_Toc297662418"/>
      <w:bookmarkStart w:id="140" w:name="_Toc54978899"/>
      <w:bookmarkStart w:id="141" w:name="_Toc17741"/>
      <w:bookmarkStart w:id="142" w:name="_Toc340322195"/>
      <w:bookmarkStart w:id="143" w:name="_Toc339302155"/>
      <w:bookmarkStart w:id="144" w:name="_Toc340322183"/>
      <w:bookmarkStart w:id="145" w:name="_Toc340321928"/>
      <w:bookmarkStart w:id="146" w:name="_Toc226337793"/>
      <w:bookmarkStart w:id="147" w:name="_Toc339302144"/>
      <w:bookmarkStart w:id="148" w:name="_Toc248065071"/>
      <w:bookmarkStart w:id="149" w:name="_Toc4171"/>
      <w:r>
        <w:rPr>
          <w:rFonts w:hint="eastAsia" w:ascii="仿宋" w:hAnsi="仿宋" w:eastAsia="仿宋" w:cs="仿宋"/>
          <w:b/>
          <w:bCs/>
          <w:color w:val="auto"/>
          <w:szCs w:val="36"/>
          <w:highlight w:val="none"/>
        </w:rPr>
        <w:t>第四部分  评标办法</w:t>
      </w:r>
      <w:bookmarkEnd w:id="137"/>
      <w:bookmarkEnd w:id="138"/>
      <w:bookmarkEnd w:id="139"/>
      <w:bookmarkEnd w:id="140"/>
      <w:bookmarkEnd w:id="141"/>
      <w:bookmarkEnd w:id="142"/>
      <w:bookmarkEnd w:id="143"/>
    </w:p>
    <w:p w14:paraId="7C660BAA">
      <w:pPr>
        <w:pStyle w:val="6"/>
        <w:spacing w:before="120" w:beforeLines="0" w:after="120" w:afterLines="0" w:line="440" w:lineRule="exact"/>
        <w:ind w:firstLine="118"/>
        <w:rPr>
          <w:rFonts w:ascii="仿宋" w:hAnsi="仿宋" w:eastAsia="仿宋" w:cs="仿宋"/>
          <w:color w:val="auto"/>
          <w:sz w:val="24"/>
          <w:szCs w:val="24"/>
          <w:highlight w:val="none"/>
        </w:rPr>
      </w:pPr>
      <w:bookmarkStart w:id="150" w:name="_Toc22707"/>
      <w:bookmarkStart w:id="151" w:name="_Toc297662419"/>
      <w:r>
        <w:rPr>
          <w:rFonts w:hint="eastAsia" w:ascii="仿宋" w:hAnsi="仿宋" w:eastAsia="仿宋" w:cs="仿宋"/>
          <w:color w:val="auto"/>
          <w:sz w:val="24"/>
          <w:szCs w:val="24"/>
          <w:highlight w:val="none"/>
        </w:rPr>
        <w:t>一、评标组织</w:t>
      </w:r>
      <w:bookmarkEnd w:id="150"/>
      <w:bookmarkEnd w:id="151"/>
    </w:p>
    <w:p w14:paraId="53004556">
      <w:pPr>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676AA707">
      <w:pPr>
        <w:pStyle w:val="6"/>
        <w:spacing w:before="120" w:beforeLines="0" w:after="120" w:afterLines="0" w:line="440" w:lineRule="exact"/>
        <w:ind w:firstLine="118"/>
        <w:rPr>
          <w:rFonts w:ascii="仿宋" w:hAnsi="仿宋" w:eastAsia="仿宋" w:cs="仿宋"/>
          <w:color w:val="auto"/>
          <w:sz w:val="24"/>
          <w:szCs w:val="24"/>
          <w:highlight w:val="none"/>
        </w:rPr>
      </w:pPr>
      <w:bookmarkStart w:id="152" w:name="_Toc297662420"/>
      <w:bookmarkStart w:id="153" w:name="_Toc11215"/>
      <w:r>
        <w:rPr>
          <w:rFonts w:hint="eastAsia" w:ascii="仿宋" w:hAnsi="仿宋" w:eastAsia="仿宋" w:cs="仿宋"/>
          <w:color w:val="auto"/>
          <w:sz w:val="24"/>
          <w:szCs w:val="24"/>
          <w:highlight w:val="none"/>
        </w:rPr>
        <w:t>二、评标方法</w:t>
      </w:r>
      <w:bookmarkEnd w:id="152"/>
      <w:bookmarkEnd w:id="153"/>
    </w:p>
    <w:p w14:paraId="35A473C5">
      <w:pPr>
        <w:spacing w:line="440" w:lineRule="exact"/>
        <w:ind w:firstLine="551" w:firstLineChars="218"/>
        <w:rPr>
          <w:rFonts w:ascii="仿宋" w:hAnsi="仿宋" w:eastAsia="仿宋" w:cs="仿宋"/>
          <w:color w:val="auto"/>
          <w:szCs w:val="24"/>
          <w:highlight w:val="none"/>
        </w:rPr>
      </w:pPr>
      <w:r>
        <w:rPr>
          <w:rFonts w:hint="eastAsia" w:ascii="仿宋" w:hAnsi="仿宋" w:eastAsia="仿宋" w:cs="仿宋"/>
          <w:b/>
          <w:bCs/>
          <w:color w:val="auto"/>
          <w:spacing w:val="6"/>
          <w:szCs w:val="24"/>
          <w:highlight w:val="none"/>
        </w:rPr>
        <w:t>本项目采用综合评分法。</w:t>
      </w:r>
      <w:r>
        <w:rPr>
          <w:rFonts w:hint="eastAsia" w:ascii="仿宋" w:hAnsi="仿宋" w:eastAsia="仿宋" w:cs="仿宋"/>
          <w:color w:val="auto"/>
          <w:szCs w:val="24"/>
          <w:highlight w:val="none"/>
        </w:rPr>
        <w:t>开标后，凡投标人不符合投标资格或投标文件完整性、合法性存在欠缺的，或投标文件实质性内容和关键格式严重不符合有关规定和不响应采购文件要求的，作为无效标予以废除，不进入评议打分范围。</w:t>
      </w:r>
    </w:p>
    <w:p w14:paraId="7A1D3C40">
      <w:pPr>
        <w:pStyle w:val="33"/>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评标委员会以审标、询标为基础依据，对投标文件及投标人分别进行分析评议，按《评标细则》由评委独立评议计分，取汇总后的算术平均值。</w:t>
      </w:r>
    </w:p>
    <w:p w14:paraId="1A3D6224">
      <w:pPr>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本项目组织重新招标。</w:t>
      </w:r>
    </w:p>
    <w:p w14:paraId="21AE71B2">
      <w:pPr>
        <w:pStyle w:val="6"/>
        <w:spacing w:before="120" w:beforeLines="0" w:after="120" w:afterLines="0" w:line="440" w:lineRule="exact"/>
        <w:ind w:firstLine="118"/>
        <w:rPr>
          <w:rFonts w:ascii="仿宋" w:hAnsi="仿宋" w:eastAsia="仿宋" w:cs="仿宋"/>
          <w:color w:val="auto"/>
          <w:sz w:val="24"/>
          <w:szCs w:val="24"/>
          <w:highlight w:val="none"/>
        </w:rPr>
      </w:pPr>
      <w:bookmarkStart w:id="154" w:name="_Toc297662421"/>
      <w:bookmarkStart w:id="155" w:name="_Toc4514"/>
      <w:r>
        <w:rPr>
          <w:rFonts w:hint="eastAsia" w:ascii="仿宋" w:hAnsi="仿宋" w:eastAsia="仿宋" w:cs="仿宋"/>
          <w:color w:val="auto"/>
          <w:sz w:val="24"/>
          <w:szCs w:val="24"/>
          <w:highlight w:val="none"/>
        </w:rPr>
        <w:t>三、定标办法</w:t>
      </w:r>
      <w:bookmarkEnd w:id="154"/>
      <w:bookmarkEnd w:id="155"/>
    </w:p>
    <w:p w14:paraId="1A3634FC">
      <w:pPr>
        <w:pStyle w:val="33"/>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评标结束后，采购人根据评标委员会提交的评标报告和推荐意见，对进入候选的投标人进行最终审查。终审后根据推荐的候选中标人情况确定中标人。</w:t>
      </w:r>
      <w:r>
        <w:rPr>
          <w:rFonts w:hint="eastAsia" w:ascii="仿宋" w:hAnsi="仿宋" w:eastAsia="仿宋" w:cs="仿宋"/>
          <w:b/>
          <w:bCs/>
          <w:color w:val="auto"/>
          <w:spacing w:val="6"/>
          <w:szCs w:val="24"/>
          <w:highlight w:val="none"/>
        </w:rPr>
        <w:t>最低报价不是中标的唯一保证。</w:t>
      </w:r>
    </w:p>
    <w:p w14:paraId="522F6397">
      <w:pPr>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整个评标过程应严格保密，评标委员会成员及工作人员应严格遵守纪律，不得泄漏任何评标信息。</w:t>
      </w:r>
    </w:p>
    <w:p w14:paraId="7A64B975">
      <w:pPr>
        <w:pStyle w:val="6"/>
        <w:spacing w:before="120" w:beforeLines="0" w:after="120" w:afterLines="0" w:line="440" w:lineRule="exact"/>
        <w:rPr>
          <w:rFonts w:ascii="仿宋" w:hAnsi="仿宋" w:eastAsia="仿宋" w:cs="仿宋"/>
          <w:color w:val="auto"/>
          <w:szCs w:val="28"/>
          <w:highlight w:val="none"/>
        </w:rPr>
      </w:pPr>
      <w:bookmarkStart w:id="156" w:name="_Toc19935"/>
      <w:r>
        <w:rPr>
          <w:rFonts w:hint="eastAsia" w:ascii="仿宋" w:hAnsi="仿宋" w:eastAsia="仿宋" w:cs="仿宋"/>
          <w:color w:val="auto"/>
          <w:szCs w:val="28"/>
          <w:highlight w:val="none"/>
        </w:rPr>
        <w:t>四、评标细则</w:t>
      </w:r>
      <w:bookmarkEnd w:id="156"/>
    </w:p>
    <w:p w14:paraId="290368BF">
      <w:pPr>
        <w:spacing w:line="440" w:lineRule="exact"/>
        <w:rPr>
          <w:rFonts w:ascii="仿宋" w:hAnsi="仿宋" w:eastAsia="仿宋" w:cs="仿宋"/>
          <w:color w:val="auto"/>
          <w:szCs w:val="24"/>
          <w:highlight w:val="none"/>
        </w:rPr>
      </w:pPr>
      <w:r>
        <w:rPr>
          <w:rFonts w:hint="eastAsia" w:ascii="仿宋" w:hAnsi="仿宋" w:eastAsia="仿宋" w:cs="仿宋"/>
          <w:color w:val="auto"/>
          <w:kern w:val="0"/>
          <w:szCs w:val="24"/>
          <w:highlight w:val="none"/>
        </w:rPr>
        <w:t>一、</w:t>
      </w:r>
      <w:r>
        <w:rPr>
          <w:rFonts w:hint="eastAsia" w:ascii="仿宋" w:hAnsi="仿宋" w:eastAsia="仿宋" w:cs="仿宋"/>
          <w:color w:val="auto"/>
          <w:szCs w:val="24"/>
          <w:highlight w:val="none"/>
        </w:rPr>
        <w:t>技术资信部分50分。</w:t>
      </w:r>
    </w:p>
    <w:p w14:paraId="3B8188EF">
      <w:pPr>
        <w:spacing w:line="440" w:lineRule="exact"/>
        <w:rPr>
          <w:rFonts w:ascii="仿宋" w:hAnsi="仿宋" w:eastAsia="仿宋" w:cs="仿宋"/>
          <w:color w:val="auto"/>
          <w:szCs w:val="24"/>
          <w:highlight w:val="none"/>
        </w:rPr>
      </w:pPr>
      <w:r>
        <w:rPr>
          <w:rFonts w:hint="eastAsia" w:ascii="仿宋" w:hAnsi="仿宋" w:eastAsia="仿宋" w:cs="仿宋"/>
          <w:color w:val="auto"/>
          <w:szCs w:val="24"/>
          <w:highlight w:val="none"/>
        </w:rPr>
        <w:t>（一）各评委成员按评标细则进行评审，计算精确到小数点后二位（各家单位的分值为所有评标成员给出的值的算术平均值）。</w:t>
      </w:r>
    </w:p>
    <w:p w14:paraId="05593739">
      <w:pPr>
        <w:spacing w:line="440" w:lineRule="exact"/>
        <w:rPr>
          <w:rFonts w:ascii="仿宋" w:hAnsi="仿宋" w:eastAsia="仿宋" w:cs="仿宋"/>
          <w:b/>
          <w:color w:val="auto"/>
          <w:szCs w:val="24"/>
          <w:highlight w:val="none"/>
        </w:rPr>
      </w:pPr>
      <w:r>
        <w:rPr>
          <w:rFonts w:hint="eastAsia" w:ascii="仿宋" w:hAnsi="仿宋" w:eastAsia="仿宋" w:cs="仿宋"/>
          <w:color w:val="auto"/>
          <w:szCs w:val="24"/>
          <w:highlight w:val="none"/>
        </w:rPr>
        <w:t>（二）技术资信分值（50分）</w:t>
      </w:r>
    </w:p>
    <w:tbl>
      <w:tblPr>
        <w:tblStyle w:val="79"/>
        <w:tblW w:w="9473"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3"/>
        <w:gridCol w:w="6473"/>
        <w:gridCol w:w="888"/>
      </w:tblGrid>
      <w:tr w14:paraId="320E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9" w:type="dxa"/>
            <w:tcBorders>
              <w:tl2br w:val="nil"/>
              <w:tr2bl w:val="nil"/>
            </w:tcBorders>
            <w:shd w:val="clear" w:color="auto" w:fill="auto"/>
            <w:vAlign w:val="center"/>
          </w:tcPr>
          <w:p w14:paraId="27A73FB4">
            <w:pPr>
              <w:widowControl/>
              <w:spacing w:line="400" w:lineRule="exact"/>
              <w:jc w:val="center"/>
              <w:textAlignment w:val="center"/>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序号</w:t>
            </w:r>
          </w:p>
        </w:tc>
        <w:tc>
          <w:tcPr>
            <w:tcW w:w="1373" w:type="dxa"/>
            <w:tcBorders>
              <w:tl2br w:val="nil"/>
              <w:tr2bl w:val="nil"/>
            </w:tcBorders>
            <w:shd w:val="clear" w:color="auto" w:fill="auto"/>
            <w:vAlign w:val="center"/>
          </w:tcPr>
          <w:p w14:paraId="15560029">
            <w:pPr>
              <w:widowControl/>
              <w:spacing w:line="400" w:lineRule="exact"/>
              <w:jc w:val="center"/>
              <w:textAlignment w:val="center"/>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评审内容</w:t>
            </w:r>
          </w:p>
        </w:tc>
        <w:tc>
          <w:tcPr>
            <w:tcW w:w="6473" w:type="dxa"/>
            <w:tcBorders>
              <w:tl2br w:val="nil"/>
              <w:tr2bl w:val="nil"/>
            </w:tcBorders>
            <w:shd w:val="clear" w:color="auto" w:fill="auto"/>
            <w:vAlign w:val="center"/>
          </w:tcPr>
          <w:p w14:paraId="13DFE903">
            <w:pPr>
              <w:widowControl/>
              <w:spacing w:line="400" w:lineRule="exact"/>
              <w:jc w:val="center"/>
              <w:textAlignment w:val="center"/>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评审细则</w:t>
            </w:r>
          </w:p>
        </w:tc>
        <w:tc>
          <w:tcPr>
            <w:tcW w:w="888" w:type="dxa"/>
            <w:tcBorders>
              <w:tl2br w:val="nil"/>
              <w:tr2bl w:val="nil"/>
            </w:tcBorders>
            <w:shd w:val="clear" w:color="auto" w:fill="auto"/>
            <w:vAlign w:val="center"/>
          </w:tcPr>
          <w:p w14:paraId="137122FB">
            <w:pPr>
              <w:widowControl/>
              <w:spacing w:line="400" w:lineRule="exact"/>
              <w:jc w:val="center"/>
              <w:textAlignment w:val="center"/>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lang w:bidi="ar"/>
              </w:rPr>
              <w:t>分值</w:t>
            </w:r>
          </w:p>
        </w:tc>
      </w:tr>
      <w:tr w14:paraId="464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39" w:type="dxa"/>
            <w:tcBorders>
              <w:tl2br w:val="nil"/>
              <w:tr2bl w:val="nil"/>
            </w:tcBorders>
            <w:shd w:val="clear" w:color="auto" w:fill="auto"/>
            <w:vAlign w:val="center"/>
          </w:tcPr>
          <w:p w14:paraId="67C89219">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1373" w:type="dxa"/>
            <w:tcBorders>
              <w:tl2br w:val="nil"/>
              <w:tr2bl w:val="nil"/>
            </w:tcBorders>
            <w:shd w:val="clear" w:color="auto" w:fill="auto"/>
            <w:vAlign w:val="center"/>
          </w:tcPr>
          <w:p w14:paraId="51D9872C">
            <w:pPr>
              <w:tabs>
                <w:tab w:val="left" w:pos="1260"/>
              </w:tabs>
              <w:spacing w:line="440" w:lineRule="exact"/>
              <w:jc w:val="center"/>
              <w:rPr>
                <w:rFonts w:ascii="仿宋" w:hAnsi="仿宋" w:eastAsia="仿宋" w:cs="仿宋"/>
                <w:bCs/>
                <w:color w:val="auto"/>
                <w:szCs w:val="24"/>
                <w:highlight w:val="none"/>
              </w:rPr>
            </w:pPr>
            <w:r>
              <w:rPr>
                <w:rFonts w:hint="eastAsia" w:ascii="仿宋" w:hAnsi="仿宋" w:eastAsia="仿宋" w:cs="仿宋"/>
                <w:color w:val="auto"/>
                <w:szCs w:val="24"/>
                <w:highlight w:val="none"/>
              </w:rPr>
              <w:t>业绩</w:t>
            </w:r>
          </w:p>
        </w:tc>
        <w:tc>
          <w:tcPr>
            <w:tcW w:w="6473" w:type="dxa"/>
            <w:tcBorders>
              <w:tl2br w:val="nil"/>
              <w:tr2bl w:val="nil"/>
            </w:tcBorders>
            <w:shd w:val="clear" w:color="auto" w:fill="auto"/>
            <w:vAlign w:val="center"/>
          </w:tcPr>
          <w:p w14:paraId="2645D920">
            <w:pPr>
              <w:spacing w:line="400" w:lineRule="exact"/>
              <w:jc w:val="left"/>
              <w:rPr>
                <w:rFonts w:ascii="仿宋" w:hAnsi="仿宋" w:eastAsia="仿宋" w:cs="仿宋"/>
                <w:color w:val="auto"/>
                <w:szCs w:val="24"/>
                <w:highlight w:val="none"/>
              </w:rPr>
            </w:pPr>
            <w:bookmarkStart w:id="157" w:name="OLE_LINK3"/>
            <w:bookmarkStart w:id="158" w:name="OLE_LINK1"/>
            <w:bookmarkStart w:id="159" w:name="OLE_LINK2"/>
            <w:r>
              <w:rPr>
                <w:rFonts w:hint="eastAsia" w:ascii="仿宋" w:hAnsi="仿宋" w:eastAsia="仿宋" w:cs="仿宋"/>
                <w:color w:val="auto"/>
                <w:szCs w:val="24"/>
                <w:highlight w:val="none"/>
              </w:rPr>
              <w:t>投标人提供自2021年7月1日以来中央空调节能控制系统项目合同业绩的，每提供一份得0.5分</w:t>
            </w:r>
            <w:bookmarkEnd w:id="157"/>
            <w:bookmarkEnd w:id="158"/>
            <w:bookmarkEnd w:id="159"/>
            <w:r>
              <w:rPr>
                <w:rFonts w:hint="eastAsia" w:ascii="仿宋" w:hAnsi="仿宋" w:eastAsia="仿宋" w:cs="仿宋"/>
                <w:color w:val="auto"/>
                <w:szCs w:val="24"/>
                <w:highlight w:val="none"/>
              </w:rPr>
              <w:t>，最高得5分。</w:t>
            </w:r>
            <w:r>
              <w:rPr>
                <w:rFonts w:hint="eastAsia" w:ascii="仿宋" w:hAnsi="仿宋" w:eastAsia="仿宋" w:cs="仿宋"/>
                <w:b/>
                <w:bCs/>
                <w:color w:val="auto"/>
                <w:szCs w:val="24"/>
                <w:highlight w:val="none"/>
              </w:rPr>
              <w:t>（提供合同复印件加盖投标人CA签章，不提供不得分）</w:t>
            </w:r>
          </w:p>
        </w:tc>
        <w:tc>
          <w:tcPr>
            <w:tcW w:w="888" w:type="dxa"/>
            <w:tcBorders>
              <w:tl2br w:val="nil"/>
              <w:tr2bl w:val="nil"/>
            </w:tcBorders>
            <w:shd w:val="clear" w:color="auto" w:fill="auto"/>
            <w:vAlign w:val="center"/>
          </w:tcPr>
          <w:p w14:paraId="46D09ACA">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5分</w:t>
            </w:r>
          </w:p>
        </w:tc>
      </w:tr>
      <w:tr w14:paraId="5AED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39" w:type="dxa"/>
            <w:tcBorders>
              <w:tl2br w:val="nil"/>
              <w:tr2bl w:val="nil"/>
            </w:tcBorders>
            <w:shd w:val="clear" w:color="auto" w:fill="auto"/>
            <w:vAlign w:val="center"/>
          </w:tcPr>
          <w:p w14:paraId="0C6F855D">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w:t>
            </w:r>
          </w:p>
        </w:tc>
        <w:tc>
          <w:tcPr>
            <w:tcW w:w="1373" w:type="dxa"/>
            <w:tcBorders>
              <w:tl2br w:val="nil"/>
              <w:tr2bl w:val="nil"/>
            </w:tcBorders>
            <w:shd w:val="clear" w:color="auto" w:fill="auto"/>
            <w:vAlign w:val="center"/>
          </w:tcPr>
          <w:p w14:paraId="6BE0FB57">
            <w:pPr>
              <w:tabs>
                <w:tab w:val="left" w:pos="1260"/>
              </w:tabs>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技术指标</w:t>
            </w:r>
          </w:p>
        </w:tc>
        <w:tc>
          <w:tcPr>
            <w:tcW w:w="6473" w:type="dxa"/>
            <w:tcBorders>
              <w:tl2br w:val="nil"/>
              <w:tr2bl w:val="nil"/>
            </w:tcBorders>
            <w:shd w:val="clear" w:color="auto" w:fill="auto"/>
            <w:vAlign w:val="center"/>
          </w:tcPr>
          <w:p w14:paraId="02B2BC06">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2"/>
                <w:highlight w:val="none"/>
              </w:rPr>
              <w:t>完全满足采购文件技术指标要求的得1</w:t>
            </w:r>
            <w:r>
              <w:rPr>
                <w:rFonts w:ascii="仿宋" w:hAnsi="仿宋" w:eastAsia="仿宋" w:cs="仿宋"/>
                <w:color w:val="auto"/>
                <w:szCs w:val="22"/>
                <w:highlight w:val="none"/>
              </w:rPr>
              <w:t>5</w:t>
            </w:r>
            <w:r>
              <w:rPr>
                <w:rFonts w:hint="eastAsia" w:ascii="仿宋" w:hAnsi="仿宋" w:eastAsia="仿宋" w:cs="仿宋"/>
                <w:color w:val="auto"/>
                <w:szCs w:val="22"/>
                <w:highlight w:val="none"/>
              </w:rPr>
              <w:t>分，打“▲”技术指标为重要指标，每有一项负偏离的扣1分，一般技术指标每有一项负偏离的扣0.5分，扣完为止。</w:t>
            </w:r>
            <w:r>
              <w:rPr>
                <w:rFonts w:hint="eastAsia" w:ascii="仿宋" w:hAnsi="仿宋" w:eastAsia="仿宋" w:cs="仿宋"/>
                <w:b/>
                <w:bCs/>
                <w:color w:val="auto"/>
                <w:szCs w:val="22"/>
                <w:highlight w:val="none"/>
              </w:rPr>
              <w:t>（技术指标须按照采购文件要求提供相关证明材料并加盖CA签章，不提供作负偏离处理。）</w:t>
            </w:r>
          </w:p>
        </w:tc>
        <w:tc>
          <w:tcPr>
            <w:tcW w:w="888" w:type="dxa"/>
            <w:tcBorders>
              <w:tl2br w:val="nil"/>
              <w:tr2bl w:val="nil"/>
            </w:tcBorders>
            <w:shd w:val="clear" w:color="auto" w:fill="auto"/>
            <w:vAlign w:val="center"/>
          </w:tcPr>
          <w:p w14:paraId="6F21E91F">
            <w:pPr>
              <w:spacing w:line="440" w:lineRule="exact"/>
              <w:jc w:val="center"/>
              <w:rPr>
                <w:rFonts w:ascii="仿宋" w:hAnsi="仿宋" w:eastAsia="仿宋" w:cs="仿宋"/>
                <w:color w:val="auto"/>
                <w:szCs w:val="24"/>
                <w:highlight w:val="none"/>
              </w:rPr>
            </w:pPr>
            <w:r>
              <w:rPr>
                <w:rFonts w:ascii="仿宋" w:hAnsi="仿宋" w:eastAsia="仿宋" w:cs="仿宋"/>
                <w:color w:val="auto"/>
                <w:szCs w:val="24"/>
                <w:highlight w:val="none"/>
              </w:rPr>
              <w:t>15</w:t>
            </w:r>
            <w:r>
              <w:rPr>
                <w:rFonts w:hint="eastAsia" w:ascii="仿宋" w:hAnsi="仿宋" w:eastAsia="仿宋" w:cs="仿宋"/>
                <w:color w:val="auto"/>
                <w:szCs w:val="24"/>
                <w:highlight w:val="none"/>
              </w:rPr>
              <w:t>分</w:t>
            </w:r>
          </w:p>
        </w:tc>
      </w:tr>
      <w:tr w14:paraId="51A8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l2br w:val="nil"/>
              <w:tr2bl w:val="nil"/>
            </w:tcBorders>
            <w:shd w:val="clear" w:color="auto" w:fill="auto"/>
            <w:vAlign w:val="center"/>
          </w:tcPr>
          <w:p w14:paraId="47E1595D">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w:t>
            </w:r>
          </w:p>
        </w:tc>
        <w:tc>
          <w:tcPr>
            <w:tcW w:w="1373" w:type="dxa"/>
            <w:tcBorders>
              <w:tl2br w:val="nil"/>
              <w:tr2bl w:val="nil"/>
            </w:tcBorders>
            <w:shd w:val="clear" w:color="auto" w:fill="auto"/>
            <w:vAlign w:val="center"/>
          </w:tcPr>
          <w:p w14:paraId="495CD0B2">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项目整体设计方案</w:t>
            </w:r>
          </w:p>
        </w:tc>
        <w:tc>
          <w:tcPr>
            <w:tcW w:w="6473" w:type="dxa"/>
            <w:tcBorders>
              <w:tl2br w:val="nil"/>
              <w:tr2bl w:val="nil"/>
            </w:tcBorders>
            <w:shd w:val="clear" w:color="auto" w:fill="auto"/>
            <w:vAlign w:val="center"/>
          </w:tcPr>
          <w:p w14:paraId="06B66AC9">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根据投标人</w:t>
            </w:r>
            <w:r>
              <w:rPr>
                <w:rFonts w:hint="eastAsia" w:ascii="仿宋" w:hAnsi="仿宋" w:eastAsia="仿宋" w:cs="仿宋"/>
                <w:b/>
                <w:bCs/>
                <w:color w:val="auto"/>
                <w:szCs w:val="24"/>
                <w:highlight w:val="none"/>
              </w:rPr>
              <w:t>现场阐述</w:t>
            </w:r>
            <w:r>
              <w:rPr>
                <w:rFonts w:hint="eastAsia" w:ascii="仿宋" w:hAnsi="仿宋" w:eastAsia="仿宋" w:cs="仿宋"/>
                <w:color w:val="auto"/>
                <w:szCs w:val="24"/>
                <w:highlight w:val="none"/>
              </w:rPr>
              <w:t>对本项目全面了解后提供的整体设计方案（包括设计架构，设备配置、智能化运维软件平台、节能节优控制功能等）的完整性、科学性、可行性等进行综合评分：</w:t>
            </w:r>
          </w:p>
          <w:p w14:paraId="256C81A8">
            <w:pPr>
              <w:numPr>
                <w:ilvl w:val="0"/>
                <w:numId w:val="13"/>
              </w:num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整体设计方案全面、科学、可行，完全能够满足采购需求的得13-1</w:t>
            </w:r>
            <w:r>
              <w:rPr>
                <w:rFonts w:ascii="仿宋" w:hAnsi="仿宋" w:eastAsia="仿宋" w:cs="仿宋"/>
                <w:color w:val="auto"/>
                <w:szCs w:val="24"/>
                <w:highlight w:val="none"/>
              </w:rPr>
              <w:t>5</w:t>
            </w:r>
            <w:r>
              <w:rPr>
                <w:rFonts w:hint="eastAsia" w:ascii="仿宋" w:hAnsi="仿宋" w:eastAsia="仿宋" w:cs="仿宋"/>
                <w:color w:val="auto"/>
                <w:szCs w:val="24"/>
                <w:highlight w:val="none"/>
              </w:rPr>
              <w:t>分；</w:t>
            </w:r>
          </w:p>
          <w:p w14:paraId="4FFEF3CC">
            <w:pPr>
              <w:numPr>
                <w:ilvl w:val="0"/>
                <w:numId w:val="13"/>
              </w:num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整体设计方案比较全面、科学、可行，基本能够满足采购需求的得9-12分；</w:t>
            </w:r>
          </w:p>
          <w:p w14:paraId="62A12AFA">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（3）整体设计方案不够全面、科学、可行，只能部分能够满足采购需求的得5-8分；</w:t>
            </w:r>
          </w:p>
          <w:p w14:paraId="60A6DBA7">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（4）整体设计方案存在严重缺陷的得0-4分。</w:t>
            </w:r>
          </w:p>
          <w:p w14:paraId="0CEEB7A1">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b/>
                <w:bCs/>
                <w:color w:val="auto"/>
                <w:szCs w:val="24"/>
                <w:highlight w:val="none"/>
              </w:rPr>
              <w:t>（方案需现场阐述，现场阐述时间不超过15分钟，提供整体设计方案PPT、平面图及效果图，设计方案须表述清晰，不提供本项得0分。）</w:t>
            </w:r>
          </w:p>
        </w:tc>
        <w:tc>
          <w:tcPr>
            <w:tcW w:w="888" w:type="dxa"/>
            <w:tcBorders>
              <w:tl2br w:val="nil"/>
              <w:tr2bl w:val="nil"/>
            </w:tcBorders>
            <w:shd w:val="clear" w:color="auto" w:fill="auto"/>
            <w:vAlign w:val="center"/>
          </w:tcPr>
          <w:p w14:paraId="20DB7872">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ascii="仿宋" w:hAnsi="仿宋" w:eastAsia="仿宋" w:cs="仿宋"/>
                <w:color w:val="auto"/>
                <w:szCs w:val="24"/>
                <w:highlight w:val="none"/>
              </w:rPr>
              <w:t>5</w:t>
            </w:r>
            <w:r>
              <w:rPr>
                <w:rFonts w:hint="eastAsia" w:ascii="仿宋" w:hAnsi="仿宋" w:eastAsia="仿宋" w:cs="仿宋"/>
                <w:color w:val="auto"/>
                <w:szCs w:val="24"/>
                <w:highlight w:val="none"/>
              </w:rPr>
              <w:t>分</w:t>
            </w:r>
          </w:p>
        </w:tc>
      </w:tr>
      <w:tr w14:paraId="4EB5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9" w:type="dxa"/>
            <w:tcBorders>
              <w:tl2br w:val="nil"/>
              <w:tr2bl w:val="nil"/>
            </w:tcBorders>
            <w:shd w:val="clear" w:color="auto" w:fill="auto"/>
            <w:vAlign w:val="center"/>
          </w:tcPr>
          <w:p w14:paraId="09EB82A0">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w:t>
            </w:r>
          </w:p>
        </w:tc>
        <w:tc>
          <w:tcPr>
            <w:tcW w:w="1373" w:type="dxa"/>
            <w:tcBorders>
              <w:tl2br w:val="nil"/>
              <w:tr2bl w:val="nil"/>
            </w:tcBorders>
            <w:shd w:val="clear" w:color="auto" w:fill="auto"/>
            <w:vAlign w:val="center"/>
          </w:tcPr>
          <w:p w14:paraId="4726D4EB">
            <w:pPr>
              <w:tabs>
                <w:tab w:val="left" w:pos="1260"/>
              </w:tabs>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项目实施方案</w:t>
            </w:r>
          </w:p>
        </w:tc>
        <w:tc>
          <w:tcPr>
            <w:tcW w:w="6473" w:type="dxa"/>
            <w:tcBorders>
              <w:tl2br w:val="nil"/>
              <w:tr2bl w:val="nil"/>
            </w:tcBorders>
            <w:shd w:val="clear" w:color="auto" w:fill="auto"/>
            <w:vAlign w:val="center"/>
          </w:tcPr>
          <w:p w14:paraId="5EF46426">
            <w:pPr>
              <w:tabs>
                <w:tab w:val="left" w:pos="1260"/>
              </w:tabs>
              <w:spacing w:line="400" w:lineRule="exact"/>
              <w:jc w:val="left"/>
              <w:rPr>
                <w:rFonts w:ascii="仿宋" w:hAnsi="仿宋" w:eastAsia="仿宋" w:cs="仿宋"/>
                <w:bCs/>
                <w:color w:val="auto"/>
                <w:szCs w:val="24"/>
                <w:highlight w:val="none"/>
              </w:rPr>
            </w:pPr>
            <w:r>
              <w:rPr>
                <w:rFonts w:hint="eastAsia" w:ascii="仿宋" w:hAnsi="仿宋" w:eastAsia="仿宋" w:cs="仿宋"/>
                <w:bCs/>
                <w:color w:val="auto"/>
                <w:szCs w:val="24"/>
                <w:highlight w:val="none"/>
              </w:rPr>
              <w:t>根据投标人提供的项目实施方案（包括供货安排、工作进度安排、人员安排、安全文明施工、质量保障措施、安装、调试等）</w:t>
            </w:r>
            <w:r>
              <w:rPr>
                <w:rFonts w:hint="eastAsia" w:ascii="仿宋" w:hAnsi="仿宋" w:eastAsia="仿宋" w:cs="仿宋"/>
                <w:color w:val="auto"/>
                <w:szCs w:val="24"/>
                <w:highlight w:val="none"/>
              </w:rPr>
              <w:t>的全面性、合理性进行打分。</w:t>
            </w:r>
            <w:r>
              <w:rPr>
                <w:rFonts w:hint="eastAsia" w:ascii="仿宋" w:hAnsi="仿宋" w:eastAsia="仿宋" w:cs="仿宋"/>
                <w:bCs/>
                <w:color w:val="auto"/>
                <w:szCs w:val="24"/>
                <w:highlight w:val="none"/>
              </w:rPr>
              <w:t>（0-4分）</w:t>
            </w:r>
          </w:p>
        </w:tc>
        <w:tc>
          <w:tcPr>
            <w:tcW w:w="888" w:type="dxa"/>
            <w:tcBorders>
              <w:tl2br w:val="nil"/>
              <w:tr2bl w:val="nil"/>
            </w:tcBorders>
            <w:shd w:val="clear" w:color="auto" w:fill="auto"/>
            <w:vAlign w:val="center"/>
          </w:tcPr>
          <w:p w14:paraId="7F0BC31B">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4分</w:t>
            </w:r>
          </w:p>
        </w:tc>
      </w:tr>
      <w:tr w14:paraId="602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9" w:type="dxa"/>
            <w:tcBorders>
              <w:tl2br w:val="nil"/>
              <w:tr2bl w:val="nil"/>
            </w:tcBorders>
            <w:shd w:val="clear" w:color="auto" w:fill="auto"/>
            <w:vAlign w:val="center"/>
          </w:tcPr>
          <w:p w14:paraId="403965AC">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5</w:t>
            </w:r>
          </w:p>
        </w:tc>
        <w:tc>
          <w:tcPr>
            <w:tcW w:w="1373" w:type="dxa"/>
            <w:tcBorders>
              <w:tl2br w:val="nil"/>
              <w:tr2bl w:val="nil"/>
            </w:tcBorders>
            <w:shd w:val="clear" w:color="auto" w:fill="auto"/>
            <w:vAlign w:val="center"/>
          </w:tcPr>
          <w:p w14:paraId="07F6B49E">
            <w:pPr>
              <w:tabs>
                <w:tab w:val="left" w:pos="1260"/>
              </w:tabs>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培训方案</w:t>
            </w:r>
          </w:p>
        </w:tc>
        <w:tc>
          <w:tcPr>
            <w:tcW w:w="6473" w:type="dxa"/>
            <w:tcBorders>
              <w:tl2br w:val="nil"/>
              <w:tr2bl w:val="nil"/>
            </w:tcBorders>
            <w:shd w:val="clear" w:color="auto" w:fill="auto"/>
            <w:vAlign w:val="center"/>
          </w:tcPr>
          <w:p w14:paraId="6326C158">
            <w:pPr>
              <w:tabs>
                <w:tab w:val="left" w:pos="1260"/>
              </w:tabs>
              <w:spacing w:line="400" w:lineRule="exact"/>
              <w:jc w:val="left"/>
              <w:rPr>
                <w:rFonts w:ascii="仿宋" w:hAnsi="仿宋" w:eastAsia="仿宋" w:cs="仿宋"/>
                <w:bCs/>
                <w:color w:val="auto"/>
                <w:szCs w:val="24"/>
                <w:highlight w:val="none"/>
              </w:rPr>
            </w:pPr>
            <w:r>
              <w:rPr>
                <w:rFonts w:hint="eastAsia" w:ascii="仿宋" w:hAnsi="仿宋" w:eastAsia="仿宋" w:cs="仿宋"/>
                <w:bCs/>
                <w:color w:val="auto"/>
                <w:szCs w:val="24"/>
                <w:highlight w:val="none"/>
              </w:rPr>
              <w:t>根据投标人提供的培训方案（包括培训对象、培训地点、培训频次、培训内容等）的可行性等进行综合评分。（0-2分）</w:t>
            </w:r>
          </w:p>
        </w:tc>
        <w:tc>
          <w:tcPr>
            <w:tcW w:w="888" w:type="dxa"/>
            <w:tcBorders>
              <w:tl2br w:val="nil"/>
              <w:tr2bl w:val="nil"/>
            </w:tcBorders>
            <w:shd w:val="clear" w:color="auto" w:fill="auto"/>
            <w:vAlign w:val="center"/>
          </w:tcPr>
          <w:p w14:paraId="660ADA0F">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2分</w:t>
            </w:r>
          </w:p>
        </w:tc>
      </w:tr>
      <w:tr w14:paraId="0ADB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9" w:type="dxa"/>
            <w:tcBorders>
              <w:tl2br w:val="nil"/>
              <w:tr2bl w:val="nil"/>
            </w:tcBorders>
            <w:shd w:val="clear" w:color="auto" w:fill="auto"/>
            <w:vAlign w:val="center"/>
          </w:tcPr>
          <w:p w14:paraId="62646AB9">
            <w:pPr>
              <w:widowControl/>
              <w:spacing w:line="400" w:lineRule="exact"/>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6</w:t>
            </w:r>
          </w:p>
        </w:tc>
        <w:tc>
          <w:tcPr>
            <w:tcW w:w="1373" w:type="dxa"/>
            <w:vMerge w:val="restart"/>
            <w:tcBorders>
              <w:tl2br w:val="nil"/>
              <w:tr2bl w:val="nil"/>
            </w:tcBorders>
            <w:shd w:val="clear" w:color="auto" w:fill="auto"/>
            <w:vAlign w:val="center"/>
          </w:tcPr>
          <w:p w14:paraId="4DDDD54E">
            <w:pPr>
              <w:tabs>
                <w:tab w:val="left" w:pos="1260"/>
              </w:tabs>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售后服务</w:t>
            </w:r>
          </w:p>
        </w:tc>
        <w:tc>
          <w:tcPr>
            <w:tcW w:w="6473" w:type="dxa"/>
            <w:tcBorders>
              <w:tl2br w:val="nil"/>
              <w:tr2bl w:val="nil"/>
            </w:tcBorders>
            <w:shd w:val="clear" w:color="auto" w:fill="auto"/>
            <w:vAlign w:val="center"/>
          </w:tcPr>
          <w:p w14:paraId="5CB08367">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质保期在招标文件的（免费4年）基础上，每增加一年得3分，最高得6分。</w:t>
            </w:r>
          </w:p>
        </w:tc>
        <w:tc>
          <w:tcPr>
            <w:tcW w:w="888" w:type="dxa"/>
            <w:tcBorders>
              <w:tl2br w:val="nil"/>
              <w:tr2bl w:val="nil"/>
            </w:tcBorders>
            <w:shd w:val="clear" w:color="auto" w:fill="auto"/>
            <w:vAlign w:val="center"/>
          </w:tcPr>
          <w:p w14:paraId="1E34CBEC">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6分</w:t>
            </w:r>
          </w:p>
        </w:tc>
      </w:tr>
      <w:tr w14:paraId="6AFE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39" w:type="dxa"/>
            <w:tcBorders>
              <w:tl2br w:val="nil"/>
              <w:tr2bl w:val="nil"/>
            </w:tcBorders>
            <w:shd w:val="clear" w:color="auto" w:fill="auto"/>
            <w:vAlign w:val="center"/>
          </w:tcPr>
          <w:p w14:paraId="520FF826">
            <w:pPr>
              <w:widowControl/>
              <w:spacing w:line="400" w:lineRule="exact"/>
              <w:jc w:val="center"/>
              <w:textAlignment w:val="center"/>
              <w:rPr>
                <w:rFonts w:ascii="仿宋" w:hAnsi="仿宋" w:eastAsia="仿宋" w:cs="仿宋"/>
                <w:color w:val="auto"/>
                <w:kern w:val="0"/>
                <w:szCs w:val="24"/>
                <w:highlight w:val="none"/>
                <w:lang w:bidi="ar"/>
              </w:rPr>
            </w:pPr>
            <w:r>
              <w:rPr>
                <w:rFonts w:ascii="仿宋" w:hAnsi="仿宋" w:eastAsia="仿宋" w:cs="仿宋"/>
                <w:color w:val="auto"/>
                <w:kern w:val="0"/>
                <w:szCs w:val="24"/>
                <w:highlight w:val="none"/>
                <w:lang w:bidi="ar"/>
              </w:rPr>
              <w:t>7</w:t>
            </w:r>
          </w:p>
        </w:tc>
        <w:tc>
          <w:tcPr>
            <w:tcW w:w="1373" w:type="dxa"/>
            <w:vMerge w:val="continue"/>
            <w:tcBorders>
              <w:tl2br w:val="nil"/>
              <w:tr2bl w:val="nil"/>
            </w:tcBorders>
            <w:shd w:val="clear" w:color="auto" w:fill="auto"/>
            <w:vAlign w:val="center"/>
          </w:tcPr>
          <w:p w14:paraId="1006C154">
            <w:pPr>
              <w:tabs>
                <w:tab w:val="left" w:pos="1260"/>
              </w:tabs>
              <w:spacing w:line="440" w:lineRule="exact"/>
              <w:jc w:val="center"/>
              <w:rPr>
                <w:rFonts w:ascii="仿宋" w:hAnsi="仿宋" w:eastAsia="仿宋" w:cs="仿宋"/>
                <w:color w:val="auto"/>
                <w:szCs w:val="24"/>
                <w:highlight w:val="none"/>
              </w:rPr>
            </w:pPr>
          </w:p>
        </w:tc>
        <w:tc>
          <w:tcPr>
            <w:tcW w:w="6473" w:type="dxa"/>
            <w:tcBorders>
              <w:tl2br w:val="nil"/>
              <w:tr2bl w:val="nil"/>
            </w:tcBorders>
            <w:shd w:val="clear" w:color="auto" w:fill="auto"/>
            <w:vAlign w:val="center"/>
          </w:tcPr>
          <w:p w14:paraId="631AF42F">
            <w:pPr>
              <w:tabs>
                <w:tab w:val="left" w:pos="1260"/>
              </w:tabs>
              <w:spacing w:line="40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根据投标人提供的售后服务方案（售后服务网点配置、应急响应时间及处理方案、故障处理、巡检、技术支持等）的全面性、合理性进行打分。</w:t>
            </w:r>
            <w:r>
              <w:rPr>
                <w:rFonts w:hint="eastAsia" w:ascii="仿宋" w:hAnsi="仿宋" w:eastAsia="仿宋" w:cs="仿宋"/>
                <w:bCs/>
                <w:color w:val="auto"/>
                <w:szCs w:val="24"/>
                <w:highlight w:val="none"/>
              </w:rPr>
              <w:t>（0-3分）</w:t>
            </w:r>
          </w:p>
        </w:tc>
        <w:tc>
          <w:tcPr>
            <w:tcW w:w="888" w:type="dxa"/>
            <w:tcBorders>
              <w:tl2br w:val="nil"/>
              <w:tr2bl w:val="nil"/>
            </w:tcBorders>
            <w:shd w:val="clear" w:color="auto" w:fill="auto"/>
            <w:vAlign w:val="center"/>
          </w:tcPr>
          <w:p w14:paraId="5987518D">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3分</w:t>
            </w:r>
          </w:p>
        </w:tc>
      </w:tr>
    </w:tbl>
    <w:p w14:paraId="493EA137">
      <w:pPr>
        <w:spacing w:line="40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二、价格部分50分</w:t>
      </w:r>
    </w:p>
    <w:p w14:paraId="0410FFE8">
      <w:pPr>
        <w:snapToGrid w:val="0"/>
        <w:spacing w:line="400" w:lineRule="exact"/>
        <w:ind w:firstLine="480" w:firstLineChars="2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评标基准价：</w:t>
      </w:r>
      <w:r>
        <w:rPr>
          <w:rFonts w:hint="eastAsia" w:ascii="仿宋" w:hAnsi="仿宋" w:eastAsia="仿宋" w:cs="仿宋"/>
          <w:color w:val="auto"/>
          <w:szCs w:val="24"/>
          <w:highlight w:val="none"/>
        </w:rPr>
        <w:t>价格分采用低价优先法计算，</w:t>
      </w:r>
      <w:r>
        <w:rPr>
          <w:rFonts w:hint="eastAsia" w:ascii="仿宋" w:hAnsi="仿宋" w:eastAsia="仿宋" w:cs="仿宋"/>
          <w:color w:val="auto"/>
          <w:kern w:val="0"/>
          <w:szCs w:val="24"/>
          <w:highlight w:val="none"/>
        </w:rPr>
        <w:t>以有效投标人的最低投标报价为评标基准价，其价格分为满分。</w:t>
      </w:r>
    </w:p>
    <w:p w14:paraId="01169B21">
      <w:pPr>
        <w:snapToGrid w:val="0"/>
        <w:spacing w:line="400" w:lineRule="exact"/>
        <w:ind w:firstLine="480" w:firstLineChars="2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其他投标人的价格分统一按照下列公式计算：</w:t>
      </w:r>
    </w:p>
    <w:p w14:paraId="4ECAC1AD">
      <w:pPr>
        <w:snapToGrid w:val="0"/>
        <w:spacing w:line="400" w:lineRule="exact"/>
        <w:ind w:firstLine="480" w:firstLineChars="2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投标报价得分=(评标基准价／投标报价)×50%×100</w:t>
      </w:r>
    </w:p>
    <w:p w14:paraId="50D636FD">
      <w:pPr>
        <w:snapToGrid w:val="0"/>
        <w:spacing w:before="120" w:beforeLines="50" w:line="400" w:lineRule="exact"/>
        <w:ind w:firstLine="482" w:firstLineChars="200"/>
        <w:jc w:val="left"/>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本项目最高限价为1170000元，风险控制价为</w:t>
      </w:r>
      <w:r>
        <w:rPr>
          <w:rFonts w:ascii="仿宋" w:hAnsi="仿宋" w:eastAsia="仿宋" w:cs="仿宋"/>
          <w:b/>
          <w:bCs/>
          <w:color w:val="auto"/>
          <w:kern w:val="0"/>
          <w:szCs w:val="24"/>
          <w:highlight w:val="none"/>
        </w:rPr>
        <w:t>819</w:t>
      </w:r>
      <w:r>
        <w:rPr>
          <w:rFonts w:hint="eastAsia" w:ascii="仿宋" w:hAnsi="仿宋" w:eastAsia="仿宋" w:cs="仿宋"/>
          <w:b/>
          <w:bCs/>
          <w:color w:val="auto"/>
          <w:kern w:val="0"/>
          <w:szCs w:val="24"/>
          <w:highlight w:val="none"/>
        </w:rPr>
        <w:t>000元（最高限价的</w:t>
      </w:r>
      <w:r>
        <w:rPr>
          <w:rFonts w:ascii="仿宋" w:hAnsi="仿宋" w:eastAsia="仿宋" w:cs="仿宋"/>
          <w:b/>
          <w:bCs/>
          <w:color w:val="auto"/>
          <w:kern w:val="0"/>
          <w:szCs w:val="24"/>
          <w:highlight w:val="none"/>
        </w:rPr>
        <w:t>7</w:t>
      </w:r>
      <w:r>
        <w:rPr>
          <w:rFonts w:hint="eastAsia" w:ascii="仿宋" w:hAnsi="仿宋" w:eastAsia="仿宋" w:cs="仿宋"/>
          <w:b/>
          <w:bCs/>
          <w:color w:val="auto"/>
          <w:kern w:val="0"/>
          <w:szCs w:val="24"/>
          <w:highlight w:val="none"/>
        </w:rPr>
        <w:t>0%）。凡低于该风险控制价的，中标供应商应在中标通知书发出后5个工作日内补交成交价净值与风险控制价之差额，中标供应商不提交的视为放弃中标。差额保证金在质保期满后7个工作日内无息退还。（差额保证金应在中标通知书发出后5个工作日内交至采购单位，以现金、电汇、转账、网银方式交纳，其他方式不接受)。</w:t>
      </w:r>
    </w:p>
    <w:p w14:paraId="58A1EFC9">
      <w:pPr>
        <w:snapToGrid w:val="0"/>
        <w:spacing w:line="400" w:lineRule="exact"/>
        <w:ind w:firstLine="482" w:firstLineChars="200"/>
        <w:jc w:val="left"/>
        <w:rPr>
          <w:rFonts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p w14:paraId="390DBC4B">
      <w:pPr>
        <w:spacing w:line="360" w:lineRule="auto"/>
        <w:jc w:val="center"/>
        <w:outlineLvl w:val="0"/>
        <w:rPr>
          <w:rFonts w:ascii="仿宋" w:hAnsi="仿宋" w:eastAsia="仿宋" w:cs="仿宋"/>
          <w:b/>
          <w:bCs/>
          <w:color w:val="auto"/>
          <w:sz w:val="32"/>
          <w:szCs w:val="32"/>
          <w:highlight w:val="none"/>
        </w:rPr>
      </w:pPr>
      <w:bookmarkStart w:id="160" w:name="_Toc54978900"/>
    </w:p>
    <w:p w14:paraId="7ABC553C">
      <w:pPr>
        <w:spacing w:line="360" w:lineRule="auto"/>
        <w:jc w:val="center"/>
        <w:outlineLvl w:val="0"/>
        <w:rPr>
          <w:rFonts w:ascii="仿宋" w:hAnsi="仿宋" w:eastAsia="仿宋" w:cs="仿宋"/>
          <w:b/>
          <w:bCs/>
          <w:color w:val="auto"/>
          <w:sz w:val="32"/>
          <w:szCs w:val="32"/>
          <w:highlight w:val="none"/>
        </w:rPr>
      </w:pPr>
    </w:p>
    <w:p w14:paraId="6E9BE910">
      <w:pPr>
        <w:spacing w:line="360" w:lineRule="auto"/>
        <w:jc w:val="center"/>
        <w:outlineLvl w:val="0"/>
        <w:rPr>
          <w:rFonts w:ascii="仿宋" w:hAnsi="仿宋" w:eastAsia="仿宋" w:cs="仿宋"/>
          <w:b/>
          <w:bCs/>
          <w:color w:val="auto"/>
          <w:sz w:val="32"/>
          <w:szCs w:val="32"/>
          <w:highlight w:val="none"/>
        </w:rPr>
      </w:pPr>
    </w:p>
    <w:p w14:paraId="6DFE683D">
      <w:pPr>
        <w:spacing w:line="360" w:lineRule="auto"/>
        <w:jc w:val="center"/>
        <w:outlineLvl w:val="0"/>
        <w:rPr>
          <w:rFonts w:ascii="仿宋" w:hAnsi="仿宋" w:eastAsia="仿宋" w:cs="仿宋"/>
          <w:b/>
          <w:bCs/>
          <w:color w:val="auto"/>
          <w:sz w:val="32"/>
          <w:szCs w:val="32"/>
          <w:highlight w:val="none"/>
        </w:rPr>
      </w:pPr>
    </w:p>
    <w:p w14:paraId="39C38993">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9F08EEC">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bCs/>
          <w:color w:val="auto"/>
          <w:sz w:val="32"/>
          <w:szCs w:val="32"/>
          <w:highlight w:val="none"/>
        </w:rPr>
        <w:t xml:space="preserve">第五部分  </w:t>
      </w:r>
      <w:bookmarkEnd w:id="160"/>
      <w:bookmarkStart w:id="161" w:name="_Toc32443"/>
      <w:bookmarkStart w:id="162" w:name="_Toc54978901"/>
      <w:r>
        <w:rPr>
          <w:rFonts w:hint="eastAsia" w:ascii="仿宋" w:hAnsi="仿宋" w:eastAsia="仿宋" w:cs="仿宋"/>
          <w:b/>
          <w:color w:val="auto"/>
          <w:sz w:val="36"/>
          <w:szCs w:val="36"/>
          <w:highlight w:val="none"/>
        </w:rPr>
        <w:t>拟签订的合同文本</w:t>
      </w:r>
    </w:p>
    <w:p w14:paraId="22BFB177">
      <w:pPr>
        <w:jc w:val="right"/>
        <w:rPr>
          <w:rFonts w:ascii="仿宋" w:hAnsi="仿宋" w:eastAsia="仿宋" w:cs="仿宋"/>
          <w:b/>
          <w:bCs/>
          <w:color w:val="auto"/>
          <w:highlight w:val="none"/>
          <w:u w:val="single"/>
        </w:rPr>
      </w:pPr>
      <w:r>
        <w:rPr>
          <w:rFonts w:hint="eastAsia" w:ascii="仿宋" w:hAnsi="仿宋" w:eastAsia="仿宋" w:cs="仿宋"/>
          <w:b/>
          <w:bCs/>
          <w:color w:val="auto"/>
          <w:highlight w:val="none"/>
        </w:rPr>
        <w:t>合同编号：</w:t>
      </w:r>
    </w:p>
    <w:p w14:paraId="2B98664E">
      <w:pPr>
        <w:spacing w:line="480" w:lineRule="auto"/>
        <w:jc w:val="center"/>
        <w:rPr>
          <w:rFonts w:ascii="仿宋" w:hAnsi="仿宋" w:eastAsia="仿宋" w:cs="仿宋"/>
          <w:b/>
          <w:color w:val="auto"/>
          <w:sz w:val="28"/>
          <w:szCs w:val="28"/>
          <w:highlight w:val="none"/>
        </w:rPr>
      </w:pPr>
    </w:p>
    <w:p w14:paraId="52DDCE29">
      <w:pPr>
        <w:spacing w:line="480" w:lineRule="auto"/>
        <w:jc w:val="center"/>
        <w:rPr>
          <w:rFonts w:ascii="仿宋" w:hAnsi="仿宋" w:eastAsia="仿宋" w:cs="仿宋"/>
          <w:b/>
          <w:color w:val="auto"/>
          <w:highlight w:val="none"/>
        </w:rPr>
      </w:pPr>
    </w:p>
    <w:p w14:paraId="59504590">
      <w:pPr>
        <w:spacing w:line="480" w:lineRule="auto"/>
        <w:jc w:val="center"/>
        <w:rPr>
          <w:rFonts w:ascii="仿宋" w:hAnsi="仿宋" w:eastAsia="仿宋" w:cs="仿宋"/>
          <w:b/>
          <w:color w:val="auto"/>
          <w:highlight w:val="none"/>
        </w:rPr>
      </w:pPr>
    </w:p>
    <w:p w14:paraId="1E5FA14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27153F81">
      <w:pPr>
        <w:spacing w:before="120" w:line="22" w:lineRule="atLeast"/>
        <w:rPr>
          <w:rFonts w:ascii="仿宋" w:hAnsi="仿宋" w:eastAsia="仿宋" w:cs="仿宋"/>
          <w:color w:val="auto"/>
          <w:highlight w:val="none"/>
        </w:rPr>
      </w:pPr>
    </w:p>
    <w:p w14:paraId="4FF76E3D">
      <w:pPr>
        <w:pStyle w:val="5"/>
        <w:tabs>
          <w:tab w:val="left" w:pos="432"/>
          <w:tab w:val="clear" w:pos="358"/>
        </w:tabs>
        <w:rPr>
          <w:rFonts w:ascii="仿宋" w:eastAsia="仿宋" w:cs="仿宋"/>
          <w:color w:val="auto"/>
          <w:highlight w:val="none"/>
        </w:rPr>
      </w:pPr>
    </w:p>
    <w:p w14:paraId="493467C4">
      <w:pPr>
        <w:spacing w:before="120" w:line="22" w:lineRule="atLeast"/>
        <w:ind w:left="960"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p w14:paraId="5EDEBAE9">
      <w:pPr>
        <w:pStyle w:val="552"/>
        <w:spacing w:before="120" w:line="22" w:lineRule="atLeast"/>
        <w:rPr>
          <w:rFonts w:ascii="仿宋" w:hAnsi="仿宋" w:eastAsia="仿宋" w:cs="仿宋"/>
          <w:color w:val="auto"/>
          <w:szCs w:val="24"/>
          <w:highlight w:val="none"/>
        </w:rPr>
      </w:pPr>
    </w:p>
    <w:p w14:paraId="4E4BC558">
      <w:pPr>
        <w:pStyle w:val="552"/>
        <w:spacing w:before="120" w:line="22" w:lineRule="atLeast"/>
        <w:rPr>
          <w:rFonts w:ascii="仿宋" w:hAnsi="仿宋" w:eastAsia="仿宋" w:cs="仿宋"/>
          <w:color w:val="auto"/>
          <w:szCs w:val="24"/>
          <w:highlight w:val="none"/>
        </w:rPr>
      </w:pPr>
    </w:p>
    <w:p w14:paraId="3FBA5668">
      <w:pPr>
        <w:rPr>
          <w:rFonts w:ascii="仿宋" w:hAnsi="仿宋" w:eastAsia="仿宋" w:cs="仿宋"/>
          <w:color w:val="auto"/>
          <w:highlight w:val="none"/>
        </w:rPr>
      </w:pPr>
    </w:p>
    <w:p w14:paraId="5A0EC869">
      <w:pPr>
        <w:spacing w:before="120" w:line="22" w:lineRule="atLeast"/>
        <w:ind w:left="960"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甲方：</w:t>
      </w:r>
    </w:p>
    <w:p w14:paraId="672CF073">
      <w:pPr>
        <w:spacing w:before="120" w:line="22" w:lineRule="atLeast"/>
        <w:rPr>
          <w:rFonts w:ascii="仿宋" w:hAnsi="仿宋" w:eastAsia="仿宋" w:cs="仿宋"/>
          <w:color w:val="auto"/>
          <w:highlight w:val="none"/>
        </w:rPr>
      </w:pPr>
    </w:p>
    <w:p w14:paraId="21E60215">
      <w:pPr>
        <w:spacing w:before="120" w:line="22" w:lineRule="atLeast"/>
        <w:ind w:left="960"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乙方：</w:t>
      </w:r>
    </w:p>
    <w:p w14:paraId="03FD7DDC">
      <w:pPr>
        <w:spacing w:before="120" w:line="22" w:lineRule="atLeast"/>
        <w:rPr>
          <w:rFonts w:ascii="仿宋" w:hAnsi="仿宋" w:eastAsia="仿宋" w:cs="仿宋"/>
          <w:color w:val="auto"/>
          <w:highlight w:val="none"/>
        </w:rPr>
      </w:pPr>
    </w:p>
    <w:p w14:paraId="17E1FB6E">
      <w:pPr>
        <w:spacing w:before="120" w:line="22" w:lineRule="atLeast"/>
        <w:ind w:firstLine="1440" w:firstLineChars="600"/>
        <w:rPr>
          <w:rFonts w:ascii="仿宋" w:hAnsi="仿宋" w:eastAsia="仿宋" w:cs="仿宋"/>
          <w:color w:val="auto"/>
          <w:highlight w:val="none"/>
          <w:u w:val="single"/>
        </w:rPr>
      </w:pPr>
      <w:r>
        <w:rPr>
          <w:rFonts w:hint="eastAsia" w:ascii="仿宋" w:hAnsi="仿宋" w:eastAsia="仿宋" w:cs="仿宋"/>
          <w:color w:val="auto"/>
          <w:highlight w:val="none"/>
        </w:rPr>
        <w:t>签订地：</w:t>
      </w:r>
    </w:p>
    <w:p w14:paraId="6E65036F">
      <w:pPr>
        <w:spacing w:before="120" w:line="22" w:lineRule="atLeast"/>
        <w:rPr>
          <w:rFonts w:ascii="仿宋" w:hAnsi="仿宋" w:eastAsia="仿宋" w:cs="仿宋"/>
          <w:color w:val="auto"/>
          <w:highlight w:val="none"/>
        </w:rPr>
      </w:pPr>
    </w:p>
    <w:p w14:paraId="4D0ED4BA">
      <w:pPr>
        <w:spacing w:before="120" w:line="22" w:lineRule="atLeast"/>
        <w:ind w:firstLine="1440" w:firstLineChars="600"/>
        <w:rPr>
          <w:rFonts w:ascii="仿宋" w:hAnsi="仿宋" w:eastAsia="仿宋" w:cs="仿宋"/>
          <w:color w:val="auto"/>
          <w:kern w:val="0"/>
          <w:highlight w:val="none"/>
        </w:rPr>
        <w:sectPr>
          <w:pgSz w:w="11907" w:h="16840"/>
          <w:pgMar w:top="1474" w:right="1604" w:bottom="1474" w:left="1672" w:header="851" w:footer="851" w:gutter="0"/>
          <w:cols w:space="720" w:num="1"/>
        </w:sectPr>
      </w:pPr>
      <w:r>
        <w:rPr>
          <w:rFonts w:hint="eastAsia" w:ascii="仿宋" w:hAnsi="仿宋" w:eastAsia="仿宋" w:cs="仿宋"/>
          <w:color w:val="auto"/>
          <w:highlight w:val="none"/>
        </w:rPr>
        <w:t>签订日期： 年 月 日</w:t>
      </w:r>
    </w:p>
    <w:p w14:paraId="581AA07B">
      <w:pPr>
        <w:pStyle w:val="91"/>
        <w:ind w:left="0"/>
        <w:rPr>
          <w:rFonts w:eastAsia="仿宋"/>
          <w:color w:val="auto"/>
          <w:highlight w:val="none"/>
        </w:rPr>
      </w:pPr>
    </w:p>
    <w:p w14:paraId="408BFDAA">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zh-CN"/>
        </w:rPr>
        <w:t>根据《中华人民共和国民法典》等相关法律法规之规定，按照平等、自愿、公平和诚实信用的原则，经</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lang w:val="zh-CN"/>
        </w:rPr>
        <w:t>(以下简称：甲方)和</w:t>
      </w:r>
      <w:r>
        <w:rPr>
          <w:rFonts w:hint="eastAsia" w:ascii="仿宋" w:hAnsi="仿宋" w:eastAsia="仿宋" w:cs="仿宋"/>
          <w:color w:val="auto"/>
          <w:highlight w:val="none"/>
          <w:u w:val="single"/>
        </w:rPr>
        <w:t xml:space="preserve">   （中标供应商名称）   </w:t>
      </w:r>
      <w:r>
        <w:rPr>
          <w:rFonts w:hint="eastAsia" w:ascii="仿宋" w:hAnsi="仿宋" w:eastAsia="仿宋" w:cs="仿宋"/>
          <w:color w:val="auto"/>
          <w:highlight w:val="none"/>
          <w:lang w:val="zh-CN"/>
        </w:rPr>
        <w:t>(以下简称：乙方)协商一致，约定以下合同</w:t>
      </w:r>
      <w:r>
        <w:rPr>
          <w:rFonts w:hint="eastAsia" w:ascii="仿宋" w:hAnsi="仿宋" w:eastAsia="仿宋" w:cs="仿宋"/>
          <w:color w:val="auto"/>
          <w:highlight w:val="none"/>
        </w:rPr>
        <w:t>条款，以兹共同遵守、全面履行。</w:t>
      </w:r>
    </w:p>
    <w:p w14:paraId="7D3A055E">
      <w:pPr>
        <w:spacing w:line="440" w:lineRule="exact"/>
        <w:ind w:firstLine="482" w:firstLineChars="200"/>
        <w:outlineLvl w:val="0"/>
        <w:rPr>
          <w:rFonts w:ascii="仿宋" w:hAnsi="仿宋" w:eastAsia="仿宋" w:cs="仿宋"/>
          <w:color w:val="auto"/>
          <w:highlight w:val="none"/>
        </w:rPr>
      </w:pPr>
      <w:bookmarkStart w:id="163" w:name="_Toc22967"/>
      <w:bookmarkStart w:id="164" w:name="_Toc20421"/>
      <w:bookmarkStart w:id="165" w:name="_Toc15367"/>
      <w:bookmarkStart w:id="166" w:name="_Toc19273"/>
      <w:bookmarkStart w:id="167" w:name="_Toc28855"/>
      <w:r>
        <w:rPr>
          <w:rFonts w:hint="eastAsia" w:ascii="仿宋" w:hAnsi="仿宋" w:eastAsia="仿宋" w:cs="仿宋"/>
          <w:b/>
          <w:color w:val="auto"/>
          <w:highlight w:val="none"/>
          <w:lang w:eastAsia="zh-CN"/>
        </w:rPr>
        <w:t>一、</w:t>
      </w:r>
      <w:r>
        <w:rPr>
          <w:rFonts w:hint="eastAsia" w:ascii="仿宋" w:hAnsi="仿宋" w:eastAsia="仿宋" w:cs="仿宋"/>
          <w:b/>
          <w:color w:val="auto"/>
          <w:highlight w:val="none"/>
        </w:rPr>
        <w:t>合同组成部分</w:t>
      </w:r>
      <w:bookmarkEnd w:id="163"/>
      <w:bookmarkEnd w:id="164"/>
      <w:bookmarkEnd w:id="165"/>
      <w:bookmarkEnd w:id="166"/>
      <w:bookmarkEnd w:id="167"/>
    </w:p>
    <w:p w14:paraId="4F45E697">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C3F683">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本合同及其补充合同、变更协议；</w:t>
      </w:r>
    </w:p>
    <w:p w14:paraId="0F3A6502">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中标通知书；</w:t>
      </w:r>
    </w:p>
    <w:p w14:paraId="4AF095B2">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投标文件（含澄清或者说明文件）；</w:t>
      </w:r>
    </w:p>
    <w:p w14:paraId="1182E53B">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招标文件（含澄清或者修改文件）；</w:t>
      </w:r>
    </w:p>
    <w:p w14:paraId="30E9FADC">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其他相关采购文件。</w:t>
      </w:r>
    </w:p>
    <w:p w14:paraId="5E928FB3">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、采购产品</w:t>
      </w:r>
      <w:r>
        <w:rPr>
          <w:rFonts w:hint="eastAsia" w:ascii="仿宋" w:hAnsi="仿宋" w:eastAsia="仿宋" w:cs="仿宋"/>
          <w:b/>
          <w:bCs/>
          <w:color w:val="auto"/>
          <w:sz w:val="24"/>
          <w:szCs w:val="24"/>
          <w:highlight w:val="none"/>
          <w:lang w:eastAsia="zh-CN"/>
        </w:rPr>
        <w:t>（系统架构）</w:t>
      </w:r>
      <w:r>
        <w:rPr>
          <w:rFonts w:hint="eastAsia" w:ascii="仿宋" w:hAnsi="仿宋" w:eastAsia="仿宋" w:cs="仿宋"/>
          <w:b/>
          <w:bCs/>
          <w:color w:val="auto"/>
          <w:sz w:val="24"/>
          <w:szCs w:val="24"/>
          <w:highlight w:val="none"/>
        </w:rPr>
        <w:t>清单及合同价格</w:t>
      </w:r>
      <w:r>
        <w:rPr>
          <w:rFonts w:hint="eastAsia" w:ascii="仿宋" w:hAnsi="仿宋" w:eastAsia="仿宋" w:cs="仿宋"/>
          <w:color w:val="auto"/>
          <w:sz w:val="24"/>
          <w:szCs w:val="24"/>
          <w:highlight w:val="none"/>
        </w:rPr>
        <w:t xml:space="preserve">                        </w:t>
      </w:r>
    </w:p>
    <w:tbl>
      <w:tblPr>
        <w:tblStyle w:val="79"/>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62"/>
        <w:gridCol w:w="2435"/>
        <w:gridCol w:w="1890"/>
        <w:gridCol w:w="1758"/>
        <w:gridCol w:w="1091"/>
      </w:tblGrid>
      <w:tr w14:paraId="599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5" w:type="dxa"/>
            <w:noWrap w:val="0"/>
            <w:vAlign w:val="center"/>
          </w:tcPr>
          <w:p w14:paraId="3C8975B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762" w:type="dxa"/>
            <w:noWrap w:val="0"/>
            <w:vAlign w:val="center"/>
          </w:tcPr>
          <w:p w14:paraId="712C7A3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品牌型号</w:t>
            </w:r>
          </w:p>
        </w:tc>
        <w:tc>
          <w:tcPr>
            <w:tcW w:w="2435" w:type="dxa"/>
            <w:noWrap w:val="0"/>
            <w:vAlign w:val="center"/>
          </w:tcPr>
          <w:p w14:paraId="609EE37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产品技术参数</w:t>
            </w:r>
            <w:r>
              <w:rPr>
                <w:rFonts w:hint="eastAsia" w:ascii="仿宋" w:hAnsi="仿宋" w:eastAsia="仿宋" w:cs="仿宋"/>
                <w:color w:val="auto"/>
                <w:sz w:val="24"/>
                <w:szCs w:val="24"/>
                <w:highlight w:val="none"/>
                <w:lang w:eastAsia="zh-CN"/>
              </w:rPr>
              <w:t>（或具体系统功能）</w:t>
            </w:r>
          </w:p>
        </w:tc>
        <w:tc>
          <w:tcPr>
            <w:tcW w:w="1890" w:type="dxa"/>
            <w:noWrap w:val="0"/>
            <w:vAlign w:val="center"/>
          </w:tcPr>
          <w:p w14:paraId="61A98C9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58" w:type="dxa"/>
            <w:noWrap w:val="0"/>
            <w:vAlign w:val="center"/>
          </w:tcPr>
          <w:p w14:paraId="0E9986A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91" w:type="dxa"/>
            <w:noWrap w:val="0"/>
            <w:vAlign w:val="center"/>
          </w:tcPr>
          <w:p w14:paraId="21B64CD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7F7B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5" w:type="dxa"/>
            <w:noWrap w:val="0"/>
            <w:vAlign w:val="center"/>
          </w:tcPr>
          <w:p w14:paraId="5D39A697">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62" w:type="dxa"/>
            <w:noWrap w:val="0"/>
            <w:vAlign w:val="center"/>
          </w:tcPr>
          <w:p w14:paraId="13013CF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2435" w:type="dxa"/>
            <w:noWrap w:val="0"/>
            <w:vAlign w:val="center"/>
          </w:tcPr>
          <w:p w14:paraId="414B689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1890" w:type="dxa"/>
            <w:noWrap w:val="0"/>
            <w:vAlign w:val="center"/>
          </w:tcPr>
          <w:p w14:paraId="0752B913">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4D114F68">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321A13A8">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r>
      <w:tr w14:paraId="469E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5" w:type="dxa"/>
            <w:noWrap w:val="0"/>
            <w:vAlign w:val="center"/>
          </w:tcPr>
          <w:p w14:paraId="4FF6F1BA">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62" w:type="dxa"/>
            <w:noWrap w:val="0"/>
            <w:vAlign w:val="center"/>
          </w:tcPr>
          <w:p w14:paraId="65385A8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2435" w:type="dxa"/>
            <w:noWrap w:val="0"/>
            <w:vAlign w:val="center"/>
          </w:tcPr>
          <w:p w14:paraId="11D2A2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1890" w:type="dxa"/>
            <w:noWrap w:val="0"/>
            <w:vAlign w:val="center"/>
          </w:tcPr>
          <w:p w14:paraId="1B850A24">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6DCD9ADA">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1159F36F">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r>
      <w:tr w14:paraId="733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5" w:type="dxa"/>
            <w:noWrap w:val="0"/>
            <w:vAlign w:val="center"/>
          </w:tcPr>
          <w:p w14:paraId="0989ED5D">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62" w:type="dxa"/>
            <w:noWrap w:val="0"/>
            <w:vAlign w:val="center"/>
          </w:tcPr>
          <w:p w14:paraId="521A7AA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2435" w:type="dxa"/>
            <w:noWrap w:val="0"/>
            <w:vAlign w:val="center"/>
          </w:tcPr>
          <w:p w14:paraId="5F0C0D5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p>
        </w:tc>
        <w:tc>
          <w:tcPr>
            <w:tcW w:w="1890" w:type="dxa"/>
            <w:noWrap w:val="0"/>
            <w:vAlign w:val="center"/>
          </w:tcPr>
          <w:p w14:paraId="67444D92">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17C27EA5">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05232476">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r>
      <w:tr w14:paraId="3CCC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10" w:type="dxa"/>
            <w:gridSpan w:val="5"/>
            <w:noWrap w:val="0"/>
            <w:vAlign w:val="center"/>
          </w:tcPr>
          <w:p w14:paraId="2A707E3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91" w:type="dxa"/>
            <w:noWrap w:val="0"/>
            <w:vAlign w:val="center"/>
          </w:tcPr>
          <w:p w14:paraId="3DFE7A9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 w:hAnsi="仿宋" w:eastAsia="仿宋" w:cs="仿宋"/>
                <w:color w:val="auto"/>
                <w:sz w:val="24"/>
                <w:szCs w:val="24"/>
                <w:highlight w:val="none"/>
              </w:rPr>
            </w:pPr>
          </w:p>
        </w:tc>
      </w:tr>
      <w:tr w14:paraId="0C0F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01" w:type="dxa"/>
            <w:gridSpan w:val="6"/>
            <w:noWrap w:val="0"/>
            <w:vAlign w:val="center"/>
          </w:tcPr>
          <w:p w14:paraId="697ABB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p>
        </w:tc>
      </w:tr>
    </w:tbl>
    <w:p w14:paraId="7741441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注：本项目为交钥匙工程，范围包括但不限于：中央空调能源管理控制系统采购（包含深化设计、供货、包装运输、调试、安装、验收、培训及售后服务等所有费用）。</w:t>
      </w:r>
    </w:p>
    <w:p w14:paraId="0E3225D8">
      <w:pPr>
        <w:keepNext w:val="0"/>
        <w:keepLines w:val="0"/>
        <w:pageBreakBefore w:val="0"/>
        <w:widowControl w:val="0"/>
        <w:kinsoku/>
        <w:wordWrap/>
        <w:overflowPunct/>
        <w:topLinePunct w:val="0"/>
        <w:autoSpaceDE/>
        <w:autoSpaceDN/>
        <w:bidi w:val="0"/>
        <w:adjustRightInd/>
        <w:snapToGrid/>
        <w:spacing w:line="440" w:lineRule="exact"/>
        <w:ind w:left="166" w:leftChars="69" w:firstLine="241" w:firstLineChars="1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三</w:t>
      </w:r>
      <w:r>
        <w:rPr>
          <w:rFonts w:hint="eastAsia" w:ascii="仿宋" w:hAnsi="仿宋" w:eastAsia="仿宋" w:cs="仿宋"/>
          <w:b/>
          <w:bCs w:val="0"/>
          <w:color w:val="auto"/>
          <w:sz w:val="24"/>
          <w:szCs w:val="24"/>
          <w:highlight w:val="none"/>
        </w:rPr>
        <w:t>、质量保证 </w:t>
      </w:r>
    </w:p>
    <w:p w14:paraId="15F6239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1.乙方所提供的货物技术规格符合采购文件规定的技术规格，货物符合中华人民共和国的设计和制造生产标准或行业标准。</w:t>
      </w:r>
    </w:p>
    <w:p w14:paraId="0B38AF4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2.乙方应保证货物是全新、未使用过的原装合格正品（包括零部件），并完全符合甲方要求的质量、规格和性能要求。如货物安装或配置了软件，乙方保证相关软件均为正版软件。</w:t>
      </w:r>
    </w:p>
    <w:p w14:paraId="7660C4D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rPr>
        <w:t>、技术资料</w:t>
      </w:r>
    </w:p>
    <w:p w14:paraId="45BF467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1.乙方应按采购文件规定的时间向甲方提供使用货物的有关技术资料。</w:t>
      </w:r>
    </w:p>
    <w:p w14:paraId="06CEA2E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0342116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val="0"/>
          <w:color w:val="auto"/>
          <w:sz w:val="24"/>
          <w:szCs w:val="24"/>
          <w:highlight w:val="none"/>
        </w:rPr>
        <w:t>、知识产权</w:t>
      </w:r>
    </w:p>
    <w:p w14:paraId="0DDF800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1.乙方应保证所提供的货物或其任何一部分均不会侵犯任何第三方产权。</w:t>
      </w:r>
    </w:p>
    <w:p w14:paraId="0B7B4BE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六</w:t>
      </w:r>
      <w:r>
        <w:rPr>
          <w:rFonts w:hint="eastAsia" w:ascii="仿宋" w:hAnsi="仿宋" w:eastAsia="仿宋" w:cs="仿宋"/>
          <w:b/>
          <w:bCs w:val="0"/>
          <w:color w:val="auto"/>
          <w:sz w:val="24"/>
          <w:szCs w:val="24"/>
          <w:highlight w:val="none"/>
        </w:rPr>
        <w:t>、产权担保</w:t>
      </w:r>
    </w:p>
    <w:p w14:paraId="0AF8B3B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1.乙方保证所交付的货物的所有权完全属于乙方且无任何抵押、查封等产权瑕疵。</w:t>
      </w:r>
    </w:p>
    <w:p w14:paraId="27700DD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七</w:t>
      </w:r>
      <w:r>
        <w:rPr>
          <w:rFonts w:hint="eastAsia" w:ascii="仿宋" w:hAnsi="仿宋" w:eastAsia="仿宋" w:cs="仿宋"/>
          <w:b/>
          <w:bCs w:val="0"/>
          <w:color w:val="auto"/>
          <w:sz w:val="24"/>
          <w:szCs w:val="24"/>
          <w:highlight w:val="none"/>
        </w:rPr>
        <w:t>、转包或分包</w:t>
      </w:r>
    </w:p>
    <w:p w14:paraId="6EA7568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1.本合同范围的货物，应由乙方直接供应，不得转让他人供应；</w:t>
      </w:r>
    </w:p>
    <w:p w14:paraId="08AEF89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2.除非得到甲方的书面同意，乙方不得将本合同范围的货物全部或部分分包给他人供应；</w:t>
      </w:r>
    </w:p>
    <w:p w14:paraId="7B75BAB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3.如有转让和未经甲方同意的分包行为，甲方有权解除合同，没收履约保证金并追究乙方的违约责任。</w:t>
      </w:r>
    </w:p>
    <w:p w14:paraId="76B492EC">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八、安全要求</w:t>
      </w:r>
    </w:p>
    <w:p w14:paraId="4F918741">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项目实施过程中做好安全措施，杜绝一切安全事故的发生，服务期内如发生意外伤亡事故的，甲方不承担任何经济及法律责任，所有的责任由乙方承担。</w:t>
      </w:r>
    </w:p>
    <w:p w14:paraId="7C60C292">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建设期限及地点</w:t>
      </w:r>
    </w:p>
    <w:p w14:paraId="04BA180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建设期限</w:t>
      </w:r>
      <w:r>
        <w:rPr>
          <w:rFonts w:hint="eastAsia" w:ascii="仿宋" w:hAnsi="仿宋" w:eastAsia="仿宋" w:cs="仿宋"/>
          <w:color w:val="auto"/>
          <w:sz w:val="24"/>
          <w:szCs w:val="24"/>
          <w:highlight w:val="none"/>
        </w:rPr>
        <w:t>：合同签订之日起60天内安装调试完毕。</w:t>
      </w:r>
    </w:p>
    <w:p w14:paraId="6A9637E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建设</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甲方指定地点</w:t>
      </w:r>
      <w:r>
        <w:rPr>
          <w:rFonts w:hint="eastAsia" w:ascii="仿宋" w:hAnsi="仿宋" w:eastAsia="仿宋" w:cs="仿宋"/>
          <w:color w:val="auto"/>
          <w:sz w:val="24"/>
          <w:szCs w:val="24"/>
          <w:highlight w:val="none"/>
        </w:rPr>
        <w:t>。</w:t>
      </w:r>
    </w:p>
    <w:p w14:paraId="7548D0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付款方式</w:t>
      </w:r>
    </w:p>
    <w:p w14:paraId="3603D7A9">
      <w:pPr>
        <w:keepNext w:val="0"/>
        <w:keepLines w:val="0"/>
        <w:pageBreakBefore w:val="0"/>
        <w:widowControl w:val="0"/>
        <w:kinsoku/>
        <w:wordWrap/>
        <w:overflowPunct/>
        <w:topLinePunct w:val="0"/>
        <w:autoSpaceDE/>
        <w:autoSpaceDN/>
        <w:bidi w:val="0"/>
        <w:adjustRightInd/>
        <w:snapToGrid/>
        <w:spacing w:line="440" w:lineRule="exact"/>
        <w:ind w:firstLine="496" w:firstLineChars="207"/>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验收合格后支付合同价的80%；</w:t>
      </w:r>
    </w:p>
    <w:p w14:paraId="3A2091BC">
      <w:pPr>
        <w:keepNext w:val="0"/>
        <w:keepLines w:val="0"/>
        <w:pageBreakBefore w:val="0"/>
        <w:widowControl w:val="0"/>
        <w:kinsoku/>
        <w:wordWrap/>
        <w:overflowPunct/>
        <w:topLinePunct w:val="0"/>
        <w:autoSpaceDE/>
        <w:autoSpaceDN/>
        <w:bidi w:val="0"/>
        <w:adjustRightInd/>
        <w:snapToGrid/>
        <w:spacing w:line="440" w:lineRule="exact"/>
        <w:ind w:firstLine="496" w:firstLineChars="207"/>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试运行六个月并复验合格后支付至合同价的100%，</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在付款前汇合同价格的5%到</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指定账户作为维修基金；</w:t>
      </w:r>
    </w:p>
    <w:p w14:paraId="73611467">
      <w:pPr>
        <w:keepNext w:val="0"/>
        <w:keepLines w:val="0"/>
        <w:pageBreakBefore w:val="0"/>
        <w:widowControl w:val="0"/>
        <w:kinsoku/>
        <w:wordWrap/>
        <w:overflowPunct/>
        <w:topLinePunct w:val="0"/>
        <w:autoSpaceDE/>
        <w:autoSpaceDN/>
        <w:bidi w:val="0"/>
        <w:adjustRightInd/>
        <w:snapToGrid/>
        <w:spacing w:line="440" w:lineRule="exact"/>
        <w:ind w:firstLine="496" w:firstLineChars="207"/>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维修基金在质保期满后无服务质量问题15个工作日内退还（不计息）。</w:t>
      </w:r>
    </w:p>
    <w:p w14:paraId="64DF1EA5">
      <w:pPr>
        <w:keepNext w:val="0"/>
        <w:keepLines w:val="0"/>
        <w:pageBreakBefore w:val="0"/>
        <w:widowControl w:val="0"/>
        <w:kinsoku/>
        <w:wordWrap/>
        <w:overflowPunct/>
        <w:topLinePunct w:val="0"/>
        <w:autoSpaceDE/>
        <w:autoSpaceDN/>
        <w:bidi w:val="0"/>
        <w:adjustRightInd/>
        <w:snapToGrid/>
        <w:spacing w:line="440" w:lineRule="exact"/>
        <w:ind w:firstLine="499" w:firstLineChars="207"/>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十一、履约保证金</w:t>
      </w:r>
    </w:p>
    <w:p w14:paraId="655A55C6">
      <w:pPr>
        <w:keepNext w:val="0"/>
        <w:keepLines w:val="0"/>
        <w:pageBreakBefore w:val="0"/>
        <w:widowControl w:val="0"/>
        <w:kinsoku/>
        <w:wordWrap/>
        <w:overflowPunct/>
        <w:topLinePunct w:val="0"/>
        <w:autoSpaceDE/>
        <w:autoSpaceDN/>
        <w:bidi w:val="0"/>
        <w:adjustRightInd/>
        <w:snapToGrid/>
        <w:spacing w:line="440" w:lineRule="exact"/>
        <w:ind w:firstLine="496" w:firstLineChars="207"/>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乙方向甲方缴纳合同价的1%作为履约保证金，验收合格后无服务质量问题的1个月内无息退还。（中标人应当以银行转账、支票、汇票、本票或者金融机构、保险公司出具的保函等形式提交）。</w:t>
      </w:r>
    </w:p>
    <w:p w14:paraId="38952D0F">
      <w:pPr>
        <w:keepNext w:val="0"/>
        <w:keepLines w:val="0"/>
        <w:pageBreakBefore w:val="0"/>
        <w:widowControl w:val="0"/>
        <w:kinsoku/>
        <w:wordWrap/>
        <w:overflowPunct/>
        <w:topLinePunct w:val="0"/>
        <w:autoSpaceDE/>
        <w:autoSpaceDN/>
        <w:bidi w:val="0"/>
        <w:adjustRightInd/>
        <w:snapToGrid/>
        <w:spacing w:line="440" w:lineRule="exact"/>
        <w:ind w:firstLine="499" w:firstLineChars="207"/>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、税费</w:t>
      </w:r>
    </w:p>
    <w:p w14:paraId="4CFA677D">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1FADF582">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、售后服务</w:t>
      </w:r>
    </w:p>
    <w:p w14:paraId="29A20F1E">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质保期：乙方承诺终身维修。经甲方验收合格之日起提供</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年的质保时间，每年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次上门巡检服务。质保期内产生的维修费及维修替换损坏的部件费均无偿免费（人为损坏除外）提供。质保期外，乙方只承担免费维修费，维修需替换的部件费，另按实结算。</w:t>
      </w:r>
    </w:p>
    <w:p w14:paraId="1A990B0B">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提供7×24小时现场技术服务，并提供充足的备品备件，满足日常维修需求；</w:t>
      </w:r>
    </w:p>
    <w:p w14:paraId="6158689A">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质保期内因产品本身缺陷造成各种故障应由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免费维修。在产品整个使用期内，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应确保货物的正常使用。在接到采购人维修要求后10分钟内作出响应，30分钟到达现场处置，24小时内修复。若不能修复，则需要免费提供后备或替代产品，以保证</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正常的使用；</w:t>
      </w:r>
    </w:p>
    <w:p w14:paraId="6371BB5D">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、培训</w:t>
      </w:r>
    </w:p>
    <w:p w14:paraId="4FB58512">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免费为</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的维修人员提供现场培训，使受培训人员至少达到以下水平：掌握一般运行原理、使用方法、紧急救援及日常维护等常用技能。培训涉及的所有费用由</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承担。</w:t>
      </w:r>
    </w:p>
    <w:p w14:paraId="4EF568D5">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、验收</w:t>
      </w:r>
    </w:p>
    <w:p w14:paraId="0C0B9177">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甲方委托有资质的第三方检测机构进行验收，并提供中央空调能源管理控制系统项目节能量审核报告(综合节能率达到20%及以上)，验收及检测费用由乙方承担。 </w:t>
      </w:r>
    </w:p>
    <w:p w14:paraId="6FEDF5FE">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、违约责任</w:t>
      </w:r>
    </w:p>
    <w:p w14:paraId="7DB28D91">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甲方无正当理由拒收接受服务的，甲方向乙方偿付合同款项百分之五作为违约金。</w:t>
      </w:r>
    </w:p>
    <w:p w14:paraId="5A1C9ACD">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2．甲方无故逾期验收和办理款项支付手续的,甲方应按逾期付款总额每日万分之五向乙方支付违约金。</w:t>
      </w:r>
    </w:p>
    <w:p w14:paraId="37AB33E7">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703E09F">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4.乙方所交的货物品种、型号、规格、技术参数、质量不符合合同规定及</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规定标准的，甲方有权拒收该货物，乙方愿意更换货物但逾期交货的，按乙方逾期交货处理。乙方拒绝更换货物的甲方可单方面解除合同。</w:t>
      </w:r>
    </w:p>
    <w:p w14:paraId="53E8B402">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、不可抗力事件处理</w:t>
      </w:r>
    </w:p>
    <w:p w14:paraId="7F9CCEF4">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1.在合同有效期内，任何一方因不可抗力事件导致不能履行合同，则合同发行期可延长，其延长与不可抗力影响期相同。</w:t>
      </w:r>
    </w:p>
    <w:p w14:paraId="748E305C">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5F3CC277">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70D83491">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十八</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仲裁</w:t>
      </w:r>
    </w:p>
    <w:p w14:paraId="414B58ED">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w:t>
      </w:r>
      <w:r>
        <w:rPr>
          <w:rFonts w:hint="eastAsia" w:ascii="仿宋" w:hAnsi="仿宋" w:eastAsia="仿宋" w:cs="仿宋"/>
          <w:color w:val="auto"/>
          <w:sz w:val="24"/>
          <w:szCs w:val="24"/>
          <w:highlight w:val="none"/>
          <w:lang w:eastAsia="zh-CN"/>
        </w:rPr>
        <w:t>嵊州市人民法院提起诉讼</w:t>
      </w:r>
      <w:r>
        <w:rPr>
          <w:rFonts w:hint="eastAsia" w:ascii="仿宋" w:hAnsi="仿宋" w:eastAsia="仿宋" w:cs="仿宋"/>
          <w:color w:val="auto"/>
          <w:sz w:val="24"/>
          <w:szCs w:val="24"/>
          <w:highlight w:val="none"/>
        </w:rPr>
        <w:t>。</w:t>
      </w:r>
    </w:p>
    <w:p w14:paraId="267010F1">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十九</w:t>
      </w:r>
      <w:r>
        <w:rPr>
          <w:rFonts w:hint="eastAsia" w:ascii="仿宋" w:hAnsi="仿宋" w:eastAsia="仿宋" w:cs="仿宋"/>
          <w:b/>
          <w:bCs/>
          <w:color w:val="auto"/>
          <w:sz w:val="24"/>
          <w:szCs w:val="24"/>
          <w:highlight w:val="none"/>
        </w:rPr>
        <w:t>、合同的生效及其它</w:t>
      </w:r>
    </w:p>
    <w:p w14:paraId="6B8ABBDF">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1.本合同经甲方、乙方</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方法定代表人或其委托人签字并加盖公章后生效。</w:t>
      </w:r>
    </w:p>
    <w:p w14:paraId="1C46DB67">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2.本合同未尽事宜，遵照《民法典》有关条文执行。</w:t>
      </w:r>
    </w:p>
    <w:p w14:paraId="62DC3F9E">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3.本合同正本一式</w:t>
      </w:r>
      <w:r>
        <w:rPr>
          <w:rFonts w:hint="eastAsia" w:ascii="仿宋" w:hAnsi="仿宋" w:eastAsia="仿宋" w:cs="仿宋"/>
          <w:color w:val="auto"/>
          <w:sz w:val="24"/>
          <w:szCs w:val="24"/>
          <w:highlight w:val="none"/>
          <w:lang w:eastAsia="zh-CN"/>
        </w:rPr>
        <w:t>伍</w:t>
      </w:r>
      <w:r>
        <w:rPr>
          <w:rFonts w:hint="eastAsia" w:ascii="仿宋" w:hAnsi="仿宋" w:eastAsia="仿宋" w:cs="仿宋"/>
          <w:color w:val="auto"/>
          <w:sz w:val="24"/>
          <w:szCs w:val="24"/>
          <w:highlight w:val="none"/>
        </w:rPr>
        <w:t>份，具有同等法律效力，甲乙双方各执贰份</w:t>
      </w:r>
      <w:r>
        <w:rPr>
          <w:rFonts w:hint="eastAsia" w:ascii="仿宋" w:hAnsi="仿宋" w:eastAsia="仿宋" w:cs="仿宋"/>
          <w:color w:val="auto"/>
          <w:sz w:val="24"/>
          <w:szCs w:val="24"/>
          <w:highlight w:val="none"/>
          <w:lang w:eastAsia="zh-CN"/>
        </w:rPr>
        <w:t>，代理机构备案壹份</w:t>
      </w:r>
      <w:r>
        <w:rPr>
          <w:rFonts w:hint="eastAsia" w:ascii="仿宋" w:hAnsi="仿宋" w:eastAsia="仿宋" w:cs="仿宋"/>
          <w:color w:val="auto"/>
          <w:sz w:val="24"/>
          <w:szCs w:val="24"/>
          <w:highlight w:val="none"/>
        </w:rPr>
        <w:t>。合同自签字盖章之日起生效。</w:t>
      </w:r>
    </w:p>
    <w:p w14:paraId="1AFEB52C">
      <w:pPr>
        <w:autoSpaceDE w:val="0"/>
        <w:autoSpaceDN w:val="0"/>
        <w:spacing w:line="440" w:lineRule="exact"/>
        <w:rPr>
          <w:rFonts w:ascii="仿宋" w:hAnsi="仿宋" w:eastAsia="仿宋" w:cs="仿宋"/>
          <w:b/>
          <w:color w:val="auto"/>
          <w:highlight w:val="none"/>
          <w:lang w:val="zh-CN"/>
        </w:rPr>
      </w:pPr>
    </w:p>
    <w:p w14:paraId="28F431D2">
      <w:pPr>
        <w:autoSpaceDE w:val="0"/>
        <w:autoSpaceDN w:val="0"/>
        <w:spacing w:line="440" w:lineRule="exact"/>
        <w:rPr>
          <w:rFonts w:ascii="仿宋" w:hAnsi="仿宋" w:eastAsia="仿宋" w:cs="仿宋"/>
          <w:b/>
          <w:color w:val="auto"/>
          <w:highlight w:val="none"/>
          <w:lang w:val="zh-CN"/>
        </w:rPr>
      </w:pPr>
    </w:p>
    <w:p w14:paraId="1096B875">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b/>
          <w:color w:val="auto"/>
          <w:highlight w:val="none"/>
          <w:lang w:val="zh-CN"/>
        </w:rPr>
        <w:t>甲方</w:t>
      </w:r>
      <w:r>
        <w:rPr>
          <w:rFonts w:hint="eastAsia" w:ascii="仿宋" w:hAnsi="仿宋" w:eastAsia="仿宋" w:cs="仿宋"/>
          <w:color w:val="auto"/>
          <w:highlight w:val="none"/>
          <w:lang w:val="zh-CN"/>
        </w:rPr>
        <w:t xml:space="preserve">：                             </w:t>
      </w:r>
      <w:r>
        <w:rPr>
          <w:rFonts w:hint="eastAsia" w:ascii="仿宋" w:hAnsi="仿宋" w:eastAsia="仿宋" w:cs="仿宋"/>
          <w:b/>
          <w:color w:val="auto"/>
          <w:highlight w:val="none"/>
          <w:lang w:val="zh-CN"/>
        </w:rPr>
        <w:t xml:space="preserve">      乙方</w:t>
      </w:r>
      <w:r>
        <w:rPr>
          <w:rFonts w:hint="eastAsia" w:ascii="仿宋" w:hAnsi="仿宋" w:eastAsia="仿宋" w:cs="仿宋"/>
          <w:color w:val="auto"/>
          <w:highlight w:val="none"/>
          <w:lang w:val="zh-CN"/>
        </w:rPr>
        <w:t>：</w:t>
      </w:r>
    </w:p>
    <w:p w14:paraId="18130BA9">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color w:val="auto"/>
          <w:highlight w:val="none"/>
          <w:lang w:val="zh-CN"/>
        </w:rPr>
        <w:t>地址：                                   地址：</w:t>
      </w:r>
    </w:p>
    <w:p w14:paraId="668D510C">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color w:val="auto"/>
          <w:highlight w:val="none"/>
          <w:lang w:val="zh-CN"/>
        </w:rPr>
        <w:t>法定代表人或                             法定代表人或</w:t>
      </w:r>
    </w:p>
    <w:p w14:paraId="1E3829FA">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授权代表（签字）：                       授权代表（签字）: </w:t>
      </w:r>
    </w:p>
    <w:p w14:paraId="74E63FBD">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color w:val="auto"/>
          <w:highlight w:val="none"/>
          <w:lang w:val="zh-CN"/>
        </w:rPr>
        <w:t>联系人：                                 联系人：</w:t>
      </w:r>
    </w:p>
    <w:p w14:paraId="28B44630">
      <w:pPr>
        <w:autoSpaceDE w:val="0"/>
        <w:autoSpaceDN w:val="0"/>
        <w:spacing w:line="440" w:lineRule="exact"/>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电话:                                    电话: </w:t>
      </w:r>
    </w:p>
    <w:p w14:paraId="34864AEF">
      <w:pPr>
        <w:autoSpaceDE w:val="0"/>
        <w:autoSpaceDN w:val="0"/>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14:paraId="37872550">
      <w:pPr>
        <w:spacing w:line="400" w:lineRule="exact"/>
        <w:rPr>
          <w:rFonts w:ascii="仿宋" w:hAnsi="仿宋" w:eastAsia="仿宋" w:cs="仿宋"/>
          <w:b/>
          <w:bCs/>
          <w:color w:val="auto"/>
          <w:szCs w:val="24"/>
          <w:highlight w:val="none"/>
        </w:rPr>
      </w:pPr>
      <w:r>
        <w:rPr>
          <w:rFonts w:hint="eastAsia" w:ascii="仿宋" w:hAnsi="仿宋" w:eastAsia="仿宋" w:cs="仿宋"/>
          <w:color w:val="auto"/>
          <w:highlight w:val="none"/>
        </w:rPr>
        <w:t>开户账号：                               开户账号：</w:t>
      </w:r>
    </w:p>
    <w:p w14:paraId="5F37C5FB">
      <w:pPr>
        <w:spacing w:line="400" w:lineRule="exact"/>
        <w:jc w:val="center"/>
        <w:rPr>
          <w:rStyle w:val="484"/>
          <w:rFonts w:ascii="仿宋" w:hAnsi="仿宋" w:eastAsia="仿宋" w:cs="仿宋"/>
          <w:color w:val="auto"/>
          <w:sz w:val="24"/>
          <w:szCs w:val="24"/>
          <w:highlight w:val="none"/>
        </w:rPr>
      </w:pPr>
    </w:p>
    <w:p w14:paraId="3AAB44D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注：具体以</w:t>
      </w:r>
      <w:r>
        <w:rPr>
          <w:rFonts w:hint="eastAsia" w:ascii="仿宋" w:hAnsi="仿宋" w:eastAsia="仿宋" w:cs="仿宋"/>
          <w:b/>
          <w:bCs/>
          <w:color w:val="auto"/>
          <w:sz w:val="24"/>
          <w:szCs w:val="24"/>
          <w:highlight w:val="none"/>
          <w:lang w:val="en-US" w:eastAsia="zh-CN"/>
        </w:rPr>
        <w:t>双</w:t>
      </w:r>
      <w:r>
        <w:rPr>
          <w:rFonts w:hint="eastAsia" w:ascii="仿宋" w:hAnsi="仿宋" w:eastAsia="仿宋" w:cs="仿宋"/>
          <w:b/>
          <w:bCs/>
          <w:color w:val="auto"/>
          <w:sz w:val="24"/>
          <w:szCs w:val="24"/>
          <w:highlight w:val="none"/>
        </w:rPr>
        <w:t>方签定的正式合同为准，合同内容不得违背本招标文件实质性要求。</w:t>
      </w:r>
    </w:p>
    <w:p w14:paraId="654229A1">
      <w:pPr>
        <w:spacing w:line="400" w:lineRule="exact"/>
        <w:jc w:val="center"/>
        <w:rPr>
          <w:rStyle w:val="484"/>
          <w:rFonts w:ascii="仿宋" w:hAnsi="仿宋" w:eastAsia="仿宋" w:cs="仿宋"/>
          <w:color w:val="auto"/>
          <w:sz w:val="24"/>
          <w:szCs w:val="24"/>
          <w:highlight w:val="none"/>
        </w:rPr>
      </w:pPr>
    </w:p>
    <w:p w14:paraId="18AA3590">
      <w:pPr>
        <w:spacing w:line="400" w:lineRule="exact"/>
        <w:jc w:val="center"/>
        <w:rPr>
          <w:rStyle w:val="484"/>
          <w:rFonts w:ascii="仿宋" w:hAnsi="仿宋" w:eastAsia="仿宋" w:cs="仿宋"/>
          <w:color w:val="auto"/>
          <w:sz w:val="24"/>
          <w:szCs w:val="24"/>
          <w:highlight w:val="none"/>
        </w:rPr>
      </w:pPr>
    </w:p>
    <w:p w14:paraId="71363548">
      <w:pPr>
        <w:rPr>
          <w:rStyle w:val="484"/>
          <w:rFonts w:ascii="仿宋" w:hAnsi="仿宋" w:eastAsia="仿宋" w:cs="仿宋"/>
          <w:color w:val="auto"/>
          <w:sz w:val="24"/>
          <w:szCs w:val="24"/>
          <w:highlight w:val="none"/>
        </w:rPr>
      </w:pPr>
      <w:r>
        <w:rPr>
          <w:rFonts w:hint="eastAsia" w:ascii="仿宋" w:hAnsi="仿宋" w:eastAsia="仿宋" w:cs="仿宋"/>
          <w:b/>
          <w:color w:val="auto"/>
          <w:szCs w:val="24"/>
          <w:highlight w:val="none"/>
        </w:rPr>
        <w:br w:type="page"/>
      </w:r>
    </w:p>
    <w:p w14:paraId="71F86A2A">
      <w:pPr>
        <w:spacing w:line="400" w:lineRule="exact"/>
        <w:jc w:val="center"/>
        <w:rPr>
          <w:rStyle w:val="484"/>
          <w:rFonts w:ascii="仿宋" w:hAnsi="仿宋" w:eastAsia="仿宋" w:cs="仿宋"/>
          <w:b/>
          <w:bCs/>
          <w:color w:val="auto"/>
          <w:szCs w:val="36"/>
          <w:highlight w:val="none"/>
        </w:rPr>
      </w:pPr>
    </w:p>
    <w:p w14:paraId="4820C4D8">
      <w:pPr>
        <w:spacing w:line="400" w:lineRule="exact"/>
        <w:jc w:val="center"/>
        <w:rPr>
          <w:rStyle w:val="484"/>
          <w:rFonts w:ascii="仿宋" w:hAnsi="仿宋" w:eastAsia="仿宋" w:cs="仿宋"/>
          <w:b/>
          <w:bCs/>
          <w:color w:val="auto"/>
          <w:sz w:val="32"/>
          <w:szCs w:val="32"/>
          <w:highlight w:val="none"/>
        </w:rPr>
      </w:pPr>
      <w:r>
        <w:rPr>
          <w:rStyle w:val="484"/>
          <w:rFonts w:hint="eastAsia" w:ascii="仿宋" w:hAnsi="仿宋" w:eastAsia="仿宋" w:cs="仿宋"/>
          <w:b/>
          <w:bCs/>
          <w:color w:val="auto"/>
          <w:szCs w:val="36"/>
          <w:highlight w:val="none"/>
        </w:rPr>
        <w:t>第六部分  投标文件格式及其附件格式</w:t>
      </w:r>
    </w:p>
    <w:p w14:paraId="7FE5D3CB">
      <w:pPr>
        <w:pStyle w:val="43"/>
        <w:rPr>
          <w:rStyle w:val="484"/>
          <w:rFonts w:ascii="仿宋" w:hAnsi="仿宋" w:eastAsia="仿宋" w:cs="仿宋"/>
          <w:b/>
          <w:bCs/>
          <w:color w:val="auto"/>
          <w:sz w:val="32"/>
          <w:szCs w:val="32"/>
          <w:highlight w:val="none"/>
        </w:rPr>
      </w:pPr>
    </w:p>
    <w:p w14:paraId="056EDE7D">
      <w:pPr>
        <w:pStyle w:val="43"/>
        <w:rPr>
          <w:rStyle w:val="484"/>
          <w:rFonts w:ascii="仿宋" w:hAnsi="仿宋" w:eastAsia="仿宋" w:cs="仿宋"/>
          <w:b/>
          <w:bCs/>
          <w:color w:val="auto"/>
          <w:sz w:val="32"/>
          <w:szCs w:val="32"/>
          <w:highlight w:val="none"/>
        </w:rPr>
      </w:pPr>
    </w:p>
    <w:p w14:paraId="694FBC5D">
      <w:pPr>
        <w:pStyle w:val="43"/>
        <w:rPr>
          <w:rFonts w:ascii="仿宋" w:hAnsi="仿宋" w:eastAsia="仿宋" w:cs="仿宋"/>
          <w:b/>
          <w:bCs/>
          <w:color w:val="auto"/>
          <w:sz w:val="36"/>
          <w:szCs w:val="36"/>
          <w:highlight w:val="none"/>
        </w:rPr>
      </w:pPr>
    </w:p>
    <w:p w14:paraId="6B4DE79D">
      <w:pPr>
        <w:pStyle w:val="43"/>
        <w:rPr>
          <w:rFonts w:ascii="仿宋" w:hAnsi="仿宋" w:eastAsia="仿宋" w:cs="仿宋"/>
          <w:color w:val="auto"/>
          <w:sz w:val="44"/>
          <w:szCs w:val="44"/>
          <w:highlight w:val="none"/>
        </w:rPr>
      </w:pPr>
      <w:r>
        <w:rPr>
          <w:rFonts w:hint="eastAsia" w:ascii="仿宋" w:hAnsi="仿宋" w:eastAsia="仿宋" w:cs="仿宋"/>
          <w:b/>
          <w:bCs/>
          <w:color w:val="auto"/>
          <w:sz w:val="36"/>
          <w:szCs w:val="36"/>
          <w:highlight w:val="none"/>
        </w:rPr>
        <w:t>投标文件封面</w:t>
      </w:r>
      <w:r>
        <w:rPr>
          <w:rFonts w:hint="eastAsia" w:ascii="仿宋" w:hAnsi="仿宋" w:eastAsia="仿宋" w:cs="仿宋"/>
          <w:color w:val="auto"/>
          <w:sz w:val="24"/>
          <w:szCs w:val="22"/>
          <w:highlight w:val="none"/>
        </w:rPr>
        <w:t xml:space="preserve">                                                       </w:t>
      </w:r>
    </w:p>
    <w:p w14:paraId="2A500DB3">
      <w:pPr>
        <w:rPr>
          <w:rFonts w:ascii="仿宋" w:hAnsi="仿宋" w:eastAsia="仿宋" w:cs="仿宋"/>
          <w:color w:val="auto"/>
          <w:sz w:val="44"/>
          <w:szCs w:val="44"/>
          <w:highlight w:val="none"/>
        </w:rPr>
      </w:pPr>
    </w:p>
    <w:p w14:paraId="7405EC64">
      <w:pPr>
        <w:jc w:val="center"/>
        <w:rPr>
          <w:rFonts w:ascii="仿宋" w:hAnsi="仿宋" w:eastAsia="仿宋" w:cs="仿宋"/>
          <w:color w:val="auto"/>
          <w:sz w:val="40"/>
          <w:szCs w:val="40"/>
          <w:highlight w:val="none"/>
        </w:rPr>
      </w:pPr>
      <w:r>
        <w:rPr>
          <w:rFonts w:hint="eastAsia" w:ascii="仿宋" w:hAnsi="仿宋" w:eastAsia="仿宋" w:cs="仿宋"/>
          <w:color w:val="auto"/>
          <w:sz w:val="48"/>
          <w:szCs w:val="48"/>
          <w:highlight w:val="none"/>
        </w:rPr>
        <w:t xml:space="preserve"> 开元名都写字楼能源智能化项目</w:t>
      </w:r>
    </w:p>
    <w:p w14:paraId="5E4EB2ED">
      <w:pPr>
        <w:jc w:val="center"/>
        <w:rPr>
          <w:rFonts w:ascii="仿宋" w:hAnsi="仿宋" w:eastAsia="仿宋" w:cs="仿宋"/>
          <w:color w:val="auto"/>
          <w:sz w:val="32"/>
          <w:szCs w:val="32"/>
          <w:highlight w:val="none"/>
        </w:rPr>
      </w:pPr>
    </w:p>
    <w:p w14:paraId="4934DBEF">
      <w:pPr>
        <w:jc w:val="center"/>
        <w:rPr>
          <w:rFonts w:ascii="仿宋" w:hAnsi="仿宋" w:eastAsia="仿宋" w:cs="仿宋"/>
          <w:color w:val="auto"/>
          <w:sz w:val="36"/>
          <w:szCs w:val="36"/>
          <w:highlight w:val="none"/>
        </w:rPr>
      </w:pPr>
      <w:r>
        <w:rPr>
          <w:rFonts w:hint="eastAsia" w:ascii="仿宋" w:hAnsi="仿宋" w:eastAsia="仿宋" w:cs="仿宋"/>
          <w:color w:val="auto"/>
          <w:sz w:val="32"/>
          <w:szCs w:val="32"/>
          <w:highlight w:val="none"/>
        </w:rPr>
        <w:t>项目编号：SXWH2024-9-2</w:t>
      </w:r>
    </w:p>
    <w:p w14:paraId="4DB8F658">
      <w:pPr>
        <w:jc w:val="center"/>
        <w:rPr>
          <w:rFonts w:ascii="仿宋" w:hAnsi="仿宋" w:eastAsia="仿宋" w:cs="仿宋"/>
          <w:b/>
          <w:bCs/>
          <w:color w:val="auto"/>
          <w:sz w:val="48"/>
          <w:szCs w:val="48"/>
          <w:highlight w:val="none"/>
        </w:rPr>
      </w:pPr>
    </w:p>
    <w:p w14:paraId="0A28109B">
      <w:pPr>
        <w:jc w:val="center"/>
        <w:rPr>
          <w:rFonts w:ascii="仿宋" w:hAnsi="仿宋" w:eastAsia="仿宋" w:cs="仿宋"/>
          <w:b/>
          <w:bCs/>
          <w:color w:val="auto"/>
          <w:sz w:val="48"/>
          <w:szCs w:val="48"/>
          <w:highlight w:val="none"/>
        </w:rPr>
      </w:pPr>
    </w:p>
    <w:p w14:paraId="4374EEE1">
      <w:pPr>
        <w:jc w:val="center"/>
        <w:rPr>
          <w:rFonts w:ascii="仿宋" w:hAnsi="仿宋" w:eastAsia="仿宋" w:cs="仿宋"/>
          <w:b/>
          <w:bCs/>
          <w:color w:val="auto"/>
          <w:sz w:val="48"/>
          <w:szCs w:val="48"/>
          <w:highlight w:val="none"/>
        </w:rPr>
      </w:pPr>
    </w:p>
    <w:p w14:paraId="4077F6E9">
      <w:pPr>
        <w:jc w:val="center"/>
        <w:rPr>
          <w:rFonts w:ascii="仿宋" w:hAnsi="仿宋" w:eastAsia="仿宋" w:cs="仿宋"/>
          <w:b/>
          <w:bCs/>
          <w:color w:val="auto"/>
          <w:sz w:val="48"/>
          <w:szCs w:val="48"/>
          <w:highlight w:val="none"/>
        </w:rPr>
      </w:pPr>
    </w:p>
    <w:p w14:paraId="15B2DCCF">
      <w:pPr>
        <w:jc w:val="center"/>
        <w:rPr>
          <w:rFonts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资格证明文件/商务技术文件/报价文件</w:t>
      </w:r>
    </w:p>
    <w:p w14:paraId="5956B251">
      <w:pPr>
        <w:rPr>
          <w:rFonts w:ascii="仿宋" w:hAnsi="仿宋" w:eastAsia="仿宋" w:cs="仿宋"/>
          <w:color w:val="auto"/>
          <w:highlight w:val="none"/>
        </w:rPr>
      </w:pPr>
    </w:p>
    <w:p w14:paraId="6DA14F75">
      <w:pPr>
        <w:rPr>
          <w:rFonts w:ascii="仿宋" w:hAnsi="仿宋" w:eastAsia="仿宋" w:cs="仿宋"/>
          <w:color w:val="auto"/>
          <w:highlight w:val="none"/>
        </w:rPr>
      </w:pPr>
    </w:p>
    <w:p w14:paraId="2A56A686">
      <w:pPr>
        <w:rPr>
          <w:rFonts w:ascii="仿宋" w:hAnsi="仿宋" w:eastAsia="仿宋" w:cs="仿宋"/>
          <w:color w:val="auto"/>
          <w:highlight w:val="none"/>
        </w:rPr>
      </w:pPr>
    </w:p>
    <w:p w14:paraId="1DB38B9F">
      <w:pPr>
        <w:pStyle w:val="120"/>
        <w:ind w:firstLine="420"/>
        <w:rPr>
          <w:rFonts w:ascii="仿宋" w:hAnsi="仿宋" w:eastAsia="仿宋" w:cs="仿宋"/>
          <w:color w:val="auto"/>
          <w:highlight w:val="none"/>
        </w:rPr>
      </w:pPr>
    </w:p>
    <w:p w14:paraId="64F79D5B">
      <w:pPr>
        <w:pStyle w:val="120"/>
        <w:ind w:firstLine="420"/>
        <w:rPr>
          <w:rFonts w:ascii="仿宋" w:hAnsi="仿宋" w:eastAsia="仿宋" w:cs="仿宋"/>
          <w:color w:val="auto"/>
          <w:highlight w:val="none"/>
        </w:rPr>
      </w:pPr>
    </w:p>
    <w:p w14:paraId="6CC40EDF">
      <w:pPr>
        <w:pStyle w:val="120"/>
        <w:ind w:firstLine="420"/>
        <w:rPr>
          <w:rFonts w:ascii="仿宋" w:hAnsi="仿宋" w:eastAsia="仿宋" w:cs="仿宋"/>
          <w:color w:val="auto"/>
          <w:highlight w:val="none"/>
        </w:rPr>
      </w:pPr>
    </w:p>
    <w:p w14:paraId="7630575E">
      <w:pPr>
        <w:pStyle w:val="120"/>
        <w:ind w:firstLine="420"/>
        <w:rPr>
          <w:rFonts w:ascii="仿宋" w:hAnsi="仿宋" w:eastAsia="仿宋" w:cs="仿宋"/>
          <w:color w:val="auto"/>
          <w:highlight w:val="none"/>
        </w:rPr>
      </w:pPr>
    </w:p>
    <w:p w14:paraId="3B9B2771">
      <w:pPr>
        <w:rPr>
          <w:rFonts w:ascii="仿宋" w:hAnsi="仿宋" w:eastAsia="仿宋" w:cs="仿宋"/>
          <w:color w:val="auto"/>
          <w:highlight w:val="none"/>
        </w:rPr>
      </w:pPr>
    </w:p>
    <w:p w14:paraId="67823F0B">
      <w:pPr>
        <w:ind w:firstLine="480"/>
        <w:rPr>
          <w:rFonts w:ascii="仿宋" w:hAnsi="仿宋" w:eastAsia="仿宋" w:cs="仿宋"/>
          <w:color w:val="auto"/>
          <w:highlight w:val="none"/>
        </w:rPr>
      </w:pPr>
    </w:p>
    <w:p w14:paraId="0B99BA0C">
      <w:pPr>
        <w:spacing w:line="720" w:lineRule="exact"/>
        <w:ind w:firstLine="640"/>
        <w:rPr>
          <w:rFonts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68C6E812">
      <w:pPr>
        <w:widowControl/>
        <w:spacing w:line="720" w:lineRule="exact"/>
        <w:ind w:firstLine="640" w:firstLineChars="200"/>
        <w:rPr>
          <w:rFonts w:ascii="仿宋" w:hAnsi="仿宋" w:eastAsia="仿宋" w:cs="仿宋"/>
          <w:b/>
          <w:color w:val="auto"/>
          <w:kern w:val="0"/>
          <w:sz w:val="28"/>
          <w:szCs w:val="28"/>
          <w:highlight w:val="none"/>
          <w:lang w:val="zh-CN"/>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rPr>
        <w:t xml:space="preserve">                           </w:t>
      </w:r>
    </w:p>
    <w:p w14:paraId="4499B2B3">
      <w:pPr>
        <w:spacing w:line="720" w:lineRule="exact"/>
        <w:ind w:firstLine="640"/>
        <w:rPr>
          <w:rFonts w:ascii="仿宋" w:hAnsi="仿宋" w:eastAsia="仿宋" w:cs="仿宋"/>
          <w:color w:val="auto"/>
          <w:sz w:val="32"/>
          <w:highlight w:val="none"/>
          <w:u w:val="single"/>
        </w:rPr>
      </w:pPr>
      <w:r>
        <w:rPr>
          <w:rFonts w:hint="eastAsia" w:ascii="仿宋" w:hAnsi="仿宋" w:eastAsia="仿宋" w:cs="仿宋"/>
          <w:color w:val="auto"/>
          <w:sz w:val="32"/>
          <w:highlight w:val="none"/>
          <w:lang w:val="zh-CN"/>
        </w:rPr>
        <w:t>日</w:t>
      </w:r>
      <w:r>
        <w:rPr>
          <w:rFonts w:hint="eastAsia" w:ascii="仿宋" w:hAnsi="仿宋" w:eastAsia="仿宋" w:cs="仿宋"/>
          <w:color w:val="auto"/>
          <w:sz w:val="32"/>
          <w:highlight w:val="none"/>
        </w:rPr>
        <w:t xml:space="preserve">     </w:t>
      </w:r>
      <w:r>
        <w:rPr>
          <w:rFonts w:hint="eastAsia" w:ascii="仿宋" w:hAnsi="仿宋" w:eastAsia="仿宋" w:cs="仿宋"/>
          <w:color w:val="auto"/>
          <w:sz w:val="32"/>
          <w:highlight w:val="none"/>
          <w:lang w:val="zh-CN"/>
        </w:rPr>
        <w:t>期：</w:t>
      </w:r>
      <w:r>
        <w:rPr>
          <w:rFonts w:hint="eastAsia" w:ascii="仿宋" w:hAnsi="仿宋" w:eastAsia="仿宋" w:cs="仿宋"/>
          <w:color w:val="auto"/>
          <w:sz w:val="32"/>
          <w:highlight w:val="none"/>
          <w:u w:val="single"/>
        </w:rPr>
        <w:t xml:space="preserve">                            </w:t>
      </w:r>
    </w:p>
    <w:p w14:paraId="2B895ABD">
      <w:pPr>
        <w:widowControl/>
        <w:jc w:val="center"/>
        <w:rPr>
          <w:rFonts w:ascii="仿宋" w:hAnsi="仿宋" w:eastAsia="仿宋" w:cs="仿宋"/>
          <w:b/>
          <w:color w:val="auto"/>
          <w:kern w:val="0"/>
          <w:szCs w:val="24"/>
          <w:highlight w:val="none"/>
          <w:lang w:val="zh-CN"/>
        </w:rPr>
      </w:pPr>
    </w:p>
    <w:p w14:paraId="706AB988">
      <w:pPr>
        <w:widowControl/>
        <w:jc w:val="center"/>
        <w:rPr>
          <w:rFonts w:ascii="仿宋" w:hAnsi="仿宋" w:eastAsia="仿宋" w:cs="仿宋"/>
          <w:b/>
          <w:color w:val="auto"/>
          <w:kern w:val="0"/>
          <w:szCs w:val="24"/>
          <w:highlight w:val="none"/>
          <w:lang w:val="zh-CN"/>
        </w:rPr>
      </w:pPr>
    </w:p>
    <w:p w14:paraId="4DF4E3F7">
      <w:pPr>
        <w:widowControl/>
        <w:jc w:val="center"/>
        <w:rPr>
          <w:rFonts w:ascii="仿宋" w:hAnsi="仿宋" w:eastAsia="仿宋" w:cs="仿宋"/>
          <w:b/>
          <w:color w:val="auto"/>
          <w:kern w:val="0"/>
          <w:sz w:val="32"/>
          <w:szCs w:val="32"/>
          <w:highlight w:val="none"/>
          <w:lang w:val="zh-CN"/>
        </w:rPr>
      </w:pPr>
    </w:p>
    <w:p w14:paraId="3CF6D2E4">
      <w:pPr>
        <w:widowControl/>
        <w:jc w:val="center"/>
        <w:rPr>
          <w:rFonts w:ascii="仿宋" w:hAnsi="仿宋" w:eastAsia="仿宋" w:cs="仿宋"/>
          <w:b/>
          <w:color w:val="auto"/>
          <w:kern w:val="0"/>
          <w:sz w:val="32"/>
          <w:szCs w:val="32"/>
          <w:highlight w:val="none"/>
          <w:lang w:val="zh-CN"/>
        </w:rPr>
      </w:pPr>
    </w:p>
    <w:p w14:paraId="2534CAE1">
      <w:pPr>
        <w:widowControl/>
        <w:jc w:val="center"/>
        <w:rPr>
          <w:rFonts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一、</w:t>
      </w:r>
      <w:r>
        <w:rPr>
          <w:rFonts w:hint="eastAsia" w:ascii="仿宋" w:hAnsi="仿宋" w:eastAsia="仿宋" w:cs="仿宋"/>
          <w:b/>
          <w:bCs/>
          <w:color w:val="auto"/>
          <w:sz w:val="32"/>
          <w:szCs w:val="32"/>
          <w:highlight w:val="none"/>
        </w:rPr>
        <w:t>资格证明文件</w:t>
      </w:r>
      <w:r>
        <w:rPr>
          <w:rFonts w:hint="eastAsia" w:ascii="仿宋" w:hAnsi="仿宋" w:eastAsia="仿宋" w:cs="仿宋"/>
          <w:b/>
          <w:color w:val="auto"/>
          <w:sz w:val="32"/>
          <w:szCs w:val="32"/>
          <w:highlight w:val="none"/>
        </w:rPr>
        <w:t>目录</w:t>
      </w:r>
    </w:p>
    <w:p w14:paraId="6948564A">
      <w:pPr>
        <w:pStyle w:val="43"/>
        <w:spacing w:line="360" w:lineRule="auto"/>
        <w:ind w:firstLine="480" w:firstLineChars="200"/>
        <w:rPr>
          <w:rFonts w:ascii="仿宋" w:hAnsi="仿宋" w:eastAsia="仿宋" w:cs="仿宋"/>
          <w:color w:val="auto"/>
          <w:sz w:val="24"/>
          <w:szCs w:val="24"/>
          <w:highlight w:val="none"/>
        </w:rPr>
      </w:pPr>
    </w:p>
    <w:p w14:paraId="1B90C740">
      <w:pPr>
        <w:pStyle w:val="43"/>
        <w:spacing w:line="360" w:lineRule="auto"/>
        <w:ind w:left="480" w:leftChars="200"/>
        <w:rPr>
          <w:rFonts w:ascii="仿宋_GB2312" w:hAnsi="仿宋_GB2312" w:eastAsia="仿宋_GB2312" w:cs="仿宋_GB2312"/>
          <w:color w:val="auto"/>
          <w:kern w:val="0"/>
          <w:sz w:val="24"/>
          <w:highlight w:val="none"/>
        </w:rPr>
      </w:pPr>
      <w:r>
        <w:rPr>
          <w:rFonts w:hint="eastAsia" w:ascii="仿宋" w:hAnsi="仿宋" w:eastAsia="仿宋" w:cs="仿宋"/>
          <w:color w:val="auto"/>
          <w:sz w:val="24"/>
          <w:szCs w:val="24"/>
          <w:highlight w:val="none"/>
        </w:rPr>
        <w:t>（1）营业执照扫描件</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165AE2EA">
      <w:pPr>
        <w:pStyle w:val="43"/>
        <w:spacing w:line="360" w:lineRule="auto"/>
        <w:ind w:left="48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（2）符合参加政企采购活动应当具备的一般条件的承诺函</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5A71D57A">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（3）符合特定资格要求的相关证明材料</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4113939E">
      <w:pPr>
        <w:snapToGrid w:val="0"/>
        <w:spacing w:line="360" w:lineRule="auto"/>
        <w:ind w:right="480"/>
        <w:jc w:val="center"/>
        <w:rPr>
          <w:rFonts w:ascii="仿宋" w:hAnsi="仿宋" w:eastAsia="仿宋" w:cs="仿宋"/>
          <w:b/>
          <w:color w:val="auto"/>
          <w:kern w:val="0"/>
          <w:szCs w:val="24"/>
          <w:highlight w:val="none"/>
        </w:rPr>
      </w:pPr>
    </w:p>
    <w:p w14:paraId="44C62BFF">
      <w:pPr>
        <w:snapToGrid w:val="0"/>
        <w:spacing w:line="360" w:lineRule="auto"/>
        <w:ind w:right="480"/>
        <w:jc w:val="center"/>
        <w:rPr>
          <w:rFonts w:ascii="仿宋" w:hAnsi="仿宋" w:eastAsia="仿宋" w:cs="仿宋"/>
          <w:b/>
          <w:color w:val="auto"/>
          <w:kern w:val="0"/>
          <w:szCs w:val="24"/>
          <w:highlight w:val="none"/>
        </w:rPr>
      </w:pPr>
    </w:p>
    <w:p w14:paraId="129C571A">
      <w:pPr>
        <w:snapToGrid w:val="0"/>
        <w:spacing w:line="360" w:lineRule="auto"/>
        <w:ind w:right="480"/>
        <w:jc w:val="center"/>
        <w:rPr>
          <w:rFonts w:ascii="仿宋" w:hAnsi="仿宋" w:eastAsia="仿宋" w:cs="仿宋"/>
          <w:b/>
          <w:color w:val="auto"/>
          <w:kern w:val="0"/>
          <w:szCs w:val="24"/>
          <w:highlight w:val="none"/>
        </w:rPr>
      </w:pPr>
    </w:p>
    <w:p w14:paraId="44C841B1">
      <w:pPr>
        <w:snapToGrid w:val="0"/>
        <w:spacing w:line="360" w:lineRule="auto"/>
        <w:ind w:right="480"/>
        <w:jc w:val="center"/>
        <w:rPr>
          <w:rFonts w:ascii="仿宋" w:hAnsi="仿宋" w:eastAsia="仿宋" w:cs="仿宋"/>
          <w:b/>
          <w:color w:val="auto"/>
          <w:kern w:val="0"/>
          <w:szCs w:val="24"/>
          <w:highlight w:val="none"/>
        </w:rPr>
      </w:pPr>
    </w:p>
    <w:p w14:paraId="1FCB19E0">
      <w:pPr>
        <w:snapToGrid w:val="0"/>
        <w:spacing w:line="360" w:lineRule="auto"/>
        <w:ind w:right="480"/>
        <w:jc w:val="center"/>
        <w:rPr>
          <w:rFonts w:ascii="仿宋" w:hAnsi="仿宋" w:eastAsia="仿宋" w:cs="仿宋"/>
          <w:b/>
          <w:color w:val="auto"/>
          <w:kern w:val="0"/>
          <w:szCs w:val="24"/>
          <w:highlight w:val="none"/>
        </w:rPr>
      </w:pPr>
    </w:p>
    <w:p w14:paraId="12268FF8">
      <w:pPr>
        <w:snapToGrid w:val="0"/>
        <w:spacing w:line="360" w:lineRule="auto"/>
        <w:ind w:right="480"/>
        <w:jc w:val="center"/>
        <w:rPr>
          <w:rFonts w:ascii="仿宋" w:hAnsi="仿宋" w:eastAsia="仿宋" w:cs="仿宋"/>
          <w:b/>
          <w:color w:val="auto"/>
          <w:kern w:val="0"/>
          <w:szCs w:val="24"/>
          <w:highlight w:val="none"/>
        </w:rPr>
      </w:pPr>
    </w:p>
    <w:p w14:paraId="7CE4E2F0">
      <w:pPr>
        <w:snapToGrid w:val="0"/>
        <w:spacing w:line="360" w:lineRule="auto"/>
        <w:ind w:right="480"/>
        <w:jc w:val="center"/>
        <w:rPr>
          <w:rFonts w:ascii="仿宋" w:hAnsi="仿宋" w:eastAsia="仿宋" w:cs="仿宋"/>
          <w:b/>
          <w:color w:val="auto"/>
          <w:kern w:val="0"/>
          <w:szCs w:val="24"/>
          <w:highlight w:val="none"/>
        </w:rPr>
      </w:pPr>
    </w:p>
    <w:p w14:paraId="100A1441">
      <w:pPr>
        <w:snapToGrid w:val="0"/>
        <w:spacing w:line="360" w:lineRule="auto"/>
        <w:ind w:right="480"/>
        <w:jc w:val="center"/>
        <w:rPr>
          <w:rFonts w:ascii="仿宋" w:hAnsi="仿宋" w:eastAsia="仿宋" w:cs="仿宋"/>
          <w:b/>
          <w:color w:val="auto"/>
          <w:kern w:val="0"/>
          <w:szCs w:val="24"/>
          <w:highlight w:val="none"/>
        </w:rPr>
      </w:pPr>
    </w:p>
    <w:p w14:paraId="3FBEF035">
      <w:pPr>
        <w:snapToGrid w:val="0"/>
        <w:spacing w:line="360" w:lineRule="auto"/>
        <w:ind w:right="480"/>
        <w:jc w:val="center"/>
        <w:rPr>
          <w:rFonts w:ascii="仿宋" w:hAnsi="仿宋" w:eastAsia="仿宋" w:cs="仿宋"/>
          <w:b/>
          <w:color w:val="auto"/>
          <w:kern w:val="0"/>
          <w:szCs w:val="24"/>
          <w:highlight w:val="none"/>
        </w:rPr>
      </w:pPr>
    </w:p>
    <w:p w14:paraId="3FD74574">
      <w:pPr>
        <w:snapToGrid w:val="0"/>
        <w:spacing w:line="360" w:lineRule="auto"/>
        <w:ind w:right="480"/>
        <w:jc w:val="center"/>
        <w:rPr>
          <w:rFonts w:ascii="仿宋" w:hAnsi="仿宋" w:eastAsia="仿宋" w:cs="仿宋"/>
          <w:b/>
          <w:color w:val="auto"/>
          <w:kern w:val="0"/>
          <w:szCs w:val="24"/>
          <w:highlight w:val="none"/>
        </w:rPr>
      </w:pPr>
    </w:p>
    <w:p w14:paraId="6C7BA571">
      <w:pPr>
        <w:snapToGrid w:val="0"/>
        <w:spacing w:line="360" w:lineRule="auto"/>
        <w:ind w:right="480"/>
        <w:jc w:val="center"/>
        <w:rPr>
          <w:rFonts w:ascii="仿宋" w:hAnsi="仿宋" w:eastAsia="仿宋" w:cs="仿宋"/>
          <w:b/>
          <w:color w:val="auto"/>
          <w:kern w:val="0"/>
          <w:szCs w:val="24"/>
          <w:highlight w:val="none"/>
        </w:rPr>
      </w:pPr>
    </w:p>
    <w:p w14:paraId="1DE5B865">
      <w:pPr>
        <w:snapToGrid w:val="0"/>
        <w:spacing w:line="360" w:lineRule="auto"/>
        <w:ind w:right="480"/>
        <w:jc w:val="center"/>
        <w:rPr>
          <w:rFonts w:ascii="仿宋" w:hAnsi="仿宋" w:eastAsia="仿宋" w:cs="仿宋"/>
          <w:b/>
          <w:color w:val="auto"/>
          <w:kern w:val="0"/>
          <w:szCs w:val="24"/>
          <w:highlight w:val="none"/>
        </w:rPr>
      </w:pPr>
    </w:p>
    <w:p w14:paraId="137132C2">
      <w:pPr>
        <w:snapToGrid w:val="0"/>
        <w:spacing w:line="360" w:lineRule="auto"/>
        <w:ind w:right="480"/>
        <w:jc w:val="center"/>
        <w:rPr>
          <w:rFonts w:ascii="仿宋" w:hAnsi="仿宋" w:eastAsia="仿宋" w:cs="仿宋"/>
          <w:b/>
          <w:color w:val="auto"/>
          <w:kern w:val="0"/>
          <w:szCs w:val="24"/>
          <w:highlight w:val="none"/>
        </w:rPr>
      </w:pPr>
    </w:p>
    <w:p w14:paraId="67186DBE">
      <w:pPr>
        <w:snapToGrid w:val="0"/>
        <w:spacing w:line="360" w:lineRule="auto"/>
        <w:ind w:right="480"/>
        <w:jc w:val="center"/>
        <w:rPr>
          <w:rFonts w:ascii="仿宋" w:hAnsi="仿宋" w:eastAsia="仿宋" w:cs="仿宋"/>
          <w:b/>
          <w:color w:val="auto"/>
          <w:kern w:val="0"/>
          <w:szCs w:val="24"/>
          <w:highlight w:val="none"/>
        </w:rPr>
      </w:pPr>
    </w:p>
    <w:p w14:paraId="715F16F1">
      <w:pPr>
        <w:snapToGrid w:val="0"/>
        <w:spacing w:line="360" w:lineRule="auto"/>
        <w:ind w:right="480"/>
        <w:jc w:val="center"/>
        <w:rPr>
          <w:rFonts w:ascii="仿宋" w:hAnsi="仿宋" w:eastAsia="仿宋" w:cs="仿宋"/>
          <w:b/>
          <w:color w:val="auto"/>
          <w:kern w:val="0"/>
          <w:szCs w:val="24"/>
          <w:highlight w:val="none"/>
        </w:rPr>
      </w:pPr>
    </w:p>
    <w:p w14:paraId="0E18607D">
      <w:pPr>
        <w:snapToGrid w:val="0"/>
        <w:spacing w:line="360" w:lineRule="auto"/>
        <w:ind w:right="480"/>
        <w:jc w:val="center"/>
        <w:rPr>
          <w:rFonts w:ascii="仿宋" w:hAnsi="仿宋" w:eastAsia="仿宋" w:cs="仿宋"/>
          <w:b/>
          <w:color w:val="auto"/>
          <w:kern w:val="0"/>
          <w:szCs w:val="24"/>
          <w:highlight w:val="none"/>
        </w:rPr>
      </w:pPr>
    </w:p>
    <w:p w14:paraId="78857F8A">
      <w:pPr>
        <w:snapToGrid w:val="0"/>
        <w:spacing w:line="360" w:lineRule="auto"/>
        <w:ind w:right="480"/>
        <w:jc w:val="center"/>
        <w:rPr>
          <w:rFonts w:ascii="仿宋" w:hAnsi="仿宋" w:eastAsia="仿宋" w:cs="仿宋"/>
          <w:b/>
          <w:color w:val="auto"/>
          <w:kern w:val="0"/>
          <w:szCs w:val="24"/>
          <w:highlight w:val="none"/>
        </w:rPr>
      </w:pPr>
    </w:p>
    <w:p w14:paraId="1C270FC1">
      <w:pPr>
        <w:snapToGrid w:val="0"/>
        <w:spacing w:line="360" w:lineRule="auto"/>
        <w:ind w:right="480"/>
        <w:jc w:val="center"/>
        <w:rPr>
          <w:rFonts w:ascii="仿宋" w:hAnsi="仿宋" w:eastAsia="仿宋" w:cs="仿宋"/>
          <w:b/>
          <w:color w:val="auto"/>
          <w:kern w:val="0"/>
          <w:szCs w:val="24"/>
          <w:highlight w:val="none"/>
        </w:rPr>
      </w:pPr>
    </w:p>
    <w:p w14:paraId="3FB7AC74">
      <w:pPr>
        <w:snapToGrid w:val="0"/>
        <w:spacing w:line="360" w:lineRule="auto"/>
        <w:ind w:right="480"/>
        <w:rPr>
          <w:rFonts w:ascii="仿宋" w:hAnsi="仿宋" w:eastAsia="仿宋" w:cs="仿宋"/>
          <w:b/>
          <w:color w:val="auto"/>
          <w:kern w:val="0"/>
          <w:szCs w:val="24"/>
          <w:highlight w:val="none"/>
        </w:rPr>
      </w:pPr>
    </w:p>
    <w:p w14:paraId="3EBA58BA">
      <w:pPr>
        <w:snapToGrid w:val="0"/>
        <w:spacing w:line="360" w:lineRule="auto"/>
        <w:ind w:right="480"/>
        <w:jc w:val="center"/>
        <w:rPr>
          <w:rFonts w:ascii="仿宋" w:hAnsi="仿宋" w:eastAsia="仿宋" w:cs="仿宋"/>
          <w:b/>
          <w:color w:val="auto"/>
          <w:kern w:val="0"/>
          <w:szCs w:val="24"/>
          <w:highlight w:val="none"/>
        </w:rPr>
      </w:pPr>
    </w:p>
    <w:p w14:paraId="71BEDFE2">
      <w:pPr>
        <w:snapToGrid w:val="0"/>
        <w:spacing w:line="360" w:lineRule="auto"/>
        <w:ind w:right="480"/>
        <w:jc w:val="center"/>
        <w:rPr>
          <w:rFonts w:ascii="仿宋" w:hAnsi="仿宋" w:eastAsia="仿宋" w:cs="仿宋"/>
          <w:b/>
          <w:color w:val="auto"/>
          <w:kern w:val="0"/>
          <w:szCs w:val="24"/>
          <w:highlight w:val="none"/>
        </w:rPr>
      </w:pPr>
    </w:p>
    <w:p w14:paraId="1942841C">
      <w:pPr>
        <w:snapToGrid w:val="0"/>
        <w:spacing w:line="360" w:lineRule="auto"/>
        <w:ind w:right="480"/>
        <w:jc w:val="center"/>
        <w:rPr>
          <w:rFonts w:ascii="仿宋" w:hAnsi="仿宋" w:eastAsia="仿宋" w:cs="仿宋"/>
          <w:b/>
          <w:color w:val="auto"/>
          <w:kern w:val="0"/>
          <w:szCs w:val="24"/>
          <w:highlight w:val="none"/>
        </w:rPr>
      </w:pPr>
    </w:p>
    <w:p w14:paraId="30892ED2">
      <w:pPr>
        <w:snapToGrid w:val="0"/>
        <w:spacing w:line="360" w:lineRule="auto"/>
        <w:ind w:right="480"/>
        <w:jc w:val="center"/>
        <w:rPr>
          <w:rFonts w:ascii="仿宋" w:hAnsi="仿宋" w:eastAsia="仿宋" w:cs="仿宋"/>
          <w:b/>
          <w:color w:val="auto"/>
          <w:kern w:val="0"/>
          <w:szCs w:val="24"/>
          <w:highlight w:val="none"/>
        </w:rPr>
      </w:pPr>
    </w:p>
    <w:p w14:paraId="3E5F0FA9">
      <w:pPr>
        <w:snapToGrid w:val="0"/>
        <w:spacing w:line="360" w:lineRule="auto"/>
        <w:ind w:right="480"/>
        <w:jc w:val="center"/>
        <w:rPr>
          <w:rFonts w:ascii="仿宋" w:hAnsi="仿宋" w:eastAsia="仿宋" w:cs="仿宋"/>
          <w:b/>
          <w:color w:val="auto"/>
          <w:kern w:val="0"/>
          <w:szCs w:val="24"/>
          <w:highlight w:val="none"/>
        </w:rPr>
      </w:pPr>
    </w:p>
    <w:p w14:paraId="13BA7C8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7768DE70">
      <w:pPr>
        <w:pStyle w:val="66"/>
        <w:ind w:left="0" w:firstLine="0"/>
        <w:rPr>
          <w:rFonts w:ascii="仿宋" w:hAnsi="仿宋" w:eastAsia="仿宋" w:cs="仿宋"/>
          <w:color w:val="auto"/>
          <w:sz w:val="32"/>
          <w:szCs w:val="32"/>
          <w:highlight w:val="none"/>
        </w:rPr>
      </w:pPr>
    </w:p>
    <w:p w14:paraId="092F5154">
      <w:pPr>
        <w:pStyle w:val="2"/>
        <w:ind w:firstLine="0"/>
        <w:rPr>
          <w:rFonts w:ascii="仿宋" w:hAnsi="仿宋" w:eastAsia="仿宋" w:cs="仿宋"/>
          <w:color w:val="auto"/>
          <w:sz w:val="32"/>
          <w:szCs w:val="32"/>
          <w:highlight w:val="none"/>
        </w:rPr>
      </w:pPr>
    </w:p>
    <w:p w14:paraId="6576EFCD">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（二）符合参加政企采购活动应当具备的一般条件的承诺函</w:t>
      </w:r>
    </w:p>
    <w:p w14:paraId="5689EB9A">
      <w:pPr>
        <w:snapToGrid w:val="0"/>
        <w:spacing w:line="360" w:lineRule="auto"/>
        <w:rPr>
          <w:rFonts w:ascii="仿宋" w:hAnsi="仿宋" w:eastAsia="仿宋" w:cs="仿宋"/>
          <w:color w:val="auto"/>
          <w:szCs w:val="24"/>
          <w:highlight w:val="none"/>
          <w:u w:val="single"/>
        </w:rPr>
      </w:pPr>
    </w:p>
    <w:p w14:paraId="72DF4D84">
      <w:pPr>
        <w:snapToGrid w:val="0"/>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u w:val="single"/>
        </w:rPr>
        <w:t>（采购人）、（采购代理机构）</w:t>
      </w:r>
      <w:r>
        <w:rPr>
          <w:rFonts w:hint="eastAsia" w:ascii="仿宋" w:hAnsi="仿宋" w:eastAsia="仿宋" w:cs="仿宋"/>
          <w:color w:val="auto"/>
          <w:szCs w:val="24"/>
          <w:highlight w:val="none"/>
        </w:rPr>
        <w:t>：</w:t>
      </w:r>
    </w:p>
    <w:p w14:paraId="0DE96416">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我方参与（项目名称）</w:t>
      </w:r>
      <w:r>
        <w:rPr>
          <w:rFonts w:hint="eastAsia" w:ascii="仿宋" w:hAnsi="仿宋" w:eastAsia="仿宋" w:cs="仿宋"/>
          <w:color w:val="auto"/>
          <w:kern w:val="0"/>
          <w:szCs w:val="24"/>
          <w:highlight w:val="none"/>
          <w:lang w:val="zh-CN"/>
        </w:rPr>
        <w:t>【项目编号：】</w:t>
      </w:r>
      <w:r>
        <w:rPr>
          <w:rFonts w:hint="eastAsia" w:ascii="仿宋" w:hAnsi="仿宋" w:eastAsia="仿宋" w:cs="仿宋"/>
          <w:color w:val="auto"/>
          <w:szCs w:val="24"/>
          <w:highlight w:val="none"/>
        </w:rPr>
        <w:t>政企采购活动，郑重承诺：</w:t>
      </w:r>
    </w:p>
    <w:p w14:paraId="6E37E24D">
      <w:pPr>
        <w:snapToGrid w:val="0"/>
        <w:spacing w:line="360" w:lineRule="auto"/>
        <w:ind w:firstLine="360" w:firstLineChars="150"/>
        <w:rPr>
          <w:rFonts w:ascii="仿宋" w:hAnsi="仿宋" w:eastAsia="仿宋" w:cs="仿宋"/>
          <w:color w:val="auto"/>
          <w:szCs w:val="24"/>
          <w:highlight w:val="none"/>
        </w:rPr>
      </w:pPr>
      <w:r>
        <w:rPr>
          <w:rFonts w:hint="eastAsia" w:ascii="仿宋" w:hAnsi="仿宋" w:eastAsia="仿宋" w:cs="仿宋"/>
          <w:color w:val="auto"/>
          <w:szCs w:val="24"/>
          <w:highlight w:val="none"/>
        </w:rPr>
        <w:t>（一）具备以下条件：</w:t>
      </w:r>
    </w:p>
    <w:p w14:paraId="37E05135">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1、具有独立承担民事责任的能力；</w:t>
      </w:r>
    </w:p>
    <w:p w14:paraId="525AAB69">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2、具有良好的商业信誉和健全的财务会计制度； </w:t>
      </w:r>
    </w:p>
    <w:p w14:paraId="73230C7D">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3、具有履行合同所必需的设备和专业技术能力；</w:t>
      </w:r>
    </w:p>
    <w:p w14:paraId="43934F9B">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4、有依法缴纳税收和社会保障资金的良好记录；</w:t>
      </w:r>
    </w:p>
    <w:p w14:paraId="480D70A8">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5、参加政企采购活动前三年内，在经营活动中没有重大违法记录；</w:t>
      </w:r>
    </w:p>
    <w:p w14:paraId="7BE417B2">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6、具有法律、行政法规规定的其他条件。</w:t>
      </w:r>
    </w:p>
    <w:p w14:paraId="0B3FA096">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（二）未被信用中国（www.creditchina.gov.cn)、中国政府采购网（www.ccgp.gov.cn）列入失信被执行人、重大税收违法案件当事人名单、政府采购严重违法失信行为记录名单。</w:t>
      </w:r>
    </w:p>
    <w:p w14:paraId="08A86156">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（三）不存在以下情况：</w:t>
      </w:r>
    </w:p>
    <w:p w14:paraId="753854A2">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1、单位负责人为同一人或者存在直接控股、管理关系的不同供应商参加同一合同项下的政企采购活动的；</w:t>
      </w:r>
    </w:p>
    <w:p w14:paraId="1BE1F45E">
      <w:pPr>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2、为采购项目提供整体设计、规范编制或者项目管理、监理、检测等服务后再参加该采购项目的其他采购活动的。</w:t>
      </w:r>
    </w:p>
    <w:p w14:paraId="6C3384F1">
      <w:pPr>
        <w:snapToGrid w:val="0"/>
        <w:spacing w:line="360" w:lineRule="auto"/>
        <w:ind w:firstLine="480" w:firstLineChars="200"/>
        <w:rPr>
          <w:rFonts w:ascii="仿宋" w:hAnsi="仿宋" w:eastAsia="仿宋" w:cs="仿宋"/>
          <w:color w:val="auto"/>
          <w:szCs w:val="24"/>
          <w:highlight w:val="none"/>
        </w:rPr>
      </w:pPr>
    </w:p>
    <w:p w14:paraId="249CA45F">
      <w:pPr>
        <w:snapToGrid w:val="0"/>
        <w:spacing w:line="360" w:lineRule="auto"/>
        <w:ind w:firstLine="480" w:firstLineChars="200"/>
        <w:rPr>
          <w:rFonts w:ascii="仿宋" w:hAnsi="仿宋" w:eastAsia="仿宋" w:cs="仿宋"/>
          <w:color w:val="auto"/>
          <w:kern w:val="0"/>
          <w:szCs w:val="24"/>
          <w:highlight w:val="none"/>
          <w:lang w:val="zh-CN"/>
        </w:rPr>
      </w:pPr>
      <w:r>
        <w:rPr>
          <w:rFonts w:hint="eastAsia" w:ascii="仿宋" w:hAnsi="仿宋" w:eastAsia="仿宋" w:cs="仿宋"/>
          <w:color w:val="auto"/>
          <w:szCs w:val="24"/>
          <w:highlight w:val="none"/>
        </w:rPr>
        <w:t>以上承诺如有虚假或隐瞒，采购人可取消我方任何资格（投标/中标/签订合同），我方对此无任何异议，并愿意承担一切后果和责任。</w:t>
      </w:r>
    </w:p>
    <w:p w14:paraId="3B9DA88F">
      <w:pPr>
        <w:snapToGrid w:val="0"/>
        <w:spacing w:line="360" w:lineRule="auto"/>
        <w:rPr>
          <w:rFonts w:ascii="仿宋" w:hAnsi="仿宋" w:eastAsia="仿宋" w:cs="仿宋"/>
          <w:color w:val="auto"/>
          <w:kern w:val="0"/>
          <w:szCs w:val="24"/>
          <w:highlight w:val="none"/>
          <w:lang w:val="zh-CN"/>
        </w:rPr>
      </w:pPr>
    </w:p>
    <w:p w14:paraId="7599D58F">
      <w:pPr>
        <w:snapToGrid w:val="0"/>
        <w:spacing w:line="360" w:lineRule="auto"/>
        <w:ind w:firstLine="5520" w:firstLineChars="23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投标人名称(电子签名)：</w:t>
      </w:r>
    </w:p>
    <w:p w14:paraId="32FAF805">
      <w:pPr>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日期</w:t>
      </w:r>
      <w:r>
        <w:rPr>
          <w:rFonts w:hint="eastAsia" w:ascii="仿宋" w:hAnsi="仿宋" w:eastAsia="仿宋" w:cs="仿宋"/>
          <w:color w:val="auto"/>
          <w:kern w:val="0"/>
          <w:szCs w:val="24"/>
          <w:highlight w:val="none"/>
        </w:rPr>
        <w:t xml:space="preserve">：  年  </w:t>
      </w:r>
      <w:r>
        <w:rPr>
          <w:rFonts w:hint="eastAsia" w:ascii="仿宋" w:hAnsi="仿宋" w:eastAsia="仿宋" w:cs="仿宋"/>
          <w:color w:val="auto"/>
          <w:kern w:val="0"/>
          <w:szCs w:val="24"/>
          <w:highlight w:val="none"/>
          <w:lang w:val="zh-CN"/>
        </w:rPr>
        <w:t>月</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日</w:t>
      </w:r>
    </w:p>
    <w:p w14:paraId="4D6F0A8B">
      <w:pPr>
        <w:spacing w:line="360" w:lineRule="auto"/>
        <w:rPr>
          <w:rFonts w:ascii="仿宋" w:hAnsi="仿宋" w:eastAsia="仿宋" w:cs="仿宋"/>
          <w:b/>
          <w:color w:val="auto"/>
          <w:sz w:val="32"/>
          <w:szCs w:val="32"/>
          <w:highlight w:val="none"/>
        </w:rPr>
      </w:pPr>
    </w:p>
    <w:p w14:paraId="60D99F92">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（三）符合特定资格条件要求的资质文件</w:t>
      </w:r>
    </w:p>
    <w:p w14:paraId="0729E83D">
      <w:pPr>
        <w:widowControl/>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（由供应商根据“招标文件第一部分”中“合格的供应商应具备的特定资格要求”编制；如果本项目没有设置特定资格条件，则不需要提供）</w:t>
      </w:r>
    </w:p>
    <w:p w14:paraId="3D867DF4">
      <w:pPr>
        <w:widowControl/>
        <w:spacing w:line="360" w:lineRule="auto"/>
        <w:ind w:firstLine="480" w:firstLineChars="200"/>
        <w:jc w:val="left"/>
        <w:rPr>
          <w:rFonts w:ascii="仿宋" w:hAnsi="仿宋" w:eastAsia="仿宋" w:cs="仿宋"/>
          <w:color w:val="auto"/>
          <w:szCs w:val="24"/>
          <w:highlight w:val="none"/>
        </w:rPr>
      </w:pPr>
    </w:p>
    <w:p w14:paraId="68AFE16A">
      <w:pPr>
        <w:pStyle w:val="3"/>
        <w:rPr>
          <w:rFonts w:ascii="仿宋" w:hAnsi="仿宋" w:eastAsia="仿宋" w:cs="仿宋"/>
          <w:color w:val="auto"/>
          <w:szCs w:val="24"/>
          <w:highlight w:val="none"/>
        </w:rPr>
      </w:pPr>
    </w:p>
    <w:p w14:paraId="162E83E3">
      <w:pPr>
        <w:pStyle w:val="2"/>
        <w:rPr>
          <w:rFonts w:ascii="仿宋" w:hAnsi="仿宋" w:eastAsia="仿宋" w:cs="仿宋"/>
          <w:color w:val="auto"/>
          <w:szCs w:val="24"/>
          <w:highlight w:val="none"/>
        </w:rPr>
      </w:pPr>
    </w:p>
    <w:p w14:paraId="12159DCB">
      <w:pPr>
        <w:snapToGrid w:val="0"/>
        <w:spacing w:line="360" w:lineRule="auto"/>
        <w:ind w:firstLine="5880" w:firstLineChars="245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投标人名称(电子签名)：</w:t>
      </w:r>
    </w:p>
    <w:p w14:paraId="7D5A8F33">
      <w:pPr>
        <w:snapToGrid w:val="0"/>
        <w:spacing w:line="360" w:lineRule="auto"/>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 xml:space="preserve">                                                 签发日期：  年  月   日</w:t>
      </w:r>
    </w:p>
    <w:p w14:paraId="17672E0D">
      <w:pPr>
        <w:snapToGrid w:val="0"/>
        <w:spacing w:line="360" w:lineRule="auto"/>
        <w:rPr>
          <w:rFonts w:ascii="仿宋" w:hAnsi="仿宋" w:eastAsia="仿宋" w:cs="仿宋"/>
          <w:color w:val="auto"/>
          <w:kern w:val="0"/>
          <w:szCs w:val="24"/>
          <w:highlight w:val="none"/>
          <w:lang w:val="zh-CN"/>
        </w:rPr>
      </w:pPr>
    </w:p>
    <w:p w14:paraId="470BB3F5">
      <w:pPr>
        <w:spacing w:before="120" w:beforeLines="50" w:line="360" w:lineRule="auto"/>
        <w:jc w:val="center"/>
        <w:rPr>
          <w:rFonts w:ascii="仿宋" w:hAnsi="仿宋" w:eastAsia="仿宋" w:cs="仿宋"/>
          <w:b/>
          <w:bCs/>
          <w:color w:val="auto"/>
          <w:szCs w:val="24"/>
          <w:highlight w:val="none"/>
        </w:rPr>
      </w:pPr>
    </w:p>
    <w:p w14:paraId="7054A937">
      <w:pPr>
        <w:spacing w:before="120" w:beforeLines="50" w:line="360" w:lineRule="auto"/>
        <w:jc w:val="center"/>
        <w:rPr>
          <w:rFonts w:ascii="仿宋" w:hAnsi="仿宋" w:eastAsia="仿宋" w:cs="仿宋"/>
          <w:b/>
          <w:bCs/>
          <w:color w:val="auto"/>
          <w:szCs w:val="24"/>
          <w:highlight w:val="none"/>
        </w:rPr>
      </w:pPr>
    </w:p>
    <w:p w14:paraId="5723E006">
      <w:pPr>
        <w:spacing w:before="120" w:beforeLines="50" w:line="360" w:lineRule="auto"/>
        <w:jc w:val="center"/>
        <w:rPr>
          <w:rFonts w:ascii="仿宋" w:hAnsi="仿宋" w:eastAsia="仿宋" w:cs="仿宋"/>
          <w:b/>
          <w:bCs/>
          <w:color w:val="auto"/>
          <w:szCs w:val="24"/>
          <w:highlight w:val="none"/>
        </w:rPr>
      </w:pPr>
    </w:p>
    <w:p w14:paraId="7486F2AA">
      <w:pPr>
        <w:spacing w:before="120" w:beforeLines="50" w:line="360" w:lineRule="auto"/>
        <w:jc w:val="center"/>
        <w:rPr>
          <w:rFonts w:ascii="仿宋" w:hAnsi="仿宋" w:eastAsia="仿宋" w:cs="仿宋"/>
          <w:b/>
          <w:bCs/>
          <w:color w:val="auto"/>
          <w:szCs w:val="24"/>
          <w:highlight w:val="none"/>
        </w:rPr>
      </w:pPr>
    </w:p>
    <w:p w14:paraId="728216DB">
      <w:pPr>
        <w:spacing w:before="120" w:beforeLines="50" w:line="360" w:lineRule="auto"/>
        <w:jc w:val="center"/>
        <w:rPr>
          <w:rFonts w:ascii="仿宋" w:hAnsi="仿宋" w:eastAsia="仿宋" w:cs="仿宋"/>
          <w:b/>
          <w:bCs/>
          <w:color w:val="auto"/>
          <w:szCs w:val="24"/>
          <w:highlight w:val="none"/>
        </w:rPr>
      </w:pPr>
    </w:p>
    <w:p w14:paraId="2FFA9A7D">
      <w:pPr>
        <w:spacing w:before="120" w:beforeLines="50" w:line="360" w:lineRule="auto"/>
        <w:jc w:val="center"/>
        <w:rPr>
          <w:rFonts w:ascii="仿宋" w:hAnsi="仿宋" w:eastAsia="仿宋" w:cs="仿宋"/>
          <w:b/>
          <w:bCs/>
          <w:color w:val="auto"/>
          <w:szCs w:val="24"/>
          <w:highlight w:val="none"/>
        </w:rPr>
      </w:pPr>
    </w:p>
    <w:p w14:paraId="08A4994F">
      <w:pPr>
        <w:spacing w:before="120" w:beforeLines="50" w:line="360" w:lineRule="auto"/>
        <w:jc w:val="center"/>
        <w:rPr>
          <w:rFonts w:ascii="仿宋" w:hAnsi="仿宋" w:eastAsia="仿宋" w:cs="仿宋"/>
          <w:b/>
          <w:bCs/>
          <w:color w:val="auto"/>
          <w:szCs w:val="24"/>
          <w:highlight w:val="none"/>
        </w:rPr>
      </w:pPr>
    </w:p>
    <w:p w14:paraId="7C9B9508">
      <w:pPr>
        <w:spacing w:before="120" w:beforeLines="50" w:line="360" w:lineRule="auto"/>
        <w:jc w:val="center"/>
        <w:rPr>
          <w:rFonts w:ascii="仿宋" w:hAnsi="仿宋" w:eastAsia="仿宋" w:cs="仿宋"/>
          <w:b/>
          <w:bCs/>
          <w:color w:val="auto"/>
          <w:szCs w:val="24"/>
          <w:highlight w:val="none"/>
        </w:rPr>
      </w:pPr>
    </w:p>
    <w:p w14:paraId="75578DC9">
      <w:pPr>
        <w:spacing w:before="120" w:beforeLines="50" w:line="360" w:lineRule="auto"/>
        <w:jc w:val="center"/>
        <w:rPr>
          <w:rFonts w:ascii="仿宋" w:hAnsi="仿宋" w:eastAsia="仿宋" w:cs="仿宋"/>
          <w:b/>
          <w:bCs/>
          <w:color w:val="auto"/>
          <w:szCs w:val="24"/>
          <w:highlight w:val="none"/>
        </w:rPr>
      </w:pPr>
    </w:p>
    <w:p w14:paraId="41BA3D1E">
      <w:pPr>
        <w:spacing w:before="120" w:beforeLines="50" w:line="360" w:lineRule="auto"/>
        <w:jc w:val="center"/>
        <w:rPr>
          <w:rFonts w:ascii="仿宋" w:hAnsi="仿宋" w:eastAsia="仿宋" w:cs="仿宋"/>
          <w:b/>
          <w:bCs/>
          <w:color w:val="auto"/>
          <w:szCs w:val="24"/>
          <w:highlight w:val="none"/>
        </w:rPr>
      </w:pPr>
    </w:p>
    <w:p w14:paraId="18280248">
      <w:pPr>
        <w:spacing w:before="120" w:beforeLines="50" w:line="360" w:lineRule="auto"/>
        <w:jc w:val="center"/>
        <w:rPr>
          <w:rFonts w:ascii="仿宋" w:hAnsi="仿宋" w:eastAsia="仿宋" w:cs="仿宋"/>
          <w:b/>
          <w:bCs/>
          <w:color w:val="auto"/>
          <w:szCs w:val="24"/>
          <w:highlight w:val="none"/>
        </w:rPr>
      </w:pPr>
    </w:p>
    <w:p w14:paraId="3C0D6137">
      <w:pPr>
        <w:spacing w:before="120" w:beforeLines="50" w:line="360" w:lineRule="auto"/>
        <w:jc w:val="center"/>
        <w:rPr>
          <w:rFonts w:ascii="仿宋" w:hAnsi="仿宋" w:eastAsia="仿宋" w:cs="仿宋"/>
          <w:b/>
          <w:bCs/>
          <w:color w:val="auto"/>
          <w:szCs w:val="24"/>
          <w:highlight w:val="none"/>
        </w:rPr>
      </w:pPr>
    </w:p>
    <w:p w14:paraId="2B10A3A4">
      <w:pPr>
        <w:spacing w:before="120" w:beforeLines="50" w:line="360" w:lineRule="auto"/>
        <w:jc w:val="center"/>
        <w:rPr>
          <w:rFonts w:ascii="仿宋" w:hAnsi="仿宋" w:eastAsia="仿宋" w:cs="仿宋"/>
          <w:b/>
          <w:bCs/>
          <w:color w:val="auto"/>
          <w:szCs w:val="24"/>
          <w:highlight w:val="none"/>
        </w:rPr>
      </w:pPr>
    </w:p>
    <w:p w14:paraId="794C4650">
      <w:pPr>
        <w:spacing w:before="120" w:beforeLines="50" w:line="360" w:lineRule="auto"/>
        <w:jc w:val="center"/>
        <w:rPr>
          <w:rFonts w:ascii="仿宋" w:hAnsi="仿宋" w:eastAsia="仿宋" w:cs="仿宋"/>
          <w:b/>
          <w:bCs/>
          <w:color w:val="auto"/>
          <w:szCs w:val="24"/>
          <w:highlight w:val="none"/>
        </w:rPr>
      </w:pPr>
    </w:p>
    <w:p w14:paraId="79940B3C">
      <w:pPr>
        <w:spacing w:before="120" w:beforeLines="50" w:line="360" w:lineRule="auto"/>
        <w:jc w:val="center"/>
        <w:rPr>
          <w:rFonts w:ascii="仿宋" w:hAnsi="仿宋" w:eastAsia="仿宋" w:cs="仿宋"/>
          <w:b/>
          <w:bCs/>
          <w:color w:val="auto"/>
          <w:szCs w:val="24"/>
          <w:highlight w:val="none"/>
        </w:rPr>
      </w:pPr>
    </w:p>
    <w:p w14:paraId="24952FD4">
      <w:pPr>
        <w:spacing w:before="120" w:beforeLines="50" w:line="360" w:lineRule="auto"/>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br w:type="page"/>
      </w:r>
    </w:p>
    <w:p w14:paraId="00505A61">
      <w:pPr>
        <w:spacing w:before="120" w:beforeLines="50" w:line="360" w:lineRule="auto"/>
        <w:jc w:val="center"/>
        <w:rPr>
          <w:rFonts w:ascii="仿宋" w:hAnsi="仿宋" w:eastAsia="仿宋" w:cs="仿宋"/>
          <w:b/>
          <w:bCs/>
          <w:color w:val="auto"/>
          <w:szCs w:val="24"/>
          <w:highlight w:val="none"/>
        </w:rPr>
      </w:pPr>
    </w:p>
    <w:p w14:paraId="601C25A8">
      <w:pPr>
        <w:spacing w:before="120" w:beforeLines="50" w:line="360" w:lineRule="auto"/>
        <w:jc w:val="center"/>
        <w:rPr>
          <w:rFonts w:ascii="仿宋" w:hAnsi="仿宋" w:eastAsia="仿宋" w:cs="仿宋"/>
          <w:b/>
          <w:color w:val="auto"/>
          <w:szCs w:val="24"/>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资信文件目录</w:t>
      </w:r>
    </w:p>
    <w:p w14:paraId="7BA453F5">
      <w:pPr>
        <w:pStyle w:val="43"/>
        <w:spacing w:line="360" w:lineRule="auto"/>
        <w:ind w:firstLine="480" w:firstLineChars="200"/>
        <w:rPr>
          <w:rFonts w:ascii="仿宋" w:hAnsi="仿宋" w:eastAsia="仿宋" w:cs="仿宋"/>
          <w:color w:val="auto"/>
          <w:sz w:val="24"/>
          <w:szCs w:val="24"/>
          <w:highlight w:val="none"/>
        </w:rPr>
      </w:pPr>
    </w:p>
    <w:p w14:paraId="5346DC04">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（1）评分索引表…………………………………………………………（页码）</w:t>
      </w:r>
    </w:p>
    <w:p w14:paraId="33EB685B">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（2）营业执照扫描件……………………………………………………（页码）</w:t>
      </w:r>
    </w:p>
    <w:p w14:paraId="240FBEC6">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（3）投标函………………………………………………………………（页码）</w:t>
      </w:r>
    </w:p>
    <w:p w14:paraId="29B4209C">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（4-1）法定代表人及其授权代表身份证………………………………（页码）</w:t>
      </w:r>
    </w:p>
    <w:p w14:paraId="73633849">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（4-2）法定代表人身份证明书…………………………………………（页码）</w:t>
      </w:r>
    </w:p>
    <w:p w14:paraId="39B662F8">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（5）商务技术偏离表……………………………………………………（页码）</w:t>
      </w:r>
    </w:p>
    <w:p w14:paraId="7FA13CA5">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（6）主要业绩证明………………………………………………………（页码）</w:t>
      </w:r>
    </w:p>
    <w:p w14:paraId="7291061C">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（7）项目小组人员名单…………………………………………………（页码）</w:t>
      </w:r>
    </w:p>
    <w:p w14:paraId="29F5A6B1">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（8）设备配置清单（如有）……………………………………………（页码）</w:t>
      </w:r>
    </w:p>
    <w:p w14:paraId="32060EE3">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评标标准相应的商务技术资料</w:t>
      </w:r>
      <w:r>
        <w:rPr>
          <w:rFonts w:hint="eastAsia" w:ascii="仿宋" w:hAnsi="仿宋" w:eastAsia="仿宋" w:cs="仿宋"/>
          <w:color w:val="auto"/>
          <w:sz w:val="24"/>
          <w:szCs w:val="24"/>
          <w:highlight w:val="none"/>
        </w:rPr>
        <w:t>……………………………………（页码）</w:t>
      </w:r>
    </w:p>
    <w:p w14:paraId="4F73D992">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（10）投标供应商廉洁自律承诺书………………………………………（页码）</w:t>
      </w:r>
    </w:p>
    <w:p w14:paraId="6D270EA5">
      <w:pPr>
        <w:pStyle w:val="4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（11）供应商认为需要的其他商务技术文件或说明……………………（页码）</w:t>
      </w:r>
    </w:p>
    <w:p w14:paraId="19E2A238">
      <w:pPr>
        <w:spacing w:line="400" w:lineRule="exact"/>
        <w:jc w:val="left"/>
        <w:rPr>
          <w:rStyle w:val="484"/>
          <w:rFonts w:ascii="仿宋" w:hAnsi="仿宋" w:eastAsia="仿宋" w:cs="仿宋"/>
          <w:b/>
          <w:bCs/>
          <w:color w:val="auto"/>
          <w:sz w:val="32"/>
          <w:szCs w:val="32"/>
          <w:highlight w:val="none"/>
        </w:rPr>
      </w:pPr>
      <w:r>
        <w:rPr>
          <w:rFonts w:hint="eastAsia" w:ascii="仿宋" w:hAnsi="仿宋" w:eastAsia="仿宋" w:cs="仿宋"/>
          <w:b/>
          <w:color w:val="auto"/>
          <w:spacing w:val="20"/>
          <w:szCs w:val="24"/>
          <w:highlight w:val="none"/>
        </w:rPr>
        <w:t>注：以上目录是编制投标文件商务技术文件部分的基本格式要求，各投标人可根据自身情况进一步细化（关联）。</w:t>
      </w:r>
      <w:r>
        <w:rPr>
          <w:rStyle w:val="484"/>
          <w:rFonts w:hint="eastAsia" w:ascii="仿宋" w:hAnsi="仿宋" w:eastAsia="仿宋" w:cs="仿宋"/>
          <w:b/>
          <w:bCs/>
          <w:color w:val="auto"/>
          <w:sz w:val="32"/>
          <w:szCs w:val="32"/>
          <w:highlight w:val="none"/>
        </w:rPr>
        <w:t xml:space="preserve"> </w:t>
      </w:r>
    </w:p>
    <w:p w14:paraId="28E45A27">
      <w:pPr>
        <w:spacing w:line="400" w:lineRule="exact"/>
        <w:jc w:val="center"/>
        <w:rPr>
          <w:rStyle w:val="484"/>
          <w:rFonts w:ascii="仿宋" w:hAnsi="仿宋" w:eastAsia="仿宋" w:cs="仿宋"/>
          <w:b/>
          <w:bCs/>
          <w:color w:val="auto"/>
          <w:sz w:val="32"/>
          <w:szCs w:val="32"/>
          <w:highlight w:val="none"/>
        </w:rPr>
      </w:pPr>
    </w:p>
    <w:p w14:paraId="3365CE7F">
      <w:pPr>
        <w:spacing w:line="400" w:lineRule="exact"/>
        <w:jc w:val="center"/>
        <w:rPr>
          <w:rStyle w:val="484"/>
          <w:rFonts w:ascii="仿宋" w:hAnsi="仿宋" w:eastAsia="仿宋" w:cs="仿宋"/>
          <w:b/>
          <w:bCs/>
          <w:color w:val="auto"/>
          <w:sz w:val="32"/>
          <w:szCs w:val="32"/>
          <w:highlight w:val="none"/>
        </w:rPr>
      </w:pPr>
    </w:p>
    <w:bookmarkEnd w:id="144"/>
    <w:bookmarkEnd w:id="145"/>
    <w:bookmarkEnd w:id="146"/>
    <w:bookmarkEnd w:id="147"/>
    <w:bookmarkEnd w:id="148"/>
    <w:bookmarkEnd w:id="149"/>
    <w:bookmarkEnd w:id="161"/>
    <w:bookmarkEnd w:id="162"/>
    <w:p w14:paraId="3E629ABA">
      <w:pPr>
        <w:widowControl/>
        <w:rPr>
          <w:rFonts w:ascii="仿宋" w:hAnsi="仿宋" w:eastAsia="仿宋" w:cs="仿宋"/>
          <w:color w:val="auto"/>
          <w:kern w:val="0"/>
          <w:szCs w:val="24"/>
          <w:highlight w:val="none"/>
        </w:rPr>
      </w:pPr>
      <w:bookmarkStart w:id="168" w:name="_Toc339302147"/>
      <w:bookmarkStart w:id="169" w:name="_Toc340321931"/>
      <w:bookmarkStart w:id="170" w:name="_Toc340322186"/>
      <w:bookmarkStart w:id="171" w:name="_Toc32609"/>
      <w:bookmarkStart w:id="172" w:name="_Toc180555954"/>
      <w:bookmarkStart w:id="173" w:name="_Toc489481899"/>
    </w:p>
    <w:p w14:paraId="45573B39">
      <w:pPr>
        <w:widowControl/>
        <w:rPr>
          <w:rFonts w:ascii="仿宋" w:hAnsi="仿宋" w:eastAsia="仿宋" w:cs="仿宋"/>
          <w:color w:val="auto"/>
          <w:kern w:val="0"/>
          <w:szCs w:val="24"/>
          <w:highlight w:val="none"/>
        </w:rPr>
      </w:pPr>
    </w:p>
    <w:p w14:paraId="2F7B3E5A">
      <w:pPr>
        <w:widowControl/>
        <w:rPr>
          <w:rFonts w:ascii="仿宋" w:hAnsi="仿宋" w:eastAsia="仿宋" w:cs="仿宋"/>
          <w:color w:val="auto"/>
          <w:kern w:val="0"/>
          <w:szCs w:val="24"/>
          <w:highlight w:val="none"/>
        </w:rPr>
      </w:pPr>
    </w:p>
    <w:p w14:paraId="4203C690">
      <w:pPr>
        <w:widowControl/>
        <w:rPr>
          <w:rFonts w:ascii="仿宋" w:hAnsi="仿宋" w:eastAsia="仿宋" w:cs="仿宋"/>
          <w:color w:val="auto"/>
          <w:kern w:val="0"/>
          <w:szCs w:val="24"/>
          <w:highlight w:val="none"/>
        </w:rPr>
      </w:pPr>
    </w:p>
    <w:p w14:paraId="703555E9">
      <w:pPr>
        <w:widowControl/>
        <w:rPr>
          <w:rFonts w:ascii="仿宋" w:hAnsi="仿宋" w:eastAsia="仿宋" w:cs="仿宋"/>
          <w:color w:val="auto"/>
          <w:kern w:val="0"/>
          <w:szCs w:val="24"/>
          <w:highlight w:val="none"/>
        </w:rPr>
      </w:pPr>
    </w:p>
    <w:p w14:paraId="08867616">
      <w:pPr>
        <w:spacing w:line="500" w:lineRule="exact"/>
        <w:jc w:val="center"/>
        <w:textAlignment w:val="baseline"/>
        <w:rPr>
          <w:rStyle w:val="503"/>
          <w:rFonts w:ascii="仿宋" w:hAnsi="仿宋" w:eastAsia="仿宋" w:cs="仿宋"/>
          <w:b/>
          <w:bCs/>
          <w:color w:val="auto"/>
          <w:sz w:val="32"/>
          <w:szCs w:val="32"/>
          <w:highlight w:val="none"/>
        </w:rPr>
      </w:pPr>
    </w:p>
    <w:p w14:paraId="2CEC88D4">
      <w:pPr>
        <w:spacing w:line="500" w:lineRule="exact"/>
        <w:jc w:val="center"/>
        <w:textAlignment w:val="baseline"/>
        <w:rPr>
          <w:rStyle w:val="503"/>
          <w:rFonts w:ascii="仿宋" w:hAnsi="仿宋" w:eastAsia="仿宋" w:cs="仿宋"/>
          <w:b/>
          <w:bCs/>
          <w:color w:val="auto"/>
          <w:sz w:val="32"/>
          <w:szCs w:val="32"/>
          <w:highlight w:val="none"/>
        </w:rPr>
      </w:pPr>
    </w:p>
    <w:p w14:paraId="67F7A0DB">
      <w:pPr>
        <w:rPr>
          <w:rStyle w:val="503"/>
          <w:rFonts w:ascii="仿宋" w:hAnsi="仿宋" w:eastAsia="仿宋" w:cs="仿宋"/>
          <w:b/>
          <w:bCs/>
          <w:color w:val="auto"/>
          <w:sz w:val="32"/>
          <w:szCs w:val="32"/>
          <w:highlight w:val="none"/>
        </w:rPr>
      </w:pPr>
      <w:r>
        <w:rPr>
          <w:rStyle w:val="503"/>
          <w:rFonts w:hint="eastAsia" w:ascii="仿宋" w:hAnsi="仿宋" w:eastAsia="仿宋" w:cs="仿宋"/>
          <w:b/>
          <w:bCs/>
          <w:color w:val="auto"/>
          <w:sz w:val="32"/>
          <w:szCs w:val="32"/>
          <w:highlight w:val="none"/>
        </w:rPr>
        <w:br w:type="page"/>
      </w:r>
    </w:p>
    <w:p w14:paraId="43C31523">
      <w:pPr>
        <w:spacing w:line="500" w:lineRule="exact"/>
        <w:jc w:val="center"/>
        <w:textAlignment w:val="baseline"/>
        <w:rPr>
          <w:rStyle w:val="503"/>
          <w:rFonts w:ascii="仿宋" w:hAnsi="仿宋" w:eastAsia="仿宋" w:cs="仿宋"/>
          <w:b/>
          <w:bCs/>
          <w:color w:val="auto"/>
          <w:sz w:val="32"/>
          <w:szCs w:val="32"/>
          <w:highlight w:val="none"/>
        </w:rPr>
      </w:pPr>
      <w:r>
        <w:rPr>
          <w:rStyle w:val="503"/>
          <w:rFonts w:hint="eastAsia" w:ascii="仿宋" w:hAnsi="仿宋" w:eastAsia="仿宋" w:cs="仿宋"/>
          <w:b/>
          <w:bCs/>
          <w:color w:val="auto"/>
          <w:sz w:val="32"/>
          <w:szCs w:val="32"/>
          <w:highlight w:val="none"/>
        </w:rPr>
        <w:t>（一）评分索引表</w:t>
      </w:r>
    </w:p>
    <w:tbl>
      <w:tblPr>
        <w:tblStyle w:val="79"/>
        <w:tblW w:w="9143" w:type="dxa"/>
        <w:jc w:val="center"/>
        <w:tblLayout w:type="fixed"/>
        <w:tblCellMar>
          <w:top w:w="0" w:type="dxa"/>
          <w:left w:w="0" w:type="dxa"/>
          <w:bottom w:w="0" w:type="dxa"/>
          <w:right w:w="0" w:type="dxa"/>
        </w:tblCellMar>
      </w:tblPr>
      <w:tblGrid>
        <w:gridCol w:w="733"/>
        <w:gridCol w:w="1723"/>
        <w:gridCol w:w="4551"/>
        <w:gridCol w:w="1114"/>
        <w:gridCol w:w="1022"/>
      </w:tblGrid>
      <w:tr w14:paraId="53C97C3E">
        <w:tblPrEx>
          <w:tblCellMar>
            <w:top w:w="0" w:type="dxa"/>
            <w:left w:w="0" w:type="dxa"/>
            <w:bottom w:w="0" w:type="dxa"/>
            <w:right w:w="0" w:type="dxa"/>
          </w:tblCellMar>
        </w:tblPrEx>
        <w:trPr>
          <w:trHeight w:val="863"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3FC91C2F">
            <w:pPr>
              <w:widowControl/>
              <w:spacing w:line="360" w:lineRule="auto"/>
              <w:jc w:val="center"/>
              <w:textAlignment w:val="center"/>
              <w:rPr>
                <w:rStyle w:val="503"/>
                <w:rFonts w:ascii="仿宋" w:hAnsi="仿宋" w:eastAsia="仿宋" w:cs="仿宋"/>
                <w:b/>
                <w:bCs/>
                <w:color w:val="auto"/>
                <w:szCs w:val="24"/>
                <w:highlight w:val="none"/>
              </w:rPr>
            </w:pPr>
            <w:r>
              <w:rPr>
                <w:rStyle w:val="503"/>
                <w:rFonts w:hint="eastAsia" w:ascii="仿宋" w:hAnsi="仿宋" w:eastAsia="仿宋" w:cs="仿宋"/>
                <w:b/>
                <w:bCs/>
                <w:color w:val="auto"/>
                <w:szCs w:val="24"/>
                <w:highlight w:val="none"/>
              </w:rPr>
              <w:t>序号</w:t>
            </w:r>
          </w:p>
        </w:tc>
        <w:tc>
          <w:tcPr>
            <w:tcW w:w="1723" w:type="dxa"/>
            <w:tcBorders>
              <w:top w:val="single" w:color="000000" w:sz="4" w:space="0"/>
              <w:left w:val="single" w:color="000000" w:sz="4" w:space="0"/>
              <w:bottom w:val="single" w:color="000000" w:sz="4" w:space="0"/>
              <w:right w:val="single" w:color="000000" w:sz="4" w:space="0"/>
            </w:tcBorders>
            <w:vAlign w:val="center"/>
          </w:tcPr>
          <w:p w14:paraId="7DFA15DF">
            <w:pPr>
              <w:widowControl/>
              <w:spacing w:line="360" w:lineRule="auto"/>
              <w:jc w:val="center"/>
              <w:textAlignment w:val="center"/>
              <w:rPr>
                <w:rStyle w:val="503"/>
                <w:rFonts w:ascii="仿宋" w:hAnsi="仿宋" w:eastAsia="仿宋" w:cs="仿宋"/>
                <w:b/>
                <w:bCs/>
                <w:color w:val="auto"/>
                <w:szCs w:val="24"/>
                <w:highlight w:val="none"/>
              </w:rPr>
            </w:pPr>
            <w:r>
              <w:rPr>
                <w:rStyle w:val="503"/>
                <w:rFonts w:hint="eastAsia" w:ascii="仿宋" w:hAnsi="仿宋" w:eastAsia="仿宋" w:cs="仿宋"/>
                <w:b/>
                <w:bCs/>
                <w:color w:val="auto"/>
                <w:szCs w:val="24"/>
                <w:highlight w:val="none"/>
              </w:rPr>
              <w:t>评审内容</w:t>
            </w:r>
          </w:p>
        </w:tc>
        <w:tc>
          <w:tcPr>
            <w:tcW w:w="4551" w:type="dxa"/>
            <w:tcBorders>
              <w:top w:val="single" w:color="000000" w:sz="4" w:space="0"/>
              <w:left w:val="single" w:color="000000" w:sz="4" w:space="0"/>
              <w:bottom w:val="single" w:color="000000" w:sz="4" w:space="0"/>
              <w:right w:val="single" w:color="000000" w:sz="4" w:space="0"/>
            </w:tcBorders>
            <w:vAlign w:val="center"/>
          </w:tcPr>
          <w:p w14:paraId="4848BED4">
            <w:pPr>
              <w:widowControl/>
              <w:spacing w:line="360" w:lineRule="auto"/>
              <w:jc w:val="center"/>
              <w:textAlignment w:val="center"/>
              <w:rPr>
                <w:rStyle w:val="503"/>
                <w:rFonts w:ascii="仿宋" w:hAnsi="仿宋" w:eastAsia="仿宋" w:cs="仿宋"/>
                <w:b/>
                <w:bCs/>
                <w:color w:val="auto"/>
                <w:szCs w:val="24"/>
                <w:highlight w:val="none"/>
              </w:rPr>
            </w:pPr>
            <w:r>
              <w:rPr>
                <w:rStyle w:val="503"/>
                <w:rFonts w:hint="eastAsia" w:ascii="仿宋" w:hAnsi="仿宋" w:eastAsia="仿宋" w:cs="仿宋"/>
                <w:b/>
                <w:bCs/>
                <w:color w:val="auto"/>
                <w:szCs w:val="24"/>
                <w:highlight w:val="none"/>
              </w:rPr>
              <w:t>评分标准</w:t>
            </w:r>
          </w:p>
        </w:tc>
        <w:tc>
          <w:tcPr>
            <w:tcW w:w="1114" w:type="dxa"/>
            <w:tcBorders>
              <w:top w:val="single" w:color="000000" w:sz="4" w:space="0"/>
              <w:left w:val="single" w:color="000000" w:sz="4" w:space="0"/>
              <w:bottom w:val="single" w:color="000000" w:sz="4" w:space="0"/>
              <w:right w:val="single" w:color="000000" w:sz="4" w:space="0"/>
            </w:tcBorders>
            <w:vAlign w:val="center"/>
          </w:tcPr>
          <w:p w14:paraId="6E582153">
            <w:pPr>
              <w:widowControl/>
              <w:spacing w:line="360" w:lineRule="auto"/>
              <w:jc w:val="center"/>
              <w:textAlignment w:val="center"/>
              <w:rPr>
                <w:rStyle w:val="503"/>
                <w:rFonts w:ascii="仿宋" w:hAnsi="仿宋" w:eastAsia="仿宋" w:cs="仿宋"/>
                <w:b/>
                <w:bCs/>
                <w:color w:val="auto"/>
                <w:szCs w:val="24"/>
                <w:highlight w:val="none"/>
              </w:rPr>
            </w:pPr>
            <w:r>
              <w:rPr>
                <w:rStyle w:val="503"/>
                <w:rFonts w:hint="eastAsia" w:ascii="仿宋" w:hAnsi="仿宋" w:eastAsia="仿宋" w:cs="仿宋"/>
                <w:b/>
                <w:bCs/>
                <w:color w:val="auto"/>
                <w:szCs w:val="24"/>
                <w:highlight w:val="none"/>
              </w:rPr>
              <w:t>分值</w:t>
            </w:r>
          </w:p>
        </w:tc>
        <w:tc>
          <w:tcPr>
            <w:tcW w:w="1022" w:type="dxa"/>
            <w:tcBorders>
              <w:top w:val="single" w:color="000000" w:sz="4" w:space="0"/>
              <w:left w:val="single" w:color="000000" w:sz="4" w:space="0"/>
              <w:bottom w:val="single" w:color="000000" w:sz="4" w:space="0"/>
              <w:right w:val="single" w:color="000000" w:sz="4" w:space="0"/>
            </w:tcBorders>
            <w:vAlign w:val="center"/>
          </w:tcPr>
          <w:p w14:paraId="0655C163">
            <w:pPr>
              <w:widowControl/>
              <w:spacing w:line="360" w:lineRule="auto"/>
              <w:jc w:val="center"/>
              <w:textAlignment w:val="center"/>
              <w:rPr>
                <w:rStyle w:val="503"/>
                <w:rFonts w:ascii="仿宋" w:hAnsi="仿宋" w:eastAsia="仿宋" w:cs="仿宋"/>
                <w:b/>
                <w:bCs/>
                <w:color w:val="auto"/>
                <w:szCs w:val="24"/>
                <w:highlight w:val="none"/>
              </w:rPr>
            </w:pPr>
            <w:r>
              <w:rPr>
                <w:rStyle w:val="503"/>
                <w:rFonts w:hint="eastAsia" w:ascii="仿宋" w:hAnsi="仿宋" w:eastAsia="仿宋" w:cs="仿宋"/>
                <w:b/>
                <w:bCs/>
                <w:color w:val="auto"/>
                <w:szCs w:val="24"/>
                <w:highlight w:val="none"/>
              </w:rPr>
              <w:t>评分对应页码</w:t>
            </w:r>
          </w:p>
        </w:tc>
      </w:tr>
      <w:tr w14:paraId="13AA9BC7">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3DF73B89">
            <w:pPr>
              <w:widowControl/>
              <w:spacing w:line="360" w:lineRule="auto"/>
              <w:jc w:val="center"/>
              <w:textAlignment w:val="center"/>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1</w:t>
            </w:r>
          </w:p>
        </w:tc>
        <w:tc>
          <w:tcPr>
            <w:tcW w:w="1723" w:type="dxa"/>
            <w:tcBorders>
              <w:top w:val="single" w:color="000000" w:sz="4" w:space="0"/>
              <w:left w:val="single" w:color="000000" w:sz="4" w:space="0"/>
              <w:bottom w:val="single" w:color="000000" w:sz="4" w:space="0"/>
              <w:right w:val="single" w:color="000000" w:sz="4" w:space="0"/>
            </w:tcBorders>
            <w:vAlign w:val="center"/>
          </w:tcPr>
          <w:p w14:paraId="2C0DB312">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5F2CCF60">
            <w:pPr>
              <w:widowControl/>
              <w:spacing w:line="360" w:lineRule="auto"/>
              <w:jc w:val="left"/>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27BC8FA9">
            <w:pPr>
              <w:widowControl/>
              <w:spacing w:line="360" w:lineRule="auto"/>
              <w:jc w:val="center"/>
              <w:textAlignment w:val="baseline"/>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21DB0392">
            <w:pPr>
              <w:widowControl/>
              <w:spacing w:line="360" w:lineRule="auto"/>
              <w:jc w:val="center"/>
              <w:textAlignment w:val="baseline"/>
              <w:rPr>
                <w:rStyle w:val="503"/>
                <w:rFonts w:ascii="仿宋" w:hAnsi="仿宋" w:eastAsia="仿宋" w:cs="仿宋"/>
                <w:color w:val="auto"/>
                <w:szCs w:val="24"/>
                <w:highlight w:val="none"/>
              </w:rPr>
            </w:pPr>
          </w:p>
        </w:tc>
      </w:tr>
      <w:tr w14:paraId="6789BF18">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65AFB900">
            <w:pPr>
              <w:widowControl/>
              <w:spacing w:line="360" w:lineRule="auto"/>
              <w:jc w:val="center"/>
              <w:textAlignment w:val="center"/>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2</w:t>
            </w:r>
          </w:p>
        </w:tc>
        <w:tc>
          <w:tcPr>
            <w:tcW w:w="1723" w:type="dxa"/>
            <w:tcBorders>
              <w:top w:val="single" w:color="000000" w:sz="4" w:space="0"/>
              <w:left w:val="single" w:color="000000" w:sz="4" w:space="0"/>
              <w:bottom w:val="single" w:color="000000" w:sz="4" w:space="0"/>
              <w:right w:val="single" w:color="000000" w:sz="4" w:space="0"/>
            </w:tcBorders>
            <w:vAlign w:val="center"/>
          </w:tcPr>
          <w:p w14:paraId="63CBFAB1">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48BFA117">
            <w:pPr>
              <w:widowControl/>
              <w:spacing w:line="360" w:lineRule="auto"/>
              <w:jc w:val="left"/>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208473B7">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36E45C17">
            <w:pPr>
              <w:widowControl/>
              <w:spacing w:line="360" w:lineRule="auto"/>
              <w:jc w:val="center"/>
              <w:textAlignment w:val="center"/>
              <w:rPr>
                <w:rStyle w:val="503"/>
                <w:rFonts w:ascii="仿宋" w:hAnsi="仿宋" w:eastAsia="仿宋" w:cs="仿宋"/>
                <w:color w:val="auto"/>
                <w:szCs w:val="24"/>
                <w:highlight w:val="none"/>
              </w:rPr>
            </w:pPr>
          </w:p>
        </w:tc>
      </w:tr>
      <w:tr w14:paraId="2060681D">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080E362D">
            <w:pPr>
              <w:widowControl/>
              <w:spacing w:line="360" w:lineRule="auto"/>
              <w:jc w:val="center"/>
              <w:textAlignment w:val="baseline"/>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3</w:t>
            </w:r>
          </w:p>
        </w:tc>
        <w:tc>
          <w:tcPr>
            <w:tcW w:w="1723" w:type="dxa"/>
            <w:tcBorders>
              <w:top w:val="single" w:color="000000" w:sz="4" w:space="0"/>
              <w:left w:val="single" w:color="000000" w:sz="4" w:space="0"/>
              <w:bottom w:val="single" w:color="000000" w:sz="4" w:space="0"/>
              <w:right w:val="single" w:color="000000" w:sz="4" w:space="0"/>
            </w:tcBorders>
            <w:vAlign w:val="center"/>
          </w:tcPr>
          <w:p w14:paraId="42B7A106">
            <w:pPr>
              <w:widowControl/>
              <w:spacing w:line="360" w:lineRule="auto"/>
              <w:jc w:val="center"/>
              <w:textAlignment w:val="baseline"/>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6C67FA2C">
            <w:pPr>
              <w:widowControl/>
              <w:spacing w:line="360" w:lineRule="auto"/>
              <w:textAlignment w:val="baseline"/>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24AEDD43">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0FCE2C91">
            <w:pPr>
              <w:widowControl/>
              <w:spacing w:line="360" w:lineRule="auto"/>
              <w:jc w:val="center"/>
              <w:textAlignment w:val="center"/>
              <w:rPr>
                <w:rStyle w:val="503"/>
                <w:rFonts w:ascii="仿宋" w:hAnsi="仿宋" w:eastAsia="仿宋" w:cs="仿宋"/>
                <w:color w:val="auto"/>
                <w:szCs w:val="24"/>
                <w:highlight w:val="none"/>
              </w:rPr>
            </w:pPr>
          </w:p>
        </w:tc>
      </w:tr>
      <w:tr w14:paraId="62825008">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20699D19">
            <w:pPr>
              <w:widowControl/>
              <w:spacing w:line="360" w:lineRule="auto"/>
              <w:jc w:val="center"/>
              <w:textAlignment w:val="center"/>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4</w:t>
            </w:r>
          </w:p>
        </w:tc>
        <w:tc>
          <w:tcPr>
            <w:tcW w:w="1723" w:type="dxa"/>
            <w:tcBorders>
              <w:top w:val="single" w:color="000000" w:sz="4" w:space="0"/>
              <w:left w:val="single" w:color="000000" w:sz="4" w:space="0"/>
              <w:bottom w:val="single" w:color="000000" w:sz="4" w:space="0"/>
              <w:right w:val="single" w:color="000000" w:sz="4" w:space="0"/>
            </w:tcBorders>
            <w:vAlign w:val="center"/>
          </w:tcPr>
          <w:p w14:paraId="0019F0F1">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721E07D0">
            <w:pPr>
              <w:widowControl/>
              <w:spacing w:line="360" w:lineRule="auto"/>
              <w:jc w:val="center"/>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7B1CC0A1">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67CD6A32">
            <w:pPr>
              <w:widowControl/>
              <w:spacing w:line="360" w:lineRule="auto"/>
              <w:jc w:val="center"/>
              <w:textAlignment w:val="center"/>
              <w:rPr>
                <w:rStyle w:val="503"/>
                <w:rFonts w:ascii="仿宋" w:hAnsi="仿宋" w:eastAsia="仿宋" w:cs="仿宋"/>
                <w:color w:val="auto"/>
                <w:szCs w:val="24"/>
                <w:highlight w:val="none"/>
              </w:rPr>
            </w:pPr>
          </w:p>
        </w:tc>
      </w:tr>
      <w:tr w14:paraId="70807842">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7665E5B8">
            <w:pPr>
              <w:widowControl/>
              <w:spacing w:line="360" w:lineRule="auto"/>
              <w:jc w:val="center"/>
              <w:textAlignment w:val="center"/>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5</w:t>
            </w:r>
          </w:p>
        </w:tc>
        <w:tc>
          <w:tcPr>
            <w:tcW w:w="1723" w:type="dxa"/>
            <w:tcBorders>
              <w:top w:val="single" w:color="000000" w:sz="4" w:space="0"/>
              <w:left w:val="single" w:color="000000" w:sz="4" w:space="0"/>
              <w:bottom w:val="single" w:color="000000" w:sz="4" w:space="0"/>
              <w:right w:val="single" w:color="000000" w:sz="4" w:space="0"/>
            </w:tcBorders>
            <w:vAlign w:val="center"/>
          </w:tcPr>
          <w:p w14:paraId="72D08E0D">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48241618">
            <w:pPr>
              <w:widowControl/>
              <w:spacing w:line="360" w:lineRule="auto"/>
              <w:jc w:val="center"/>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1999AEA2">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608C030E">
            <w:pPr>
              <w:widowControl/>
              <w:spacing w:line="360" w:lineRule="auto"/>
              <w:jc w:val="center"/>
              <w:textAlignment w:val="center"/>
              <w:rPr>
                <w:rStyle w:val="503"/>
                <w:rFonts w:ascii="仿宋" w:hAnsi="仿宋" w:eastAsia="仿宋" w:cs="仿宋"/>
                <w:color w:val="auto"/>
                <w:szCs w:val="24"/>
                <w:highlight w:val="none"/>
              </w:rPr>
            </w:pPr>
          </w:p>
        </w:tc>
      </w:tr>
      <w:tr w14:paraId="612F7D1A">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56ACC983">
            <w:pPr>
              <w:widowControl/>
              <w:spacing w:line="360" w:lineRule="auto"/>
              <w:jc w:val="center"/>
              <w:textAlignment w:val="center"/>
              <w:rPr>
                <w:rStyle w:val="503"/>
                <w:rFonts w:ascii="仿宋" w:hAnsi="仿宋" w:eastAsia="仿宋" w:cs="仿宋"/>
                <w:color w:val="auto"/>
                <w:szCs w:val="24"/>
                <w:highlight w:val="none"/>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0C2F750C">
            <w:pPr>
              <w:widowControl/>
              <w:spacing w:line="360" w:lineRule="auto"/>
              <w:jc w:val="center"/>
              <w:textAlignment w:val="center"/>
              <w:rPr>
                <w:rStyle w:val="503"/>
                <w:rFonts w:ascii="仿宋" w:hAnsi="仿宋" w:eastAsia="仿宋" w:cs="仿宋"/>
                <w:color w:val="auto"/>
                <w:szCs w:val="24"/>
                <w:highlight w:val="none"/>
              </w:rPr>
            </w:pPr>
            <w:r>
              <w:rPr>
                <w:rStyle w:val="503"/>
                <w:rFonts w:hint="eastAsia" w:ascii="仿宋" w:hAnsi="仿宋" w:eastAsia="仿宋" w:cs="仿宋"/>
                <w:color w:val="auto"/>
                <w:szCs w:val="24"/>
                <w:highlight w:val="none"/>
              </w:rPr>
              <w:t>......</w:t>
            </w:r>
          </w:p>
        </w:tc>
        <w:tc>
          <w:tcPr>
            <w:tcW w:w="4551" w:type="dxa"/>
            <w:tcBorders>
              <w:top w:val="single" w:color="000000" w:sz="4" w:space="0"/>
              <w:left w:val="single" w:color="000000" w:sz="4" w:space="0"/>
              <w:bottom w:val="single" w:color="000000" w:sz="4" w:space="0"/>
              <w:right w:val="single" w:color="000000" w:sz="4" w:space="0"/>
            </w:tcBorders>
            <w:vAlign w:val="center"/>
          </w:tcPr>
          <w:p w14:paraId="4971F93D">
            <w:pPr>
              <w:widowControl/>
              <w:spacing w:line="360" w:lineRule="auto"/>
              <w:jc w:val="center"/>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48D747E4">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7C6FD925">
            <w:pPr>
              <w:widowControl/>
              <w:spacing w:line="360" w:lineRule="auto"/>
              <w:jc w:val="center"/>
              <w:textAlignment w:val="center"/>
              <w:rPr>
                <w:rStyle w:val="503"/>
                <w:rFonts w:ascii="仿宋" w:hAnsi="仿宋" w:eastAsia="仿宋" w:cs="仿宋"/>
                <w:color w:val="auto"/>
                <w:szCs w:val="24"/>
                <w:highlight w:val="none"/>
              </w:rPr>
            </w:pPr>
          </w:p>
        </w:tc>
      </w:tr>
      <w:tr w14:paraId="339A872C">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31194590">
            <w:pPr>
              <w:widowControl/>
              <w:spacing w:line="360" w:lineRule="auto"/>
              <w:jc w:val="center"/>
              <w:textAlignment w:val="center"/>
              <w:rPr>
                <w:rStyle w:val="503"/>
                <w:rFonts w:ascii="仿宋" w:hAnsi="仿宋" w:eastAsia="仿宋" w:cs="仿宋"/>
                <w:color w:val="auto"/>
                <w:szCs w:val="24"/>
                <w:highlight w:val="none"/>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459306AE">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0E666A65">
            <w:pPr>
              <w:widowControl/>
              <w:spacing w:line="360" w:lineRule="auto"/>
              <w:jc w:val="center"/>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6286BBDC">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1D62BBE8">
            <w:pPr>
              <w:widowControl/>
              <w:spacing w:line="360" w:lineRule="auto"/>
              <w:jc w:val="center"/>
              <w:textAlignment w:val="center"/>
              <w:rPr>
                <w:rStyle w:val="503"/>
                <w:rFonts w:ascii="仿宋" w:hAnsi="仿宋" w:eastAsia="仿宋" w:cs="仿宋"/>
                <w:color w:val="auto"/>
                <w:szCs w:val="24"/>
                <w:highlight w:val="none"/>
              </w:rPr>
            </w:pPr>
          </w:p>
        </w:tc>
      </w:tr>
      <w:tr w14:paraId="01BB40DD">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7C6824F2">
            <w:pPr>
              <w:widowControl/>
              <w:spacing w:line="360" w:lineRule="auto"/>
              <w:jc w:val="center"/>
              <w:textAlignment w:val="center"/>
              <w:rPr>
                <w:rStyle w:val="503"/>
                <w:rFonts w:ascii="仿宋" w:hAnsi="仿宋" w:eastAsia="仿宋" w:cs="仿宋"/>
                <w:color w:val="auto"/>
                <w:szCs w:val="24"/>
                <w:highlight w:val="none"/>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686321CA">
            <w:pPr>
              <w:widowControl/>
              <w:spacing w:line="360" w:lineRule="auto"/>
              <w:jc w:val="center"/>
              <w:textAlignment w:val="center"/>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57BC0595">
            <w:pPr>
              <w:widowControl/>
              <w:spacing w:line="360" w:lineRule="auto"/>
              <w:jc w:val="center"/>
              <w:textAlignment w:val="center"/>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07BDA786">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14C6A939">
            <w:pPr>
              <w:widowControl/>
              <w:spacing w:line="360" w:lineRule="auto"/>
              <w:jc w:val="center"/>
              <w:textAlignment w:val="center"/>
              <w:rPr>
                <w:rStyle w:val="503"/>
                <w:rFonts w:ascii="仿宋" w:hAnsi="仿宋" w:eastAsia="仿宋" w:cs="仿宋"/>
                <w:color w:val="auto"/>
                <w:szCs w:val="24"/>
                <w:highlight w:val="none"/>
              </w:rPr>
            </w:pPr>
          </w:p>
        </w:tc>
      </w:tr>
      <w:tr w14:paraId="5D02E746">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45D7CEB8">
            <w:pPr>
              <w:widowControl/>
              <w:spacing w:line="360" w:lineRule="auto"/>
              <w:jc w:val="center"/>
              <w:textAlignment w:val="baseline"/>
              <w:rPr>
                <w:rStyle w:val="503"/>
                <w:rFonts w:ascii="仿宋" w:hAnsi="仿宋" w:eastAsia="仿宋" w:cs="仿宋"/>
                <w:color w:val="auto"/>
                <w:szCs w:val="24"/>
                <w:highlight w:val="none"/>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7639FC37">
            <w:pPr>
              <w:widowControl/>
              <w:spacing w:line="360" w:lineRule="auto"/>
              <w:jc w:val="center"/>
              <w:textAlignment w:val="baseline"/>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1B973648">
            <w:pPr>
              <w:widowControl/>
              <w:spacing w:line="380" w:lineRule="exact"/>
              <w:jc w:val="left"/>
              <w:textAlignment w:val="baseline"/>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0C4DDEF2">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7FDB1E97">
            <w:pPr>
              <w:widowControl/>
              <w:spacing w:line="360" w:lineRule="auto"/>
              <w:jc w:val="center"/>
              <w:textAlignment w:val="center"/>
              <w:rPr>
                <w:rStyle w:val="503"/>
                <w:rFonts w:ascii="仿宋" w:hAnsi="仿宋" w:eastAsia="仿宋" w:cs="仿宋"/>
                <w:color w:val="auto"/>
                <w:szCs w:val="24"/>
                <w:highlight w:val="none"/>
              </w:rPr>
            </w:pPr>
          </w:p>
        </w:tc>
      </w:tr>
      <w:tr w14:paraId="1A74405E">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14:paraId="04E0B621">
            <w:pPr>
              <w:widowControl/>
              <w:spacing w:line="360" w:lineRule="auto"/>
              <w:jc w:val="center"/>
              <w:textAlignment w:val="baseline"/>
              <w:rPr>
                <w:rStyle w:val="503"/>
                <w:rFonts w:ascii="仿宋" w:hAnsi="仿宋" w:eastAsia="仿宋" w:cs="仿宋"/>
                <w:color w:val="auto"/>
                <w:szCs w:val="24"/>
                <w:highlight w:val="none"/>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13391F97">
            <w:pPr>
              <w:widowControl/>
              <w:spacing w:line="360" w:lineRule="auto"/>
              <w:jc w:val="center"/>
              <w:textAlignment w:val="baseline"/>
              <w:rPr>
                <w:rStyle w:val="503"/>
                <w:rFonts w:ascii="仿宋" w:hAnsi="仿宋" w:eastAsia="仿宋" w:cs="仿宋"/>
                <w:color w:val="auto"/>
                <w:szCs w:val="24"/>
                <w:highlight w:val="none"/>
              </w:rPr>
            </w:pPr>
          </w:p>
        </w:tc>
        <w:tc>
          <w:tcPr>
            <w:tcW w:w="4551" w:type="dxa"/>
            <w:tcBorders>
              <w:top w:val="single" w:color="000000" w:sz="4" w:space="0"/>
              <w:left w:val="single" w:color="000000" w:sz="4" w:space="0"/>
              <w:bottom w:val="single" w:color="000000" w:sz="4" w:space="0"/>
              <w:right w:val="single" w:color="000000" w:sz="4" w:space="0"/>
            </w:tcBorders>
            <w:vAlign w:val="center"/>
          </w:tcPr>
          <w:p w14:paraId="6026A542">
            <w:pPr>
              <w:widowControl/>
              <w:spacing w:line="380" w:lineRule="exact"/>
              <w:jc w:val="left"/>
              <w:textAlignment w:val="baseline"/>
              <w:rPr>
                <w:rStyle w:val="503"/>
                <w:rFonts w:ascii="仿宋" w:hAnsi="仿宋" w:eastAsia="仿宋" w:cs="仿宋"/>
                <w:color w:val="auto"/>
                <w:szCs w:val="24"/>
                <w:highlight w:val="none"/>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76739477">
            <w:pPr>
              <w:widowControl/>
              <w:spacing w:line="360" w:lineRule="auto"/>
              <w:jc w:val="center"/>
              <w:textAlignment w:val="center"/>
              <w:rPr>
                <w:rStyle w:val="503"/>
                <w:rFonts w:ascii="仿宋" w:hAnsi="仿宋" w:eastAsia="仿宋" w:cs="仿宋"/>
                <w:color w:val="auto"/>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325DEAD0">
            <w:pPr>
              <w:widowControl/>
              <w:spacing w:line="360" w:lineRule="auto"/>
              <w:jc w:val="center"/>
              <w:textAlignment w:val="center"/>
              <w:rPr>
                <w:rStyle w:val="503"/>
                <w:rFonts w:ascii="仿宋" w:hAnsi="仿宋" w:eastAsia="仿宋" w:cs="仿宋"/>
                <w:color w:val="auto"/>
                <w:szCs w:val="24"/>
                <w:highlight w:val="none"/>
              </w:rPr>
            </w:pPr>
          </w:p>
        </w:tc>
      </w:tr>
    </w:tbl>
    <w:p w14:paraId="48DC914F">
      <w:pPr>
        <w:widowControl/>
        <w:rPr>
          <w:rFonts w:ascii="仿宋" w:hAnsi="仿宋" w:eastAsia="仿宋" w:cs="仿宋"/>
          <w:color w:val="auto"/>
          <w:kern w:val="0"/>
          <w:szCs w:val="24"/>
          <w:highlight w:val="none"/>
        </w:rPr>
      </w:pPr>
      <w:r>
        <w:rPr>
          <w:rStyle w:val="503"/>
          <w:rFonts w:hint="eastAsia" w:ascii="仿宋" w:hAnsi="仿宋" w:eastAsia="仿宋" w:cs="仿宋"/>
          <w:b/>
          <w:bCs/>
          <w:color w:val="auto"/>
          <w:szCs w:val="24"/>
          <w:highlight w:val="none"/>
        </w:rPr>
        <w:t>注：评审内容、评分标准、分值对应“评审标准”内容。</w:t>
      </w:r>
    </w:p>
    <w:p w14:paraId="41C239E8">
      <w:pPr>
        <w:widowControl/>
        <w:rPr>
          <w:rFonts w:ascii="仿宋" w:hAnsi="仿宋" w:eastAsia="仿宋" w:cs="仿宋"/>
          <w:color w:val="auto"/>
          <w:kern w:val="0"/>
          <w:szCs w:val="24"/>
          <w:highlight w:val="none"/>
        </w:rPr>
      </w:pPr>
    </w:p>
    <w:p w14:paraId="6EABD0F8">
      <w:pPr>
        <w:widowControl/>
        <w:rPr>
          <w:rFonts w:ascii="仿宋" w:hAnsi="仿宋" w:eastAsia="仿宋" w:cs="仿宋"/>
          <w:color w:val="auto"/>
          <w:kern w:val="0"/>
          <w:szCs w:val="24"/>
          <w:highlight w:val="none"/>
        </w:rPr>
      </w:pPr>
    </w:p>
    <w:p w14:paraId="27AAEAD1">
      <w:pPr>
        <w:widowControl/>
        <w:rPr>
          <w:rFonts w:ascii="仿宋" w:hAnsi="仿宋" w:eastAsia="仿宋" w:cs="仿宋"/>
          <w:color w:val="auto"/>
          <w:kern w:val="0"/>
          <w:szCs w:val="24"/>
          <w:highlight w:val="none"/>
        </w:rPr>
      </w:pPr>
    </w:p>
    <w:p w14:paraId="0DD61062">
      <w:pPr>
        <w:widowControl/>
        <w:rPr>
          <w:rFonts w:ascii="仿宋" w:hAnsi="仿宋" w:eastAsia="仿宋" w:cs="仿宋"/>
          <w:color w:val="auto"/>
          <w:kern w:val="0"/>
          <w:szCs w:val="24"/>
          <w:highlight w:val="none"/>
        </w:rPr>
      </w:pPr>
    </w:p>
    <w:p w14:paraId="548B577E">
      <w:pPr>
        <w:widowControl/>
        <w:rPr>
          <w:rFonts w:ascii="仿宋" w:hAnsi="仿宋" w:eastAsia="仿宋" w:cs="仿宋"/>
          <w:color w:val="auto"/>
          <w:kern w:val="0"/>
          <w:szCs w:val="24"/>
          <w:highlight w:val="none"/>
        </w:rPr>
      </w:pPr>
    </w:p>
    <w:p w14:paraId="75883CF1">
      <w:pPr>
        <w:widowControl/>
        <w:rPr>
          <w:rFonts w:ascii="仿宋" w:hAnsi="仿宋" w:eastAsia="仿宋" w:cs="仿宋"/>
          <w:color w:val="auto"/>
          <w:kern w:val="0"/>
          <w:szCs w:val="24"/>
          <w:highlight w:val="none"/>
        </w:rPr>
      </w:pPr>
    </w:p>
    <w:p w14:paraId="3FB2D88D">
      <w:pPr>
        <w:widowControl/>
        <w:rPr>
          <w:rFonts w:ascii="仿宋" w:hAnsi="仿宋" w:eastAsia="仿宋" w:cs="仿宋"/>
          <w:color w:val="auto"/>
          <w:kern w:val="0"/>
          <w:szCs w:val="24"/>
          <w:highlight w:val="none"/>
        </w:rPr>
      </w:pPr>
    </w:p>
    <w:p w14:paraId="72F0B55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51DBA14">
      <w:pPr>
        <w:pStyle w:val="43"/>
        <w:spacing w:before="120" w:beforeLines="50" w:line="360" w:lineRule="auto"/>
        <w:jc w:val="center"/>
        <w:rPr>
          <w:rFonts w:ascii="仿宋" w:hAnsi="仿宋" w:eastAsia="仿宋" w:cs="仿宋"/>
          <w:b/>
          <w:color w:val="auto"/>
          <w:sz w:val="24"/>
          <w:szCs w:val="24"/>
          <w:highlight w:val="none"/>
        </w:rPr>
      </w:pPr>
      <w:r>
        <w:rPr>
          <w:rFonts w:hint="eastAsia" w:ascii="仿宋" w:hAnsi="仿宋" w:eastAsia="仿宋" w:cs="仿宋"/>
          <w:b/>
          <w:color w:val="auto"/>
          <w:kern w:val="0"/>
          <w:sz w:val="32"/>
          <w:szCs w:val="32"/>
          <w:highlight w:val="none"/>
        </w:rPr>
        <w:t>（二）营业执照扫描件</w:t>
      </w:r>
    </w:p>
    <w:p w14:paraId="714012BD">
      <w:pPr>
        <w:spacing w:line="360" w:lineRule="auto"/>
        <w:jc w:val="center"/>
        <w:rPr>
          <w:rFonts w:ascii="仿宋" w:hAnsi="仿宋" w:eastAsia="仿宋" w:cs="仿宋"/>
          <w:b/>
          <w:bCs/>
          <w:color w:val="auto"/>
          <w:szCs w:val="24"/>
          <w:highlight w:val="none"/>
        </w:rPr>
      </w:pPr>
    </w:p>
    <w:p w14:paraId="3135CA5A">
      <w:pPr>
        <w:spacing w:line="360" w:lineRule="auto"/>
        <w:jc w:val="center"/>
        <w:rPr>
          <w:rFonts w:ascii="仿宋" w:hAnsi="仿宋" w:eastAsia="仿宋" w:cs="仿宋"/>
          <w:b/>
          <w:bCs/>
          <w:color w:val="auto"/>
          <w:sz w:val="32"/>
          <w:szCs w:val="32"/>
          <w:highlight w:val="none"/>
        </w:rPr>
      </w:pPr>
    </w:p>
    <w:p w14:paraId="0557783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（三）投标函</w:t>
      </w:r>
    </w:p>
    <w:p w14:paraId="54938A80">
      <w:pPr>
        <w:spacing w:line="440" w:lineRule="exact"/>
        <w:rPr>
          <w:rFonts w:ascii="仿宋" w:hAnsi="仿宋" w:eastAsia="仿宋" w:cs="仿宋"/>
          <w:b/>
          <w:color w:val="auto"/>
          <w:szCs w:val="24"/>
          <w:highlight w:val="none"/>
        </w:rPr>
      </w:pPr>
      <w:r>
        <w:rPr>
          <w:rFonts w:hint="eastAsia" w:ascii="仿宋" w:hAnsi="仿宋" w:eastAsia="仿宋" w:cs="仿宋"/>
          <w:b/>
          <w:color w:val="auto"/>
          <w:szCs w:val="24"/>
          <w:highlight w:val="none"/>
          <w:u w:val="single"/>
        </w:rPr>
        <w:t>致（采购人）、（采购代理机构）</w:t>
      </w:r>
      <w:r>
        <w:rPr>
          <w:rFonts w:hint="eastAsia" w:ascii="仿宋" w:hAnsi="仿宋" w:eastAsia="仿宋" w:cs="仿宋"/>
          <w:b/>
          <w:color w:val="auto"/>
          <w:szCs w:val="24"/>
          <w:highlight w:val="none"/>
        </w:rPr>
        <w:t>：</w:t>
      </w:r>
    </w:p>
    <w:p w14:paraId="1F5730FB">
      <w:pPr>
        <w:spacing w:line="440" w:lineRule="exact"/>
        <w:ind w:firstLine="480" w:firstLineChars="200"/>
        <w:jc w:val="left"/>
        <w:rPr>
          <w:rFonts w:ascii="仿宋" w:hAnsi="仿宋" w:eastAsia="仿宋" w:cs="仿宋"/>
          <w:color w:val="auto"/>
          <w:szCs w:val="24"/>
          <w:highlight w:val="none"/>
        </w:rPr>
      </w:pP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szCs w:val="24"/>
          <w:highlight w:val="none"/>
        </w:rPr>
        <w:t>(投标人全称)授权</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szCs w:val="24"/>
          <w:highlight w:val="none"/>
        </w:rPr>
        <w:t>(全权代表姓名)</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szCs w:val="24"/>
          <w:highlight w:val="none"/>
        </w:rPr>
        <w:t>(职务、职称)为全权代表，参加贵方组织的</w:t>
      </w:r>
      <w:r>
        <w:rPr>
          <w:rFonts w:hint="eastAsia" w:ascii="仿宋" w:hAnsi="仿宋" w:eastAsia="仿宋" w:cs="仿宋"/>
          <w:color w:val="auto"/>
          <w:szCs w:val="24"/>
          <w:highlight w:val="none"/>
          <w:u w:val="single"/>
        </w:rPr>
        <w:t xml:space="preserve">（项目名称：     、项目编号：        </w:t>
      </w:r>
      <w:r>
        <w:rPr>
          <w:rFonts w:hint="eastAsia" w:ascii="仿宋" w:hAnsi="仿宋" w:eastAsia="仿宋" w:cs="仿宋"/>
          <w:color w:val="auto"/>
          <w:kern w:val="0"/>
          <w:szCs w:val="24"/>
          <w:highlight w:val="none"/>
          <w:lang w:val="zh-CN"/>
        </w:rPr>
        <w:t xml:space="preserve"> </w:t>
      </w:r>
      <w:r>
        <w:rPr>
          <w:rFonts w:hint="eastAsia" w:ascii="仿宋" w:hAnsi="仿宋" w:eastAsia="仿宋" w:cs="仿宋"/>
          <w:color w:val="auto"/>
          <w:szCs w:val="24"/>
          <w:highlight w:val="none"/>
        </w:rPr>
        <w:t>)采购的有关活动，并对此项目进行应标。为此：</w:t>
      </w:r>
    </w:p>
    <w:p w14:paraId="50201705">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1.我方同意在编制和提交投标文件须知规定的投标日期起遵守本投标文件中的承诺且在投标有效期满之前均具有约束力。                 </w:t>
      </w:r>
    </w:p>
    <w:p w14:paraId="2AE837FE">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2.我方承诺已经具备供应商应当具备的条件：</w:t>
      </w:r>
    </w:p>
    <w:p w14:paraId="249902D4">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（1）具有独立承担民事责任的能力；</w:t>
      </w:r>
    </w:p>
    <w:p w14:paraId="79F3DA47">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（2）遵守国家法律、行政法规，具有良好的信誉和商业道德；</w:t>
      </w:r>
    </w:p>
    <w:p w14:paraId="4732E8DE">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（3）具有履行合同的能力和良好的履行合同记录；</w:t>
      </w:r>
    </w:p>
    <w:p w14:paraId="7F034DB9">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（4）良好的资金、财务状况；</w:t>
      </w:r>
    </w:p>
    <w:p w14:paraId="2BE2C650">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（5）没有发生重大经济纠纷和走私犯罪记录；</w:t>
      </w:r>
    </w:p>
    <w:p w14:paraId="0B978A50">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3.提供编制和提交投标文件须知规定的全部投标文件。具体内容为：</w:t>
      </w:r>
    </w:p>
    <w:p w14:paraId="4B0C2172">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（1）资格证明文件；</w:t>
      </w:r>
    </w:p>
    <w:p w14:paraId="571D19FE">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（2）商务技术文件；</w:t>
      </w:r>
    </w:p>
    <w:p w14:paraId="5980A0F3">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（3）报价文件；</w:t>
      </w:r>
    </w:p>
    <w:p w14:paraId="723B9470">
      <w:pPr>
        <w:tabs>
          <w:tab w:val="left" w:pos="180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（4）编制和提交投标文件须知要求投标人提交的全部文件。</w:t>
      </w:r>
    </w:p>
    <w:p w14:paraId="2092C08D">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4.按招标文件要求提供服务的投标报价，详见开标一览表。</w:t>
      </w:r>
    </w:p>
    <w:p w14:paraId="0B12E5C6">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5.保证忠实地执行双方所签订的合同，并承担合同规定的责任和义务。</w:t>
      </w:r>
    </w:p>
    <w:p w14:paraId="137D86C7">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6.保证遵守招标文件中的其他有关规定。如果我单位中标，我方将按照《中标通知书》要求与贵方签订合同，严格履行合同义务。</w:t>
      </w:r>
    </w:p>
    <w:p w14:paraId="09255A6D">
      <w:pPr>
        <w:tabs>
          <w:tab w:val="left" w:pos="1080"/>
        </w:tabs>
        <w:spacing w:line="440" w:lineRule="exact"/>
        <w:ind w:firstLine="48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7.如果在投标后规定的投标有效期内撤回投标文件，</w:t>
      </w:r>
      <w:r>
        <w:rPr>
          <w:rFonts w:hint="eastAsia" w:ascii="仿宋" w:hAnsi="仿宋" w:eastAsia="仿宋" w:cs="仿宋"/>
          <w:b/>
          <w:bCs/>
          <w:color w:val="auto"/>
          <w:szCs w:val="24"/>
          <w:highlight w:val="none"/>
        </w:rPr>
        <w:t>我方同意贵方上报上级监管部门，列入不良行为名单，并给予通报。</w:t>
      </w:r>
    </w:p>
    <w:p w14:paraId="1B39132D">
      <w:pPr>
        <w:tabs>
          <w:tab w:val="left" w:pos="1080"/>
        </w:tabs>
        <w:spacing w:line="44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8.我方愿意向贵方提供任何与该项采购有关的数据、情况和技术资料。若贵方需要，我方愿意提供我方作出的一切承诺的证明材料。</w:t>
      </w:r>
    </w:p>
    <w:p w14:paraId="393099BE">
      <w:pPr>
        <w:spacing w:line="440" w:lineRule="exact"/>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9.我方已详细审阅和理解全部招标文件，包括招标文件修改书（如有的话）、参考资料及有关附件，确认无误。</w:t>
      </w:r>
    </w:p>
    <w:p w14:paraId="0715E32A">
      <w:pPr>
        <w:spacing w:line="440" w:lineRule="exact"/>
        <w:ind w:firstLine="5760" w:firstLineChars="2400"/>
        <w:jc w:val="left"/>
        <w:rPr>
          <w:rFonts w:ascii="仿宋" w:hAnsi="仿宋" w:eastAsia="仿宋" w:cs="仿宋"/>
          <w:color w:val="auto"/>
          <w:szCs w:val="24"/>
          <w:highlight w:val="none"/>
        </w:rPr>
      </w:pPr>
      <w:r>
        <w:rPr>
          <w:rFonts w:hint="eastAsia" w:ascii="仿宋" w:hAnsi="仿宋" w:eastAsia="仿宋" w:cs="仿宋"/>
          <w:color w:val="auto"/>
          <w:kern w:val="0"/>
          <w:szCs w:val="24"/>
          <w:highlight w:val="none"/>
          <w:lang w:val="zh-CN"/>
        </w:rPr>
        <w:t>投标人名称</w:t>
      </w:r>
      <w:r>
        <w:rPr>
          <w:rFonts w:hint="eastAsia" w:ascii="仿宋" w:hAnsi="仿宋" w:eastAsia="仿宋" w:cs="仿宋"/>
          <w:color w:val="auto"/>
          <w:szCs w:val="24"/>
          <w:highlight w:val="none"/>
        </w:rPr>
        <w:t xml:space="preserve">（电子签名）：                          </w:t>
      </w:r>
    </w:p>
    <w:p w14:paraId="0CEF4ADB">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日期：  年   月   日</w:t>
      </w:r>
    </w:p>
    <w:p w14:paraId="01F062DB">
      <w:pPr>
        <w:spacing w:line="44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注：按本格式和要求提供。</w:t>
      </w:r>
    </w:p>
    <w:p w14:paraId="2D3E4EA6">
      <w:pPr>
        <w:pStyle w:val="43"/>
        <w:spacing w:before="120" w:beforeLines="50" w:line="360" w:lineRule="auto"/>
        <w:jc w:val="center"/>
        <w:rPr>
          <w:rFonts w:ascii="仿宋" w:hAnsi="仿宋" w:eastAsia="仿宋" w:cs="仿宋"/>
          <w:b/>
          <w:color w:val="auto"/>
          <w:sz w:val="24"/>
          <w:szCs w:val="24"/>
          <w:highlight w:val="none"/>
        </w:rPr>
      </w:pPr>
    </w:p>
    <w:p w14:paraId="3D9E7F0A">
      <w:pPr>
        <w:spacing w:line="500" w:lineRule="exact"/>
        <w:jc w:val="center"/>
        <w:rPr>
          <w:rFonts w:ascii="仿宋" w:hAnsi="仿宋" w:eastAsia="仿宋" w:cs="仿宋"/>
          <w:b/>
          <w:bCs/>
          <w:color w:val="auto"/>
          <w:szCs w:val="24"/>
          <w:highlight w:val="none"/>
        </w:rPr>
      </w:pPr>
    </w:p>
    <w:p w14:paraId="2BE42235">
      <w:pPr>
        <w:spacing w:line="500" w:lineRule="exact"/>
        <w:jc w:val="center"/>
        <w:rPr>
          <w:rFonts w:ascii="仿宋" w:hAnsi="仿宋" w:eastAsia="仿宋" w:cs="仿宋"/>
          <w:b/>
          <w:bCs/>
          <w:color w:val="auto"/>
          <w:szCs w:val="24"/>
          <w:highlight w:val="none"/>
        </w:rPr>
      </w:pPr>
    </w:p>
    <w:p w14:paraId="24F9BC52">
      <w:pPr>
        <w:spacing w:line="500" w:lineRule="exact"/>
        <w:jc w:val="center"/>
        <w:rPr>
          <w:rFonts w:ascii="仿宋" w:hAnsi="仿宋" w:eastAsia="仿宋" w:cs="仿宋"/>
          <w:b/>
          <w:bCs/>
          <w:color w:val="auto"/>
          <w:szCs w:val="24"/>
          <w:highlight w:val="none"/>
        </w:rPr>
      </w:pPr>
    </w:p>
    <w:p w14:paraId="75C95C20">
      <w:pPr>
        <w:spacing w:line="500" w:lineRule="exact"/>
        <w:jc w:val="center"/>
        <w:rPr>
          <w:rFonts w:ascii="仿宋" w:hAnsi="仿宋" w:eastAsia="仿宋" w:cs="仿宋"/>
          <w:b/>
          <w:bCs/>
          <w:color w:val="auto"/>
          <w:szCs w:val="24"/>
          <w:highlight w:val="none"/>
        </w:rPr>
      </w:pPr>
    </w:p>
    <w:p w14:paraId="1067A4A6">
      <w:pPr>
        <w:spacing w:line="500" w:lineRule="exact"/>
        <w:jc w:val="center"/>
        <w:rPr>
          <w:rFonts w:ascii="仿宋" w:hAnsi="仿宋" w:eastAsia="仿宋" w:cs="仿宋"/>
          <w:b/>
          <w:bCs/>
          <w:color w:val="auto"/>
          <w:szCs w:val="24"/>
          <w:highlight w:val="none"/>
        </w:rPr>
      </w:pPr>
    </w:p>
    <w:p w14:paraId="5E3F6BA0">
      <w:pPr>
        <w:spacing w:line="500" w:lineRule="exact"/>
        <w:jc w:val="center"/>
        <w:rPr>
          <w:rFonts w:ascii="仿宋" w:hAnsi="仿宋" w:eastAsia="仿宋" w:cs="仿宋"/>
          <w:b/>
          <w:bCs/>
          <w:color w:val="auto"/>
          <w:szCs w:val="24"/>
          <w:highlight w:val="none"/>
        </w:rPr>
      </w:pPr>
    </w:p>
    <w:p w14:paraId="6909F1AF">
      <w:pPr>
        <w:spacing w:line="500" w:lineRule="exact"/>
        <w:jc w:val="center"/>
        <w:rPr>
          <w:rFonts w:ascii="仿宋" w:hAnsi="仿宋" w:eastAsia="仿宋" w:cs="仿宋"/>
          <w:b/>
          <w:bCs/>
          <w:color w:val="auto"/>
          <w:szCs w:val="24"/>
          <w:highlight w:val="none"/>
        </w:rPr>
      </w:pPr>
    </w:p>
    <w:p w14:paraId="76DC5EA6">
      <w:pPr>
        <w:spacing w:line="500" w:lineRule="exact"/>
        <w:jc w:val="center"/>
        <w:rPr>
          <w:rFonts w:ascii="仿宋" w:hAnsi="仿宋" w:eastAsia="仿宋" w:cs="仿宋"/>
          <w:b/>
          <w:bCs/>
          <w:color w:val="auto"/>
          <w:szCs w:val="24"/>
          <w:highlight w:val="none"/>
        </w:rPr>
      </w:pPr>
    </w:p>
    <w:p w14:paraId="5006830B">
      <w:pPr>
        <w:spacing w:line="500" w:lineRule="exact"/>
        <w:jc w:val="center"/>
        <w:rPr>
          <w:rFonts w:ascii="仿宋" w:hAnsi="仿宋" w:eastAsia="仿宋" w:cs="仿宋"/>
          <w:b/>
          <w:bCs/>
          <w:color w:val="auto"/>
          <w:szCs w:val="24"/>
          <w:highlight w:val="none"/>
        </w:rPr>
      </w:pPr>
    </w:p>
    <w:p w14:paraId="04105CC0">
      <w:pPr>
        <w:spacing w:line="500" w:lineRule="exact"/>
        <w:jc w:val="center"/>
        <w:rPr>
          <w:rFonts w:ascii="仿宋" w:hAnsi="仿宋" w:eastAsia="仿宋" w:cs="仿宋"/>
          <w:b/>
          <w:bCs/>
          <w:color w:val="auto"/>
          <w:szCs w:val="24"/>
          <w:highlight w:val="none"/>
        </w:rPr>
      </w:pPr>
    </w:p>
    <w:p w14:paraId="1302516B">
      <w:pPr>
        <w:spacing w:line="500" w:lineRule="exact"/>
        <w:jc w:val="center"/>
        <w:rPr>
          <w:rFonts w:ascii="仿宋" w:hAnsi="仿宋" w:eastAsia="仿宋" w:cs="仿宋"/>
          <w:b/>
          <w:bCs/>
          <w:color w:val="auto"/>
          <w:szCs w:val="24"/>
          <w:highlight w:val="none"/>
        </w:rPr>
      </w:pPr>
    </w:p>
    <w:p w14:paraId="2AB76033">
      <w:pPr>
        <w:spacing w:line="500" w:lineRule="exact"/>
        <w:jc w:val="center"/>
        <w:rPr>
          <w:rFonts w:ascii="仿宋" w:hAnsi="仿宋" w:eastAsia="仿宋" w:cs="仿宋"/>
          <w:b/>
          <w:bCs/>
          <w:color w:val="auto"/>
          <w:szCs w:val="24"/>
          <w:highlight w:val="none"/>
        </w:rPr>
      </w:pPr>
    </w:p>
    <w:p w14:paraId="56829061">
      <w:pPr>
        <w:spacing w:line="500" w:lineRule="exact"/>
        <w:jc w:val="center"/>
        <w:rPr>
          <w:rFonts w:ascii="仿宋" w:hAnsi="仿宋" w:eastAsia="仿宋" w:cs="仿宋"/>
          <w:b/>
          <w:bCs/>
          <w:color w:val="auto"/>
          <w:szCs w:val="24"/>
          <w:highlight w:val="none"/>
        </w:rPr>
      </w:pPr>
    </w:p>
    <w:p w14:paraId="69DEF7B9">
      <w:pPr>
        <w:spacing w:line="500" w:lineRule="exact"/>
        <w:jc w:val="center"/>
        <w:rPr>
          <w:rFonts w:ascii="仿宋" w:hAnsi="仿宋" w:eastAsia="仿宋" w:cs="仿宋"/>
          <w:b/>
          <w:bCs/>
          <w:color w:val="auto"/>
          <w:szCs w:val="24"/>
          <w:highlight w:val="none"/>
        </w:rPr>
      </w:pPr>
    </w:p>
    <w:p w14:paraId="4A9553DE">
      <w:pPr>
        <w:spacing w:line="500" w:lineRule="exact"/>
        <w:jc w:val="center"/>
        <w:rPr>
          <w:rFonts w:ascii="仿宋" w:hAnsi="仿宋" w:eastAsia="仿宋" w:cs="仿宋"/>
          <w:b/>
          <w:bCs/>
          <w:color w:val="auto"/>
          <w:szCs w:val="24"/>
          <w:highlight w:val="none"/>
        </w:rPr>
      </w:pPr>
    </w:p>
    <w:p w14:paraId="54F6F25A">
      <w:pPr>
        <w:spacing w:line="500" w:lineRule="exact"/>
        <w:jc w:val="center"/>
        <w:rPr>
          <w:rFonts w:ascii="仿宋" w:hAnsi="仿宋" w:eastAsia="仿宋" w:cs="仿宋"/>
          <w:b/>
          <w:bCs/>
          <w:color w:val="auto"/>
          <w:szCs w:val="24"/>
          <w:highlight w:val="none"/>
        </w:rPr>
      </w:pPr>
    </w:p>
    <w:p w14:paraId="775D3132">
      <w:pPr>
        <w:spacing w:line="500" w:lineRule="exact"/>
        <w:jc w:val="center"/>
        <w:rPr>
          <w:rFonts w:ascii="仿宋" w:hAnsi="仿宋" w:eastAsia="仿宋" w:cs="仿宋"/>
          <w:b/>
          <w:bCs/>
          <w:color w:val="auto"/>
          <w:szCs w:val="24"/>
          <w:highlight w:val="none"/>
        </w:rPr>
      </w:pPr>
    </w:p>
    <w:p w14:paraId="3E870471">
      <w:pPr>
        <w:spacing w:line="500" w:lineRule="exact"/>
        <w:jc w:val="center"/>
        <w:rPr>
          <w:rFonts w:ascii="仿宋" w:hAnsi="仿宋" w:eastAsia="仿宋" w:cs="仿宋"/>
          <w:b/>
          <w:bCs/>
          <w:color w:val="auto"/>
          <w:szCs w:val="24"/>
          <w:highlight w:val="none"/>
        </w:rPr>
      </w:pPr>
    </w:p>
    <w:p w14:paraId="1DBA6962">
      <w:pPr>
        <w:spacing w:line="500" w:lineRule="exact"/>
        <w:jc w:val="center"/>
        <w:rPr>
          <w:rFonts w:ascii="仿宋" w:hAnsi="仿宋" w:eastAsia="仿宋" w:cs="仿宋"/>
          <w:b/>
          <w:bCs/>
          <w:color w:val="auto"/>
          <w:szCs w:val="24"/>
          <w:highlight w:val="none"/>
        </w:rPr>
      </w:pPr>
    </w:p>
    <w:p w14:paraId="5D6FB994">
      <w:pPr>
        <w:spacing w:line="500" w:lineRule="exact"/>
        <w:rPr>
          <w:rFonts w:ascii="仿宋" w:hAnsi="仿宋" w:eastAsia="仿宋" w:cs="仿宋"/>
          <w:b/>
          <w:bCs/>
          <w:color w:val="auto"/>
          <w:szCs w:val="24"/>
          <w:highlight w:val="none"/>
        </w:rPr>
      </w:pPr>
    </w:p>
    <w:p w14:paraId="5ED0666B">
      <w:pPr>
        <w:spacing w:line="500" w:lineRule="exact"/>
        <w:jc w:val="center"/>
        <w:rPr>
          <w:rFonts w:ascii="仿宋" w:hAnsi="仿宋" w:eastAsia="仿宋" w:cs="仿宋"/>
          <w:b/>
          <w:bCs/>
          <w:color w:val="auto"/>
          <w:szCs w:val="24"/>
          <w:highlight w:val="none"/>
        </w:rPr>
      </w:pPr>
    </w:p>
    <w:p w14:paraId="49F2B1EB">
      <w:pPr>
        <w:spacing w:line="500" w:lineRule="exact"/>
        <w:jc w:val="center"/>
        <w:rPr>
          <w:rFonts w:ascii="仿宋" w:hAnsi="仿宋" w:eastAsia="仿宋" w:cs="仿宋"/>
          <w:b/>
          <w:bCs/>
          <w:color w:val="auto"/>
          <w:szCs w:val="24"/>
          <w:highlight w:val="none"/>
        </w:rPr>
      </w:pPr>
    </w:p>
    <w:p w14:paraId="7660931E">
      <w:pPr>
        <w:spacing w:line="500" w:lineRule="exact"/>
        <w:jc w:val="center"/>
        <w:rPr>
          <w:rFonts w:ascii="仿宋" w:hAnsi="仿宋" w:eastAsia="仿宋" w:cs="仿宋"/>
          <w:b/>
          <w:bCs/>
          <w:color w:val="auto"/>
          <w:sz w:val="32"/>
          <w:szCs w:val="32"/>
          <w:highlight w:val="none"/>
        </w:rPr>
      </w:pPr>
    </w:p>
    <w:p w14:paraId="1A26B18C">
      <w:pPr>
        <w:spacing w:line="500" w:lineRule="exact"/>
        <w:jc w:val="center"/>
        <w:rPr>
          <w:rFonts w:ascii="仿宋" w:hAnsi="仿宋" w:eastAsia="仿宋" w:cs="仿宋"/>
          <w:b/>
          <w:bCs/>
          <w:color w:val="auto"/>
          <w:sz w:val="32"/>
          <w:szCs w:val="32"/>
          <w:highlight w:val="none"/>
        </w:rPr>
      </w:pPr>
    </w:p>
    <w:p w14:paraId="04C2C5F2">
      <w:pPr>
        <w:spacing w:line="50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val="zh-CN"/>
        </w:rPr>
        <w:t>授权委托书或法定代表人（单位负责人、自然人本人）身份证明</w:t>
      </w:r>
    </w:p>
    <w:p w14:paraId="0B4E87CF">
      <w:pPr>
        <w:spacing w:line="500" w:lineRule="exact"/>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1.法定代表人身份证明</w:t>
      </w:r>
    </w:p>
    <w:p w14:paraId="749B28DD">
      <w:pPr>
        <w:widowControl/>
        <w:spacing w:line="420" w:lineRule="atLeast"/>
        <w:jc w:val="center"/>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 xml:space="preserve"> </w:t>
      </w:r>
    </w:p>
    <w:p w14:paraId="17B418FF">
      <w:pPr>
        <w:widowControl/>
        <w:spacing w:line="420" w:lineRule="atLeast"/>
        <w:ind w:firstLine="48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5DB52B40">
      <w:pPr>
        <w:widowControl/>
        <w:spacing w:line="360" w:lineRule="auto"/>
        <w:ind w:firstLine="10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单位名称：</w:t>
      </w:r>
      <w:r>
        <w:rPr>
          <w:rFonts w:hint="eastAsia" w:ascii="仿宋" w:hAnsi="仿宋" w:eastAsia="仿宋" w:cs="仿宋"/>
          <w:color w:val="auto"/>
          <w:kern w:val="0"/>
          <w:szCs w:val="24"/>
          <w:highlight w:val="none"/>
          <w:u w:val="single"/>
        </w:rPr>
        <w:t xml:space="preserve">                                               </w:t>
      </w:r>
    </w:p>
    <w:p w14:paraId="69C2C92D">
      <w:pPr>
        <w:widowControl/>
        <w:spacing w:line="360" w:lineRule="auto"/>
        <w:ind w:firstLine="108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单位性质：</w:t>
      </w:r>
      <w:r>
        <w:rPr>
          <w:rFonts w:hint="eastAsia" w:ascii="仿宋" w:hAnsi="仿宋" w:eastAsia="仿宋" w:cs="仿宋"/>
          <w:color w:val="auto"/>
          <w:kern w:val="0"/>
          <w:szCs w:val="24"/>
          <w:highlight w:val="none"/>
          <w:u w:val="single"/>
        </w:rPr>
        <w:t xml:space="preserve">                                               </w:t>
      </w:r>
    </w:p>
    <w:p w14:paraId="626FD847">
      <w:pPr>
        <w:widowControl/>
        <w:spacing w:line="360" w:lineRule="auto"/>
        <w:ind w:firstLine="108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2B9161F8">
      <w:pPr>
        <w:widowControl/>
        <w:spacing w:line="360" w:lineRule="auto"/>
        <w:ind w:firstLine="10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成立时间：</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年</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月</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日</w:t>
      </w:r>
    </w:p>
    <w:p w14:paraId="69B477F0">
      <w:pPr>
        <w:widowControl/>
        <w:spacing w:line="360" w:lineRule="auto"/>
        <w:ind w:firstLine="108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经营期限：</w:t>
      </w:r>
      <w:r>
        <w:rPr>
          <w:rFonts w:hint="eastAsia" w:ascii="仿宋" w:hAnsi="仿宋" w:eastAsia="仿宋" w:cs="仿宋"/>
          <w:color w:val="auto"/>
          <w:kern w:val="0"/>
          <w:szCs w:val="24"/>
          <w:highlight w:val="none"/>
          <w:u w:val="single"/>
        </w:rPr>
        <w:t xml:space="preserve">                                               </w:t>
      </w:r>
    </w:p>
    <w:p w14:paraId="7E82F667">
      <w:pPr>
        <w:widowControl/>
        <w:spacing w:line="360" w:lineRule="auto"/>
        <w:ind w:firstLine="108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姓    名：</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性    别：</w:t>
      </w:r>
      <w:r>
        <w:rPr>
          <w:rFonts w:hint="eastAsia" w:ascii="仿宋" w:hAnsi="仿宋" w:eastAsia="仿宋" w:cs="仿宋"/>
          <w:color w:val="auto"/>
          <w:kern w:val="0"/>
          <w:szCs w:val="24"/>
          <w:highlight w:val="none"/>
          <w:u w:val="single"/>
        </w:rPr>
        <w:t xml:space="preserve">            </w:t>
      </w:r>
    </w:p>
    <w:p w14:paraId="20FD7D32">
      <w:pPr>
        <w:widowControl/>
        <w:spacing w:line="360" w:lineRule="auto"/>
        <w:ind w:firstLine="108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年    龄：</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职    务：</w:t>
      </w:r>
      <w:r>
        <w:rPr>
          <w:rFonts w:hint="eastAsia" w:ascii="仿宋" w:hAnsi="仿宋" w:eastAsia="仿宋" w:cs="仿宋"/>
          <w:color w:val="auto"/>
          <w:kern w:val="0"/>
          <w:szCs w:val="24"/>
          <w:highlight w:val="none"/>
          <w:u w:val="single"/>
        </w:rPr>
        <w:t xml:space="preserve">            </w:t>
      </w:r>
    </w:p>
    <w:p w14:paraId="4DF16F83">
      <w:pPr>
        <w:widowControl/>
        <w:spacing w:line="360" w:lineRule="auto"/>
        <w:ind w:firstLine="10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系</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（投标供应商名称）的法定代表人。</w:t>
      </w:r>
    </w:p>
    <w:p w14:paraId="4CC656A4">
      <w:pPr>
        <w:widowControl/>
        <w:spacing w:line="360" w:lineRule="auto"/>
        <w:ind w:firstLine="10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特此证明。</w:t>
      </w:r>
    </w:p>
    <w:p w14:paraId="0230B712">
      <w:pPr>
        <w:widowControl/>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1C37A76C">
      <w:pPr>
        <w:widowControl/>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7C3587B8">
      <w:pPr>
        <w:widowControl/>
        <w:spacing w:line="360" w:lineRule="auto"/>
        <w:ind w:firstLine="5308" w:firstLineChars="2212"/>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投标人名称(电子签名)：</w:t>
      </w:r>
    </w:p>
    <w:p w14:paraId="7715757A">
      <w:pPr>
        <w:widowControl/>
        <w:spacing w:line="360" w:lineRule="auto"/>
        <w:rPr>
          <w:rFonts w:ascii="仿宋" w:hAnsi="仿宋" w:eastAsia="仿宋" w:cs="仿宋"/>
          <w:color w:val="auto"/>
          <w:kern w:val="0"/>
          <w:szCs w:val="24"/>
          <w:highlight w:val="none"/>
          <w:u w:val="single"/>
        </w:rPr>
      </w:pPr>
    </w:p>
    <w:p w14:paraId="2712A1D7">
      <w:pPr>
        <w:widowControl/>
        <w:spacing w:line="360" w:lineRule="auto"/>
        <w:ind w:firstLine="6120" w:firstLineChars="255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日期：   年  月  日 </w:t>
      </w:r>
    </w:p>
    <w:p w14:paraId="0D77BE40">
      <w:pPr>
        <w:pStyle w:val="43"/>
        <w:spacing w:line="440" w:lineRule="atLeast"/>
        <w:jc w:val="center"/>
        <w:rPr>
          <w:rFonts w:ascii="仿宋" w:hAnsi="仿宋" w:eastAsia="仿宋" w:cs="仿宋"/>
          <w:b/>
          <w:color w:val="auto"/>
          <w:sz w:val="24"/>
          <w:szCs w:val="24"/>
          <w:highlight w:val="none"/>
        </w:rPr>
      </w:pPr>
    </w:p>
    <w:p w14:paraId="22C5E7E2">
      <w:pPr>
        <w:pStyle w:val="43"/>
        <w:spacing w:line="440" w:lineRule="atLeas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附：法定代表人身份证扫描件</w:t>
      </w:r>
    </w:p>
    <w:tbl>
      <w:tblPr>
        <w:tblStyle w:val="7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70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tcPr>
          <w:p w14:paraId="3394D6AD">
            <w:pPr>
              <w:pStyle w:val="558"/>
              <w:spacing w:line="360" w:lineRule="auto"/>
              <w:rPr>
                <w:rFonts w:ascii="仿宋" w:hAnsi="仿宋" w:eastAsia="仿宋" w:cs="仿宋"/>
                <w:bCs/>
                <w:color w:val="auto"/>
                <w:szCs w:val="24"/>
                <w:highlight w:val="none"/>
              </w:rPr>
            </w:pPr>
            <w:r>
              <w:rPr>
                <w:rFonts w:hint="eastAsia" w:ascii="仿宋" w:hAnsi="仿宋" w:eastAsia="仿宋" w:cs="仿宋"/>
                <w:bCs/>
                <w:color w:val="auto"/>
                <w:szCs w:val="24"/>
                <w:highlight w:val="none"/>
              </w:rPr>
              <w:t>正面：                                 反面：</w:t>
            </w:r>
          </w:p>
          <w:p w14:paraId="3C7384BF">
            <w:pPr>
              <w:pStyle w:val="558"/>
              <w:spacing w:line="360" w:lineRule="auto"/>
              <w:rPr>
                <w:rFonts w:ascii="仿宋" w:hAnsi="仿宋" w:eastAsia="仿宋" w:cs="仿宋"/>
                <w:bCs/>
                <w:color w:val="auto"/>
                <w:szCs w:val="24"/>
                <w:highlight w:val="none"/>
              </w:rPr>
            </w:pPr>
          </w:p>
        </w:tc>
      </w:tr>
    </w:tbl>
    <w:p w14:paraId="262CE96B">
      <w:pPr>
        <w:pStyle w:val="43"/>
        <w:spacing w:line="440" w:lineRule="atLeast"/>
        <w:jc w:val="left"/>
        <w:rPr>
          <w:rFonts w:ascii="仿宋" w:hAnsi="仿宋" w:eastAsia="仿宋" w:cs="仿宋"/>
          <w:bCs/>
          <w:color w:val="auto"/>
          <w:sz w:val="24"/>
          <w:szCs w:val="24"/>
          <w:highlight w:val="none"/>
        </w:rPr>
      </w:pPr>
    </w:p>
    <w:p w14:paraId="66F17ED0">
      <w:pPr>
        <w:pStyle w:val="4"/>
        <w:keepNext/>
        <w:keepLines/>
        <w:pageBreakBefore w:val="0"/>
        <w:widowControl w:val="0"/>
        <w:autoSpaceDE/>
        <w:autoSpaceDN/>
        <w:spacing w:before="0" w:after="0"/>
        <w:ind w:left="0" w:firstLine="0"/>
        <w:rPr>
          <w:rFonts w:ascii="仿宋" w:hAnsi="仿宋" w:eastAsia="仿宋" w:cs="仿宋"/>
          <w:color w:val="auto"/>
          <w:sz w:val="24"/>
          <w:szCs w:val="24"/>
          <w:highlight w:val="none"/>
        </w:rPr>
      </w:pPr>
    </w:p>
    <w:p w14:paraId="4B091057">
      <w:pPr>
        <w:pStyle w:val="4"/>
        <w:keepNext/>
        <w:keepLines/>
        <w:pageBreakBefore w:val="0"/>
        <w:widowControl w:val="0"/>
        <w:autoSpaceDE/>
        <w:autoSpaceDN/>
        <w:spacing w:before="0" w:after="0"/>
        <w:ind w:left="0" w:firstLine="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kern w:val="2"/>
          <w:sz w:val="32"/>
          <w:szCs w:val="32"/>
          <w:highlight w:val="none"/>
        </w:rPr>
        <w:t>法定代表人授权委托书</w:t>
      </w:r>
    </w:p>
    <w:p w14:paraId="24F83A56">
      <w:pPr>
        <w:pStyle w:val="3"/>
        <w:rPr>
          <w:rFonts w:ascii="仿宋" w:hAnsi="仿宋" w:eastAsia="仿宋" w:cs="仿宋"/>
          <w:color w:val="auto"/>
          <w:szCs w:val="24"/>
          <w:highlight w:val="none"/>
        </w:rPr>
      </w:pPr>
    </w:p>
    <w:p w14:paraId="3D470E3B">
      <w:pPr>
        <w:jc w:val="center"/>
        <w:rPr>
          <w:rFonts w:ascii="仿宋" w:hAnsi="仿宋" w:eastAsia="仿宋" w:cs="仿宋"/>
          <w:color w:val="auto"/>
          <w:szCs w:val="24"/>
          <w:highlight w:val="none"/>
        </w:rPr>
      </w:pPr>
    </w:p>
    <w:p w14:paraId="7C07E692">
      <w:pPr>
        <w:rPr>
          <w:rFonts w:ascii="仿宋" w:hAnsi="仿宋" w:eastAsia="仿宋" w:cs="仿宋"/>
          <w:color w:val="auto"/>
          <w:szCs w:val="24"/>
          <w:highlight w:val="none"/>
        </w:rPr>
      </w:pPr>
    </w:p>
    <w:p w14:paraId="1CA44C19">
      <w:pPr>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szCs w:val="24"/>
          <w:highlight w:val="none"/>
          <w:u w:val="single"/>
        </w:rPr>
        <w:t>致（采购人）、（采购代理机构）</w:t>
      </w:r>
      <w:r>
        <w:rPr>
          <w:rFonts w:hint="eastAsia" w:ascii="仿宋" w:hAnsi="仿宋" w:eastAsia="仿宋" w:cs="仿宋"/>
          <w:color w:val="auto"/>
          <w:kern w:val="0"/>
          <w:szCs w:val="24"/>
          <w:highlight w:val="none"/>
          <w:lang w:val="zh-CN"/>
        </w:rPr>
        <w:t>：</w:t>
      </w:r>
    </w:p>
    <w:p w14:paraId="4D65358A">
      <w:pPr>
        <w:snapToGrid w:val="0"/>
        <w:spacing w:line="360" w:lineRule="auto"/>
        <w:ind w:firstLine="576"/>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兹委派我公司</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kern w:val="0"/>
          <w:szCs w:val="24"/>
          <w:highlight w:val="none"/>
          <w:lang w:val="zh-CN"/>
        </w:rPr>
        <w:t>先生/女士(其在本公司的职务是：</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kern w:val="0"/>
          <w:szCs w:val="24"/>
          <w:highlight w:val="none"/>
          <w:lang w:val="zh-CN"/>
        </w:rPr>
        <w:t xml:space="preserve"> ，联系电话：</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kern w:val="0"/>
          <w:szCs w:val="24"/>
          <w:highlight w:val="none"/>
          <w:lang w:val="zh-CN"/>
        </w:rPr>
        <w:t>手机：</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kern w:val="0"/>
          <w:szCs w:val="24"/>
          <w:highlight w:val="none"/>
          <w:lang w:val="zh-CN"/>
        </w:rPr>
        <w:t>传真：</w:t>
      </w:r>
      <w:r>
        <w:rPr>
          <w:rFonts w:hint="eastAsia" w:ascii="仿宋" w:hAnsi="仿宋" w:eastAsia="仿宋" w:cs="仿宋"/>
          <w:color w:val="auto"/>
          <w:kern w:val="0"/>
          <w:szCs w:val="24"/>
          <w:highlight w:val="none"/>
          <w:u w:val="single"/>
          <w:lang w:val="zh-CN"/>
        </w:rPr>
        <w:t xml:space="preserve">           </w:t>
      </w:r>
      <w:r>
        <w:rPr>
          <w:rFonts w:hint="eastAsia" w:ascii="仿宋" w:hAnsi="仿宋" w:eastAsia="仿宋" w:cs="仿宋"/>
          <w:color w:val="auto"/>
          <w:kern w:val="0"/>
          <w:szCs w:val="24"/>
          <w:highlight w:val="none"/>
          <w:lang w:val="zh-CN"/>
        </w:rPr>
        <w:t>)，代表我公司全权处理</w:t>
      </w:r>
      <w:r>
        <w:rPr>
          <w:rFonts w:hint="eastAsia" w:ascii="仿宋" w:hAnsi="仿宋" w:eastAsia="仿宋" w:cs="仿宋"/>
          <w:color w:val="auto"/>
          <w:szCs w:val="24"/>
          <w:highlight w:val="none"/>
        </w:rPr>
        <w:t>（项目名称）【项目编号：（采购编号）】</w:t>
      </w:r>
      <w:r>
        <w:rPr>
          <w:rFonts w:hint="eastAsia" w:ascii="仿宋" w:hAnsi="仿宋" w:eastAsia="仿宋" w:cs="仿宋"/>
          <w:color w:val="auto"/>
          <w:kern w:val="0"/>
          <w:szCs w:val="24"/>
          <w:highlight w:val="none"/>
          <w:lang w:val="zh-CN"/>
        </w:rPr>
        <w:t>政企采购响应的一切事项，若</w:t>
      </w:r>
      <w:r>
        <w:rPr>
          <w:rFonts w:hint="eastAsia" w:ascii="仿宋" w:hAnsi="仿宋" w:eastAsia="仿宋" w:cs="仿宋"/>
          <w:color w:val="auto"/>
          <w:kern w:val="0"/>
          <w:szCs w:val="24"/>
          <w:highlight w:val="none"/>
        </w:rPr>
        <w:t>中标</w:t>
      </w:r>
      <w:r>
        <w:rPr>
          <w:rFonts w:hint="eastAsia" w:ascii="仿宋" w:hAnsi="仿宋" w:eastAsia="仿宋" w:cs="仿宋"/>
          <w:color w:val="auto"/>
          <w:kern w:val="0"/>
          <w:szCs w:val="24"/>
          <w:highlight w:val="none"/>
          <w:lang w:val="zh-CN"/>
        </w:rPr>
        <w:t>则全权代表本公司签订相关合同，并负责处理合同履行等事宜。</w:t>
      </w:r>
    </w:p>
    <w:p w14:paraId="64C5C70F">
      <w:pPr>
        <w:snapToGrid w:val="0"/>
        <w:spacing w:line="360" w:lineRule="auto"/>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 xml:space="preserve">    本委托书有效期：自    年 月  日起至    年  月  日止。</w:t>
      </w:r>
    </w:p>
    <w:p w14:paraId="79D1ABEC">
      <w:pPr>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 xml:space="preserve">    特此告知。</w:t>
      </w:r>
    </w:p>
    <w:p w14:paraId="6620490E">
      <w:pPr>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rPr>
        <w:t xml:space="preserve"> </w:t>
      </w:r>
    </w:p>
    <w:p w14:paraId="279AF80D">
      <w:pPr>
        <w:snapToGrid w:val="0"/>
        <w:spacing w:line="360" w:lineRule="auto"/>
        <w:rPr>
          <w:rFonts w:ascii="仿宋" w:hAnsi="仿宋" w:eastAsia="仿宋" w:cs="仿宋"/>
          <w:color w:val="auto"/>
          <w:kern w:val="0"/>
          <w:szCs w:val="24"/>
          <w:highlight w:val="none"/>
        </w:rPr>
      </w:pPr>
    </w:p>
    <w:p w14:paraId="720837DE">
      <w:pPr>
        <w:snapToGrid w:val="0"/>
        <w:spacing w:line="360" w:lineRule="auto"/>
        <w:ind w:firstLine="4800" w:firstLineChars="20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 xml:space="preserve"> 投标人名称(电子签名)：</w:t>
      </w:r>
    </w:p>
    <w:p w14:paraId="62B2B4FD">
      <w:pPr>
        <w:snapToGrid w:val="0"/>
        <w:spacing w:line="360" w:lineRule="auto"/>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签发日期：  年  月   日</w:t>
      </w:r>
    </w:p>
    <w:p w14:paraId="6FF8AAEC">
      <w:pPr>
        <w:snapToGrid w:val="0"/>
        <w:spacing w:line="360" w:lineRule="auto"/>
        <w:rPr>
          <w:rFonts w:ascii="仿宋" w:hAnsi="仿宋" w:eastAsia="仿宋" w:cs="仿宋"/>
          <w:color w:val="auto"/>
          <w:kern w:val="0"/>
          <w:szCs w:val="24"/>
          <w:highlight w:val="none"/>
          <w:lang w:val="zh-CN"/>
        </w:rPr>
      </w:pPr>
    </w:p>
    <w:p w14:paraId="1868CEA1">
      <w:pPr>
        <w:autoSpaceDE w:val="0"/>
        <w:autoSpaceDN w:val="0"/>
        <w:spacing w:line="360" w:lineRule="auto"/>
        <w:jc w:val="center"/>
        <w:rPr>
          <w:rFonts w:ascii="仿宋" w:hAnsi="仿宋" w:eastAsia="仿宋" w:cs="仿宋"/>
          <w:color w:val="auto"/>
          <w:szCs w:val="24"/>
          <w:highlight w:val="none"/>
        </w:rPr>
      </w:pPr>
    </w:p>
    <w:p w14:paraId="6C065700">
      <w:pPr>
        <w:pStyle w:val="558"/>
        <w:spacing w:line="360" w:lineRule="auto"/>
        <w:ind w:firstLine="720" w:firstLineChars="300"/>
        <w:rPr>
          <w:rFonts w:ascii="仿宋" w:hAnsi="仿宋" w:eastAsia="仿宋" w:cs="仿宋"/>
          <w:bCs/>
          <w:color w:val="auto"/>
          <w:szCs w:val="24"/>
          <w:highlight w:val="none"/>
        </w:rPr>
      </w:pPr>
      <w:r>
        <w:rPr>
          <w:rFonts w:hint="eastAsia" w:ascii="仿宋" w:hAnsi="仿宋" w:eastAsia="仿宋" w:cs="仿宋"/>
          <w:bCs/>
          <w:color w:val="auto"/>
          <w:szCs w:val="24"/>
          <w:highlight w:val="none"/>
        </w:rPr>
        <w:t>附：法定代表人及授权代表身份证件扫描件：</w:t>
      </w:r>
    </w:p>
    <w:tbl>
      <w:tblPr>
        <w:tblStyle w:val="7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280D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tcPr>
          <w:p w14:paraId="13DD1791">
            <w:pPr>
              <w:pStyle w:val="558"/>
              <w:spacing w:line="360" w:lineRule="auto"/>
              <w:jc w:val="left"/>
              <w:rPr>
                <w:rFonts w:ascii="仿宋" w:hAnsi="仿宋" w:eastAsia="仿宋" w:cs="仿宋"/>
                <w:bCs/>
                <w:color w:val="auto"/>
                <w:szCs w:val="24"/>
                <w:highlight w:val="none"/>
              </w:rPr>
            </w:pPr>
            <w:r>
              <w:rPr>
                <w:rFonts w:hint="eastAsia" w:ascii="仿宋" w:hAnsi="仿宋" w:eastAsia="仿宋" w:cs="仿宋"/>
                <w:bCs/>
                <w:color w:val="auto"/>
                <w:szCs w:val="24"/>
                <w:highlight w:val="none"/>
              </w:rPr>
              <w:t>正面：                        反面：</w:t>
            </w:r>
          </w:p>
          <w:p w14:paraId="34E6CC54">
            <w:pPr>
              <w:pStyle w:val="558"/>
              <w:spacing w:line="360" w:lineRule="auto"/>
              <w:rPr>
                <w:rFonts w:ascii="仿宋" w:hAnsi="仿宋" w:eastAsia="仿宋" w:cs="仿宋"/>
                <w:bCs/>
                <w:color w:val="auto"/>
                <w:szCs w:val="24"/>
                <w:highlight w:val="none"/>
              </w:rPr>
            </w:pPr>
          </w:p>
        </w:tc>
        <w:tc>
          <w:tcPr>
            <w:tcW w:w="4320" w:type="dxa"/>
          </w:tcPr>
          <w:p w14:paraId="2181E545">
            <w:pPr>
              <w:pStyle w:val="558"/>
              <w:spacing w:line="360" w:lineRule="auto"/>
              <w:jc w:val="left"/>
              <w:rPr>
                <w:rFonts w:ascii="仿宋" w:hAnsi="仿宋" w:eastAsia="仿宋" w:cs="仿宋"/>
                <w:bCs/>
                <w:color w:val="auto"/>
                <w:szCs w:val="24"/>
                <w:highlight w:val="none"/>
              </w:rPr>
            </w:pPr>
            <w:r>
              <w:rPr>
                <w:rFonts w:hint="eastAsia" w:ascii="仿宋" w:hAnsi="仿宋" w:eastAsia="仿宋" w:cs="仿宋"/>
                <w:bCs/>
                <w:color w:val="auto"/>
                <w:szCs w:val="24"/>
                <w:highlight w:val="none"/>
              </w:rPr>
              <w:t>正面：                        反面：</w:t>
            </w:r>
          </w:p>
          <w:p w14:paraId="62011580">
            <w:pPr>
              <w:pStyle w:val="558"/>
              <w:spacing w:line="360" w:lineRule="auto"/>
              <w:rPr>
                <w:rFonts w:ascii="仿宋" w:hAnsi="仿宋" w:eastAsia="仿宋" w:cs="仿宋"/>
                <w:bCs/>
                <w:color w:val="auto"/>
                <w:szCs w:val="24"/>
                <w:highlight w:val="none"/>
              </w:rPr>
            </w:pPr>
          </w:p>
        </w:tc>
      </w:tr>
    </w:tbl>
    <w:p w14:paraId="3D8BF4AD">
      <w:pPr>
        <w:snapToGrid w:val="0"/>
        <w:spacing w:line="360" w:lineRule="auto"/>
        <w:ind w:firstLine="576"/>
        <w:jc w:val="right"/>
        <w:rPr>
          <w:rFonts w:ascii="仿宋" w:hAnsi="仿宋" w:eastAsia="仿宋" w:cs="仿宋"/>
          <w:color w:val="auto"/>
          <w:kern w:val="0"/>
          <w:szCs w:val="24"/>
          <w:highlight w:val="none"/>
          <w:lang w:val="zh-CN"/>
        </w:rPr>
      </w:pPr>
    </w:p>
    <w:p w14:paraId="3F1D0013">
      <w:pPr>
        <w:snapToGrid w:val="0"/>
        <w:spacing w:line="360" w:lineRule="auto"/>
        <w:ind w:firstLine="576"/>
        <w:jc w:val="center"/>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 xml:space="preserve">               </w:t>
      </w:r>
    </w:p>
    <w:p w14:paraId="715D6B3C">
      <w:pPr>
        <w:snapToGrid w:val="0"/>
        <w:spacing w:line="360" w:lineRule="auto"/>
        <w:ind w:firstLine="576"/>
        <w:jc w:val="center"/>
        <w:rPr>
          <w:rFonts w:ascii="仿宋" w:hAnsi="仿宋" w:eastAsia="仿宋" w:cs="仿宋"/>
          <w:color w:val="auto"/>
          <w:kern w:val="0"/>
          <w:szCs w:val="24"/>
          <w:highlight w:val="none"/>
          <w:lang w:val="zh-CN"/>
        </w:rPr>
      </w:pPr>
    </w:p>
    <w:p w14:paraId="15398345">
      <w:pPr>
        <w:snapToGrid w:val="0"/>
        <w:spacing w:line="360" w:lineRule="auto"/>
        <w:ind w:firstLine="576"/>
        <w:jc w:val="center"/>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 xml:space="preserve">投标人名称(电子签名)：                              </w:t>
      </w:r>
    </w:p>
    <w:p w14:paraId="0F4193A4">
      <w:pPr>
        <w:pStyle w:val="43"/>
        <w:spacing w:before="120" w:beforeLines="50" w:line="360" w:lineRule="auto"/>
        <w:jc w:val="center"/>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rPr>
        <w:t xml:space="preserve">  日</w:t>
      </w:r>
    </w:p>
    <w:p w14:paraId="4D62942A">
      <w:pPr>
        <w:jc w:val="center"/>
        <w:rPr>
          <w:rFonts w:ascii="仿宋" w:hAnsi="仿宋" w:eastAsia="仿宋" w:cs="仿宋"/>
          <w:b/>
          <w:bCs/>
          <w:color w:val="auto"/>
          <w:kern w:val="44"/>
          <w:sz w:val="32"/>
          <w:szCs w:val="32"/>
          <w:highlight w:val="none"/>
          <w:lang w:val="zh-CN"/>
        </w:rPr>
      </w:pPr>
    </w:p>
    <w:p w14:paraId="393545E9">
      <w:pPr>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44"/>
          <w:sz w:val="32"/>
          <w:szCs w:val="32"/>
          <w:highlight w:val="none"/>
          <w:lang w:val="zh-CN"/>
        </w:rPr>
        <w:t>（五）</w:t>
      </w:r>
      <w:r>
        <w:rPr>
          <w:rFonts w:hint="eastAsia" w:ascii="仿宋" w:hAnsi="仿宋" w:eastAsia="仿宋" w:cs="仿宋"/>
          <w:b/>
          <w:color w:val="auto"/>
          <w:kern w:val="0"/>
          <w:sz w:val="32"/>
          <w:szCs w:val="32"/>
          <w:highlight w:val="none"/>
        </w:rPr>
        <w:t>商务技术偏离表</w:t>
      </w:r>
    </w:p>
    <w:tbl>
      <w:tblPr>
        <w:tblStyle w:val="80"/>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45"/>
        <w:gridCol w:w="3254"/>
        <w:gridCol w:w="1569"/>
      </w:tblGrid>
      <w:tr w14:paraId="70DE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vAlign w:val="center"/>
          </w:tcPr>
          <w:p w14:paraId="6EC78928">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3445" w:type="dxa"/>
            <w:vAlign w:val="center"/>
          </w:tcPr>
          <w:p w14:paraId="6668D4DD">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254" w:type="dxa"/>
            <w:vAlign w:val="center"/>
          </w:tcPr>
          <w:p w14:paraId="0C65CD22">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569" w:type="dxa"/>
            <w:vAlign w:val="center"/>
          </w:tcPr>
          <w:p w14:paraId="4859B749">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222D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51983742">
            <w:pPr>
              <w:jc w:val="center"/>
              <w:textAlignment w:val="center"/>
              <w:rPr>
                <w:rFonts w:ascii="仿宋" w:hAnsi="仿宋" w:eastAsia="仿宋" w:cs="仿宋"/>
                <w:color w:val="auto"/>
                <w:kern w:val="0"/>
                <w:highlight w:val="none"/>
              </w:rPr>
            </w:pPr>
            <w:r>
              <w:rPr>
                <w:rFonts w:hint="eastAsia" w:ascii="仿宋" w:hAnsi="仿宋" w:eastAsia="仿宋" w:cs="仿宋"/>
                <w:color w:val="auto"/>
                <w:kern w:val="0"/>
                <w:highlight w:val="none"/>
              </w:rPr>
              <w:t>1</w:t>
            </w:r>
          </w:p>
        </w:tc>
        <w:tc>
          <w:tcPr>
            <w:tcW w:w="3445" w:type="dxa"/>
            <w:vAlign w:val="center"/>
          </w:tcPr>
          <w:p w14:paraId="7EFFDDD5">
            <w:pPr>
              <w:jc w:val="center"/>
              <w:textAlignment w:val="center"/>
              <w:rPr>
                <w:rFonts w:ascii="仿宋" w:hAnsi="仿宋" w:eastAsia="仿宋" w:cs="仿宋"/>
                <w:b/>
                <w:color w:val="auto"/>
                <w:kern w:val="0"/>
                <w:sz w:val="32"/>
                <w:szCs w:val="32"/>
                <w:highlight w:val="none"/>
              </w:rPr>
            </w:pPr>
          </w:p>
        </w:tc>
        <w:tc>
          <w:tcPr>
            <w:tcW w:w="3254" w:type="dxa"/>
            <w:vAlign w:val="center"/>
          </w:tcPr>
          <w:p w14:paraId="52CB2E29">
            <w:pPr>
              <w:jc w:val="center"/>
              <w:textAlignment w:val="center"/>
              <w:rPr>
                <w:rFonts w:ascii="仿宋" w:hAnsi="仿宋" w:eastAsia="仿宋" w:cs="仿宋"/>
                <w:b/>
                <w:color w:val="auto"/>
                <w:kern w:val="0"/>
                <w:sz w:val="32"/>
                <w:szCs w:val="32"/>
                <w:highlight w:val="none"/>
              </w:rPr>
            </w:pPr>
          </w:p>
        </w:tc>
        <w:tc>
          <w:tcPr>
            <w:tcW w:w="1569" w:type="dxa"/>
            <w:vAlign w:val="center"/>
          </w:tcPr>
          <w:p w14:paraId="59F63610">
            <w:pPr>
              <w:jc w:val="center"/>
              <w:textAlignment w:val="center"/>
              <w:rPr>
                <w:rFonts w:ascii="仿宋" w:hAnsi="仿宋" w:eastAsia="仿宋" w:cs="仿宋"/>
                <w:b/>
                <w:color w:val="auto"/>
                <w:kern w:val="0"/>
                <w:sz w:val="32"/>
                <w:szCs w:val="32"/>
                <w:highlight w:val="none"/>
              </w:rPr>
            </w:pPr>
          </w:p>
        </w:tc>
      </w:tr>
      <w:tr w14:paraId="0EC2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9" w:type="dxa"/>
            <w:vAlign w:val="center"/>
          </w:tcPr>
          <w:p w14:paraId="29A593D6">
            <w:pPr>
              <w:jc w:val="center"/>
              <w:textAlignment w:val="center"/>
              <w:rPr>
                <w:rFonts w:ascii="仿宋" w:hAnsi="仿宋" w:eastAsia="仿宋" w:cs="仿宋"/>
                <w:color w:val="auto"/>
                <w:kern w:val="0"/>
                <w:highlight w:val="none"/>
              </w:rPr>
            </w:pPr>
            <w:r>
              <w:rPr>
                <w:rFonts w:hint="eastAsia" w:ascii="仿宋" w:hAnsi="仿宋" w:eastAsia="仿宋" w:cs="仿宋"/>
                <w:color w:val="auto"/>
                <w:kern w:val="0"/>
                <w:highlight w:val="none"/>
              </w:rPr>
              <w:t>2</w:t>
            </w:r>
          </w:p>
        </w:tc>
        <w:tc>
          <w:tcPr>
            <w:tcW w:w="3445" w:type="dxa"/>
            <w:vAlign w:val="center"/>
          </w:tcPr>
          <w:p w14:paraId="7E326B19">
            <w:pPr>
              <w:jc w:val="center"/>
              <w:textAlignment w:val="center"/>
              <w:rPr>
                <w:rFonts w:ascii="仿宋" w:hAnsi="仿宋" w:eastAsia="仿宋" w:cs="仿宋"/>
                <w:b/>
                <w:color w:val="auto"/>
                <w:kern w:val="0"/>
                <w:sz w:val="32"/>
                <w:szCs w:val="32"/>
                <w:highlight w:val="none"/>
              </w:rPr>
            </w:pPr>
          </w:p>
        </w:tc>
        <w:tc>
          <w:tcPr>
            <w:tcW w:w="3254" w:type="dxa"/>
            <w:vAlign w:val="center"/>
          </w:tcPr>
          <w:p w14:paraId="6DA5B601">
            <w:pPr>
              <w:jc w:val="center"/>
              <w:textAlignment w:val="center"/>
              <w:rPr>
                <w:rFonts w:ascii="仿宋" w:hAnsi="仿宋" w:eastAsia="仿宋" w:cs="仿宋"/>
                <w:b/>
                <w:color w:val="auto"/>
                <w:kern w:val="0"/>
                <w:sz w:val="32"/>
                <w:szCs w:val="32"/>
                <w:highlight w:val="none"/>
              </w:rPr>
            </w:pPr>
          </w:p>
        </w:tc>
        <w:tc>
          <w:tcPr>
            <w:tcW w:w="1569" w:type="dxa"/>
            <w:vAlign w:val="center"/>
          </w:tcPr>
          <w:p w14:paraId="2E868AEB">
            <w:pPr>
              <w:jc w:val="center"/>
              <w:textAlignment w:val="center"/>
              <w:rPr>
                <w:rFonts w:ascii="仿宋" w:hAnsi="仿宋" w:eastAsia="仿宋" w:cs="仿宋"/>
                <w:b/>
                <w:color w:val="auto"/>
                <w:kern w:val="0"/>
                <w:sz w:val="32"/>
                <w:szCs w:val="32"/>
                <w:highlight w:val="none"/>
              </w:rPr>
            </w:pPr>
          </w:p>
        </w:tc>
      </w:tr>
      <w:tr w14:paraId="142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vAlign w:val="center"/>
          </w:tcPr>
          <w:p w14:paraId="5A1BEAAE">
            <w:pPr>
              <w:jc w:val="center"/>
              <w:textAlignment w:val="center"/>
              <w:rPr>
                <w:rFonts w:ascii="仿宋" w:hAnsi="仿宋" w:eastAsia="仿宋" w:cs="仿宋"/>
                <w:color w:val="auto"/>
                <w:kern w:val="0"/>
                <w:highlight w:val="none"/>
              </w:rPr>
            </w:pPr>
            <w:r>
              <w:rPr>
                <w:rFonts w:hint="eastAsia" w:ascii="仿宋" w:hAnsi="仿宋" w:eastAsia="仿宋" w:cs="仿宋"/>
                <w:color w:val="auto"/>
                <w:kern w:val="0"/>
                <w:highlight w:val="none"/>
              </w:rPr>
              <w:t>……</w:t>
            </w:r>
          </w:p>
        </w:tc>
        <w:tc>
          <w:tcPr>
            <w:tcW w:w="3445" w:type="dxa"/>
            <w:vAlign w:val="center"/>
          </w:tcPr>
          <w:p w14:paraId="73E9F7C1">
            <w:pPr>
              <w:jc w:val="center"/>
              <w:textAlignment w:val="center"/>
              <w:rPr>
                <w:rFonts w:ascii="仿宋" w:hAnsi="仿宋" w:eastAsia="仿宋" w:cs="仿宋"/>
                <w:b/>
                <w:color w:val="auto"/>
                <w:kern w:val="0"/>
                <w:sz w:val="32"/>
                <w:szCs w:val="32"/>
                <w:highlight w:val="none"/>
              </w:rPr>
            </w:pPr>
          </w:p>
        </w:tc>
        <w:tc>
          <w:tcPr>
            <w:tcW w:w="3254" w:type="dxa"/>
            <w:vAlign w:val="center"/>
          </w:tcPr>
          <w:p w14:paraId="5844555F">
            <w:pPr>
              <w:jc w:val="center"/>
              <w:textAlignment w:val="center"/>
              <w:rPr>
                <w:rFonts w:ascii="仿宋" w:hAnsi="仿宋" w:eastAsia="仿宋" w:cs="仿宋"/>
                <w:b/>
                <w:color w:val="auto"/>
                <w:kern w:val="0"/>
                <w:sz w:val="32"/>
                <w:szCs w:val="32"/>
                <w:highlight w:val="none"/>
              </w:rPr>
            </w:pPr>
          </w:p>
        </w:tc>
        <w:tc>
          <w:tcPr>
            <w:tcW w:w="1569" w:type="dxa"/>
            <w:vAlign w:val="center"/>
          </w:tcPr>
          <w:p w14:paraId="47E3BAF4">
            <w:pPr>
              <w:jc w:val="center"/>
              <w:textAlignment w:val="center"/>
              <w:rPr>
                <w:rFonts w:ascii="仿宋" w:hAnsi="仿宋" w:eastAsia="仿宋" w:cs="仿宋"/>
                <w:b/>
                <w:color w:val="auto"/>
                <w:kern w:val="0"/>
                <w:sz w:val="32"/>
                <w:szCs w:val="32"/>
                <w:highlight w:val="none"/>
              </w:rPr>
            </w:pPr>
          </w:p>
        </w:tc>
      </w:tr>
    </w:tbl>
    <w:p w14:paraId="115C0741">
      <w:pPr>
        <w:jc w:val="left"/>
        <w:rPr>
          <w:rFonts w:ascii="仿宋" w:hAnsi="仿宋" w:eastAsia="仿宋" w:cs="仿宋"/>
          <w:color w:val="auto"/>
          <w:kern w:val="0"/>
          <w:highlight w:val="none"/>
        </w:rPr>
      </w:pPr>
      <w:r>
        <w:rPr>
          <w:rFonts w:hint="eastAsia" w:ascii="仿宋" w:hAnsi="仿宋" w:eastAsia="仿宋" w:cs="仿宋"/>
          <w:color w:val="auto"/>
          <w:kern w:val="0"/>
          <w:highlight w:val="none"/>
        </w:rPr>
        <w:t>投标人保证：除商务技术偏离表列出的偏离外，投标人响应招标文件的全部要求</w:t>
      </w:r>
    </w:p>
    <w:p w14:paraId="17BBE28A">
      <w:pPr>
        <w:jc w:val="center"/>
        <w:rPr>
          <w:rFonts w:ascii="仿宋" w:hAnsi="仿宋" w:eastAsia="仿宋" w:cs="仿宋"/>
          <w:b/>
          <w:color w:val="auto"/>
          <w:kern w:val="0"/>
          <w:sz w:val="32"/>
          <w:szCs w:val="32"/>
          <w:highlight w:val="none"/>
        </w:rPr>
      </w:pPr>
    </w:p>
    <w:p w14:paraId="47AA9AF7">
      <w:pPr>
        <w:spacing w:line="360" w:lineRule="auto"/>
        <w:rPr>
          <w:rFonts w:ascii="仿宋" w:hAnsi="仿宋" w:eastAsia="仿宋" w:cs="仿宋"/>
          <w:b/>
          <w:bCs/>
          <w:color w:val="auto"/>
          <w:szCs w:val="24"/>
          <w:highlight w:val="none"/>
        </w:rPr>
      </w:pPr>
      <w:r>
        <w:rPr>
          <w:rFonts w:hint="eastAsia" w:ascii="仿宋" w:hAnsi="仿宋" w:eastAsia="仿宋" w:cs="仿宋"/>
          <w:color w:val="auto"/>
          <w:highlight w:val="none"/>
        </w:rPr>
        <w:t>注：按本格式和要求提供。</w:t>
      </w:r>
    </w:p>
    <w:p w14:paraId="2AEB61AA">
      <w:pPr>
        <w:spacing w:line="360" w:lineRule="auto"/>
        <w:jc w:val="center"/>
        <w:rPr>
          <w:rFonts w:ascii="仿宋" w:hAnsi="仿宋" w:eastAsia="仿宋" w:cs="仿宋"/>
          <w:b/>
          <w:bCs/>
          <w:color w:val="auto"/>
          <w:sz w:val="32"/>
          <w:szCs w:val="32"/>
          <w:highlight w:val="none"/>
        </w:rPr>
      </w:pPr>
    </w:p>
    <w:p w14:paraId="26EAF488">
      <w:pPr>
        <w:spacing w:line="360" w:lineRule="auto"/>
        <w:jc w:val="center"/>
        <w:rPr>
          <w:rFonts w:ascii="仿宋" w:hAnsi="仿宋" w:eastAsia="仿宋" w:cs="仿宋"/>
          <w:b/>
          <w:bCs/>
          <w:color w:val="auto"/>
          <w:sz w:val="32"/>
          <w:szCs w:val="32"/>
          <w:highlight w:val="none"/>
        </w:rPr>
      </w:pPr>
    </w:p>
    <w:p w14:paraId="44623286">
      <w:pPr>
        <w:spacing w:line="360" w:lineRule="auto"/>
        <w:jc w:val="center"/>
        <w:rPr>
          <w:rFonts w:ascii="仿宋" w:hAnsi="仿宋" w:eastAsia="仿宋" w:cs="仿宋"/>
          <w:b/>
          <w:bCs/>
          <w:color w:val="auto"/>
          <w:sz w:val="32"/>
          <w:szCs w:val="32"/>
          <w:highlight w:val="none"/>
        </w:rPr>
      </w:pPr>
    </w:p>
    <w:p w14:paraId="7697A1C5">
      <w:pPr>
        <w:pStyle w:val="90"/>
        <w:rPr>
          <w:color w:val="auto"/>
          <w:highlight w:val="none"/>
        </w:rPr>
      </w:pPr>
    </w:p>
    <w:p w14:paraId="778C1FED">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kern w:val="0"/>
          <w:sz w:val="32"/>
          <w:szCs w:val="32"/>
          <w:highlight w:val="none"/>
          <w:lang w:val="zh-CN"/>
        </w:rPr>
        <w:t>（</w:t>
      </w:r>
      <w:r>
        <w:rPr>
          <w:rFonts w:hint="eastAsia" w:ascii="仿宋_GB2312" w:hAnsi="仿宋_GB2312" w:eastAsia="仿宋_GB2312" w:cs="仿宋_GB2312"/>
          <w:b/>
          <w:color w:val="auto"/>
          <w:kern w:val="0"/>
          <w:sz w:val="32"/>
          <w:szCs w:val="32"/>
          <w:highlight w:val="none"/>
        </w:rPr>
        <w:t>六</w:t>
      </w:r>
      <w:r>
        <w:rPr>
          <w:rFonts w:hint="eastAsia" w:ascii="仿宋_GB2312" w:hAnsi="仿宋_GB2312" w:eastAsia="仿宋_GB2312" w:cs="仿宋_GB2312"/>
          <w:b/>
          <w:color w:val="auto"/>
          <w:kern w:val="0"/>
          <w:sz w:val="32"/>
          <w:szCs w:val="32"/>
          <w:highlight w:val="none"/>
          <w:lang w:val="zh-CN"/>
        </w:rPr>
        <w:t>）主要业绩证明</w:t>
      </w:r>
    </w:p>
    <w:p w14:paraId="58DA96E7">
      <w:pPr>
        <w:autoSpaceDE w:val="0"/>
        <w:autoSpaceDN w:val="0"/>
        <w:spacing w:line="360" w:lineRule="auto"/>
        <w:ind w:firstLine="12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附表 :相关项目业绩一览表</w:t>
      </w:r>
    </w:p>
    <w:tbl>
      <w:tblPr>
        <w:tblStyle w:val="7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2B17FF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86EB3A0">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6D8C95D">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项目</w:t>
            </w:r>
          </w:p>
          <w:p w14:paraId="79B029DF">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BE6A106">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7FE6724">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合同</w:t>
            </w:r>
          </w:p>
          <w:p w14:paraId="74F192DE">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金额</w:t>
            </w:r>
          </w:p>
          <w:p w14:paraId="7B69CD32">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A9F0616">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328D18CF">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BFE3E7E">
            <w:pPr>
              <w:autoSpaceDE w:val="0"/>
              <w:autoSpaceDN w:val="0"/>
              <w:spacing w:line="360" w:lineRule="auto"/>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所在页码</w:t>
            </w:r>
          </w:p>
        </w:tc>
      </w:tr>
      <w:tr w14:paraId="74E5E4F4">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072429DA">
            <w:pPr>
              <w:autoSpaceDE w:val="0"/>
              <w:autoSpaceDN w:val="0"/>
              <w:spacing w:line="360" w:lineRule="auto"/>
              <w:jc w:val="center"/>
              <w:rPr>
                <w:rFonts w:ascii="仿宋_GB2312" w:hAnsi="仿宋_GB2312" w:eastAsia="仿宋_GB2312" w:cs="仿宋_GB2312"/>
                <w:color w:val="auto"/>
                <w:szCs w:val="22"/>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2CEE9C49">
            <w:pPr>
              <w:autoSpaceDE w:val="0"/>
              <w:autoSpaceDN w:val="0"/>
              <w:spacing w:line="360" w:lineRule="auto"/>
              <w:jc w:val="center"/>
              <w:rPr>
                <w:rFonts w:ascii="仿宋_GB2312" w:hAnsi="仿宋_GB2312" w:eastAsia="仿宋_GB2312" w:cs="仿宋_GB2312"/>
                <w:color w:val="auto"/>
                <w:szCs w:val="22"/>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0FC117C1">
            <w:pPr>
              <w:autoSpaceDE w:val="0"/>
              <w:autoSpaceDN w:val="0"/>
              <w:spacing w:line="360" w:lineRule="auto"/>
              <w:jc w:val="center"/>
              <w:rPr>
                <w:rFonts w:ascii="仿宋_GB2312" w:hAnsi="仿宋_GB2312" w:eastAsia="仿宋_GB2312" w:cs="仿宋_GB2312"/>
                <w:color w:val="auto"/>
                <w:szCs w:val="22"/>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4D96EFDB">
            <w:pPr>
              <w:autoSpaceDE w:val="0"/>
              <w:autoSpaceDN w:val="0"/>
              <w:spacing w:line="360" w:lineRule="auto"/>
              <w:jc w:val="center"/>
              <w:rPr>
                <w:rFonts w:ascii="仿宋_GB2312" w:hAnsi="仿宋_GB2312" w:eastAsia="仿宋_GB2312" w:cs="仿宋_GB2312"/>
                <w:color w:val="auto"/>
                <w:szCs w:val="22"/>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1549D97D">
            <w:pPr>
              <w:autoSpaceDE w:val="0"/>
              <w:autoSpaceDN w:val="0"/>
              <w:spacing w:line="360" w:lineRule="auto"/>
              <w:jc w:val="center"/>
              <w:rPr>
                <w:rFonts w:ascii="仿宋_GB2312" w:hAnsi="仿宋_GB2312" w:eastAsia="仿宋_GB2312" w:cs="仿宋_GB2312"/>
                <w:color w:val="auto"/>
                <w:szCs w:val="22"/>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5E83AEF4">
            <w:pPr>
              <w:autoSpaceDE w:val="0"/>
              <w:autoSpaceDN w:val="0"/>
              <w:spacing w:line="360" w:lineRule="auto"/>
              <w:jc w:val="center"/>
              <w:rPr>
                <w:rFonts w:ascii="仿宋_GB2312" w:hAnsi="仿宋_GB2312" w:eastAsia="仿宋_GB2312" w:cs="仿宋_GB2312"/>
                <w:color w:val="auto"/>
                <w:szCs w:val="22"/>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419BBCE2">
            <w:pPr>
              <w:autoSpaceDE w:val="0"/>
              <w:autoSpaceDN w:val="0"/>
              <w:spacing w:line="360" w:lineRule="auto"/>
              <w:jc w:val="center"/>
              <w:rPr>
                <w:rFonts w:ascii="仿宋_GB2312" w:hAnsi="仿宋_GB2312" w:eastAsia="仿宋_GB2312" w:cs="仿宋_GB2312"/>
                <w:color w:val="auto"/>
                <w:szCs w:val="22"/>
                <w:highlight w:val="none"/>
              </w:rPr>
            </w:pPr>
          </w:p>
        </w:tc>
      </w:tr>
      <w:tr w14:paraId="31A6F681">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3A55F20A">
            <w:pPr>
              <w:autoSpaceDE w:val="0"/>
              <w:autoSpaceDN w:val="0"/>
              <w:spacing w:line="360" w:lineRule="auto"/>
              <w:jc w:val="center"/>
              <w:rPr>
                <w:rFonts w:ascii="仿宋_GB2312" w:hAnsi="仿宋_GB2312" w:eastAsia="仿宋_GB2312" w:cs="仿宋_GB2312"/>
                <w:color w:val="auto"/>
                <w:szCs w:val="22"/>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1EA2A790">
            <w:pPr>
              <w:autoSpaceDE w:val="0"/>
              <w:autoSpaceDN w:val="0"/>
              <w:spacing w:line="360" w:lineRule="auto"/>
              <w:jc w:val="center"/>
              <w:rPr>
                <w:rFonts w:ascii="仿宋_GB2312" w:hAnsi="仿宋_GB2312" w:eastAsia="仿宋_GB2312" w:cs="仿宋_GB2312"/>
                <w:color w:val="auto"/>
                <w:szCs w:val="22"/>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1F049D37">
            <w:pPr>
              <w:autoSpaceDE w:val="0"/>
              <w:autoSpaceDN w:val="0"/>
              <w:spacing w:line="360" w:lineRule="auto"/>
              <w:jc w:val="center"/>
              <w:rPr>
                <w:rFonts w:ascii="仿宋_GB2312" w:hAnsi="仿宋_GB2312" w:eastAsia="仿宋_GB2312" w:cs="仿宋_GB2312"/>
                <w:color w:val="auto"/>
                <w:szCs w:val="22"/>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0F7DFB80">
            <w:pPr>
              <w:autoSpaceDE w:val="0"/>
              <w:autoSpaceDN w:val="0"/>
              <w:spacing w:line="360" w:lineRule="auto"/>
              <w:jc w:val="center"/>
              <w:rPr>
                <w:rFonts w:ascii="仿宋_GB2312" w:hAnsi="仿宋_GB2312" w:eastAsia="仿宋_GB2312" w:cs="仿宋_GB2312"/>
                <w:color w:val="auto"/>
                <w:szCs w:val="22"/>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554CFDAF">
            <w:pPr>
              <w:autoSpaceDE w:val="0"/>
              <w:autoSpaceDN w:val="0"/>
              <w:spacing w:line="360" w:lineRule="auto"/>
              <w:jc w:val="center"/>
              <w:rPr>
                <w:rFonts w:ascii="仿宋_GB2312" w:hAnsi="仿宋_GB2312" w:eastAsia="仿宋_GB2312" w:cs="仿宋_GB2312"/>
                <w:color w:val="auto"/>
                <w:szCs w:val="22"/>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1DD197E5">
            <w:pPr>
              <w:autoSpaceDE w:val="0"/>
              <w:autoSpaceDN w:val="0"/>
              <w:spacing w:line="360" w:lineRule="auto"/>
              <w:jc w:val="center"/>
              <w:rPr>
                <w:rFonts w:ascii="仿宋_GB2312" w:hAnsi="仿宋_GB2312" w:eastAsia="仿宋_GB2312" w:cs="仿宋_GB2312"/>
                <w:color w:val="auto"/>
                <w:szCs w:val="22"/>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6545D891">
            <w:pPr>
              <w:autoSpaceDE w:val="0"/>
              <w:autoSpaceDN w:val="0"/>
              <w:spacing w:line="360" w:lineRule="auto"/>
              <w:jc w:val="center"/>
              <w:rPr>
                <w:rFonts w:ascii="仿宋_GB2312" w:hAnsi="仿宋_GB2312" w:eastAsia="仿宋_GB2312" w:cs="仿宋_GB2312"/>
                <w:color w:val="auto"/>
                <w:szCs w:val="22"/>
                <w:highlight w:val="none"/>
              </w:rPr>
            </w:pPr>
          </w:p>
        </w:tc>
      </w:tr>
      <w:tr w14:paraId="0590896D">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6D89B4A6">
            <w:pPr>
              <w:autoSpaceDE w:val="0"/>
              <w:autoSpaceDN w:val="0"/>
              <w:spacing w:line="360" w:lineRule="auto"/>
              <w:jc w:val="center"/>
              <w:rPr>
                <w:rFonts w:ascii="仿宋_GB2312" w:hAnsi="仿宋_GB2312" w:eastAsia="仿宋_GB2312" w:cs="仿宋_GB2312"/>
                <w:color w:val="auto"/>
                <w:szCs w:val="22"/>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511779F8">
            <w:pPr>
              <w:autoSpaceDE w:val="0"/>
              <w:autoSpaceDN w:val="0"/>
              <w:spacing w:line="360" w:lineRule="auto"/>
              <w:jc w:val="center"/>
              <w:rPr>
                <w:rFonts w:ascii="仿宋_GB2312" w:hAnsi="仿宋_GB2312" w:eastAsia="仿宋_GB2312" w:cs="仿宋_GB2312"/>
                <w:color w:val="auto"/>
                <w:szCs w:val="22"/>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7CC76128">
            <w:pPr>
              <w:autoSpaceDE w:val="0"/>
              <w:autoSpaceDN w:val="0"/>
              <w:spacing w:line="360" w:lineRule="auto"/>
              <w:jc w:val="center"/>
              <w:rPr>
                <w:rFonts w:ascii="仿宋_GB2312" w:hAnsi="仿宋_GB2312" w:eastAsia="仿宋_GB2312" w:cs="仿宋_GB2312"/>
                <w:color w:val="auto"/>
                <w:szCs w:val="22"/>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4C0C5A81">
            <w:pPr>
              <w:autoSpaceDE w:val="0"/>
              <w:autoSpaceDN w:val="0"/>
              <w:spacing w:line="360" w:lineRule="auto"/>
              <w:jc w:val="center"/>
              <w:rPr>
                <w:rFonts w:ascii="仿宋_GB2312" w:hAnsi="仿宋_GB2312" w:eastAsia="仿宋_GB2312" w:cs="仿宋_GB2312"/>
                <w:color w:val="auto"/>
                <w:szCs w:val="22"/>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48DE0095">
            <w:pPr>
              <w:autoSpaceDE w:val="0"/>
              <w:autoSpaceDN w:val="0"/>
              <w:spacing w:line="360" w:lineRule="auto"/>
              <w:jc w:val="center"/>
              <w:rPr>
                <w:rFonts w:ascii="仿宋_GB2312" w:hAnsi="仿宋_GB2312" w:eastAsia="仿宋_GB2312" w:cs="仿宋_GB2312"/>
                <w:color w:val="auto"/>
                <w:szCs w:val="22"/>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5F8440DD">
            <w:pPr>
              <w:autoSpaceDE w:val="0"/>
              <w:autoSpaceDN w:val="0"/>
              <w:spacing w:line="360" w:lineRule="auto"/>
              <w:jc w:val="center"/>
              <w:rPr>
                <w:rFonts w:ascii="仿宋_GB2312" w:hAnsi="仿宋_GB2312" w:eastAsia="仿宋_GB2312" w:cs="仿宋_GB2312"/>
                <w:color w:val="auto"/>
                <w:szCs w:val="22"/>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3F40F24A">
            <w:pPr>
              <w:autoSpaceDE w:val="0"/>
              <w:autoSpaceDN w:val="0"/>
              <w:spacing w:line="360" w:lineRule="auto"/>
              <w:jc w:val="center"/>
              <w:rPr>
                <w:rFonts w:ascii="仿宋_GB2312" w:hAnsi="仿宋_GB2312" w:eastAsia="仿宋_GB2312" w:cs="仿宋_GB2312"/>
                <w:color w:val="auto"/>
                <w:szCs w:val="22"/>
                <w:highlight w:val="none"/>
              </w:rPr>
            </w:pPr>
          </w:p>
        </w:tc>
      </w:tr>
    </w:tbl>
    <w:p w14:paraId="1516DB15">
      <w:pPr>
        <w:autoSpaceDE w:val="0"/>
        <w:autoSpaceDN w:val="0"/>
        <w:spacing w:line="360" w:lineRule="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注：供应商可按上述的格式自行编制，须随表提交相应的合同扫描件并加盖CA签章。</w:t>
      </w:r>
    </w:p>
    <w:p w14:paraId="280D7841">
      <w:pPr>
        <w:autoSpaceDE w:val="0"/>
        <w:autoSpaceDN w:val="0"/>
        <w:spacing w:line="360" w:lineRule="auto"/>
        <w:rPr>
          <w:rFonts w:ascii="仿宋_GB2312" w:hAnsi="仿宋_GB2312" w:eastAsia="仿宋_GB2312" w:cs="仿宋_GB2312"/>
          <w:b/>
          <w:color w:val="auto"/>
          <w:highlight w:val="none"/>
        </w:rPr>
      </w:pPr>
    </w:p>
    <w:p w14:paraId="048DB625">
      <w:pPr>
        <w:autoSpaceDE w:val="0"/>
        <w:autoSpaceDN w:val="0"/>
        <w:spacing w:line="360" w:lineRule="auto"/>
        <w:rPr>
          <w:rFonts w:ascii="仿宋_GB2312" w:hAnsi="仿宋_GB2312" w:eastAsia="仿宋_GB2312" w:cs="仿宋_GB2312"/>
          <w:color w:val="auto"/>
          <w:highlight w:val="none"/>
        </w:rPr>
      </w:pPr>
    </w:p>
    <w:p w14:paraId="08F8065F">
      <w:pPr>
        <w:spacing w:line="336" w:lineRule="auto"/>
        <w:ind w:firstLine="3600" w:firstLineChars="1500"/>
        <w:rPr>
          <w:rFonts w:ascii="仿宋" w:hAnsi="仿宋" w:eastAsia="仿宋" w:cs="仿宋"/>
          <w:color w:val="auto"/>
          <w:highlight w:val="none"/>
        </w:rPr>
      </w:pPr>
      <w:r>
        <w:rPr>
          <w:rFonts w:hint="eastAsia" w:ascii="仿宋" w:hAnsi="仿宋" w:eastAsia="仿宋" w:cs="仿宋"/>
          <w:color w:val="auto"/>
          <w:highlight w:val="none"/>
        </w:rPr>
        <w:t>投标人名称（电子签名）：</w:t>
      </w:r>
    </w:p>
    <w:p w14:paraId="018F6FC6">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highlight w:val="none"/>
        </w:rPr>
        <w:t xml:space="preserve">     日期：  年   月   日</w:t>
      </w:r>
    </w:p>
    <w:p w14:paraId="4CB3AEBC">
      <w:pPr>
        <w:spacing w:line="360" w:lineRule="auto"/>
        <w:rPr>
          <w:rFonts w:ascii="仿宋" w:hAnsi="仿宋" w:eastAsia="仿宋" w:cs="仿宋"/>
          <w:b/>
          <w:bCs/>
          <w:color w:val="auto"/>
          <w:sz w:val="32"/>
          <w:szCs w:val="32"/>
          <w:highlight w:val="none"/>
        </w:rPr>
      </w:pPr>
    </w:p>
    <w:p w14:paraId="38FF221E">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（七）项目小组人员名单</w:t>
      </w:r>
    </w:p>
    <w:p w14:paraId="52F19ED7">
      <w:pPr>
        <w:spacing w:line="360"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（由供应商根据采购需求及招标文件要求编制）</w:t>
      </w:r>
    </w:p>
    <w:p w14:paraId="57AA28FC">
      <w:pPr>
        <w:spacing w:line="360" w:lineRule="auto"/>
        <w:rPr>
          <w:rFonts w:ascii="仿宋" w:hAnsi="仿宋" w:eastAsia="仿宋" w:cs="仿宋"/>
          <w:b/>
          <w:color w:val="auto"/>
          <w:szCs w:val="24"/>
          <w:highlight w:val="none"/>
        </w:rPr>
      </w:pPr>
      <w:r>
        <w:rPr>
          <w:rFonts w:hint="eastAsia" w:ascii="仿宋" w:hAnsi="仿宋" w:eastAsia="仿宋" w:cs="仿宋"/>
          <w:b/>
          <w:color w:val="auto"/>
          <w:szCs w:val="24"/>
          <w:highlight w:val="none"/>
        </w:rPr>
        <w:t>A：本项目的项目经理情况表</w:t>
      </w:r>
    </w:p>
    <w:tbl>
      <w:tblPr>
        <w:tblStyle w:val="79"/>
        <w:tblW w:w="9331" w:type="dxa"/>
        <w:tblInd w:w="0" w:type="dxa"/>
        <w:tblLayout w:type="fixed"/>
        <w:tblCellMar>
          <w:top w:w="0" w:type="dxa"/>
          <w:left w:w="108" w:type="dxa"/>
          <w:bottom w:w="0" w:type="dxa"/>
          <w:right w:w="108" w:type="dxa"/>
        </w:tblCellMar>
      </w:tblPr>
      <w:tblGrid>
        <w:gridCol w:w="2554"/>
        <w:gridCol w:w="1787"/>
        <w:gridCol w:w="4990"/>
      </w:tblGrid>
      <w:tr w14:paraId="1B3C9192">
        <w:tblPrEx>
          <w:tblCellMar>
            <w:top w:w="0" w:type="dxa"/>
            <w:left w:w="108" w:type="dxa"/>
            <w:bottom w:w="0" w:type="dxa"/>
            <w:right w:w="108" w:type="dxa"/>
          </w:tblCellMar>
        </w:tblPrEx>
        <w:trPr>
          <w:trHeight w:val="1035"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FBB6978">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姓名</w:t>
            </w:r>
          </w:p>
        </w:tc>
        <w:tc>
          <w:tcPr>
            <w:tcW w:w="1787" w:type="dxa"/>
            <w:tcBorders>
              <w:top w:val="single" w:color="auto" w:sz="6" w:space="0"/>
              <w:left w:val="single" w:color="auto" w:sz="6" w:space="0"/>
              <w:bottom w:val="single" w:color="auto" w:sz="6" w:space="0"/>
              <w:right w:val="single" w:color="auto" w:sz="4" w:space="0"/>
            </w:tcBorders>
            <w:shd w:val="clear" w:color="auto" w:fill="B3B3B3"/>
            <w:vAlign w:val="center"/>
          </w:tcPr>
          <w:p w14:paraId="5B9DBD7A">
            <w:pPr>
              <w:autoSpaceDE w:val="0"/>
              <w:autoSpaceDN w:val="0"/>
              <w:spacing w:line="400" w:lineRule="exact"/>
              <w:jc w:val="center"/>
              <w:rPr>
                <w:rFonts w:ascii="仿宋" w:hAnsi="仿宋" w:eastAsia="仿宋" w:cs="仿宋"/>
                <w:color w:val="auto"/>
                <w:szCs w:val="24"/>
                <w:highlight w:val="none"/>
              </w:rPr>
            </w:pPr>
          </w:p>
        </w:tc>
        <w:tc>
          <w:tcPr>
            <w:tcW w:w="4990" w:type="dxa"/>
            <w:tcBorders>
              <w:top w:val="single" w:color="auto" w:sz="6" w:space="0"/>
              <w:left w:val="single" w:color="auto" w:sz="6" w:space="0"/>
              <w:bottom w:val="single" w:color="auto" w:sz="6" w:space="0"/>
              <w:right w:val="single" w:color="auto" w:sz="6" w:space="0"/>
            </w:tcBorders>
            <w:vAlign w:val="center"/>
          </w:tcPr>
          <w:p w14:paraId="05EAC1D9">
            <w:pPr>
              <w:autoSpaceDE w:val="0"/>
              <w:autoSpaceDN w:val="0"/>
              <w:spacing w:line="400" w:lineRule="exact"/>
              <w:rPr>
                <w:rFonts w:ascii="仿宋" w:hAnsi="仿宋" w:eastAsia="仿宋" w:cs="仿宋"/>
                <w:color w:val="auto"/>
                <w:szCs w:val="24"/>
                <w:highlight w:val="none"/>
              </w:rPr>
            </w:pPr>
          </w:p>
        </w:tc>
      </w:tr>
      <w:tr w14:paraId="09073532">
        <w:tblPrEx>
          <w:tblCellMar>
            <w:top w:w="0" w:type="dxa"/>
            <w:left w:w="108" w:type="dxa"/>
            <w:bottom w:w="0" w:type="dxa"/>
            <w:right w:w="108" w:type="dxa"/>
          </w:tblCellMar>
        </w:tblPrEx>
        <w:trPr>
          <w:cantSplit/>
          <w:trHeight w:val="498" w:hRule="atLeast"/>
        </w:trPr>
        <w:tc>
          <w:tcPr>
            <w:tcW w:w="2554" w:type="dxa"/>
            <w:tcBorders>
              <w:top w:val="single" w:color="auto" w:sz="6" w:space="0"/>
              <w:left w:val="single" w:color="auto" w:sz="6" w:space="0"/>
              <w:bottom w:val="single" w:color="auto" w:sz="6" w:space="0"/>
              <w:right w:val="single" w:color="auto" w:sz="6" w:space="0"/>
            </w:tcBorders>
            <w:vAlign w:val="center"/>
          </w:tcPr>
          <w:p w14:paraId="7F3D6B0F">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性别</w:t>
            </w:r>
          </w:p>
        </w:tc>
        <w:tc>
          <w:tcPr>
            <w:tcW w:w="1787" w:type="dxa"/>
            <w:tcBorders>
              <w:top w:val="single" w:color="auto" w:sz="6" w:space="0"/>
              <w:left w:val="single" w:color="auto" w:sz="6" w:space="0"/>
              <w:bottom w:val="single" w:color="auto" w:sz="6" w:space="0"/>
              <w:right w:val="single" w:color="auto" w:sz="4" w:space="0"/>
            </w:tcBorders>
            <w:vAlign w:val="center"/>
          </w:tcPr>
          <w:p w14:paraId="6E10DE13">
            <w:pPr>
              <w:autoSpaceDE w:val="0"/>
              <w:autoSpaceDN w:val="0"/>
              <w:spacing w:line="400" w:lineRule="exact"/>
              <w:jc w:val="center"/>
              <w:rPr>
                <w:rFonts w:ascii="仿宋" w:hAnsi="仿宋" w:eastAsia="仿宋" w:cs="仿宋"/>
                <w:color w:val="auto"/>
                <w:szCs w:val="24"/>
                <w:highlight w:val="none"/>
              </w:rPr>
            </w:pPr>
          </w:p>
        </w:tc>
        <w:tc>
          <w:tcPr>
            <w:tcW w:w="4990" w:type="dxa"/>
            <w:vMerge w:val="restart"/>
            <w:tcBorders>
              <w:top w:val="single" w:color="auto" w:sz="6" w:space="0"/>
              <w:left w:val="single" w:color="auto" w:sz="6" w:space="0"/>
              <w:bottom w:val="single" w:color="auto" w:sz="6" w:space="0"/>
              <w:right w:val="single" w:color="auto" w:sz="6" w:space="0"/>
            </w:tcBorders>
            <w:vAlign w:val="center"/>
          </w:tcPr>
          <w:p w14:paraId="6DB3781D">
            <w:pPr>
              <w:autoSpaceDE w:val="0"/>
              <w:autoSpaceDN w:val="0"/>
              <w:spacing w:line="400" w:lineRule="exact"/>
              <w:jc w:val="center"/>
              <w:rPr>
                <w:rFonts w:ascii="仿宋" w:hAnsi="仿宋" w:eastAsia="仿宋" w:cs="仿宋"/>
                <w:color w:val="auto"/>
                <w:szCs w:val="24"/>
                <w:highlight w:val="none"/>
              </w:rPr>
            </w:pPr>
          </w:p>
        </w:tc>
      </w:tr>
      <w:tr w14:paraId="6C3DCD3E">
        <w:tblPrEx>
          <w:tblCellMar>
            <w:top w:w="0" w:type="dxa"/>
            <w:left w:w="108" w:type="dxa"/>
            <w:bottom w:w="0" w:type="dxa"/>
            <w:right w:w="108" w:type="dxa"/>
          </w:tblCellMar>
        </w:tblPrEx>
        <w:trPr>
          <w:cantSplit/>
          <w:trHeight w:val="497" w:hRule="atLeast"/>
        </w:trPr>
        <w:tc>
          <w:tcPr>
            <w:tcW w:w="2554" w:type="dxa"/>
            <w:tcBorders>
              <w:top w:val="single" w:color="auto" w:sz="6" w:space="0"/>
              <w:left w:val="single" w:color="auto" w:sz="6" w:space="0"/>
              <w:bottom w:val="single" w:color="auto" w:sz="6" w:space="0"/>
              <w:right w:val="single" w:color="auto" w:sz="6" w:space="0"/>
            </w:tcBorders>
            <w:vAlign w:val="center"/>
          </w:tcPr>
          <w:p w14:paraId="52D7467E">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年龄</w:t>
            </w:r>
          </w:p>
        </w:tc>
        <w:tc>
          <w:tcPr>
            <w:tcW w:w="1787" w:type="dxa"/>
            <w:tcBorders>
              <w:top w:val="single" w:color="auto" w:sz="6" w:space="0"/>
              <w:left w:val="single" w:color="auto" w:sz="6" w:space="0"/>
              <w:bottom w:val="single" w:color="auto" w:sz="6" w:space="0"/>
              <w:right w:val="single" w:color="auto" w:sz="4" w:space="0"/>
            </w:tcBorders>
            <w:vAlign w:val="center"/>
          </w:tcPr>
          <w:p w14:paraId="7D667318">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068C967D">
            <w:pPr>
              <w:autoSpaceDE w:val="0"/>
              <w:autoSpaceDN w:val="0"/>
              <w:spacing w:line="400" w:lineRule="exact"/>
              <w:jc w:val="center"/>
              <w:rPr>
                <w:rFonts w:ascii="仿宋" w:hAnsi="仿宋" w:eastAsia="仿宋" w:cs="仿宋"/>
                <w:color w:val="auto"/>
                <w:szCs w:val="24"/>
                <w:highlight w:val="none"/>
              </w:rPr>
            </w:pPr>
          </w:p>
        </w:tc>
      </w:tr>
      <w:tr w14:paraId="572BEE27">
        <w:tblPrEx>
          <w:tblCellMar>
            <w:top w:w="0" w:type="dxa"/>
            <w:left w:w="108" w:type="dxa"/>
            <w:bottom w:w="0" w:type="dxa"/>
            <w:right w:w="108" w:type="dxa"/>
          </w:tblCellMar>
        </w:tblPrEx>
        <w:trPr>
          <w:cantSplit/>
          <w:trHeight w:val="485" w:hRule="atLeast"/>
        </w:trPr>
        <w:tc>
          <w:tcPr>
            <w:tcW w:w="2554" w:type="dxa"/>
            <w:tcBorders>
              <w:top w:val="single" w:color="auto" w:sz="6" w:space="0"/>
              <w:left w:val="single" w:color="auto" w:sz="6" w:space="0"/>
              <w:bottom w:val="single" w:color="auto" w:sz="6" w:space="0"/>
              <w:right w:val="single" w:color="auto" w:sz="6" w:space="0"/>
            </w:tcBorders>
            <w:vAlign w:val="center"/>
          </w:tcPr>
          <w:p w14:paraId="16652E42">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职称</w:t>
            </w:r>
          </w:p>
        </w:tc>
        <w:tc>
          <w:tcPr>
            <w:tcW w:w="1787" w:type="dxa"/>
            <w:tcBorders>
              <w:top w:val="single" w:color="auto" w:sz="6" w:space="0"/>
              <w:left w:val="single" w:color="auto" w:sz="6" w:space="0"/>
              <w:bottom w:val="single" w:color="auto" w:sz="6" w:space="0"/>
              <w:right w:val="single" w:color="auto" w:sz="4" w:space="0"/>
            </w:tcBorders>
            <w:vAlign w:val="center"/>
          </w:tcPr>
          <w:p w14:paraId="6F7C09F1">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4536502E">
            <w:pPr>
              <w:autoSpaceDE w:val="0"/>
              <w:autoSpaceDN w:val="0"/>
              <w:spacing w:line="400" w:lineRule="exact"/>
              <w:jc w:val="center"/>
              <w:rPr>
                <w:rFonts w:ascii="仿宋" w:hAnsi="仿宋" w:eastAsia="仿宋" w:cs="仿宋"/>
                <w:color w:val="auto"/>
                <w:szCs w:val="24"/>
                <w:highlight w:val="none"/>
              </w:rPr>
            </w:pPr>
          </w:p>
        </w:tc>
      </w:tr>
      <w:tr w14:paraId="53F03B6E">
        <w:tblPrEx>
          <w:tblCellMar>
            <w:top w:w="0" w:type="dxa"/>
            <w:left w:w="108" w:type="dxa"/>
            <w:bottom w:w="0" w:type="dxa"/>
            <w:right w:w="108" w:type="dxa"/>
          </w:tblCellMar>
        </w:tblPrEx>
        <w:trPr>
          <w:cantSplit/>
          <w:trHeight w:val="519" w:hRule="atLeast"/>
        </w:trPr>
        <w:tc>
          <w:tcPr>
            <w:tcW w:w="2554" w:type="dxa"/>
            <w:tcBorders>
              <w:top w:val="single" w:color="auto" w:sz="6" w:space="0"/>
              <w:left w:val="single" w:color="auto" w:sz="6" w:space="0"/>
              <w:bottom w:val="single" w:color="auto" w:sz="6" w:space="0"/>
              <w:right w:val="single" w:color="auto" w:sz="6" w:space="0"/>
            </w:tcBorders>
            <w:vAlign w:val="center"/>
          </w:tcPr>
          <w:p w14:paraId="3F7BDA47">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毕业时间</w:t>
            </w:r>
          </w:p>
        </w:tc>
        <w:tc>
          <w:tcPr>
            <w:tcW w:w="1787" w:type="dxa"/>
            <w:tcBorders>
              <w:top w:val="single" w:color="auto" w:sz="6" w:space="0"/>
              <w:left w:val="single" w:color="auto" w:sz="6" w:space="0"/>
              <w:bottom w:val="single" w:color="auto" w:sz="6" w:space="0"/>
              <w:right w:val="single" w:color="auto" w:sz="4" w:space="0"/>
            </w:tcBorders>
            <w:vAlign w:val="center"/>
          </w:tcPr>
          <w:p w14:paraId="5DFF83E7">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5E30E61F">
            <w:pPr>
              <w:autoSpaceDE w:val="0"/>
              <w:autoSpaceDN w:val="0"/>
              <w:spacing w:line="400" w:lineRule="exact"/>
              <w:jc w:val="center"/>
              <w:rPr>
                <w:rFonts w:ascii="仿宋" w:hAnsi="仿宋" w:eastAsia="仿宋" w:cs="仿宋"/>
                <w:color w:val="auto"/>
                <w:szCs w:val="24"/>
                <w:highlight w:val="none"/>
              </w:rPr>
            </w:pPr>
          </w:p>
        </w:tc>
      </w:tr>
      <w:tr w14:paraId="77CDF19E">
        <w:tblPrEx>
          <w:tblCellMar>
            <w:top w:w="0" w:type="dxa"/>
            <w:left w:w="108" w:type="dxa"/>
            <w:bottom w:w="0" w:type="dxa"/>
            <w:right w:w="108" w:type="dxa"/>
          </w:tblCellMar>
        </w:tblPrEx>
        <w:trPr>
          <w:cantSplit/>
          <w:trHeight w:val="51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A88562">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所学专业</w:t>
            </w:r>
          </w:p>
        </w:tc>
        <w:tc>
          <w:tcPr>
            <w:tcW w:w="1787" w:type="dxa"/>
            <w:tcBorders>
              <w:top w:val="single" w:color="auto" w:sz="6" w:space="0"/>
              <w:left w:val="single" w:color="auto" w:sz="6" w:space="0"/>
              <w:bottom w:val="single" w:color="auto" w:sz="6" w:space="0"/>
              <w:right w:val="single" w:color="auto" w:sz="4" w:space="0"/>
            </w:tcBorders>
            <w:vAlign w:val="center"/>
          </w:tcPr>
          <w:p w14:paraId="57D807B3">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1052F1C2">
            <w:pPr>
              <w:autoSpaceDE w:val="0"/>
              <w:autoSpaceDN w:val="0"/>
              <w:spacing w:line="400" w:lineRule="exact"/>
              <w:jc w:val="center"/>
              <w:rPr>
                <w:rFonts w:ascii="仿宋" w:hAnsi="仿宋" w:eastAsia="仿宋" w:cs="仿宋"/>
                <w:color w:val="auto"/>
                <w:szCs w:val="24"/>
                <w:highlight w:val="none"/>
              </w:rPr>
            </w:pPr>
          </w:p>
        </w:tc>
      </w:tr>
      <w:tr w14:paraId="39C96093">
        <w:tblPrEx>
          <w:tblCellMar>
            <w:top w:w="0" w:type="dxa"/>
            <w:left w:w="108" w:type="dxa"/>
            <w:bottom w:w="0" w:type="dxa"/>
            <w:right w:w="108" w:type="dxa"/>
          </w:tblCellMar>
        </w:tblPrEx>
        <w:trPr>
          <w:cantSplit/>
          <w:trHeight w:val="488" w:hRule="atLeast"/>
        </w:trPr>
        <w:tc>
          <w:tcPr>
            <w:tcW w:w="2554" w:type="dxa"/>
            <w:tcBorders>
              <w:top w:val="single" w:color="auto" w:sz="6" w:space="0"/>
              <w:left w:val="single" w:color="auto" w:sz="6" w:space="0"/>
              <w:bottom w:val="single" w:color="auto" w:sz="6" w:space="0"/>
              <w:right w:val="single" w:color="auto" w:sz="6" w:space="0"/>
            </w:tcBorders>
            <w:vAlign w:val="center"/>
          </w:tcPr>
          <w:p w14:paraId="7DF61834">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学历</w:t>
            </w:r>
          </w:p>
        </w:tc>
        <w:tc>
          <w:tcPr>
            <w:tcW w:w="1787" w:type="dxa"/>
            <w:tcBorders>
              <w:top w:val="single" w:color="auto" w:sz="6" w:space="0"/>
              <w:left w:val="single" w:color="auto" w:sz="6" w:space="0"/>
              <w:bottom w:val="single" w:color="auto" w:sz="6" w:space="0"/>
              <w:right w:val="single" w:color="auto" w:sz="4" w:space="0"/>
            </w:tcBorders>
            <w:vAlign w:val="center"/>
          </w:tcPr>
          <w:p w14:paraId="2E65CDAD">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6AAC8DD5">
            <w:pPr>
              <w:autoSpaceDE w:val="0"/>
              <w:autoSpaceDN w:val="0"/>
              <w:spacing w:line="400" w:lineRule="exact"/>
              <w:jc w:val="center"/>
              <w:rPr>
                <w:rFonts w:ascii="仿宋" w:hAnsi="仿宋" w:eastAsia="仿宋" w:cs="仿宋"/>
                <w:color w:val="auto"/>
                <w:szCs w:val="24"/>
                <w:highlight w:val="none"/>
              </w:rPr>
            </w:pPr>
          </w:p>
        </w:tc>
      </w:tr>
      <w:tr w14:paraId="15803119">
        <w:tblPrEx>
          <w:tblCellMar>
            <w:top w:w="0" w:type="dxa"/>
            <w:left w:w="108" w:type="dxa"/>
            <w:bottom w:w="0" w:type="dxa"/>
            <w:right w:w="108" w:type="dxa"/>
          </w:tblCellMar>
        </w:tblPrEx>
        <w:trPr>
          <w:cantSplit/>
          <w:trHeight w:val="533" w:hRule="atLeast"/>
        </w:trPr>
        <w:tc>
          <w:tcPr>
            <w:tcW w:w="2554" w:type="dxa"/>
            <w:tcBorders>
              <w:top w:val="single" w:color="auto" w:sz="6" w:space="0"/>
              <w:left w:val="single" w:color="auto" w:sz="6" w:space="0"/>
              <w:bottom w:val="single" w:color="auto" w:sz="6" w:space="0"/>
              <w:right w:val="single" w:color="auto" w:sz="6" w:space="0"/>
            </w:tcBorders>
            <w:vAlign w:val="center"/>
          </w:tcPr>
          <w:p w14:paraId="7CAAAEE8">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资质证书</w:t>
            </w:r>
          </w:p>
        </w:tc>
        <w:tc>
          <w:tcPr>
            <w:tcW w:w="1787" w:type="dxa"/>
            <w:tcBorders>
              <w:top w:val="single" w:color="auto" w:sz="6" w:space="0"/>
              <w:left w:val="single" w:color="auto" w:sz="6" w:space="0"/>
              <w:bottom w:val="single" w:color="auto" w:sz="6" w:space="0"/>
              <w:right w:val="single" w:color="auto" w:sz="4" w:space="0"/>
            </w:tcBorders>
            <w:vAlign w:val="center"/>
          </w:tcPr>
          <w:p w14:paraId="5E606BD5">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5E3941C2">
            <w:pPr>
              <w:autoSpaceDE w:val="0"/>
              <w:autoSpaceDN w:val="0"/>
              <w:spacing w:line="400" w:lineRule="exact"/>
              <w:jc w:val="center"/>
              <w:rPr>
                <w:rFonts w:ascii="仿宋" w:hAnsi="仿宋" w:eastAsia="仿宋" w:cs="仿宋"/>
                <w:color w:val="auto"/>
                <w:szCs w:val="24"/>
                <w:highlight w:val="none"/>
              </w:rPr>
            </w:pPr>
          </w:p>
        </w:tc>
      </w:tr>
      <w:tr w14:paraId="1D421E7E">
        <w:tblPrEx>
          <w:tblCellMar>
            <w:top w:w="0" w:type="dxa"/>
            <w:left w:w="108" w:type="dxa"/>
            <w:bottom w:w="0" w:type="dxa"/>
            <w:right w:w="108" w:type="dxa"/>
          </w:tblCellMar>
        </w:tblPrEx>
        <w:trPr>
          <w:cantSplit/>
          <w:trHeight w:val="520" w:hRule="atLeast"/>
        </w:trPr>
        <w:tc>
          <w:tcPr>
            <w:tcW w:w="2554" w:type="dxa"/>
            <w:tcBorders>
              <w:top w:val="single" w:color="auto" w:sz="6" w:space="0"/>
              <w:left w:val="single" w:color="auto" w:sz="6" w:space="0"/>
              <w:bottom w:val="single" w:color="auto" w:sz="6" w:space="0"/>
              <w:right w:val="single" w:color="auto" w:sz="6" w:space="0"/>
            </w:tcBorders>
            <w:vAlign w:val="center"/>
          </w:tcPr>
          <w:p w14:paraId="2A47D1A2">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其他资质情况</w:t>
            </w:r>
          </w:p>
        </w:tc>
        <w:tc>
          <w:tcPr>
            <w:tcW w:w="1787" w:type="dxa"/>
            <w:tcBorders>
              <w:top w:val="single" w:color="auto" w:sz="6" w:space="0"/>
              <w:left w:val="single" w:color="auto" w:sz="6" w:space="0"/>
              <w:bottom w:val="single" w:color="auto" w:sz="6" w:space="0"/>
              <w:right w:val="single" w:color="auto" w:sz="4" w:space="0"/>
            </w:tcBorders>
            <w:vAlign w:val="center"/>
          </w:tcPr>
          <w:p w14:paraId="6A13B843">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1658B18D">
            <w:pPr>
              <w:autoSpaceDE w:val="0"/>
              <w:autoSpaceDN w:val="0"/>
              <w:spacing w:line="400" w:lineRule="exact"/>
              <w:jc w:val="center"/>
              <w:rPr>
                <w:rFonts w:ascii="仿宋" w:hAnsi="仿宋" w:eastAsia="仿宋" w:cs="仿宋"/>
                <w:color w:val="auto"/>
                <w:szCs w:val="24"/>
                <w:highlight w:val="none"/>
              </w:rPr>
            </w:pPr>
          </w:p>
        </w:tc>
      </w:tr>
      <w:tr w14:paraId="67A8173F">
        <w:tblPrEx>
          <w:tblCellMar>
            <w:top w:w="0" w:type="dxa"/>
            <w:left w:w="108" w:type="dxa"/>
            <w:bottom w:w="0" w:type="dxa"/>
            <w:right w:w="108" w:type="dxa"/>
          </w:tblCellMar>
        </w:tblPrEx>
        <w:trPr>
          <w:cantSplit/>
          <w:trHeight w:val="560" w:hRule="atLeast"/>
        </w:trPr>
        <w:tc>
          <w:tcPr>
            <w:tcW w:w="2554" w:type="dxa"/>
            <w:tcBorders>
              <w:top w:val="single" w:color="auto" w:sz="6" w:space="0"/>
              <w:left w:val="single" w:color="auto" w:sz="6" w:space="0"/>
              <w:bottom w:val="single" w:color="auto" w:sz="6" w:space="0"/>
              <w:right w:val="single" w:color="auto" w:sz="6" w:space="0"/>
            </w:tcBorders>
            <w:vAlign w:val="center"/>
          </w:tcPr>
          <w:p w14:paraId="45D0DF1D">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联系电话</w:t>
            </w:r>
          </w:p>
        </w:tc>
        <w:tc>
          <w:tcPr>
            <w:tcW w:w="1787" w:type="dxa"/>
            <w:tcBorders>
              <w:top w:val="single" w:color="auto" w:sz="6" w:space="0"/>
              <w:left w:val="single" w:color="auto" w:sz="6" w:space="0"/>
              <w:bottom w:val="single" w:color="auto" w:sz="6" w:space="0"/>
              <w:right w:val="single" w:color="auto" w:sz="4" w:space="0"/>
            </w:tcBorders>
            <w:vAlign w:val="center"/>
          </w:tcPr>
          <w:p w14:paraId="0D66566C">
            <w:pPr>
              <w:autoSpaceDE w:val="0"/>
              <w:autoSpaceDN w:val="0"/>
              <w:spacing w:line="400" w:lineRule="exact"/>
              <w:jc w:val="center"/>
              <w:rPr>
                <w:rFonts w:ascii="仿宋" w:hAnsi="仿宋" w:eastAsia="仿宋" w:cs="仿宋"/>
                <w:color w:val="auto"/>
                <w:szCs w:val="24"/>
                <w:highlight w:val="none"/>
              </w:rPr>
            </w:pPr>
          </w:p>
        </w:tc>
        <w:tc>
          <w:tcPr>
            <w:tcW w:w="4990" w:type="dxa"/>
            <w:vMerge w:val="continue"/>
            <w:tcBorders>
              <w:top w:val="single" w:color="auto" w:sz="6" w:space="0"/>
              <w:left w:val="single" w:color="auto" w:sz="6" w:space="0"/>
              <w:bottom w:val="single" w:color="auto" w:sz="6" w:space="0"/>
              <w:right w:val="single" w:color="auto" w:sz="6" w:space="0"/>
            </w:tcBorders>
            <w:vAlign w:val="center"/>
          </w:tcPr>
          <w:p w14:paraId="40A465DE">
            <w:pPr>
              <w:autoSpaceDE w:val="0"/>
              <w:autoSpaceDN w:val="0"/>
              <w:spacing w:line="400" w:lineRule="exact"/>
              <w:jc w:val="center"/>
              <w:rPr>
                <w:rFonts w:ascii="仿宋" w:hAnsi="仿宋" w:eastAsia="仿宋" w:cs="仿宋"/>
                <w:color w:val="auto"/>
                <w:szCs w:val="24"/>
                <w:highlight w:val="none"/>
              </w:rPr>
            </w:pPr>
          </w:p>
        </w:tc>
      </w:tr>
    </w:tbl>
    <w:p w14:paraId="25AA00BC">
      <w:pPr>
        <w:autoSpaceDE w:val="0"/>
        <w:autoSpaceDN w:val="0"/>
        <w:spacing w:line="40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注：随表</w:t>
      </w:r>
      <w:r>
        <w:rPr>
          <w:rFonts w:hint="eastAsia" w:ascii="仿宋" w:hAnsi="仿宋" w:eastAsia="仿宋" w:cs="仿宋"/>
          <w:b/>
          <w:bCs/>
          <w:color w:val="auto"/>
          <w:szCs w:val="24"/>
          <w:highlight w:val="none"/>
        </w:rPr>
        <w:t>提供相关职称证书或执业证书扫描件及投标人为其缴纳近3个月的社保证明并加盖CA签章。</w:t>
      </w:r>
    </w:p>
    <w:p w14:paraId="6C14D2F8">
      <w:pPr>
        <w:autoSpaceDE w:val="0"/>
        <w:autoSpaceDN w:val="0"/>
        <w:spacing w:line="400" w:lineRule="exact"/>
        <w:rPr>
          <w:rFonts w:ascii="仿宋" w:hAnsi="仿宋" w:eastAsia="仿宋" w:cs="仿宋"/>
          <w:b/>
          <w:color w:val="auto"/>
          <w:szCs w:val="24"/>
          <w:highlight w:val="none"/>
        </w:rPr>
      </w:pPr>
    </w:p>
    <w:p w14:paraId="050A6D88">
      <w:pPr>
        <w:autoSpaceDE w:val="0"/>
        <w:autoSpaceDN w:val="0"/>
        <w:spacing w:line="40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B：本项目的项目小组人员情况表</w:t>
      </w:r>
      <w:r>
        <w:rPr>
          <w:rFonts w:hint="eastAsia" w:ascii="仿宋" w:hAnsi="仿宋" w:eastAsia="仿宋" w:cs="仿宋"/>
          <w:color w:val="auto"/>
          <w:szCs w:val="24"/>
          <w:highlight w:val="none"/>
        </w:rPr>
        <w:t>（按此格式自制）</w:t>
      </w:r>
    </w:p>
    <w:tbl>
      <w:tblPr>
        <w:tblStyle w:val="79"/>
        <w:tblW w:w="9313" w:type="dxa"/>
        <w:tblInd w:w="7" w:type="dxa"/>
        <w:tblLayout w:type="fixed"/>
        <w:tblCellMar>
          <w:top w:w="0" w:type="dxa"/>
          <w:left w:w="108" w:type="dxa"/>
          <w:bottom w:w="0" w:type="dxa"/>
          <w:right w:w="108" w:type="dxa"/>
        </w:tblCellMar>
      </w:tblPr>
      <w:tblGrid>
        <w:gridCol w:w="609"/>
        <w:gridCol w:w="862"/>
        <w:gridCol w:w="725"/>
        <w:gridCol w:w="638"/>
        <w:gridCol w:w="1000"/>
        <w:gridCol w:w="875"/>
        <w:gridCol w:w="1004"/>
        <w:gridCol w:w="1211"/>
        <w:gridCol w:w="1166"/>
        <w:gridCol w:w="1223"/>
      </w:tblGrid>
      <w:tr w14:paraId="047AE825">
        <w:tblPrEx>
          <w:tblCellMar>
            <w:top w:w="0" w:type="dxa"/>
            <w:left w:w="108" w:type="dxa"/>
            <w:bottom w:w="0" w:type="dxa"/>
            <w:right w:w="108" w:type="dxa"/>
          </w:tblCellMar>
        </w:tblPrEx>
        <w:trPr>
          <w:trHeight w:val="910" w:hRule="atLeast"/>
        </w:trPr>
        <w:tc>
          <w:tcPr>
            <w:tcW w:w="609" w:type="dxa"/>
            <w:tcBorders>
              <w:top w:val="single" w:color="auto" w:sz="6" w:space="0"/>
              <w:left w:val="single" w:color="auto" w:sz="6" w:space="0"/>
              <w:bottom w:val="single" w:color="auto" w:sz="6" w:space="0"/>
              <w:right w:val="single" w:color="auto" w:sz="6" w:space="0"/>
            </w:tcBorders>
            <w:vAlign w:val="center"/>
          </w:tcPr>
          <w:p w14:paraId="52DF47BC">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862" w:type="dxa"/>
            <w:tcBorders>
              <w:top w:val="single" w:color="auto" w:sz="6" w:space="0"/>
              <w:left w:val="single" w:color="auto" w:sz="6" w:space="0"/>
              <w:bottom w:val="single" w:color="auto" w:sz="6" w:space="0"/>
              <w:right w:val="single" w:color="auto" w:sz="6" w:space="0"/>
            </w:tcBorders>
            <w:vAlign w:val="center"/>
          </w:tcPr>
          <w:p w14:paraId="23211F15">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姓名</w:t>
            </w:r>
          </w:p>
        </w:tc>
        <w:tc>
          <w:tcPr>
            <w:tcW w:w="725" w:type="dxa"/>
            <w:tcBorders>
              <w:top w:val="single" w:color="auto" w:sz="6" w:space="0"/>
              <w:left w:val="single" w:color="auto" w:sz="6" w:space="0"/>
              <w:bottom w:val="single" w:color="auto" w:sz="6" w:space="0"/>
              <w:right w:val="single" w:color="auto" w:sz="6" w:space="0"/>
            </w:tcBorders>
            <w:vAlign w:val="center"/>
          </w:tcPr>
          <w:p w14:paraId="2E67D4C5">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性别</w:t>
            </w:r>
          </w:p>
        </w:tc>
        <w:tc>
          <w:tcPr>
            <w:tcW w:w="638" w:type="dxa"/>
            <w:tcBorders>
              <w:top w:val="single" w:color="auto" w:sz="6" w:space="0"/>
              <w:left w:val="single" w:color="auto" w:sz="6" w:space="0"/>
              <w:bottom w:val="single" w:color="auto" w:sz="6" w:space="0"/>
              <w:right w:val="single" w:color="auto" w:sz="6" w:space="0"/>
            </w:tcBorders>
            <w:vAlign w:val="center"/>
          </w:tcPr>
          <w:p w14:paraId="0AC3564F">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年龄</w:t>
            </w:r>
          </w:p>
        </w:tc>
        <w:tc>
          <w:tcPr>
            <w:tcW w:w="1000" w:type="dxa"/>
            <w:tcBorders>
              <w:top w:val="single" w:color="auto" w:sz="6" w:space="0"/>
              <w:left w:val="single" w:color="auto" w:sz="6" w:space="0"/>
              <w:bottom w:val="single" w:color="auto" w:sz="6" w:space="0"/>
              <w:right w:val="single" w:color="auto" w:sz="6" w:space="0"/>
            </w:tcBorders>
            <w:vAlign w:val="center"/>
          </w:tcPr>
          <w:p w14:paraId="15B0DAC5">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学历</w:t>
            </w:r>
          </w:p>
          <w:p w14:paraId="5AB9E34F">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(页码)</w:t>
            </w:r>
          </w:p>
        </w:tc>
        <w:tc>
          <w:tcPr>
            <w:tcW w:w="875" w:type="dxa"/>
            <w:tcBorders>
              <w:top w:val="single" w:color="auto" w:sz="6" w:space="0"/>
              <w:left w:val="single" w:color="auto" w:sz="6" w:space="0"/>
              <w:bottom w:val="single" w:color="auto" w:sz="6" w:space="0"/>
              <w:right w:val="single" w:color="auto" w:sz="6" w:space="0"/>
            </w:tcBorders>
            <w:vAlign w:val="center"/>
          </w:tcPr>
          <w:p w14:paraId="45BC3770">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专业</w:t>
            </w:r>
          </w:p>
          <w:p w14:paraId="7316D25D">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(页码)</w:t>
            </w:r>
          </w:p>
        </w:tc>
        <w:tc>
          <w:tcPr>
            <w:tcW w:w="1004" w:type="dxa"/>
            <w:tcBorders>
              <w:top w:val="single" w:color="auto" w:sz="6" w:space="0"/>
              <w:left w:val="single" w:color="auto" w:sz="6" w:space="0"/>
              <w:bottom w:val="single" w:color="auto" w:sz="6" w:space="0"/>
              <w:right w:val="single" w:color="auto" w:sz="6" w:space="0"/>
            </w:tcBorders>
            <w:vAlign w:val="center"/>
          </w:tcPr>
          <w:p w14:paraId="3F616857">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职称</w:t>
            </w:r>
          </w:p>
          <w:p w14:paraId="5B7E5D5D">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(页码)</w:t>
            </w:r>
          </w:p>
        </w:tc>
        <w:tc>
          <w:tcPr>
            <w:tcW w:w="1211" w:type="dxa"/>
            <w:tcBorders>
              <w:top w:val="single" w:color="auto" w:sz="6" w:space="0"/>
              <w:left w:val="single" w:color="auto" w:sz="6" w:space="0"/>
              <w:bottom w:val="single" w:color="auto" w:sz="6" w:space="0"/>
              <w:right w:val="single" w:color="auto" w:sz="6" w:space="0"/>
            </w:tcBorders>
            <w:vAlign w:val="center"/>
          </w:tcPr>
          <w:p w14:paraId="68ABFBCD">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本项目中的职责</w:t>
            </w:r>
          </w:p>
        </w:tc>
        <w:tc>
          <w:tcPr>
            <w:tcW w:w="1166" w:type="dxa"/>
            <w:tcBorders>
              <w:top w:val="single" w:color="auto" w:sz="6" w:space="0"/>
              <w:left w:val="single" w:color="auto" w:sz="6" w:space="0"/>
              <w:bottom w:val="single" w:color="auto" w:sz="6" w:space="0"/>
              <w:right w:val="single" w:color="auto" w:sz="6" w:space="0"/>
            </w:tcBorders>
            <w:vAlign w:val="center"/>
          </w:tcPr>
          <w:p w14:paraId="3C68EFC1">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项目</w:t>
            </w:r>
          </w:p>
          <w:p w14:paraId="453D5BC4">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经历</w:t>
            </w:r>
          </w:p>
        </w:tc>
        <w:tc>
          <w:tcPr>
            <w:tcW w:w="1223" w:type="dxa"/>
            <w:tcBorders>
              <w:top w:val="single" w:color="auto" w:sz="6" w:space="0"/>
              <w:left w:val="single" w:color="auto" w:sz="6" w:space="0"/>
              <w:bottom w:val="single" w:color="auto" w:sz="6" w:space="0"/>
              <w:right w:val="single" w:color="auto" w:sz="6" w:space="0"/>
            </w:tcBorders>
            <w:vAlign w:val="center"/>
          </w:tcPr>
          <w:p w14:paraId="05F6865A">
            <w:pPr>
              <w:autoSpaceDE w:val="0"/>
              <w:autoSpaceDN w:val="0"/>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参与本项目的到位情况</w:t>
            </w:r>
          </w:p>
        </w:tc>
      </w:tr>
      <w:tr w14:paraId="71B4DA41">
        <w:tblPrEx>
          <w:tblCellMar>
            <w:top w:w="0" w:type="dxa"/>
            <w:left w:w="108" w:type="dxa"/>
            <w:bottom w:w="0" w:type="dxa"/>
            <w:right w:w="108" w:type="dxa"/>
          </w:tblCellMar>
        </w:tblPrEx>
        <w:trPr>
          <w:trHeight w:val="639" w:hRule="atLeast"/>
        </w:trPr>
        <w:tc>
          <w:tcPr>
            <w:tcW w:w="609" w:type="dxa"/>
            <w:tcBorders>
              <w:top w:val="single" w:color="auto" w:sz="6" w:space="0"/>
              <w:left w:val="single" w:color="auto" w:sz="6" w:space="0"/>
              <w:bottom w:val="single" w:color="auto" w:sz="6" w:space="0"/>
              <w:right w:val="single" w:color="auto" w:sz="6" w:space="0"/>
            </w:tcBorders>
          </w:tcPr>
          <w:p w14:paraId="48A66F63">
            <w:pPr>
              <w:autoSpaceDE w:val="0"/>
              <w:autoSpaceDN w:val="0"/>
              <w:spacing w:line="400" w:lineRule="exact"/>
              <w:jc w:val="center"/>
              <w:rPr>
                <w:rFonts w:ascii="仿宋" w:hAnsi="仿宋" w:eastAsia="仿宋" w:cs="仿宋"/>
                <w:color w:val="auto"/>
                <w:szCs w:val="24"/>
                <w:highlight w:val="none"/>
              </w:rPr>
            </w:pPr>
          </w:p>
        </w:tc>
        <w:tc>
          <w:tcPr>
            <w:tcW w:w="862" w:type="dxa"/>
            <w:tcBorders>
              <w:top w:val="single" w:color="auto" w:sz="6" w:space="0"/>
              <w:left w:val="single" w:color="auto" w:sz="6" w:space="0"/>
              <w:bottom w:val="single" w:color="auto" w:sz="6" w:space="0"/>
              <w:right w:val="single" w:color="auto" w:sz="6" w:space="0"/>
            </w:tcBorders>
          </w:tcPr>
          <w:p w14:paraId="0CFBF631">
            <w:pPr>
              <w:autoSpaceDE w:val="0"/>
              <w:autoSpaceDN w:val="0"/>
              <w:spacing w:line="400" w:lineRule="exact"/>
              <w:rPr>
                <w:rFonts w:ascii="仿宋" w:hAnsi="仿宋" w:eastAsia="仿宋" w:cs="仿宋"/>
                <w:color w:val="auto"/>
                <w:szCs w:val="24"/>
                <w:highlight w:val="none"/>
              </w:rPr>
            </w:pPr>
          </w:p>
        </w:tc>
        <w:tc>
          <w:tcPr>
            <w:tcW w:w="725" w:type="dxa"/>
            <w:tcBorders>
              <w:top w:val="single" w:color="auto" w:sz="6" w:space="0"/>
              <w:left w:val="single" w:color="auto" w:sz="6" w:space="0"/>
              <w:bottom w:val="single" w:color="auto" w:sz="6" w:space="0"/>
              <w:right w:val="single" w:color="auto" w:sz="6" w:space="0"/>
            </w:tcBorders>
          </w:tcPr>
          <w:p w14:paraId="5AC8BFD3">
            <w:pPr>
              <w:autoSpaceDE w:val="0"/>
              <w:autoSpaceDN w:val="0"/>
              <w:spacing w:line="400" w:lineRule="exact"/>
              <w:rPr>
                <w:rFonts w:ascii="仿宋" w:hAnsi="仿宋" w:eastAsia="仿宋" w:cs="仿宋"/>
                <w:color w:val="auto"/>
                <w:szCs w:val="24"/>
                <w:highlight w:val="none"/>
              </w:rPr>
            </w:pPr>
          </w:p>
        </w:tc>
        <w:tc>
          <w:tcPr>
            <w:tcW w:w="638" w:type="dxa"/>
            <w:tcBorders>
              <w:top w:val="single" w:color="auto" w:sz="6" w:space="0"/>
              <w:left w:val="single" w:color="auto" w:sz="6" w:space="0"/>
              <w:bottom w:val="single" w:color="auto" w:sz="6" w:space="0"/>
              <w:right w:val="single" w:color="auto" w:sz="6" w:space="0"/>
            </w:tcBorders>
          </w:tcPr>
          <w:p w14:paraId="66FA9B34">
            <w:pPr>
              <w:autoSpaceDE w:val="0"/>
              <w:autoSpaceDN w:val="0"/>
              <w:spacing w:line="400" w:lineRule="exact"/>
              <w:rPr>
                <w:rFonts w:ascii="仿宋" w:hAnsi="仿宋" w:eastAsia="仿宋" w:cs="仿宋"/>
                <w:color w:val="auto"/>
                <w:szCs w:val="24"/>
                <w:highlight w:val="none"/>
              </w:rPr>
            </w:pPr>
          </w:p>
        </w:tc>
        <w:tc>
          <w:tcPr>
            <w:tcW w:w="1000" w:type="dxa"/>
            <w:tcBorders>
              <w:top w:val="single" w:color="auto" w:sz="6" w:space="0"/>
              <w:left w:val="single" w:color="auto" w:sz="6" w:space="0"/>
              <w:bottom w:val="single" w:color="auto" w:sz="6" w:space="0"/>
              <w:right w:val="single" w:color="auto" w:sz="6" w:space="0"/>
            </w:tcBorders>
          </w:tcPr>
          <w:p w14:paraId="4FA9A126">
            <w:pPr>
              <w:autoSpaceDE w:val="0"/>
              <w:autoSpaceDN w:val="0"/>
              <w:spacing w:line="400" w:lineRule="exact"/>
              <w:rPr>
                <w:rFonts w:ascii="仿宋" w:hAnsi="仿宋" w:eastAsia="仿宋" w:cs="仿宋"/>
                <w:color w:val="auto"/>
                <w:szCs w:val="24"/>
                <w:highlight w:val="none"/>
              </w:rPr>
            </w:pPr>
          </w:p>
        </w:tc>
        <w:tc>
          <w:tcPr>
            <w:tcW w:w="875" w:type="dxa"/>
            <w:tcBorders>
              <w:top w:val="single" w:color="auto" w:sz="6" w:space="0"/>
              <w:left w:val="single" w:color="auto" w:sz="6" w:space="0"/>
              <w:bottom w:val="single" w:color="auto" w:sz="6" w:space="0"/>
              <w:right w:val="single" w:color="auto" w:sz="6" w:space="0"/>
            </w:tcBorders>
          </w:tcPr>
          <w:p w14:paraId="32E98300">
            <w:pPr>
              <w:autoSpaceDE w:val="0"/>
              <w:autoSpaceDN w:val="0"/>
              <w:spacing w:line="400" w:lineRule="exact"/>
              <w:rPr>
                <w:rFonts w:ascii="仿宋" w:hAnsi="仿宋" w:eastAsia="仿宋" w:cs="仿宋"/>
                <w:color w:val="auto"/>
                <w:szCs w:val="24"/>
                <w:highlight w:val="none"/>
              </w:rPr>
            </w:pPr>
          </w:p>
        </w:tc>
        <w:tc>
          <w:tcPr>
            <w:tcW w:w="1004" w:type="dxa"/>
            <w:tcBorders>
              <w:top w:val="single" w:color="auto" w:sz="6" w:space="0"/>
              <w:left w:val="single" w:color="auto" w:sz="6" w:space="0"/>
              <w:bottom w:val="single" w:color="auto" w:sz="6" w:space="0"/>
              <w:right w:val="single" w:color="auto" w:sz="6" w:space="0"/>
            </w:tcBorders>
          </w:tcPr>
          <w:p w14:paraId="68987FB3">
            <w:pPr>
              <w:autoSpaceDE w:val="0"/>
              <w:autoSpaceDN w:val="0"/>
              <w:spacing w:line="400" w:lineRule="exact"/>
              <w:rPr>
                <w:rFonts w:ascii="仿宋" w:hAnsi="仿宋" w:eastAsia="仿宋" w:cs="仿宋"/>
                <w:color w:val="auto"/>
                <w:szCs w:val="24"/>
                <w:highlight w:val="none"/>
              </w:rPr>
            </w:pPr>
          </w:p>
        </w:tc>
        <w:tc>
          <w:tcPr>
            <w:tcW w:w="1211" w:type="dxa"/>
            <w:tcBorders>
              <w:top w:val="single" w:color="auto" w:sz="6" w:space="0"/>
              <w:left w:val="single" w:color="auto" w:sz="6" w:space="0"/>
              <w:bottom w:val="single" w:color="auto" w:sz="6" w:space="0"/>
              <w:right w:val="single" w:color="auto" w:sz="6" w:space="0"/>
            </w:tcBorders>
          </w:tcPr>
          <w:p w14:paraId="4BA1BDDD">
            <w:pPr>
              <w:autoSpaceDE w:val="0"/>
              <w:autoSpaceDN w:val="0"/>
              <w:spacing w:line="400" w:lineRule="exact"/>
              <w:rPr>
                <w:rFonts w:ascii="仿宋" w:hAnsi="仿宋" w:eastAsia="仿宋" w:cs="仿宋"/>
                <w:color w:val="auto"/>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14:paraId="58E85C5F">
            <w:pPr>
              <w:autoSpaceDE w:val="0"/>
              <w:autoSpaceDN w:val="0"/>
              <w:spacing w:line="400" w:lineRule="exact"/>
              <w:rPr>
                <w:rFonts w:ascii="仿宋" w:hAnsi="仿宋" w:eastAsia="仿宋" w:cs="仿宋"/>
                <w:color w:val="auto"/>
                <w:szCs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483306A5">
            <w:pPr>
              <w:autoSpaceDE w:val="0"/>
              <w:autoSpaceDN w:val="0"/>
              <w:spacing w:line="400" w:lineRule="exact"/>
              <w:rPr>
                <w:rFonts w:ascii="仿宋" w:hAnsi="仿宋" w:eastAsia="仿宋" w:cs="仿宋"/>
                <w:color w:val="auto"/>
                <w:szCs w:val="24"/>
                <w:highlight w:val="none"/>
              </w:rPr>
            </w:pPr>
          </w:p>
        </w:tc>
      </w:tr>
      <w:tr w14:paraId="6178E1B5">
        <w:tblPrEx>
          <w:tblCellMar>
            <w:top w:w="0" w:type="dxa"/>
            <w:left w:w="108" w:type="dxa"/>
            <w:bottom w:w="0" w:type="dxa"/>
            <w:right w:w="108" w:type="dxa"/>
          </w:tblCellMar>
        </w:tblPrEx>
        <w:trPr>
          <w:trHeight w:val="621" w:hRule="atLeast"/>
        </w:trPr>
        <w:tc>
          <w:tcPr>
            <w:tcW w:w="609" w:type="dxa"/>
            <w:tcBorders>
              <w:top w:val="single" w:color="auto" w:sz="6" w:space="0"/>
              <w:left w:val="single" w:color="auto" w:sz="6" w:space="0"/>
              <w:bottom w:val="single" w:color="auto" w:sz="6" w:space="0"/>
              <w:right w:val="single" w:color="auto" w:sz="6" w:space="0"/>
            </w:tcBorders>
          </w:tcPr>
          <w:p w14:paraId="7571DCFE">
            <w:pPr>
              <w:autoSpaceDE w:val="0"/>
              <w:autoSpaceDN w:val="0"/>
              <w:spacing w:line="400" w:lineRule="exact"/>
              <w:jc w:val="center"/>
              <w:rPr>
                <w:rFonts w:ascii="仿宋" w:hAnsi="仿宋" w:eastAsia="仿宋" w:cs="仿宋"/>
                <w:color w:val="auto"/>
                <w:szCs w:val="24"/>
                <w:highlight w:val="none"/>
              </w:rPr>
            </w:pPr>
          </w:p>
        </w:tc>
        <w:tc>
          <w:tcPr>
            <w:tcW w:w="862" w:type="dxa"/>
            <w:tcBorders>
              <w:top w:val="single" w:color="auto" w:sz="6" w:space="0"/>
              <w:left w:val="single" w:color="auto" w:sz="6" w:space="0"/>
              <w:bottom w:val="single" w:color="auto" w:sz="6" w:space="0"/>
              <w:right w:val="single" w:color="auto" w:sz="6" w:space="0"/>
            </w:tcBorders>
          </w:tcPr>
          <w:p w14:paraId="327A42D4">
            <w:pPr>
              <w:autoSpaceDE w:val="0"/>
              <w:autoSpaceDN w:val="0"/>
              <w:spacing w:line="400" w:lineRule="exact"/>
              <w:rPr>
                <w:rFonts w:ascii="仿宋" w:hAnsi="仿宋" w:eastAsia="仿宋" w:cs="仿宋"/>
                <w:color w:val="auto"/>
                <w:szCs w:val="24"/>
                <w:highlight w:val="none"/>
              </w:rPr>
            </w:pPr>
          </w:p>
        </w:tc>
        <w:tc>
          <w:tcPr>
            <w:tcW w:w="725" w:type="dxa"/>
            <w:tcBorders>
              <w:top w:val="single" w:color="auto" w:sz="6" w:space="0"/>
              <w:left w:val="single" w:color="auto" w:sz="6" w:space="0"/>
              <w:bottom w:val="single" w:color="auto" w:sz="6" w:space="0"/>
              <w:right w:val="single" w:color="auto" w:sz="6" w:space="0"/>
            </w:tcBorders>
          </w:tcPr>
          <w:p w14:paraId="726BFAF6">
            <w:pPr>
              <w:autoSpaceDE w:val="0"/>
              <w:autoSpaceDN w:val="0"/>
              <w:spacing w:line="400" w:lineRule="exact"/>
              <w:rPr>
                <w:rFonts w:ascii="仿宋" w:hAnsi="仿宋" w:eastAsia="仿宋" w:cs="仿宋"/>
                <w:color w:val="auto"/>
                <w:szCs w:val="24"/>
                <w:highlight w:val="none"/>
              </w:rPr>
            </w:pPr>
          </w:p>
        </w:tc>
        <w:tc>
          <w:tcPr>
            <w:tcW w:w="638" w:type="dxa"/>
            <w:tcBorders>
              <w:top w:val="single" w:color="auto" w:sz="6" w:space="0"/>
              <w:left w:val="single" w:color="auto" w:sz="6" w:space="0"/>
              <w:bottom w:val="single" w:color="auto" w:sz="6" w:space="0"/>
              <w:right w:val="single" w:color="auto" w:sz="6" w:space="0"/>
            </w:tcBorders>
          </w:tcPr>
          <w:p w14:paraId="61C4E7C8">
            <w:pPr>
              <w:autoSpaceDE w:val="0"/>
              <w:autoSpaceDN w:val="0"/>
              <w:spacing w:line="400" w:lineRule="exact"/>
              <w:rPr>
                <w:rFonts w:ascii="仿宋" w:hAnsi="仿宋" w:eastAsia="仿宋" w:cs="仿宋"/>
                <w:color w:val="auto"/>
                <w:szCs w:val="24"/>
                <w:highlight w:val="none"/>
              </w:rPr>
            </w:pPr>
          </w:p>
        </w:tc>
        <w:tc>
          <w:tcPr>
            <w:tcW w:w="1000" w:type="dxa"/>
            <w:tcBorders>
              <w:top w:val="single" w:color="auto" w:sz="6" w:space="0"/>
              <w:left w:val="single" w:color="auto" w:sz="6" w:space="0"/>
              <w:bottom w:val="single" w:color="auto" w:sz="6" w:space="0"/>
              <w:right w:val="single" w:color="auto" w:sz="6" w:space="0"/>
            </w:tcBorders>
          </w:tcPr>
          <w:p w14:paraId="6778D337">
            <w:pPr>
              <w:autoSpaceDE w:val="0"/>
              <w:autoSpaceDN w:val="0"/>
              <w:spacing w:line="400" w:lineRule="exact"/>
              <w:rPr>
                <w:rFonts w:ascii="仿宋" w:hAnsi="仿宋" w:eastAsia="仿宋" w:cs="仿宋"/>
                <w:color w:val="auto"/>
                <w:szCs w:val="24"/>
                <w:highlight w:val="none"/>
              </w:rPr>
            </w:pPr>
          </w:p>
        </w:tc>
        <w:tc>
          <w:tcPr>
            <w:tcW w:w="875" w:type="dxa"/>
            <w:tcBorders>
              <w:top w:val="single" w:color="auto" w:sz="6" w:space="0"/>
              <w:left w:val="single" w:color="auto" w:sz="6" w:space="0"/>
              <w:bottom w:val="single" w:color="auto" w:sz="6" w:space="0"/>
              <w:right w:val="single" w:color="auto" w:sz="6" w:space="0"/>
            </w:tcBorders>
          </w:tcPr>
          <w:p w14:paraId="6381CC3D">
            <w:pPr>
              <w:autoSpaceDE w:val="0"/>
              <w:autoSpaceDN w:val="0"/>
              <w:spacing w:line="400" w:lineRule="exact"/>
              <w:rPr>
                <w:rFonts w:ascii="仿宋" w:hAnsi="仿宋" w:eastAsia="仿宋" w:cs="仿宋"/>
                <w:color w:val="auto"/>
                <w:szCs w:val="24"/>
                <w:highlight w:val="none"/>
              </w:rPr>
            </w:pPr>
          </w:p>
        </w:tc>
        <w:tc>
          <w:tcPr>
            <w:tcW w:w="1004" w:type="dxa"/>
            <w:tcBorders>
              <w:top w:val="single" w:color="auto" w:sz="6" w:space="0"/>
              <w:left w:val="single" w:color="auto" w:sz="6" w:space="0"/>
              <w:bottom w:val="single" w:color="auto" w:sz="6" w:space="0"/>
              <w:right w:val="single" w:color="auto" w:sz="6" w:space="0"/>
            </w:tcBorders>
          </w:tcPr>
          <w:p w14:paraId="47963DAB">
            <w:pPr>
              <w:autoSpaceDE w:val="0"/>
              <w:autoSpaceDN w:val="0"/>
              <w:spacing w:line="400" w:lineRule="exact"/>
              <w:rPr>
                <w:rFonts w:ascii="仿宋" w:hAnsi="仿宋" w:eastAsia="仿宋" w:cs="仿宋"/>
                <w:color w:val="auto"/>
                <w:szCs w:val="24"/>
                <w:highlight w:val="none"/>
              </w:rPr>
            </w:pPr>
          </w:p>
        </w:tc>
        <w:tc>
          <w:tcPr>
            <w:tcW w:w="1211" w:type="dxa"/>
            <w:tcBorders>
              <w:top w:val="single" w:color="auto" w:sz="6" w:space="0"/>
              <w:left w:val="single" w:color="auto" w:sz="6" w:space="0"/>
              <w:bottom w:val="single" w:color="auto" w:sz="6" w:space="0"/>
              <w:right w:val="single" w:color="auto" w:sz="6" w:space="0"/>
            </w:tcBorders>
          </w:tcPr>
          <w:p w14:paraId="0A7CB6CA">
            <w:pPr>
              <w:autoSpaceDE w:val="0"/>
              <w:autoSpaceDN w:val="0"/>
              <w:spacing w:line="400" w:lineRule="exact"/>
              <w:rPr>
                <w:rFonts w:ascii="仿宋" w:hAnsi="仿宋" w:eastAsia="仿宋" w:cs="仿宋"/>
                <w:color w:val="auto"/>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14:paraId="2A03B70A">
            <w:pPr>
              <w:autoSpaceDE w:val="0"/>
              <w:autoSpaceDN w:val="0"/>
              <w:spacing w:line="400" w:lineRule="exact"/>
              <w:rPr>
                <w:rFonts w:ascii="仿宋" w:hAnsi="仿宋" w:eastAsia="仿宋" w:cs="仿宋"/>
                <w:color w:val="auto"/>
                <w:szCs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6EF70F01">
            <w:pPr>
              <w:autoSpaceDE w:val="0"/>
              <w:autoSpaceDN w:val="0"/>
              <w:spacing w:line="400" w:lineRule="exact"/>
              <w:rPr>
                <w:rFonts w:ascii="仿宋" w:hAnsi="仿宋" w:eastAsia="仿宋" w:cs="仿宋"/>
                <w:color w:val="auto"/>
                <w:szCs w:val="24"/>
                <w:highlight w:val="none"/>
              </w:rPr>
            </w:pPr>
          </w:p>
        </w:tc>
      </w:tr>
      <w:tr w14:paraId="5C98FEA9">
        <w:tblPrEx>
          <w:tblCellMar>
            <w:top w:w="0" w:type="dxa"/>
            <w:left w:w="108" w:type="dxa"/>
            <w:bottom w:w="0" w:type="dxa"/>
            <w:right w:w="108" w:type="dxa"/>
          </w:tblCellMar>
        </w:tblPrEx>
        <w:trPr>
          <w:trHeight w:val="512" w:hRule="atLeast"/>
        </w:trPr>
        <w:tc>
          <w:tcPr>
            <w:tcW w:w="609" w:type="dxa"/>
            <w:tcBorders>
              <w:top w:val="single" w:color="auto" w:sz="6" w:space="0"/>
              <w:left w:val="single" w:color="auto" w:sz="6" w:space="0"/>
              <w:bottom w:val="single" w:color="auto" w:sz="6" w:space="0"/>
              <w:right w:val="single" w:color="auto" w:sz="6" w:space="0"/>
            </w:tcBorders>
          </w:tcPr>
          <w:p w14:paraId="6665B432">
            <w:pPr>
              <w:autoSpaceDE w:val="0"/>
              <w:autoSpaceDN w:val="0"/>
              <w:spacing w:line="400" w:lineRule="exact"/>
              <w:jc w:val="center"/>
              <w:rPr>
                <w:rFonts w:ascii="仿宋" w:hAnsi="仿宋" w:eastAsia="仿宋" w:cs="仿宋"/>
                <w:color w:val="auto"/>
                <w:szCs w:val="24"/>
                <w:highlight w:val="none"/>
              </w:rPr>
            </w:pPr>
          </w:p>
        </w:tc>
        <w:tc>
          <w:tcPr>
            <w:tcW w:w="862" w:type="dxa"/>
            <w:tcBorders>
              <w:top w:val="single" w:color="auto" w:sz="6" w:space="0"/>
              <w:left w:val="single" w:color="auto" w:sz="6" w:space="0"/>
              <w:bottom w:val="single" w:color="auto" w:sz="6" w:space="0"/>
              <w:right w:val="single" w:color="auto" w:sz="6" w:space="0"/>
            </w:tcBorders>
          </w:tcPr>
          <w:p w14:paraId="45A02BD6">
            <w:pPr>
              <w:autoSpaceDE w:val="0"/>
              <w:autoSpaceDN w:val="0"/>
              <w:spacing w:line="400" w:lineRule="exact"/>
              <w:rPr>
                <w:rFonts w:ascii="仿宋" w:hAnsi="仿宋" w:eastAsia="仿宋" w:cs="仿宋"/>
                <w:color w:val="auto"/>
                <w:szCs w:val="24"/>
                <w:highlight w:val="none"/>
              </w:rPr>
            </w:pPr>
          </w:p>
        </w:tc>
        <w:tc>
          <w:tcPr>
            <w:tcW w:w="725" w:type="dxa"/>
            <w:tcBorders>
              <w:top w:val="single" w:color="auto" w:sz="6" w:space="0"/>
              <w:left w:val="single" w:color="auto" w:sz="6" w:space="0"/>
              <w:bottom w:val="single" w:color="auto" w:sz="6" w:space="0"/>
              <w:right w:val="single" w:color="auto" w:sz="6" w:space="0"/>
            </w:tcBorders>
          </w:tcPr>
          <w:p w14:paraId="3F5D83CF">
            <w:pPr>
              <w:autoSpaceDE w:val="0"/>
              <w:autoSpaceDN w:val="0"/>
              <w:spacing w:line="400" w:lineRule="exact"/>
              <w:rPr>
                <w:rFonts w:ascii="仿宋" w:hAnsi="仿宋" w:eastAsia="仿宋" w:cs="仿宋"/>
                <w:color w:val="auto"/>
                <w:szCs w:val="24"/>
                <w:highlight w:val="none"/>
              </w:rPr>
            </w:pPr>
          </w:p>
        </w:tc>
        <w:tc>
          <w:tcPr>
            <w:tcW w:w="638" w:type="dxa"/>
            <w:tcBorders>
              <w:top w:val="single" w:color="auto" w:sz="6" w:space="0"/>
              <w:left w:val="single" w:color="auto" w:sz="6" w:space="0"/>
              <w:bottom w:val="single" w:color="auto" w:sz="6" w:space="0"/>
              <w:right w:val="single" w:color="auto" w:sz="6" w:space="0"/>
            </w:tcBorders>
          </w:tcPr>
          <w:p w14:paraId="2932CAA0">
            <w:pPr>
              <w:autoSpaceDE w:val="0"/>
              <w:autoSpaceDN w:val="0"/>
              <w:spacing w:line="400" w:lineRule="exact"/>
              <w:rPr>
                <w:rFonts w:ascii="仿宋" w:hAnsi="仿宋" w:eastAsia="仿宋" w:cs="仿宋"/>
                <w:color w:val="auto"/>
                <w:szCs w:val="24"/>
                <w:highlight w:val="none"/>
              </w:rPr>
            </w:pPr>
          </w:p>
        </w:tc>
        <w:tc>
          <w:tcPr>
            <w:tcW w:w="1000" w:type="dxa"/>
            <w:tcBorders>
              <w:top w:val="single" w:color="auto" w:sz="6" w:space="0"/>
              <w:left w:val="single" w:color="auto" w:sz="6" w:space="0"/>
              <w:bottom w:val="single" w:color="auto" w:sz="6" w:space="0"/>
              <w:right w:val="single" w:color="auto" w:sz="6" w:space="0"/>
            </w:tcBorders>
          </w:tcPr>
          <w:p w14:paraId="606F069A">
            <w:pPr>
              <w:autoSpaceDE w:val="0"/>
              <w:autoSpaceDN w:val="0"/>
              <w:spacing w:line="400" w:lineRule="exact"/>
              <w:rPr>
                <w:rFonts w:ascii="仿宋" w:hAnsi="仿宋" w:eastAsia="仿宋" w:cs="仿宋"/>
                <w:color w:val="auto"/>
                <w:szCs w:val="24"/>
                <w:highlight w:val="none"/>
              </w:rPr>
            </w:pPr>
          </w:p>
        </w:tc>
        <w:tc>
          <w:tcPr>
            <w:tcW w:w="875" w:type="dxa"/>
            <w:tcBorders>
              <w:top w:val="single" w:color="auto" w:sz="6" w:space="0"/>
              <w:left w:val="single" w:color="auto" w:sz="6" w:space="0"/>
              <w:bottom w:val="single" w:color="auto" w:sz="6" w:space="0"/>
              <w:right w:val="single" w:color="auto" w:sz="6" w:space="0"/>
            </w:tcBorders>
          </w:tcPr>
          <w:p w14:paraId="1C115D09">
            <w:pPr>
              <w:autoSpaceDE w:val="0"/>
              <w:autoSpaceDN w:val="0"/>
              <w:spacing w:line="400" w:lineRule="exact"/>
              <w:rPr>
                <w:rFonts w:ascii="仿宋" w:hAnsi="仿宋" w:eastAsia="仿宋" w:cs="仿宋"/>
                <w:color w:val="auto"/>
                <w:szCs w:val="24"/>
                <w:highlight w:val="none"/>
              </w:rPr>
            </w:pPr>
          </w:p>
        </w:tc>
        <w:tc>
          <w:tcPr>
            <w:tcW w:w="1004" w:type="dxa"/>
            <w:tcBorders>
              <w:top w:val="single" w:color="auto" w:sz="6" w:space="0"/>
              <w:left w:val="single" w:color="auto" w:sz="6" w:space="0"/>
              <w:bottom w:val="single" w:color="auto" w:sz="6" w:space="0"/>
              <w:right w:val="single" w:color="auto" w:sz="6" w:space="0"/>
            </w:tcBorders>
          </w:tcPr>
          <w:p w14:paraId="1EDA895F">
            <w:pPr>
              <w:autoSpaceDE w:val="0"/>
              <w:autoSpaceDN w:val="0"/>
              <w:spacing w:line="400" w:lineRule="exact"/>
              <w:rPr>
                <w:rFonts w:ascii="仿宋" w:hAnsi="仿宋" w:eastAsia="仿宋" w:cs="仿宋"/>
                <w:color w:val="auto"/>
                <w:szCs w:val="24"/>
                <w:highlight w:val="none"/>
              </w:rPr>
            </w:pPr>
          </w:p>
        </w:tc>
        <w:tc>
          <w:tcPr>
            <w:tcW w:w="1211" w:type="dxa"/>
            <w:tcBorders>
              <w:top w:val="single" w:color="auto" w:sz="6" w:space="0"/>
              <w:left w:val="single" w:color="auto" w:sz="6" w:space="0"/>
              <w:bottom w:val="single" w:color="auto" w:sz="6" w:space="0"/>
              <w:right w:val="single" w:color="auto" w:sz="6" w:space="0"/>
            </w:tcBorders>
          </w:tcPr>
          <w:p w14:paraId="07798116">
            <w:pPr>
              <w:autoSpaceDE w:val="0"/>
              <w:autoSpaceDN w:val="0"/>
              <w:spacing w:line="400" w:lineRule="exact"/>
              <w:rPr>
                <w:rFonts w:ascii="仿宋" w:hAnsi="仿宋" w:eastAsia="仿宋" w:cs="仿宋"/>
                <w:color w:val="auto"/>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14:paraId="443F9D9F">
            <w:pPr>
              <w:autoSpaceDE w:val="0"/>
              <w:autoSpaceDN w:val="0"/>
              <w:spacing w:line="400" w:lineRule="exact"/>
              <w:rPr>
                <w:rFonts w:ascii="仿宋" w:hAnsi="仿宋" w:eastAsia="仿宋" w:cs="仿宋"/>
                <w:color w:val="auto"/>
                <w:szCs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4D073548">
            <w:pPr>
              <w:autoSpaceDE w:val="0"/>
              <w:autoSpaceDN w:val="0"/>
              <w:spacing w:line="400" w:lineRule="exact"/>
              <w:rPr>
                <w:rFonts w:ascii="仿宋" w:hAnsi="仿宋" w:eastAsia="仿宋" w:cs="仿宋"/>
                <w:color w:val="auto"/>
                <w:szCs w:val="24"/>
                <w:highlight w:val="none"/>
              </w:rPr>
            </w:pPr>
          </w:p>
        </w:tc>
      </w:tr>
    </w:tbl>
    <w:p w14:paraId="3F33F1DE">
      <w:pPr>
        <w:spacing w:line="400" w:lineRule="exact"/>
        <w:jc w:val="left"/>
        <w:rPr>
          <w:rFonts w:ascii="仿宋" w:hAnsi="仿宋" w:eastAsia="仿宋" w:cs="仿宋"/>
          <w:b/>
          <w:color w:val="auto"/>
          <w:szCs w:val="24"/>
          <w:highlight w:val="none"/>
        </w:rPr>
      </w:pPr>
      <w:r>
        <w:rPr>
          <w:rFonts w:hint="eastAsia" w:ascii="仿宋" w:hAnsi="仿宋" w:eastAsia="仿宋" w:cs="仿宋"/>
          <w:b/>
          <w:color w:val="auto"/>
          <w:szCs w:val="24"/>
          <w:highlight w:val="none"/>
        </w:rPr>
        <w:t>注：供应商可按上述的格式自行编制，须随表提供</w:t>
      </w:r>
      <w:r>
        <w:rPr>
          <w:rFonts w:hint="eastAsia" w:ascii="仿宋" w:hAnsi="仿宋" w:eastAsia="仿宋" w:cs="仿宋"/>
          <w:b/>
          <w:bCs/>
          <w:color w:val="auto"/>
          <w:szCs w:val="24"/>
          <w:highlight w:val="none"/>
        </w:rPr>
        <w:t>相关职称证书扫描件及投标人为其缴纳近3个月的社保证明并加盖CA签章。</w:t>
      </w:r>
    </w:p>
    <w:p w14:paraId="7E019AE2">
      <w:pPr>
        <w:spacing w:line="360" w:lineRule="auto"/>
        <w:jc w:val="center"/>
        <w:rPr>
          <w:rFonts w:ascii="仿宋_GB2312" w:hAnsi="仿宋_GB2312" w:eastAsia="仿宋_GB2312" w:cs="仿宋_GB2312"/>
          <w:b/>
          <w:bCs/>
          <w:color w:val="auto"/>
          <w:sz w:val="32"/>
          <w:szCs w:val="32"/>
          <w:highlight w:val="none"/>
        </w:rPr>
      </w:pPr>
    </w:p>
    <w:p w14:paraId="6EC82628">
      <w:pPr>
        <w:spacing w:line="360" w:lineRule="auto"/>
        <w:rPr>
          <w:rFonts w:ascii="仿宋" w:hAnsi="仿宋" w:eastAsia="仿宋" w:cs="仿宋"/>
          <w:b/>
          <w:bCs/>
          <w:color w:val="auto"/>
          <w:sz w:val="32"/>
          <w:szCs w:val="32"/>
          <w:highlight w:val="none"/>
        </w:rPr>
      </w:pPr>
    </w:p>
    <w:p w14:paraId="57C9D5B6">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（八）设备配置清单（如有）</w:t>
      </w:r>
    </w:p>
    <w:tbl>
      <w:tblPr>
        <w:tblStyle w:val="7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EFF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C6BDAAA">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531" w:type="dxa"/>
            <w:vAlign w:val="center"/>
          </w:tcPr>
          <w:p w14:paraId="402C2F19">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产品名称</w:t>
            </w:r>
          </w:p>
        </w:tc>
        <w:tc>
          <w:tcPr>
            <w:tcW w:w="2160" w:type="dxa"/>
            <w:vAlign w:val="center"/>
          </w:tcPr>
          <w:p w14:paraId="1FDA5A3B">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投标品牌及型号</w:t>
            </w:r>
          </w:p>
        </w:tc>
        <w:tc>
          <w:tcPr>
            <w:tcW w:w="2340" w:type="dxa"/>
            <w:vAlign w:val="center"/>
          </w:tcPr>
          <w:p w14:paraId="4D489D2B">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规格配置详细说明</w:t>
            </w:r>
          </w:p>
        </w:tc>
        <w:tc>
          <w:tcPr>
            <w:tcW w:w="1080" w:type="dxa"/>
            <w:vAlign w:val="center"/>
          </w:tcPr>
          <w:p w14:paraId="6E07C1EE">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332" w:type="dxa"/>
            <w:vAlign w:val="center"/>
          </w:tcPr>
          <w:p w14:paraId="3AB0E7A6">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4E3F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9A20C0E">
            <w:pPr>
              <w:spacing w:line="360" w:lineRule="auto"/>
              <w:jc w:val="center"/>
              <w:rPr>
                <w:rFonts w:ascii="仿宋" w:hAnsi="仿宋" w:eastAsia="仿宋" w:cs="仿宋"/>
                <w:color w:val="auto"/>
                <w:szCs w:val="24"/>
                <w:highlight w:val="none"/>
              </w:rPr>
            </w:pPr>
          </w:p>
        </w:tc>
        <w:tc>
          <w:tcPr>
            <w:tcW w:w="1531" w:type="dxa"/>
            <w:vAlign w:val="center"/>
          </w:tcPr>
          <w:p w14:paraId="0A634EDB">
            <w:pPr>
              <w:snapToGrid w:val="0"/>
              <w:spacing w:line="360" w:lineRule="auto"/>
              <w:jc w:val="center"/>
              <w:rPr>
                <w:rFonts w:ascii="仿宋" w:hAnsi="仿宋" w:eastAsia="仿宋" w:cs="仿宋"/>
                <w:color w:val="auto"/>
                <w:szCs w:val="24"/>
                <w:highlight w:val="none"/>
              </w:rPr>
            </w:pPr>
          </w:p>
        </w:tc>
        <w:tc>
          <w:tcPr>
            <w:tcW w:w="2160" w:type="dxa"/>
            <w:vAlign w:val="center"/>
          </w:tcPr>
          <w:p w14:paraId="32BC547C">
            <w:pPr>
              <w:snapToGrid w:val="0"/>
              <w:spacing w:line="360" w:lineRule="auto"/>
              <w:jc w:val="center"/>
              <w:rPr>
                <w:rFonts w:ascii="仿宋" w:hAnsi="仿宋" w:eastAsia="仿宋" w:cs="仿宋"/>
                <w:color w:val="auto"/>
                <w:szCs w:val="24"/>
                <w:highlight w:val="none"/>
              </w:rPr>
            </w:pPr>
          </w:p>
        </w:tc>
        <w:tc>
          <w:tcPr>
            <w:tcW w:w="2340" w:type="dxa"/>
            <w:vAlign w:val="center"/>
          </w:tcPr>
          <w:p w14:paraId="0374C9D1">
            <w:pPr>
              <w:spacing w:line="360" w:lineRule="auto"/>
              <w:jc w:val="center"/>
              <w:rPr>
                <w:rFonts w:ascii="仿宋" w:hAnsi="仿宋" w:eastAsia="仿宋" w:cs="仿宋"/>
                <w:color w:val="auto"/>
                <w:szCs w:val="24"/>
                <w:highlight w:val="none"/>
              </w:rPr>
            </w:pPr>
          </w:p>
        </w:tc>
        <w:tc>
          <w:tcPr>
            <w:tcW w:w="1080" w:type="dxa"/>
            <w:vAlign w:val="center"/>
          </w:tcPr>
          <w:p w14:paraId="40F63DB4">
            <w:pPr>
              <w:spacing w:line="360" w:lineRule="auto"/>
              <w:jc w:val="center"/>
              <w:rPr>
                <w:rFonts w:ascii="仿宋" w:hAnsi="仿宋" w:eastAsia="仿宋" w:cs="仿宋"/>
                <w:color w:val="auto"/>
                <w:szCs w:val="24"/>
                <w:highlight w:val="none"/>
              </w:rPr>
            </w:pPr>
          </w:p>
        </w:tc>
        <w:tc>
          <w:tcPr>
            <w:tcW w:w="1332" w:type="dxa"/>
            <w:vAlign w:val="center"/>
          </w:tcPr>
          <w:p w14:paraId="4FDA6288">
            <w:pPr>
              <w:spacing w:line="360" w:lineRule="auto"/>
              <w:jc w:val="center"/>
              <w:rPr>
                <w:rFonts w:ascii="仿宋" w:hAnsi="仿宋" w:eastAsia="仿宋" w:cs="仿宋"/>
                <w:color w:val="auto"/>
                <w:szCs w:val="24"/>
                <w:highlight w:val="none"/>
              </w:rPr>
            </w:pPr>
          </w:p>
        </w:tc>
      </w:tr>
      <w:tr w14:paraId="38EC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088FA9C">
            <w:pPr>
              <w:spacing w:line="360" w:lineRule="auto"/>
              <w:jc w:val="center"/>
              <w:rPr>
                <w:rFonts w:ascii="仿宋" w:hAnsi="仿宋" w:eastAsia="仿宋" w:cs="仿宋"/>
                <w:color w:val="auto"/>
                <w:szCs w:val="24"/>
                <w:highlight w:val="none"/>
              </w:rPr>
            </w:pPr>
          </w:p>
        </w:tc>
        <w:tc>
          <w:tcPr>
            <w:tcW w:w="1531" w:type="dxa"/>
            <w:vAlign w:val="center"/>
          </w:tcPr>
          <w:p w14:paraId="40F3FA85">
            <w:pPr>
              <w:snapToGrid w:val="0"/>
              <w:spacing w:line="360" w:lineRule="auto"/>
              <w:jc w:val="center"/>
              <w:rPr>
                <w:rFonts w:ascii="仿宋" w:hAnsi="仿宋" w:eastAsia="仿宋" w:cs="仿宋"/>
                <w:color w:val="auto"/>
                <w:szCs w:val="24"/>
                <w:highlight w:val="none"/>
              </w:rPr>
            </w:pPr>
          </w:p>
        </w:tc>
        <w:tc>
          <w:tcPr>
            <w:tcW w:w="2160" w:type="dxa"/>
            <w:vAlign w:val="center"/>
          </w:tcPr>
          <w:p w14:paraId="125BD065">
            <w:pPr>
              <w:snapToGrid w:val="0"/>
              <w:spacing w:line="360" w:lineRule="auto"/>
              <w:jc w:val="center"/>
              <w:rPr>
                <w:rFonts w:ascii="仿宋" w:hAnsi="仿宋" w:eastAsia="仿宋" w:cs="仿宋"/>
                <w:color w:val="auto"/>
                <w:szCs w:val="24"/>
                <w:highlight w:val="none"/>
              </w:rPr>
            </w:pPr>
          </w:p>
        </w:tc>
        <w:tc>
          <w:tcPr>
            <w:tcW w:w="2340" w:type="dxa"/>
            <w:vAlign w:val="center"/>
          </w:tcPr>
          <w:p w14:paraId="32BBC382">
            <w:pPr>
              <w:spacing w:line="360" w:lineRule="auto"/>
              <w:jc w:val="center"/>
              <w:rPr>
                <w:rFonts w:ascii="仿宋" w:hAnsi="仿宋" w:eastAsia="仿宋" w:cs="仿宋"/>
                <w:color w:val="auto"/>
                <w:szCs w:val="24"/>
                <w:highlight w:val="none"/>
              </w:rPr>
            </w:pPr>
          </w:p>
        </w:tc>
        <w:tc>
          <w:tcPr>
            <w:tcW w:w="1080" w:type="dxa"/>
            <w:vAlign w:val="center"/>
          </w:tcPr>
          <w:p w14:paraId="7024155B">
            <w:pPr>
              <w:spacing w:line="360" w:lineRule="auto"/>
              <w:jc w:val="center"/>
              <w:rPr>
                <w:rFonts w:ascii="仿宋" w:hAnsi="仿宋" w:eastAsia="仿宋" w:cs="仿宋"/>
                <w:color w:val="auto"/>
                <w:szCs w:val="24"/>
                <w:highlight w:val="none"/>
              </w:rPr>
            </w:pPr>
          </w:p>
        </w:tc>
        <w:tc>
          <w:tcPr>
            <w:tcW w:w="1332" w:type="dxa"/>
            <w:vAlign w:val="center"/>
          </w:tcPr>
          <w:p w14:paraId="6926956A">
            <w:pPr>
              <w:spacing w:line="360" w:lineRule="auto"/>
              <w:jc w:val="center"/>
              <w:rPr>
                <w:rFonts w:ascii="仿宋" w:hAnsi="仿宋" w:eastAsia="仿宋" w:cs="仿宋"/>
                <w:color w:val="auto"/>
                <w:szCs w:val="24"/>
                <w:highlight w:val="none"/>
              </w:rPr>
            </w:pPr>
          </w:p>
        </w:tc>
      </w:tr>
      <w:tr w14:paraId="135B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48CB4DF">
            <w:pPr>
              <w:spacing w:line="360" w:lineRule="auto"/>
              <w:jc w:val="center"/>
              <w:rPr>
                <w:rFonts w:ascii="仿宋" w:hAnsi="仿宋" w:eastAsia="仿宋" w:cs="仿宋"/>
                <w:color w:val="auto"/>
                <w:szCs w:val="24"/>
                <w:highlight w:val="none"/>
              </w:rPr>
            </w:pPr>
          </w:p>
        </w:tc>
        <w:tc>
          <w:tcPr>
            <w:tcW w:w="1531" w:type="dxa"/>
            <w:vAlign w:val="center"/>
          </w:tcPr>
          <w:p w14:paraId="3F0DE75D">
            <w:pPr>
              <w:snapToGrid w:val="0"/>
              <w:spacing w:line="360" w:lineRule="auto"/>
              <w:jc w:val="center"/>
              <w:rPr>
                <w:rFonts w:ascii="仿宋" w:hAnsi="仿宋" w:eastAsia="仿宋" w:cs="仿宋"/>
                <w:color w:val="auto"/>
                <w:szCs w:val="24"/>
                <w:highlight w:val="none"/>
              </w:rPr>
            </w:pPr>
          </w:p>
        </w:tc>
        <w:tc>
          <w:tcPr>
            <w:tcW w:w="2160" w:type="dxa"/>
            <w:vAlign w:val="center"/>
          </w:tcPr>
          <w:p w14:paraId="3907937D">
            <w:pPr>
              <w:snapToGrid w:val="0"/>
              <w:spacing w:line="360" w:lineRule="auto"/>
              <w:jc w:val="center"/>
              <w:rPr>
                <w:rFonts w:ascii="仿宋" w:hAnsi="仿宋" w:eastAsia="仿宋" w:cs="仿宋"/>
                <w:color w:val="auto"/>
                <w:szCs w:val="24"/>
                <w:highlight w:val="none"/>
              </w:rPr>
            </w:pPr>
          </w:p>
        </w:tc>
        <w:tc>
          <w:tcPr>
            <w:tcW w:w="2340" w:type="dxa"/>
            <w:vAlign w:val="center"/>
          </w:tcPr>
          <w:p w14:paraId="4DE9D25A">
            <w:pPr>
              <w:spacing w:line="360" w:lineRule="auto"/>
              <w:jc w:val="center"/>
              <w:rPr>
                <w:rFonts w:ascii="仿宋" w:hAnsi="仿宋" w:eastAsia="仿宋" w:cs="仿宋"/>
                <w:color w:val="auto"/>
                <w:szCs w:val="24"/>
                <w:highlight w:val="none"/>
              </w:rPr>
            </w:pPr>
          </w:p>
        </w:tc>
        <w:tc>
          <w:tcPr>
            <w:tcW w:w="1080" w:type="dxa"/>
            <w:vAlign w:val="center"/>
          </w:tcPr>
          <w:p w14:paraId="03C13754">
            <w:pPr>
              <w:spacing w:line="360" w:lineRule="auto"/>
              <w:jc w:val="center"/>
              <w:rPr>
                <w:rFonts w:ascii="仿宋" w:hAnsi="仿宋" w:eastAsia="仿宋" w:cs="仿宋"/>
                <w:color w:val="auto"/>
                <w:szCs w:val="24"/>
                <w:highlight w:val="none"/>
              </w:rPr>
            </w:pPr>
          </w:p>
        </w:tc>
        <w:tc>
          <w:tcPr>
            <w:tcW w:w="1332" w:type="dxa"/>
            <w:vAlign w:val="center"/>
          </w:tcPr>
          <w:p w14:paraId="3EAB9E4F">
            <w:pPr>
              <w:spacing w:line="360" w:lineRule="auto"/>
              <w:jc w:val="center"/>
              <w:rPr>
                <w:rFonts w:ascii="仿宋" w:hAnsi="仿宋" w:eastAsia="仿宋" w:cs="仿宋"/>
                <w:color w:val="auto"/>
                <w:szCs w:val="24"/>
                <w:highlight w:val="none"/>
              </w:rPr>
            </w:pPr>
          </w:p>
        </w:tc>
      </w:tr>
      <w:tr w14:paraId="05AF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3E3CC2">
            <w:pPr>
              <w:spacing w:line="360" w:lineRule="auto"/>
              <w:jc w:val="center"/>
              <w:rPr>
                <w:rFonts w:ascii="仿宋" w:hAnsi="仿宋" w:eastAsia="仿宋" w:cs="仿宋"/>
                <w:color w:val="auto"/>
                <w:szCs w:val="24"/>
                <w:highlight w:val="none"/>
              </w:rPr>
            </w:pPr>
          </w:p>
        </w:tc>
        <w:tc>
          <w:tcPr>
            <w:tcW w:w="1531" w:type="dxa"/>
            <w:vAlign w:val="center"/>
          </w:tcPr>
          <w:p w14:paraId="3ADF6A63">
            <w:pPr>
              <w:snapToGrid w:val="0"/>
              <w:spacing w:line="360" w:lineRule="auto"/>
              <w:jc w:val="center"/>
              <w:rPr>
                <w:rFonts w:ascii="仿宋" w:hAnsi="仿宋" w:eastAsia="仿宋" w:cs="仿宋"/>
                <w:color w:val="auto"/>
                <w:szCs w:val="24"/>
                <w:highlight w:val="none"/>
              </w:rPr>
            </w:pPr>
          </w:p>
        </w:tc>
        <w:tc>
          <w:tcPr>
            <w:tcW w:w="2160" w:type="dxa"/>
            <w:vAlign w:val="center"/>
          </w:tcPr>
          <w:p w14:paraId="71E14728">
            <w:pPr>
              <w:snapToGrid w:val="0"/>
              <w:spacing w:line="360" w:lineRule="auto"/>
              <w:jc w:val="center"/>
              <w:rPr>
                <w:rFonts w:ascii="仿宋" w:hAnsi="仿宋" w:eastAsia="仿宋" w:cs="仿宋"/>
                <w:color w:val="auto"/>
                <w:szCs w:val="24"/>
                <w:highlight w:val="none"/>
              </w:rPr>
            </w:pPr>
          </w:p>
        </w:tc>
        <w:tc>
          <w:tcPr>
            <w:tcW w:w="2340" w:type="dxa"/>
            <w:vAlign w:val="center"/>
          </w:tcPr>
          <w:p w14:paraId="402292AE">
            <w:pPr>
              <w:spacing w:line="360" w:lineRule="auto"/>
              <w:jc w:val="center"/>
              <w:rPr>
                <w:rFonts w:ascii="仿宋" w:hAnsi="仿宋" w:eastAsia="仿宋" w:cs="仿宋"/>
                <w:color w:val="auto"/>
                <w:szCs w:val="24"/>
                <w:highlight w:val="none"/>
              </w:rPr>
            </w:pPr>
          </w:p>
        </w:tc>
        <w:tc>
          <w:tcPr>
            <w:tcW w:w="1080" w:type="dxa"/>
            <w:vAlign w:val="center"/>
          </w:tcPr>
          <w:p w14:paraId="380B1A6A">
            <w:pPr>
              <w:spacing w:line="360" w:lineRule="auto"/>
              <w:jc w:val="center"/>
              <w:rPr>
                <w:rFonts w:ascii="仿宋" w:hAnsi="仿宋" w:eastAsia="仿宋" w:cs="仿宋"/>
                <w:color w:val="auto"/>
                <w:szCs w:val="24"/>
                <w:highlight w:val="none"/>
              </w:rPr>
            </w:pPr>
          </w:p>
        </w:tc>
        <w:tc>
          <w:tcPr>
            <w:tcW w:w="1332" w:type="dxa"/>
            <w:vAlign w:val="center"/>
          </w:tcPr>
          <w:p w14:paraId="3E2E4508">
            <w:pPr>
              <w:spacing w:line="360" w:lineRule="auto"/>
              <w:jc w:val="center"/>
              <w:rPr>
                <w:rFonts w:ascii="仿宋" w:hAnsi="仿宋" w:eastAsia="仿宋" w:cs="仿宋"/>
                <w:color w:val="auto"/>
                <w:szCs w:val="24"/>
                <w:highlight w:val="none"/>
              </w:rPr>
            </w:pPr>
          </w:p>
        </w:tc>
      </w:tr>
      <w:tr w14:paraId="0F14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8A8038C">
            <w:pPr>
              <w:spacing w:line="360" w:lineRule="auto"/>
              <w:jc w:val="center"/>
              <w:rPr>
                <w:rFonts w:ascii="仿宋" w:hAnsi="仿宋" w:eastAsia="仿宋" w:cs="仿宋"/>
                <w:color w:val="auto"/>
                <w:szCs w:val="24"/>
                <w:highlight w:val="none"/>
              </w:rPr>
            </w:pPr>
          </w:p>
        </w:tc>
        <w:tc>
          <w:tcPr>
            <w:tcW w:w="1531" w:type="dxa"/>
            <w:vAlign w:val="center"/>
          </w:tcPr>
          <w:p w14:paraId="3DE591AE">
            <w:pPr>
              <w:snapToGrid w:val="0"/>
              <w:spacing w:line="360" w:lineRule="auto"/>
              <w:jc w:val="center"/>
              <w:rPr>
                <w:rFonts w:ascii="仿宋" w:hAnsi="仿宋" w:eastAsia="仿宋" w:cs="仿宋"/>
                <w:color w:val="auto"/>
                <w:szCs w:val="24"/>
                <w:highlight w:val="none"/>
              </w:rPr>
            </w:pPr>
          </w:p>
        </w:tc>
        <w:tc>
          <w:tcPr>
            <w:tcW w:w="2160" w:type="dxa"/>
            <w:vAlign w:val="center"/>
          </w:tcPr>
          <w:p w14:paraId="66FD8D61">
            <w:pPr>
              <w:snapToGrid w:val="0"/>
              <w:spacing w:line="360" w:lineRule="auto"/>
              <w:jc w:val="center"/>
              <w:rPr>
                <w:rFonts w:ascii="仿宋" w:hAnsi="仿宋" w:eastAsia="仿宋" w:cs="仿宋"/>
                <w:color w:val="auto"/>
                <w:szCs w:val="24"/>
                <w:highlight w:val="none"/>
              </w:rPr>
            </w:pPr>
          </w:p>
        </w:tc>
        <w:tc>
          <w:tcPr>
            <w:tcW w:w="2340" w:type="dxa"/>
            <w:vAlign w:val="center"/>
          </w:tcPr>
          <w:p w14:paraId="3CC5BD73">
            <w:pPr>
              <w:spacing w:line="360" w:lineRule="auto"/>
              <w:jc w:val="center"/>
              <w:rPr>
                <w:rFonts w:ascii="仿宋" w:hAnsi="仿宋" w:eastAsia="仿宋" w:cs="仿宋"/>
                <w:color w:val="auto"/>
                <w:szCs w:val="24"/>
                <w:highlight w:val="none"/>
              </w:rPr>
            </w:pPr>
          </w:p>
        </w:tc>
        <w:tc>
          <w:tcPr>
            <w:tcW w:w="1080" w:type="dxa"/>
            <w:vAlign w:val="center"/>
          </w:tcPr>
          <w:p w14:paraId="6900FD7E">
            <w:pPr>
              <w:spacing w:line="360" w:lineRule="auto"/>
              <w:jc w:val="center"/>
              <w:rPr>
                <w:rFonts w:ascii="仿宋" w:hAnsi="仿宋" w:eastAsia="仿宋" w:cs="仿宋"/>
                <w:color w:val="auto"/>
                <w:szCs w:val="24"/>
                <w:highlight w:val="none"/>
              </w:rPr>
            </w:pPr>
          </w:p>
        </w:tc>
        <w:tc>
          <w:tcPr>
            <w:tcW w:w="1332" w:type="dxa"/>
            <w:vAlign w:val="center"/>
          </w:tcPr>
          <w:p w14:paraId="470159C8">
            <w:pPr>
              <w:spacing w:line="360" w:lineRule="auto"/>
              <w:jc w:val="center"/>
              <w:rPr>
                <w:rFonts w:ascii="仿宋" w:hAnsi="仿宋" w:eastAsia="仿宋" w:cs="仿宋"/>
                <w:color w:val="auto"/>
                <w:szCs w:val="24"/>
                <w:highlight w:val="none"/>
              </w:rPr>
            </w:pPr>
          </w:p>
        </w:tc>
      </w:tr>
      <w:tr w14:paraId="4685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B548EA">
            <w:pPr>
              <w:spacing w:line="360" w:lineRule="auto"/>
              <w:jc w:val="center"/>
              <w:rPr>
                <w:rFonts w:ascii="仿宋" w:hAnsi="仿宋" w:eastAsia="仿宋" w:cs="仿宋"/>
                <w:color w:val="auto"/>
                <w:szCs w:val="24"/>
                <w:highlight w:val="none"/>
              </w:rPr>
            </w:pPr>
          </w:p>
        </w:tc>
        <w:tc>
          <w:tcPr>
            <w:tcW w:w="1531" w:type="dxa"/>
            <w:vAlign w:val="center"/>
          </w:tcPr>
          <w:p w14:paraId="0AAA17E5">
            <w:pPr>
              <w:snapToGrid w:val="0"/>
              <w:spacing w:line="360" w:lineRule="auto"/>
              <w:jc w:val="center"/>
              <w:rPr>
                <w:rFonts w:ascii="仿宋" w:hAnsi="仿宋" w:eastAsia="仿宋" w:cs="仿宋"/>
                <w:color w:val="auto"/>
                <w:szCs w:val="24"/>
                <w:highlight w:val="none"/>
              </w:rPr>
            </w:pPr>
          </w:p>
        </w:tc>
        <w:tc>
          <w:tcPr>
            <w:tcW w:w="2160" w:type="dxa"/>
            <w:vAlign w:val="center"/>
          </w:tcPr>
          <w:p w14:paraId="3706A62B">
            <w:pPr>
              <w:snapToGrid w:val="0"/>
              <w:spacing w:line="360" w:lineRule="auto"/>
              <w:jc w:val="center"/>
              <w:rPr>
                <w:rFonts w:ascii="仿宋" w:hAnsi="仿宋" w:eastAsia="仿宋" w:cs="仿宋"/>
                <w:color w:val="auto"/>
                <w:szCs w:val="24"/>
                <w:highlight w:val="none"/>
              </w:rPr>
            </w:pPr>
          </w:p>
        </w:tc>
        <w:tc>
          <w:tcPr>
            <w:tcW w:w="2340" w:type="dxa"/>
            <w:vAlign w:val="center"/>
          </w:tcPr>
          <w:p w14:paraId="63223D31">
            <w:pPr>
              <w:spacing w:line="360" w:lineRule="auto"/>
              <w:jc w:val="center"/>
              <w:rPr>
                <w:rFonts w:ascii="仿宋" w:hAnsi="仿宋" w:eastAsia="仿宋" w:cs="仿宋"/>
                <w:color w:val="auto"/>
                <w:szCs w:val="24"/>
                <w:highlight w:val="none"/>
              </w:rPr>
            </w:pPr>
          </w:p>
        </w:tc>
        <w:tc>
          <w:tcPr>
            <w:tcW w:w="1080" w:type="dxa"/>
            <w:vAlign w:val="center"/>
          </w:tcPr>
          <w:p w14:paraId="75116C2E">
            <w:pPr>
              <w:spacing w:line="360" w:lineRule="auto"/>
              <w:jc w:val="center"/>
              <w:rPr>
                <w:rFonts w:ascii="仿宋" w:hAnsi="仿宋" w:eastAsia="仿宋" w:cs="仿宋"/>
                <w:color w:val="auto"/>
                <w:szCs w:val="24"/>
                <w:highlight w:val="none"/>
              </w:rPr>
            </w:pPr>
          </w:p>
        </w:tc>
        <w:tc>
          <w:tcPr>
            <w:tcW w:w="1332" w:type="dxa"/>
            <w:vAlign w:val="center"/>
          </w:tcPr>
          <w:p w14:paraId="766FDF44">
            <w:pPr>
              <w:spacing w:line="360" w:lineRule="auto"/>
              <w:jc w:val="center"/>
              <w:rPr>
                <w:rFonts w:ascii="仿宋" w:hAnsi="仿宋" w:eastAsia="仿宋" w:cs="仿宋"/>
                <w:color w:val="auto"/>
                <w:szCs w:val="24"/>
                <w:highlight w:val="none"/>
              </w:rPr>
            </w:pPr>
          </w:p>
        </w:tc>
      </w:tr>
      <w:tr w14:paraId="6B3E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1F82AB">
            <w:pPr>
              <w:spacing w:line="360" w:lineRule="auto"/>
              <w:jc w:val="center"/>
              <w:rPr>
                <w:rFonts w:ascii="仿宋" w:hAnsi="仿宋" w:eastAsia="仿宋" w:cs="仿宋"/>
                <w:color w:val="auto"/>
                <w:szCs w:val="24"/>
                <w:highlight w:val="none"/>
              </w:rPr>
            </w:pPr>
          </w:p>
        </w:tc>
        <w:tc>
          <w:tcPr>
            <w:tcW w:w="1531" w:type="dxa"/>
            <w:vAlign w:val="center"/>
          </w:tcPr>
          <w:p w14:paraId="49EFBB31">
            <w:pPr>
              <w:snapToGrid w:val="0"/>
              <w:spacing w:line="360" w:lineRule="auto"/>
              <w:jc w:val="center"/>
              <w:rPr>
                <w:rFonts w:ascii="仿宋" w:hAnsi="仿宋" w:eastAsia="仿宋" w:cs="仿宋"/>
                <w:color w:val="auto"/>
                <w:szCs w:val="24"/>
                <w:highlight w:val="none"/>
              </w:rPr>
            </w:pPr>
          </w:p>
        </w:tc>
        <w:tc>
          <w:tcPr>
            <w:tcW w:w="2160" w:type="dxa"/>
            <w:vAlign w:val="center"/>
          </w:tcPr>
          <w:p w14:paraId="2393F048">
            <w:pPr>
              <w:snapToGrid w:val="0"/>
              <w:spacing w:line="360" w:lineRule="auto"/>
              <w:jc w:val="center"/>
              <w:rPr>
                <w:rFonts w:ascii="仿宋" w:hAnsi="仿宋" w:eastAsia="仿宋" w:cs="仿宋"/>
                <w:color w:val="auto"/>
                <w:szCs w:val="24"/>
                <w:highlight w:val="none"/>
              </w:rPr>
            </w:pPr>
          </w:p>
        </w:tc>
        <w:tc>
          <w:tcPr>
            <w:tcW w:w="2340" w:type="dxa"/>
            <w:vAlign w:val="center"/>
          </w:tcPr>
          <w:p w14:paraId="166DE15A">
            <w:pPr>
              <w:spacing w:line="360" w:lineRule="auto"/>
              <w:jc w:val="center"/>
              <w:rPr>
                <w:rFonts w:ascii="仿宋" w:hAnsi="仿宋" w:eastAsia="仿宋" w:cs="仿宋"/>
                <w:color w:val="auto"/>
                <w:szCs w:val="24"/>
                <w:highlight w:val="none"/>
              </w:rPr>
            </w:pPr>
          </w:p>
        </w:tc>
        <w:tc>
          <w:tcPr>
            <w:tcW w:w="1080" w:type="dxa"/>
            <w:vAlign w:val="center"/>
          </w:tcPr>
          <w:p w14:paraId="521F0951">
            <w:pPr>
              <w:spacing w:line="360" w:lineRule="auto"/>
              <w:jc w:val="center"/>
              <w:rPr>
                <w:rFonts w:ascii="仿宋" w:hAnsi="仿宋" w:eastAsia="仿宋" w:cs="仿宋"/>
                <w:color w:val="auto"/>
                <w:szCs w:val="24"/>
                <w:highlight w:val="none"/>
              </w:rPr>
            </w:pPr>
          </w:p>
        </w:tc>
        <w:tc>
          <w:tcPr>
            <w:tcW w:w="1332" w:type="dxa"/>
            <w:vAlign w:val="center"/>
          </w:tcPr>
          <w:p w14:paraId="58010D68">
            <w:pPr>
              <w:spacing w:line="360" w:lineRule="auto"/>
              <w:jc w:val="center"/>
              <w:rPr>
                <w:rFonts w:ascii="仿宋" w:hAnsi="仿宋" w:eastAsia="仿宋" w:cs="仿宋"/>
                <w:color w:val="auto"/>
                <w:szCs w:val="24"/>
                <w:highlight w:val="none"/>
              </w:rPr>
            </w:pPr>
          </w:p>
        </w:tc>
      </w:tr>
      <w:tr w14:paraId="654D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06C68E0">
            <w:pPr>
              <w:spacing w:line="360" w:lineRule="auto"/>
              <w:jc w:val="center"/>
              <w:rPr>
                <w:rFonts w:ascii="仿宋" w:hAnsi="仿宋" w:eastAsia="仿宋" w:cs="仿宋"/>
                <w:color w:val="auto"/>
                <w:szCs w:val="24"/>
                <w:highlight w:val="none"/>
              </w:rPr>
            </w:pPr>
          </w:p>
        </w:tc>
        <w:tc>
          <w:tcPr>
            <w:tcW w:w="1531" w:type="dxa"/>
            <w:vAlign w:val="center"/>
          </w:tcPr>
          <w:p w14:paraId="6DE1F636">
            <w:pPr>
              <w:snapToGrid w:val="0"/>
              <w:spacing w:line="360" w:lineRule="auto"/>
              <w:jc w:val="center"/>
              <w:rPr>
                <w:rFonts w:ascii="仿宋" w:hAnsi="仿宋" w:eastAsia="仿宋" w:cs="仿宋"/>
                <w:color w:val="auto"/>
                <w:szCs w:val="24"/>
                <w:highlight w:val="none"/>
              </w:rPr>
            </w:pPr>
          </w:p>
        </w:tc>
        <w:tc>
          <w:tcPr>
            <w:tcW w:w="2160" w:type="dxa"/>
            <w:vAlign w:val="center"/>
          </w:tcPr>
          <w:p w14:paraId="447C6D5E">
            <w:pPr>
              <w:snapToGrid w:val="0"/>
              <w:spacing w:line="360" w:lineRule="auto"/>
              <w:jc w:val="center"/>
              <w:rPr>
                <w:rFonts w:ascii="仿宋" w:hAnsi="仿宋" w:eastAsia="仿宋" w:cs="仿宋"/>
                <w:color w:val="auto"/>
                <w:szCs w:val="24"/>
                <w:highlight w:val="none"/>
              </w:rPr>
            </w:pPr>
          </w:p>
        </w:tc>
        <w:tc>
          <w:tcPr>
            <w:tcW w:w="2340" w:type="dxa"/>
            <w:vAlign w:val="center"/>
          </w:tcPr>
          <w:p w14:paraId="66978B7C">
            <w:pPr>
              <w:spacing w:line="360" w:lineRule="auto"/>
              <w:jc w:val="center"/>
              <w:rPr>
                <w:rFonts w:ascii="仿宋" w:hAnsi="仿宋" w:eastAsia="仿宋" w:cs="仿宋"/>
                <w:color w:val="auto"/>
                <w:szCs w:val="24"/>
                <w:highlight w:val="none"/>
              </w:rPr>
            </w:pPr>
          </w:p>
        </w:tc>
        <w:tc>
          <w:tcPr>
            <w:tcW w:w="1080" w:type="dxa"/>
            <w:vAlign w:val="center"/>
          </w:tcPr>
          <w:p w14:paraId="148BE265">
            <w:pPr>
              <w:spacing w:line="360" w:lineRule="auto"/>
              <w:jc w:val="center"/>
              <w:rPr>
                <w:rFonts w:ascii="仿宋" w:hAnsi="仿宋" w:eastAsia="仿宋" w:cs="仿宋"/>
                <w:color w:val="auto"/>
                <w:szCs w:val="24"/>
                <w:highlight w:val="none"/>
              </w:rPr>
            </w:pPr>
          </w:p>
        </w:tc>
        <w:tc>
          <w:tcPr>
            <w:tcW w:w="1332" w:type="dxa"/>
            <w:vAlign w:val="center"/>
          </w:tcPr>
          <w:p w14:paraId="21F6ED50">
            <w:pPr>
              <w:spacing w:line="360" w:lineRule="auto"/>
              <w:jc w:val="center"/>
              <w:rPr>
                <w:rFonts w:ascii="仿宋" w:hAnsi="仿宋" w:eastAsia="仿宋" w:cs="仿宋"/>
                <w:color w:val="auto"/>
                <w:szCs w:val="24"/>
                <w:highlight w:val="none"/>
              </w:rPr>
            </w:pPr>
          </w:p>
        </w:tc>
      </w:tr>
    </w:tbl>
    <w:p w14:paraId="3382BA9E">
      <w:pPr>
        <w:autoSpaceDE w:val="0"/>
        <w:autoSpaceDN w:val="0"/>
        <w:spacing w:line="360" w:lineRule="auto"/>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注：</w:t>
      </w:r>
      <w:r>
        <w:rPr>
          <w:rFonts w:hint="eastAsia" w:ascii="仿宋" w:hAnsi="仿宋" w:eastAsia="仿宋" w:cs="仿宋"/>
          <w:b/>
          <w:color w:val="auto"/>
          <w:szCs w:val="24"/>
          <w:highlight w:val="none"/>
        </w:rPr>
        <w:t>如果本项目涉及硬件设备采购，须在技术文件中提供此配置清单，提供主要投标产品的技术参数证明材料（如检测报告、官网截图、产品彩页、原厂技术说明等）。</w:t>
      </w:r>
    </w:p>
    <w:p w14:paraId="020B4CE9">
      <w:pPr>
        <w:jc w:val="center"/>
        <w:rPr>
          <w:rFonts w:ascii="仿宋" w:hAnsi="仿宋" w:eastAsia="仿宋" w:cs="仿宋"/>
          <w:b/>
          <w:bCs/>
          <w:color w:val="auto"/>
          <w:szCs w:val="24"/>
          <w:highlight w:val="none"/>
          <w:lang w:val="zh-CN"/>
        </w:rPr>
      </w:pPr>
    </w:p>
    <w:p w14:paraId="34EE51AE">
      <w:pPr>
        <w:jc w:val="center"/>
        <w:rPr>
          <w:rFonts w:ascii="仿宋" w:hAnsi="仿宋" w:eastAsia="仿宋" w:cs="仿宋"/>
          <w:b/>
          <w:bCs/>
          <w:color w:val="auto"/>
          <w:szCs w:val="24"/>
          <w:highlight w:val="none"/>
          <w:lang w:val="zh-CN"/>
        </w:rPr>
      </w:pPr>
    </w:p>
    <w:p w14:paraId="21278DFC">
      <w:pPr>
        <w:snapToGrid w:val="0"/>
        <w:spacing w:before="50" w:after="50" w:line="600" w:lineRule="exac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zh-CN"/>
        </w:rPr>
        <w:t>投标人名称</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kern w:val="0"/>
          <w:szCs w:val="24"/>
          <w:highlight w:val="none"/>
        </w:rPr>
        <w:t xml:space="preserve">）：                       </w:t>
      </w:r>
    </w:p>
    <w:p w14:paraId="4B4ABACE">
      <w:pPr>
        <w:spacing w:line="360" w:lineRule="auto"/>
        <w:rPr>
          <w:rFonts w:ascii="仿宋" w:hAnsi="仿宋" w:eastAsia="仿宋" w:cs="仿宋"/>
          <w:b/>
          <w:bCs/>
          <w:color w:val="auto"/>
          <w:szCs w:val="24"/>
          <w:highlight w:val="none"/>
        </w:rPr>
      </w:pPr>
      <w:r>
        <w:rPr>
          <w:rFonts w:hint="eastAsia" w:ascii="仿宋" w:hAnsi="仿宋" w:eastAsia="仿宋" w:cs="仿宋"/>
          <w:color w:val="auto"/>
          <w:kern w:val="0"/>
          <w:szCs w:val="24"/>
          <w:highlight w:val="none"/>
        </w:rPr>
        <w:t xml:space="preserve">                                                    日期：  年  月   日</w:t>
      </w:r>
    </w:p>
    <w:p w14:paraId="7090B4C6">
      <w:pPr>
        <w:rPr>
          <w:rFonts w:ascii="仿宋" w:hAnsi="仿宋" w:eastAsia="仿宋" w:cs="仿宋"/>
          <w:b/>
          <w:bCs/>
          <w:color w:val="auto"/>
          <w:szCs w:val="24"/>
          <w:highlight w:val="none"/>
          <w:lang w:val="zh-CN"/>
        </w:rPr>
      </w:pPr>
    </w:p>
    <w:p w14:paraId="7676EDA8">
      <w:pPr>
        <w:spacing w:line="360" w:lineRule="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注：此表仅提供了表格形式，供应商可按此表格格式进行扩展。</w:t>
      </w:r>
    </w:p>
    <w:p w14:paraId="5538F584">
      <w:pPr>
        <w:tabs>
          <w:tab w:val="left" w:pos="0"/>
        </w:tabs>
        <w:autoSpaceDE w:val="0"/>
        <w:autoSpaceDN w:val="0"/>
        <w:spacing w:line="360" w:lineRule="auto"/>
        <w:jc w:val="center"/>
        <w:rPr>
          <w:rFonts w:ascii="仿宋" w:hAnsi="仿宋" w:eastAsia="仿宋" w:cs="仿宋"/>
          <w:b/>
          <w:bCs/>
          <w:color w:val="auto"/>
          <w:szCs w:val="24"/>
          <w:highlight w:val="none"/>
        </w:rPr>
      </w:pPr>
    </w:p>
    <w:p w14:paraId="12FD6E77">
      <w:pPr>
        <w:spacing w:line="360" w:lineRule="auto"/>
        <w:rPr>
          <w:rFonts w:ascii="仿宋_GB2312" w:hAnsi="仿宋_GB2312" w:eastAsia="仿宋_GB2312" w:cs="仿宋_GB2312"/>
          <w:b/>
          <w:bCs/>
          <w:color w:val="auto"/>
          <w:sz w:val="32"/>
          <w:szCs w:val="32"/>
          <w:highlight w:val="none"/>
        </w:rPr>
      </w:pPr>
    </w:p>
    <w:p w14:paraId="4FC22343">
      <w:pPr>
        <w:pStyle w:val="27"/>
        <w:rPr>
          <w:color w:val="auto"/>
          <w:highlight w:val="none"/>
        </w:rPr>
      </w:pPr>
    </w:p>
    <w:p w14:paraId="4E7C97A3">
      <w:pPr>
        <w:spacing w:line="360" w:lineRule="auto"/>
        <w:rPr>
          <w:rFonts w:ascii="仿宋_GB2312" w:hAnsi="仿宋_GB2312" w:eastAsia="仿宋_GB2312" w:cs="仿宋_GB2312"/>
          <w:b/>
          <w:bCs/>
          <w:color w:val="auto"/>
          <w:sz w:val="32"/>
          <w:szCs w:val="32"/>
          <w:highlight w:val="none"/>
        </w:rPr>
      </w:pPr>
    </w:p>
    <w:p w14:paraId="2A07588C">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（九）</w:t>
      </w:r>
      <w:r>
        <w:rPr>
          <w:rFonts w:hint="eastAsia" w:ascii="仿宋_GB2312" w:hAnsi="仿宋_GB2312" w:eastAsia="仿宋_GB2312" w:cs="仿宋_GB2312"/>
          <w:b/>
          <w:bCs/>
          <w:color w:val="auto"/>
          <w:sz w:val="32"/>
          <w:szCs w:val="32"/>
          <w:highlight w:val="none"/>
          <w:lang w:val="zh-CN"/>
        </w:rPr>
        <w:t>评标标准相应的商务技术资料</w:t>
      </w:r>
    </w:p>
    <w:p w14:paraId="68EE8EA6">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（由投标人</w:t>
      </w:r>
      <w:r>
        <w:rPr>
          <w:rFonts w:hint="eastAsia" w:ascii="仿宋" w:hAnsi="仿宋" w:eastAsia="仿宋" w:cs="仿宋"/>
          <w:color w:val="auto"/>
          <w:szCs w:val="24"/>
          <w:highlight w:val="none"/>
        </w:rPr>
        <w:t>根据采购需求及招标文件要求编制</w:t>
      </w:r>
      <w:r>
        <w:rPr>
          <w:rFonts w:hint="eastAsia" w:ascii="仿宋_GB2312" w:hAnsi="仿宋_GB2312" w:eastAsia="仿宋_GB2312" w:cs="仿宋_GB2312"/>
          <w:color w:val="auto"/>
          <w:highlight w:val="none"/>
        </w:rPr>
        <w:t>）</w:t>
      </w:r>
    </w:p>
    <w:p w14:paraId="41AE9264">
      <w:pPr>
        <w:snapToGrid w:val="0"/>
        <w:spacing w:line="360" w:lineRule="auto"/>
        <w:ind w:right="960"/>
        <w:jc w:val="right"/>
        <w:rPr>
          <w:rFonts w:ascii="仿宋_GB2312" w:hAnsi="仿宋_GB2312" w:eastAsia="仿宋_GB2312" w:cs="仿宋_GB2312"/>
          <w:color w:val="auto"/>
          <w:kern w:val="0"/>
          <w:highlight w:val="none"/>
          <w:lang w:val="zh-CN"/>
        </w:rPr>
      </w:pPr>
    </w:p>
    <w:p w14:paraId="12DEB592">
      <w:pPr>
        <w:snapToGrid w:val="0"/>
        <w:spacing w:line="360" w:lineRule="auto"/>
        <w:ind w:right="960"/>
        <w:jc w:val="right"/>
        <w:rPr>
          <w:rFonts w:ascii="仿宋_GB2312" w:hAnsi="仿宋_GB2312" w:eastAsia="仿宋_GB2312" w:cs="仿宋_GB2312"/>
          <w:color w:val="auto"/>
          <w:kern w:val="0"/>
          <w:highlight w:val="none"/>
          <w:lang w:val="zh-CN"/>
        </w:rPr>
      </w:pPr>
    </w:p>
    <w:p w14:paraId="59A47FB0">
      <w:pPr>
        <w:spacing w:line="336" w:lineRule="auto"/>
        <w:ind w:firstLine="3600" w:firstLineChars="1500"/>
        <w:rPr>
          <w:rFonts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14:paraId="5EE29BF3">
      <w:pPr>
        <w:spacing w:line="336" w:lineRule="auto"/>
        <w:jc w:val="center"/>
        <w:rPr>
          <w:rFonts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7CFACB97">
      <w:pPr>
        <w:widowControl/>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color w:val="auto"/>
          <w:kern w:val="0"/>
          <w:sz w:val="32"/>
          <w:szCs w:val="32"/>
          <w:highlight w:val="none"/>
          <w:lang w:val="zh-CN"/>
        </w:rPr>
        <w:t>采购供应商廉洁自律承诺书</w:t>
      </w:r>
    </w:p>
    <w:p w14:paraId="15FEA116">
      <w:pPr>
        <w:snapToGrid w:val="0"/>
        <w:spacing w:line="360" w:lineRule="auto"/>
        <w:rPr>
          <w:rFonts w:ascii="仿宋" w:hAnsi="仿宋" w:eastAsia="仿宋" w:cs="仿宋"/>
          <w:color w:val="auto"/>
          <w:highlight w:val="none"/>
        </w:rPr>
      </w:pPr>
    </w:p>
    <w:p w14:paraId="640FB9F2">
      <w:pPr>
        <w:snapToGrid w:val="0"/>
        <w:spacing w:line="360" w:lineRule="auto"/>
        <w:rPr>
          <w:rFonts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3C649728">
      <w:pPr>
        <w:autoSpaceDE w:val="0"/>
        <w:autoSpaceDN w:val="0"/>
        <w:spacing w:line="360" w:lineRule="auto"/>
        <w:ind w:left="2" w:leftChars="1"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项目招标要求参加投标。在这次投标过程中和中标后，我们将严格遵守国家法律法规要求，并郑重承诺：</w:t>
      </w:r>
    </w:p>
    <w:p w14:paraId="3BCA4CC1">
      <w:pPr>
        <w:autoSpaceDE w:val="0"/>
        <w:autoSpaceDN w:val="0"/>
        <w:spacing w:line="360" w:lineRule="auto"/>
        <w:ind w:left="2" w:leftChars="1"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一、不向项目有关人员及部门赠送礼金礼物、有价证券、回扣以及中介费、介绍费、咨询费等好处费； </w:t>
      </w:r>
    </w:p>
    <w:p w14:paraId="7DD7FFEB">
      <w:pPr>
        <w:autoSpaceDE w:val="0"/>
        <w:autoSpaceDN w:val="0"/>
        <w:spacing w:line="360" w:lineRule="auto"/>
        <w:ind w:left="2" w:leftChars="1"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二、不为项目有关人员及部门报销应由你方单位或个人支付的费用； </w:t>
      </w:r>
    </w:p>
    <w:p w14:paraId="78EFD035">
      <w:pPr>
        <w:autoSpaceDE w:val="0"/>
        <w:autoSpaceDN w:val="0"/>
        <w:spacing w:line="360" w:lineRule="auto"/>
        <w:ind w:left="2" w:leftChars="1"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三、不向项目有关人员及部门提供有可能影响公正的宴请和健身娱乐等活动； </w:t>
      </w:r>
    </w:p>
    <w:p w14:paraId="111F5E31">
      <w:pPr>
        <w:autoSpaceDE w:val="0"/>
        <w:autoSpaceDN w:val="0"/>
        <w:spacing w:line="360" w:lineRule="auto"/>
        <w:ind w:left="2" w:leftChars="1"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四、不为项目有关人员及部门出国（境）、旅游等提供方便；</w:t>
      </w:r>
    </w:p>
    <w:p w14:paraId="61274D0B">
      <w:pPr>
        <w:autoSpaceDE w:val="0"/>
        <w:autoSpaceDN w:val="0"/>
        <w:spacing w:line="360" w:lineRule="auto"/>
        <w:ind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五、不为项目有关人员个人装修住房、婚丧嫁娶、配偶子女工作安排等提供</w:t>
      </w:r>
    </w:p>
    <w:p w14:paraId="65F41BBD">
      <w:pPr>
        <w:autoSpaceDE w:val="0"/>
        <w:autoSpaceDN w:val="0"/>
        <w:spacing w:line="360" w:lineRule="auto"/>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好处；</w:t>
      </w:r>
    </w:p>
    <w:p w14:paraId="286EA9B0">
      <w:pPr>
        <w:autoSpaceDE w:val="0"/>
        <w:autoSpaceDN w:val="0"/>
        <w:spacing w:line="360" w:lineRule="auto"/>
        <w:ind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六、严格遵守《</w:t>
      </w:r>
      <w:r>
        <w:rPr>
          <w:rFonts w:hint="eastAsia" w:ascii="仿宋" w:hAnsi="仿宋" w:eastAsia="仿宋" w:cs="仿宋"/>
          <w:color w:val="auto"/>
          <w:highlight w:val="none"/>
          <w:lang w:val="zh-CN"/>
        </w:rPr>
        <w:t>中华人民共和国</w:t>
      </w:r>
      <w:r>
        <w:rPr>
          <w:rFonts w:hint="eastAsia" w:ascii="仿宋" w:hAnsi="仿宋" w:eastAsia="仿宋" w:cs="仿宋"/>
          <w:color w:val="auto"/>
          <w:kern w:val="0"/>
          <w:highlight w:val="none"/>
          <w:lang w:val="zh-CN"/>
        </w:rPr>
        <w:t>招标投标法》</w:t>
      </w:r>
      <w:r>
        <w:rPr>
          <w:rFonts w:hint="eastAsia" w:ascii="仿宋" w:hAnsi="仿宋" w:eastAsia="仿宋" w:cs="仿宋"/>
          <w:color w:val="auto"/>
          <w:highlight w:val="none"/>
          <w:lang w:val="zh-CN"/>
        </w:rPr>
        <w:t>《中华人民共和国民法典》</w:t>
      </w:r>
      <w:r>
        <w:rPr>
          <w:rFonts w:hint="eastAsia" w:ascii="仿宋" w:hAnsi="仿宋" w:eastAsia="仿宋" w:cs="仿宋"/>
          <w:color w:val="auto"/>
          <w:kern w:val="0"/>
          <w:highlight w:val="none"/>
          <w:lang w:val="zh-CN"/>
        </w:rPr>
        <w:t xml:space="preserve">等法律法规，诚实守信，合法经营，坚决抵制各种违法违纪行为。 </w:t>
      </w:r>
    </w:p>
    <w:p w14:paraId="4F73B6E4">
      <w:pPr>
        <w:autoSpaceDE w:val="0"/>
        <w:autoSpaceDN w:val="0"/>
        <w:spacing w:line="360" w:lineRule="auto"/>
        <w:ind w:firstLine="480" w:firstLineChars="2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进行项目建设或其他经营活动，并通报市财政局。由此引起的相应损失均由我单位承担。</w:t>
      </w:r>
    </w:p>
    <w:p w14:paraId="557ABD98">
      <w:pPr>
        <w:autoSpaceDE w:val="0"/>
        <w:autoSpaceDN w:val="0"/>
        <w:spacing w:line="360" w:lineRule="auto"/>
        <w:ind w:left="2"/>
        <w:jc w:val="left"/>
        <w:rPr>
          <w:rFonts w:ascii="仿宋" w:hAnsi="仿宋" w:eastAsia="仿宋" w:cs="仿宋"/>
          <w:color w:val="auto"/>
          <w:kern w:val="0"/>
          <w:highlight w:val="none"/>
          <w:lang w:val="zh-CN"/>
        </w:rPr>
      </w:pPr>
    </w:p>
    <w:p w14:paraId="27AB6AB5">
      <w:pPr>
        <w:autoSpaceDE w:val="0"/>
        <w:autoSpaceDN w:val="0"/>
        <w:spacing w:line="360" w:lineRule="auto"/>
        <w:ind w:left="2" w:leftChars="1" w:right="1120" w:firstLine="4560" w:firstLineChars="1900"/>
        <w:jc w:val="lef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kern w:val="0"/>
          <w:highlight w:val="none"/>
          <w:lang w:val="zh-CN"/>
        </w:rPr>
        <w:t xml:space="preserve">）：                                                                                                                                                                                                               </w:t>
      </w:r>
    </w:p>
    <w:p w14:paraId="6753AB8F">
      <w:pPr>
        <w:spacing w:line="360" w:lineRule="auto"/>
        <w:ind w:left="5280" w:leftChars="2200"/>
        <w:rPr>
          <w:rFonts w:ascii="仿宋" w:hAnsi="仿宋" w:eastAsia="仿宋" w:cs="仿宋"/>
          <w:color w:val="auto"/>
          <w:highlight w:val="none"/>
        </w:r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 xml:space="preserve">   年   月   日</w:t>
      </w:r>
    </w:p>
    <w:p w14:paraId="3E3FAEBB">
      <w:pPr>
        <w:spacing w:line="360" w:lineRule="auto"/>
        <w:jc w:val="center"/>
        <w:rPr>
          <w:rFonts w:ascii="仿宋" w:hAnsi="仿宋" w:eastAsia="仿宋" w:cs="仿宋"/>
          <w:b/>
          <w:bCs/>
          <w:color w:val="auto"/>
          <w:highlight w:val="none"/>
        </w:rPr>
      </w:pPr>
    </w:p>
    <w:p w14:paraId="4F1BB494">
      <w:pPr>
        <w:spacing w:line="360" w:lineRule="auto"/>
        <w:rPr>
          <w:rFonts w:ascii="仿宋" w:hAnsi="仿宋" w:eastAsia="仿宋" w:cs="仿宋"/>
          <w:b/>
          <w:bCs/>
          <w:color w:val="auto"/>
          <w:sz w:val="32"/>
          <w:szCs w:val="32"/>
          <w:highlight w:val="none"/>
        </w:rPr>
      </w:pPr>
      <w:r>
        <w:rPr>
          <w:rFonts w:hint="eastAsia" w:ascii="仿宋" w:hAnsi="仿宋" w:eastAsia="仿宋" w:cs="仿宋"/>
          <w:color w:val="auto"/>
          <w:highlight w:val="none"/>
        </w:rPr>
        <w:t>注：按本格式和要求提供。</w:t>
      </w:r>
    </w:p>
    <w:p w14:paraId="2743E887">
      <w:pPr>
        <w:tabs>
          <w:tab w:val="left" w:pos="0"/>
        </w:tabs>
        <w:autoSpaceDE w:val="0"/>
        <w:autoSpaceDN w:val="0"/>
        <w:spacing w:line="360" w:lineRule="auto"/>
        <w:jc w:val="center"/>
        <w:rPr>
          <w:rFonts w:ascii="仿宋" w:hAnsi="仿宋" w:eastAsia="仿宋" w:cs="仿宋"/>
          <w:b/>
          <w:bCs/>
          <w:color w:val="auto"/>
          <w:sz w:val="32"/>
          <w:szCs w:val="32"/>
          <w:highlight w:val="none"/>
        </w:rPr>
      </w:pPr>
    </w:p>
    <w:p w14:paraId="3E813891">
      <w:pPr>
        <w:pStyle w:val="43"/>
        <w:spacing w:before="120" w:beforeLines="50" w:line="360" w:lineRule="auto"/>
        <w:rPr>
          <w:rFonts w:hAnsi="宋体" w:cs="宋体"/>
          <w:b/>
          <w:color w:val="auto"/>
          <w:szCs w:val="21"/>
          <w:highlight w:val="none"/>
        </w:rPr>
      </w:pPr>
    </w:p>
    <w:p w14:paraId="67265048">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（十一）供应商认为需要提供的与本项目其他相关资料</w:t>
      </w:r>
    </w:p>
    <w:p w14:paraId="06E3ABAB">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（由投标人根据采购需求自行编制）</w:t>
      </w:r>
    </w:p>
    <w:p w14:paraId="48006FB1">
      <w:pPr>
        <w:spacing w:line="360" w:lineRule="auto"/>
        <w:rPr>
          <w:rFonts w:ascii="仿宋_GB2312" w:hAnsi="仿宋_GB2312" w:eastAsia="仿宋_GB2312" w:cs="仿宋_GB2312"/>
          <w:color w:val="auto"/>
          <w:highlight w:val="none"/>
        </w:rPr>
      </w:pPr>
    </w:p>
    <w:p w14:paraId="59D2C50D">
      <w:pPr>
        <w:spacing w:line="336" w:lineRule="auto"/>
        <w:ind w:firstLine="3600" w:firstLineChars="1500"/>
        <w:rPr>
          <w:rFonts w:ascii="仿宋" w:hAnsi="仿宋" w:eastAsia="仿宋" w:cs="仿宋"/>
          <w:color w:val="auto"/>
          <w:highlight w:val="none"/>
        </w:rPr>
      </w:pPr>
      <w:r>
        <w:rPr>
          <w:rFonts w:hint="eastAsia" w:ascii="仿宋" w:hAnsi="仿宋" w:eastAsia="仿宋" w:cs="仿宋"/>
          <w:color w:val="auto"/>
          <w:kern w:val="0"/>
          <w:szCs w:val="24"/>
          <w:highlight w:val="none"/>
          <w:lang w:val="zh-CN"/>
        </w:rPr>
        <w:t>投标人名称</w:t>
      </w:r>
      <w:r>
        <w:rPr>
          <w:rFonts w:hint="eastAsia" w:ascii="仿宋" w:hAnsi="仿宋" w:eastAsia="仿宋" w:cs="仿宋"/>
          <w:color w:val="auto"/>
          <w:highlight w:val="none"/>
        </w:rPr>
        <w:t xml:space="preserve">（电子签名）：                          </w:t>
      </w:r>
    </w:p>
    <w:p w14:paraId="2886D5D2">
      <w:pPr>
        <w:spacing w:line="336" w:lineRule="auto"/>
        <w:jc w:val="center"/>
        <w:rPr>
          <w:rFonts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76908DBE">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47E5CC8">
      <w:pPr>
        <w:pStyle w:val="43"/>
        <w:spacing w:before="120" w:beforeLines="50" w:line="360" w:lineRule="auto"/>
        <w:jc w:val="center"/>
        <w:rPr>
          <w:rFonts w:ascii="仿宋" w:hAnsi="仿宋" w:eastAsia="仿宋" w:cs="仿宋"/>
          <w:b/>
          <w:color w:val="auto"/>
          <w:sz w:val="32"/>
          <w:szCs w:val="32"/>
          <w:highlight w:val="none"/>
        </w:rPr>
      </w:pPr>
    </w:p>
    <w:p w14:paraId="5D3D19D0">
      <w:pPr>
        <w:pStyle w:val="43"/>
        <w:spacing w:before="120" w:beforeLines="5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三、报价文件目录</w:t>
      </w:r>
    </w:p>
    <w:p w14:paraId="1C44F02E">
      <w:pPr>
        <w:pStyle w:val="43"/>
        <w:spacing w:line="360" w:lineRule="auto"/>
        <w:ind w:firstLine="480" w:firstLineChars="200"/>
        <w:rPr>
          <w:rFonts w:ascii="仿宋" w:hAnsi="仿宋" w:eastAsia="仿宋" w:cs="仿宋"/>
          <w:color w:val="auto"/>
          <w:sz w:val="24"/>
          <w:szCs w:val="24"/>
          <w:highlight w:val="none"/>
        </w:rPr>
      </w:pPr>
    </w:p>
    <w:p w14:paraId="356F45C5">
      <w:pPr>
        <w:pStyle w:val="43"/>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277CB3F6">
      <w:pPr>
        <w:pStyle w:val="43"/>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（2）投标报价明细表</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626769AC">
      <w:pPr>
        <w:pStyle w:val="43"/>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（3）投标人认为需要提供的其他文件或说明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49A26962">
      <w:pPr>
        <w:widowControl/>
        <w:rPr>
          <w:rFonts w:ascii="仿宋" w:hAnsi="仿宋" w:eastAsia="仿宋" w:cs="仿宋"/>
          <w:color w:val="auto"/>
          <w:kern w:val="0"/>
          <w:szCs w:val="24"/>
          <w:highlight w:val="none"/>
        </w:rPr>
      </w:pPr>
    </w:p>
    <w:p w14:paraId="404B84F8">
      <w:pPr>
        <w:widowControl/>
        <w:rPr>
          <w:rFonts w:ascii="仿宋" w:hAnsi="仿宋" w:eastAsia="仿宋" w:cs="仿宋"/>
          <w:color w:val="auto"/>
          <w:kern w:val="0"/>
          <w:szCs w:val="24"/>
          <w:highlight w:val="none"/>
        </w:rPr>
      </w:pPr>
    </w:p>
    <w:p w14:paraId="0220B80A">
      <w:pPr>
        <w:rPr>
          <w:rFonts w:ascii="仿宋" w:hAnsi="仿宋" w:eastAsia="仿宋" w:cs="仿宋"/>
          <w:b/>
          <w:color w:val="auto"/>
          <w:kern w:val="0"/>
          <w:szCs w:val="24"/>
          <w:highlight w:val="none"/>
        </w:rPr>
      </w:pPr>
      <w:bookmarkStart w:id="174" w:name="_Toc2165"/>
      <w:bookmarkStart w:id="175" w:name="_Toc489481898"/>
      <w:bookmarkStart w:id="176" w:name="_Toc513456153"/>
      <w:bookmarkStart w:id="177" w:name="_Toc7504"/>
      <w:r>
        <w:rPr>
          <w:rFonts w:hint="eastAsia" w:ascii="仿宋" w:hAnsi="仿宋" w:eastAsia="仿宋" w:cs="仿宋"/>
          <w:b/>
          <w:color w:val="auto"/>
          <w:kern w:val="0"/>
          <w:szCs w:val="24"/>
          <w:highlight w:val="none"/>
        </w:rPr>
        <w:br w:type="page"/>
      </w:r>
    </w:p>
    <w:bookmarkEnd w:id="168"/>
    <w:bookmarkEnd w:id="169"/>
    <w:bookmarkEnd w:id="170"/>
    <w:bookmarkEnd w:id="171"/>
    <w:bookmarkEnd w:id="172"/>
    <w:bookmarkEnd w:id="173"/>
    <w:bookmarkEnd w:id="174"/>
    <w:bookmarkEnd w:id="175"/>
    <w:bookmarkEnd w:id="176"/>
    <w:bookmarkEnd w:id="177"/>
    <w:p w14:paraId="605AC02D">
      <w:pPr>
        <w:pStyle w:val="5"/>
        <w:tabs>
          <w:tab w:val="left" w:pos="420"/>
        </w:tabs>
        <w:ind w:left="0" w:firstLine="6480" w:firstLineChars="2700"/>
        <w:rPr>
          <w:rFonts w:ascii="仿宋" w:hAnsi="仿宋" w:eastAsia="仿宋" w:cs="仿宋"/>
          <w:b w:val="0"/>
          <w:bCs/>
          <w:color w:val="auto"/>
          <w:sz w:val="24"/>
          <w:szCs w:val="24"/>
          <w:highlight w:val="none"/>
        </w:rPr>
      </w:pPr>
      <w:bookmarkStart w:id="178" w:name="_Toc54978904"/>
    </w:p>
    <w:bookmarkEnd w:id="178"/>
    <w:p w14:paraId="462CD851">
      <w:pPr>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（一）开标一览表</w:t>
      </w:r>
    </w:p>
    <w:p w14:paraId="291954B1">
      <w:pPr>
        <w:spacing w:line="360" w:lineRule="auto"/>
        <w:rPr>
          <w:rFonts w:ascii="仿宋" w:hAnsi="仿宋" w:eastAsia="仿宋" w:cs="仿宋"/>
          <w:color w:val="auto"/>
          <w:szCs w:val="24"/>
          <w:highlight w:val="none"/>
        </w:rPr>
      </w:pPr>
    </w:p>
    <w:p w14:paraId="6FCEF9DC">
      <w:pPr>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项目名称：                                </w:t>
      </w:r>
    </w:p>
    <w:p w14:paraId="333F0523">
      <w:pPr>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项目编号： </w:t>
      </w:r>
    </w:p>
    <w:p w14:paraId="59EB5237">
      <w:pPr>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价格单位：人民币</w:t>
      </w:r>
    </w:p>
    <w:tbl>
      <w:tblPr>
        <w:tblStyle w:val="80"/>
        <w:tblW w:w="903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03"/>
        <w:gridCol w:w="1408"/>
        <w:gridCol w:w="2423"/>
        <w:gridCol w:w="1327"/>
      </w:tblGrid>
      <w:tr w14:paraId="4EB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73" w:type="dxa"/>
            <w:vAlign w:val="center"/>
          </w:tcPr>
          <w:p w14:paraId="15E546C3">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2803" w:type="dxa"/>
            <w:vAlign w:val="center"/>
          </w:tcPr>
          <w:p w14:paraId="2CA63201">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采购项目</w:t>
            </w:r>
          </w:p>
        </w:tc>
        <w:tc>
          <w:tcPr>
            <w:tcW w:w="1408" w:type="dxa"/>
            <w:vAlign w:val="center"/>
          </w:tcPr>
          <w:p w14:paraId="794C1061">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数量</w:t>
            </w:r>
          </w:p>
        </w:tc>
        <w:tc>
          <w:tcPr>
            <w:tcW w:w="2423" w:type="dxa"/>
            <w:vAlign w:val="center"/>
          </w:tcPr>
          <w:p w14:paraId="1C235B78">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投标报价（元）</w:t>
            </w:r>
          </w:p>
        </w:tc>
        <w:tc>
          <w:tcPr>
            <w:tcW w:w="1327" w:type="dxa"/>
            <w:vAlign w:val="center"/>
          </w:tcPr>
          <w:p w14:paraId="34526F36">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备注</w:t>
            </w:r>
          </w:p>
        </w:tc>
      </w:tr>
      <w:tr w14:paraId="3655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73" w:type="dxa"/>
            <w:vAlign w:val="center"/>
          </w:tcPr>
          <w:p w14:paraId="70196AD5">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803" w:type="dxa"/>
            <w:vAlign w:val="center"/>
          </w:tcPr>
          <w:p w14:paraId="419DC942">
            <w:pPr>
              <w:spacing w:line="4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开元名都写字楼能源智能化项目</w:t>
            </w:r>
          </w:p>
        </w:tc>
        <w:tc>
          <w:tcPr>
            <w:tcW w:w="1408" w:type="dxa"/>
            <w:vAlign w:val="center"/>
          </w:tcPr>
          <w:p w14:paraId="1E64FE92">
            <w:pPr>
              <w:spacing w:line="42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1项</w:t>
            </w:r>
          </w:p>
        </w:tc>
        <w:tc>
          <w:tcPr>
            <w:tcW w:w="2423" w:type="dxa"/>
            <w:vAlign w:val="center"/>
          </w:tcPr>
          <w:p w14:paraId="3D361E9E">
            <w:pPr>
              <w:widowControl/>
              <w:jc w:val="center"/>
              <w:textAlignment w:val="center"/>
              <w:rPr>
                <w:rFonts w:ascii="仿宋" w:hAnsi="仿宋" w:eastAsia="仿宋" w:cs="仿宋"/>
                <w:color w:val="auto"/>
                <w:szCs w:val="24"/>
                <w:highlight w:val="none"/>
              </w:rPr>
            </w:pPr>
          </w:p>
        </w:tc>
        <w:tc>
          <w:tcPr>
            <w:tcW w:w="1327" w:type="dxa"/>
            <w:vAlign w:val="center"/>
          </w:tcPr>
          <w:p w14:paraId="58ADAB60">
            <w:pPr>
              <w:spacing w:line="420" w:lineRule="exact"/>
              <w:jc w:val="center"/>
              <w:rPr>
                <w:rFonts w:ascii="仿宋" w:hAnsi="仿宋" w:eastAsia="仿宋" w:cs="仿宋"/>
                <w:color w:val="auto"/>
                <w:szCs w:val="24"/>
                <w:highlight w:val="none"/>
              </w:rPr>
            </w:pPr>
          </w:p>
        </w:tc>
      </w:tr>
      <w:tr w14:paraId="7EA0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34" w:type="dxa"/>
            <w:gridSpan w:val="5"/>
            <w:vAlign w:val="center"/>
          </w:tcPr>
          <w:p w14:paraId="5FDA56CC">
            <w:pPr>
              <w:spacing w:line="420" w:lineRule="exact"/>
              <w:jc w:val="left"/>
              <w:rPr>
                <w:rFonts w:ascii="仿宋" w:hAnsi="仿宋" w:eastAsia="仿宋" w:cs="仿宋"/>
                <w:color w:val="auto"/>
                <w:szCs w:val="24"/>
                <w:highlight w:val="none"/>
              </w:rPr>
            </w:pPr>
            <w:r>
              <w:rPr>
                <w:rFonts w:hint="eastAsia" w:ascii="仿宋" w:hAnsi="仿宋" w:eastAsia="仿宋" w:cs="仿宋"/>
                <w:color w:val="auto"/>
                <w:szCs w:val="24"/>
                <w:highlight w:val="none"/>
              </w:rPr>
              <w:t>大写：                                    元整</w:t>
            </w:r>
          </w:p>
        </w:tc>
      </w:tr>
    </w:tbl>
    <w:p w14:paraId="20EA3D69">
      <w:pPr>
        <w:spacing w:line="360" w:lineRule="auto"/>
        <w:ind w:firstLine="240" w:firstLineChars="100"/>
        <w:jc w:val="left"/>
        <w:rPr>
          <w:rFonts w:ascii="仿宋" w:hAnsi="仿宋" w:eastAsia="仿宋" w:cs="仿宋"/>
          <w:color w:val="auto"/>
          <w:szCs w:val="24"/>
          <w:highlight w:val="none"/>
        </w:rPr>
      </w:pPr>
      <w:r>
        <w:rPr>
          <w:rFonts w:hint="eastAsia" w:ascii="仿宋" w:hAnsi="仿宋" w:eastAsia="仿宋" w:cs="仿宋"/>
          <w:bCs/>
          <w:color w:val="auto"/>
          <w:szCs w:val="24"/>
          <w:highlight w:val="none"/>
        </w:rPr>
        <w:t>注：1.</w:t>
      </w:r>
      <w:r>
        <w:rPr>
          <w:rFonts w:hint="eastAsia" w:ascii="仿宋" w:hAnsi="仿宋" w:eastAsia="仿宋" w:cs="仿宋"/>
          <w:color w:val="auto"/>
          <w:kern w:val="0"/>
          <w:highlight w:val="none"/>
          <w:lang w:val="zh-CN"/>
        </w:rPr>
        <w:t>有关本项目实施所涉及的一切费用均计入报价。</w:t>
      </w:r>
      <w:r>
        <w:rPr>
          <w:rFonts w:hint="eastAsia" w:ascii="仿宋" w:hAnsi="仿宋" w:eastAsia="仿宋" w:cs="仿宋"/>
          <w:color w:val="auto"/>
          <w:szCs w:val="24"/>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2A55AF">
      <w:pPr>
        <w:snapToGrid w:val="0"/>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2.报价一经涂改，应在涂改处加盖单位公章或者由法定代表人签字或盖章，否则其投标作无效标处理。</w:t>
      </w:r>
    </w:p>
    <w:p w14:paraId="72EF2143">
      <w:pPr>
        <w:spacing w:line="540" w:lineRule="exact"/>
        <w:ind w:firstLine="4800" w:firstLineChars="2000"/>
        <w:rPr>
          <w:rFonts w:ascii="仿宋" w:hAnsi="仿宋" w:eastAsia="仿宋" w:cs="仿宋"/>
          <w:color w:val="auto"/>
          <w:szCs w:val="24"/>
          <w:highlight w:val="none"/>
        </w:rPr>
      </w:pPr>
      <w:bookmarkStart w:id="179" w:name="_Toc498451765"/>
      <w:bookmarkStart w:id="180" w:name="_Toc15277"/>
      <w:bookmarkStart w:id="181" w:name="_Toc248065077"/>
      <w:bookmarkStart w:id="182" w:name="_Toc226337799"/>
      <w:bookmarkStart w:id="183" w:name="_Toc180555957"/>
      <w:bookmarkStart w:id="184" w:name="_Toc340322191"/>
      <w:bookmarkStart w:id="185" w:name="_Toc340321936"/>
    </w:p>
    <w:p w14:paraId="7413468C">
      <w:pPr>
        <w:spacing w:line="540" w:lineRule="exact"/>
        <w:ind w:firstLine="4800" w:firstLineChars="2000"/>
        <w:rPr>
          <w:rFonts w:ascii="仿宋" w:hAnsi="仿宋" w:eastAsia="仿宋" w:cs="仿宋"/>
          <w:color w:val="auto"/>
          <w:szCs w:val="24"/>
          <w:highlight w:val="none"/>
        </w:rPr>
      </w:pP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val="zh-CN"/>
        </w:rPr>
        <w:t>名称(电子签名)：</w:t>
      </w:r>
    </w:p>
    <w:p w14:paraId="5E8B2B97">
      <w:pPr>
        <w:spacing w:line="540" w:lineRule="exact"/>
        <w:ind w:firstLine="4080" w:firstLineChars="17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日期：   年  月  日</w:t>
      </w:r>
    </w:p>
    <w:p w14:paraId="7BE1ED6D">
      <w:pPr>
        <w:ind w:firstLine="240" w:firstLineChars="100"/>
        <w:jc w:val="left"/>
        <w:rPr>
          <w:rFonts w:ascii="仿宋" w:hAnsi="仿宋" w:eastAsia="仿宋" w:cs="仿宋"/>
          <w:b/>
          <w:bCs/>
          <w:color w:val="auto"/>
          <w:szCs w:val="24"/>
          <w:highlight w:val="none"/>
        </w:rPr>
      </w:pPr>
      <w:r>
        <w:rPr>
          <w:rFonts w:hint="eastAsia" w:ascii="仿宋" w:hAnsi="仿宋" w:eastAsia="仿宋" w:cs="仿宋"/>
          <w:color w:val="auto"/>
          <w:szCs w:val="24"/>
          <w:highlight w:val="none"/>
        </w:rPr>
        <w:t xml:space="preserve">             </w:t>
      </w:r>
      <w:bookmarkEnd w:id="179"/>
      <w:bookmarkEnd w:id="180"/>
      <w:bookmarkEnd w:id="181"/>
      <w:bookmarkEnd w:id="182"/>
      <w:bookmarkEnd w:id="183"/>
      <w:bookmarkEnd w:id="184"/>
      <w:bookmarkEnd w:id="185"/>
    </w:p>
    <w:p w14:paraId="3929CC6D">
      <w:pPr>
        <w:rPr>
          <w:rFonts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16CECFE4">
      <w:pPr>
        <w:snapToGrid w:val="0"/>
        <w:jc w:val="center"/>
        <w:rPr>
          <w:rStyle w:val="503"/>
          <w:b/>
          <w:bCs/>
          <w:color w:val="auto"/>
          <w:highlight w:val="none"/>
        </w:rPr>
      </w:pPr>
      <w:r>
        <w:rPr>
          <w:rFonts w:hint="eastAsia" w:ascii="仿宋" w:hAnsi="仿宋" w:eastAsia="仿宋" w:cs="仿宋"/>
          <w:b/>
          <w:bCs/>
          <w:color w:val="auto"/>
          <w:sz w:val="32"/>
          <w:szCs w:val="32"/>
          <w:highlight w:val="none"/>
        </w:rPr>
        <w:t>二、投标报价明细表</w:t>
      </w:r>
    </w:p>
    <w:p w14:paraId="2BC35A5C">
      <w:pPr>
        <w:snapToGrid w:val="0"/>
        <w:spacing w:line="360" w:lineRule="auto"/>
        <w:ind w:firstLine="482"/>
        <w:rPr>
          <w:rFonts w:ascii="仿宋" w:hAnsi="仿宋" w:eastAsia="仿宋" w:cs="仿宋"/>
          <w:color w:val="auto"/>
          <w:highlight w:val="none"/>
        </w:rPr>
      </w:pPr>
    </w:p>
    <w:p w14:paraId="112D2983">
      <w:pPr>
        <w:snapToGrid w:val="0"/>
        <w:spacing w:line="360" w:lineRule="auto"/>
        <w:ind w:firstLine="482"/>
        <w:rPr>
          <w:rFonts w:ascii="仿宋" w:hAnsi="仿宋" w:eastAsia="仿宋" w:cs="仿宋"/>
          <w:color w:val="auto"/>
          <w:highlight w:val="none"/>
        </w:rPr>
      </w:pPr>
      <w:r>
        <w:rPr>
          <w:rFonts w:hint="eastAsia" w:ascii="仿宋" w:hAnsi="仿宋" w:eastAsia="仿宋" w:cs="仿宋"/>
          <w:color w:val="auto"/>
          <w:highlight w:val="none"/>
        </w:rPr>
        <w:t>项目名称：</w:t>
      </w:r>
    </w:p>
    <w:p w14:paraId="1BC7C786">
      <w:pPr>
        <w:snapToGrid w:val="0"/>
        <w:spacing w:line="360" w:lineRule="auto"/>
        <w:ind w:firstLine="482"/>
        <w:rPr>
          <w:rFonts w:ascii="仿宋" w:hAnsi="仿宋" w:eastAsia="仿宋" w:cs="仿宋"/>
          <w:color w:val="auto"/>
          <w:highlight w:val="none"/>
        </w:rPr>
      </w:pPr>
      <w:r>
        <w:rPr>
          <w:rFonts w:hint="eastAsia" w:ascii="仿宋" w:hAnsi="仿宋" w:eastAsia="仿宋" w:cs="仿宋"/>
          <w:color w:val="auto"/>
          <w:highlight w:val="none"/>
        </w:rPr>
        <w:t>项目编号：</w:t>
      </w:r>
    </w:p>
    <w:p w14:paraId="1F946D62">
      <w:pPr>
        <w:snapToGrid w:val="0"/>
        <w:spacing w:line="360" w:lineRule="auto"/>
        <w:ind w:firstLine="482"/>
        <w:rPr>
          <w:rFonts w:ascii="仿宋" w:hAnsi="仿宋" w:eastAsia="仿宋" w:cs="仿宋"/>
          <w:color w:val="auto"/>
          <w:kern w:val="0"/>
          <w:highlight w:val="none"/>
          <w:lang w:val="zh-CN"/>
        </w:rPr>
      </w:pPr>
      <w:r>
        <w:rPr>
          <w:rFonts w:hint="eastAsia" w:ascii="仿宋" w:hAnsi="仿宋" w:eastAsia="仿宋" w:cs="仿宋"/>
          <w:color w:val="auto"/>
          <w:highlight w:val="none"/>
        </w:rPr>
        <w:t>单位：人民币（元）</w:t>
      </w:r>
    </w:p>
    <w:tbl>
      <w:tblPr>
        <w:tblStyle w:val="79"/>
        <w:tblW w:w="904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20"/>
        <w:gridCol w:w="907"/>
        <w:gridCol w:w="1686"/>
        <w:gridCol w:w="1354"/>
        <w:gridCol w:w="1051"/>
        <w:gridCol w:w="1475"/>
      </w:tblGrid>
      <w:tr w14:paraId="7F78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2BA59DC1">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序号</w:t>
            </w:r>
          </w:p>
        </w:tc>
        <w:tc>
          <w:tcPr>
            <w:tcW w:w="1820" w:type="dxa"/>
            <w:tcBorders>
              <w:top w:val="single" w:color="000000" w:sz="4" w:space="0"/>
              <w:left w:val="single" w:color="000000" w:sz="4" w:space="0"/>
              <w:bottom w:val="single" w:color="000000" w:sz="4" w:space="0"/>
              <w:right w:val="single" w:color="000000" w:sz="4" w:space="0"/>
            </w:tcBorders>
            <w:vAlign w:val="center"/>
          </w:tcPr>
          <w:p w14:paraId="15B24C70">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名称</w:t>
            </w:r>
          </w:p>
        </w:tc>
        <w:tc>
          <w:tcPr>
            <w:tcW w:w="907" w:type="dxa"/>
            <w:tcBorders>
              <w:top w:val="single" w:color="000000" w:sz="4" w:space="0"/>
              <w:left w:val="single" w:color="000000" w:sz="4" w:space="0"/>
              <w:bottom w:val="single" w:color="000000" w:sz="4" w:space="0"/>
              <w:right w:val="single" w:color="000000" w:sz="4" w:space="0"/>
            </w:tcBorders>
            <w:vAlign w:val="center"/>
          </w:tcPr>
          <w:p w14:paraId="43970928">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数量</w:t>
            </w:r>
          </w:p>
        </w:tc>
        <w:tc>
          <w:tcPr>
            <w:tcW w:w="1686" w:type="dxa"/>
            <w:tcBorders>
              <w:top w:val="single" w:color="000000" w:sz="4" w:space="0"/>
              <w:left w:val="single" w:color="000000" w:sz="4" w:space="0"/>
              <w:bottom w:val="single" w:color="000000" w:sz="4" w:space="0"/>
              <w:right w:val="single" w:color="000000" w:sz="4" w:space="0"/>
            </w:tcBorders>
            <w:vAlign w:val="center"/>
          </w:tcPr>
          <w:p w14:paraId="4E0BFC3F">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品牌（如有）</w:t>
            </w:r>
          </w:p>
        </w:tc>
        <w:tc>
          <w:tcPr>
            <w:tcW w:w="1354" w:type="dxa"/>
            <w:tcBorders>
              <w:top w:val="single" w:color="000000" w:sz="4" w:space="0"/>
              <w:left w:val="single" w:color="000000" w:sz="4" w:space="0"/>
              <w:bottom w:val="single" w:color="000000" w:sz="4" w:space="0"/>
              <w:right w:val="single" w:color="000000" w:sz="4" w:space="0"/>
            </w:tcBorders>
            <w:vAlign w:val="center"/>
          </w:tcPr>
          <w:p w14:paraId="7CAA599E">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规格型号（或具体服务）</w:t>
            </w:r>
          </w:p>
        </w:tc>
        <w:tc>
          <w:tcPr>
            <w:tcW w:w="1051" w:type="dxa"/>
            <w:tcBorders>
              <w:top w:val="single" w:color="000000" w:sz="4" w:space="0"/>
              <w:left w:val="single" w:color="000000" w:sz="4" w:space="0"/>
              <w:bottom w:val="single" w:color="000000" w:sz="4" w:space="0"/>
              <w:right w:val="single" w:color="000000" w:sz="4" w:space="0"/>
            </w:tcBorders>
            <w:vAlign w:val="center"/>
          </w:tcPr>
          <w:p w14:paraId="1B0B2EC4">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单价</w:t>
            </w:r>
          </w:p>
        </w:tc>
        <w:tc>
          <w:tcPr>
            <w:tcW w:w="1475" w:type="dxa"/>
            <w:tcBorders>
              <w:top w:val="single" w:color="000000" w:sz="4" w:space="0"/>
              <w:left w:val="single" w:color="000000" w:sz="4" w:space="0"/>
              <w:bottom w:val="single" w:color="000000" w:sz="4" w:space="0"/>
              <w:right w:val="single" w:color="000000" w:sz="4" w:space="0"/>
            </w:tcBorders>
            <w:vAlign w:val="center"/>
          </w:tcPr>
          <w:p w14:paraId="76F0D433">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小计</w:t>
            </w:r>
          </w:p>
        </w:tc>
      </w:tr>
      <w:tr w14:paraId="4D80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2E1810F5">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1</w:t>
            </w:r>
          </w:p>
        </w:tc>
        <w:tc>
          <w:tcPr>
            <w:tcW w:w="1820" w:type="dxa"/>
            <w:tcBorders>
              <w:top w:val="single" w:color="000000" w:sz="4" w:space="0"/>
              <w:left w:val="single" w:color="000000" w:sz="4" w:space="0"/>
              <w:bottom w:val="single" w:color="000000" w:sz="4" w:space="0"/>
              <w:right w:val="single" w:color="000000" w:sz="4" w:space="0"/>
            </w:tcBorders>
            <w:vAlign w:val="center"/>
          </w:tcPr>
          <w:p w14:paraId="5CB364E8">
            <w:pPr>
              <w:tabs>
                <w:tab w:val="left" w:pos="0"/>
              </w:tabs>
              <w:snapToGrid w:val="0"/>
              <w:spacing w:line="500" w:lineRule="exact"/>
              <w:jc w:val="center"/>
              <w:rPr>
                <w:rStyle w:val="503"/>
                <w:rFonts w:ascii="仿宋" w:hAnsi="仿宋" w:eastAsia="仿宋" w:cs="仿宋"/>
                <w:color w:val="auto"/>
                <w:szCs w:val="22"/>
                <w:highlight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14:paraId="41599509">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73118794">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23AA9B4B">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7DB35BED">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2CA15756">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r>
      <w:tr w14:paraId="4017A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5F5342CA">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2</w:t>
            </w:r>
          </w:p>
        </w:tc>
        <w:tc>
          <w:tcPr>
            <w:tcW w:w="1820" w:type="dxa"/>
            <w:tcBorders>
              <w:top w:val="single" w:color="000000" w:sz="4" w:space="0"/>
              <w:left w:val="single" w:color="000000" w:sz="4" w:space="0"/>
              <w:bottom w:val="single" w:color="000000" w:sz="4" w:space="0"/>
              <w:right w:val="single" w:color="000000" w:sz="4" w:space="0"/>
            </w:tcBorders>
            <w:vAlign w:val="center"/>
          </w:tcPr>
          <w:p w14:paraId="5119DA3B">
            <w:pPr>
              <w:tabs>
                <w:tab w:val="left" w:pos="0"/>
              </w:tabs>
              <w:snapToGrid w:val="0"/>
              <w:spacing w:line="500" w:lineRule="exact"/>
              <w:jc w:val="center"/>
              <w:rPr>
                <w:rStyle w:val="503"/>
                <w:rFonts w:ascii="仿宋" w:hAnsi="仿宋" w:eastAsia="仿宋" w:cs="仿宋"/>
                <w:color w:val="auto"/>
                <w:szCs w:val="22"/>
                <w:highlight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14:paraId="759E8B14">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40873629">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260B9CA1">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709CF5E6">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19CA3793">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r>
      <w:tr w14:paraId="42039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6F4C2046">
            <w:pPr>
              <w:tabs>
                <w:tab w:val="left" w:pos="0"/>
              </w:tabs>
              <w:snapToGrid w:val="0"/>
              <w:spacing w:line="500" w:lineRule="exact"/>
              <w:jc w:val="center"/>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3</w:t>
            </w:r>
          </w:p>
        </w:tc>
        <w:tc>
          <w:tcPr>
            <w:tcW w:w="1820" w:type="dxa"/>
            <w:tcBorders>
              <w:top w:val="single" w:color="000000" w:sz="4" w:space="0"/>
              <w:left w:val="single" w:color="000000" w:sz="4" w:space="0"/>
              <w:bottom w:val="single" w:color="000000" w:sz="4" w:space="0"/>
              <w:right w:val="single" w:color="000000" w:sz="4" w:space="0"/>
            </w:tcBorders>
            <w:vAlign w:val="center"/>
          </w:tcPr>
          <w:p w14:paraId="65E21F1C">
            <w:pPr>
              <w:tabs>
                <w:tab w:val="left" w:pos="0"/>
              </w:tabs>
              <w:snapToGrid w:val="0"/>
              <w:spacing w:line="500" w:lineRule="exact"/>
              <w:jc w:val="center"/>
              <w:rPr>
                <w:rStyle w:val="503"/>
                <w:rFonts w:ascii="仿宋" w:hAnsi="仿宋" w:eastAsia="仿宋" w:cs="仿宋"/>
                <w:color w:val="auto"/>
                <w:szCs w:val="22"/>
                <w:highlight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14:paraId="28D3CA88">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09C8CFD2">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4EA2E098">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214652E4">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1D0AEE89">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r>
      <w:tr w14:paraId="1269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59AA2B63">
            <w:pPr>
              <w:tabs>
                <w:tab w:val="left" w:pos="0"/>
              </w:tabs>
              <w:snapToGrid w:val="0"/>
              <w:spacing w:line="500" w:lineRule="exact"/>
              <w:jc w:val="center"/>
              <w:rPr>
                <w:rStyle w:val="503"/>
                <w:rFonts w:ascii="仿宋" w:hAnsi="仿宋" w:eastAsia="仿宋" w:cs="仿宋"/>
                <w:color w:val="auto"/>
                <w:szCs w:val="22"/>
                <w:highlight w:val="none"/>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4A051BA6">
            <w:pPr>
              <w:tabs>
                <w:tab w:val="left" w:pos="0"/>
              </w:tabs>
              <w:snapToGrid w:val="0"/>
              <w:spacing w:line="500" w:lineRule="exact"/>
              <w:rPr>
                <w:rStyle w:val="503"/>
                <w:rFonts w:ascii="仿宋" w:hAnsi="仿宋" w:eastAsia="仿宋" w:cs="仿宋"/>
                <w:color w:val="auto"/>
                <w:szCs w:val="22"/>
                <w:highlight w:val="none"/>
              </w:rPr>
            </w:pPr>
            <w:r>
              <w:rPr>
                <w:rStyle w:val="503"/>
                <w:rFonts w:hint="eastAsia" w:ascii="仿宋" w:hAnsi="仿宋" w:eastAsia="仿宋" w:cs="仿宋"/>
                <w:b/>
                <w:bCs/>
                <w:color w:val="auto"/>
                <w:szCs w:val="22"/>
                <w:highlight w:val="none"/>
              </w:rPr>
              <w:t>……</w:t>
            </w:r>
          </w:p>
        </w:tc>
        <w:tc>
          <w:tcPr>
            <w:tcW w:w="907" w:type="dxa"/>
            <w:tcBorders>
              <w:top w:val="single" w:color="000000" w:sz="4" w:space="0"/>
              <w:left w:val="single" w:color="000000" w:sz="4" w:space="0"/>
              <w:bottom w:val="single" w:color="000000" w:sz="4" w:space="0"/>
              <w:right w:val="single" w:color="000000" w:sz="4" w:space="0"/>
            </w:tcBorders>
            <w:vAlign w:val="center"/>
          </w:tcPr>
          <w:p w14:paraId="39F5F34A">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7547E77B">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72A3EC8E">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3FB26620">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1DC83C86">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r>
      <w:tr w14:paraId="264A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24226CDC">
            <w:pPr>
              <w:tabs>
                <w:tab w:val="left" w:pos="0"/>
              </w:tabs>
              <w:snapToGrid w:val="0"/>
              <w:spacing w:line="500" w:lineRule="exact"/>
              <w:jc w:val="center"/>
              <w:rPr>
                <w:rStyle w:val="503"/>
                <w:rFonts w:ascii="仿宋" w:hAnsi="仿宋" w:eastAsia="仿宋" w:cs="仿宋"/>
                <w:color w:val="auto"/>
                <w:szCs w:val="22"/>
                <w:highlight w:val="none"/>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5FC54E1B">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14:paraId="37181595">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09DBCBAE">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70A78FA6">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117D79B8">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10F7F342">
            <w:pPr>
              <w:tabs>
                <w:tab w:val="left" w:pos="0"/>
              </w:tabs>
              <w:snapToGrid w:val="0"/>
              <w:spacing w:line="500" w:lineRule="exact"/>
              <w:ind w:firstLine="480" w:firstLineChars="200"/>
              <w:jc w:val="center"/>
              <w:rPr>
                <w:rStyle w:val="503"/>
                <w:rFonts w:ascii="仿宋" w:hAnsi="仿宋" w:eastAsia="仿宋" w:cs="仿宋"/>
                <w:color w:val="auto"/>
                <w:szCs w:val="22"/>
                <w:highlight w:val="none"/>
              </w:rPr>
            </w:pPr>
          </w:p>
        </w:tc>
      </w:tr>
      <w:tr w14:paraId="7019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043" w:type="dxa"/>
            <w:gridSpan w:val="7"/>
            <w:tcBorders>
              <w:top w:val="single" w:color="000000" w:sz="4" w:space="0"/>
              <w:left w:val="single" w:color="000000" w:sz="4" w:space="0"/>
              <w:bottom w:val="single" w:color="000000" w:sz="4" w:space="0"/>
              <w:right w:val="single" w:color="000000" w:sz="4" w:space="0"/>
            </w:tcBorders>
            <w:vAlign w:val="center"/>
          </w:tcPr>
          <w:p w14:paraId="169857F1">
            <w:pPr>
              <w:tabs>
                <w:tab w:val="left" w:pos="0"/>
              </w:tabs>
              <w:snapToGrid w:val="0"/>
              <w:spacing w:line="500" w:lineRule="exact"/>
              <w:rPr>
                <w:rStyle w:val="503"/>
                <w:rFonts w:ascii="仿宋" w:hAnsi="仿宋" w:eastAsia="仿宋" w:cs="仿宋"/>
                <w:color w:val="auto"/>
                <w:szCs w:val="22"/>
                <w:highlight w:val="none"/>
              </w:rPr>
            </w:pPr>
            <w:r>
              <w:rPr>
                <w:rStyle w:val="503"/>
                <w:rFonts w:hint="eastAsia" w:ascii="仿宋" w:hAnsi="仿宋" w:eastAsia="仿宋" w:cs="仿宋"/>
                <w:color w:val="auto"/>
                <w:szCs w:val="22"/>
                <w:highlight w:val="none"/>
              </w:rPr>
              <w:t>投标总报价（小写）：             元；大写：</w:t>
            </w:r>
          </w:p>
        </w:tc>
      </w:tr>
    </w:tbl>
    <w:p w14:paraId="4491B78B">
      <w:pPr>
        <w:snapToGrid w:val="0"/>
        <w:spacing w:line="440" w:lineRule="exact"/>
        <w:rPr>
          <w:rStyle w:val="503"/>
          <w:rFonts w:ascii="仿宋" w:hAnsi="仿宋" w:eastAsia="仿宋" w:cs="仿宋"/>
          <w:color w:val="auto"/>
          <w:highlight w:val="none"/>
        </w:rPr>
      </w:pPr>
      <w:r>
        <w:rPr>
          <w:rStyle w:val="503"/>
          <w:rFonts w:hint="eastAsia" w:ascii="仿宋" w:hAnsi="仿宋" w:eastAsia="仿宋" w:cs="仿宋"/>
          <w:color w:val="auto"/>
          <w:highlight w:val="none"/>
        </w:rPr>
        <w:t>注：1、</w:t>
      </w:r>
      <w:r>
        <w:rPr>
          <w:rFonts w:hint="eastAsia" w:ascii="仿宋" w:hAnsi="仿宋" w:eastAsia="仿宋" w:cs="仿宋"/>
          <w:color w:val="auto"/>
          <w:kern w:val="0"/>
          <w:highlight w:val="none"/>
          <w:lang w:val="zh-CN"/>
        </w:rPr>
        <w:t>有关本项目实施所涉及的一切费用均计入报价</w:t>
      </w:r>
      <w:r>
        <w:rPr>
          <w:rStyle w:val="503"/>
          <w:rFonts w:hint="eastAsia" w:ascii="仿宋" w:hAnsi="仿宋" w:eastAsia="仿宋" w:cs="仿宋"/>
          <w:color w:val="auto"/>
          <w:highlight w:val="none"/>
        </w:rPr>
        <w:t>。</w:t>
      </w:r>
    </w:p>
    <w:p w14:paraId="31AC88AD">
      <w:pPr>
        <w:snapToGrid w:val="0"/>
        <w:spacing w:line="44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2、报价一经涂改，应在涂改处加盖单位公章或者由法定代表人签字或盖章，否则其投标作无效标处理。</w:t>
      </w:r>
    </w:p>
    <w:p w14:paraId="0DBFFDA8">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3、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5C0FBD21">
      <w:pPr>
        <w:pStyle w:val="337"/>
        <w:snapToGrid w:val="0"/>
        <w:spacing w:before="120" w:after="120" w:line="440" w:lineRule="exact"/>
        <w:ind w:firstLine="480" w:firstLineChars="200"/>
        <w:rPr>
          <w:rStyle w:val="503"/>
          <w:rFonts w:ascii="仿宋" w:hAnsi="仿宋" w:eastAsia="仿宋" w:cs="仿宋"/>
          <w:color w:val="auto"/>
          <w:sz w:val="24"/>
          <w:szCs w:val="24"/>
          <w:highlight w:val="none"/>
        </w:rPr>
      </w:pPr>
      <w:r>
        <w:rPr>
          <w:rStyle w:val="503"/>
          <w:rFonts w:hint="eastAsia" w:ascii="仿宋" w:hAnsi="仿宋" w:eastAsia="仿宋" w:cs="仿宋"/>
          <w:color w:val="auto"/>
          <w:sz w:val="24"/>
          <w:szCs w:val="24"/>
          <w:highlight w:val="none"/>
        </w:rPr>
        <w:t>4、名称按不同采购内容分别填写，金额应与开标一览表中的相一致。</w:t>
      </w:r>
    </w:p>
    <w:p w14:paraId="4C03E0AD">
      <w:pPr>
        <w:pStyle w:val="562"/>
        <w:keepNext w:val="0"/>
        <w:pageBreakBefore w:val="0"/>
        <w:tabs>
          <w:tab w:val="clear" w:pos="720"/>
        </w:tabs>
        <w:snapToGrid w:val="0"/>
        <w:spacing w:before="120" w:after="120" w:line="440" w:lineRule="exact"/>
        <w:ind w:firstLine="480" w:firstLineChars="200"/>
        <w:jc w:val="both"/>
        <w:outlineLvl w:val="9"/>
        <w:rPr>
          <w:rStyle w:val="503"/>
          <w:rFonts w:ascii="仿宋" w:hAnsi="仿宋" w:eastAsia="仿宋" w:cs="仿宋"/>
          <w:b w:val="0"/>
          <w:color w:val="auto"/>
          <w:kern w:val="2"/>
          <w:sz w:val="24"/>
          <w:szCs w:val="24"/>
          <w:highlight w:val="none"/>
        </w:rPr>
      </w:pPr>
      <w:r>
        <w:rPr>
          <w:rStyle w:val="503"/>
          <w:rFonts w:hint="eastAsia" w:ascii="仿宋" w:hAnsi="仿宋" w:eastAsia="仿宋" w:cs="仿宋"/>
          <w:b w:val="0"/>
          <w:color w:val="auto"/>
          <w:kern w:val="2"/>
          <w:sz w:val="24"/>
          <w:szCs w:val="24"/>
          <w:highlight w:val="none"/>
        </w:rPr>
        <w:t>5、此表仅提供了表格形式，供应商可按此表格格式进行扩展。</w:t>
      </w:r>
    </w:p>
    <w:p w14:paraId="36B06B12">
      <w:pPr>
        <w:spacing w:line="336" w:lineRule="auto"/>
        <w:ind w:firstLine="5280" w:firstLineChars="2200"/>
        <w:rPr>
          <w:rFonts w:ascii="仿宋" w:hAnsi="仿宋" w:eastAsia="仿宋" w:cs="仿宋"/>
          <w:color w:val="auto"/>
          <w:highlight w:val="none"/>
        </w:rPr>
      </w:pPr>
    </w:p>
    <w:p w14:paraId="49F20BE1">
      <w:pPr>
        <w:spacing w:line="336" w:lineRule="auto"/>
        <w:ind w:firstLine="5280" w:firstLineChars="2200"/>
        <w:rPr>
          <w:rFonts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14:paraId="640E751E">
      <w:pPr>
        <w:widowControl/>
        <w:spacing w:line="336" w:lineRule="auto"/>
        <w:jc w:val="center"/>
        <w:rPr>
          <w:rFonts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10429A39">
      <w:pPr>
        <w:rPr>
          <w:rFonts w:ascii="仿宋" w:hAnsi="仿宋" w:eastAsia="仿宋" w:cs="仿宋"/>
          <w:b/>
          <w:bCs/>
          <w:color w:val="auto"/>
          <w:szCs w:val="24"/>
          <w:highlight w:val="none"/>
        </w:rPr>
      </w:pPr>
      <w:r>
        <w:rPr>
          <w:rFonts w:hint="eastAsia" w:ascii="仿宋" w:hAnsi="仿宋" w:eastAsia="仿宋" w:cs="仿宋"/>
          <w:b/>
          <w:bCs/>
          <w:color w:val="auto"/>
          <w:szCs w:val="24"/>
          <w:highlight w:val="none"/>
        </w:rPr>
        <w:br w:type="page"/>
      </w:r>
    </w:p>
    <w:p w14:paraId="4299D9C8">
      <w:pPr>
        <w:rPr>
          <w:rFonts w:ascii="仿宋" w:hAnsi="仿宋" w:eastAsia="仿宋" w:cs="仿宋"/>
          <w:color w:val="auto"/>
          <w:szCs w:val="24"/>
          <w:highlight w:val="none"/>
        </w:rPr>
      </w:pPr>
      <w:r>
        <w:rPr>
          <w:rFonts w:hint="eastAsia" w:ascii="仿宋" w:hAnsi="仿宋" w:eastAsia="仿宋" w:cs="仿宋"/>
          <w:b/>
          <w:bCs/>
          <w:color w:val="auto"/>
          <w:szCs w:val="24"/>
          <w:highlight w:val="none"/>
        </w:rPr>
        <w:t>各投标供应商：</w:t>
      </w:r>
    </w:p>
    <w:p w14:paraId="070749CF">
      <w:pPr>
        <w:pStyle w:val="339"/>
        <w:numPr>
          <w:ilvl w:val="0"/>
          <w:numId w:val="0"/>
        </w:numPr>
        <w:adjustRightInd/>
        <w:snapToGrid w:val="0"/>
        <w:spacing w:line="500" w:lineRule="exact"/>
        <w:ind w:firstLine="482" w:firstLineChars="200"/>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请在投标文件解密后半小时内如实填写政企采购活动现场确认声明书，并以扫描件形式发送至984537027@qq.com邮箱，如未如实填写，将有可能影响你的投标文件评审（政企采购活动现场确认声明书格式见附表）。</w:t>
      </w:r>
    </w:p>
    <w:p w14:paraId="0EC35788">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523D799A">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D22C908">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9B00C84">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01B4E1AB">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441BA660">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23289AC3">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65FA7E41">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371E947F">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7B44539">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4D96DC65">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03B6061E">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8BF367A">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4FBB731">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5893824F">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61FACF23">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71F9F7CC">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126B7AC9">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6645D696">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678E1DBA">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77336C95">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310D11CD">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5496A29E">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06FC6F42">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38BD764F">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30FBA8D2">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p>
    <w:p w14:paraId="01B9336D">
      <w:pPr>
        <w:pStyle w:val="339"/>
        <w:numPr>
          <w:ilvl w:val="0"/>
          <w:numId w:val="0"/>
        </w:numPr>
        <w:adjustRightInd/>
        <w:snapToGrid w:val="0"/>
        <w:spacing w:line="360" w:lineRule="auto"/>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附表：               </w:t>
      </w:r>
    </w:p>
    <w:p w14:paraId="3AF3BA91">
      <w:pPr>
        <w:pStyle w:val="339"/>
        <w:numPr>
          <w:ilvl w:val="0"/>
          <w:numId w:val="0"/>
        </w:numPr>
        <w:adjustRightInd/>
        <w:snapToGrid w:val="0"/>
        <w:spacing w:line="360" w:lineRule="auto"/>
        <w:jc w:val="center"/>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政企采购活动现场确认声明书</w:t>
      </w:r>
    </w:p>
    <w:p w14:paraId="034039D6">
      <w:pPr>
        <w:pStyle w:val="339"/>
        <w:numPr>
          <w:ilvl w:val="0"/>
          <w:numId w:val="0"/>
        </w:numPr>
        <w:adjustRightInd/>
        <w:snapToGrid w:val="0"/>
        <w:spacing w:line="460" w:lineRule="exact"/>
        <w:rPr>
          <w:rFonts w:hint="default" w:ascii="仿宋" w:hAnsi="仿宋" w:eastAsia="仿宋" w:cs="仿宋"/>
          <w:b/>
          <w:color w:val="auto"/>
          <w:sz w:val="24"/>
          <w:szCs w:val="24"/>
          <w:highlight w:val="none"/>
        </w:rPr>
      </w:pPr>
      <w:r>
        <w:rPr>
          <w:rFonts w:ascii="仿宋" w:hAnsi="仿宋" w:eastAsia="仿宋" w:cs="仿宋"/>
          <w:color w:val="auto"/>
          <w:sz w:val="24"/>
          <w:szCs w:val="24"/>
          <w:highlight w:val="none"/>
          <w:u w:val="single"/>
        </w:rPr>
        <w:t>绍兴市文汇项目管理有限公司</w:t>
      </w:r>
      <w:r>
        <w:rPr>
          <w:rFonts w:ascii="仿宋" w:hAnsi="仿宋" w:eastAsia="仿宋" w:cs="仿宋"/>
          <w:color w:val="auto"/>
          <w:sz w:val="24"/>
          <w:szCs w:val="24"/>
          <w:highlight w:val="none"/>
        </w:rPr>
        <w:t>：</w:t>
      </w:r>
    </w:p>
    <w:p w14:paraId="3BA184C5">
      <w:pPr>
        <w:pStyle w:val="339"/>
        <w:numPr>
          <w:ilvl w:val="0"/>
          <w:numId w:val="0"/>
        </w:numPr>
        <w:adjustRightInd/>
        <w:snapToGrid w:val="0"/>
        <w:spacing w:line="460" w:lineRule="exact"/>
        <w:ind w:firstLine="504" w:firstLineChars="200"/>
        <w:rPr>
          <w:rFonts w:hint="default" w:ascii="仿宋" w:hAnsi="仿宋" w:eastAsia="仿宋" w:cs="仿宋"/>
          <w:color w:val="auto"/>
          <w:spacing w:val="6"/>
          <w:sz w:val="24"/>
          <w:szCs w:val="24"/>
          <w:highlight w:val="none"/>
        </w:rPr>
      </w:pPr>
      <w:r>
        <w:rPr>
          <w:rFonts w:ascii="仿宋" w:hAnsi="仿宋" w:eastAsia="仿宋" w:cs="仿宋"/>
          <w:color w:val="auto"/>
          <w:spacing w:val="6"/>
          <w:sz w:val="24"/>
          <w:szCs w:val="24"/>
          <w:highlight w:val="none"/>
        </w:rPr>
        <w:t>本人</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经由</w:t>
      </w:r>
      <w:r>
        <w:rPr>
          <w:rFonts w:ascii="仿宋" w:hAnsi="仿宋" w:eastAsia="仿宋" w:cs="仿宋"/>
          <w:color w:val="auto"/>
          <w:spacing w:val="6"/>
          <w:sz w:val="24"/>
          <w:szCs w:val="24"/>
          <w:highlight w:val="none"/>
          <w:u w:val="single"/>
        </w:rPr>
        <w:t xml:space="preserve">                                （单位）</w:t>
      </w:r>
      <w:r>
        <w:rPr>
          <w:rFonts w:ascii="仿宋" w:hAnsi="仿宋" w:eastAsia="仿宋" w:cs="仿宋"/>
          <w:color w:val="auto"/>
          <w:spacing w:val="6"/>
          <w:sz w:val="24"/>
          <w:szCs w:val="24"/>
          <w:highlight w:val="none"/>
        </w:rPr>
        <w:t>负责人</w:t>
      </w:r>
      <w:r>
        <w:rPr>
          <w:rFonts w:ascii="仿宋" w:hAnsi="仿宋" w:eastAsia="仿宋" w:cs="仿宋"/>
          <w:color w:val="auto"/>
          <w:spacing w:val="6"/>
          <w:sz w:val="24"/>
          <w:szCs w:val="24"/>
          <w:highlight w:val="none"/>
          <w:u w:val="single"/>
        </w:rPr>
        <w:t xml:space="preserve"> </w:t>
      </w:r>
      <w:r>
        <w:rPr>
          <w:rFonts w:ascii="仿宋" w:hAnsi="仿宋" w:eastAsia="仿宋" w:cs="仿宋"/>
          <w:i/>
          <w:iCs/>
          <w:color w:val="auto"/>
          <w:spacing w:val="6"/>
          <w:sz w:val="24"/>
          <w:szCs w:val="24"/>
          <w:highlight w:val="none"/>
          <w:u w:val="single"/>
        </w:rPr>
        <w:t xml:space="preserve">     </w:t>
      </w:r>
      <w:r>
        <w:rPr>
          <w:rFonts w:ascii="仿宋" w:hAnsi="仿宋" w:eastAsia="仿宋" w:cs="仿宋"/>
          <w:color w:val="auto"/>
          <w:spacing w:val="6"/>
          <w:sz w:val="24"/>
          <w:szCs w:val="24"/>
          <w:highlight w:val="none"/>
          <w:u w:val="single"/>
        </w:rPr>
        <w:t>（姓名）</w:t>
      </w:r>
      <w:r>
        <w:rPr>
          <w:rFonts w:ascii="仿宋" w:hAnsi="仿宋" w:eastAsia="仿宋" w:cs="仿宋"/>
          <w:color w:val="auto"/>
          <w:spacing w:val="6"/>
          <w:sz w:val="24"/>
          <w:szCs w:val="24"/>
          <w:highlight w:val="none"/>
        </w:rPr>
        <w:t>合法授权参加</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（项目编号：</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 xml:space="preserve">）政企采购活动，经与本单位法人代表（负责人）联系确认，现就有关公平竞争事项郑重声明如下： </w:t>
      </w:r>
    </w:p>
    <w:p w14:paraId="4A878A25">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一、本单位与采购人之间 </w:t>
      </w:r>
    </w:p>
    <w:p w14:paraId="36326EBA">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□不存在利害关系;</w:t>
      </w:r>
    </w:p>
    <w:p w14:paraId="546A71D9">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155334F6">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A.投资关系    B.行政隶属关系    C.业务指导关系</w:t>
      </w:r>
    </w:p>
    <w:p w14:paraId="797F89B9">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D.其他可能</w:t>
      </w:r>
      <w:r>
        <w:rPr>
          <w:rFonts w:ascii="仿宋" w:hAnsi="仿宋" w:eastAsia="仿宋" w:cs="仿宋"/>
          <w:color w:val="auto"/>
          <w:sz w:val="24"/>
          <w:szCs w:val="24"/>
          <w:highlight w:val="none"/>
        </w:rPr>
        <w:t>影响采购公正的</w:t>
      </w:r>
      <w:r>
        <w:rPr>
          <w:rFonts w:ascii="仿宋" w:hAnsi="仿宋" w:eastAsia="仿宋" w:cs="仿宋"/>
          <w:color w:val="auto"/>
          <w:kern w:val="0"/>
          <w:sz w:val="24"/>
          <w:szCs w:val="24"/>
          <w:highlight w:val="none"/>
        </w:rPr>
        <w:t>利害关系</w:t>
      </w:r>
      <w:r>
        <w:rPr>
          <w:rFonts w:ascii="仿宋" w:hAnsi="仿宋" w:eastAsia="仿宋" w:cs="仿宋"/>
          <w:color w:val="auto"/>
          <w:kern w:val="0"/>
          <w:sz w:val="24"/>
          <w:szCs w:val="24"/>
          <w:highlight w:val="none"/>
          <w:u w:val="single"/>
        </w:rPr>
        <w:t xml:space="preserve">（如有，请如实说明）                 </w:t>
      </w:r>
      <w:r>
        <w:rPr>
          <w:rFonts w:ascii="仿宋" w:hAnsi="仿宋" w:eastAsia="仿宋" w:cs="仿宋"/>
          <w:color w:val="auto"/>
          <w:kern w:val="0"/>
          <w:sz w:val="24"/>
          <w:szCs w:val="24"/>
          <w:highlight w:val="none"/>
        </w:rPr>
        <w:t>。</w:t>
      </w:r>
    </w:p>
    <w:p w14:paraId="57096B62">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spacing w:val="6"/>
          <w:sz w:val="24"/>
          <w:szCs w:val="24"/>
          <w:highlight w:val="none"/>
        </w:rPr>
        <w:t>二、</w:t>
      </w:r>
      <w:r>
        <w:rPr>
          <w:rFonts w:ascii="仿宋" w:hAnsi="仿宋" w:eastAsia="仿宋" w:cs="仿宋"/>
          <w:color w:val="auto"/>
          <w:kern w:val="0"/>
          <w:sz w:val="24"/>
          <w:szCs w:val="24"/>
          <w:highlight w:val="none"/>
        </w:rPr>
        <w:t xml:space="preserve">现已清楚知道参加本项目采购活动的其他所有供应商名称，本单位 </w:t>
      </w:r>
    </w:p>
    <w:p w14:paraId="7CCB3E84">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□与其他所有供应商之间均不存在利害关系 </w:t>
      </w:r>
    </w:p>
    <w:p w14:paraId="2FB1618F">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w:t>
      </w:r>
      <w:r>
        <w:rPr>
          <w:rFonts w:ascii="仿宋" w:hAnsi="仿宋" w:eastAsia="仿宋" w:cs="仿宋"/>
          <w:color w:val="auto"/>
          <w:kern w:val="0"/>
          <w:sz w:val="24"/>
          <w:szCs w:val="24"/>
          <w:highlight w:val="none"/>
          <w:u w:val="single"/>
        </w:rPr>
        <w:t xml:space="preserve">           （供应商名称）</w:t>
      </w:r>
      <w:r>
        <w:rPr>
          <w:rFonts w:ascii="仿宋" w:hAnsi="仿宋" w:eastAsia="仿宋" w:cs="仿宋"/>
          <w:color w:val="auto"/>
          <w:kern w:val="0"/>
          <w:sz w:val="24"/>
          <w:szCs w:val="24"/>
          <w:highlight w:val="none"/>
        </w:rPr>
        <w:t>之间存在下列利害关系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78BB6A5B">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A.法定代表人或负责人或实际控制人是同一人</w:t>
      </w:r>
    </w:p>
    <w:p w14:paraId="0EE25490">
      <w:pPr>
        <w:pStyle w:val="339"/>
        <w:numPr>
          <w:ilvl w:val="0"/>
          <w:numId w:val="0"/>
        </w:numPr>
        <w:adjustRightInd/>
        <w:snapToGrid w:val="0"/>
        <w:spacing w:line="460" w:lineRule="exact"/>
        <w:rPr>
          <w:rFonts w:hint="default" w:ascii="仿宋" w:hAnsi="仿宋" w:eastAsia="仿宋" w:cs="仿宋"/>
          <w:color w:val="auto"/>
          <w:spacing w:val="6"/>
          <w:sz w:val="24"/>
          <w:szCs w:val="24"/>
          <w:highlight w:val="none"/>
        </w:rPr>
      </w:pPr>
      <w:r>
        <w:rPr>
          <w:rFonts w:ascii="仿宋" w:hAnsi="仿宋" w:eastAsia="仿宋" w:cs="仿宋"/>
          <w:color w:val="auto"/>
          <w:sz w:val="24"/>
          <w:szCs w:val="24"/>
          <w:highlight w:val="none"/>
        </w:rPr>
        <w:t>B.法定代表人或负责人或实际控制人是夫妻关系</w:t>
      </w:r>
    </w:p>
    <w:p w14:paraId="2C4F5DBE">
      <w:pPr>
        <w:pStyle w:val="339"/>
        <w:numPr>
          <w:ilvl w:val="0"/>
          <w:numId w:val="0"/>
        </w:numPr>
        <w:adjustRightInd/>
        <w:snapToGrid w:val="0"/>
        <w:spacing w:line="460" w:lineRule="exact"/>
        <w:rPr>
          <w:rFonts w:hint="default" w:ascii="仿宋" w:hAnsi="仿宋" w:eastAsia="仿宋" w:cs="仿宋"/>
          <w:color w:val="auto"/>
          <w:spacing w:val="6"/>
          <w:sz w:val="24"/>
          <w:szCs w:val="24"/>
          <w:highlight w:val="none"/>
        </w:rPr>
      </w:pPr>
      <w:r>
        <w:rPr>
          <w:rFonts w:ascii="仿宋" w:hAnsi="仿宋" w:eastAsia="仿宋" w:cs="仿宋"/>
          <w:color w:val="auto"/>
          <w:sz w:val="24"/>
          <w:szCs w:val="24"/>
          <w:highlight w:val="none"/>
        </w:rPr>
        <w:t>C.法定代表人或负责人或实际控制人是直系血亲关系</w:t>
      </w:r>
    </w:p>
    <w:p w14:paraId="33B64450">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D.法定代表人或负责人或实际控制人存在三代以内旁系血亲关系</w:t>
      </w:r>
    </w:p>
    <w:p w14:paraId="427BE4AD">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E.法定代表人或负责人或实际控制人存在近姻亲关系</w:t>
      </w:r>
    </w:p>
    <w:p w14:paraId="1FCA3D29">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F.法定代表人或负责人或实际控制人存在股份控制或实际控制关系</w:t>
      </w:r>
      <w:bookmarkStart w:id="186" w:name="_Toc11926"/>
    </w:p>
    <w:p w14:paraId="23CA7476">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G.存在共同直接或间接投资设立子公司、联营企业和合营企业情况</w:t>
      </w:r>
      <w:bookmarkEnd w:id="186"/>
    </w:p>
    <w:p w14:paraId="41D79737">
      <w:pPr>
        <w:pStyle w:val="339"/>
        <w:numPr>
          <w:ilvl w:val="0"/>
          <w:numId w:val="0"/>
        </w:numPr>
        <w:adjustRightInd/>
        <w:snapToGrid w:val="0"/>
        <w:spacing w:line="46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6847E437">
      <w:pPr>
        <w:pStyle w:val="339"/>
        <w:numPr>
          <w:ilvl w:val="0"/>
          <w:numId w:val="0"/>
        </w:numPr>
        <w:adjustRightInd/>
        <w:snapToGrid w:val="0"/>
        <w:spacing w:line="460" w:lineRule="exact"/>
        <w:rPr>
          <w:rFonts w:hint="default" w:ascii="仿宋" w:hAnsi="仿宋" w:eastAsia="仿宋" w:cs="仿宋"/>
          <w:color w:val="auto"/>
          <w:spacing w:val="6"/>
          <w:sz w:val="24"/>
          <w:szCs w:val="24"/>
          <w:highlight w:val="none"/>
        </w:rPr>
      </w:pPr>
      <w:r>
        <w:rPr>
          <w:rFonts w:ascii="仿宋" w:hAnsi="仿宋" w:eastAsia="仿宋" w:cs="仿宋"/>
          <w:color w:val="auto"/>
          <w:sz w:val="24"/>
          <w:szCs w:val="24"/>
          <w:highlight w:val="none"/>
        </w:rPr>
        <w:t>I.其他利害关系情况</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p>
    <w:p w14:paraId="6FC6B9F7">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sz w:val="24"/>
          <w:szCs w:val="24"/>
          <w:highlight w:val="none"/>
        </w:rPr>
        <w:t>三、现已清楚知道并</w:t>
      </w:r>
      <w:r>
        <w:rPr>
          <w:rFonts w:ascii="仿宋" w:hAnsi="仿宋" w:eastAsia="仿宋" w:cs="仿宋"/>
          <w:color w:val="auto"/>
          <w:kern w:val="0"/>
          <w:sz w:val="24"/>
          <w:szCs w:val="24"/>
          <w:highlight w:val="none"/>
        </w:rPr>
        <w:t>严格遵守采购法律法规和现场纪律。</w:t>
      </w:r>
    </w:p>
    <w:p w14:paraId="736E26AF">
      <w:pPr>
        <w:pStyle w:val="140"/>
        <w:widowControl/>
        <w:snapToGrid w:val="0"/>
        <w:spacing w:line="460" w:lineRule="exact"/>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四、我发现</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供应商之间存在或可能存在上述第二条第</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项利害关系。</w:t>
      </w:r>
    </w:p>
    <w:p w14:paraId="5FD4CF91">
      <w:pPr>
        <w:rPr>
          <w:rFonts w:ascii="仿宋" w:hAnsi="仿宋" w:eastAsia="仿宋" w:cs="仿宋"/>
          <w:color w:val="auto"/>
          <w:szCs w:val="24"/>
          <w:highlight w:val="none"/>
        </w:rPr>
      </w:pPr>
    </w:p>
    <w:p w14:paraId="6C8AC0F6">
      <w:pPr>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（供应商代表签名）：                                     </w:t>
      </w:r>
    </w:p>
    <w:p w14:paraId="68378DC5">
      <w:pPr>
        <w:jc w:val="right"/>
        <w:rPr>
          <w:rFonts w:ascii="仿宋" w:hAnsi="仿宋" w:eastAsia="仿宋" w:cs="仿宋"/>
          <w:color w:val="auto"/>
          <w:szCs w:val="24"/>
          <w:highlight w:val="none"/>
        </w:rPr>
      </w:pPr>
      <w:r>
        <w:rPr>
          <w:rFonts w:hint="eastAsia" w:ascii="仿宋" w:hAnsi="仿宋" w:eastAsia="仿宋" w:cs="仿宋"/>
          <w:color w:val="auto"/>
          <w:szCs w:val="24"/>
          <w:highlight w:val="none"/>
        </w:rPr>
        <w:t>年  月  日</w:t>
      </w:r>
    </w:p>
    <w:sectPr>
      <w:headerReference r:id="rId8" w:type="default"/>
      <w:footerReference r:id="rId9" w:type="default"/>
      <w:pgSz w:w="11906" w:h="16838"/>
      <w:pgMar w:top="1474" w:right="1287" w:bottom="1304" w:left="157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1DF5">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987C5">
                          <w:pPr>
                            <w:pStyle w:val="51"/>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AEnax2wEAALcDAAAOAAAAAAAAAAEA&#10;IAAAAB4BAABkcnMvZTJvRG9jLnhtbFBLBQYAAAAABgAGAFkBAABrBQAAAAA=&#10;">
              <v:fill on="f" focussize="0,0"/>
              <v:stroke on="f"/>
              <v:imagedata o:title=""/>
              <o:lock v:ext="edit" aspectratio="f"/>
              <v:textbox inset="0mm,0mm,0mm,0mm" style="mso-fit-shape-to-text:t;">
                <w:txbxContent>
                  <w:p w14:paraId="1F5987C5">
                    <w:pPr>
                      <w:pStyle w:val="5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981A">
    <w:pPr>
      <w:pStyle w:val="5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B84CE">
                          <w:pPr>
                            <w:pStyle w:val="51"/>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8KDj2wEAALcDAAAOAAAAAAAAAAEA&#10;IAAAAB4BAABkcnMvZTJvRG9jLnhtbFBLBQYAAAAABgAGAFkBAABrBQAAAAA=&#10;">
              <v:fill on="f" focussize="0,0"/>
              <v:stroke on="f"/>
              <v:imagedata o:title=""/>
              <o:lock v:ext="edit" aspectratio="f"/>
              <v:textbox inset="0mm,0mm,0mm,0mm" style="mso-fit-shape-to-text:t;">
                <w:txbxContent>
                  <w:p w14:paraId="24DB84CE">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86AC">
    <w:pPr>
      <w:pStyle w:val="5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C5503">
                          <w:pPr>
                            <w:pStyle w:val="51"/>
                          </w:pPr>
                          <w:r>
                            <w:fldChar w:fldCharType="begin"/>
                          </w:r>
                          <w:r>
                            <w:instrText xml:space="preserve"> PAGE  \* MERGEFORMAT </w:instrText>
                          </w:r>
                          <w:r>
                            <w:fldChar w:fldCharType="separate"/>
                          </w:r>
                          <w:r>
                            <w:t>81</w:t>
                          </w:r>
                          <w:r>
                            <w:fldChar w:fldCharType="end"/>
                          </w:r>
                        </w:p>
                      </w:txbxContent>
                    </wps:txbx>
                    <wps:bodyPr vert="horz" wrap="none" lIns="0" tIns="0" rIns="0" bIns="0" anchor="t" anchorCtr="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s2lbb2wEAALcDAAAOAAAAAAAAAAEA&#10;IAAAAB4BAABkcnMvZTJvRG9jLnhtbFBLBQYAAAAABgAGAFkBAABrBQAAAAA=&#10;">
              <v:fill on="f" focussize="0,0"/>
              <v:stroke on="f"/>
              <v:imagedata o:title=""/>
              <o:lock v:ext="edit" aspectratio="f"/>
              <v:textbox inset="0mm,0mm,0mm,0mm" style="mso-fit-shape-to-text:t;">
                <w:txbxContent>
                  <w:p w14:paraId="105C5503">
                    <w:pPr>
                      <w:pStyle w:val="5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EE2">
    <w:pPr>
      <w:widowControl/>
      <w:pBdr>
        <w:bottom w:val="none" w:color="auto" w:sz="0" w:space="1"/>
      </w:pBdr>
      <w:tabs>
        <w:tab w:val="center" w:pos="4535"/>
        <w:tab w:val="right" w:pos="9070"/>
      </w:tabs>
      <w:overflowPunct w:val="0"/>
      <w:autoSpaceDE w:val="0"/>
      <w:autoSpaceDN w:val="0"/>
      <w:textAlignment w:val="baseline"/>
      <w:rPr>
        <w:rFonts w:ascii="仿宋" w:hAnsi="仿宋" w:eastAsia="仿宋"/>
        <w:sz w:val="18"/>
        <w:szCs w:val="18"/>
      </w:rPr>
    </w:pPr>
    <w:r>
      <w:rPr>
        <w:rFonts w:hint="eastAsia" w:ascii="仿宋" w:hAnsi="仿宋" w:eastAsia="仿宋" w:cs="仿宋"/>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570D">
    <w:pPr>
      <w:pStyle w:val="5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A088">
    <w:pPr>
      <w:pStyle w:val="5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B0FC">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7E80D"/>
    <w:multiLevelType w:val="singleLevel"/>
    <w:tmpl w:val="A3D7E80D"/>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132"/>
      <w:suff w:val="nothing"/>
      <w:lvlText w:val="%1"/>
      <w:lvlJc w:val="left"/>
      <w:pPr>
        <w:ind w:left="0" w:firstLine="0"/>
      </w:pPr>
      <w:rPr>
        <w:rFonts w:hint="default" w:ascii="Times New Roman" w:hAnsi="Times New Roman"/>
        <w:b/>
        <w:i w:val="0"/>
        <w:sz w:val="21"/>
      </w:rPr>
    </w:lvl>
    <w:lvl w:ilvl="1" w:tentative="0">
      <w:start w:val="1"/>
      <w:numFmt w:val="decimal"/>
      <w:pStyle w:val="208"/>
      <w:suff w:val="nothing"/>
      <w:lvlText w:val="%1%2　"/>
      <w:lvlJc w:val="left"/>
      <w:pPr>
        <w:ind w:left="0" w:firstLine="0"/>
      </w:pPr>
      <w:rPr>
        <w:rFonts w:hint="eastAsia" w:ascii="黑体" w:hAnsi="Times New Roman" w:eastAsia="黑体"/>
        <w:b w:val="0"/>
        <w:i w:val="0"/>
        <w:sz w:val="21"/>
      </w:rPr>
    </w:lvl>
    <w:lvl w:ilvl="2" w:tentative="0">
      <w:start w:val="1"/>
      <w:numFmt w:val="decimal"/>
      <w:pStyle w:val="197"/>
      <w:suff w:val="nothing"/>
      <w:lvlText w:val="%1%2.%3　"/>
      <w:lvlJc w:val="left"/>
      <w:pPr>
        <w:ind w:left="3675" w:firstLine="0"/>
      </w:pPr>
      <w:rPr>
        <w:rFonts w:hint="eastAsia" w:ascii="黑体" w:hAnsi="Times New Roman" w:eastAsia="黑体"/>
        <w:b w:val="0"/>
        <w:i w:val="0"/>
        <w:sz w:val="21"/>
      </w:rPr>
    </w:lvl>
    <w:lvl w:ilvl="3" w:tentative="0">
      <w:start w:val="1"/>
      <w:numFmt w:val="decimal"/>
      <w:pStyle w:val="196"/>
      <w:suff w:val="nothing"/>
      <w:lvlText w:val="%1%2.%3.%4　"/>
      <w:lvlJc w:val="left"/>
      <w:pPr>
        <w:ind w:left="0" w:firstLine="0"/>
      </w:pPr>
      <w:rPr>
        <w:rFonts w:hint="eastAsia" w:ascii="黑体" w:hAnsi="Times New Roman" w:eastAsia="黑体"/>
        <w:b w:val="0"/>
        <w:i w:val="0"/>
        <w:sz w:val="21"/>
      </w:rPr>
    </w:lvl>
    <w:lvl w:ilvl="4" w:tentative="0">
      <w:start w:val="1"/>
      <w:numFmt w:val="decimal"/>
      <w:pStyle w:val="195"/>
      <w:suff w:val="nothing"/>
      <w:lvlText w:val="%1%2.%3.%4.%5　"/>
      <w:lvlJc w:val="left"/>
      <w:pPr>
        <w:ind w:left="0" w:firstLine="0"/>
      </w:pPr>
      <w:rPr>
        <w:rFonts w:hint="eastAsia" w:ascii="黑体" w:hAnsi="Times New Roman" w:eastAsia="黑体"/>
        <w:b w:val="0"/>
        <w:i w:val="0"/>
        <w:sz w:val="21"/>
      </w:rPr>
    </w:lvl>
    <w:lvl w:ilvl="5" w:tentative="0">
      <w:start w:val="1"/>
      <w:numFmt w:val="decimal"/>
      <w:pStyle w:val="194"/>
      <w:suff w:val="nothing"/>
      <w:lvlText w:val="%1%2.%3.%4.%5.%6　"/>
      <w:lvlJc w:val="left"/>
      <w:pPr>
        <w:ind w:left="0" w:firstLine="0"/>
      </w:pPr>
      <w:rPr>
        <w:rFonts w:hint="eastAsia" w:ascii="黑体" w:hAnsi="Times New Roman" w:eastAsia="黑体"/>
        <w:b w:val="0"/>
        <w:i w:val="0"/>
        <w:sz w:val="21"/>
      </w:rPr>
    </w:lvl>
    <w:lvl w:ilvl="6" w:tentative="0">
      <w:start w:val="1"/>
      <w:numFmt w:val="decimal"/>
      <w:pStyle w:val="1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2"/>
    <w:multiLevelType w:val="multilevel"/>
    <w:tmpl w:val="00000002"/>
    <w:lvl w:ilvl="0" w:tentative="0">
      <w:start w:val="1"/>
      <w:numFmt w:val="decimal"/>
      <w:pStyle w:val="20"/>
      <w:lvlText w:val="%1)"/>
      <w:lvlJc w:val="left"/>
      <w:pPr>
        <w:tabs>
          <w:tab w:val="left" w:pos="900"/>
        </w:tabs>
        <w:ind w:left="900" w:hanging="420"/>
      </w:pPr>
    </w:lvl>
    <w:lvl w:ilvl="1" w:tentative="0">
      <w:start w:val="1"/>
      <w:numFmt w:val="lowerLetter"/>
      <w:pStyle w:val="114"/>
      <w:lvlText w:val="%2)"/>
      <w:lvlJc w:val="left"/>
      <w:pPr>
        <w:tabs>
          <w:tab w:val="left" w:pos="1320"/>
        </w:tabs>
        <w:ind w:left="1320" w:hanging="420"/>
      </w:pPr>
    </w:lvl>
    <w:lvl w:ilvl="2" w:tentative="0">
      <w:start w:val="1"/>
      <w:numFmt w:val="lowerRoman"/>
      <w:pStyle w:val="115"/>
      <w:lvlText w:val="%3."/>
      <w:lvlJc w:val="right"/>
      <w:pPr>
        <w:tabs>
          <w:tab w:val="left" w:pos="1740"/>
        </w:tabs>
        <w:ind w:left="1740" w:hanging="420"/>
      </w:pPr>
    </w:lvl>
    <w:lvl w:ilvl="3" w:tentative="0">
      <w:start w:val="1"/>
      <w:numFmt w:val="decimal"/>
      <w:pStyle w:val="143"/>
      <w:lvlText w:val="%4."/>
      <w:lvlJc w:val="left"/>
      <w:pPr>
        <w:tabs>
          <w:tab w:val="left" w:pos="2160"/>
        </w:tabs>
        <w:ind w:left="2160" w:hanging="420"/>
      </w:pPr>
    </w:lvl>
    <w:lvl w:ilvl="4" w:tentative="0">
      <w:start w:val="1"/>
      <w:numFmt w:val="lowerLetter"/>
      <w:pStyle w:val="169"/>
      <w:lvlText w:val="%5)"/>
      <w:lvlJc w:val="left"/>
      <w:pPr>
        <w:tabs>
          <w:tab w:val="left" w:pos="2580"/>
        </w:tabs>
        <w:ind w:left="2580" w:hanging="420"/>
      </w:pPr>
    </w:lvl>
    <w:lvl w:ilvl="5" w:tentative="0">
      <w:start w:val="1"/>
      <w:numFmt w:val="lowerRoman"/>
      <w:pStyle w:val="237"/>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0"/>
    <w:multiLevelType w:val="singleLevel"/>
    <w:tmpl w:val="00000010"/>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4">
    <w:nsid w:val="00000011"/>
    <w:multiLevelType w:val="multilevel"/>
    <w:tmpl w:val="00000011"/>
    <w:lvl w:ilvl="0" w:tentative="0">
      <w:start w:val="1"/>
      <w:numFmt w:val="japaneseCounting"/>
      <w:pStyle w:val="389"/>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5">
    <w:nsid w:val="00000012"/>
    <w:multiLevelType w:val="multilevel"/>
    <w:tmpl w:val="00000012"/>
    <w:lvl w:ilvl="0" w:tentative="0">
      <w:start w:val="1"/>
      <w:numFmt w:val="decimal"/>
      <w:pStyle w:val="16"/>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5"/>
    <w:multiLevelType w:val="singleLevel"/>
    <w:tmpl w:val="00000015"/>
    <w:lvl w:ilvl="0" w:tentative="0">
      <w:start w:val="1"/>
      <w:numFmt w:val="bullet"/>
      <w:pStyle w:val="32"/>
      <w:lvlText w:val=""/>
      <w:lvlJc w:val="left"/>
      <w:pPr>
        <w:tabs>
          <w:tab w:val="left" w:pos="360"/>
        </w:tabs>
        <w:ind w:left="360" w:hanging="360"/>
      </w:pPr>
      <w:rPr>
        <w:rFonts w:hint="default" w:ascii="Wingdings" w:hAnsi="Wingdings"/>
      </w:rPr>
    </w:lvl>
  </w:abstractNum>
  <w:abstractNum w:abstractNumId="7">
    <w:nsid w:val="00000017"/>
    <w:multiLevelType w:val="singleLevel"/>
    <w:tmpl w:val="00000017"/>
    <w:lvl w:ilvl="0" w:tentative="0">
      <w:start w:val="1"/>
      <w:numFmt w:val="decimal"/>
      <w:pStyle w:val="45"/>
      <w:lvlText w:val="%1."/>
      <w:lvlJc w:val="left"/>
      <w:pPr>
        <w:tabs>
          <w:tab w:val="left" w:pos="780"/>
        </w:tabs>
        <w:ind w:left="780" w:hanging="360"/>
      </w:pPr>
    </w:lvl>
  </w:abstractNum>
  <w:abstractNum w:abstractNumId="8">
    <w:nsid w:val="00000019"/>
    <w:multiLevelType w:val="multilevel"/>
    <w:tmpl w:val="00000019"/>
    <w:lvl w:ilvl="0" w:tentative="0">
      <w:start w:val="1"/>
      <w:numFmt w:val="decimal"/>
      <w:pStyle w:val="280"/>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singleLevel"/>
    <w:tmpl w:val="0000001B"/>
    <w:lvl w:ilvl="0" w:tentative="0">
      <w:start w:val="1"/>
      <w:numFmt w:val="decimal"/>
      <w:pStyle w:val="35"/>
      <w:lvlText w:val="%1."/>
      <w:lvlJc w:val="left"/>
      <w:pPr>
        <w:tabs>
          <w:tab w:val="left" w:pos="1200"/>
        </w:tabs>
        <w:ind w:left="1200" w:hanging="360"/>
      </w:pPr>
    </w:lvl>
  </w:abstractNum>
  <w:abstractNum w:abstractNumId="10">
    <w:nsid w:val="419319EE"/>
    <w:multiLevelType w:val="singleLevel"/>
    <w:tmpl w:val="419319EE"/>
    <w:lvl w:ilvl="0" w:tentative="0">
      <w:start w:val="7"/>
      <w:numFmt w:val="decimal"/>
      <w:lvlText w:val="%1."/>
      <w:lvlJc w:val="left"/>
      <w:pPr>
        <w:tabs>
          <w:tab w:val="left" w:pos="312"/>
        </w:tabs>
      </w:pPr>
    </w:lvl>
  </w:abstractNum>
  <w:abstractNum w:abstractNumId="11">
    <w:nsid w:val="545A512C"/>
    <w:multiLevelType w:val="multilevel"/>
    <w:tmpl w:val="545A512C"/>
    <w:lvl w:ilvl="0" w:tentative="0">
      <w:start w:val="1"/>
      <w:numFmt w:val="chineseCountingThousand"/>
      <w:pStyle w:val="3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B482876"/>
    <w:multiLevelType w:val="multilevel"/>
    <w:tmpl w:val="5B4828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3"/>
  </w:num>
  <w:num w:numId="3">
    <w:abstractNumId w:val="2"/>
  </w:num>
  <w:num w:numId="4">
    <w:abstractNumId w:val="6"/>
  </w:num>
  <w:num w:numId="5">
    <w:abstractNumId w:val="9"/>
  </w:num>
  <w:num w:numId="6">
    <w:abstractNumId w:val="7"/>
  </w:num>
  <w:num w:numId="7">
    <w:abstractNumId w:val="1"/>
  </w:num>
  <w:num w:numId="8">
    <w:abstractNumId w:val="8"/>
  </w:num>
  <w:num w:numId="9">
    <w:abstractNumId w:val="11"/>
  </w:num>
  <w:num w:numId="10">
    <w:abstractNumId w:val="4"/>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323"/>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2A27"/>
    <w:rsid w:val="00173D9D"/>
    <w:rsid w:val="00173E08"/>
    <w:rsid w:val="00175E7D"/>
    <w:rsid w:val="00176734"/>
    <w:rsid w:val="00176A3F"/>
    <w:rsid w:val="00177672"/>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80D"/>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0192"/>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3DAB"/>
    <w:rsid w:val="009543AA"/>
    <w:rsid w:val="009543F9"/>
    <w:rsid w:val="00954430"/>
    <w:rsid w:val="009602F9"/>
    <w:rsid w:val="0096039F"/>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4F8C"/>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001"/>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395"/>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6234"/>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3845"/>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31FCE"/>
    <w:rsid w:val="01741941"/>
    <w:rsid w:val="0177496C"/>
    <w:rsid w:val="017E2E02"/>
    <w:rsid w:val="018124EE"/>
    <w:rsid w:val="01914DAF"/>
    <w:rsid w:val="0194620D"/>
    <w:rsid w:val="019D65DF"/>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B505A"/>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437501"/>
    <w:rsid w:val="034E3918"/>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060B6"/>
    <w:rsid w:val="03A24BCC"/>
    <w:rsid w:val="03A403E0"/>
    <w:rsid w:val="03A43CA1"/>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3FE4DF0"/>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62845"/>
    <w:rsid w:val="046E0986"/>
    <w:rsid w:val="04701466"/>
    <w:rsid w:val="04726F99"/>
    <w:rsid w:val="04742319"/>
    <w:rsid w:val="04762F3E"/>
    <w:rsid w:val="04767D24"/>
    <w:rsid w:val="04784D20"/>
    <w:rsid w:val="047C35A8"/>
    <w:rsid w:val="048260E5"/>
    <w:rsid w:val="048374D1"/>
    <w:rsid w:val="04930183"/>
    <w:rsid w:val="04945DB3"/>
    <w:rsid w:val="049832CF"/>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94EBA"/>
    <w:rsid w:val="063B2D93"/>
    <w:rsid w:val="063C0382"/>
    <w:rsid w:val="063E3598"/>
    <w:rsid w:val="063E540D"/>
    <w:rsid w:val="064743B9"/>
    <w:rsid w:val="064B3BC7"/>
    <w:rsid w:val="065038DE"/>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A2562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70359A0"/>
    <w:rsid w:val="0705063B"/>
    <w:rsid w:val="070A0F55"/>
    <w:rsid w:val="070A77F4"/>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450C"/>
    <w:rsid w:val="07837D71"/>
    <w:rsid w:val="07854B87"/>
    <w:rsid w:val="078564AD"/>
    <w:rsid w:val="07886872"/>
    <w:rsid w:val="0788733F"/>
    <w:rsid w:val="078F1D07"/>
    <w:rsid w:val="07983F1F"/>
    <w:rsid w:val="07987CC9"/>
    <w:rsid w:val="079A1B2D"/>
    <w:rsid w:val="079A1C0F"/>
    <w:rsid w:val="079B05D9"/>
    <w:rsid w:val="079C1B35"/>
    <w:rsid w:val="079C4EB2"/>
    <w:rsid w:val="07A25163"/>
    <w:rsid w:val="07A5330F"/>
    <w:rsid w:val="07A86AAB"/>
    <w:rsid w:val="07AB36BB"/>
    <w:rsid w:val="07AF1602"/>
    <w:rsid w:val="07AF55A6"/>
    <w:rsid w:val="07B80AC0"/>
    <w:rsid w:val="07BA45BD"/>
    <w:rsid w:val="07C05E24"/>
    <w:rsid w:val="07C55AF8"/>
    <w:rsid w:val="07C6632A"/>
    <w:rsid w:val="07C824BF"/>
    <w:rsid w:val="07C91479"/>
    <w:rsid w:val="07C92B05"/>
    <w:rsid w:val="07CA7201"/>
    <w:rsid w:val="07D826A0"/>
    <w:rsid w:val="07DC3D2D"/>
    <w:rsid w:val="07E45910"/>
    <w:rsid w:val="07F32076"/>
    <w:rsid w:val="07F93F23"/>
    <w:rsid w:val="08057A19"/>
    <w:rsid w:val="08057FCF"/>
    <w:rsid w:val="080B5BA7"/>
    <w:rsid w:val="080C7184"/>
    <w:rsid w:val="081606E4"/>
    <w:rsid w:val="081D240C"/>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52E8C"/>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466DC"/>
    <w:rsid w:val="08B60B0C"/>
    <w:rsid w:val="08B61B14"/>
    <w:rsid w:val="08B83A84"/>
    <w:rsid w:val="08BB49DB"/>
    <w:rsid w:val="08BF2E10"/>
    <w:rsid w:val="08BF343B"/>
    <w:rsid w:val="08C71B2A"/>
    <w:rsid w:val="08CA0085"/>
    <w:rsid w:val="08CA64F5"/>
    <w:rsid w:val="08CB65E7"/>
    <w:rsid w:val="08CE410F"/>
    <w:rsid w:val="08DD0FEC"/>
    <w:rsid w:val="08DE150D"/>
    <w:rsid w:val="08ED70A2"/>
    <w:rsid w:val="08EF501B"/>
    <w:rsid w:val="08F27CFF"/>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16F12"/>
    <w:rsid w:val="09627899"/>
    <w:rsid w:val="096A0964"/>
    <w:rsid w:val="09876078"/>
    <w:rsid w:val="09895F17"/>
    <w:rsid w:val="098A3838"/>
    <w:rsid w:val="098C3D2F"/>
    <w:rsid w:val="098C7E25"/>
    <w:rsid w:val="09A0390E"/>
    <w:rsid w:val="09A6526C"/>
    <w:rsid w:val="09B3537E"/>
    <w:rsid w:val="09BB2098"/>
    <w:rsid w:val="09BC6CD5"/>
    <w:rsid w:val="09C1256C"/>
    <w:rsid w:val="09C30BF2"/>
    <w:rsid w:val="09C35E1E"/>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04563"/>
    <w:rsid w:val="0A356075"/>
    <w:rsid w:val="0A397DFC"/>
    <w:rsid w:val="0A3B1E0E"/>
    <w:rsid w:val="0A4F1E2F"/>
    <w:rsid w:val="0A514861"/>
    <w:rsid w:val="0A522703"/>
    <w:rsid w:val="0A5A2B97"/>
    <w:rsid w:val="0A5B68B4"/>
    <w:rsid w:val="0A5F5842"/>
    <w:rsid w:val="0A6320CF"/>
    <w:rsid w:val="0A6770EC"/>
    <w:rsid w:val="0A6C45A2"/>
    <w:rsid w:val="0A6E5396"/>
    <w:rsid w:val="0A755FCE"/>
    <w:rsid w:val="0A78417D"/>
    <w:rsid w:val="0A7C5969"/>
    <w:rsid w:val="0A7E2714"/>
    <w:rsid w:val="0A801BC2"/>
    <w:rsid w:val="0A8A3386"/>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175B42"/>
    <w:rsid w:val="0B201170"/>
    <w:rsid w:val="0B2366D2"/>
    <w:rsid w:val="0B27543E"/>
    <w:rsid w:val="0B293B8C"/>
    <w:rsid w:val="0B2F2519"/>
    <w:rsid w:val="0B32198C"/>
    <w:rsid w:val="0B334392"/>
    <w:rsid w:val="0B361549"/>
    <w:rsid w:val="0B366B23"/>
    <w:rsid w:val="0B3F7384"/>
    <w:rsid w:val="0B473487"/>
    <w:rsid w:val="0B4D6210"/>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07547"/>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32BF1"/>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C64B3"/>
    <w:rsid w:val="0C9D0879"/>
    <w:rsid w:val="0CA72E90"/>
    <w:rsid w:val="0CB82705"/>
    <w:rsid w:val="0CB918D0"/>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9318C"/>
    <w:rsid w:val="0D1A4BA1"/>
    <w:rsid w:val="0D1A524F"/>
    <w:rsid w:val="0D1C7266"/>
    <w:rsid w:val="0D1D3A97"/>
    <w:rsid w:val="0D1E6EE6"/>
    <w:rsid w:val="0D237BBD"/>
    <w:rsid w:val="0D254BE8"/>
    <w:rsid w:val="0D2571D0"/>
    <w:rsid w:val="0D293161"/>
    <w:rsid w:val="0D29575A"/>
    <w:rsid w:val="0D2D34F1"/>
    <w:rsid w:val="0D313C31"/>
    <w:rsid w:val="0D3926FF"/>
    <w:rsid w:val="0D4030C9"/>
    <w:rsid w:val="0D40776D"/>
    <w:rsid w:val="0D4117E2"/>
    <w:rsid w:val="0D450FB6"/>
    <w:rsid w:val="0D461B3E"/>
    <w:rsid w:val="0D507873"/>
    <w:rsid w:val="0D5579A4"/>
    <w:rsid w:val="0D5B6219"/>
    <w:rsid w:val="0D624C38"/>
    <w:rsid w:val="0D63174A"/>
    <w:rsid w:val="0D6A4E3D"/>
    <w:rsid w:val="0D785F02"/>
    <w:rsid w:val="0D7E2B70"/>
    <w:rsid w:val="0D824108"/>
    <w:rsid w:val="0D85034C"/>
    <w:rsid w:val="0D876A5A"/>
    <w:rsid w:val="0D882F99"/>
    <w:rsid w:val="0D891097"/>
    <w:rsid w:val="0D8977B0"/>
    <w:rsid w:val="0D8A4E4C"/>
    <w:rsid w:val="0D8C777D"/>
    <w:rsid w:val="0D902D83"/>
    <w:rsid w:val="0D917179"/>
    <w:rsid w:val="0D962483"/>
    <w:rsid w:val="0D9715F3"/>
    <w:rsid w:val="0D9C2C84"/>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83C6C"/>
    <w:rsid w:val="0E2A68D3"/>
    <w:rsid w:val="0E2B30FB"/>
    <w:rsid w:val="0E336584"/>
    <w:rsid w:val="0E346BDA"/>
    <w:rsid w:val="0E407D57"/>
    <w:rsid w:val="0E4107CB"/>
    <w:rsid w:val="0E434A84"/>
    <w:rsid w:val="0E487C96"/>
    <w:rsid w:val="0E492016"/>
    <w:rsid w:val="0E49681C"/>
    <w:rsid w:val="0E4E7770"/>
    <w:rsid w:val="0E50535B"/>
    <w:rsid w:val="0E506063"/>
    <w:rsid w:val="0E51538E"/>
    <w:rsid w:val="0E55138B"/>
    <w:rsid w:val="0E616D2A"/>
    <w:rsid w:val="0E6170B3"/>
    <w:rsid w:val="0E6211F6"/>
    <w:rsid w:val="0E625048"/>
    <w:rsid w:val="0E631330"/>
    <w:rsid w:val="0E634069"/>
    <w:rsid w:val="0E677751"/>
    <w:rsid w:val="0E786AD5"/>
    <w:rsid w:val="0E7B180B"/>
    <w:rsid w:val="0E7D2A40"/>
    <w:rsid w:val="0E81394B"/>
    <w:rsid w:val="0E82150E"/>
    <w:rsid w:val="0E861EFB"/>
    <w:rsid w:val="0E864F87"/>
    <w:rsid w:val="0E8B7EEA"/>
    <w:rsid w:val="0E900680"/>
    <w:rsid w:val="0E983080"/>
    <w:rsid w:val="0E9D1BA9"/>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5523D"/>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4F57A4"/>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0FFF7C9F"/>
    <w:rsid w:val="10010759"/>
    <w:rsid w:val="10022D54"/>
    <w:rsid w:val="10076E23"/>
    <w:rsid w:val="100C77CE"/>
    <w:rsid w:val="100F3816"/>
    <w:rsid w:val="10111110"/>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A6773"/>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047CB"/>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82F80"/>
    <w:rsid w:val="112A1F76"/>
    <w:rsid w:val="11327AE3"/>
    <w:rsid w:val="113A1401"/>
    <w:rsid w:val="114723E8"/>
    <w:rsid w:val="115A0DDF"/>
    <w:rsid w:val="1164099A"/>
    <w:rsid w:val="1164141F"/>
    <w:rsid w:val="116E313B"/>
    <w:rsid w:val="117079B7"/>
    <w:rsid w:val="11733D65"/>
    <w:rsid w:val="117A0A1C"/>
    <w:rsid w:val="11864A33"/>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146B5"/>
    <w:rsid w:val="11B248F1"/>
    <w:rsid w:val="11B474FF"/>
    <w:rsid w:val="11BA4E90"/>
    <w:rsid w:val="11BF541C"/>
    <w:rsid w:val="11C133E6"/>
    <w:rsid w:val="11DC3064"/>
    <w:rsid w:val="11E555E4"/>
    <w:rsid w:val="11E74C0F"/>
    <w:rsid w:val="11ED1B1E"/>
    <w:rsid w:val="11F367F6"/>
    <w:rsid w:val="11F77D54"/>
    <w:rsid w:val="11FB709A"/>
    <w:rsid w:val="11FD6F6D"/>
    <w:rsid w:val="11FF2C94"/>
    <w:rsid w:val="12002EE0"/>
    <w:rsid w:val="12043E75"/>
    <w:rsid w:val="1205712C"/>
    <w:rsid w:val="12134EA0"/>
    <w:rsid w:val="121A092D"/>
    <w:rsid w:val="121A74A0"/>
    <w:rsid w:val="12200542"/>
    <w:rsid w:val="122345BF"/>
    <w:rsid w:val="12342962"/>
    <w:rsid w:val="123511DC"/>
    <w:rsid w:val="123962D9"/>
    <w:rsid w:val="123D7CB4"/>
    <w:rsid w:val="12447690"/>
    <w:rsid w:val="12465F37"/>
    <w:rsid w:val="12474EEC"/>
    <w:rsid w:val="124A08B3"/>
    <w:rsid w:val="124F3D6A"/>
    <w:rsid w:val="125A1202"/>
    <w:rsid w:val="126153A9"/>
    <w:rsid w:val="12621B35"/>
    <w:rsid w:val="1264373A"/>
    <w:rsid w:val="127559BD"/>
    <w:rsid w:val="12767ED2"/>
    <w:rsid w:val="127717E9"/>
    <w:rsid w:val="127844D1"/>
    <w:rsid w:val="127B2F1C"/>
    <w:rsid w:val="127F5B3A"/>
    <w:rsid w:val="128119A8"/>
    <w:rsid w:val="12837389"/>
    <w:rsid w:val="12843C5A"/>
    <w:rsid w:val="12844A19"/>
    <w:rsid w:val="12846B63"/>
    <w:rsid w:val="12857CC4"/>
    <w:rsid w:val="128C07ED"/>
    <w:rsid w:val="128E7EA4"/>
    <w:rsid w:val="128F4AEF"/>
    <w:rsid w:val="129B2CA7"/>
    <w:rsid w:val="12A1017B"/>
    <w:rsid w:val="12A173AA"/>
    <w:rsid w:val="12BD69E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A95"/>
    <w:rsid w:val="134C5DD0"/>
    <w:rsid w:val="135C4761"/>
    <w:rsid w:val="13600267"/>
    <w:rsid w:val="136700DF"/>
    <w:rsid w:val="13743603"/>
    <w:rsid w:val="13774B97"/>
    <w:rsid w:val="137C0DE8"/>
    <w:rsid w:val="137C3849"/>
    <w:rsid w:val="13800070"/>
    <w:rsid w:val="13822977"/>
    <w:rsid w:val="13863C70"/>
    <w:rsid w:val="13867147"/>
    <w:rsid w:val="13880FE5"/>
    <w:rsid w:val="138A6F97"/>
    <w:rsid w:val="138E1AC0"/>
    <w:rsid w:val="139B31F8"/>
    <w:rsid w:val="13AA62A7"/>
    <w:rsid w:val="13AE2E8D"/>
    <w:rsid w:val="13AF1F18"/>
    <w:rsid w:val="13AF5266"/>
    <w:rsid w:val="13B638B0"/>
    <w:rsid w:val="13B64644"/>
    <w:rsid w:val="13B67D2A"/>
    <w:rsid w:val="13B72CBA"/>
    <w:rsid w:val="13C36545"/>
    <w:rsid w:val="13C473B6"/>
    <w:rsid w:val="13CE0A43"/>
    <w:rsid w:val="13D252F3"/>
    <w:rsid w:val="13D5704D"/>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4FF2B7F"/>
    <w:rsid w:val="1500249A"/>
    <w:rsid w:val="150316D2"/>
    <w:rsid w:val="15106444"/>
    <w:rsid w:val="15122280"/>
    <w:rsid w:val="151829E6"/>
    <w:rsid w:val="15196CBB"/>
    <w:rsid w:val="151B3E8D"/>
    <w:rsid w:val="1520325E"/>
    <w:rsid w:val="15266667"/>
    <w:rsid w:val="15267227"/>
    <w:rsid w:val="152D6AB6"/>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37E3E"/>
    <w:rsid w:val="15587604"/>
    <w:rsid w:val="155C2C83"/>
    <w:rsid w:val="15676159"/>
    <w:rsid w:val="156D072A"/>
    <w:rsid w:val="1572500A"/>
    <w:rsid w:val="15764F39"/>
    <w:rsid w:val="157934AF"/>
    <w:rsid w:val="157B43F0"/>
    <w:rsid w:val="15893110"/>
    <w:rsid w:val="15960D8B"/>
    <w:rsid w:val="15961A62"/>
    <w:rsid w:val="15973CD3"/>
    <w:rsid w:val="159913E2"/>
    <w:rsid w:val="159F0758"/>
    <w:rsid w:val="15A11605"/>
    <w:rsid w:val="15A51684"/>
    <w:rsid w:val="15AE23A7"/>
    <w:rsid w:val="15AE5A2A"/>
    <w:rsid w:val="15B2391F"/>
    <w:rsid w:val="15B57024"/>
    <w:rsid w:val="15B8186D"/>
    <w:rsid w:val="15BD4BC7"/>
    <w:rsid w:val="15C606C3"/>
    <w:rsid w:val="15D01D2E"/>
    <w:rsid w:val="15D12EEA"/>
    <w:rsid w:val="15D53223"/>
    <w:rsid w:val="15D93973"/>
    <w:rsid w:val="15DB6BA7"/>
    <w:rsid w:val="15E64B1E"/>
    <w:rsid w:val="15E77A08"/>
    <w:rsid w:val="15E80D2A"/>
    <w:rsid w:val="15EC072E"/>
    <w:rsid w:val="15ED5A4B"/>
    <w:rsid w:val="15FC2C1D"/>
    <w:rsid w:val="160173A4"/>
    <w:rsid w:val="16023110"/>
    <w:rsid w:val="160231E4"/>
    <w:rsid w:val="16034249"/>
    <w:rsid w:val="16036B03"/>
    <w:rsid w:val="16043418"/>
    <w:rsid w:val="1607182E"/>
    <w:rsid w:val="160918FD"/>
    <w:rsid w:val="160A4E20"/>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538DD"/>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A663EC"/>
    <w:rsid w:val="16A95CC6"/>
    <w:rsid w:val="16B76558"/>
    <w:rsid w:val="16BB623C"/>
    <w:rsid w:val="16BD0BEB"/>
    <w:rsid w:val="16C040BD"/>
    <w:rsid w:val="16C25222"/>
    <w:rsid w:val="16C3383F"/>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71721"/>
    <w:rsid w:val="173C3268"/>
    <w:rsid w:val="17413469"/>
    <w:rsid w:val="174719FA"/>
    <w:rsid w:val="1747470D"/>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558CF"/>
    <w:rsid w:val="179B27E2"/>
    <w:rsid w:val="17A33720"/>
    <w:rsid w:val="17A44F3D"/>
    <w:rsid w:val="17A7396B"/>
    <w:rsid w:val="17AA44B3"/>
    <w:rsid w:val="17B10281"/>
    <w:rsid w:val="17B224BB"/>
    <w:rsid w:val="17BB6763"/>
    <w:rsid w:val="17C92CD3"/>
    <w:rsid w:val="17D463A1"/>
    <w:rsid w:val="17D92D6F"/>
    <w:rsid w:val="17DA2322"/>
    <w:rsid w:val="17E2320F"/>
    <w:rsid w:val="17E56FCB"/>
    <w:rsid w:val="17F035C1"/>
    <w:rsid w:val="17F3078A"/>
    <w:rsid w:val="17F30D69"/>
    <w:rsid w:val="17F31453"/>
    <w:rsid w:val="17F91B6A"/>
    <w:rsid w:val="1800360E"/>
    <w:rsid w:val="1801741B"/>
    <w:rsid w:val="180756D2"/>
    <w:rsid w:val="180B5EBB"/>
    <w:rsid w:val="180D56E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36913"/>
    <w:rsid w:val="1865226A"/>
    <w:rsid w:val="18686458"/>
    <w:rsid w:val="1869295F"/>
    <w:rsid w:val="186C5590"/>
    <w:rsid w:val="18772B90"/>
    <w:rsid w:val="187757C3"/>
    <w:rsid w:val="187E6D43"/>
    <w:rsid w:val="188A61A6"/>
    <w:rsid w:val="188D2D4C"/>
    <w:rsid w:val="188D4F30"/>
    <w:rsid w:val="188F2A34"/>
    <w:rsid w:val="1891695B"/>
    <w:rsid w:val="189A11A7"/>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B1699"/>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A400D"/>
    <w:rsid w:val="19BB4A16"/>
    <w:rsid w:val="19C305FD"/>
    <w:rsid w:val="19C45ED3"/>
    <w:rsid w:val="19C5080C"/>
    <w:rsid w:val="19C67F5E"/>
    <w:rsid w:val="19CF3BF0"/>
    <w:rsid w:val="19D66D6A"/>
    <w:rsid w:val="19D90B53"/>
    <w:rsid w:val="19DF4B45"/>
    <w:rsid w:val="19E569C0"/>
    <w:rsid w:val="19EA6C77"/>
    <w:rsid w:val="19F66BED"/>
    <w:rsid w:val="19FD114C"/>
    <w:rsid w:val="19FD4AD2"/>
    <w:rsid w:val="19FE6544"/>
    <w:rsid w:val="1A007445"/>
    <w:rsid w:val="1A10460D"/>
    <w:rsid w:val="1A2417BC"/>
    <w:rsid w:val="1A2E1080"/>
    <w:rsid w:val="1A2E496A"/>
    <w:rsid w:val="1A39483E"/>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9D40A3"/>
    <w:rsid w:val="1AA53750"/>
    <w:rsid w:val="1AAB0107"/>
    <w:rsid w:val="1AB34EE9"/>
    <w:rsid w:val="1AB55270"/>
    <w:rsid w:val="1ABD4834"/>
    <w:rsid w:val="1ACA6D52"/>
    <w:rsid w:val="1AD06A20"/>
    <w:rsid w:val="1ADA1A31"/>
    <w:rsid w:val="1AE152DF"/>
    <w:rsid w:val="1AE23F35"/>
    <w:rsid w:val="1AEE322F"/>
    <w:rsid w:val="1AF17105"/>
    <w:rsid w:val="1AF24FA9"/>
    <w:rsid w:val="1AF26C51"/>
    <w:rsid w:val="1B026A6B"/>
    <w:rsid w:val="1B03074C"/>
    <w:rsid w:val="1B034158"/>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D4190"/>
    <w:rsid w:val="1B837461"/>
    <w:rsid w:val="1B9263BB"/>
    <w:rsid w:val="1B942014"/>
    <w:rsid w:val="1BA263B5"/>
    <w:rsid w:val="1BA611B3"/>
    <w:rsid w:val="1BA63671"/>
    <w:rsid w:val="1BA63A99"/>
    <w:rsid w:val="1BAA3BB5"/>
    <w:rsid w:val="1BAC2EB7"/>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D14E9"/>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D03270B"/>
    <w:rsid w:val="1D0702DD"/>
    <w:rsid w:val="1D0A1B9E"/>
    <w:rsid w:val="1D0B1F78"/>
    <w:rsid w:val="1D0D48FC"/>
    <w:rsid w:val="1D112AF3"/>
    <w:rsid w:val="1D1A06C8"/>
    <w:rsid w:val="1D1A579C"/>
    <w:rsid w:val="1D31174A"/>
    <w:rsid w:val="1D367D75"/>
    <w:rsid w:val="1D372040"/>
    <w:rsid w:val="1D3745A1"/>
    <w:rsid w:val="1D384BE7"/>
    <w:rsid w:val="1D3C792F"/>
    <w:rsid w:val="1D501ED4"/>
    <w:rsid w:val="1D6209BA"/>
    <w:rsid w:val="1D670B11"/>
    <w:rsid w:val="1D674387"/>
    <w:rsid w:val="1D691F1B"/>
    <w:rsid w:val="1D6928C0"/>
    <w:rsid w:val="1D6B25A8"/>
    <w:rsid w:val="1D6C6DDD"/>
    <w:rsid w:val="1D7136CB"/>
    <w:rsid w:val="1D741834"/>
    <w:rsid w:val="1D764ACE"/>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4315F"/>
    <w:rsid w:val="1DDD022F"/>
    <w:rsid w:val="1DE72BC8"/>
    <w:rsid w:val="1DE7676B"/>
    <w:rsid w:val="1DEC24A8"/>
    <w:rsid w:val="1DED6EE8"/>
    <w:rsid w:val="1DF5255F"/>
    <w:rsid w:val="1DF87FAF"/>
    <w:rsid w:val="1DFC7AF4"/>
    <w:rsid w:val="1DFD4A3C"/>
    <w:rsid w:val="1DFE7F2A"/>
    <w:rsid w:val="1E0A2DBB"/>
    <w:rsid w:val="1E0B4EFF"/>
    <w:rsid w:val="1E11411D"/>
    <w:rsid w:val="1E114475"/>
    <w:rsid w:val="1E122264"/>
    <w:rsid w:val="1E17741C"/>
    <w:rsid w:val="1E195BBA"/>
    <w:rsid w:val="1E1E62AB"/>
    <w:rsid w:val="1E256393"/>
    <w:rsid w:val="1E29138B"/>
    <w:rsid w:val="1E2C6393"/>
    <w:rsid w:val="1E2F266A"/>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079E2"/>
    <w:rsid w:val="1E8248F5"/>
    <w:rsid w:val="1E883C10"/>
    <w:rsid w:val="1E9033DB"/>
    <w:rsid w:val="1E9035AB"/>
    <w:rsid w:val="1E947935"/>
    <w:rsid w:val="1E9C6AF6"/>
    <w:rsid w:val="1EA05330"/>
    <w:rsid w:val="1EA21727"/>
    <w:rsid w:val="1EA71D10"/>
    <w:rsid w:val="1EAD3858"/>
    <w:rsid w:val="1EB01A6C"/>
    <w:rsid w:val="1EB67F37"/>
    <w:rsid w:val="1EBE6D30"/>
    <w:rsid w:val="1EBF675C"/>
    <w:rsid w:val="1ED008C9"/>
    <w:rsid w:val="1ED14F66"/>
    <w:rsid w:val="1ED25487"/>
    <w:rsid w:val="1ED76B7F"/>
    <w:rsid w:val="1EDF0126"/>
    <w:rsid w:val="1EEB4E7D"/>
    <w:rsid w:val="1EEC15D2"/>
    <w:rsid w:val="1EEF63AC"/>
    <w:rsid w:val="1EF05338"/>
    <w:rsid w:val="1EF20898"/>
    <w:rsid w:val="1EF56BBD"/>
    <w:rsid w:val="1F0472DF"/>
    <w:rsid w:val="1F082B91"/>
    <w:rsid w:val="1F0975C3"/>
    <w:rsid w:val="1F0A0660"/>
    <w:rsid w:val="1F135ABC"/>
    <w:rsid w:val="1F1E5ADC"/>
    <w:rsid w:val="1F255F5A"/>
    <w:rsid w:val="1F3219DB"/>
    <w:rsid w:val="1F331A4B"/>
    <w:rsid w:val="1F3726CC"/>
    <w:rsid w:val="1F395447"/>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1665CA"/>
    <w:rsid w:val="211929D2"/>
    <w:rsid w:val="211974E9"/>
    <w:rsid w:val="211C15B2"/>
    <w:rsid w:val="211E1FFD"/>
    <w:rsid w:val="21224076"/>
    <w:rsid w:val="212757D9"/>
    <w:rsid w:val="212A03E1"/>
    <w:rsid w:val="212A29BC"/>
    <w:rsid w:val="212D5300"/>
    <w:rsid w:val="212F0781"/>
    <w:rsid w:val="213610F7"/>
    <w:rsid w:val="213A22DB"/>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07C49"/>
    <w:rsid w:val="2182135D"/>
    <w:rsid w:val="218477E9"/>
    <w:rsid w:val="219367DB"/>
    <w:rsid w:val="21976786"/>
    <w:rsid w:val="219945A5"/>
    <w:rsid w:val="219F60BB"/>
    <w:rsid w:val="21A200B5"/>
    <w:rsid w:val="21A53649"/>
    <w:rsid w:val="21A64EFE"/>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4304E"/>
    <w:rsid w:val="22090841"/>
    <w:rsid w:val="220A5F40"/>
    <w:rsid w:val="220D0D94"/>
    <w:rsid w:val="220E0B12"/>
    <w:rsid w:val="221768AF"/>
    <w:rsid w:val="22210861"/>
    <w:rsid w:val="222155FF"/>
    <w:rsid w:val="22234E00"/>
    <w:rsid w:val="22284E63"/>
    <w:rsid w:val="22293A5E"/>
    <w:rsid w:val="22330863"/>
    <w:rsid w:val="22371A51"/>
    <w:rsid w:val="22384994"/>
    <w:rsid w:val="224C1FC3"/>
    <w:rsid w:val="224D701B"/>
    <w:rsid w:val="225C00DC"/>
    <w:rsid w:val="2262204C"/>
    <w:rsid w:val="22627DAF"/>
    <w:rsid w:val="22670177"/>
    <w:rsid w:val="226A285B"/>
    <w:rsid w:val="226B7745"/>
    <w:rsid w:val="227061CA"/>
    <w:rsid w:val="2270753A"/>
    <w:rsid w:val="22742085"/>
    <w:rsid w:val="227D71B5"/>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C06220"/>
    <w:rsid w:val="22C742FA"/>
    <w:rsid w:val="22CD203B"/>
    <w:rsid w:val="22D226CB"/>
    <w:rsid w:val="22D36A05"/>
    <w:rsid w:val="22D36C8C"/>
    <w:rsid w:val="22DB5FB9"/>
    <w:rsid w:val="22E87A62"/>
    <w:rsid w:val="22EA5C2F"/>
    <w:rsid w:val="22EC3EF5"/>
    <w:rsid w:val="22ED566F"/>
    <w:rsid w:val="22FA5834"/>
    <w:rsid w:val="230839FC"/>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F3EA9"/>
    <w:rsid w:val="2377256D"/>
    <w:rsid w:val="237E5CCB"/>
    <w:rsid w:val="238146A2"/>
    <w:rsid w:val="238767A9"/>
    <w:rsid w:val="23881703"/>
    <w:rsid w:val="23897406"/>
    <w:rsid w:val="238976EE"/>
    <w:rsid w:val="238E39AC"/>
    <w:rsid w:val="238E4E19"/>
    <w:rsid w:val="23900F76"/>
    <w:rsid w:val="2397141A"/>
    <w:rsid w:val="2398045C"/>
    <w:rsid w:val="23A3212E"/>
    <w:rsid w:val="23A32E0B"/>
    <w:rsid w:val="23AB5ACB"/>
    <w:rsid w:val="23AE2D05"/>
    <w:rsid w:val="23AE654C"/>
    <w:rsid w:val="23B23AB6"/>
    <w:rsid w:val="23B77102"/>
    <w:rsid w:val="23B826C9"/>
    <w:rsid w:val="23B95DEA"/>
    <w:rsid w:val="23BE2FAF"/>
    <w:rsid w:val="23C34FD7"/>
    <w:rsid w:val="23C35F67"/>
    <w:rsid w:val="23C36E9D"/>
    <w:rsid w:val="23C93FD3"/>
    <w:rsid w:val="23D80D48"/>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0C7"/>
    <w:rsid w:val="24516F53"/>
    <w:rsid w:val="24517096"/>
    <w:rsid w:val="245246D4"/>
    <w:rsid w:val="24536F1E"/>
    <w:rsid w:val="24573672"/>
    <w:rsid w:val="245D2A2B"/>
    <w:rsid w:val="245F13B9"/>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7639C"/>
    <w:rsid w:val="24CB0B41"/>
    <w:rsid w:val="24CE01BE"/>
    <w:rsid w:val="24D22B05"/>
    <w:rsid w:val="24D44C08"/>
    <w:rsid w:val="24D9543C"/>
    <w:rsid w:val="24DC5887"/>
    <w:rsid w:val="24DD5DAB"/>
    <w:rsid w:val="24DF0DEC"/>
    <w:rsid w:val="24E1259D"/>
    <w:rsid w:val="24E32E28"/>
    <w:rsid w:val="24E339D1"/>
    <w:rsid w:val="24EA1A78"/>
    <w:rsid w:val="24F42861"/>
    <w:rsid w:val="24F664A2"/>
    <w:rsid w:val="24FA3925"/>
    <w:rsid w:val="24FA4867"/>
    <w:rsid w:val="25031D09"/>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4F42E5"/>
    <w:rsid w:val="25596937"/>
    <w:rsid w:val="255D0A7D"/>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51DA"/>
    <w:rsid w:val="25E44B41"/>
    <w:rsid w:val="25E87AC2"/>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60B24"/>
    <w:rsid w:val="268A581F"/>
    <w:rsid w:val="268B3DB7"/>
    <w:rsid w:val="268B7B4B"/>
    <w:rsid w:val="268F635F"/>
    <w:rsid w:val="26925566"/>
    <w:rsid w:val="26981CD4"/>
    <w:rsid w:val="269A0703"/>
    <w:rsid w:val="269E478A"/>
    <w:rsid w:val="26AA4B1F"/>
    <w:rsid w:val="26AC45F9"/>
    <w:rsid w:val="26AD7276"/>
    <w:rsid w:val="26B05128"/>
    <w:rsid w:val="26B67971"/>
    <w:rsid w:val="26C1259F"/>
    <w:rsid w:val="26C22BA0"/>
    <w:rsid w:val="26C321FB"/>
    <w:rsid w:val="26CA5CFF"/>
    <w:rsid w:val="26CE51F6"/>
    <w:rsid w:val="26CF159D"/>
    <w:rsid w:val="26CF4594"/>
    <w:rsid w:val="26D059D1"/>
    <w:rsid w:val="26D47EE9"/>
    <w:rsid w:val="26D747B4"/>
    <w:rsid w:val="26D75A2C"/>
    <w:rsid w:val="26DC5B62"/>
    <w:rsid w:val="26DE64DE"/>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05CB2"/>
    <w:rsid w:val="276A2872"/>
    <w:rsid w:val="276B1805"/>
    <w:rsid w:val="276D7FD5"/>
    <w:rsid w:val="276E6EBA"/>
    <w:rsid w:val="27712FCB"/>
    <w:rsid w:val="27717CE1"/>
    <w:rsid w:val="27737EFE"/>
    <w:rsid w:val="277451A4"/>
    <w:rsid w:val="2775397C"/>
    <w:rsid w:val="277B6A29"/>
    <w:rsid w:val="27806AB1"/>
    <w:rsid w:val="27807C44"/>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21A9"/>
    <w:rsid w:val="27C3718B"/>
    <w:rsid w:val="27C81A55"/>
    <w:rsid w:val="27C93B7A"/>
    <w:rsid w:val="27CB099F"/>
    <w:rsid w:val="27D00B87"/>
    <w:rsid w:val="27D3336B"/>
    <w:rsid w:val="27ED7A75"/>
    <w:rsid w:val="27F531FE"/>
    <w:rsid w:val="27F6374C"/>
    <w:rsid w:val="27F82B1A"/>
    <w:rsid w:val="27F93334"/>
    <w:rsid w:val="28051F51"/>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8600E"/>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95C3A"/>
    <w:rsid w:val="28BF1DE4"/>
    <w:rsid w:val="28C17F6A"/>
    <w:rsid w:val="28C55DCF"/>
    <w:rsid w:val="28C710F6"/>
    <w:rsid w:val="28C94FA0"/>
    <w:rsid w:val="28CE6E5A"/>
    <w:rsid w:val="28D31580"/>
    <w:rsid w:val="28D3165D"/>
    <w:rsid w:val="28E271EC"/>
    <w:rsid w:val="28EA37A6"/>
    <w:rsid w:val="28F24FB3"/>
    <w:rsid w:val="28F4540B"/>
    <w:rsid w:val="28FA7D83"/>
    <w:rsid w:val="28FE3539"/>
    <w:rsid w:val="2905180D"/>
    <w:rsid w:val="290E1687"/>
    <w:rsid w:val="291C136C"/>
    <w:rsid w:val="292826EF"/>
    <w:rsid w:val="292934FA"/>
    <w:rsid w:val="292C1CD4"/>
    <w:rsid w:val="292F4820"/>
    <w:rsid w:val="29333843"/>
    <w:rsid w:val="29335A4F"/>
    <w:rsid w:val="293621BA"/>
    <w:rsid w:val="29393618"/>
    <w:rsid w:val="293C5494"/>
    <w:rsid w:val="293D2A5A"/>
    <w:rsid w:val="294A4ABE"/>
    <w:rsid w:val="294B12BB"/>
    <w:rsid w:val="2951089C"/>
    <w:rsid w:val="295377DC"/>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1595A"/>
    <w:rsid w:val="298D7934"/>
    <w:rsid w:val="299115B8"/>
    <w:rsid w:val="29A109C4"/>
    <w:rsid w:val="29A1367C"/>
    <w:rsid w:val="29A32E1D"/>
    <w:rsid w:val="29A547C1"/>
    <w:rsid w:val="29AB3C78"/>
    <w:rsid w:val="29AE4D06"/>
    <w:rsid w:val="29B03C5D"/>
    <w:rsid w:val="29B71B5A"/>
    <w:rsid w:val="29B87040"/>
    <w:rsid w:val="29CA2668"/>
    <w:rsid w:val="29CA304E"/>
    <w:rsid w:val="29CA5FDB"/>
    <w:rsid w:val="29CB18C2"/>
    <w:rsid w:val="29CF4056"/>
    <w:rsid w:val="29D311D3"/>
    <w:rsid w:val="29D43773"/>
    <w:rsid w:val="29DF4377"/>
    <w:rsid w:val="29E45FD6"/>
    <w:rsid w:val="29EE05BB"/>
    <w:rsid w:val="29EE70F8"/>
    <w:rsid w:val="29F23FE8"/>
    <w:rsid w:val="29F74B46"/>
    <w:rsid w:val="2A005A48"/>
    <w:rsid w:val="2A021FC7"/>
    <w:rsid w:val="2A0E014A"/>
    <w:rsid w:val="2A0F2DFE"/>
    <w:rsid w:val="2A1541B6"/>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0207"/>
    <w:rsid w:val="2B253071"/>
    <w:rsid w:val="2B2A0E1E"/>
    <w:rsid w:val="2B2B4F13"/>
    <w:rsid w:val="2B306BF3"/>
    <w:rsid w:val="2B31133C"/>
    <w:rsid w:val="2B3264AA"/>
    <w:rsid w:val="2B3348F1"/>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EF6AF4"/>
    <w:rsid w:val="2BF30B9C"/>
    <w:rsid w:val="2BF479F3"/>
    <w:rsid w:val="2BF71CAB"/>
    <w:rsid w:val="2BFE115E"/>
    <w:rsid w:val="2C0836E0"/>
    <w:rsid w:val="2C0D54D3"/>
    <w:rsid w:val="2C101CA7"/>
    <w:rsid w:val="2C113D09"/>
    <w:rsid w:val="2C1643F8"/>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4823"/>
    <w:rsid w:val="2C8D5D2A"/>
    <w:rsid w:val="2C910C96"/>
    <w:rsid w:val="2C9379CB"/>
    <w:rsid w:val="2C9C70CF"/>
    <w:rsid w:val="2CA03FF0"/>
    <w:rsid w:val="2CA56D57"/>
    <w:rsid w:val="2CB02CB3"/>
    <w:rsid w:val="2CB642A8"/>
    <w:rsid w:val="2CBF6B88"/>
    <w:rsid w:val="2CC46A08"/>
    <w:rsid w:val="2CC94B65"/>
    <w:rsid w:val="2CCB451E"/>
    <w:rsid w:val="2CCC74CF"/>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614FAA"/>
    <w:rsid w:val="2D657CC1"/>
    <w:rsid w:val="2D66193E"/>
    <w:rsid w:val="2D6D2C39"/>
    <w:rsid w:val="2D7C2D5B"/>
    <w:rsid w:val="2D8141B5"/>
    <w:rsid w:val="2D893C01"/>
    <w:rsid w:val="2D897F30"/>
    <w:rsid w:val="2D8A262B"/>
    <w:rsid w:val="2D9D7454"/>
    <w:rsid w:val="2D9F229D"/>
    <w:rsid w:val="2DA3031E"/>
    <w:rsid w:val="2DA828C6"/>
    <w:rsid w:val="2DA8640F"/>
    <w:rsid w:val="2DB43D16"/>
    <w:rsid w:val="2DBF07D5"/>
    <w:rsid w:val="2DC13268"/>
    <w:rsid w:val="2DC30CC3"/>
    <w:rsid w:val="2DCD2C67"/>
    <w:rsid w:val="2DCE36AE"/>
    <w:rsid w:val="2DCE6885"/>
    <w:rsid w:val="2DD004DA"/>
    <w:rsid w:val="2DD03D29"/>
    <w:rsid w:val="2DD11FEE"/>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44526"/>
    <w:rsid w:val="2E18219C"/>
    <w:rsid w:val="2E25285A"/>
    <w:rsid w:val="2E255D34"/>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E2D9B"/>
    <w:rsid w:val="2EAF67A6"/>
    <w:rsid w:val="2EB160F6"/>
    <w:rsid w:val="2EB4365B"/>
    <w:rsid w:val="2EBE73DB"/>
    <w:rsid w:val="2EC473E8"/>
    <w:rsid w:val="2EC4756D"/>
    <w:rsid w:val="2EC61893"/>
    <w:rsid w:val="2EC65DD7"/>
    <w:rsid w:val="2ECA5640"/>
    <w:rsid w:val="2ECD0396"/>
    <w:rsid w:val="2ECE5D33"/>
    <w:rsid w:val="2ED11ACB"/>
    <w:rsid w:val="2EDD2136"/>
    <w:rsid w:val="2EDE41BD"/>
    <w:rsid w:val="2EE059B8"/>
    <w:rsid w:val="2EE7432C"/>
    <w:rsid w:val="2EEE2746"/>
    <w:rsid w:val="2EEF16F3"/>
    <w:rsid w:val="2EF11E02"/>
    <w:rsid w:val="2EF82A65"/>
    <w:rsid w:val="2EF83ED7"/>
    <w:rsid w:val="2EFA05C6"/>
    <w:rsid w:val="2EFA50C9"/>
    <w:rsid w:val="2EFB228D"/>
    <w:rsid w:val="2F023B01"/>
    <w:rsid w:val="2F0524BD"/>
    <w:rsid w:val="2F075FE7"/>
    <w:rsid w:val="2F07678E"/>
    <w:rsid w:val="2F180520"/>
    <w:rsid w:val="2F1937A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C0A12"/>
    <w:rsid w:val="2F6D7EB6"/>
    <w:rsid w:val="2F71089A"/>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37749"/>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B93"/>
    <w:rsid w:val="302A3FA0"/>
    <w:rsid w:val="302B18A7"/>
    <w:rsid w:val="302D076C"/>
    <w:rsid w:val="303109FF"/>
    <w:rsid w:val="30321923"/>
    <w:rsid w:val="303336F1"/>
    <w:rsid w:val="3034511B"/>
    <w:rsid w:val="303F436C"/>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AF2024"/>
    <w:rsid w:val="30B31E2F"/>
    <w:rsid w:val="30BC166E"/>
    <w:rsid w:val="30C16271"/>
    <w:rsid w:val="30C2753C"/>
    <w:rsid w:val="30C776F3"/>
    <w:rsid w:val="30D82034"/>
    <w:rsid w:val="30E1692A"/>
    <w:rsid w:val="30E21302"/>
    <w:rsid w:val="30E52021"/>
    <w:rsid w:val="30E67B79"/>
    <w:rsid w:val="30E77F2D"/>
    <w:rsid w:val="30EE2C4E"/>
    <w:rsid w:val="30EE3768"/>
    <w:rsid w:val="30F00D60"/>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93F7E"/>
    <w:rsid w:val="321A40FF"/>
    <w:rsid w:val="321C0BCB"/>
    <w:rsid w:val="322D0304"/>
    <w:rsid w:val="323079C0"/>
    <w:rsid w:val="3231368A"/>
    <w:rsid w:val="32364BD8"/>
    <w:rsid w:val="32385BB7"/>
    <w:rsid w:val="323C5EB7"/>
    <w:rsid w:val="32411D29"/>
    <w:rsid w:val="3244009D"/>
    <w:rsid w:val="324444DB"/>
    <w:rsid w:val="324B7056"/>
    <w:rsid w:val="324F5600"/>
    <w:rsid w:val="325348A3"/>
    <w:rsid w:val="32550500"/>
    <w:rsid w:val="325761F6"/>
    <w:rsid w:val="32637F18"/>
    <w:rsid w:val="326D6D38"/>
    <w:rsid w:val="326E75A9"/>
    <w:rsid w:val="326E7F20"/>
    <w:rsid w:val="327E5810"/>
    <w:rsid w:val="32880476"/>
    <w:rsid w:val="328829E7"/>
    <w:rsid w:val="328F6C0D"/>
    <w:rsid w:val="32921DCF"/>
    <w:rsid w:val="32924A7A"/>
    <w:rsid w:val="32953C2B"/>
    <w:rsid w:val="329A24E6"/>
    <w:rsid w:val="329E66F4"/>
    <w:rsid w:val="329F3F4A"/>
    <w:rsid w:val="32A12B73"/>
    <w:rsid w:val="32A2197D"/>
    <w:rsid w:val="32B73344"/>
    <w:rsid w:val="32B85E47"/>
    <w:rsid w:val="32BB6FB8"/>
    <w:rsid w:val="32C20171"/>
    <w:rsid w:val="32C62B6A"/>
    <w:rsid w:val="32CD60F6"/>
    <w:rsid w:val="32D74F8B"/>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D0C59"/>
    <w:rsid w:val="338F6F80"/>
    <w:rsid w:val="33945A04"/>
    <w:rsid w:val="33987F6B"/>
    <w:rsid w:val="33991584"/>
    <w:rsid w:val="339930F4"/>
    <w:rsid w:val="339A583C"/>
    <w:rsid w:val="339F0219"/>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74148"/>
    <w:rsid w:val="34782459"/>
    <w:rsid w:val="347B2621"/>
    <w:rsid w:val="347E0F64"/>
    <w:rsid w:val="348070E2"/>
    <w:rsid w:val="34826C70"/>
    <w:rsid w:val="3485116E"/>
    <w:rsid w:val="34862BBB"/>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DB0D1F"/>
    <w:rsid w:val="34DF1E9B"/>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4F07A2"/>
    <w:rsid w:val="36532F26"/>
    <w:rsid w:val="365427BD"/>
    <w:rsid w:val="36581FF2"/>
    <w:rsid w:val="36617B89"/>
    <w:rsid w:val="36643AD4"/>
    <w:rsid w:val="36644B96"/>
    <w:rsid w:val="36657FCF"/>
    <w:rsid w:val="36763CBD"/>
    <w:rsid w:val="36783882"/>
    <w:rsid w:val="367D39C1"/>
    <w:rsid w:val="36854599"/>
    <w:rsid w:val="36865CDA"/>
    <w:rsid w:val="3686617C"/>
    <w:rsid w:val="36873BAC"/>
    <w:rsid w:val="368C08B7"/>
    <w:rsid w:val="36924958"/>
    <w:rsid w:val="36991B41"/>
    <w:rsid w:val="369B16D6"/>
    <w:rsid w:val="369D6F18"/>
    <w:rsid w:val="369F59E2"/>
    <w:rsid w:val="36A21741"/>
    <w:rsid w:val="36A31B5B"/>
    <w:rsid w:val="36AC3EBC"/>
    <w:rsid w:val="36AD1DE0"/>
    <w:rsid w:val="36B101C4"/>
    <w:rsid w:val="36B32A36"/>
    <w:rsid w:val="36B826F1"/>
    <w:rsid w:val="36BC68BF"/>
    <w:rsid w:val="36C25212"/>
    <w:rsid w:val="36CD56F9"/>
    <w:rsid w:val="36CF4703"/>
    <w:rsid w:val="36D14E3D"/>
    <w:rsid w:val="36D175D4"/>
    <w:rsid w:val="36DE0D50"/>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2C3443"/>
    <w:rsid w:val="383B0C89"/>
    <w:rsid w:val="38433BDD"/>
    <w:rsid w:val="384416EC"/>
    <w:rsid w:val="38447388"/>
    <w:rsid w:val="38461B9C"/>
    <w:rsid w:val="38510EFC"/>
    <w:rsid w:val="38526A63"/>
    <w:rsid w:val="38537E39"/>
    <w:rsid w:val="38571176"/>
    <w:rsid w:val="38626CC8"/>
    <w:rsid w:val="38655BB7"/>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A7D80"/>
    <w:rsid w:val="38CE7EB7"/>
    <w:rsid w:val="38D458F8"/>
    <w:rsid w:val="38D86DE0"/>
    <w:rsid w:val="38DD6256"/>
    <w:rsid w:val="38E02743"/>
    <w:rsid w:val="38E37BAE"/>
    <w:rsid w:val="38EB0A32"/>
    <w:rsid w:val="38EC2D49"/>
    <w:rsid w:val="38ED0B23"/>
    <w:rsid w:val="38F82B3F"/>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7273D"/>
    <w:rsid w:val="39386492"/>
    <w:rsid w:val="393C2422"/>
    <w:rsid w:val="39431B8C"/>
    <w:rsid w:val="39456F8E"/>
    <w:rsid w:val="39576949"/>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102C8"/>
    <w:rsid w:val="39F219A7"/>
    <w:rsid w:val="39F93242"/>
    <w:rsid w:val="39FC5137"/>
    <w:rsid w:val="39FD3226"/>
    <w:rsid w:val="39FE09F6"/>
    <w:rsid w:val="3A016D69"/>
    <w:rsid w:val="3A040B3D"/>
    <w:rsid w:val="3A0D1AF2"/>
    <w:rsid w:val="3A0D7A02"/>
    <w:rsid w:val="3A11456C"/>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A7141"/>
    <w:rsid w:val="3B3B461C"/>
    <w:rsid w:val="3B4D19D8"/>
    <w:rsid w:val="3B4E1BFE"/>
    <w:rsid w:val="3B4E4C9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A3708"/>
    <w:rsid w:val="3BAE6DA7"/>
    <w:rsid w:val="3BB425EE"/>
    <w:rsid w:val="3BB91F30"/>
    <w:rsid w:val="3BBB26F7"/>
    <w:rsid w:val="3BBC1AA9"/>
    <w:rsid w:val="3BBE184E"/>
    <w:rsid w:val="3BC075C0"/>
    <w:rsid w:val="3BE56F8F"/>
    <w:rsid w:val="3BF078EE"/>
    <w:rsid w:val="3BF46798"/>
    <w:rsid w:val="3BF92556"/>
    <w:rsid w:val="3BFA4CB3"/>
    <w:rsid w:val="3C047C0D"/>
    <w:rsid w:val="3C086335"/>
    <w:rsid w:val="3C0D13E4"/>
    <w:rsid w:val="3C0E353E"/>
    <w:rsid w:val="3C0E5A8B"/>
    <w:rsid w:val="3C0F399B"/>
    <w:rsid w:val="3C11184D"/>
    <w:rsid w:val="3C2441B6"/>
    <w:rsid w:val="3C274289"/>
    <w:rsid w:val="3C294317"/>
    <w:rsid w:val="3C2C2A11"/>
    <w:rsid w:val="3C2E2341"/>
    <w:rsid w:val="3C2F1664"/>
    <w:rsid w:val="3C3A5AE6"/>
    <w:rsid w:val="3C3B6EBC"/>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AA75E9"/>
    <w:rsid w:val="3CB14071"/>
    <w:rsid w:val="3CB96322"/>
    <w:rsid w:val="3CBD03CA"/>
    <w:rsid w:val="3CC15C9B"/>
    <w:rsid w:val="3CC53809"/>
    <w:rsid w:val="3CC61E8C"/>
    <w:rsid w:val="3CC904A8"/>
    <w:rsid w:val="3CCF16E6"/>
    <w:rsid w:val="3CD655AD"/>
    <w:rsid w:val="3CDD0059"/>
    <w:rsid w:val="3CE01F7E"/>
    <w:rsid w:val="3CE62B39"/>
    <w:rsid w:val="3CF015B5"/>
    <w:rsid w:val="3CF1111D"/>
    <w:rsid w:val="3CF138CB"/>
    <w:rsid w:val="3CF34FE8"/>
    <w:rsid w:val="3CF371EE"/>
    <w:rsid w:val="3CFE449C"/>
    <w:rsid w:val="3CFF4796"/>
    <w:rsid w:val="3CFF66B2"/>
    <w:rsid w:val="3D0774FE"/>
    <w:rsid w:val="3D096893"/>
    <w:rsid w:val="3D0F0E62"/>
    <w:rsid w:val="3D137575"/>
    <w:rsid w:val="3D154570"/>
    <w:rsid w:val="3D164912"/>
    <w:rsid w:val="3D1B14CB"/>
    <w:rsid w:val="3D1D4DA6"/>
    <w:rsid w:val="3D1F6473"/>
    <w:rsid w:val="3D2743BF"/>
    <w:rsid w:val="3D2B2317"/>
    <w:rsid w:val="3D3B1276"/>
    <w:rsid w:val="3D3B262F"/>
    <w:rsid w:val="3D464ADF"/>
    <w:rsid w:val="3D490E8C"/>
    <w:rsid w:val="3D4B66C7"/>
    <w:rsid w:val="3D562006"/>
    <w:rsid w:val="3D6A1B31"/>
    <w:rsid w:val="3D760DBA"/>
    <w:rsid w:val="3D7B7820"/>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D0EEF"/>
    <w:rsid w:val="3DCE46CE"/>
    <w:rsid w:val="3DD23BEF"/>
    <w:rsid w:val="3DD84322"/>
    <w:rsid w:val="3DE03DE1"/>
    <w:rsid w:val="3DE42D75"/>
    <w:rsid w:val="3DEA024F"/>
    <w:rsid w:val="3DF15B9E"/>
    <w:rsid w:val="3DF2697E"/>
    <w:rsid w:val="3DF45B36"/>
    <w:rsid w:val="3DF5116A"/>
    <w:rsid w:val="3DFA79FE"/>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70DC2"/>
    <w:rsid w:val="3E7A1D2B"/>
    <w:rsid w:val="3E7B2C6B"/>
    <w:rsid w:val="3E7D3F55"/>
    <w:rsid w:val="3E7E178B"/>
    <w:rsid w:val="3E820EEC"/>
    <w:rsid w:val="3E84445A"/>
    <w:rsid w:val="3E87553C"/>
    <w:rsid w:val="3E8D79F8"/>
    <w:rsid w:val="3E907666"/>
    <w:rsid w:val="3E9358D5"/>
    <w:rsid w:val="3E962A3C"/>
    <w:rsid w:val="3E9E31CD"/>
    <w:rsid w:val="3E9E4D17"/>
    <w:rsid w:val="3EBA1196"/>
    <w:rsid w:val="3EBB2EB1"/>
    <w:rsid w:val="3EC03908"/>
    <w:rsid w:val="3EC249F9"/>
    <w:rsid w:val="3EC865DC"/>
    <w:rsid w:val="3EC92999"/>
    <w:rsid w:val="3ECA1FF9"/>
    <w:rsid w:val="3EDC6382"/>
    <w:rsid w:val="3EEB052C"/>
    <w:rsid w:val="3EEF6989"/>
    <w:rsid w:val="3EF57293"/>
    <w:rsid w:val="3EF60F41"/>
    <w:rsid w:val="3F017F8A"/>
    <w:rsid w:val="3F072978"/>
    <w:rsid w:val="3F187707"/>
    <w:rsid w:val="3F1D5E18"/>
    <w:rsid w:val="3F1E26A7"/>
    <w:rsid w:val="3F231E9F"/>
    <w:rsid w:val="3F2D4041"/>
    <w:rsid w:val="3F33337A"/>
    <w:rsid w:val="3F396F56"/>
    <w:rsid w:val="3F3A49D1"/>
    <w:rsid w:val="3F3B1F4F"/>
    <w:rsid w:val="3F3C4649"/>
    <w:rsid w:val="3F3C7DE0"/>
    <w:rsid w:val="3F46349C"/>
    <w:rsid w:val="3F496806"/>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C2959"/>
    <w:rsid w:val="3FAF485D"/>
    <w:rsid w:val="3FB1517B"/>
    <w:rsid w:val="3FBA7699"/>
    <w:rsid w:val="3FBD419A"/>
    <w:rsid w:val="3FBD4DD9"/>
    <w:rsid w:val="3FCA0999"/>
    <w:rsid w:val="3FCA37A3"/>
    <w:rsid w:val="3FD15E98"/>
    <w:rsid w:val="3FD258D7"/>
    <w:rsid w:val="3FD53A0B"/>
    <w:rsid w:val="3FD63CE2"/>
    <w:rsid w:val="3FDC15B5"/>
    <w:rsid w:val="3FE22BCE"/>
    <w:rsid w:val="3FEA1E74"/>
    <w:rsid w:val="3FEA4055"/>
    <w:rsid w:val="3FF13812"/>
    <w:rsid w:val="3FF77D02"/>
    <w:rsid w:val="3FF77D2C"/>
    <w:rsid w:val="3FF96230"/>
    <w:rsid w:val="3FFB7D65"/>
    <w:rsid w:val="4002719C"/>
    <w:rsid w:val="400E605C"/>
    <w:rsid w:val="40124602"/>
    <w:rsid w:val="401340C3"/>
    <w:rsid w:val="40140D7C"/>
    <w:rsid w:val="401531D7"/>
    <w:rsid w:val="401665E6"/>
    <w:rsid w:val="40172BA0"/>
    <w:rsid w:val="402661E4"/>
    <w:rsid w:val="40295C25"/>
    <w:rsid w:val="402B014D"/>
    <w:rsid w:val="40414A80"/>
    <w:rsid w:val="4045442C"/>
    <w:rsid w:val="40477D91"/>
    <w:rsid w:val="4049772B"/>
    <w:rsid w:val="404A30EA"/>
    <w:rsid w:val="405059CE"/>
    <w:rsid w:val="40535C13"/>
    <w:rsid w:val="40547796"/>
    <w:rsid w:val="406011E1"/>
    <w:rsid w:val="40655EA2"/>
    <w:rsid w:val="406C194A"/>
    <w:rsid w:val="40724827"/>
    <w:rsid w:val="4073079B"/>
    <w:rsid w:val="40772C5C"/>
    <w:rsid w:val="40797AC9"/>
    <w:rsid w:val="40853139"/>
    <w:rsid w:val="40867291"/>
    <w:rsid w:val="40893D86"/>
    <w:rsid w:val="408C7AAF"/>
    <w:rsid w:val="40922089"/>
    <w:rsid w:val="409809E7"/>
    <w:rsid w:val="409C0254"/>
    <w:rsid w:val="40B01879"/>
    <w:rsid w:val="40B46FB0"/>
    <w:rsid w:val="40B60038"/>
    <w:rsid w:val="40BA44E5"/>
    <w:rsid w:val="40D40F2D"/>
    <w:rsid w:val="40D4444D"/>
    <w:rsid w:val="40D83289"/>
    <w:rsid w:val="40E16687"/>
    <w:rsid w:val="40E5362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411DB9"/>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07729"/>
    <w:rsid w:val="41B36C44"/>
    <w:rsid w:val="41B81EDF"/>
    <w:rsid w:val="41B83F03"/>
    <w:rsid w:val="41C05F42"/>
    <w:rsid w:val="41C30648"/>
    <w:rsid w:val="41C43E6C"/>
    <w:rsid w:val="41C71076"/>
    <w:rsid w:val="41C9241A"/>
    <w:rsid w:val="41CC4D9B"/>
    <w:rsid w:val="41CF2491"/>
    <w:rsid w:val="41D40CE2"/>
    <w:rsid w:val="41D91A59"/>
    <w:rsid w:val="41D935C1"/>
    <w:rsid w:val="41E77BF5"/>
    <w:rsid w:val="41F61516"/>
    <w:rsid w:val="41F72FDC"/>
    <w:rsid w:val="41FC0454"/>
    <w:rsid w:val="41FE1C88"/>
    <w:rsid w:val="4201219D"/>
    <w:rsid w:val="420211AD"/>
    <w:rsid w:val="4203444F"/>
    <w:rsid w:val="42092259"/>
    <w:rsid w:val="42093287"/>
    <w:rsid w:val="420C77A9"/>
    <w:rsid w:val="420E3125"/>
    <w:rsid w:val="420F6DFD"/>
    <w:rsid w:val="42147D6E"/>
    <w:rsid w:val="421A2497"/>
    <w:rsid w:val="421F7186"/>
    <w:rsid w:val="42233E63"/>
    <w:rsid w:val="42251300"/>
    <w:rsid w:val="4227444D"/>
    <w:rsid w:val="42277EB2"/>
    <w:rsid w:val="4232345B"/>
    <w:rsid w:val="42357DC7"/>
    <w:rsid w:val="423B4F4B"/>
    <w:rsid w:val="423B6E95"/>
    <w:rsid w:val="423C2495"/>
    <w:rsid w:val="423E69D7"/>
    <w:rsid w:val="42451AAC"/>
    <w:rsid w:val="42456560"/>
    <w:rsid w:val="42467EAF"/>
    <w:rsid w:val="424A7EFD"/>
    <w:rsid w:val="424B24A9"/>
    <w:rsid w:val="424C38D8"/>
    <w:rsid w:val="425210D4"/>
    <w:rsid w:val="42530267"/>
    <w:rsid w:val="425E70F3"/>
    <w:rsid w:val="426F4AAD"/>
    <w:rsid w:val="42756A9C"/>
    <w:rsid w:val="427730C7"/>
    <w:rsid w:val="427752E1"/>
    <w:rsid w:val="4278783A"/>
    <w:rsid w:val="427B1071"/>
    <w:rsid w:val="42A317AB"/>
    <w:rsid w:val="42A86B39"/>
    <w:rsid w:val="42AA0A51"/>
    <w:rsid w:val="42B51FA7"/>
    <w:rsid w:val="42B95AB6"/>
    <w:rsid w:val="42BA228C"/>
    <w:rsid w:val="42BA48A5"/>
    <w:rsid w:val="42BB47D3"/>
    <w:rsid w:val="42BB6928"/>
    <w:rsid w:val="42BF4034"/>
    <w:rsid w:val="42BF5F20"/>
    <w:rsid w:val="42BF7F14"/>
    <w:rsid w:val="42C67F37"/>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B2F31"/>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D40B0"/>
    <w:rsid w:val="447103B5"/>
    <w:rsid w:val="44763132"/>
    <w:rsid w:val="4477066C"/>
    <w:rsid w:val="447809C5"/>
    <w:rsid w:val="447B4624"/>
    <w:rsid w:val="447F2C95"/>
    <w:rsid w:val="44824D59"/>
    <w:rsid w:val="44852E04"/>
    <w:rsid w:val="44856B62"/>
    <w:rsid w:val="44867920"/>
    <w:rsid w:val="448B5149"/>
    <w:rsid w:val="4491056D"/>
    <w:rsid w:val="44965602"/>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B4E25"/>
    <w:rsid w:val="45731BFF"/>
    <w:rsid w:val="457F73BB"/>
    <w:rsid w:val="45855290"/>
    <w:rsid w:val="45856A09"/>
    <w:rsid w:val="4587101B"/>
    <w:rsid w:val="458B2213"/>
    <w:rsid w:val="45914F07"/>
    <w:rsid w:val="4595455C"/>
    <w:rsid w:val="45A46732"/>
    <w:rsid w:val="45A57BAB"/>
    <w:rsid w:val="45A731F4"/>
    <w:rsid w:val="45AD644C"/>
    <w:rsid w:val="45AD7E4A"/>
    <w:rsid w:val="45B0201C"/>
    <w:rsid w:val="45B2433A"/>
    <w:rsid w:val="45B7129A"/>
    <w:rsid w:val="45BF1EEC"/>
    <w:rsid w:val="45C30775"/>
    <w:rsid w:val="45CF283C"/>
    <w:rsid w:val="45D621FA"/>
    <w:rsid w:val="45EA57B3"/>
    <w:rsid w:val="45F7265C"/>
    <w:rsid w:val="45F926A5"/>
    <w:rsid w:val="45FA7EB6"/>
    <w:rsid w:val="46035131"/>
    <w:rsid w:val="460D54A1"/>
    <w:rsid w:val="461358D5"/>
    <w:rsid w:val="46175EB0"/>
    <w:rsid w:val="461A7943"/>
    <w:rsid w:val="4620393A"/>
    <w:rsid w:val="46242CAB"/>
    <w:rsid w:val="46255316"/>
    <w:rsid w:val="46372FF7"/>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4155A"/>
    <w:rsid w:val="472456F8"/>
    <w:rsid w:val="472B06F6"/>
    <w:rsid w:val="47375159"/>
    <w:rsid w:val="47406056"/>
    <w:rsid w:val="474840D9"/>
    <w:rsid w:val="474A3043"/>
    <w:rsid w:val="474B2B10"/>
    <w:rsid w:val="47516D3C"/>
    <w:rsid w:val="47615CC0"/>
    <w:rsid w:val="47643C7B"/>
    <w:rsid w:val="476E021D"/>
    <w:rsid w:val="477171FC"/>
    <w:rsid w:val="47797541"/>
    <w:rsid w:val="477B5067"/>
    <w:rsid w:val="477D598D"/>
    <w:rsid w:val="477E3F91"/>
    <w:rsid w:val="477F593E"/>
    <w:rsid w:val="478009BC"/>
    <w:rsid w:val="47837860"/>
    <w:rsid w:val="478F4BC9"/>
    <w:rsid w:val="479D7EF2"/>
    <w:rsid w:val="47A4503D"/>
    <w:rsid w:val="47A73234"/>
    <w:rsid w:val="47A805ED"/>
    <w:rsid w:val="47A8106C"/>
    <w:rsid w:val="47B37855"/>
    <w:rsid w:val="47BC2E73"/>
    <w:rsid w:val="47C0706B"/>
    <w:rsid w:val="47C100FD"/>
    <w:rsid w:val="47C260C9"/>
    <w:rsid w:val="47C94AE5"/>
    <w:rsid w:val="47CA3131"/>
    <w:rsid w:val="47CA3659"/>
    <w:rsid w:val="47CB2D84"/>
    <w:rsid w:val="47D74B84"/>
    <w:rsid w:val="47D87D72"/>
    <w:rsid w:val="47D9255F"/>
    <w:rsid w:val="47E24A73"/>
    <w:rsid w:val="47E95DB7"/>
    <w:rsid w:val="47F16AD9"/>
    <w:rsid w:val="47FA67F9"/>
    <w:rsid w:val="48012706"/>
    <w:rsid w:val="48024E07"/>
    <w:rsid w:val="480F0310"/>
    <w:rsid w:val="48121DFF"/>
    <w:rsid w:val="48161EDC"/>
    <w:rsid w:val="481B25AB"/>
    <w:rsid w:val="481B3475"/>
    <w:rsid w:val="4823270D"/>
    <w:rsid w:val="48254EA1"/>
    <w:rsid w:val="483511A1"/>
    <w:rsid w:val="48363B55"/>
    <w:rsid w:val="48363C3F"/>
    <w:rsid w:val="483C6367"/>
    <w:rsid w:val="48413448"/>
    <w:rsid w:val="4841782D"/>
    <w:rsid w:val="484A67E7"/>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868E5"/>
    <w:rsid w:val="499D58F8"/>
    <w:rsid w:val="499D72DA"/>
    <w:rsid w:val="49A01472"/>
    <w:rsid w:val="49A104F8"/>
    <w:rsid w:val="49A22DA9"/>
    <w:rsid w:val="49A2590B"/>
    <w:rsid w:val="49A354E3"/>
    <w:rsid w:val="49A972CC"/>
    <w:rsid w:val="49B122D8"/>
    <w:rsid w:val="49B12943"/>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F211CD"/>
    <w:rsid w:val="49F42993"/>
    <w:rsid w:val="4A0D1F02"/>
    <w:rsid w:val="4A120643"/>
    <w:rsid w:val="4A1208D3"/>
    <w:rsid w:val="4A176168"/>
    <w:rsid w:val="4A186D29"/>
    <w:rsid w:val="4A2723A4"/>
    <w:rsid w:val="4A312A93"/>
    <w:rsid w:val="4A33515C"/>
    <w:rsid w:val="4A350AD9"/>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820D49"/>
    <w:rsid w:val="4A850E79"/>
    <w:rsid w:val="4A8F53DC"/>
    <w:rsid w:val="4A91532F"/>
    <w:rsid w:val="4A996C49"/>
    <w:rsid w:val="4AA55460"/>
    <w:rsid w:val="4AA97A71"/>
    <w:rsid w:val="4AAA2137"/>
    <w:rsid w:val="4AAF7F03"/>
    <w:rsid w:val="4AB06AAE"/>
    <w:rsid w:val="4AB17471"/>
    <w:rsid w:val="4AB23706"/>
    <w:rsid w:val="4AB5568D"/>
    <w:rsid w:val="4AB663B6"/>
    <w:rsid w:val="4ABF5CA8"/>
    <w:rsid w:val="4AC24F24"/>
    <w:rsid w:val="4AC302E6"/>
    <w:rsid w:val="4AC373B7"/>
    <w:rsid w:val="4AD70179"/>
    <w:rsid w:val="4ADC6030"/>
    <w:rsid w:val="4AE503CA"/>
    <w:rsid w:val="4AE8204F"/>
    <w:rsid w:val="4AE85B24"/>
    <w:rsid w:val="4AEC5530"/>
    <w:rsid w:val="4AF9326D"/>
    <w:rsid w:val="4AFA788A"/>
    <w:rsid w:val="4B0B565B"/>
    <w:rsid w:val="4B0D0AAD"/>
    <w:rsid w:val="4B0F33EF"/>
    <w:rsid w:val="4B0F4579"/>
    <w:rsid w:val="4B127A66"/>
    <w:rsid w:val="4B1B3604"/>
    <w:rsid w:val="4B1D1F9E"/>
    <w:rsid w:val="4B1E39C0"/>
    <w:rsid w:val="4B303F1C"/>
    <w:rsid w:val="4B321510"/>
    <w:rsid w:val="4B336757"/>
    <w:rsid w:val="4B345DCE"/>
    <w:rsid w:val="4B373DFD"/>
    <w:rsid w:val="4B3B43DA"/>
    <w:rsid w:val="4B3C1E06"/>
    <w:rsid w:val="4B3D7327"/>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3B2F86"/>
    <w:rsid w:val="4C423D6E"/>
    <w:rsid w:val="4C457B98"/>
    <w:rsid w:val="4C4E0520"/>
    <w:rsid w:val="4C4E14FD"/>
    <w:rsid w:val="4C4F6918"/>
    <w:rsid w:val="4C5913AB"/>
    <w:rsid w:val="4C5B0D08"/>
    <w:rsid w:val="4C5B4D3F"/>
    <w:rsid w:val="4C65188A"/>
    <w:rsid w:val="4C7E3EAB"/>
    <w:rsid w:val="4C7F5F80"/>
    <w:rsid w:val="4C800ACB"/>
    <w:rsid w:val="4C872A0F"/>
    <w:rsid w:val="4C891ECB"/>
    <w:rsid w:val="4C8E59E1"/>
    <w:rsid w:val="4C8F1A7A"/>
    <w:rsid w:val="4C935431"/>
    <w:rsid w:val="4C947432"/>
    <w:rsid w:val="4C9956D3"/>
    <w:rsid w:val="4CA41E7C"/>
    <w:rsid w:val="4CA52414"/>
    <w:rsid w:val="4CA80F94"/>
    <w:rsid w:val="4CB20939"/>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17A3"/>
    <w:rsid w:val="4D165787"/>
    <w:rsid w:val="4D1B1509"/>
    <w:rsid w:val="4D1B5695"/>
    <w:rsid w:val="4D212EE6"/>
    <w:rsid w:val="4D275349"/>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51C42"/>
    <w:rsid w:val="4DD67A08"/>
    <w:rsid w:val="4DD728CB"/>
    <w:rsid w:val="4DD926F3"/>
    <w:rsid w:val="4DE324E8"/>
    <w:rsid w:val="4DE96438"/>
    <w:rsid w:val="4DFC6D77"/>
    <w:rsid w:val="4E004CBF"/>
    <w:rsid w:val="4E053361"/>
    <w:rsid w:val="4E05512F"/>
    <w:rsid w:val="4E080D37"/>
    <w:rsid w:val="4E116331"/>
    <w:rsid w:val="4E146DE5"/>
    <w:rsid w:val="4E1974AF"/>
    <w:rsid w:val="4E217F74"/>
    <w:rsid w:val="4E2273F7"/>
    <w:rsid w:val="4E232710"/>
    <w:rsid w:val="4E244590"/>
    <w:rsid w:val="4E2803B1"/>
    <w:rsid w:val="4E315BCB"/>
    <w:rsid w:val="4E323E00"/>
    <w:rsid w:val="4E353A96"/>
    <w:rsid w:val="4E366F15"/>
    <w:rsid w:val="4E453822"/>
    <w:rsid w:val="4E46611C"/>
    <w:rsid w:val="4E4927F4"/>
    <w:rsid w:val="4E51033C"/>
    <w:rsid w:val="4E5718DD"/>
    <w:rsid w:val="4E5D76DE"/>
    <w:rsid w:val="4E645B44"/>
    <w:rsid w:val="4E653EFD"/>
    <w:rsid w:val="4E6557BF"/>
    <w:rsid w:val="4E703C4D"/>
    <w:rsid w:val="4E7052BB"/>
    <w:rsid w:val="4E712D20"/>
    <w:rsid w:val="4E7328AB"/>
    <w:rsid w:val="4E744688"/>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B0E0D"/>
    <w:rsid w:val="4F1F413E"/>
    <w:rsid w:val="4F2309CE"/>
    <w:rsid w:val="4F236021"/>
    <w:rsid w:val="4F2417F9"/>
    <w:rsid w:val="4F390391"/>
    <w:rsid w:val="4F4128B4"/>
    <w:rsid w:val="4F472DFA"/>
    <w:rsid w:val="4F476973"/>
    <w:rsid w:val="4F496B4A"/>
    <w:rsid w:val="4F4B45C9"/>
    <w:rsid w:val="4F516C90"/>
    <w:rsid w:val="4F5304FA"/>
    <w:rsid w:val="4F5847FB"/>
    <w:rsid w:val="4F675005"/>
    <w:rsid w:val="4F687C61"/>
    <w:rsid w:val="4F6B70F2"/>
    <w:rsid w:val="4F6D2D8A"/>
    <w:rsid w:val="4F7065D1"/>
    <w:rsid w:val="4F742121"/>
    <w:rsid w:val="4F7476FD"/>
    <w:rsid w:val="4F7A5351"/>
    <w:rsid w:val="4F7E4952"/>
    <w:rsid w:val="4F837A29"/>
    <w:rsid w:val="4F86338A"/>
    <w:rsid w:val="4F894B38"/>
    <w:rsid w:val="4F8B5808"/>
    <w:rsid w:val="4F8E2544"/>
    <w:rsid w:val="4F8E4617"/>
    <w:rsid w:val="4F925571"/>
    <w:rsid w:val="4F936F2A"/>
    <w:rsid w:val="4F96364E"/>
    <w:rsid w:val="4F9A7781"/>
    <w:rsid w:val="4FA07208"/>
    <w:rsid w:val="4FA32FA9"/>
    <w:rsid w:val="4FA4526D"/>
    <w:rsid w:val="4FA77CB7"/>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2774F1"/>
    <w:rsid w:val="50342B46"/>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53116"/>
    <w:rsid w:val="50B8253C"/>
    <w:rsid w:val="50B852D4"/>
    <w:rsid w:val="50B90894"/>
    <w:rsid w:val="50BA7486"/>
    <w:rsid w:val="50BD6A55"/>
    <w:rsid w:val="50BD73C3"/>
    <w:rsid w:val="50C0101E"/>
    <w:rsid w:val="50C34300"/>
    <w:rsid w:val="50C861CA"/>
    <w:rsid w:val="50C93EAB"/>
    <w:rsid w:val="50CB2653"/>
    <w:rsid w:val="50CE6DFA"/>
    <w:rsid w:val="50D4382E"/>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3F7A"/>
    <w:rsid w:val="517945D3"/>
    <w:rsid w:val="518759F5"/>
    <w:rsid w:val="51876394"/>
    <w:rsid w:val="518838B5"/>
    <w:rsid w:val="518941D1"/>
    <w:rsid w:val="51923184"/>
    <w:rsid w:val="51A257E1"/>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116FA"/>
    <w:rsid w:val="52A66E27"/>
    <w:rsid w:val="52A77DD3"/>
    <w:rsid w:val="52A866CD"/>
    <w:rsid w:val="52AC289B"/>
    <w:rsid w:val="52AD7835"/>
    <w:rsid w:val="52B34900"/>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3016EAE"/>
    <w:rsid w:val="53022230"/>
    <w:rsid w:val="53037543"/>
    <w:rsid w:val="53040DD4"/>
    <w:rsid w:val="53092BE3"/>
    <w:rsid w:val="530D3EE7"/>
    <w:rsid w:val="530E50CD"/>
    <w:rsid w:val="53107CE9"/>
    <w:rsid w:val="53116663"/>
    <w:rsid w:val="53123854"/>
    <w:rsid w:val="531427A3"/>
    <w:rsid w:val="531E2733"/>
    <w:rsid w:val="53200D63"/>
    <w:rsid w:val="53203EAE"/>
    <w:rsid w:val="5327111C"/>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D646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E021B5"/>
    <w:rsid w:val="53E15EE4"/>
    <w:rsid w:val="53E504ED"/>
    <w:rsid w:val="53E623AE"/>
    <w:rsid w:val="53E62704"/>
    <w:rsid w:val="53ED1D5A"/>
    <w:rsid w:val="53EF222C"/>
    <w:rsid w:val="53FB6A99"/>
    <w:rsid w:val="54013248"/>
    <w:rsid w:val="54036357"/>
    <w:rsid w:val="540C7B26"/>
    <w:rsid w:val="540E2C5F"/>
    <w:rsid w:val="541E62D0"/>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D2691"/>
    <w:rsid w:val="546E3DF1"/>
    <w:rsid w:val="547A3FE7"/>
    <w:rsid w:val="547B296E"/>
    <w:rsid w:val="547C24E5"/>
    <w:rsid w:val="547D0D60"/>
    <w:rsid w:val="547F25F5"/>
    <w:rsid w:val="547F3870"/>
    <w:rsid w:val="548075C3"/>
    <w:rsid w:val="54833F1A"/>
    <w:rsid w:val="548909F1"/>
    <w:rsid w:val="548F4C0D"/>
    <w:rsid w:val="549A005E"/>
    <w:rsid w:val="54A045BE"/>
    <w:rsid w:val="54A32323"/>
    <w:rsid w:val="54AB06B2"/>
    <w:rsid w:val="54AC5879"/>
    <w:rsid w:val="54BB10DA"/>
    <w:rsid w:val="54BC61EF"/>
    <w:rsid w:val="54BD7666"/>
    <w:rsid w:val="54BE4673"/>
    <w:rsid w:val="54BE7C40"/>
    <w:rsid w:val="54BF029A"/>
    <w:rsid w:val="54C31BDE"/>
    <w:rsid w:val="54C62E16"/>
    <w:rsid w:val="54C62FAC"/>
    <w:rsid w:val="54CA6334"/>
    <w:rsid w:val="54CB0818"/>
    <w:rsid w:val="54CB2961"/>
    <w:rsid w:val="54CD55DE"/>
    <w:rsid w:val="54D12B00"/>
    <w:rsid w:val="54D85F2F"/>
    <w:rsid w:val="54D94F04"/>
    <w:rsid w:val="54D96C5B"/>
    <w:rsid w:val="54D97F95"/>
    <w:rsid w:val="54E52FEA"/>
    <w:rsid w:val="54E71FBE"/>
    <w:rsid w:val="54E87E5F"/>
    <w:rsid w:val="54EC7B95"/>
    <w:rsid w:val="55014944"/>
    <w:rsid w:val="55037AD6"/>
    <w:rsid w:val="550415F3"/>
    <w:rsid w:val="55095F10"/>
    <w:rsid w:val="550B34E2"/>
    <w:rsid w:val="55125158"/>
    <w:rsid w:val="551F5F7D"/>
    <w:rsid w:val="552133AA"/>
    <w:rsid w:val="552F5F65"/>
    <w:rsid w:val="553B4499"/>
    <w:rsid w:val="553E3E60"/>
    <w:rsid w:val="5547595B"/>
    <w:rsid w:val="55583BF0"/>
    <w:rsid w:val="555A417E"/>
    <w:rsid w:val="55625588"/>
    <w:rsid w:val="55645A1D"/>
    <w:rsid w:val="55661EFE"/>
    <w:rsid w:val="556B2AF1"/>
    <w:rsid w:val="556C0EF2"/>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2ABE"/>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7170B"/>
    <w:rsid w:val="56EA07E6"/>
    <w:rsid w:val="56F33533"/>
    <w:rsid w:val="56F50083"/>
    <w:rsid w:val="56F72DC2"/>
    <w:rsid w:val="56FF7421"/>
    <w:rsid w:val="5700633A"/>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6281B"/>
    <w:rsid w:val="57875C12"/>
    <w:rsid w:val="578849BA"/>
    <w:rsid w:val="57890230"/>
    <w:rsid w:val="578B45BC"/>
    <w:rsid w:val="579332C9"/>
    <w:rsid w:val="57984358"/>
    <w:rsid w:val="579C091F"/>
    <w:rsid w:val="579C553D"/>
    <w:rsid w:val="579E16D2"/>
    <w:rsid w:val="579E4B6F"/>
    <w:rsid w:val="57A8703D"/>
    <w:rsid w:val="57B140FD"/>
    <w:rsid w:val="57BA0794"/>
    <w:rsid w:val="57C23DC7"/>
    <w:rsid w:val="57DB51C2"/>
    <w:rsid w:val="57F00A5B"/>
    <w:rsid w:val="57F6578B"/>
    <w:rsid w:val="580524DD"/>
    <w:rsid w:val="580B47C9"/>
    <w:rsid w:val="581563DE"/>
    <w:rsid w:val="581B418A"/>
    <w:rsid w:val="581C0BCE"/>
    <w:rsid w:val="581C1F42"/>
    <w:rsid w:val="582055EE"/>
    <w:rsid w:val="58206441"/>
    <w:rsid w:val="582334BB"/>
    <w:rsid w:val="582D2236"/>
    <w:rsid w:val="58344BA2"/>
    <w:rsid w:val="58422286"/>
    <w:rsid w:val="58435516"/>
    <w:rsid w:val="58446F11"/>
    <w:rsid w:val="5849643A"/>
    <w:rsid w:val="58496BB7"/>
    <w:rsid w:val="584D50B5"/>
    <w:rsid w:val="5856096A"/>
    <w:rsid w:val="5856761D"/>
    <w:rsid w:val="585749D4"/>
    <w:rsid w:val="585B70CE"/>
    <w:rsid w:val="58612DB0"/>
    <w:rsid w:val="58695CD4"/>
    <w:rsid w:val="586B5E7C"/>
    <w:rsid w:val="58703188"/>
    <w:rsid w:val="58746525"/>
    <w:rsid w:val="58755BEE"/>
    <w:rsid w:val="58793717"/>
    <w:rsid w:val="587F0A2C"/>
    <w:rsid w:val="58806871"/>
    <w:rsid w:val="5880712A"/>
    <w:rsid w:val="58890B0A"/>
    <w:rsid w:val="58893680"/>
    <w:rsid w:val="588B4B63"/>
    <w:rsid w:val="588E12E3"/>
    <w:rsid w:val="588E5385"/>
    <w:rsid w:val="5893055D"/>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972BC"/>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B4BBF"/>
    <w:rsid w:val="5A0D4DA0"/>
    <w:rsid w:val="5A19426B"/>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76E29"/>
    <w:rsid w:val="5AD81EAB"/>
    <w:rsid w:val="5ADD6AED"/>
    <w:rsid w:val="5AE76BC1"/>
    <w:rsid w:val="5AEC6AA2"/>
    <w:rsid w:val="5AED6EE6"/>
    <w:rsid w:val="5B054511"/>
    <w:rsid w:val="5B130536"/>
    <w:rsid w:val="5B1527A8"/>
    <w:rsid w:val="5B271DAF"/>
    <w:rsid w:val="5B2B7A81"/>
    <w:rsid w:val="5B3272AC"/>
    <w:rsid w:val="5B3C52B5"/>
    <w:rsid w:val="5B40209A"/>
    <w:rsid w:val="5B473AE9"/>
    <w:rsid w:val="5B4A70EE"/>
    <w:rsid w:val="5B507564"/>
    <w:rsid w:val="5B537660"/>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92D18"/>
    <w:rsid w:val="5C0F381E"/>
    <w:rsid w:val="5C134D0A"/>
    <w:rsid w:val="5C2447C2"/>
    <w:rsid w:val="5C2C2C06"/>
    <w:rsid w:val="5C2E3D4E"/>
    <w:rsid w:val="5C302DB4"/>
    <w:rsid w:val="5C33495D"/>
    <w:rsid w:val="5C3573E8"/>
    <w:rsid w:val="5C38462F"/>
    <w:rsid w:val="5C391C9D"/>
    <w:rsid w:val="5C3F23FA"/>
    <w:rsid w:val="5C4A7029"/>
    <w:rsid w:val="5C524B49"/>
    <w:rsid w:val="5C567BAC"/>
    <w:rsid w:val="5C5C2559"/>
    <w:rsid w:val="5C5E06F3"/>
    <w:rsid w:val="5C606A7E"/>
    <w:rsid w:val="5C651375"/>
    <w:rsid w:val="5C651F1D"/>
    <w:rsid w:val="5C6A75D5"/>
    <w:rsid w:val="5C6D7D63"/>
    <w:rsid w:val="5C6F346E"/>
    <w:rsid w:val="5C7B58FA"/>
    <w:rsid w:val="5C811086"/>
    <w:rsid w:val="5C832EF9"/>
    <w:rsid w:val="5C847C07"/>
    <w:rsid w:val="5C8925A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97BB7"/>
    <w:rsid w:val="5D2A5FDD"/>
    <w:rsid w:val="5D310BBF"/>
    <w:rsid w:val="5D3216E3"/>
    <w:rsid w:val="5D334440"/>
    <w:rsid w:val="5D3540E7"/>
    <w:rsid w:val="5D3579D3"/>
    <w:rsid w:val="5D3F4512"/>
    <w:rsid w:val="5D4B03EC"/>
    <w:rsid w:val="5D4B3B72"/>
    <w:rsid w:val="5D4B7D01"/>
    <w:rsid w:val="5D5D366B"/>
    <w:rsid w:val="5D63417B"/>
    <w:rsid w:val="5D663874"/>
    <w:rsid w:val="5D6759B2"/>
    <w:rsid w:val="5D6B16CC"/>
    <w:rsid w:val="5D726960"/>
    <w:rsid w:val="5D8056CF"/>
    <w:rsid w:val="5D8167C6"/>
    <w:rsid w:val="5D827AE7"/>
    <w:rsid w:val="5D84626D"/>
    <w:rsid w:val="5D850F66"/>
    <w:rsid w:val="5D882498"/>
    <w:rsid w:val="5D88463C"/>
    <w:rsid w:val="5D8C0D5D"/>
    <w:rsid w:val="5D8C36CC"/>
    <w:rsid w:val="5D8D30BD"/>
    <w:rsid w:val="5D8E1670"/>
    <w:rsid w:val="5D8E4F86"/>
    <w:rsid w:val="5D8E5A81"/>
    <w:rsid w:val="5D916240"/>
    <w:rsid w:val="5D9C64D2"/>
    <w:rsid w:val="5DA03F1A"/>
    <w:rsid w:val="5DA34B77"/>
    <w:rsid w:val="5DA60259"/>
    <w:rsid w:val="5DA9695A"/>
    <w:rsid w:val="5DAC24BD"/>
    <w:rsid w:val="5DAD1AB9"/>
    <w:rsid w:val="5DB563E8"/>
    <w:rsid w:val="5DB91AE6"/>
    <w:rsid w:val="5DBC49B1"/>
    <w:rsid w:val="5DBF5D68"/>
    <w:rsid w:val="5DC1061A"/>
    <w:rsid w:val="5DC50736"/>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5643C"/>
    <w:rsid w:val="5F3A0ECC"/>
    <w:rsid w:val="5F3B0D62"/>
    <w:rsid w:val="5F454447"/>
    <w:rsid w:val="5F496AE3"/>
    <w:rsid w:val="5F4A0140"/>
    <w:rsid w:val="5F4E49A9"/>
    <w:rsid w:val="5F5304E5"/>
    <w:rsid w:val="5F557D24"/>
    <w:rsid w:val="5F61390F"/>
    <w:rsid w:val="5F6507A9"/>
    <w:rsid w:val="5F6A5F20"/>
    <w:rsid w:val="5F80515E"/>
    <w:rsid w:val="5F847158"/>
    <w:rsid w:val="5F8527A1"/>
    <w:rsid w:val="5F884ED8"/>
    <w:rsid w:val="5F8D262C"/>
    <w:rsid w:val="5F8E330E"/>
    <w:rsid w:val="5F936495"/>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13CC0"/>
    <w:rsid w:val="5FF44DF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A57E6"/>
    <w:rsid w:val="604C521E"/>
    <w:rsid w:val="604F5EF6"/>
    <w:rsid w:val="6057558C"/>
    <w:rsid w:val="605E72F8"/>
    <w:rsid w:val="605F5AE3"/>
    <w:rsid w:val="606157F3"/>
    <w:rsid w:val="60627C46"/>
    <w:rsid w:val="606364CC"/>
    <w:rsid w:val="606429BD"/>
    <w:rsid w:val="60687CFB"/>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2669"/>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355E2F"/>
    <w:rsid w:val="61393311"/>
    <w:rsid w:val="614555FE"/>
    <w:rsid w:val="6148409B"/>
    <w:rsid w:val="614A3BE6"/>
    <w:rsid w:val="614A563B"/>
    <w:rsid w:val="614B3DCA"/>
    <w:rsid w:val="614C69C2"/>
    <w:rsid w:val="614D19CC"/>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897126"/>
    <w:rsid w:val="61982206"/>
    <w:rsid w:val="619877AE"/>
    <w:rsid w:val="61A44839"/>
    <w:rsid w:val="61A464B4"/>
    <w:rsid w:val="61A524ED"/>
    <w:rsid w:val="61BE3173"/>
    <w:rsid w:val="61C52F7C"/>
    <w:rsid w:val="61C56B2B"/>
    <w:rsid w:val="61C65438"/>
    <w:rsid w:val="61C665BE"/>
    <w:rsid w:val="61CA523D"/>
    <w:rsid w:val="61CE6570"/>
    <w:rsid w:val="61D15BC1"/>
    <w:rsid w:val="61D30C7C"/>
    <w:rsid w:val="61D874CA"/>
    <w:rsid w:val="61DA463A"/>
    <w:rsid w:val="61E145AD"/>
    <w:rsid w:val="61EB3425"/>
    <w:rsid w:val="61F52D89"/>
    <w:rsid w:val="61F76912"/>
    <w:rsid w:val="62025288"/>
    <w:rsid w:val="62067533"/>
    <w:rsid w:val="62067DED"/>
    <w:rsid w:val="62071713"/>
    <w:rsid w:val="620971FF"/>
    <w:rsid w:val="620A7527"/>
    <w:rsid w:val="620B1CD1"/>
    <w:rsid w:val="620E43FD"/>
    <w:rsid w:val="62112067"/>
    <w:rsid w:val="62132F1F"/>
    <w:rsid w:val="62143D21"/>
    <w:rsid w:val="621D44D9"/>
    <w:rsid w:val="62256A19"/>
    <w:rsid w:val="622A55FC"/>
    <w:rsid w:val="622B2701"/>
    <w:rsid w:val="622C5484"/>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27B29"/>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3E1075"/>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A618C"/>
    <w:rsid w:val="63FC5706"/>
    <w:rsid w:val="64003DF1"/>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2F31B2"/>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9675C"/>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349A2"/>
    <w:rsid w:val="64EA18FD"/>
    <w:rsid w:val="64EC317B"/>
    <w:rsid w:val="64ED414E"/>
    <w:rsid w:val="64EF0130"/>
    <w:rsid w:val="64EF032E"/>
    <w:rsid w:val="64F102BF"/>
    <w:rsid w:val="64F96F89"/>
    <w:rsid w:val="64FC29FD"/>
    <w:rsid w:val="64FE3B47"/>
    <w:rsid w:val="64FF4955"/>
    <w:rsid w:val="6505779C"/>
    <w:rsid w:val="65140C27"/>
    <w:rsid w:val="65171246"/>
    <w:rsid w:val="65222B6E"/>
    <w:rsid w:val="652A2225"/>
    <w:rsid w:val="652A2C63"/>
    <w:rsid w:val="653B62B2"/>
    <w:rsid w:val="653C00CC"/>
    <w:rsid w:val="653D48C7"/>
    <w:rsid w:val="6544003B"/>
    <w:rsid w:val="65462AB2"/>
    <w:rsid w:val="65465C3A"/>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1F2063"/>
    <w:rsid w:val="67212488"/>
    <w:rsid w:val="67230E17"/>
    <w:rsid w:val="67243AE8"/>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CD37ED"/>
    <w:rsid w:val="68D018E9"/>
    <w:rsid w:val="68D9302B"/>
    <w:rsid w:val="68DC4A0D"/>
    <w:rsid w:val="68DD2FD2"/>
    <w:rsid w:val="68E07E51"/>
    <w:rsid w:val="68E54CF3"/>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300070"/>
    <w:rsid w:val="6A304F08"/>
    <w:rsid w:val="6A4107BE"/>
    <w:rsid w:val="6A4A15E8"/>
    <w:rsid w:val="6A4C5A04"/>
    <w:rsid w:val="6A5110C5"/>
    <w:rsid w:val="6A58493C"/>
    <w:rsid w:val="6A5F7765"/>
    <w:rsid w:val="6A6373A0"/>
    <w:rsid w:val="6A687C25"/>
    <w:rsid w:val="6A6A33B7"/>
    <w:rsid w:val="6A6A49EF"/>
    <w:rsid w:val="6A6E7A18"/>
    <w:rsid w:val="6A7D3773"/>
    <w:rsid w:val="6A873080"/>
    <w:rsid w:val="6A883A57"/>
    <w:rsid w:val="6A894123"/>
    <w:rsid w:val="6A8B4A02"/>
    <w:rsid w:val="6A9A5A6C"/>
    <w:rsid w:val="6A9E4755"/>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84EAE"/>
    <w:rsid w:val="6B2D67D1"/>
    <w:rsid w:val="6B2E4BDC"/>
    <w:rsid w:val="6B3230C2"/>
    <w:rsid w:val="6B3A0170"/>
    <w:rsid w:val="6B3B3477"/>
    <w:rsid w:val="6B3E31D3"/>
    <w:rsid w:val="6B444C91"/>
    <w:rsid w:val="6B453759"/>
    <w:rsid w:val="6B45608D"/>
    <w:rsid w:val="6B474C81"/>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10E4A"/>
    <w:rsid w:val="6BD50F30"/>
    <w:rsid w:val="6BD954FE"/>
    <w:rsid w:val="6BDA3731"/>
    <w:rsid w:val="6BDA5A31"/>
    <w:rsid w:val="6BDD6387"/>
    <w:rsid w:val="6BE0409F"/>
    <w:rsid w:val="6BE11226"/>
    <w:rsid w:val="6BE56596"/>
    <w:rsid w:val="6BE77CB5"/>
    <w:rsid w:val="6BF1529A"/>
    <w:rsid w:val="6BF329C9"/>
    <w:rsid w:val="6BF82039"/>
    <w:rsid w:val="6C067490"/>
    <w:rsid w:val="6C0B5D3D"/>
    <w:rsid w:val="6C0F552A"/>
    <w:rsid w:val="6C132282"/>
    <w:rsid w:val="6C1E57A4"/>
    <w:rsid w:val="6C2052D7"/>
    <w:rsid w:val="6C2474AD"/>
    <w:rsid w:val="6C254DED"/>
    <w:rsid w:val="6C276487"/>
    <w:rsid w:val="6C2A3C97"/>
    <w:rsid w:val="6C300842"/>
    <w:rsid w:val="6C441522"/>
    <w:rsid w:val="6C444E98"/>
    <w:rsid w:val="6C44652A"/>
    <w:rsid w:val="6C450DC2"/>
    <w:rsid w:val="6C4743EF"/>
    <w:rsid w:val="6C49464D"/>
    <w:rsid w:val="6C5630FD"/>
    <w:rsid w:val="6C580C23"/>
    <w:rsid w:val="6C5D2B83"/>
    <w:rsid w:val="6C5E310E"/>
    <w:rsid w:val="6C605001"/>
    <w:rsid w:val="6C693101"/>
    <w:rsid w:val="6C6C65A8"/>
    <w:rsid w:val="6C6E654D"/>
    <w:rsid w:val="6C6F6D68"/>
    <w:rsid w:val="6C713EE6"/>
    <w:rsid w:val="6C7225C0"/>
    <w:rsid w:val="6C724086"/>
    <w:rsid w:val="6C7A0146"/>
    <w:rsid w:val="6C7D1EE1"/>
    <w:rsid w:val="6C83148E"/>
    <w:rsid w:val="6C847309"/>
    <w:rsid w:val="6C87483E"/>
    <w:rsid w:val="6C932F62"/>
    <w:rsid w:val="6C970952"/>
    <w:rsid w:val="6C986CFB"/>
    <w:rsid w:val="6C993EDD"/>
    <w:rsid w:val="6C9C5A6B"/>
    <w:rsid w:val="6CA16A6E"/>
    <w:rsid w:val="6CA35ACE"/>
    <w:rsid w:val="6CA36F99"/>
    <w:rsid w:val="6CA51F44"/>
    <w:rsid w:val="6CAC41D8"/>
    <w:rsid w:val="6CAD1DA8"/>
    <w:rsid w:val="6CBC7404"/>
    <w:rsid w:val="6CC01FF7"/>
    <w:rsid w:val="6CC100DE"/>
    <w:rsid w:val="6CC172F0"/>
    <w:rsid w:val="6CC37577"/>
    <w:rsid w:val="6CC47E70"/>
    <w:rsid w:val="6CC83449"/>
    <w:rsid w:val="6CD4587A"/>
    <w:rsid w:val="6CD7368A"/>
    <w:rsid w:val="6CDE5384"/>
    <w:rsid w:val="6CE73495"/>
    <w:rsid w:val="6CE8549F"/>
    <w:rsid w:val="6CEC511B"/>
    <w:rsid w:val="6CF4007D"/>
    <w:rsid w:val="6CFC39F3"/>
    <w:rsid w:val="6CFC5A53"/>
    <w:rsid w:val="6CFF6600"/>
    <w:rsid w:val="6D010C12"/>
    <w:rsid w:val="6D0255CE"/>
    <w:rsid w:val="6D063E81"/>
    <w:rsid w:val="6D076851"/>
    <w:rsid w:val="6D127028"/>
    <w:rsid w:val="6D1F46E9"/>
    <w:rsid w:val="6D203CD5"/>
    <w:rsid w:val="6D223A04"/>
    <w:rsid w:val="6D263AE7"/>
    <w:rsid w:val="6D280683"/>
    <w:rsid w:val="6D2945A7"/>
    <w:rsid w:val="6D2A7621"/>
    <w:rsid w:val="6D2D6CE1"/>
    <w:rsid w:val="6D2E1113"/>
    <w:rsid w:val="6D325F0F"/>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C799E"/>
    <w:rsid w:val="6DA20C00"/>
    <w:rsid w:val="6DA25EF4"/>
    <w:rsid w:val="6DA735E2"/>
    <w:rsid w:val="6DAD74FD"/>
    <w:rsid w:val="6DB26C1E"/>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93BB1"/>
    <w:rsid w:val="6DFA5521"/>
    <w:rsid w:val="6DFC4AA0"/>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80706"/>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431FC"/>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04584"/>
    <w:rsid w:val="6ED35329"/>
    <w:rsid w:val="6EDB5368"/>
    <w:rsid w:val="6EDF0F78"/>
    <w:rsid w:val="6EE314EC"/>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614AD"/>
    <w:rsid w:val="6F265765"/>
    <w:rsid w:val="6F27517A"/>
    <w:rsid w:val="6F283862"/>
    <w:rsid w:val="6F2B3D2A"/>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83E6C"/>
    <w:rsid w:val="6F7A2D7A"/>
    <w:rsid w:val="6F7D5DCF"/>
    <w:rsid w:val="6F825AAD"/>
    <w:rsid w:val="6F8A2227"/>
    <w:rsid w:val="6F8E4EE0"/>
    <w:rsid w:val="6F984219"/>
    <w:rsid w:val="6F990219"/>
    <w:rsid w:val="6F9D1A7C"/>
    <w:rsid w:val="6FA973F6"/>
    <w:rsid w:val="6FB07E8C"/>
    <w:rsid w:val="6FB34A5A"/>
    <w:rsid w:val="6FBC45CE"/>
    <w:rsid w:val="6FC1266F"/>
    <w:rsid w:val="6FC66B94"/>
    <w:rsid w:val="6FD51D6F"/>
    <w:rsid w:val="6FD62245"/>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1C0B3E"/>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446DD"/>
    <w:rsid w:val="708B2BFA"/>
    <w:rsid w:val="708C6267"/>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B1354"/>
    <w:rsid w:val="70E74387"/>
    <w:rsid w:val="70E95688"/>
    <w:rsid w:val="70F133F4"/>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67E2A"/>
    <w:rsid w:val="715979B9"/>
    <w:rsid w:val="715C187E"/>
    <w:rsid w:val="715F2F64"/>
    <w:rsid w:val="716A3ECC"/>
    <w:rsid w:val="716D279C"/>
    <w:rsid w:val="717368BB"/>
    <w:rsid w:val="717D2450"/>
    <w:rsid w:val="717D3473"/>
    <w:rsid w:val="71834301"/>
    <w:rsid w:val="71855C60"/>
    <w:rsid w:val="718646AC"/>
    <w:rsid w:val="71893F18"/>
    <w:rsid w:val="718A2BD2"/>
    <w:rsid w:val="719A6A46"/>
    <w:rsid w:val="719E4BD5"/>
    <w:rsid w:val="71A94AE6"/>
    <w:rsid w:val="71AA1FB4"/>
    <w:rsid w:val="71AA5E03"/>
    <w:rsid w:val="71AD2519"/>
    <w:rsid w:val="71AE30CB"/>
    <w:rsid w:val="71B731AC"/>
    <w:rsid w:val="71BC586A"/>
    <w:rsid w:val="71BE020A"/>
    <w:rsid w:val="71C4348E"/>
    <w:rsid w:val="71C4594D"/>
    <w:rsid w:val="71C45F70"/>
    <w:rsid w:val="71C525A0"/>
    <w:rsid w:val="71C77FC3"/>
    <w:rsid w:val="71D67195"/>
    <w:rsid w:val="71D707E2"/>
    <w:rsid w:val="71D72B63"/>
    <w:rsid w:val="71D90995"/>
    <w:rsid w:val="71E0184C"/>
    <w:rsid w:val="71E34117"/>
    <w:rsid w:val="71E34506"/>
    <w:rsid w:val="71E70ECE"/>
    <w:rsid w:val="71E90DAD"/>
    <w:rsid w:val="71EE722C"/>
    <w:rsid w:val="71FA0D3D"/>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967DD"/>
    <w:rsid w:val="729A1FD4"/>
    <w:rsid w:val="729A6670"/>
    <w:rsid w:val="729D63A2"/>
    <w:rsid w:val="72A279FF"/>
    <w:rsid w:val="72A74598"/>
    <w:rsid w:val="72A82B27"/>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2FC1555"/>
    <w:rsid w:val="7301337F"/>
    <w:rsid w:val="7304264C"/>
    <w:rsid w:val="73062B16"/>
    <w:rsid w:val="73070C7F"/>
    <w:rsid w:val="730832A4"/>
    <w:rsid w:val="73126134"/>
    <w:rsid w:val="73186301"/>
    <w:rsid w:val="73201849"/>
    <w:rsid w:val="732114F1"/>
    <w:rsid w:val="73214465"/>
    <w:rsid w:val="73296CA2"/>
    <w:rsid w:val="732B15F3"/>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A5E0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4060F68"/>
    <w:rsid w:val="740B08DB"/>
    <w:rsid w:val="740D3A81"/>
    <w:rsid w:val="741607EC"/>
    <w:rsid w:val="741A3D6E"/>
    <w:rsid w:val="741C0CAC"/>
    <w:rsid w:val="74341BE0"/>
    <w:rsid w:val="74343D24"/>
    <w:rsid w:val="743E7BC1"/>
    <w:rsid w:val="744B4084"/>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708A"/>
    <w:rsid w:val="74AE1FDF"/>
    <w:rsid w:val="74B52129"/>
    <w:rsid w:val="74B56CA0"/>
    <w:rsid w:val="74B75095"/>
    <w:rsid w:val="74BA06CD"/>
    <w:rsid w:val="74CD4F0A"/>
    <w:rsid w:val="74DA424F"/>
    <w:rsid w:val="74DB6400"/>
    <w:rsid w:val="74DF0652"/>
    <w:rsid w:val="74E13391"/>
    <w:rsid w:val="74E34A80"/>
    <w:rsid w:val="74F520CC"/>
    <w:rsid w:val="74F61ADC"/>
    <w:rsid w:val="74F70D4C"/>
    <w:rsid w:val="74F92DE1"/>
    <w:rsid w:val="74FB60AC"/>
    <w:rsid w:val="74FC4DAB"/>
    <w:rsid w:val="75040333"/>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51FAF"/>
    <w:rsid w:val="75C7194F"/>
    <w:rsid w:val="75CC76D6"/>
    <w:rsid w:val="75CF0DC4"/>
    <w:rsid w:val="75D34DCF"/>
    <w:rsid w:val="75D45B14"/>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117E7A"/>
    <w:rsid w:val="762070F0"/>
    <w:rsid w:val="76257D4C"/>
    <w:rsid w:val="762D51B0"/>
    <w:rsid w:val="76336E2A"/>
    <w:rsid w:val="763765D5"/>
    <w:rsid w:val="764A57F0"/>
    <w:rsid w:val="764E349C"/>
    <w:rsid w:val="765074D0"/>
    <w:rsid w:val="765130EC"/>
    <w:rsid w:val="76525694"/>
    <w:rsid w:val="76547F3D"/>
    <w:rsid w:val="76570991"/>
    <w:rsid w:val="765C7911"/>
    <w:rsid w:val="765D3DFE"/>
    <w:rsid w:val="76614532"/>
    <w:rsid w:val="76635834"/>
    <w:rsid w:val="76644A16"/>
    <w:rsid w:val="766E3A61"/>
    <w:rsid w:val="766F4763"/>
    <w:rsid w:val="767A51B9"/>
    <w:rsid w:val="76800247"/>
    <w:rsid w:val="76851440"/>
    <w:rsid w:val="76863E50"/>
    <w:rsid w:val="768A5FED"/>
    <w:rsid w:val="768E20AB"/>
    <w:rsid w:val="768E4D1E"/>
    <w:rsid w:val="768F5B89"/>
    <w:rsid w:val="76941029"/>
    <w:rsid w:val="7696272C"/>
    <w:rsid w:val="769748D8"/>
    <w:rsid w:val="769F6846"/>
    <w:rsid w:val="76A36D6C"/>
    <w:rsid w:val="76A7005D"/>
    <w:rsid w:val="76A77479"/>
    <w:rsid w:val="76AA29C3"/>
    <w:rsid w:val="76B10334"/>
    <w:rsid w:val="76BD10A6"/>
    <w:rsid w:val="76BD4467"/>
    <w:rsid w:val="76C33D66"/>
    <w:rsid w:val="76D14075"/>
    <w:rsid w:val="76D15500"/>
    <w:rsid w:val="76D67314"/>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05E4E"/>
    <w:rsid w:val="77376F0B"/>
    <w:rsid w:val="773908D2"/>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716DC"/>
    <w:rsid w:val="78137A78"/>
    <w:rsid w:val="781936FE"/>
    <w:rsid w:val="78194A1D"/>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C45BD"/>
    <w:rsid w:val="798D6B97"/>
    <w:rsid w:val="79920BD7"/>
    <w:rsid w:val="7996693F"/>
    <w:rsid w:val="799B2770"/>
    <w:rsid w:val="799C6D9C"/>
    <w:rsid w:val="79A171F0"/>
    <w:rsid w:val="79AA05EF"/>
    <w:rsid w:val="79AB58C9"/>
    <w:rsid w:val="79AC4296"/>
    <w:rsid w:val="79B13B01"/>
    <w:rsid w:val="79B85B1A"/>
    <w:rsid w:val="79BA0232"/>
    <w:rsid w:val="79BA2FA3"/>
    <w:rsid w:val="79BC7999"/>
    <w:rsid w:val="79C518CA"/>
    <w:rsid w:val="79C93EBD"/>
    <w:rsid w:val="79D63AA8"/>
    <w:rsid w:val="79DD2AC5"/>
    <w:rsid w:val="79DF4E27"/>
    <w:rsid w:val="79E23272"/>
    <w:rsid w:val="79E4456A"/>
    <w:rsid w:val="79E475C0"/>
    <w:rsid w:val="79EA0F72"/>
    <w:rsid w:val="79EC4A90"/>
    <w:rsid w:val="79EF6A05"/>
    <w:rsid w:val="79F65171"/>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A6E7F"/>
    <w:rsid w:val="7A524148"/>
    <w:rsid w:val="7A557E70"/>
    <w:rsid w:val="7A655721"/>
    <w:rsid w:val="7A74248A"/>
    <w:rsid w:val="7A770803"/>
    <w:rsid w:val="7A787722"/>
    <w:rsid w:val="7A7A2D40"/>
    <w:rsid w:val="7A7D1D5F"/>
    <w:rsid w:val="7A883393"/>
    <w:rsid w:val="7A916166"/>
    <w:rsid w:val="7A99150D"/>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C39A7"/>
    <w:rsid w:val="7B2D13A8"/>
    <w:rsid w:val="7B3D5BF7"/>
    <w:rsid w:val="7B3F0F56"/>
    <w:rsid w:val="7B436CCB"/>
    <w:rsid w:val="7B5E7CBA"/>
    <w:rsid w:val="7B654B35"/>
    <w:rsid w:val="7B6644F4"/>
    <w:rsid w:val="7B6B53A5"/>
    <w:rsid w:val="7B727E52"/>
    <w:rsid w:val="7B740C94"/>
    <w:rsid w:val="7B7C5EFE"/>
    <w:rsid w:val="7B7C7536"/>
    <w:rsid w:val="7B8245FA"/>
    <w:rsid w:val="7B8855C2"/>
    <w:rsid w:val="7B9211CD"/>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97448"/>
    <w:rsid w:val="7BCD6588"/>
    <w:rsid w:val="7BD15F6F"/>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334AC"/>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9A1FB2"/>
    <w:rsid w:val="7C9F08A9"/>
    <w:rsid w:val="7CA4633A"/>
    <w:rsid w:val="7CB50A51"/>
    <w:rsid w:val="7CB62273"/>
    <w:rsid w:val="7CB83599"/>
    <w:rsid w:val="7CBE76BA"/>
    <w:rsid w:val="7CC017D7"/>
    <w:rsid w:val="7CC23715"/>
    <w:rsid w:val="7CC529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C1640"/>
    <w:rsid w:val="7CEC7290"/>
    <w:rsid w:val="7CF265C1"/>
    <w:rsid w:val="7CF6498C"/>
    <w:rsid w:val="7CF90FE6"/>
    <w:rsid w:val="7D016DE2"/>
    <w:rsid w:val="7D046E11"/>
    <w:rsid w:val="7D090CD3"/>
    <w:rsid w:val="7D106A8D"/>
    <w:rsid w:val="7D13417C"/>
    <w:rsid w:val="7D1365F8"/>
    <w:rsid w:val="7D137C1B"/>
    <w:rsid w:val="7D16686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6C2E6C"/>
    <w:rsid w:val="7D725CA6"/>
    <w:rsid w:val="7D801E4C"/>
    <w:rsid w:val="7D83561B"/>
    <w:rsid w:val="7D864981"/>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ADA"/>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93660"/>
    <w:rsid w:val="7E0A4764"/>
    <w:rsid w:val="7E0B4780"/>
    <w:rsid w:val="7E17418B"/>
    <w:rsid w:val="7E180560"/>
    <w:rsid w:val="7E18269D"/>
    <w:rsid w:val="7E1A6EE4"/>
    <w:rsid w:val="7E247F1B"/>
    <w:rsid w:val="7E344268"/>
    <w:rsid w:val="7E3A4040"/>
    <w:rsid w:val="7E3D7B2B"/>
    <w:rsid w:val="7E420F60"/>
    <w:rsid w:val="7E44743A"/>
    <w:rsid w:val="7E46292D"/>
    <w:rsid w:val="7E4E2C9C"/>
    <w:rsid w:val="7E4E7C73"/>
    <w:rsid w:val="7E5170FD"/>
    <w:rsid w:val="7E552B20"/>
    <w:rsid w:val="7E555601"/>
    <w:rsid w:val="7E582619"/>
    <w:rsid w:val="7E612947"/>
    <w:rsid w:val="7E6277FD"/>
    <w:rsid w:val="7E644253"/>
    <w:rsid w:val="7E662F64"/>
    <w:rsid w:val="7E67623E"/>
    <w:rsid w:val="7E677E4E"/>
    <w:rsid w:val="7E693C24"/>
    <w:rsid w:val="7E725B75"/>
    <w:rsid w:val="7E763BDD"/>
    <w:rsid w:val="7E7751E1"/>
    <w:rsid w:val="7E793FEF"/>
    <w:rsid w:val="7E7B3DD3"/>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A58E4"/>
    <w:rsid w:val="7EAB1BA6"/>
    <w:rsid w:val="7EAD11C4"/>
    <w:rsid w:val="7EB06B57"/>
    <w:rsid w:val="7EB831CA"/>
    <w:rsid w:val="7EBE77E4"/>
    <w:rsid w:val="7EBF641D"/>
    <w:rsid w:val="7EC27914"/>
    <w:rsid w:val="7EC51C8E"/>
    <w:rsid w:val="7EC54C8D"/>
    <w:rsid w:val="7ECC6C3E"/>
    <w:rsid w:val="7ED32749"/>
    <w:rsid w:val="7ED503E2"/>
    <w:rsid w:val="7ED61B84"/>
    <w:rsid w:val="7ED7102F"/>
    <w:rsid w:val="7ED87F1F"/>
    <w:rsid w:val="7EDC7D3C"/>
    <w:rsid w:val="7EDF3F47"/>
    <w:rsid w:val="7EE63894"/>
    <w:rsid w:val="7EE91A22"/>
    <w:rsid w:val="7EEA17FC"/>
    <w:rsid w:val="7EEF0511"/>
    <w:rsid w:val="7EFC4DFE"/>
    <w:rsid w:val="7EFC69B8"/>
    <w:rsid w:val="7F0052E1"/>
    <w:rsid w:val="7F0448D7"/>
    <w:rsid w:val="7F056430"/>
    <w:rsid w:val="7F057305"/>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47D6D"/>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84"/>
    <w:qFormat/>
    <w:uiPriority w:val="0"/>
    <w:pPr>
      <w:pageBreakBefore/>
      <w:widowControl/>
      <w:tabs>
        <w:tab w:val="left" w:pos="478"/>
      </w:tabs>
      <w:autoSpaceDE w:val="0"/>
      <w:autoSpaceDN w:val="0"/>
      <w:spacing w:before="240" w:after="120"/>
      <w:ind w:left="478" w:hanging="960"/>
      <w:jc w:val="center"/>
      <w:outlineLvl w:val="0"/>
    </w:pPr>
    <w:rPr>
      <w:rFonts w:ascii="宋体"/>
      <w:color w:val="000000"/>
      <w:kern w:val="0"/>
      <w:sz w:val="36"/>
    </w:rPr>
  </w:style>
  <w:style w:type="paragraph" w:styleId="5">
    <w:name w:val="heading 2"/>
    <w:basedOn w:val="1"/>
    <w:next w:val="1"/>
    <w:link w:val="482"/>
    <w:qFormat/>
    <w:uiPriority w:val="0"/>
    <w:pPr>
      <w:keepNext/>
      <w:keepLines/>
      <w:tabs>
        <w:tab w:val="left" w:pos="358"/>
      </w:tabs>
      <w:spacing w:before="400" w:line="360" w:lineRule="auto"/>
      <w:ind w:left="358" w:hanging="420"/>
      <w:outlineLvl w:val="1"/>
    </w:pPr>
    <w:rPr>
      <w:b/>
      <w:sz w:val="32"/>
    </w:rPr>
  </w:style>
  <w:style w:type="paragraph" w:styleId="6">
    <w:name w:val="heading 3"/>
    <w:basedOn w:val="1"/>
    <w:next w:val="1"/>
    <w:link w:val="464"/>
    <w:qFormat/>
    <w:uiPriority w:val="0"/>
    <w:pPr>
      <w:keepNext/>
      <w:keepLines/>
      <w:tabs>
        <w:tab w:val="left" w:pos="778"/>
      </w:tabs>
      <w:spacing w:before="156" w:beforeLines="50" w:after="156" w:afterLines="50" w:line="360" w:lineRule="auto"/>
      <w:ind w:firstLine="138" w:firstLineChars="49"/>
      <w:outlineLvl w:val="2"/>
    </w:pPr>
    <w:rPr>
      <w:rFonts w:ascii="Arial" w:hAnsi="宋体"/>
      <w:b/>
      <w:sz w:val="28"/>
    </w:rPr>
  </w:style>
  <w:style w:type="paragraph" w:styleId="7">
    <w:name w:val="heading 4"/>
    <w:basedOn w:val="1"/>
    <w:next w:val="1"/>
    <w:link w:val="530"/>
    <w:qFormat/>
    <w:uiPriority w:val="0"/>
    <w:pPr>
      <w:keepNext/>
      <w:keepLines/>
      <w:tabs>
        <w:tab w:val="left" w:pos="1198"/>
      </w:tabs>
      <w:spacing w:before="120" w:line="360" w:lineRule="auto"/>
      <w:ind w:left="1198" w:hanging="420"/>
      <w:outlineLvl w:val="3"/>
    </w:pPr>
    <w:rPr>
      <w:b/>
      <w:sz w:val="28"/>
    </w:rPr>
  </w:style>
  <w:style w:type="paragraph" w:styleId="8">
    <w:name w:val="heading 5"/>
    <w:basedOn w:val="1"/>
    <w:next w:val="9"/>
    <w:link w:val="531"/>
    <w:qFormat/>
    <w:uiPriority w:val="0"/>
    <w:pPr>
      <w:keepNext/>
      <w:keepLines/>
      <w:tabs>
        <w:tab w:val="left" w:pos="1618"/>
      </w:tabs>
      <w:spacing w:before="60" w:after="312" w:afterLines="100"/>
      <w:ind w:left="1618" w:hanging="420"/>
      <w:outlineLvl w:val="4"/>
    </w:pPr>
    <w:rPr>
      <w:b/>
    </w:rPr>
  </w:style>
  <w:style w:type="paragraph" w:styleId="10">
    <w:name w:val="heading 6"/>
    <w:basedOn w:val="1"/>
    <w:next w:val="9"/>
    <w:link w:val="525"/>
    <w:qFormat/>
    <w:uiPriority w:val="0"/>
    <w:pPr>
      <w:keepNext/>
      <w:keepLines/>
      <w:tabs>
        <w:tab w:val="left" w:pos="2038"/>
      </w:tabs>
      <w:spacing w:before="240" w:after="64" w:line="317" w:lineRule="auto"/>
      <w:ind w:left="2038" w:hanging="420"/>
      <w:outlineLvl w:val="5"/>
    </w:pPr>
    <w:rPr>
      <w:rFonts w:ascii="Arial" w:hAnsi="Arial" w:eastAsia="黑体"/>
    </w:rPr>
  </w:style>
  <w:style w:type="paragraph" w:styleId="11">
    <w:name w:val="heading 7"/>
    <w:basedOn w:val="1"/>
    <w:next w:val="1"/>
    <w:link w:val="520"/>
    <w:qFormat/>
    <w:uiPriority w:val="0"/>
    <w:pPr>
      <w:keepNext/>
      <w:keepLines/>
      <w:spacing w:before="240" w:after="64" w:line="317" w:lineRule="auto"/>
      <w:outlineLvl w:val="6"/>
    </w:pPr>
    <w:rPr>
      <w:b/>
    </w:rPr>
  </w:style>
  <w:style w:type="paragraph" w:styleId="12">
    <w:name w:val="heading 8"/>
    <w:basedOn w:val="1"/>
    <w:next w:val="1"/>
    <w:link w:val="524"/>
    <w:qFormat/>
    <w:uiPriority w:val="0"/>
    <w:pPr>
      <w:keepNext/>
      <w:keepLines/>
      <w:spacing w:before="240" w:after="64" w:line="317" w:lineRule="auto"/>
      <w:outlineLvl w:val="7"/>
    </w:pPr>
    <w:rPr>
      <w:rFonts w:ascii="Arial" w:hAnsi="Arial" w:eastAsia="黑体"/>
    </w:rPr>
  </w:style>
  <w:style w:type="paragraph" w:styleId="13">
    <w:name w:val="heading 9"/>
    <w:basedOn w:val="1"/>
    <w:next w:val="1"/>
    <w:link w:val="432"/>
    <w:qFormat/>
    <w:uiPriority w:val="0"/>
    <w:pPr>
      <w:keepNext/>
      <w:keepLines/>
      <w:spacing w:before="240" w:after="64" w:line="317" w:lineRule="auto"/>
      <w:outlineLvl w:val="8"/>
    </w:pPr>
    <w:rPr>
      <w:rFonts w:ascii="Arial" w:hAnsi="Arial" w:eastAsia="黑体"/>
      <w:sz w:val="21"/>
    </w:rPr>
  </w:style>
  <w:style w:type="character" w:default="1" w:styleId="81">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29"/>
    <w:qFormat/>
    <w:uiPriority w:val="0"/>
    <w:pPr>
      <w:spacing w:line="300" w:lineRule="auto"/>
      <w:ind w:firstLine="476"/>
    </w:pPr>
  </w:style>
  <w:style w:type="paragraph" w:styleId="3">
    <w:name w:val="Body Text"/>
    <w:basedOn w:val="1"/>
    <w:next w:val="2"/>
    <w:link w:val="463"/>
    <w:qFormat/>
    <w:uiPriority w:val="0"/>
    <w:pPr>
      <w:autoSpaceDE w:val="0"/>
      <w:autoSpaceDN w:val="0"/>
      <w:adjustRightInd w:val="0"/>
      <w:spacing w:line="480" w:lineRule="auto"/>
      <w:jc w:val="left"/>
    </w:pPr>
    <w:rPr>
      <w:rFonts w:ascii="宋体"/>
      <w:color w:val="FF0000"/>
      <w:kern w:val="0"/>
    </w:rPr>
  </w:style>
  <w:style w:type="paragraph" w:customStyle="1" w:styleId="9">
    <w:name w:val="正文缩进2"/>
    <w:basedOn w:val="1"/>
    <w:qFormat/>
    <w:uiPriority w:val="0"/>
    <w:pPr>
      <w:spacing w:before="60"/>
      <w:ind w:firstLine="476"/>
    </w:pPr>
  </w:style>
  <w:style w:type="paragraph" w:styleId="14">
    <w:name w:val="List 3"/>
    <w:basedOn w:val="1"/>
    <w:qFormat/>
    <w:uiPriority w:val="0"/>
    <w:pPr>
      <w:ind w:left="100" w:leftChars="400" w:hanging="200" w:hangingChars="200"/>
    </w:pPr>
    <w:rPr>
      <w:sz w:val="21"/>
      <w:szCs w:val="24"/>
    </w:rPr>
  </w:style>
  <w:style w:type="paragraph" w:styleId="15">
    <w:name w:val="toc 7"/>
    <w:basedOn w:val="1"/>
    <w:next w:val="1"/>
    <w:qFormat/>
    <w:uiPriority w:val="0"/>
    <w:pPr>
      <w:ind w:left="1260"/>
      <w:jc w:val="left"/>
    </w:pPr>
    <w:rPr>
      <w:sz w:val="18"/>
    </w:rPr>
  </w:style>
  <w:style w:type="paragraph" w:styleId="16">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7">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8">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9">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20">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21">
    <w:name w:val="Normal Indent"/>
    <w:basedOn w:val="1"/>
    <w:next w:val="1"/>
    <w:link w:val="497"/>
    <w:qFormat/>
    <w:uiPriority w:val="0"/>
    <w:pPr>
      <w:ind w:firstLine="420"/>
    </w:pPr>
    <w:rPr>
      <w:sz w:val="21"/>
    </w:rPr>
  </w:style>
  <w:style w:type="paragraph" w:styleId="22">
    <w:name w:val="caption"/>
    <w:basedOn w:val="1"/>
    <w:next w:val="1"/>
    <w:link w:val="528"/>
    <w:qFormat/>
    <w:uiPriority w:val="0"/>
    <w:pPr>
      <w:spacing w:before="152" w:after="160" w:line="360" w:lineRule="auto"/>
      <w:ind w:firstLine="476"/>
    </w:pPr>
    <w:rPr>
      <w:rFonts w:ascii="Arial" w:hAnsi="Arial" w:eastAsia="黑体"/>
      <w:spacing w:val="10"/>
      <w:sz w:val="20"/>
    </w:rPr>
  </w:style>
  <w:style w:type="paragraph" w:styleId="23">
    <w:name w:val="index 5"/>
    <w:basedOn w:val="1"/>
    <w:next w:val="1"/>
    <w:qFormat/>
    <w:uiPriority w:val="0"/>
    <w:pPr>
      <w:tabs>
        <w:tab w:val="left" w:pos="5760"/>
      </w:tabs>
      <w:ind w:left="1920" w:leftChars="800"/>
      <w:jc w:val="left"/>
    </w:pPr>
  </w:style>
  <w:style w:type="paragraph" w:styleId="24">
    <w:name w:val="List Bullet"/>
    <w:basedOn w:val="1"/>
    <w:qFormat/>
    <w:uiPriority w:val="0"/>
    <w:pPr>
      <w:tabs>
        <w:tab w:val="left" w:pos="748"/>
      </w:tabs>
      <w:spacing w:line="360" w:lineRule="auto"/>
      <w:ind w:left="748" w:hanging="374"/>
    </w:pPr>
    <w:rPr>
      <w:sz w:val="21"/>
    </w:rPr>
  </w:style>
  <w:style w:type="paragraph" w:styleId="25">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6">
    <w:name w:val="Document Map"/>
    <w:basedOn w:val="1"/>
    <w:link w:val="501"/>
    <w:qFormat/>
    <w:uiPriority w:val="0"/>
    <w:pPr>
      <w:shd w:val="clear" w:color="auto" w:fill="000080"/>
    </w:pPr>
    <w:rPr>
      <w:shd w:val="clear" w:color="auto" w:fill="000080"/>
    </w:rPr>
  </w:style>
  <w:style w:type="paragraph" w:styleId="2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 w:val="21"/>
    </w:rPr>
  </w:style>
  <w:style w:type="paragraph" w:styleId="28">
    <w:name w:val="annotation text"/>
    <w:basedOn w:val="1"/>
    <w:link w:val="532"/>
    <w:qFormat/>
    <w:uiPriority w:val="0"/>
    <w:pPr>
      <w:jc w:val="left"/>
    </w:pPr>
  </w:style>
  <w:style w:type="paragraph" w:styleId="29">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30">
    <w:name w:val="Body Text 3"/>
    <w:basedOn w:val="1"/>
    <w:qFormat/>
    <w:uiPriority w:val="0"/>
    <w:pPr>
      <w:spacing w:after="120"/>
    </w:pPr>
    <w:rPr>
      <w:sz w:val="16"/>
      <w:szCs w:val="16"/>
    </w:rPr>
  </w:style>
  <w:style w:type="paragraph" w:styleId="31">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2">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3">
    <w:name w:val="Body Text Indent"/>
    <w:basedOn w:val="1"/>
    <w:next w:val="34"/>
    <w:link w:val="429"/>
    <w:qFormat/>
    <w:uiPriority w:val="99"/>
    <w:pPr>
      <w:spacing w:before="120" w:after="120" w:line="360" w:lineRule="auto"/>
      <w:ind w:firstLine="525"/>
    </w:pPr>
    <w:rPr>
      <w:rFonts w:ascii="宋体"/>
    </w:rPr>
  </w:style>
  <w:style w:type="paragraph" w:styleId="34">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35">
    <w:name w:val="List Number 3"/>
    <w:basedOn w:val="1"/>
    <w:qFormat/>
    <w:uiPriority w:val="0"/>
    <w:pPr>
      <w:numPr>
        <w:ilvl w:val="0"/>
        <w:numId w:val="5"/>
      </w:numPr>
    </w:pPr>
    <w:rPr>
      <w:sz w:val="21"/>
      <w:szCs w:val="24"/>
    </w:rPr>
  </w:style>
  <w:style w:type="paragraph" w:styleId="36">
    <w:name w:val="List 2"/>
    <w:basedOn w:val="1"/>
    <w:qFormat/>
    <w:uiPriority w:val="0"/>
    <w:pPr>
      <w:ind w:left="100" w:leftChars="200" w:hanging="200" w:hangingChars="200"/>
    </w:pPr>
    <w:rPr>
      <w:sz w:val="21"/>
      <w:szCs w:val="24"/>
    </w:rPr>
  </w:style>
  <w:style w:type="paragraph" w:styleId="37">
    <w:name w:val="List Continue"/>
    <w:basedOn w:val="1"/>
    <w:qFormat/>
    <w:uiPriority w:val="0"/>
    <w:pPr>
      <w:spacing w:after="120"/>
      <w:ind w:left="420" w:leftChars="200"/>
    </w:pPr>
    <w:rPr>
      <w:sz w:val="21"/>
      <w:szCs w:val="24"/>
    </w:rPr>
  </w:style>
  <w:style w:type="paragraph" w:styleId="38">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9">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40">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1">
    <w:name w:val="toc 5"/>
    <w:basedOn w:val="1"/>
    <w:next w:val="1"/>
    <w:qFormat/>
    <w:uiPriority w:val="0"/>
    <w:pPr>
      <w:ind w:left="840"/>
      <w:jc w:val="left"/>
    </w:pPr>
    <w:rPr>
      <w:sz w:val="18"/>
    </w:rPr>
  </w:style>
  <w:style w:type="paragraph" w:styleId="42">
    <w:name w:val="toc 3"/>
    <w:basedOn w:val="1"/>
    <w:next w:val="1"/>
    <w:qFormat/>
    <w:uiPriority w:val="39"/>
    <w:pPr>
      <w:tabs>
        <w:tab w:val="left" w:pos="845"/>
        <w:tab w:val="right" w:leader="dot" w:pos="9316"/>
      </w:tabs>
      <w:ind w:left="420"/>
      <w:jc w:val="left"/>
    </w:pPr>
    <w:rPr>
      <w:sz w:val="20"/>
    </w:rPr>
  </w:style>
  <w:style w:type="paragraph" w:styleId="43">
    <w:name w:val="Plain Text"/>
    <w:basedOn w:val="1"/>
    <w:next w:val="1"/>
    <w:link w:val="454"/>
    <w:qFormat/>
    <w:uiPriority w:val="99"/>
    <w:rPr>
      <w:rFonts w:ascii="宋体" w:hAnsi="Courier New"/>
      <w:sz w:val="21"/>
    </w:rPr>
  </w:style>
  <w:style w:type="paragraph" w:styleId="44">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5">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6">
    <w:name w:val="toc 8"/>
    <w:basedOn w:val="1"/>
    <w:next w:val="1"/>
    <w:qFormat/>
    <w:uiPriority w:val="0"/>
    <w:pPr>
      <w:ind w:left="2940" w:leftChars="1400"/>
    </w:pPr>
    <w:rPr>
      <w:sz w:val="21"/>
    </w:rPr>
  </w:style>
  <w:style w:type="paragraph" w:styleId="47">
    <w:name w:val="Date"/>
    <w:basedOn w:val="1"/>
    <w:next w:val="1"/>
    <w:link w:val="517"/>
    <w:qFormat/>
    <w:uiPriority w:val="99"/>
    <w:pPr>
      <w:widowControl/>
    </w:pPr>
    <w:rPr>
      <w:rFonts w:ascii="楷体_GB2312" w:eastAsia="楷体_GB2312"/>
      <w:kern w:val="0"/>
      <w:sz w:val="32"/>
    </w:rPr>
  </w:style>
  <w:style w:type="paragraph" w:styleId="48">
    <w:name w:val="Body Text Indent 2"/>
    <w:basedOn w:val="1"/>
    <w:link w:val="526"/>
    <w:qFormat/>
    <w:uiPriority w:val="0"/>
    <w:pPr>
      <w:spacing w:line="360" w:lineRule="auto"/>
      <w:ind w:left="718" w:firstLine="480" w:firstLineChars="200"/>
    </w:pPr>
    <w:rPr>
      <w:rFonts w:ascii="Arial" w:hAnsi="Arial" w:eastAsia="LineDraw"/>
    </w:rPr>
  </w:style>
  <w:style w:type="paragraph" w:styleId="49">
    <w:name w:val="List Continue 5"/>
    <w:basedOn w:val="1"/>
    <w:qFormat/>
    <w:uiPriority w:val="0"/>
    <w:pPr>
      <w:spacing w:after="120" w:line="360" w:lineRule="auto"/>
      <w:ind w:left="2100" w:leftChars="1000" w:firstLine="200" w:firstLineChars="200"/>
      <w:jc w:val="left"/>
    </w:pPr>
    <w:rPr>
      <w:rFonts w:ascii="Arial" w:hAnsi="Arial" w:eastAsia="楷体_GB2312" w:cs="Arial"/>
      <w:sz w:val="28"/>
      <w:szCs w:val="24"/>
    </w:rPr>
  </w:style>
  <w:style w:type="paragraph" w:styleId="50">
    <w:name w:val="Balloon Text"/>
    <w:basedOn w:val="1"/>
    <w:link w:val="533"/>
    <w:qFormat/>
    <w:uiPriority w:val="99"/>
    <w:pPr>
      <w:adjustRightInd w:val="0"/>
      <w:spacing w:before="100" w:beforeAutospacing="1" w:after="100" w:afterAutospacing="1" w:line="400" w:lineRule="atLeast"/>
      <w:ind w:firstLine="454"/>
      <w:textAlignment w:val="baseline"/>
    </w:pPr>
    <w:rPr>
      <w:rFonts w:ascii="宋体"/>
      <w:color w:val="FF0000"/>
    </w:rPr>
  </w:style>
  <w:style w:type="paragraph" w:styleId="51">
    <w:name w:val="footer"/>
    <w:basedOn w:val="1"/>
    <w:link w:val="523"/>
    <w:qFormat/>
    <w:uiPriority w:val="99"/>
    <w:pPr>
      <w:tabs>
        <w:tab w:val="center" w:pos="4153"/>
        <w:tab w:val="right" w:pos="8306"/>
      </w:tabs>
      <w:snapToGrid w:val="0"/>
      <w:jc w:val="left"/>
    </w:pPr>
    <w:rPr>
      <w:sz w:val="18"/>
    </w:rPr>
  </w:style>
  <w:style w:type="paragraph" w:styleId="52">
    <w:name w:val="header"/>
    <w:basedOn w:val="1"/>
    <w:link w:val="515"/>
    <w:qFormat/>
    <w:uiPriority w:val="99"/>
    <w:pPr>
      <w:widowControl/>
      <w:pBdr>
        <w:bottom w:val="single" w:color="auto" w:sz="6" w:space="1"/>
      </w:pBdr>
      <w:tabs>
        <w:tab w:val="center" w:pos="4153"/>
        <w:tab w:val="right" w:pos="8306"/>
      </w:tabs>
      <w:snapToGrid w:val="0"/>
      <w:jc w:val="center"/>
    </w:pPr>
    <w:rPr>
      <w:kern w:val="0"/>
      <w:sz w:val="18"/>
    </w:rPr>
  </w:style>
  <w:style w:type="paragraph" w:styleId="53">
    <w:name w:val="Signature"/>
    <w:basedOn w:val="1"/>
    <w:qFormat/>
    <w:uiPriority w:val="0"/>
    <w:pPr>
      <w:ind w:left="100" w:leftChars="2100"/>
    </w:pPr>
    <w:rPr>
      <w:sz w:val="21"/>
      <w:szCs w:val="24"/>
    </w:rPr>
  </w:style>
  <w:style w:type="paragraph" w:styleId="54">
    <w:name w:val="toc 1"/>
    <w:basedOn w:val="1"/>
    <w:next w:val="1"/>
    <w:qFormat/>
    <w:uiPriority w:val="39"/>
    <w:pPr>
      <w:spacing w:before="120" w:after="120"/>
      <w:jc w:val="left"/>
    </w:pPr>
    <w:rPr>
      <w:b/>
      <w:caps/>
      <w:sz w:val="20"/>
    </w:rPr>
  </w:style>
  <w:style w:type="paragraph" w:styleId="55">
    <w:name w:val="List Continue 4"/>
    <w:basedOn w:val="1"/>
    <w:qFormat/>
    <w:uiPriority w:val="0"/>
    <w:pPr>
      <w:spacing w:after="120"/>
      <w:ind w:left="1680" w:leftChars="800"/>
    </w:pPr>
    <w:rPr>
      <w:sz w:val="21"/>
      <w:szCs w:val="24"/>
    </w:rPr>
  </w:style>
  <w:style w:type="paragraph" w:styleId="56">
    <w:name w:val="toc 4"/>
    <w:basedOn w:val="1"/>
    <w:next w:val="1"/>
    <w:qFormat/>
    <w:uiPriority w:val="39"/>
    <w:pPr>
      <w:ind w:left="630"/>
      <w:jc w:val="left"/>
    </w:pPr>
    <w:rPr>
      <w:sz w:val="18"/>
    </w:rPr>
  </w:style>
  <w:style w:type="paragraph" w:styleId="57">
    <w:name w:val="index heading"/>
    <w:basedOn w:val="1"/>
    <w:next w:val="58"/>
    <w:qFormat/>
    <w:uiPriority w:val="0"/>
    <w:pPr>
      <w:spacing w:after="120" w:line="360" w:lineRule="exact"/>
    </w:pPr>
    <w:rPr>
      <w:sz w:val="21"/>
    </w:rPr>
  </w:style>
  <w:style w:type="paragraph" w:styleId="58">
    <w:name w:val="index 1"/>
    <w:basedOn w:val="1"/>
    <w:next w:val="1"/>
    <w:qFormat/>
    <w:uiPriority w:val="0"/>
  </w:style>
  <w:style w:type="paragraph" w:styleId="59">
    <w:name w:val="Subtitle"/>
    <w:basedOn w:val="1"/>
    <w:qFormat/>
    <w:uiPriority w:val="0"/>
    <w:pPr>
      <w:adjustRightInd w:val="0"/>
      <w:spacing w:after="60" w:line="360" w:lineRule="atLeast"/>
      <w:jc w:val="center"/>
      <w:textAlignment w:val="baseline"/>
    </w:pPr>
    <w:rPr>
      <w:rFonts w:ascii="Arial" w:hAnsi="Arial" w:eastAsia="黑体"/>
      <w:i/>
      <w:kern w:val="0"/>
    </w:rPr>
  </w:style>
  <w:style w:type="paragraph" w:styleId="60">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1">
    <w:name w:val="List"/>
    <w:basedOn w:val="1"/>
    <w:qFormat/>
    <w:uiPriority w:val="0"/>
    <w:pPr>
      <w:ind w:left="200" w:hanging="200" w:hangingChars="200"/>
    </w:pPr>
    <w:rPr>
      <w:sz w:val="21"/>
      <w:szCs w:val="24"/>
    </w:rPr>
  </w:style>
  <w:style w:type="paragraph" w:styleId="62">
    <w:name w:val="footnote text"/>
    <w:basedOn w:val="1"/>
    <w:semiHidden/>
    <w:qFormat/>
    <w:uiPriority w:val="0"/>
    <w:pPr>
      <w:snapToGrid w:val="0"/>
      <w:jc w:val="left"/>
    </w:pPr>
    <w:rPr>
      <w:rFonts w:eastAsia="仿宋_GB2312"/>
      <w:sz w:val="18"/>
    </w:rPr>
  </w:style>
  <w:style w:type="paragraph" w:styleId="63">
    <w:name w:val="toc 6"/>
    <w:basedOn w:val="1"/>
    <w:next w:val="1"/>
    <w:qFormat/>
    <w:uiPriority w:val="0"/>
    <w:pPr>
      <w:ind w:left="2100" w:leftChars="1000"/>
    </w:pPr>
    <w:rPr>
      <w:sz w:val="21"/>
    </w:rPr>
  </w:style>
  <w:style w:type="paragraph" w:styleId="64">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5">
    <w:name w:val="Body Text Indent 3"/>
    <w:basedOn w:val="1"/>
    <w:link w:val="470"/>
    <w:qFormat/>
    <w:uiPriority w:val="0"/>
    <w:pPr>
      <w:spacing w:line="360" w:lineRule="auto"/>
      <w:ind w:firstLine="480"/>
    </w:pPr>
    <w:rPr>
      <w:rFonts w:ascii="Arial" w:hAnsi="Arial"/>
      <w:color w:val="FF0000"/>
    </w:rPr>
  </w:style>
  <w:style w:type="paragraph" w:styleId="66">
    <w:name w:val="table of figures"/>
    <w:basedOn w:val="1"/>
    <w:next w:val="1"/>
    <w:qFormat/>
    <w:uiPriority w:val="0"/>
    <w:pPr>
      <w:ind w:left="420" w:hanging="420"/>
      <w:jc w:val="left"/>
    </w:pPr>
    <w:rPr>
      <w:smallCaps/>
      <w:sz w:val="20"/>
    </w:rPr>
  </w:style>
  <w:style w:type="paragraph" w:styleId="67">
    <w:name w:val="toc 2"/>
    <w:basedOn w:val="1"/>
    <w:next w:val="1"/>
    <w:qFormat/>
    <w:uiPriority w:val="39"/>
    <w:pPr>
      <w:tabs>
        <w:tab w:val="left" w:pos="600"/>
        <w:tab w:val="right" w:leader="dot" w:pos="9019"/>
      </w:tabs>
      <w:ind w:left="210"/>
      <w:jc w:val="left"/>
    </w:pPr>
    <w:rPr>
      <w:smallCaps/>
      <w:sz w:val="20"/>
    </w:rPr>
  </w:style>
  <w:style w:type="paragraph" w:styleId="68">
    <w:name w:val="toc 9"/>
    <w:basedOn w:val="3"/>
    <w:next w:val="1"/>
    <w:qFormat/>
    <w:uiPriority w:val="0"/>
    <w:pPr>
      <w:autoSpaceDE/>
      <w:autoSpaceDN/>
      <w:spacing w:before="100" w:beforeAutospacing="1" w:after="100" w:afterAutospacing="1" w:line="400" w:lineRule="atLeast"/>
      <w:ind w:left="1920" w:firstLine="454"/>
      <w:textAlignment w:val="baseline"/>
    </w:pPr>
    <w:rPr>
      <w:rFonts w:ascii="Times New Roman"/>
      <w:color w:val="auto"/>
      <w:sz w:val="18"/>
    </w:rPr>
  </w:style>
  <w:style w:type="paragraph" w:styleId="69">
    <w:name w:val="Body Text 2"/>
    <w:basedOn w:val="1"/>
    <w:qFormat/>
    <w:uiPriority w:val="0"/>
    <w:pPr>
      <w:spacing w:after="120" w:line="480" w:lineRule="auto"/>
    </w:pPr>
    <w:rPr>
      <w:sz w:val="21"/>
    </w:rPr>
  </w:style>
  <w:style w:type="paragraph" w:styleId="70">
    <w:name w:val="List 4"/>
    <w:basedOn w:val="1"/>
    <w:qFormat/>
    <w:uiPriority w:val="0"/>
    <w:pPr>
      <w:ind w:left="100" w:leftChars="600" w:hanging="200" w:hangingChars="200"/>
    </w:pPr>
    <w:rPr>
      <w:sz w:val="21"/>
      <w:szCs w:val="24"/>
    </w:rPr>
  </w:style>
  <w:style w:type="paragraph" w:styleId="71">
    <w:name w:val="List Continue 2"/>
    <w:basedOn w:val="1"/>
    <w:qFormat/>
    <w:uiPriority w:val="0"/>
    <w:pPr>
      <w:spacing w:after="120"/>
      <w:ind w:left="840" w:leftChars="400"/>
    </w:pPr>
    <w:rPr>
      <w:sz w:val="21"/>
      <w:szCs w:val="24"/>
    </w:rPr>
  </w:style>
  <w:style w:type="paragraph" w:styleId="7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3">
    <w:name w:val="HTML Preformatted"/>
    <w:basedOn w:val="1"/>
    <w:link w:val="450"/>
    <w:qFormat/>
    <w:uiPriority w:val="99"/>
    <w:pPr>
      <w:spacing w:line="360" w:lineRule="auto"/>
      <w:ind w:firstLine="200" w:firstLineChars="200"/>
      <w:jc w:val="left"/>
    </w:pPr>
    <w:rPr>
      <w:rFonts w:ascii="Courier New" w:hAnsi="Courier New" w:eastAsia="楷体_GB2312"/>
      <w:sz w:val="20"/>
    </w:rPr>
  </w:style>
  <w:style w:type="paragraph" w:styleId="74">
    <w:name w:val="Normal (Web)"/>
    <w:basedOn w:val="1"/>
    <w:link w:val="508"/>
    <w:qFormat/>
    <w:uiPriority w:val="0"/>
    <w:pPr>
      <w:widowControl/>
      <w:spacing w:before="100" w:beforeAutospacing="1" w:after="100" w:afterAutospacing="1"/>
      <w:jc w:val="left"/>
    </w:pPr>
    <w:rPr>
      <w:rFonts w:ascii="宋体" w:hAnsi="宋体"/>
      <w:kern w:val="0"/>
      <w:sz w:val="22"/>
    </w:rPr>
  </w:style>
  <w:style w:type="paragraph" w:styleId="75">
    <w:name w:val="List Continue 3"/>
    <w:basedOn w:val="1"/>
    <w:qFormat/>
    <w:uiPriority w:val="0"/>
    <w:pPr>
      <w:spacing w:after="120"/>
      <w:ind w:left="1260" w:leftChars="600"/>
    </w:pPr>
    <w:rPr>
      <w:sz w:val="21"/>
      <w:szCs w:val="24"/>
    </w:rPr>
  </w:style>
  <w:style w:type="paragraph" w:styleId="76">
    <w:name w:val="Title"/>
    <w:basedOn w:val="1"/>
    <w:next w:val="1"/>
    <w:link w:val="462"/>
    <w:qFormat/>
    <w:uiPriority w:val="0"/>
    <w:pPr>
      <w:spacing w:before="240" w:after="60" w:line="360" w:lineRule="auto"/>
      <w:ind w:firstLine="200" w:firstLineChars="200"/>
      <w:jc w:val="center"/>
      <w:outlineLvl w:val="0"/>
    </w:pPr>
    <w:rPr>
      <w:rFonts w:ascii="Arial" w:hAnsi="Arial" w:eastAsia="楷体_GB2312" w:cs="Arial"/>
      <w:b/>
      <w:bCs/>
      <w:sz w:val="32"/>
      <w:szCs w:val="32"/>
    </w:rPr>
  </w:style>
  <w:style w:type="paragraph" w:styleId="77">
    <w:name w:val="annotation subject"/>
    <w:basedOn w:val="28"/>
    <w:next w:val="28"/>
    <w:qFormat/>
    <w:uiPriority w:val="0"/>
    <w:rPr>
      <w:b/>
    </w:rPr>
  </w:style>
  <w:style w:type="paragraph" w:styleId="78">
    <w:name w:val="Body Text First Indent 2"/>
    <w:basedOn w:val="33"/>
    <w:next w:val="1"/>
    <w:qFormat/>
    <w:uiPriority w:val="0"/>
    <w:pPr>
      <w:spacing w:before="0" w:line="240" w:lineRule="auto"/>
      <w:ind w:left="420" w:leftChars="200" w:firstLine="420" w:firstLineChars="200"/>
    </w:pPr>
    <w:rPr>
      <w:rFonts w:ascii="Times New Roman"/>
    </w:rPr>
  </w:style>
  <w:style w:type="table" w:styleId="80">
    <w:name w:val="Table Grid"/>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2">
    <w:name w:val="Strong"/>
    <w:qFormat/>
    <w:uiPriority w:val="0"/>
    <w:rPr>
      <w:b/>
    </w:rPr>
  </w:style>
  <w:style w:type="character" w:styleId="83">
    <w:name w:val="page number"/>
    <w:basedOn w:val="81"/>
    <w:qFormat/>
    <w:uiPriority w:val="0"/>
  </w:style>
  <w:style w:type="character" w:styleId="84">
    <w:name w:val="FollowedHyperlink"/>
    <w:qFormat/>
    <w:uiPriority w:val="0"/>
    <w:rPr>
      <w:color w:val="800080"/>
      <w:u w:val="single"/>
    </w:rPr>
  </w:style>
  <w:style w:type="character" w:styleId="85">
    <w:name w:val="Emphasis"/>
    <w:qFormat/>
    <w:uiPriority w:val="0"/>
    <w:rPr>
      <w:color w:val="CC0033"/>
    </w:rPr>
  </w:style>
  <w:style w:type="character" w:styleId="86">
    <w:name w:val="line number"/>
    <w:basedOn w:val="81"/>
    <w:qFormat/>
    <w:uiPriority w:val="0"/>
  </w:style>
  <w:style w:type="character" w:styleId="87">
    <w:name w:val="Hyperlink"/>
    <w:basedOn w:val="81"/>
    <w:qFormat/>
    <w:uiPriority w:val="99"/>
    <w:rPr>
      <w:color w:val="0000FF"/>
      <w:u w:val="single"/>
    </w:rPr>
  </w:style>
  <w:style w:type="character" w:styleId="88">
    <w:name w:val="annotation reference"/>
    <w:qFormat/>
    <w:uiPriority w:val="0"/>
    <w:rPr>
      <w:sz w:val="21"/>
    </w:rPr>
  </w:style>
  <w:style w:type="paragraph" w:customStyle="1" w:styleId="89">
    <w:name w:val="样式3"/>
    <w:basedOn w:val="43"/>
    <w:next w:val="1"/>
    <w:qFormat/>
    <w:uiPriority w:val="0"/>
    <w:pPr>
      <w:ind w:left="1980"/>
    </w:pPr>
  </w:style>
  <w:style w:type="paragraph" w:customStyle="1" w:styleId="90">
    <w:name w:val="Default"/>
    <w:next w:val="91"/>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2">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3">
    <w:name w:val="xl102"/>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94">
    <w:name w:val="样式 标题 4 + 小四"/>
    <w:basedOn w:val="7"/>
    <w:link w:val="435"/>
    <w:qFormat/>
    <w:uiPriority w:val="0"/>
    <w:pPr>
      <w:tabs>
        <w:tab w:val="left" w:pos="1919"/>
        <w:tab w:val="clear" w:pos="1198"/>
      </w:tabs>
      <w:spacing w:before="280" w:after="290" w:line="377" w:lineRule="auto"/>
      <w:ind w:left="1547" w:hanging="708"/>
      <w:jc w:val="left"/>
    </w:pPr>
    <w:rPr>
      <w:rFonts w:ascii="Arial" w:hAnsi="Arial" w:eastAsia="楷体_GB2312" w:cs="Arial"/>
      <w:bCs/>
      <w:sz w:val="24"/>
      <w:szCs w:val="28"/>
    </w:rPr>
  </w:style>
  <w:style w:type="paragraph" w:customStyle="1" w:styleId="95">
    <w:name w:val="Char Char Char1 Char Char Char Char"/>
    <w:basedOn w:val="1"/>
    <w:qFormat/>
    <w:uiPriority w:val="0"/>
    <w:rPr>
      <w:rFonts w:ascii="仿宋_GB2312" w:eastAsia="仿宋_GB2312"/>
      <w:b/>
      <w:sz w:val="32"/>
    </w:rPr>
  </w:style>
  <w:style w:type="paragraph" w:customStyle="1" w:styleId="9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rPr>
  </w:style>
  <w:style w:type="paragraph" w:customStyle="1" w:styleId="97">
    <w:name w:val="样式 行距: 1.5 倍行距 首行缩进:  2 字符"/>
    <w:basedOn w:val="1"/>
    <w:qFormat/>
    <w:uiPriority w:val="0"/>
    <w:pPr>
      <w:spacing w:line="360" w:lineRule="auto"/>
      <w:ind w:firstLine="480" w:firstLineChars="200"/>
    </w:pPr>
  </w:style>
  <w:style w:type="paragraph" w:customStyle="1" w:styleId="98">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99">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1">
    <w:name w:val="框内说明"/>
    <w:basedOn w:val="1"/>
    <w:qFormat/>
    <w:uiPriority w:val="0"/>
    <w:pPr>
      <w:adjustRightInd w:val="0"/>
      <w:snapToGrid w:val="0"/>
    </w:pPr>
    <w:rPr>
      <w:kern w:val="0"/>
      <w:sz w:val="21"/>
    </w:rPr>
  </w:style>
  <w:style w:type="paragraph" w:customStyle="1" w:styleId="102">
    <w:name w:val="正文文本 21"/>
    <w:basedOn w:val="1"/>
    <w:qFormat/>
    <w:uiPriority w:val="0"/>
    <w:pPr>
      <w:adjustRightInd w:val="0"/>
      <w:spacing w:after="60" w:line="360" w:lineRule="atLeast"/>
      <w:ind w:left="57" w:right="57"/>
      <w:jc w:val="center"/>
      <w:textAlignment w:val="baseline"/>
    </w:pPr>
    <w:rPr>
      <w:rFonts w:ascii="Arial" w:hAnsi="Arial" w:eastAsia="黑体"/>
      <w:kern w:val="0"/>
      <w:sz w:val="21"/>
    </w:rPr>
  </w:style>
  <w:style w:type="paragraph" w:customStyle="1" w:styleId="103">
    <w:name w:val="正文文字2"/>
    <w:basedOn w:val="3"/>
    <w:qFormat/>
    <w:uiPriority w:val="0"/>
    <w:pPr>
      <w:autoSpaceDE/>
      <w:autoSpaceDN/>
      <w:spacing w:after="60" w:line="360" w:lineRule="atLeast"/>
      <w:ind w:left="72" w:right="72"/>
      <w:jc w:val="center"/>
      <w:textAlignment w:val="baseline"/>
    </w:pPr>
    <w:rPr>
      <w:rFonts w:ascii="Arial" w:eastAsia="黑体"/>
      <w:color w:val="auto"/>
      <w:sz w:val="21"/>
    </w:rPr>
  </w:style>
  <w:style w:type="paragraph" w:customStyle="1" w:styleId="104">
    <w:name w:val="Char Char Char Char"/>
    <w:basedOn w:val="1"/>
    <w:qFormat/>
    <w:uiPriority w:val="0"/>
    <w:rPr>
      <w:rFonts w:ascii="仿宋_GB2312" w:eastAsia="仿宋_GB2312"/>
      <w:b/>
      <w:sz w:val="32"/>
    </w:rPr>
  </w:style>
  <w:style w:type="paragraph" w:customStyle="1" w:styleId="105">
    <w:name w:val="正文1"/>
    <w:basedOn w:val="1"/>
    <w:qFormat/>
    <w:uiPriority w:val="0"/>
    <w:pPr>
      <w:spacing w:before="60" w:after="60" w:line="360" w:lineRule="auto"/>
      <w:ind w:left="1080"/>
      <w:outlineLvl w:val="6"/>
    </w:pPr>
  </w:style>
  <w:style w:type="paragraph" w:customStyle="1" w:styleId="106">
    <w:name w:val="正文段"/>
    <w:basedOn w:val="1"/>
    <w:link w:val="426"/>
    <w:qFormat/>
    <w:uiPriority w:val="0"/>
    <w:pPr>
      <w:widowControl/>
      <w:snapToGrid w:val="0"/>
      <w:spacing w:after="156" w:afterLines="50"/>
      <w:ind w:firstLine="200" w:firstLineChars="200"/>
    </w:pPr>
    <w:rPr>
      <w:kern w:val="0"/>
    </w:rPr>
  </w:style>
  <w:style w:type="paragraph" w:customStyle="1" w:styleId="107">
    <w:name w:val="xl11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8">
    <w:name w:val="Style Heading 3h3Heading 3 - oldLevel 3 HeadH3level_3PIM 3se..."/>
    <w:basedOn w:val="6"/>
    <w:qFormat/>
    <w:uiPriority w:val="0"/>
    <w:pPr>
      <w:tabs>
        <w:tab w:val="left" w:pos="1260"/>
        <w:tab w:val="clear" w:pos="778"/>
      </w:tabs>
      <w:spacing w:before="260" w:beforeLines="0" w:after="260" w:afterLines="0" w:line="413" w:lineRule="auto"/>
      <w:ind w:left="1260"/>
    </w:pPr>
    <w:rPr>
      <w:rFonts w:ascii="Times New Roman" w:hAnsi="Times New Roman"/>
      <w:sz w:val="32"/>
    </w:rPr>
  </w:style>
  <w:style w:type="paragraph" w:customStyle="1" w:styleId="109">
    <w:name w:val="正文＋小四＋缩进2字符"/>
    <w:basedOn w:val="1"/>
    <w:qFormat/>
    <w:uiPriority w:val="0"/>
    <w:pPr>
      <w:spacing w:line="360" w:lineRule="auto"/>
      <w:ind w:firstLine="200" w:firstLineChars="200"/>
    </w:pPr>
  </w:style>
  <w:style w:type="paragraph" w:customStyle="1" w:styleId="110">
    <w:name w:val="普通(网站)1"/>
    <w:basedOn w:val="1"/>
    <w:next w:val="1"/>
    <w:qFormat/>
    <w:uiPriority w:val="0"/>
    <w:pPr>
      <w:widowControl/>
      <w:spacing w:before="100" w:after="100"/>
      <w:jc w:val="left"/>
    </w:pPr>
    <w:rPr>
      <w:rFonts w:ascii="宋体"/>
      <w:color w:val="000000"/>
      <w:kern w:val="0"/>
      <w:sz w:val="22"/>
    </w:rPr>
  </w:style>
  <w:style w:type="paragraph" w:customStyle="1" w:styleId="111">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2">
    <w:name w:val="列表编号 21"/>
    <w:basedOn w:val="1"/>
    <w:next w:val="1"/>
    <w:qFormat/>
    <w:uiPriority w:val="0"/>
    <w:pPr>
      <w:widowControl/>
      <w:tabs>
        <w:tab w:val="left" w:pos="420"/>
        <w:tab w:val="left" w:pos="1697"/>
      </w:tabs>
      <w:spacing w:after="50"/>
      <w:ind w:left="1697" w:hanging="420"/>
      <w:jc w:val="left"/>
    </w:pPr>
    <w:rPr>
      <w:color w:val="000000"/>
      <w:kern w:val="0"/>
    </w:rPr>
  </w:style>
  <w:style w:type="paragraph" w:customStyle="1" w:styleId="113">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4">
    <w:name w:val="章节标题2"/>
    <w:basedOn w:val="1"/>
    <w:next w:val="115"/>
    <w:qFormat/>
    <w:uiPriority w:val="0"/>
    <w:pPr>
      <w:keepNext/>
      <w:keepLines/>
      <w:numPr>
        <w:ilvl w:val="1"/>
        <w:numId w:val="3"/>
      </w:numPr>
      <w:spacing w:before="260" w:after="260" w:line="415" w:lineRule="auto"/>
      <w:outlineLvl w:val="1"/>
    </w:pPr>
    <w:rPr>
      <w:b/>
      <w:bCs/>
      <w:sz w:val="32"/>
      <w:szCs w:val="32"/>
    </w:rPr>
  </w:style>
  <w:style w:type="paragraph" w:customStyle="1" w:styleId="115">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6">
    <w:name w:val="xl11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7">
    <w:name w:val="样式 列表编号 + 段后: 0.5 行"/>
    <w:basedOn w:val="20"/>
    <w:qFormat/>
    <w:uiPriority w:val="99"/>
    <w:pPr>
      <w:tabs>
        <w:tab w:val="left" w:pos="720"/>
      </w:tabs>
      <w:ind w:left="720"/>
    </w:pPr>
  </w:style>
  <w:style w:type="paragraph" w:customStyle="1" w:styleId="118">
    <w:name w:val="xl81"/>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119">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xl106"/>
    <w:basedOn w:val="1"/>
    <w:qFormat/>
    <w:uiPriority w:val="0"/>
    <w:pPr>
      <w:widowControl/>
      <w:spacing w:before="100" w:beforeAutospacing="1" w:after="100" w:afterAutospacing="1"/>
      <w:jc w:val="center"/>
    </w:pPr>
    <w:rPr>
      <w:rFonts w:ascii="Arial" w:hAnsi="Arial" w:cs="Arial"/>
      <w:color w:val="000000"/>
      <w:kern w:val="0"/>
      <w:szCs w:val="24"/>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3">
    <w:name w:val="Char2"/>
    <w:basedOn w:val="1"/>
    <w:qFormat/>
    <w:uiPriority w:val="0"/>
    <w:rPr>
      <w:rFonts w:ascii="仿宋_GB2312" w:eastAsia="仿宋_GB2312"/>
      <w:b/>
      <w:sz w:val="32"/>
    </w:rPr>
  </w:style>
  <w:style w:type="paragraph" w:customStyle="1" w:styleId="124">
    <w:name w:val="xl100"/>
    <w:basedOn w:val="1"/>
    <w:qFormat/>
    <w:uiPriority w:val="0"/>
    <w:pPr>
      <w:widowControl/>
      <w:shd w:val="clear" w:color="auto" w:fill="99CCFF"/>
      <w:spacing w:before="100" w:beforeAutospacing="1" w:after="100" w:afterAutospacing="1"/>
      <w:jc w:val="left"/>
    </w:pPr>
    <w:rPr>
      <w:rFonts w:ascii="Arial" w:hAnsi="Arial" w:cs="Arial"/>
      <w:b/>
      <w:bCs/>
      <w:color w:val="000000"/>
      <w:kern w:val="0"/>
      <w:szCs w:val="24"/>
    </w:rPr>
  </w:style>
  <w:style w:type="paragraph" w:customStyle="1" w:styleId="125">
    <w:name w:val="列出段落1"/>
    <w:basedOn w:val="1"/>
    <w:qFormat/>
    <w:uiPriority w:val="0"/>
    <w:pPr>
      <w:ind w:firstLine="420" w:firstLineChars="200"/>
    </w:pPr>
    <w:rPr>
      <w:rFonts w:ascii="Calibri" w:hAnsi="Calibri"/>
      <w:sz w:val="21"/>
      <w:szCs w:val="22"/>
    </w:rPr>
  </w:style>
  <w:style w:type="paragraph" w:customStyle="1" w:styleId="12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7">
    <w:name w:val="表格"/>
    <w:basedOn w:val="1"/>
    <w:qFormat/>
    <w:uiPriority w:val="0"/>
    <w:pPr>
      <w:jc w:val="left"/>
    </w:pPr>
    <w:rPr>
      <w:sz w:val="18"/>
    </w:rPr>
  </w:style>
  <w:style w:type="paragraph" w:customStyle="1" w:styleId="128">
    <w:name w:val="彩色列表 - 强调文字颜色 11"/>
    <w:basedOn w:val="1"/>
    <w:qFormat/>
    <w:uiPriority w:val="0"/>
    <w:pPr>
      <w:ind w:firstLine="200" w:firstLineChars="200"/>
    </w:pPr>
    <w:rPr>
      <w:sz w:val="21"/>
      <w:szCs w:val="24"/>
    </w:rPr>
  </w:style>
  <w:style w:type="paragraph" w:customStyle="1" w:styleId="129">
    <w:name w:val="Unknown Style"/>
    <w:basedOn w:val="1"/>
    <w:next w:val="1"/>
    <w:qFormat/>
    <w:uiPriority w:val="0"/>
    <w:pPr>
      <w:widowControl/>
    </w:pPr>
    <w:rPr>
      <w:color w:val="000000"/>
      <w:sz w:val="21"/>
    </w:rPr>
  </w:style>
  <w:style w:type="paragraph" w:customStyle="1" w:styleId="13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1">
    <w:name w:val="项目2"/>
    <w:basedOn w:val="1"/>
    <w:qFormat/>
    <w:uiPriority w:val="0"/>
    <w:pPr>
      <w:tabs>
        <w:tab w:val="left" w:pos="840"/>
      </w:tabs>
      <w:spacing w:line="360" w:lineRule="auto"/>
      <w:ind w:left="840" w:hanging="420"/>
    </w:pPr>
  </w:style>
  <w:style w:type="paragraph" w:customStyle="1" w:styleId="132">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_Style 129"/>
    <w:semiHidden/>
    <w:qFormat/>
    <w:uiPriority w:val="99"/>
    <w:rPr>
      <w:rFonts w:ascii="Times New Roman" w:hAnsi="Times New Roman" w:eastAsia="宋体" w:cs="Times New Roman"/>
      <w:kern w:val="2"/>
      <w:sz w:val="24"/>
      <w:lang w:val="en-US" w:eastAsia="zh-CN" w:bidi="ar-SA"/>
    </w:rPr>
  </w:style>
  <w:style w:type="paragraph" w:customStyle="1" w:styleId="134">
    <w:name w:val="样式 标题 2"/>
    <w:basedOn w:val="5"/>
    <w:next w:val="1"/>
    <w:qFormat/>
    <w:uiPriority w:val="0"/>
    <w:pPr>
      <w:keepLines w:val="0"/>
      <w:tabs>
        <w:tab w:val="clear" w:pos="358"/>
      </w:tabs>
      <w:spacing w:before="0" w:after="156" w:afterLines="50" w:line="480" w:lineRule="auto"/>
      <w:ind w:left="0" w:firstLine="0"/>
    </w:pPr>
    <w:rPr>
      <w:rFonts w:ascii="仿宋_GB2312" w:hAnsi="仿宋_GB2312" w:eastAsia="仿宋_GB2312" w:cs="Arial"/>
      <w:szCs w:val="24"/>
    </w:rPr>
  </w:style>
  <w:style w:type="paragraph" w:customStyle="1" w:styleId="135">
    <w:name w:val="xl90"/>
    <w:basedOn w:val="1"/>
    <w:qFormat/>
    <w:uiPriority w:val="0"/>
    <w:pPr>
      <w:widowControl/>
      <w:spacing w:before="100" w:beforeAutospacing="1" w:after="100" w:afterAutospacing="1"/>
      <w:jc w:val="center"/>
    </w:pPr>
    <w:rPr>
      <w:rFonts w:ascii="幼圆" w:hAnsi="宋体" w:eastAsia="幼圆" w:cs="宋体"/>
      <w:color w:val="000000"/>
      <w:kern w:val="0"/>
      <w:szCs w:val="24"/>
    </w:rPr>
  </w:style>
  <w:style w:type="paragraph" w:customStyle="1" w:styleId="136">
    <w:name w:val="xl83"/>
    <w:basedOn w:val="1"/>
    <w:qFormat/>
    <w:uiPriority w:val="0"/>
    <w:pPr>
      <w:widowControl/>
      <w:shd w:val="clear" w:color="auto" w:fill="CCFFCC"/>
      <w:spacing w:before="100" w:beforeAutospacing="1" w:after="100" w:afterAutospacing="1"/>
      <w:jc w:val="center"/>
    </w:pPr>
    <w:rPr>
      <w:rFonts w:ascii="Arial" w:hAnsi="Arial" w:cs="Arial"/>
      <w:color w:val="000000"/>
      <w:kern w:val="0"/>
      <w:szCs w:val="24"/>
    </w:rPr>
  </w:style>
  <w:style w:type="paragraph" w:customStyle="1" w:styleId="137">
    <w:name w:val="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38">
    <w:name w:val="列表项目符号 21"/>
    <w:basedOn w:val="1"/>
    <w:next w:val="1"/>
    <w:qFormat/>
    <w:uiPriority w:val="0"/>
    <w:pPr>
      <w:widowControl/>
      <w:tabs>
        <w:tab w:val="left" w:pos="420"/>
      </w:tabs>
      <w:ind w:left="420" w:hanging="420"/>
    </w:pPr>
    <w:rPr>
      <w:color w:val="000000"/>
      <w:sz w:val="21"/>
    </w:rPr>
  </w:style>
  <w:style w:type="paragraph" w:customStyle="1" w:styleId="139">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b/>
      <w:color w:val="000000"/>
      <w:kern w:val="0"/>
      <w:sz w:val="20"/>
    </w:rPr>
  </w:style>
  <w:style w:type="paragraph" w:customStyle="1" w:styleId="140">
    <w:name w:val="正文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1">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2">
    <w:name w:val="标准小四"/>
    <w:basedOn w:val="1"/>
    <w:qFormat/>
    <w:uiPriority w:val="0"/>
    <w:pPr>
      <w:spacing w:line="360" w:lineRule="auto"/>
      <w:ind w:firstLine="480" w:firstLineChars="200"/>
    </w:pPr>
    <w:rPr>
      <w:rFonts w:ascii="Arial" w:hAnsi="Arial"/>
      <w:szCs w:val="21"/>
    </w:rPr>
  </w:style>
  <w:style w:type="paragraph" w:customStyle="1" w:styleId="143">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4">
    <w:name w:val="文章标题 2"/>
    <w:basedOn w:val="5"/>
    <w:next w:val="1"/>
    <w:qFormat/>
    <w:uiPriority w:val="0"/>
    <w:pPr>
      <w:spacing w:before="260" w:after="260" w:line="413" w:lineRule="auto"/>
      <w:ind w:left="0" w:firstLine="0"/>
    </w:pPr>
    <w:rPr>
      <w:rFonts w:ascii="黑体" w:hAnsi="Arial" w:eastAsia="黑体"/>
      <w:b w:val="0"/>
    </w:rPr>
  </w:style>
  <w:style w:type="paragraph" w:customStyle="1" w:styleId="145">
    <w:name w:val="xl7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46">
    <w:name w:val="样式2"/>
    <w:basedOn w:val="4"/>
    <w:link w:val="443"/>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7">
    <w:name w:val="flType"/>
    <w:basedOn w:val="1"/>
    <w:qFormat/>
    <w:uiPriority w:val="0"/>
    <w:pPr>
      <w:adjustRightInd w:val="0"/>
      <w:spacing w:before="560" w:after="120" w:line="360" w:lineRule="auto"/>
      <w:jc w:val="center"/>
      <w:textAlignment w:val="baseline"/>
    </w:pPr>
    <w:rPr>
      <w:rFonts w:ascii="Arial" w:eastAsia="黑体"/>
      <w:kern w:val="0"/>
      <w:sz w:val="28"/>
    </w:rPr>
  </w:style>
  <w:style w:type="paragraph" w:customStyle="1" w:styleId="148">
    <w:name w:val="正文文本样式"/>
    <w:link w:val="522"/>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49">
    <w:name w:val="xl33"/>
    <w:basedOn w:val="1"/>
    <w:qFormat/>
    <w:uiPriority w:val="0"/>
    <w:pPr>
      <w:widowControl/>
      <w:spacing w:before="100" w:beforeAutospacing="1" w:after="100" w:afterAutospacing="1"/>
      <w:jc w:val="left"/>
    </w:pPr>
    <w:rPr>
      <w:rFonts w:ascii="宋体" w:hAnsi="宋体"/>
      <w:kern w:val="0"/>
      <w:szCs w:val="24"/>
    </w:rPr>
  </w:style>
  <w:style w:type="paragraph" w:customStyle="1" w:styleId="150">
    <w:name w:val="标题4——4"/>
    <w:basedOn w:val="7"/>
    <w:next w:val="1"/>
    <w:qFormat/>
    <w:uiPriority w:val="0"/>
    <w:pPr>
      <w:tabs>
        <w:tab w:val="clear" w:pos="1198"/>
      </w:tabs>
      <w:spacing w:beforeLines="50"/>
      <w:ind w:left="0" w:right="2" w:firstLine="0"/>
    </w:pPr>
    <w:rPr>
      <w:rFonts w:ascii="Arial" w:hAnsi="Arial" w:eastAsia="楷体_GB2312"/>
      <w:b w:val="0"/>
      <w:szCs w:val="30"/>
    </w:rPr>
  </w:style>
  <w:style w:type="paragraph" w:customStyle="1" w:styleId="151">
    <w:name w:val="标题6"/>
    <w:basedOn w:val="1"/>
    <w:next w:val="4"/>
    <w:qFormat/>
    <w:uiPriority w:val="0"/>
    <w:pPr>
      <w:widowControl/>
      <w:snapToGrid w:val="0"/>
      <w:spacing w:before="156" w:beforeLines="50" w:after="156" w:afterLines="50" w:line="520" w:lineRule="atLeast"/>
      <w:ind w:firstLine="200" w:firstLineChars="200"/>
    </w:pPr>
  </w:style>
  <w:style w:type="paragraph" w:customStyle="1" w:styleId="152">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b/>
      <w:color w:val="000000"/>
      <w:kern w:val="0"/>
      <w:sz w:val="20"/>
    </w:rPr>
  </w:style>
  <w:style w:type="paragraph" w:customStyle="1" w:styleId="153">
    <w:name w:val="此正文"/>
    <w:basedOn w:val="1"/>
    <w:next w:val="1"/>
    <w:qFormat/>
    <w:uiPriority w:val="0"/>
    <w:pPr>
      <w:widowControl/>
      <w:spacing w:line="360" w:lineRule="auto"/>
      <w:ind w:firstLine="480"/>
    </w:pPr>
    <w:rPr>
      <w:color w:val="000000"/>
    </w:rPr>
  </w:style>
  <w:style w:type="paragraph" w:customStyle="1" w:styleId="154">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5">
    <w:name w:val="标题 2-2"/>
    <w:basedOn w:val="5"/>
    <w:qFormat/>
    <w:uiPriority w:val="0"/>
    <w:pPr>
      <w:snapToGrid w:val="0"/>
      <w:spacing w:after="156" w:afterLines="50"/>
    </w:pPr>
    <w:rPr>
      <w:rFonts w:ascii="仿宋_GB2312" w:eastAsia="仿宋_GB2312" w:cs="宋体"/>
      <w:i/>
    </w:rPr>
  </w:style>
  <w:style w:type="paragraph" w:customStyle="1" w:styleId="156">
    <w:name w:val="font5"/>
    <w:basedOn w:val="1"/>
    <w:qFormat/>
    <w:uiPriority w:val="0"/>
    <w:pPr>
      <w:widowControl/>
      <w:adjustRightInd w:val="0"/>
      <w:spacing w:before="100" w:after="100"/>
      <w:jc w:val="left"/>
      <w:textAlignment w:val="baseline"/>
    </w:pPr>
    <w:rPr>
      <w:rFonts w:ascii="宋体" w:hAnsi="宋体"/>
      <w:color w:val="000000"/>
      <w:kern w:val="0"/>
      <w:sz w:val="21"/>
    </w:rPr>
  </w:style>
  <w:style w:type="paragraph" w:customStyle="1" w:styleId="157">
    <w:name w:val="IBM 正文"/>
    <w:basedOn w:val="1"/>
    <w:qFormat/>
    <w:uiPriority w:val="0"/>
    <w:pPr>
      <w:spacing w:line="400" w:lineRule="exact"/>
    </w:pPr>
    <w:rPr>
      <w:spacing w:val="20"/>
    </w:rPr>
  </w:style>
  <w:style w:type="paragraph" w:customStyle="1" w:styleId="158">
    <w:name w:val="xl80"/>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15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0">
    <w:name w:val="xl78"/>
    <w:basedOn w:val="1"/>
    <w:qFormat/>
    <w:uiPriority w:val="0"/>
    <w:pPr>
      <w:widowControl/>
      <w:shd w:val="clear" w:color="auto" w:fill="99CCFF"/>
      <w:spacing w:before="100" w:beforeAutospacing="1" w:after="100" w:afterAutospacing="1"/>
      <w:jc w:val="center"/>
    </w:pPr>
    <w:rPr>
      <w:rFonts w:ascii="Arial" w:hAnsi="Arial" w:cs="Arial"/>
      <w:color w:val="000000"/>
      <w:kern w:val="0"/>
      <w:szCs w:val="24"/>
    </w:rPr>
  </w:style>
  <w:style w:type="paragraph" w:customStyle="1" w:styleId="161">
    <w:name w:val="标准正文"/>
    <w:basedOn w:val="1"/>
    <w:next w:val="1"/>
    <w:qFormat/>
    <w:uiPriority w:val="0"/>
    <w:pPr>
      <w:widowControl/>
      <w:spacing w:after="50"/>
      <w:ind w:firstLine="200"/>
    </w:pPr>
    <w:rPr>
      <w:color w:val="000000"/>
    </w:rPr>
  </w:style>
  <w:style w:type="paragraph" w:customStyle="1" w:styleId="162">
    <w:name w:val="超链接1"/>
    <w:basedOn w:val="1"/>
    <w:next w:val="1"/>
    <w:qFormat/>
    <w:uiPriority w:val="0"/>
    <w:pPr>
      <w:widowControl/>
    </w:pPr>
    <w:rPr>
      <w:color w:val="0000FF"/>
      <w:sz w:val="21"/>
      <w:u w:val="single" w:color="000000"/>
    </w:rPr>
  </w:style>
  <w:style w:type="paragraph" w:customStyle="1" w:styleId="16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font23"/>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5">
    <w:name w:val="正文11"/>
    <w:basedOn w:val="1"/>
    <w:qFormat/>
    <w:uiPriority w:val="0"/>
    <w:pPr>
      <w:adjustRightInd w:val="0"/>
      <w:spacing w:before="80" w:after="80" w:line="312" w:lineRule="atLeast"/>
      <w:ind w:firstLine="425"/>
    </w:pPr>
    <w:rPr>
      <w:kern w:val="0"/>
      <w:sz w:val="21"/>
    </w:rPr>
  </w:style>
  <w:style w:type="paragraph" w:customStyle="1" w:styleId="166">
    <w:name w:val="默认段落字体 Para Char Char Char Char Char Char Char Char Char1 Char Char Char Char"/>
    <w:basedOn w:val="1"/>
    <w:qFormat/>
    <w:uiPriority w:val="0"/>
    <w:rPr>
      <w:rFonts w:ascii="Tahoma" w:hAnsi="Tahoma"/>
    </w:rPr>
  </w:style>
  <w:style w:type="paragraph" w:customStyle="1" w:styleId="16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8">
    <w:name w:val="普通表格2"/>
    <w:basedOn w:val="1"/>
    <w:next w:val="1"/>
    <w:qFormat/>
    <w:uiPriority w:val="0"/>
    <w:pPr>
      <w:widowControl/>
      <w:jc w:val="left"/>
    </w:pPr>
    <w:rPr>
      <w:color w:val="000000"/>
      <w:kern w:val="0"/>
    </w:rPr>
  </w:style>
  <w:style w:type="paragraph" w:customStyle="1" w:styleId="169">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70">
    <w:name w:val="WPSOffice手动目录 1"/>
    <w:qFormat/>
    <w:uiPriority w:val="0"/>
    <w:rPr>
      <w:rFonts w:ascii="Times New Roman" w:hAnsi="Times New Roman" w:eastAsia="宋体" w:cs="Times New Roman"/>
      <w:lang w:val="en-US" w:eastAsia="zh-CN" w:bidi="ar-SA"/>
    </w:rPr>
  </w:style>
  <w:style w:type="paragraph" w:customStyle="1" w:styleId="171">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3">
    <w:name w:val="font18"/>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4">
    <w:name w:val="文字缩进 2"/>
    <w:basedOn w:val="3"/>
    <w:qFormat/>
    <w:uiPriority w:val="0"/>
    <w:pPr>
      <w:autoSpaceDE/>
      <w:autoSpaceDN/>
      <w:spacing w:before="100" w:beforeAutospacing="1" w:after="100" w:afterAutospacing="1" w:line="400" w:lineRule="atLeast"/>
      <w:ind w:left="851"/>
      <w:jc w:val="both"/>
      <w:textAlignment w:val="baseline"/>
    </w:pPr>
    <w:rPr>
      <w:rFonts w:ascii="Times New Roman"/>
      <w:color w:val="auto"/>
    </w:rPr>
  </w:style>
  <w:style w:type="paragraph" w:customStyle="1" w:styleId="175">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6">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7">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78">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79">
    <w:name w:val="投标文件3"/>
    <w:basedOn w:val="1"/>
    <w:qFormat/>
    <w:uiPriority w:val="0"/>
    <w:pPr>
      <w:widowControl/>
      <w:spacing w:line="360" w:lineRule="auto"/>
    </w:pPr>
    <w:rPr>
      <w:rFonts w:ascii="宋体" w:hAnsi="Courier New" w:eastAsia="黑体"/>
      <w:b/>
      <w:sz w:val="30"/>
    </w:rPr>
  </w:style>
  <w:style w:type="paragraph" w:customStyle="1" w:styleId="180">
    <w:name w:val="Char Char Char Char Char Char Char Char Char Char"/>
    <w:basedOn w:val="26"/>
    <w:qFormat/>
    <w:uiPriority w:val="0"/>
    <w:rPr>
      <w:rFonts w:ascii="Tahoma" w:hAnsi="Tahoma"/>
    </w:rPr>
  </w:style>
  <w:style w:type="paragraph" w:customStyle="1" w:styleId="181">
    <w:name w:val="xl112"/>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82">
    <w:name w:val="xl99"/>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183">
    <w:name w:val="_Style 179"/>
    <w:basedOn w:val="4"/>
    <w:next w:val="1"/>
    <w:qFormat/>
    <w:uiPriority w:val="0"/>
    <w:pPr>
      <w:keepNext/>
      <w:keepLines/>
      <w:pageBreakBefore w:val="0"/>
      <w:tabs>
        <w:tab w:val="clear" w:pos="478"/>
      </w:tabs>
      <w:autoSpaceDE/>
      <w:autoSpaceDN/>
      <w:spacing w:before="480" w:after="0" w:line="276" w:lineRule="auto"/>
      <w:ind w:left="0" w:firstLine="0"/>
      <w:jc w:val="left"/>
      <w:outlineLvl w:val="9"/>
    </w:pPr>
    <w:rPr>
      <w:rFonts w:ascii="Cambria" w:hAnsi="Cambria"/>
      <w:b/>
      <w:bCs/>
      <w:color w:val="365F91"/>
      <w:sz w:val="28"/>
      <w:szCs w:val="28"/>
    </w:rPr>
  </w:style>
  <w:style w:type="paragraph" w:customStyle="1" w:styleId="184">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5">
    <w:name w:val="2 Char Char Char Char Char Char Char"/>
    <w:basedOn w:val="1"/>
    <w:qFormat/>
    <w:uiPriority w:val="0"/>
    <w:rPr>
      <w:rFonts w:ascii="Tahoma" w:hAnsi="Tahoma"/>
    </w:rPr>
  </w:style>
  <w:style w:type="paragraph" w:customStyle="1" w:styleId="186">
    <w:name w:val="--规划正文"/>
    <w:basedOn w:val="1"/>
    <w:qFormat/>
    <w:uiPriority w:val="0"/>
    <w:pPr>
      <w:spacing w:line="360" w:lineRule="auto"/>
      <w:ind w:firstLine="200" w:firstLineChars="200"/>
    </w:pPr>
    <w:rPr>
      <w:sz w:val="21"/>
    </w:rPr>
  </w:style>
  <w:style w:type="paragraph" w:customStyle="1" w:styleId="18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方点"/>
    <w:basedOn w:val="1"/>
    <w:qFormat/>
    <w:uiPriority w:val="0"/>
    <w:pPr>
      <w:spacing w:before="156" w:beforeLines="50"/>
    </w:pPr>
    <w:rPr>
      <w:b/>
      <w:bCs/>
    </w:rPr>
  </w:style>
  <w:style w:type="paragraph" w:customStyle="1" w:styleId="189">
    <w:name w:val="xl91"/>
    <w:basedOn w:val="1"/>
    <w:qFormat/>
    <w:uiPriority w:val="0"/>
    <w:pPr>
      <w:widowControl/>
      <w:spacing w:before="100" w:beforeAutospacing="1" w:after="100" w:afterAutospacing="1"/>
      <w:jc w:val="center"/>
    </w:pPr>
    <w:rPr>
      <w:rFonts w:ascii="Arial" w:hAnsi="Arial" w:cs="Arial"/>
      <w:kern w:val="0"/>
      <w:szCs w:val="24"/>
    </w:rPr>
  </w:style>
  <w:style w:type="paragraph" w:customStyle="1" w:styleId="190">
    <w:name w:val="抬头"/>
    <w:basedOn w:val="1"/>
    <w:qFormat/>
    <w:uiPriority w:val="0"/>
    <w:pPr>
      <w:widowControl/>
      <w:topLinePunct/>
      <w:ind w:firstLine="600" w:firstLineChars="200"/>
      <w:jc w:val="center"/>
    </w:pPr>
    <w:rPr>
      <w:kern w:val="0"/>
      <w:sz w:val="30"/>
      <w:szCs w:val="30"/>
    </w:rPr>
  </w:style>
  <w:style w:type="paragraph" w:customStyle="1" w:styleId="191">
    <w:name w:val="desp"/>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2">
    <w:name w:val="默认段落字体 Para Char Char Char Char"/>
    <w:basedOn w:val="1"/>
    <w:qFormat/>
    <w:uiPriority w:val="0"/>
    <w:pPr>
      <w:spacing w:line="240" w:lineRule="atLeast"/>
      <w:ind w:left="420" w:firstLine="420"/>
    </w:pPr>
    <w:rPr>
      <w:kern w:val="0"/>
      <w:sz w:val="21"/>
      <w:szCs w:val="21"/>
    </w:rPr>
  </w:style>
  <w:style w:type="paragraph" w:customStyle="1" w:styleId="193">
    <w:name w:val="五级条标题"/>
    <w:basedOn w:val="194"/>
    <w:next w:val="120"/>
    <w:qFormat/>
    <w:uiPriority w:val="0"/>
    <w:pPr>
      <w:numPr>
        <w:ilvl w:val="6"/>
      </w:numPr>
      <w:outlineLvl w:val="6"/>
    </w:pPr>
  </w:style>
  <w:style w:type="paragraph" w:customStyle="1" w:styleId="194">
    <w:name w:val="四级条标题"/>
    <w:basedOn w:val="195"/>
    <w:next w:val="120"/>
    <w:qFormat/>
    <w:uiPriority w:val="0"/>
    <w:pPr>
      <w:numPr>
        <w:ilvl w:val="5"/>
      </w:numPr>
      <w:outlineLvl w:val="5"/>
    </w:pPr>
  </w:style>
  <w:style w:type="paragraph" w:customStyle="1" w:styleId="195">
    <w:name w:val="三级条标题"/>
    <w:basedOn w:val="196"/>
    <w:next w:val="120"/>
    <w:qFormat/>
    <w:uiPriority w:val="0"/>
    <w:pPr>
      <w:numPr>
        <w:ilvl w:val="4"/>
      </w:numPr>
      <w:outlineLvl w:val="4"/>
    </w:pPr>
  </w:style>
  <w:style w:type="paragraph" w:customStyle="1" w:styleId="196">
    <w:name w:val="二级条标题"/>
    <w:basedOn w:val="197"/>
    <w:next w:val="120"/>
    <w:qFormat/>
    <w:uiPriority w:val="0"/>
    <w:pPr>
      <w:numPr>
        <w:ilvl w:val="3"/>
      </w:numPr>
      <w:outlineLvl w:val="3"/>
    </w:pPr>
  </w:style>
  <w:style w:type="paragraph" w:customStyle="1" w:styleId="197">
    <w:name w:val="一级条标题"/>
    <w:next w:val="120"/>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1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99">
    <w:name w:val="标题3定义"/>
    <w:basedOn w:val="1"/>
    <w:qFormat/>
    <w:uiPriority w:val="0"/>
    <w:pPr>
      <w:tabs>
        <w:tab w:val="left" w:pos="360"/>
      </w:tabs>
      <w:ind w:left="360" w:hanging="360"/>
    </w:pPr>
    <w:rPr>
      <w:rFonts w:ascii="Calibri" w:hAnsi="Calibri"/>
      <w:sz w:val="21"/>
      <w:szCs w:val="22"/>
    </w:rPr>
  </w:style>
  <w:style w:type="paragraph" w:customStyle="1" w:styleId="200">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1">
    <w:name w:val="样式 标题 2 + 宋体 小四 段前: 5 磅 段后: 5 磅 行距: 单倍行距"/>
    <w:basedOn w:val="5"/>
    <w:qFormat/>
    <w:uiPriority w:val="0"/>
    <w:pPr>
      <w:tabs>
        <w:tab w:val="left" w:pos="720"/>
        <w:tab w:val="clear" w:pos="358"/>
      </w:tabs>
      <w:adjustRightInd w:val="0"/>
      <w:spacing w:before="100" w:beforeAutospacing="1" w:after="100" w:afterAutospacing="1" w:line="240" w:lineRule="auto"/>
      <w:ind w:left="0" w:firstLine="0"/>
      <w:jc w:val="left"/>
      <w:textAlignment w:val="baseline"/>
    </w:pPr>
    <w:rPr>
      <w:rFonts w:ascii="宋体" w:hAnsi="宋体"/>
      <w:b w:val="0"/>
      <w:kern w:val="0"/>
      <w:sz w:val="28"/>
    </w:rPr>
  </w:style>
  <w:style w:type="paragraph" w:customStyle="1" w:styleId="202">
    <w:name w:val="正文文本 22"/>
    <w:basedOn w:val="1"/>
    <w:qFormat/>
    <w:uiPriority w:val="0"/>
    <w:pPr>
      <w:adjustRightInd w:val="0"/>
      <w:spacing w:line="300" w:lineRule="auto"/>
      <w:jc w:val="center"/>
    </w:pPr>
    <w:rPr>
      <w:rFonts w:hint="eastAsia" w:ascii="宋体" w:hAnsi="宋体"/>
    </w:rPr>
  </w:style>
  <w:style w:type="paragraph" w:customStyle="1" w:styleId="203">
    <w:name w:val="List Paragraph2"/>
    <w:basedOn w:val="1"/>
    <w:qFormat/>
    <w:uiPriority w:val="0"/>
    <w:pPr>
      <w:ind w:firstLine="420" w:firstLineChars="200"/>
    </w:pPr>
    <w:rPr>
      <w:rFonts w:ascii="Calibri" w:hAnsi="Calibri"/>
      <w:sz w:val="21"/>
      <w:szCs w:val="22"/>
    </w:rPr>
  </w:style>
  <w:style w:type="paragraph" w:customStyle="1" w:styleId="204">
    <w:name w:val="xl109"/>
    <w:basedOn w:val="1"/>
    <w:qFormat/>
    <w:uiPriority w:val="0"/>
    <w:pPr>
      <w:widowControl/>
      <w:spacing w:before="100" w:beforeAutospacing="1" w:after="100" w:afterAutospacing="1"/>
      <w:jc w:val="center"/>
    </w:pPr>
    <w:rPr>
      <w:rFonts w:ascii="幼圆" w:hAnsi="宋体" w:eastAsia="幼圆" w:cs="宋体"/>
      <w:color w:val="000000"/>
      <w:kern w:val="0"/>
      <w:szCs w:val="24"/>
    </w:rPr>
  </w:style>
  <w:style w:type="paragraph" w:customStyle="1" w:styleId="205">
    <w:name w:val="xl79"/>
    <w:basedOn w:val="1"/>
    <w:qFormat/>
    <w:uiPriority w:val="0"/>
    <w:pPr>
      <w:widowControl/>
      <w:shd w:val="clear" w:color="auto" w:fill="CCFFCC"/>
      <w:spacing w:before="100" w:beforeAutospacing="1" w:after="100" w:afterAutospacing="1"/>
      <w:jc w:val="left"/>
    </w:pPr>
    <w:rPr>
      <w:rFonts w:ascii="华文细黑" w:hAnsi="华文细黑" w:eastAsia="华文细黑" w:cs="宋体"/>
      <w:b/>
      <w:bCs/>
      <w:color w:val="000000"/>
      <w:kern w:val="0"/>
      <w:szCs w:val="24"/>
    </w:rPr>
  </w:style>
  <w:style w:type="paragraph" w:customStyle="1" w:styleId="206">
    <w:name w:val="xl108"/>
    <w:basedOn w:val="1"/>
    <w:qFormat/>
    <w:uiPriority w:val="0"/>
    <w:pPr>
      <w:widowControl/>
      <w:spacing w:before="100" w:beforeAutospacing="1" w:after="100" w:afterAutospacing="1"/>
      <w:jc w:val="center"/>
    </w:pPr>
    <w:rPr>
      <w:rFonts w:ascii="Arial" w:hAnsi="Arial" w:cs="Arial"/>
      <w:kern w:val="0"/>
      <w:szCs w:val="24"/>
    </w:rPr>
  </w:style>
  <w:style w:type="paragraph" w:customStyle="1" w:styleId="207">
    <w:name w:val="Heading1"/>
    <w:basedOn w:val="1"/>
    <w:next w:val="1"/>
    <w:qFormat/>
    <w:uiPriority w:val="0"/>
    <w:pPr>
      <w:keepNext/>
      <w:keepLines/>
      <w:spacing w:before="340" w:after="330" w:line="578" w:lineRule="auto"/>
      <w:ind w:left="425" w:hanging="425"/>
    </w:pPr>
    <w:rPr>
      <w:rFonts w:eastAsia="仿宋_GB2312"/>
      <w:b/>
      <w:kern w:val="44"/>
      <w:sz w:val="44"/>
    </w:rPr>
  </w:style>
  <w:style w:type="paragraph" w:customStyle="1" w:styleId="208">
    <w:name w:val="章标题"/>
    <w:next w:val="120"/>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09">
    <w:name w:val="正文文字缩进3"/>
    <w:basedOn w:val="3"/>
    <w:qFormat/>
    <w:uiPriority w:val="0"/>
    <w:pPr>
      <w:autoSpaceDE/>
      <w:autoSpaceDN/>
      <w:spacing w:before="100" w:beforeAutospacing="1" w:after="100" w:afterAutospacing="1" w:line="400" w:lineRule="atLeast"/>
      <w:ind w:left="600" w:leftChars="600"/>
      <w:jc w:val="both"/>
      <w:textAlignment w:val="baseline"/>
    </w:pPr>
    <w:rPr>
      <w:rFonts w:ascii="Times New Roman"/>
      <w:color w:val="auto"/>
    </w:rPr>
  </w:style>
  <w:style w:type="paragraph" w:customStyle="1" w:styleId="210">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2">
    <w:name w:val="样式1"/>
    <w:basedOn w:val="1"/>
    <w:link w:val="506"/>
    <w:qFormat/>
    <w:uiPriority w:val="0"/>
    <w:pPr>
      <w:jc w:val="center"/>
    </w:pPr>
    <w:rPr>
      <w:rFonts w:ascii="宋体" w:hAnsi="宋体"/>
      <w:b/>
      <w:bCs/>
      <w:sz w:val="44"/>
      <w:szCs w:val="24"/>
    </w:rPr>
  </w:style>
  <w:style w:type="paragraph" w:customStyle="1" w:styleId="213">
    <w:name w:val="List2"/>
    <w:basedOn w:val="1"/>
    <w:qFormat/>
    <w:uiPriority w:val="0"/>
    <w:pPr>
      <w:tabs>
        <w:tab w:val="left" w:pos="643"/>
        <w:tab w:val="left" w:pos="840"/>
      </w:tabs>
      <w:spacing w:line="360" w:lineRule="auto"/>
      <w:ind w:left="643" w:hanging="420"/>
    </w:pPr>
  </w:style>
  <w:style w:type="paragraph" w:customStyle="1" w:styleId="2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5">
    <w:name w:val="正文两字缩进"/>
    <w:basedOn w:val="78"/>
    <w:qFormat/>
    <w:uiPriority w:val="0"/>
    <w:pPr>
      <w:tabs>
        <w:tab w:val="right" w:leader="dot" w:pos="8302"/>
      </w:tabs>
      <w:spacing w:before="156" w:beforeLines="50" w:after="156" w:afterLines="50" w:line="360" w:lineRule="auto"/>
      <w:ind w:left="0" w:leftChars="0" w:firstLine="480"/>
      <w:jc w:val="left"/>
    </w:pPr>
    <w:rPr>
      <w:rFonts w:ascii="宋体" w:hAnsi="宋体"/>
    </w:rPr>
  </w:style>
  <w:style w:type="paragraph" w:customStyle="1" w:styleId="216">
    <w:name w:val="font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7">
    <w:name w:val="文章标题 1"/>
    <w:basedOn w:val="4"/>
    <w:next w:val="1"/>
    <w:qFormat/>
    <w:uiPriority w:val="0"/>
    <w:pPr>
      <w:keepNext/>
      <w:keepLines/>
      <w:widowControl w:val="0"/>
      <w:autoSpaceDE/>
      <w:autoSpaceDN/>
      <w:spacing w:before="120" w:after="480" w:line="360" w:lineRule="auto"/>
      <w:ind w:left="0" w:firstLine="0"/>
      <w:textAlignment w:val="top"/>
    </w:pPr>
    <w:rPr>
      <w:rFonts w:ascii="Times New Roman" w:eastAsia="黑体"/>
      <w:color w:val="auto"/>
      <w:kern w:val="2"/>
      <w:sz w:val="44"/>
    </w:rPr>
  </w:style>
  <w:style w:type="paragraph" w:customStyle="1" w:styleId="218">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kern w:val="0"/>
      <w:sz w:val="21"/>
    </w:rPr>
  </w:style>
  <w:style w:type="paragraph" w:customStyle="1" w:styleId="219">
    <w:name w:val="Char Char Char Char1"/>
    <w:basedOn w:val="1"/>
    <w:qFormat/>
    <w:uiPriority w:val="0"/>
    <w:rPr>
      <w:rFonts w:ascii="Tahoma" w:hAnsi="Tahoma"/>
    </w:rPr>
  </w:style>
  <w:style w:type="paragraph" w:customStyle="1" w:styleId="22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1">
    <w:name w:val="xl74"/>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222">
    <w:name w:val="样式29"/>
    <w:basedOn w:val="1"/>
    <w:qFormat/>
    <w:uiPriority w:val="0"/>
    <w:pPr>
      <w:widowControl/>
      <w:spacing w:line="440" w:lineRule="exact"/>
      <w:ind w:firstLine="200" w:firstLineChars="200"/>
      <w:jc w:val="left"/>
    </w:pPr>
    <w:rPr>
      <w:spacing w:val="6"/>
      <w:kern w:val="0"/>
    </w:rPr>
  </w:style>
  <w:style w:type="paragraph" w:customStyle="1" w:styleId="223">
    <w:name w:val="xl85"/>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224">
    <w:name w:val="标书正文:  0.74 厘米"/>
    <w:basedOn w:val="1"/>
    <w:link w:val="480"/>
    <w:qFormat/>
    <w:uiPriority w:val="0"/>
    <w:pPr>
      <w:snapToGrid w:val="0"/>
      <w:spacing w:line="360" w:lineRule="auto"/>
      <w:ind w:firstLine="420"/>
    </w:pPr>
  </w:style>
  <w:style w:type="paragraph" w:customStyle="1" w:styleId="225">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6">
    <w:name w:val="xl73"/>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227">
    <w:name w:val="TABLE3"/>
    <w:basedOn w:val="1"/>
    <w:next w:val="1"/>
    <w:qFormat/>
    <w:uiPriority w:val="0"/>
    <w:pPr>
      <w:jc w:val="center"/>
    </w:pPr>
    <w:rPr>
      <w:szCs w:val="24"/>
    </w:rPr>
  </w:style>
  <w:style w:type="paragraph" w:customStyle="1" w:styleId="228">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29">
    <w:name w:val="flName"/>
    <w:basedOn w:val="230"/>
    <w:qFormat/>
    <w:uiPriority w:val="0"/>
    <w:rPr>
      <w:sz w:val="32"/>
    </w:rPr>
  </w:style>
  <w:style w:type="paragraph" w:customStyle="1" w:styleId="230">
    <w:name w:val="flNote"/>
    <w:basedOn w:val="1"/>
    <w:qFormat/>
    <w:uiPriority w:val="0"/>
    <w:pPr>
      <w:adjustRightInd w:val="0"/>
      <w:spacing w:before="320" w:after="160" w:line="360" w:lineRule="auto"/>
      <w:jc w:val="center"/>
      <w:textAlignment w:val="baseline"/>
    </w:pPr>
    <w:rPr>
      <w:rFonts w:ascii="Arial" w:eastAsia="黑体"/>
      <w:kern w:val="0"/>
      <w:sz w:val="30"/>
    </w:rPr>
  </w:style>
  <w:style w:type="paragraph" w:customStyle="1" w:styleId="231">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2">
    <w:name w:val="font12"/>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3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4">
    <w:name w:val="自定义正文"/>
    <w:basedOn w:val="1"/>
    <w:link w:val="466"/>
    <w:qFormat/>
    <w:uiPriority w:val="0"/>
    <w:pPr>
      <w:spacing w:before="120" w:after="120" w:line="480" w:lineRule="exact"/>
      <w:ind w:firstLine="200" w:firstLineChars="200"/>
      <w:jc w:val="left"/>
    </w:pPr>
    <w:rPr>
      <w:rFonts w:ascii="仿宋_GB2312" w:eastAsia="仿宋_GB2312"/>
      <w:kern w:val="0"/>
    </w:rPr>
  </w:style>
  <w:style w:type="paragraph" w:customStyle="1" w:styleId="2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6">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7">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8">
    <w:name w:val="UserStyle_89"/>
    <w:basedOn w:val="1"/>
    <w:qFormat/>
    <w:uiPriority w:val="0"/>
    <w:pPr>
      <w:ind w:firstLine="420"/>
      <w:jc w:val="left"/>
    </w:pPr>
    <w:rPr>
      <w:kern w:val="0"/>
    </w:rPr>
  </w:style>
  <w:style w:type="paragraph" w:customStyle="1" w:styleId="239">
    <w:name w:val="Char3 Char Char Char"/>
    <w:basedOn w:val="1"/>
    <w:qFormat/>
    <w:uiPriority w:val="0"/>
    <w:pPr>
      <w:widowControl/>
      <w:spacing w:after="160" w:line="240" w:lineRule="exact"/>
      <w:ind w:firstLine="200" w:firstLineChars="200"/>
      <w:jc w:val="left"/>
    </w:pPr>
    <w:rPr>
      <w:szCs w:val="24"/>
    </w:rPr>
  </w:style>
  <w:style w:type="paragraph" w:customStyle="1" w:styleId="240">
    <w:name w:val="简单回函地址"/>
    <w:basedOn w:val="1"/>
    <w:qFormat/>
    <w:uiPriority w:val="0"/>
    <w:rPr>
      <w:sz w:val="21"/>
      <w:szCs w:val="24"/>
    </w:rPr>
  </w:style>
  <w:style w:type="paragraph" w:customStyle="1" w:styleId="241">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kern w:val="0"/>
    </w:rPr>
  </w:style>
  <w:style w:type="paragraph" w:customStyle="1" w:styleId="242">
    <w:name w:val="标准文本"/>
    <w:basedOn w:val="1"/>
    <w:link w:val="448"/>
    <w:qFormat/>
    <w:uiPriority w:val="0"/>
    <w:pPr>
      <w:spacing w:line="360" w:lineRule="auto"/>
      <w:ind w:firstLine="480" w:firstLineChars="200"/>
    </w:pPr>
    <w:rPr>
      <w:kern w:val="0"/>
    </w:rPr>
  </w:style>
  <w:style w:type="paragraph" w:customStyle="1" w:styleId="243">
    <w:name w:val="样式 样式 标题 1 + 黑体 三号 + 段前: 1 行 段后: 1 行"/>
    <w:basedOn w:val="1"/>
    <w:qFormat/>
    <w:uiPriority w:val="0"/>
    <w:pPr>
      <w:keepNext/>
      <w:keepLines/>
      <w:tabs>
        <w:tab w:val="left" w:pos="1021"/>
      </w:tabs>
      <w:spacing w:before="312" w:beforeLines="100" w:after="312" w:afterLines="100" w:line="360" w:lineRule="auto"/>
      <w:ind w:firstLine="482"/>
      <w:outlineLvl w:val="0"/>
    </w:pPr>
    <w:rPr>
      <w:rFonts w:ascii="Arial" w:hAnsi="Arial" w:eastAsia="黑体"/>
      <w:b/>
      <w:spacing w:val="10"/>
      <w:kern w:val="44"/>
      <w:sz w:val="32"/>
    </w:rPr>
  </w:style>
  <w:style w:type="paragraph" w:customStyle="1" w:styleId="244">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5">
    <w:name w:val="样式5"/>
    <w:basedOn w:val="1"/>
    <w:link w:val="492"/>
    <w:qFormat/>
    <w:uiPriority w:val="0"/>
    <w:pPr>
      <w:spacing w:before="50" w:after="75"/>
      <w:outlineLvl w:val="2"/>
    </w:pPr>
    <w:rPr>
      <w:rFonts w:ascii="宋体" w:hAnsi="宋体"/>
      <w:b/>
      <w:bCs/>
      <w:color w:val="000000"/>
      <w:kern w:val="44"/>
      <w:sz w:val="28"/>
      <w:szCs w:val="32"/>
    </w:rPr>
  </w:style>
  <w:style w:type="paragraph" w:customStyle="1" w:styleId="246">
    <w:name w:val="样式 首行缩进:  2 字符"/>
    <w:basedOn w:val="1"/>
    <w:qFormat/>
    <w:uiPriority w:val="0"/>
    <w:pPr>
      <w:spacing w:after="120" w:line="360" w:lineRule="auto"/>
      <w:ind w:firstLine="480" w:firstLineChars="200"/>
    </w:pPr>
  </w:style>
  <w:style w:type="paragraph" w:customStyle="1" w:styleId="247">
    <w:name w:val="首行缩进:  2 字符"/>
    <w:basedOn w:val="1"/>
    <w:next w:val="1"/>
    <w:link w:val="516"/>
    <w:qFormat/>
    <w:uiPriority w:val="0"/>
    <w:pPr>
      <w:widowControl/>
      <w:spacing w:line="440" w:lineRule="exact"/>
      <w:ind w:firstLine="480" w:firstLineChars="200"/>
      <w:jc w:val="left"/>
    </w:pPr>
    <w:rPr>
      <w:rFonts w:eastAsia="仿宋_GB2312" w:cs="宋体"/>
      <w:kern w:val="0"/>
    </w:rPr>
  </w:style>
  <w:style w:type="paragraph" w:customStyle="1" w:styleId="248">
    <w:name w:val="文章标题 3 Char"/>
    <w:basedOn w:val="6"/>
    <w:next w:val="1"/>
    <w:link w:val="472"/>
    <w:qFormat/>
    <w:uiPriority w:val="0"/>
    <w:pPr>
      <w:spacing w:before="260" w:beforeLines="0" w:after="260" w:afterLines="0" w:line="413" w:lineRule="auto"/>
      <w:ind w:left="-7" w:firstLine="567" w:firstLineChars="0"/>
    </w:pPr>
    <w:rPr>
      <w:rFonts w:hAnsi="Arial" w:eastAsia="黑体"/>
      <w:b w:val="0"/>
    </w:rPr>
  </w:style>
  <w:style w:type="paragraph" w:customStyle="1" w:styleId="249">
    <w:name w:val="样式 标题 3h33rd levelH3Level 3 Headsect1.2.3BOD 0l3CTHeadi..."/>
    <w:basedOn w:val="6"/>
    <w:qFormat/>
    <w:uiPriority w:val="0"/>
    <w:pPr>
      <w:tabs>
        <w:tab w:val="left" w:pos="420"/>
        <w:tab w:val="clear" w:pos="778"/>
      </w:tabs>
      <w:spacing w:before="200" w:beforeLines="0" w:after="0" w:afterLines="0"/>
      <w:ind w:left="420" w:hanging="420" w:firstLineChars="0"/>
    </w:pPr>
    <w:rPr>
      <w:rFonts w:ascii="宋体" w:eastAsia="楷体_GB2312"/>
      <w:sz w:val="24"/>
    </w:rPr>
  </w:style>
  <w:style w:type="paragraph" w:customStyle="1" w:styleId="250">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1">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2">
    <w:name w:val="Char"/>
    <w:basedOn w:val="26"/>
    <w:link w:val="535"/>
    <w:qFormat/>
    <w:uiPriority w:val="0"/>
    <w:rPr>
      <w:rFonts w:ascii="宋体"/>
      <w:color w:val="FF0000"/>
      <w:kern w:val="0"/>
    </w:rPr>
  </w:style>
  <w:style w:type="paragraph" w:customStyle="1" w:styleId="253">
    <w:name w:val="p0"/>
    <w:basedOn w:val="1"/>
    <w:qFormat/>
    <w:uiPriority w:val="99"/>
    <w:pPr>
      <w:widowControl/>
      <w:spacing w:before="100" w:beforeAutospacing="1" w:after="100" w:afterAutospacing="1"/>
      <w:jc w:val="left"/>
    </w:pPr>
    <w:rPr>
      <w:rFonts w:ascii="宋体" w:hAnsi="宋体"/>
      <w:kern w:val="0"/>
    </w:rPr>
  </w:style>
  <w:style w:type="paragraph" w:customStyle="1" w:styleId="254">
    <w:name w:val="xl97"/>
    <w:basedOn w:val="1"/>
    <w:qFormat/>
    <w:uiPriority w:val="0"/>
    <w:pPr>
      <w:widowControl/>
      <w:spacing w:before="100" w:beforeAutospacing="1" w:after="100" w:afterAutospacing="1"/>
      <w:jc w:val="left"/>
    </w:pPr>
    <w:rPr>
      <w:rFonts w:ascii="幼圆" w:hAnsi="宋体" w:eastAsia="幼圆" w:cs="宋体"/>
      <w:kern w:val="0"/>
      <w:szCs w:val="24"/>
    </w:rPr>
  </w:style>
  <w:style w:type="paragraph" w:customStyle="1" w:styleId="255">
    <w:name w:val="xl72"/>
    <w:basedOn w:val="1"/>
    <w:qFormat/>
    <w:uiPriority w:val="0"/>
    <w:pPr>
      <w:widowControl/>
      <w:spacing w:before="100" w:beforeAutospacing="1" w:after="100" w:afterAutospacing="1"/>
      <w:jc w:val="center"/>
    </w:pPr>
    <w:rPr>
      <w:rFonts w:ascii="Arial" w:hAnsi="Arial" w:cs="Arial"/>
      <w:color w:val="000000"/>
      <w:kern w:val="0"/>
      <w:szCs w:val="24"/>
    </w:rPr>
  </w:style>
  <w:style w:type="paragraph" w:customStyle="1" w:styleId="256">
    <w:name w:val="indent"/>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7">
    <w:name w:val="文档结构图1"/>
    <w:basedOn w:val="1"/>
    <w:next w:val="1"/>
    <w:qFormat/>
    <w:uiPriority w:val="0"/>
    <w:pPr>
      <w:widowControl/>
      <w:shd w:val="clear" w:color="auto" w:fill="000080"/>
    </w:pPr>
    <w:rPr>
      <w:color w:val="000000"/>
      <w:sz w:val="21"/>
    </w:rPr>
  </w:style>
  <w:style w:type="paragraph" w:customStyle="1" w:styleId="258">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259">
    <w:name w:val="纯文本2"/>
    <w:basedOn w:val="1"/>
    <w:next w:val="1"/>
    <w:qFormat/>
    <w:uiPriority w:val="0"/>
    <w:rPr>
      <w:rFonts w:ascii="宋体"/>
      <w:color w:val="000000"/>
      <w:sz w:val="21"/>
    </w:rPr>
  </w:style>
  <w:style w:type="paragraph" w:customStyle="1" w:styleId="26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1">
    <w:name w:val="font11"/>
    <w:basedOn w:val="1"/>
    <w:qFormat/>
    <w:uiPriority w:val="0"/>
    <w:pPr>
      <w:widowControl/>
      <w:spacing w:before="100" w:beforeAutospacing="1" w:after="100" w:afterAutospacing="1"/>
      <w:jc w:val="left"/>
    </w:pPr>
    <w:rPr>
      <w:kern w:val="0"/>
      <w:sz w:val="20"/>
    </w:rPr>
  </w:style>
  <w:style w:type="paragraph" w:customStyle="1" w:styleId="262">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4">
    <w:name w:val="正文 + 12 磅"/>
    <w:basedOn w:val="21"/>
    <w:qFormat/>
    <w:uiPriority w:val="0"/>
    <w:pPr>
      <w:spacing w:line="360" w:lineRule="auto"/>
      <w:ind w:firstLine="560"/>
    </w:pPr>
    <w:rPr>
      <w:rFonts w:ascii="宋体" w:hAnsi="宋体"/>
      <w:sz w:val="24"/>
    </w:rPr>
  </w:style>
  <w:style w:type="paragraph" w:customStyle="1" w:styleId="265">
    <w:name w:val="缺省文本"/>
    <w:basedOn w:val="1"/>
    <w:qFormat/>
    <w:uiPriority w:val="0"/>
    <w:pPr>
      <w:autoSpaceDE w:val="0"/>
      <w:autoSpaceDN w:val="0"/>
      <w:adjustRightInd w:val="0"/>
      <w:jc w:val="left"/>
    </w:pPr>
    <w:rPr>
      <w:kern w:val="0"/>
    </w:rPr>
  </w:style>
  <w:style w:type="paragraph" w:customStyle="1" w:styleId="266">
    <w:name w:val="font2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67">
    <w:name w:val="样式10"/>
    <w:basedOn w:val="1"/>
    <w:qFormat/>
    <w:uiPriority w:val="0"/>
    <w:pPr>
      <w:tabs>
        <w:tab w:val="left" w:pos="987"/>
      </w:tabs>
      <w:ind w:left="987" w:firstLine="199"/>
    </w:pPr>
    <w:rPr>
      <w:b/>
      <w:sz w:val="21"/>
    </w:rPr>
  </w:style>
  <w:style w:type="paragraph" w:customStyle="1" w:styleId="268">
    <w:name w:val="Char Char Char"/>
    <w:basedOn w:val="1"/>
    <w:qFormat/>
    <w:uiPriority w:val="0"/>
    <w:rPr>
      <w:rFonts w:ascii="Tahoma" w:hAnsi="Tahoma"/>
    </w:rPr>
  </w:style>
  <w:style w:type="paragraph" w:customStyle="1" w:styleId="269">
    <w:name w:val="xl94"/>
    <w:basedOn w:val="1"/>
    <w:qFormat/>
    <w:uiPriority w:val="0"/>
    <w:pPr>
      <w:widowControl/>
      <w:spacing w:before="100" w:beforeAutospacing="1" w:after="100" w:afterAutospacing="1"/>
      <w:jc w:val="left"/>
    </w:pPr>
    <w:rPr>
      <w:rFonts w:ascii="幼圆" w:hAnsi="宋体" w:eastAsia="幼圆" w:cs="宋体"/>
      <w:kern w:val="0"/>
      <w:szCs w:val="24"/>
    </w:rPr>
  </w:style>
  <w:style w:type="paragraph" w:customStyle="1" w:styleId="270">
    <w:name w:val="xl98"/>
    <w:basedOn w:val="1"/>
    <w:qFormat/>
    <w:uiPriority w:val="0"/>
    <w:pPr>
      <w:widowControl/>
      <w:spacing w:before="100" w:beforeAutospacing="1" w:after="100" w:afterAutospacing="1"/>
      <w:jc w:val="center"/>
    </w:pPr>
    <w:rPr>
      <w:rFonts w:ascii="幼圆" w:hAnsi="宋体" w:eastAsia="幼圆" w:cs="宋体"/>
      <w:kern w:val="0"/>
      <w:szCs w:val="24"/>
    </w:rPr>
  </w:style>
  <w:style w:type="paragraph" w:customStyle="1" w:styleId="271">
    <w:name w:val="My正文"/>
    <w:basedOn w:val="1"/>
    <w:qFormat/>
    <w:uiPriority w:val="0"/>
    <w:pPr>
      <w:adjustRightInd w:val="0"/>
      <w:spacing w:before="120" w:line="360" w:lineRule="auto"/>
      <w:ind w:firstLine="567"/>
    </w:pPr>
    <w:rPr>
      <w:rFonts w:ascii="Arial" w:hAnsi="Arial"/>
      <w:kern w:val="0"/>
    </w:rPr>
  </w:style>
  <w:style w:type="paragraph" w:customStyle="1" w:styleId="272">
    <w:name w:val="样式 标题 2 + 段前: 1 行 段后: 1 行"/>
    <w:basedOn w:val="5"/>
    <w:qFormat/>
    <w:uiPriority w:val="0"/>
    <w:pPr>
      <w:tabs>
        <w:tab w:val="left" w:pos="840"/>
        <w:tab w:val="clear" w:pos="358"/>
      </w:tabs>
      <w:spacing w:before="312" w:beforeLines="100" w:after="312" w:afterLines="100"/>
      <w:ind w:left="840"/>
    </w:pPr>
    <w:rPr>
      <w:rFonts w:ascii="Arial" w:hAnsi="Arial" w:eastAsia="黑体"/>
      <w:spacing w:val="10"/>
      <w:sz w:val="30"/>
    </w:rPr>
  </w:style>
  <w:style w:type="paragraph" w:customStyle="1" w:styleId="273">
    <w:name w:val="表格文字"/>
    <w:basedOn w:val="1"/>
    <w:next w:val="3"/>
    <w:qFormat/>
    <w:uiPriority w:val="0"/>
    <w:rPr>
      <w:rFonts w:ascii="Arial" w:hAnsi="Arial"/>
      <w:szCs w:val="21"/>
    </w:rPr>
  </w:style>
  <w:style w:type="paragraph" w:customStyle="1" w:styleId="274">
    <w:name w:val="font8"/>
    <w:basedOn w:val="1"/>
    <w:qFormat/>
    <w:uiPriority w:val="0"/>
    <w:pPr>
      <w:widowControl/>
      <w:adjustRightInd w:val="0"/>
      <w:spacing w:before="100" w:after="100"/>
      <w:jc w:val="left"/>
      <w:textAlignment w:val="baseline"/>
    </w:pPr>
    <w:rPr>
      <w:rFonts w:ascii="宋体" w:hAnsi="宋体"/>
      <w:b/>
      <w:color w:val="000000"/>
      <w:kern w:val="0"/>
      <w:sz w:val="20"/>
    </w:rPr>
  </w:style>
  <w:style w:type="paragraph" w:customStyle="1" w:styleId="275">
    <w:name w:val="正文文字4"/>
    <w:basedOn w:val="1"/>
    <w:qFormat/>
    <w:uiPriority w:val="0"/>
    <w:pPr>
      <w:spacing w:before="60" w:after="60" w:line="500" w:lineRule="exact"/>
      <w:ind w:left="1436" w:firstLine="592"/>
    </w:pPr>
    <w:rPr>
      <w:sz w:val="28"/>
    </w:rPr>
  </w:style>
  <w:style w:type="paragraph" w:customStyle="1" w:styleId="27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7">
    <w:name w:val="Char1"/>
    <w:basedOn w:val="1"/>
    <w:qFormat/>
    <w:uiPriority w:val="0"/>
    <w:rPr>
      <w:rFonts w:ascii="仿宋_GB2312" w:eastAsia="仿宋_GB2312"/>
      <w:b/>
      <w:sz w:val="32"/>
      <w:szCs w:val="32"/>
    </w:rPr>
  </w:style>
  <w:style w:type="paragraph" w:customStyle="1" w:styleId="278">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默认段落字体 Para Char Char Char Char Char Char Char"/>
    <w:basedOn w:val="1"/>
    <w:qFormat/>
    <w:uiPriority w:val="0"/>
    <w:rPr>
      <w:rFonts w:ascii="Tahoma" w:hAnsi="Tahoma"/>
      <w:b/>
    </w:rPr>
  </w:style>
  <w:style w:type="paragraph" w:customStyle="1" w:styleId="280">
    <w:name w:val="序号正文"/>
    <w:basedOn w:val="1"/>
    <w:qFormat/>
    <w:uiPriority w:val="0"/>
    <w:pPr>
      <w:numPr>
        <w:ilvl w:val="0"/>
        <w:numId w:val="8"/>
      </w:numPr>
      <w:spacing w:line="300" w:lineRule="auto"/>
    </w:pPr>
    <w:rPr>
      <w:rFonts w:ascii="宋体" w:hAnsi="宋体"/>
    </w:rPr>
  </w:style>
  <w:style w:type="paragraph" w:customStyle="1" w:styleId="281">
    <w:name w:val="My标题4"/>
    <w:basedOn w:val="6"/>
    <w:next w:val="1"/>
    <w:qFormat/>
    <w:uiPriority w:val="0"/>
    <w:pPr>
      <w:tabs>
        <w:tab w:val="left" w:pos="425"/>
        <w:tab w:val="clear" w:pos="778"/>
      </w:tabs>
      <w:spacing w:before="260" w:beforeLines="0" w:after="260" w:afterLines="0" w:line="413" w:lineRule="auto"/>
      <w:ind w:left="425" w:hanging="425" w:firstLineChars="0"/>
    </w:pPr>
    <w:rPr>
      <w:rFonts w:ascii="Times New Roman" w:hAnsi="Times New Roman"/>
      <w:b w:val="0"/>
      <w:sz w:val="24"/>
    </w:rPr>
  </w:style>
  <w:style w:type="paragraph" w:customStyle="1" w:styleId="282">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3">
    <w:name w:val="_Style 3"/>
    <w:basedOn w:val="1"/>
    <w:qFormat/>
    <w:uiPriority w:val="0"/>
    <w:pPr>
      <w:spacing w:line="360" w:lineRule="auto"/>
      <w:ind w:firstLine="420" w:firstLineChars="200"/>
    </w:pPr>
    <w:rPr>
      <w:szCs w:val="24"/>
    </w:rPr>
  </w:style>
  <w:style w:type="paragraph" w:customStyle="1" w:styleId="284">
    <w:name w:val="Char Char Char Char Char"/>
    <w:basedOn w:val="1"/>
    <w:qFormat/>
    <w:uiPriority w:val="0"/>
    <w:pPr>
      <w:tabs>
        <w:tab w:val="left" w:pos="980"/>
      </w:tabs>
      <w:ind w:left="980" w:hanging="420"/>
    </w:pPr>
    <w:rPr>
      <w:rFonts w:ascii="Tahoma" w:hAnsi="Tahoma"/>
    </w:rPr>
  </w:style>
  <w:style w:type="paragraph" w:customStyle="1" w:styleId="285">
    <w:name w:val="PP 行"/>
    <w:basedOn w:val="53"/>
    <w:qFormat/>
    <w:uiPriority w:val="0"/>
  </w:style>
  <w:style w:type="paragraph" w:customStyle="1" w:styleId="2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7">
    <w:name w:val="My标题3"/>
    <w:basedOn w:val="6"/>
    <w:next w:val="1"/>
    <w:qFormat/>
    <w:uiPriority w:val="0"/>
    <w:pPr>
      <w:tabs>
        <w:tab w:val="left" w:pos="1080"/>
        <w:tab w:val="clear" w:pos="778"/>
      </w:tabs>
      <w:spacing w:before="260" w:beforeLines="0" w:after="260" w:afterLines="0" w:line="413" w:lineRule="auto"/>
      <w:ind w:left="709" w:hanging="709" w:firstLineChars="0"/>
    </w:pPr>
    <w:rPr>
      <w:rFonts w:hAnsi="Arial"/>
      <w:b w:val="0"/>
      <w:sz w:val="24"/>
    </w:rPr>
  </w:style>
  <w:style w:type="paragraph" w:customStyle="1" w:styleId="288">
    <w:name w:val="正文21"/>
    <w:basedOn w:val="1"/>
    <w:link w:val="453"/>
    <w:qFormat/>
    <w:uiPriority w:val="99"/>
    <w:pPr>
      <w:spacing w:before="60" w:after="60" w:line="360" w:lineRule="auto"/>
      <w:outlineLvl w:val="7"/>
    </w:pPr>
  </w:style>
  <w:style w:type="paragraph" w:customStyle="1" w:styleId="289">
    <w:name w:val="正文缩进 2"/>
    <w:basedOn w:val="1"/>
    <w:qFormat/>
    <w:uiPriority w:val="0"/>
    <w:pPr>
      <w:adjustRightInd w:val="0"/>
      <w:spacing w:line="400" w:lineRule="atLeast"/>
      <w:ind w:left="400" w:leftChars="400" w:firstLine="454"/>
      <w:textAlignment w:val="baseline"/>
    </w:pPr>
    <w:rPr>
      <w:kern w:val="0"/>
    </w:rPr>
  </w:style>
  <w:style w:type="paragraph" w:customStyle="1" w:styleId="290">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1">
    <w:name w:val="character"/>
    <w:basedOn w:val="1"/>
    <w:qFormat/>
    <w:uiPriority w:val="0"/>
    <w:pPr>
      <w:ind w:firstLine="480" w:firstLineChars="200"/>
    </w:pPr>
    <w:rPr>
      <w:rFonts w:ascii="Arial" w:hAnsi="Arial"/>
      <w:szCs w:val="21"/>
    </w:rPr>
  </w:style>
  <w:style w:type="paragraph" w:customStyle="1" w:styleId="292">
    <w:name w:val="font26"/>
    <w:basedOn w:val="1"/>
    <w:qFormat/>
    <w:uiPriority w:val="0"/>
    <w:pPr>
      <w:widowControl/>
      <w:spacing w:before="100" w:beforeAutospacing="1" w:after="100" w:afterAutospacing="1"/>
      <w:jc w:val="left"/>
    </w:pPr>
    <w:rPr>
      <w:rFonts w:ascii="Courier New" w:hAnsi="Courier New" w:cs="Courier New"/>
      <w:kern w:val="0"/>
      <w:szCs w:val="24"/>
    </w:rPr>
  </w:style>
  <w:style w:type="paragraph" w:customStyle="1" w:styleId="293">
    <w:name w:val="样式 宋体"/>
    <w:basedOn w:val="1"/>
    <w:next w:val="1"/>
    <w:qFormat/>
    <w:uiPriority w:val="0"/>
    <w:pPr>
      <w:widowControl/>
    </w:pPr>
    <w:rPr>
      <w:rFonts w:ascii="宋体"/>
      <w:color w:val="000000"/>
    </w:rPr>
  </w:style>
  <w:style w:type="paragraph" w:customStyle="1" w:styleId="29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8">
    <w:name w:val="Char3"/>
    <w:basedOn w:val="26"/>
    <w:qFormat/>
    <w:uiPriority w:val="0"/>
    <w:rPr>
      <w:rFonts w:ascii="Tahoma" w:hAnsi="Tahoma"/>
    </w:rPr>
  </w:style>
  <w:style w:type="paragraph" w:customStyle="1" w:styleId="299">
    <w:name w:val="系统标题"/>
    <w:basedOn w:val="1"/>
    <w:qFormat/>
    <w:uiPriority w:val="0"/>
    <w:pPr>
      <w:tabs>
        <w:tab w:val="left" w:pos="780"/>
      </w:tabs>
      <w:ind w:left="780" w:hanging="360"/>
    </w:pPr>
    <w:rPr>
      <w:sz w:val="21"/>
      <w:szCs w:val="24"/>
    </w:rPr>
  </w:style>
  <w:style w:type="paragraph" w:customStyle="1" w:styleId="300">
    <w:name w:val="注"/>
    <w:basedOn w:val="1"/>
    <w:qFormat/>
    <w:uiPriority w:val="0"/>
    <w:pPr>
      <w:adjustRightInd w:val="0"/>
      <w:spacing w:line="360" w:lineRule="atLeast"/>
      <w:ind w:left="840" w:hanging="420"/>
      <w:textAlignment w:val="baseline"/>
    </w:pPr>
    <w:rPr>
      <w:kern w:val="0"/>
      <w:sz w:val="21"/>
    </w:rPr>
  </w:style>
  <w:style w:type="paragraph" w:customStyle="1" w:styleId="301">
    <w:name w:val="wtext"/>
    <w:basedOn w:val="1"/>
    <w:qFormat/>
    <w:uiPriority w:val="0"/>
    <w:pPr>
      <w:widowControl/>
      <w:spacing w:before="100" w:beforeAutospacing="1" w:after="100" w:afterAutospacing="1"/>
      <w:jc w:val="left"/>
    </w:pPr>
    <w:rPr>
      <w:rFonts w:ascii="宋体" w:hAnsi="宋体"/>
      <w:kern w:val="0"/>
    </w:rPr>
  </w:style>
  <w:style w:type="paragraph" w:customStyle="1" w:styleId="302">
    <w:name w:val="font1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03">
    <w:name w:val="heading"/>
    <w:basedOn w:val="1"/>
    <w:next w:val="1"/>
    <w:qFormat/>
    <w:uiPriority w:val="0"/>
    <w:pPr>
      <w:keepNext/>
      <w:keepLines/>
      <w:spacing w:before="260" w:after="260" w:line="413" w:lineRule="auto"/>
    </w:pPr>
    <w:rPr>
      <w:rFonts w:ascii="Arial" w:hAnsi="Arial" w:eastAsia="黑体"/>
      <w:b/>
      <w:sz w:val="32"/>
    </w:rPr>
  </w:style>
  <w:style w:type="paragraph" w:customStyle="1" w:styleId="304">
    <w:name w:val="正文文本缩进 31"/>
    <w:basedOn w:val="1"/>
    <w:next w:val="1"/>
    <w:qFormat/>
    <w:uiPriority w:val="0"/>
    <w:pPr>
      <w:widowControl/>
      <w:spacing w:line="360" w:lineRule="auto"/>
      <w:ind w:firstLine="420"/>
    </w:pPr>
    <w:rPr>
      <w:rFonts w:ascii="宋体"/>
      <w:color w:val="000000"/>
    </w:rPr>
  </w:style>
  <w:style w:type="paragraph" w:customStyle="1" w:styleId="305">
    <w:name w:val="样式 左 首行缩进:  0.74 厘米 段前: 5 磅 段后: 5 磅 行距: 1.5 倍行距"/>
    <w:basedOn w:val="1"/>
    <w:qFormat/>
    <w:uiPriority w:val="0"/>
    <w:pPr>
      <w:spacing w:before="100" w:after="100" w:line="360" w:lineRule="auto"/>
      <w:ind w:firstLine="420"/>
      <w:jc w:val="left"/>
    </w:pPr>
  </w:style>
  <w:style w:type="paragraph" w:customStyle="1" w:styleId="306">
    <w:name w:val="Char Char1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07">
    <w:name w:val="排列"/>
    <w:basedOn w:val="1"/>
    <w:qFormat/>
    <w:uiPriority w:val="0"/>
    <w:pPr>
      <w:jc w:val="center"/>
    </w:pPr>
    <w:rPr>
      <w:rFonts w:ascii="楷体_GB2312" w:hAnsi="Courier New" w:eastAsia="楷体_GB2312"/>
      <w:sz w:val="21"/>
    </w:rPr>
  </w:style>
  <w:style w:type="paragraph" w:customStyle="1" w:styleId="308">
    <w:name w:val="样式 标题 1H1 + 三号"/>
    <w:basedOn w:val="4"/>
    <w:qFormat/>
    <w:uiPriority w:val="0"/>
    <w:pPr>
      <w:keepNext/>
      <w:keepLines/>
      <w:widowControl w:val="0"/>
      <w:tabs>
        <w:tab w:val="left" w:pos="425"/>
        <w:tab w:val="clear" w:pos="478"/>
      </w:tabs>
      <w:autoSpaceDE/>
      <w:autoSpaceDN/>
      <w:spacing w:before="340" w:after="330" w:line="576" w:lineRule="auto"/>
      <w:ind w:left="425" w:hanging="425"/>
      <w:jc w:val="both"/>
    </w:pPr>
    <w:rPr>
      <w:rFonts w:ascii="Times New Roman"/>
      <w:b/>
      <w:color w:val="auto"/>
      <w:kern w:val="44"/>
      <w:sz w:val="32"/>
    </w:rPr>
  </w:style>
  <w:style w:type="paragraph" w:customStyle="1" w:styleId="309">
    <w:name w:val="默认段落字体1 Char Char"/>
    <w:basedOn w:val="1"/>
    <w:qFormat/>
    <w:uiPriority w:val="0"/>
    <w:rPr>
      <w:rFonts w:ascii="仿宋_GB2312" w:eastAsia="仿宋_GB2312"/>
      <w:b/>
      <w:sz w:val="32"/>
      <w:szCs w:val="32"/>
    </w:rPr>
  </w:style>
  <w:style w:type="paragraph" w:customStyle="1" w:styleId="310">
    <w:name w:val="font25"/>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311">
    <w:name w:val="Char11"/>
    <w:basedOn w:val="1"/>
    <w:qFormat/>
    <w:uiPriority w:val="0"/>
    <w:rPr>
      <w:rFonts w:ascii="仿宋_GB2312" w:eastAsia="仿宋_GB2312"/>
      <w:b/>
      <w:sz w:val="32"/>
    </w:rPr>
  </w:style>
  <w:style w:type="paragraph" w:customStyle="1" w:styleId="312">
    <w:name w:val="font2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13">
    <w:name w:val="font10"/>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3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5">
    <w:name w:val="font9"/>
    <w:basedOn w:val="1"/>
    <w:qFormat/>
    <w:uiPriority w:val="0"/>
    <w:pPr>
      <w:widowControl/>
      <w:adjustRightInd w:val="0"/>
      <w:spacing w:before="100" w:after="100"/>
      <w:jc w:val="left"/>
      <w:textAlignment w:val="baseline"/>
    </w:pPr>
    <w:rPr>
      <w:rFonts w:ascii="宋体" w:hAnsi="宋体"/>
      <w:kern w:val="0"/>
      <w:sz w:val="18"/>
    </w:rPr>
  </w:style>
  <w:style w:type="paragraph" w:customStyle="1" w:styleId="316">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7">
    <w:name w:val="正文编号4"/>
    <w:basedOn w:val="1"/>
    <w:qFormat/>
    <w:uiPriority w:val="0"/>
    <w:pPr>
      <w:spacing w:before="60" w:after="60" w:line="500" w:lineRule="exact"/>
      <w:ind w:left="1404" w:hanging="432"/>
    </w:pPr>
    <w:rPr>
      <w:sz w:val="28"/>
    </w:rPr>
  </w:style>
  <w:style w:type="paragraph" w:customStyle="1" w:styleId="318">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color w:val="000000"/>
      <w:kern w:val="0"/>
      <w:sz w:val="21"/>
    </w:rPr>
  </w:style>
  <w:style w:type="paragraph" w:customStyle="1" w:styleId="319">
    <w:name w:val="正文样式"/>
    <w:basedOn w:val="1"/>
    <w:link w:val="540"/>
    <w:qFormat/>
    <w:uiPriority w:val="0"/>
    <w:pPr>
      <w:spacing w:line="360" w:lineRule="auto"/>
      <w:ind w:firstLine="200" w:firstLineChars="200"/>
    </w:pPr>
    <w:rPr>
      <w:rFonts w:cs="宋体"/>
      <w:sz w:val="21"/>
    </w:rPr>
  </w:style>
  <w:style w:type="paragraph" w:customStyle="1" w:styleId="320">
    <w:name w:val="正文文字1"/>
    <w:basedOn w:val="3"/>
    <w:qFormat/>
    <w:uiPriority w:val="0"/>
    <w:pPr>
      <w:autoSpaceDE/>
      <w:autoSpaceDN/>
      <w:spacing w:line="360" w:lineRule="atLeast"/>
      <w:ind w:left="72" w:right="72"/>
      <w:jc w:val="both"/>
      <w:textAlignment w:val="baseline"/>
    </w:pPr>
    <w:rPr>
      <w:rFonts w:ascii="Times New Roman"/>
      <w:color w:val="auto"/>
      <w:sz w:val="21"/>
    </w:rPr>
  </w:style>
  <w:style w:type="paragraph" w:customStyle="1" w:styleId="321">
    <w:name w:val="功能列表"/>
    <w:basedOn w:val="1"/>
    <w:qFormat/>
    <w:uiPriority w:val="0"/>
    <w:pPr>
      <w:tabs>
        <w:tab w:val="left" w:pos="720"/>
        <w:tab w:val="left" w:pos="900"/>
      </w:tabs>
      <w:spacing w:line="360" w:lineRule="auto"/>
      <w:ind w:left="900" w:hanging="420"/>
    </w:pPr>
  </w:style>
  <w:style w:type="paragraph" w:customStyle="1" w:styleId="322">
    <w:name w:val="xl107"/>
    <w:basedOn w:val="1"/>
    <w:qFormat/>
    <w:uiPriority w:val="0"/>
    <w:pPr>
      <w:widowControl/>
      <w:spacing w:before="100" w:beforeAutospacing="1" w:after="100" w:afterAutospacing="1"/>
      <w:jc w:val="left"/>
    </w:pPr>
    <w:rPr>
      <w:rFonts w:ascii="幼圆" w:hAnsi="宋体" w:eastAsia="幼圆" w:cs="宋体"/>
      <w:color w:val="000000"/>
      <w:kern w:val="0"/>
      <w:szCs w:val="24"/>
    </w:rPr>
  </w:style>
  <w:style w:type="paragraph" w:customStyle="1" w:styleId="323">
    <w:name w:val="标题 8 +"/>
    <w:basedOn w:val="11"/>
    <w:qFormat/>
    <w:uiPriority w:val="0"/>
    <w:rPr>
      <w:kern w:val="0"/>
    </w:rPr>
  </w:style>
  <w:style w:type="paragraph" w:customStyle="1" w:styleId="324">
    <w:name w:val="xl96"/>
    <w:basedOn w:val="1"/>
    <w:qFormat/>
    <w:uiPriority w:val="0"/>
    <w:pPr>
      <w:widowControl/>
      <w:spacing w:before="100" w:beforeAutospacing="1" w:after="100" w:afterAutospacing="1"/>
      <w:jc w:val="center"/>
      <w:textAlignment w:val="bottom"/>
    </w:pPr>
    <w:rPr>
      <w:rFonts w:ascii="幼圆" w:hAnsi="宋体" w:eastAsia="幼圆" w:cs="宋体"/>
      <w:kern w:val="0"/>
      <w:szCs w:val="24"/>
    </w:rPr>
  </w:style>
  <w:style w:type="paragraph" w:customStyle="1" w:styleId="325">
    <w:name w:val="样式4"/>
    <w:basedOn w:val="33"/>
    <w:qFormat/>
    <w:uiPriority w:val="0"/>
    <w:pPr>
      <w:snapToGrid w:val="0"/>
      <w:spacing w:before="0" w:after="0"/>
      <w:ind w:firstLine="539"/>
    </w:pPr>
    <w:rPr>
      <w:rFonts w:ascii="Times New Roman"/>
    </w:rPr>
  </w:style>
  <w:style w:type="paragraph" w:customStyle="1" w:styleId="326">
    <w:name w:val="xl46"/>
    <w:basedOn w:val="1"/>
    <w:qFormat/>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327">
    <w:name w:val="font15"/>
    <w:basedOn w:val="1"/>
    <w:qFormat/>
    <w:uiPriority w:val="0"/>
    <w:pPr>
      <w:widowControl/>
      <w:spacing w:before="100" w:beforeAutospacing="1" w:after="100" w:afterAutospacing="1"/>
      <w:jc w:val="left"/>
    </w:pPr>
    <w:rPr>
      <w:rFonts w:ascii="华文细黑" w:hAnsi="华文细黑" w:eastAsia="华文细黑" w:cs="宋体"/>
      <w:b/>
      <w:bCs/>
      <w:color w:val="000000"/>
      <w:kern w:val="0"/>
      <w:szCs w:val="24"/>
    </w:rPr>
  </w:style>
  <w:style w:type="paragraph" w:customStyle="1" w:styleId="32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29">
    <w:name w:val="xl89"/>
    <w:basedOn w:val="1"/>
    <w:qFormat/>
    <w:uiPriority w:val="0"/>
    <w:pPr>
      <w:widowControl/>
      <w:spacing w:before="100" w:beforeAutospacing="1" w:after="100" w:afterAutospacing="1"/>
      <w:jc w:val="left"/>
    </w:pPr>
    <w:rPr>
      <w:rFonts w:ascii="幼圆" w:hAnsi="宋体" w:eastAsia="幼圆" w:cs="宋体"/>
      <w:color w:val="000000"/>
      <w:kern w:val="0"/>
      <w:szCs w:val="24"/>
    </w:rPr>
  </w:style>
  <w:style w:type="paragraph" w:customStyle="1" w:styleId="330">
    <w:name w:val="style1"/>
    <w:basedOn w:val="1"/>
    <w:qFormat/>
    <w:uiPriority w:val="0"/>
    <w:pPr>
      <w:widowControl/>
      <w:spacing w:before="100" w:beforeAutospacing="1" w:after="100" w:afterAutospacing="1" w:line="360" w:lineRule="auto"/>
      <w:ind w:firstLine="200" w:firstLineChars="200"/>
      <w:jc w:val="left"/>
    </w:pPr>
    <w:rPr>
      <w:rFonts w:ascii="宋体" w:hAnsi="宋体" w:cs="宋体"/>
      <w:color w:val="FFFFFF"/>
      <w:kern w:val="0"/>
      <w:sz w:val="28"/>
      <w:szCs w:val="24"/>
    </w:rPr>
  </w:style>
  <w:style w:type="paragraph" w:customStyle="1" w:styleId="331">
    <w:name w:val="样式 标题 2 + 段前: 自动 段后: 自动 行距: 1.5 倍行距"/>
    <w:basedOn w:val="5"/>
    <w:qFormat/>
    <w:uiPriority w:val="0"/>
    <w:pPr>
      <w:tabs>
        <w:tab w:val="left" w:pos="567"/>
        <w:tab w:val="clear" w:pos="358"/>
      </w:tabs>
      <w:adjustRightInd w:val="0"/>
      <w:spacing w:before="100" w:beforeAutospacing="1" w:after="100" w:afterAutospacing="1"/>
      <w:ind w:left="567" w:hanging="567"/>
      <w:jc w:val="left"/>
      <w:textAlignment w:val="baseline"/>
    </w:pPr>
    <w:rPr>
      <w:rFonts w:ascii="Arial" w:hAnsi="Arial"/>
      <w:b w:val="0"/>
      <w:kern w:val="0"/>
      <w:sz w:val="30"/>
    </w:rPr>
  </w:style>
  <w:style w:type="paragraph" w:customStyle="1" w:styleId="332">
    <w:name w:val="无列表1"/>
    <w:basedOn w:val="1"/>
    <w:next w:val="1"/>
    <w:qFormat/>
    <w:uiPriority w:val="0"/>
    <w:pPr>
      <w:widowControl/>
      <w:jc w:val="left"/>
    </w:pPr>
    <w:rPr>
      <w:color w:val="000000"/>
      <w:kern w:val="0"/>
    </w:rPr>
  </w:style>
  <w:style w:type="paragraph" w:customStyle="1" w:styleId="333">
    <w:name w:val="xl82"/>
    <w:basedOn w:val="1"/>
    <w:qFormat/>
    <w:uiPriority w:val="0"/>
    <w:pPr>
      <w:widowControl/>
      <w:shd w:val="clear" w:color="auto" w:fill="CCFFCC"/>
      <w:spacing w:before="100" w:beforeAutospacing="1" w:after="100" w:afterAutospacing="1"/>
      <w:jc w:val="center"/>
    </w:pPr>
    <w:rPr>
      <w:rFonts w:ascii="Arial" w:hAnsi="Arial" w:cs="Arial"/>
      <w:color w:val="000000"/>
      <w:kern w:val="0"/>
      <w:szCs w:val="24"/>
    </w:rPr>
  </w:style>
  <w:style w:type="paragraph" w:customStyle="1" w:styleId="334">
    <w:name w:val="Char Char1 Char Char Char Char Char Char Char Char"/>
    <w:basedOn w:val="1"/>
    <w:qFormat/>
    <w:uiPriority w:val="0"/>
    <w:pPr>
      <w:widowControl/>
      <w:spacing w:after="160" w:line="240" w:lineRule="exact"/>
      <w:jc w:val="left"/>
    </w:pPr>
    <w:rPr>
      <w:sz w:val="21"/>
      <w:szCs w:val="24"/>
    </w:rPr>
  </w:style>
  <w:style w:type="paragraph" w:customStyle="1" w:styleId="335">
    <w:name w:val="标题5"/>
    <w:basedOn w:val="7"/>
    <w:next w:val="1"/>
    <w:qFormat/>
    <w:uiPriority w:val="0"/>
    <w:pPr>
      <w:keepLines w:val="0"/>
      <w:tabs>
        <w:tab w:val="clear" w:pos="1198"/>
      </w:tabs>
      <w:spacing w:before="312" w:beforeLines="100"/>
      <w:ind w:left="0" w:firstLine="0"/>
    </w:pPr>
    <w:rPr>
      <w:rFonts w:ascii="宋体" w:hAnsi="宋体"/>
      <w:bCs/>
      <w:sz w:val="24"/>
      <w:szCs w:val="24"/>
    </w:rPr>
  </w:style>
  <w:style w:type="paragraph" w:customStyle="1" w:styleId="336">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7">
    <w:name w:val="PlainText"/>
    <w:basedOn w:val="1"/>
    <w:next w:val="1"/>
    <w:qFormat/>
    <w:uiPriority w:val="0"/>
    <w:rPr>
      <w:rFonts w:ascii="宋体" w:hAnsi="Courier New"/>
      <w:sz w:val="21"/>
    </w:rPr>
  </w:style>
  <w:style w:type="paragraph" w:customStyle="1" w:styleId="338">
    <w:name w:val="My标题1"/>
    <w:basedOn w:val="4"/>
    <w:next w:val="1"/>
    <w:qFormat/>
    <w:uiPriority w:val="0"/>
    <w:pPr>
      <w:keepNext/>
      <w:keepLines/>
      <w:pageBreakBefore w:val="0"/>
      <w:widowControl w:val="0"/>
      <w:tabs>
        <w:tab w:val="left" w:pos="425"/>
        <w:tab w:val="clear" w:pos="478"/>
      </w:tabs>
      <w:autoSpaceDE/>
      <w:autoSpaceDN/>
      <w:adjustRightInd w:val="0"/>
      <w:spacing w:before="120" w:after="360" w:line="360" w:lineRule="auto"/>
      <w:ind w:left="425" w:hanging="425"/>
      <w:jc w:val="left"/>
      <w:textAlignment w:val="baseline"/>
    </w:pPr>
    <w:rPr>
      <w:rFonts w:ascii="Arial" w:hAnsi="Arial"/>
      <w:b/>
      <w:color w:val="auto"/>
      <w:kern w:val="44"/>
      <w:sz w:val="32"/>
    </w:rPr>
  </w:style>
  <w:style w:type="paragraph" w:customStyle="1" w:styleId="339">
    <w:name w:val="纯文本1"/>
    <w:basedOn w:val="140"/>
    <w:qFormat/>
    <w:uiPriority w:val="0"/>
    <w:pPr>
      <w:numPr>
        <w:ilvl w:val="0"/>
        <w:numId w:val="9"/>
      </w:numPr>
      <w:autoSpaceDE w:val="0"/>
      <w:autoSpaceDN w:val="0"/>
      <w:adjustRightInd w:val="0"/>
      <w:ind w:left="0" w:firstLine="0"/>
      <w:textAlignment w:val="baseline"/>
    </w:pPr>
    <w:rPr>
      <w:rFonts w:ascii="宋体" w:hAnsi="Tms Rmn"/>
      <w:kern w:val="0"/>
    </w:rPr>
  </w:style>
  <w:style w:type="paragraph" w:customStyle="1" w:styleId="340">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color w:val="000000"/>
      <w:kern w:val="0"/>
      <w:sz w:val="21"/>
    </w:rPr>
  </w:style>
  <w:style w:type="paragraph" w:customStyle="1" w:styleId="341">
    <w:name w:val="正文文本缩进1"/>
    <w:basedOn w:val="1"/>
    <w:next w:val="1"/>
    <w:qFormat/>
    <w:uiPriority w:val="0"/>
    <w:pPr>
      <w:widowControl/>
      <w:spacing w:after="120"/>
      <w:ind w:left="420"/>
    </w:pPr>
    <w:rPr>
      <w:color w:val="000000"/>
      <w:sz w:val="21"/>
    </w:rPr>
  </w:style>
  <w:style w:type="paragraph" w:customStyle="1" w:styleId="342">
    <w:name w:val="my标题5"/>
    <w:basedOn w:val="1"/>
    <w:qFormat/>
    <w:uiPriority w:val="0"/>
    <w:pPr>
      <w:tabs>
        <w:tab w:val="left" w:pos="992"/>
      </w:tabs>
      <w:ind w:left="992" w:hanging="992"/>
    </w:pPr>
  </w:style>
  <w:style w:type="paragraph" w:customStyle="1" w:styleId="343">
    <w:name w:val="无缩进正文"/>
    <w:basedOn w:val="1"/>
    <w:qFormat/>
    <w:uiPriority w:val="0"/>
    <w:pPr>
      <w:adjustRightInd w:val="0"/>
      <w:textAlignment w:val="baseline"/>
    </w:pPr>
    <w:rPr>
      <w:kern w:val="0"/>
      <w:sz w:val="21"/>
    </w:rPr>
  </w:style>
  <w:style w:type="paragraph" w:customStyle="1" w:styleId="344">
    <w:name w:val="xl84"/>
    <w:basedOn w:val="1"/>
    <w:qFormat/>
    <w:uiPriority w:val="0"/>
    <w:pPr>
      <w:widowControl/>
      <w:shd w:val="clear" w:color="auto" w:fill="C0C0C0"/>
      <w:spacing w:before="100" w:beforeAutospacing="1" w:after="100" w:afterAutospacing="1"/>
      <w:jc w:val="left"/>
    </w:pPr>
    <w:rPr>
      <w:rFonts w:ascii="华文细黑" w:hAnsi="华文细黑" w:eastAsia="华文细黑" w:cs="宋体"/>
      <w:b/>
      <w:bCs/>
      <w:color w:val="000000"/>
      <w:kern w:val="0"/>
      <w:szCs w:val="24"/>
    </w:rPr>
  </w:style>
  <w:style w:type="paragraph" w:customStyle="1" w:styleId="3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7">
    <w:name w:val="正文文字3"/>
    <w:basedOn w:val="1"/>
    <w:qFormat/>
    <w:uiPriority w:val="0"/>
    <w:pPr>
      <w:spacing w:before="60" w:after="60" w:line="500" w:lineRule="exact"/>
      <w:ind w:left="1020" w:firstLine="592"/>
    </w:pPr>
    <w:rPr>
      <w:sz w:val="28"/>
    </w:rPr>
  </w:style>
  <w:style w:type="paragraph" w:customStyle="1" w:styleId="348">
    <w:name w:val="List Paragraph1"/>
    <w:basedOn w:val="1"/>
    <w:qFormat/>
    <w:uiPriority w:val="99"/>
    <w:pPr>
      <w:ind w:firstLine="420" w:firstLineChars="200"/>
    </w:pPr>
    <w:rPr>
      <w:szCs w:val="21"/>
    </w:rPr>
  </w:style>
  <w:style w:type="paragraph" w:customStyle="1" w:styleId="349">
    <w:name w:val="正文3"/>
    <w:basedOn w:val="1"/>
    <w:qFormat/>
    <w:uiPriority w:val="0"/>
    <w:pPr>
      <w:spacing w:before="60" w:after="60" w:line="360" w:lineRule="auto"/>
      <w:outlineLvl w:val="8"/>
    </w:pPr>
  </w:style>
  <w:style w:type="paragraph" w:customStyle="1" w:styleId="3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1">
    <w:name w:val="无列表2"/>
    <w:basedOn w:val="1"/>
    <w:next w:val="1"/>
    <w:qFormat/>
    <w:uiPriority w:val="0"/>
    <w:pPr>
      <w:jc w:val="left"/>
    </w:pPr>
    <w:rPr>
      <w:color w:val="000000"/>
      <w:kern w:val="0"/>
    </w:rPr>
  </w:style>
  <w:style w:type="paragraph" w:customStyle="1" w:styleId="352">
    <w:name w:val="正文文字缩进2"/>
    <w:basedOn w:val="3"/>
    <w:qFormat/>
    <w:uiPriority w:val="0"/>
    <w:pPr>
      <w:autoSpaceDE/>
      <w:autoSpaceDN/>
      <w:spacing w:before="100" w:beforeAutospacing="1" w:after="100" w:afterAutospacing="1" w:line="400" w:lineRule="atLeast"/>
      <w:ind w:left="400" w:leftChars="400"/>
      <w:jc w:val="both"/>
      <w:textAlignment w:val="baseline"/>
    </w:pPr>
    <w:rPr>
      <w:rFonts w:ascii="Times New Roman"/>
      <w:color w:val="auto"/>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4">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5">
    <w:name w:val="xl39"/>
    <w:basedOn w:val="1"/>
    <w:qFormat/>
    <w:uiPriority w:val="0"/>
    <w:pPr>
      <w:widowControl/>
      <w:spacing w:before="100" w:beforeAutospacing="1" w:after="100" w:afterAutospacing="1"/>
      <w:jc w:val="center"/>
    </w:pPr>
    <w:rPr>
      <w:rFonts w:hint="eastAsia" w:ascii="宋体" w:hAnsi="宋体"/>
      <w:kern w:val="0"/>
    </w:rPr>
  </w:style>
  <w:style w:type="paragraph" w:customStyle="1" w:styleId="356">
    <w:name w:val="xl93"/>
    <w:basedOn w:val="1"/>
    <w:qFormat/>
    <w:uiPriority w:val="0"/>
    <w:pPr>
      <w:widowControl/>
      <w:shd w:val="clear" w:color="auto" w:fill="99CCFF"/>
      <w:spacing w:before="100" w:beforeAutospacing="1" w:after="100" w:afterAutospacing="1"/>
      <w:jc w:val="left"/>
    </w:pPr>
    <w:rPr>
      <w:rFonts w:ascii="宋体" w:hAnsi="宋体" w:cs="宋体"/>
      <w:b/>
      <w:bCs/>
      <w:color w:val="000000"/>
      <w:kern w:val="0"/>
      <w:szCs w:val="24"/>
    </w:rPr>
  </w:style>
  <w:style w:type="paragraph" w:customStyle="1" w:styleId="357">
    <w:name w:val="Char Char Char Char Char Char Char"/>
    <w:basedOn w:val="1"/>
    <w:qFormat/>
    <w:uiPriority w:val="0"/>
    <w:pPr>
      <w:widowControl/>
      <w:spacing w:after="160" w:line="240" w:lineRule="exact"/>
      <w:jc w:val="left"/>
    </w:pPr>
    <w:rPr>
      <w:rFonts w:ascii="Arial" w:hAnsi="Arial" w:eastAsia="Times New Roman"/>
      <w:b/>
      <w:kern w:val="0"/>
      <w:lang w:eastAsia="en-US"/>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59">
    <w:name w:val="样式 仿宋_GB2312 行距: 1.5 倍行距"/>
    <w:basedOn w:val="1"/>
    <w:qFormat/>
    <w:uiPriority w:val="0"/>
    <w:pPr>
      <w:spacing w:line="360" w:lineRule="auto"/>
      <w:ind w:firstLine="480" w:firstLineChars="200"/>
    </w:pPr>
    <w:rPr>
      <w:rFonts w:ascii="宋体" w:hAnsi="宋体"/>
    </w:rPr>
  </w:style>
  <w:style w:type="paragraph" w:customStyle="1" w:styleId="360">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1">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62">
    <w:name w:val="页码1"/>
    <w:basedOn w:val="1"/>
    <w:next w:val="1"/>
    <w:qFormat/>
    <w:uiPriority w:val="0"/>
    <w:pPr>
      <w:widowControl/>
    </w:pPr>
    <w:rPr>
      <w:color w:val="000000"/>
      <w:sz w:val="21"/>
    </w:rPr>
  </w:style>
  <w:style w:type="paragraph" w:customStyle="1" w:styleId="363">
    <w:name w:val="xl75"/>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364">
    <w:name w:val="My标题2"/>
    <w:basedOn w:val="5"/>
    <w:next w:val="1"/>
    <w:qFormat/>
    <w:uiPriority w:val="0"/>
    <w:pPr>
      <w:tabs>
        <w:tab w:val="left" w:pos="720"/>
        <w:tab w:val="clear" w:pos="358"/>
      </w:tabs>
      <w:adjustRightInd w:val="0"/>
      <w:spacing w:before="360" w:after="120"/>
      <w:ind w:left="567" w:hanging="567"/>
      <w:jc w:val="left"/>
      <w:textAlignment w:val="baseline"/>
    </w:pPr>
    <w:rPr>
      <w:rFonts w:ascii="Arial" w:hAnsi="Arial"/>
      <w:kern w:val="0"/>
      <w:sz w:val="24"/>
    </w:rPr>
  </w:style>
  <w:style w:type="paragraph" w:customStyle="1" w:styleId="365">
    <w:name w:val="xl76"/>
    <w:basedOn w:val="1"/>
    <w:qFormat/>
    <w:uiPriority w:val="0"/>
    <w:pPr>
      <w:widowControl/>
      <w:shd w:val="clear" w:color="auto" w:fill="99CCFF"/>
      <w:spacing w:before="100" w:beforeAutospacing="1" w:after="100" w:afterAutospacing="1"/>
      <w:jc w:val="left"/>
    </w:pPr>
    <w:rPr>
      <w:rFonts w:ascii="Arial" w:hAnsi="Arial" w:cs="Arial"/>
      <w:b/>
      <w:bCs/>
      <w:color w:val="000000"/>
      <w:kern w:val="0"/>
      <w:szCs w:val="24"/>
    </w:rPr>
  </w:style>
  <w:style w:type="paragraph" w:customStyle="1" w:styleId="366">
    <w:name w:val="standdate"/>
    <w:basedOn w:val="51"/>
    <w:qFormat/>
    <w:uiPriority w:val="0"/>
    <w:rPr>
      <w:szCs w:val="18"/>
    </w:rPr>
  </w:style>
  <w:style w:type="paragraph" w:customStyle="1" w:styleId="367">
    <w:name w:val="xl10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368">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69">
    <w:name w:val="font20"/>
    <w:basedOn w:val="1"/>
    <w:qFormat/>
    <w:uiPriority w:val="0"/>
    <w:pPr>
      <w:widowControl/>
      <w:spacing w:before="100" w:beforeAutospacing="1" w:after="100" w:afterAutospacing="1"/>
      <w:jc w:val="left"/>
    </w:pPr>
    <w:rPr>
      <w:rFonts w:ascii="宋体" w:hAnsi="宋体" w:cs="宋体"/>
      <w:kern w:val="0"/>
      <w:sz w:val="40"/>
      <w:szCs w:val="40"/>
    </w:rPr>
  </w:style>
  <w:style w:type="paragraph" w:customStyle="1" w:styleId="370">
    <w:name w:val="font6"/>
    <w:basedOn w:val="1"/>
    <w:qFormat/>
    <w:uiPriority w:val="0"/>
    <w:pPr>
      <w:widowControl/>
      <w:adjustRightInd w:val="0"/>
      <w:spacing w:before="100" w:after="100"/>
      <w:jc w:val="left"/>
      <w:textAlignment w:val="baseline"/>
    </w:pPr>
    <w:rPr>
      <w:color w:val="000000"/>
      <w:kern w:val="0"/>
      <w:sz w:val="21"/>
    </w:rPr>
  </w:style>
  <w:style w:type="paragraph" w:customStyle="1" w:styleId="371">
    <w:name w:val="Char Char Char Char Char Char Char Char Char Char1"/>
    <w:basedOn w:val="1"/>
    <w:qFormat/>
    <w:uiPriority w:val="0"/>
    <w:rPr>
      <w:sz w:val="21"/>
    </w:rPr>
  </w:style>
  <w:style w:type="paragraph" w:customStyle="1" w:styleId="372">
    <w:name w:val="图脚"/>
    <w:basedOn w:val="1"/>
    <w:qFormat/>
    <w:uiPriority w:val="0"/>
    <w:pPr>
      <w:tabs>
        <w:tab w:val="left" w:pos="900"/>
      </w:tabs>
      <w:ind w:left="900" w:hanging="420"/>
      <w:jc w:val="center"/>
    </w:pPr>
    <w:rPr>
      <w:rFonts w:eastAsia="黑体"/>
    </w:rPr>
  </w:style>
  <w:style w:type="paragraph" w:customStyle="1" w:styleId="373">
    <w:name w:val="Headings Font"/>
    <w:basedOn w:val="1"/>
    <w:next w:val="3"/>
    <w:qFormat/>
    <w:uiPriority w:val="0"/>
    <w:pPr>
      <w:keepNext/>
      <w:spacing w:line="280" w:lineRule="atLeast"/>
      <w:jc w:val="left"/>
    </w:pPr>
    <w:rPr>
      <w:rFonts w:ascii="Arial" w:hAnsi="Arial"/>
      <w:kern w:val="0"/>
      <w:sz w:val="22"/>
      <w:szCs w:val="24"/>
      <w:lang w:val="en-GB"/>
    </w:rPr>
  </w:style>
  <w:style w:type="paragraph" w:customStyle="1" w:styleId="37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5">
    <w:name w:val="3 Char"/>
    <w:basedOn w:val="1"/>
    <w:qFormat/>
    <w:uiPriority w:val="0"/>
    <w:pPr>
      <w:widowControl/>
      <w:spacing w:line="400" w:lineRule="exact"/>
      <w:jc w:val="center"/>
    </w:pPr>
    <w:rPr>
      <w:rFonts w:ascii="Verdana" w:hAnsi="Verdana"/>
      <w:kern w:val="0"/>
      <w:sz w:val="21"/>
      <w:lang w:eastAsia="en-US"/>
    </w:rPr>
  </w:style>
  <w:style w:type="paragraph" w:customStyle="1" w:styleId="376">
    <w:name w:val="xl71"/>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377">
    <w:name w:val="正文文本1"/>
    <w:basedOn w:val="1"/>
    <w:qFormat/>
    <w:uiPriority w:val="0"/>
    <w:pPr>
      <w:spacing w:after="120"/>
    </w:pPr>
    <w:rPr>
      <w:sz w:val="21"/>
    </w:rPr>
  </w:style>
  <w:style w:type="paragraph" w:customStyle="1" w:styleId="378">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color w:val="000000"/>
      <w:kern w:val="0"/>
      <w:sz w:val="21"/>
    </w:rPr>
  </w:style>
  <w:style w:type="paragraph" w:customStyle="1" w:styleId="379">
    <w:name w:val="样式编号"/>
    <w:basedOn w:val="3"/>
    <w:qFormat/>
    <w:uiPriority w:val="0"/>
    <w:pPr>
      <w:widowControl/>
      <w:autoSpaceDE/>
      <w:autoSpaceDN/>
      <w:adjustRightInd/>
      <w:spacing w:after="156" w:afterLines="50" w:line="300" w:lineRule="auto"/>
      <w:jc w:val="both"/>
    </w:pPr>
    <w:rPr>
      <w:rFonts w:ascii="Times New Roman" w:eastAsia="仿宋_GB2312"/>
      <w:color w:val="auto"/>
      <w:spacing w:val="-10"/>
      <w:szCs w:val="24"/>
    </w:rPr>
  </w:style>
  <w:style w:type="paragraph" w:customStyle="1" w:styleId="380">
    <w:name w:val="xl101"/>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381">
    <w:name w:val="目录"/>
    <w:basedOn w:val="1"/>
    <w:qFormat/>
    <w:uiPriority w:val="0"/>
    <w:pPr>
      <w:widowControl/>
      <w:spacing w:line="480" w:lineRule="auto"/>
      <w:jc w:val="center"/>
    </w:pPr>
    <w:rPr>
      <w:rFonts w:ascii="宋体"/>
      <w:b/>
      <w:kern w:val="0"/>
    </w:rPr>
  </w:style>
  <w:style w:type="paragraph" w:customStyle="1" w:styleId="382">
    <w:name w:val="已访问的超链接1"/>
    <w:basedOn w:val="1"/>
    <w:next w:val="1"/>
    <w:qFormat/>
    <w:uiPriority w:val="0"/>
    <w:pPr>
      <w:widowControl/>
    </w:pPr>
    <w:rPr>
      <w:color w:val="800080"/>
      <w:sz w:val="21"/>
      <w:u w:val="single" w:color="000000"/>
    </w:rPr>
  </w:style>
  <w:style w:type="paragraph" w:customStyle="1" w:styleId="383">
    <w:name w:val="xl86"/>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384">
    <w:name w:val="font7"/>
    <w:basedOn w:val="1"/>
    <w:qFormat/>
    <w:uiPriority w:val="0"/>
    <w:pPr>
      <w:widowControl/>
      <w:adjustRightInd w:val="0"/>
      <w:spacing w:before="100" w:after="100"/>
      <w:jc w:val="left"/>
      <w:textAlignment w:val="baseline"/>
    </w:pPr>
    <w:rPr>
      <w:rFonts w:ascii="宋体" w:hAnsi="宋体"/>
      <w:b/>
      <w:color w:val="000000"/>
      <w:kern w:val="0"/>
      <w:sz w:val="20"/>
    </w:rPr>
  </w:style>
  <w:style w:type="paragraph" w:customStyle="1" w:styleId="385">
    <w:name w:val="文档正文（外部）"/>
    <w:basedOn w:val="1"/>
    <w:qFormat/>
    <w:uiPriority w:val="0"/>
    <w:pPr>
      <w:spacing w:line="360" w:lineRule="auto"/>
    </w:pPr>
    <w:rPr>
      <w:sz w:val="28"/>
    </w:rPr>
  </w:style>
  <w:style w:type="paragraph" w:customStyle="1" w:styleId="386">
    <w:name w:val="xl95"/>
    <w:basedOn w:val="1"/>
    <w:qFormat/>
    <w:uiPriority w:val="0"/>
    <w:pPr>
      <w:widowControl/>
      <w:spacing w:before="100" w:beforeAutospacing="1" w:after="100" w:afterAutospacing="1"/>
      <w:jc w:val="center"/>
    </w:pPr>
    <w:rPr>
      <w:rFonts w:ascii="幼圆" w:hAnsi="宋体" w:eastAsia="幼圆" w:cs="宋体"/>
      <w:kern w:val="0"/>
      <w:szCs w:val="24"/>
    </w:rPr>
  </w:style>
  <w:style w:type="paragraph" w:customStyle="1" w:styleId="387">
    <w:name w:val="样式 样式 正文首行缩进 2 + 首行缩进:  2 字符 + 首行缩进:  2 字符"/>
    <w:basedOn w:val="1"/>
    <w:qFormat/>
    <w:uiPriority w:val="0"/>
    <w:pPr>
      <w:spacing w:line="360" w:lineRule="auto"/>
      <w:ind w:firstLine="480" w:firstLineChars="200"/>
    </w:pPr>
  </w:style>
  <w:style w:type="paragraph" w:customStyle="1" w:styleId="388">
    <w:name w:val="xl10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89">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90">
    <w:name w:val="章节标题1"/>
    <w:basedOn w:val="1"/>
    <w:next w:val="114"/>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1">
    <w:name w:val="文本正文"/>
    <w:basedOn w:val="1"/>
    <w:qFormat/>
    <w:uiPriority w:val="0"/>
    <w:pPr>
      <w:spacing w:before="156" w:after="156" w:line="360" w:lineRule="auto"/>
      <w:ind w:firstLine="480"/>
    </w:pPr>
    <w:rPr>
      <w:color w:val="000000"/>
      <w:sz w:val="21"/>
    </w:rPr>
  </w:style>
  <w:style w:type="paragraph" w:customStyle="1" w:styleId="392">
    <w:name w:val="Char Char Char1"/>
    <w:basedOn w:val="1"/>
    <w:qFormat/>
    <w:uiPriority w:val="0"/>
    <w:rPr>
      <w:rFonts w:ascii="Tahoma" w:hAnsi="Tahoma"/>
    </w:rPr>
  </w:style>
  <w:style w:type="paragraph" w:customStyle="1" w:styleId="393">
    <w:name w:val="样式 首行缩进:  0.74 厘米"/>
    <w:basedOn w:val="1"/>
    <w:qFormat/>
    <w:uiPriority w:val="0"/>
    <w:pPr>
      <w:spacing w:line="360" w:lineRule="auto"/>
      <w:ind w:firstLine="420"/>
    </w:pPr>
    <w:rPr>
      <w:sz w:val="21"/>
    </w:rPr>
  </w:style>
  <w:style w:type="paragraph" w:customStyle="1" w:styleId="394">
    <w:name w:val="myp1111"/>
    <w:basedOn w:val="1"/>
    <w:next w:val="1"/>
    <w:qFormat/>
    <w:uiPriority w:val="0"/>
    <w:pPr>
      <w:widowControl/>
    </w:pPr>
    <w:rPr>
      <w:rFonts w:ascii="ˎ̥" w:hAnsi="ˎ̥"/>
      <w:color w:val="000000"/>
      <w:sz w:val="20"/>
    </w:rPr>
  </w:style>
  <w:style w:type="paragraph" w:customStyle="1" w:styleId="395">
    <w:name w:val="正文字缩2字"/>
    <w:basedOn w:val="1"/>
    <w:qFormat/>
    <w:uiPriority w:val="0"/>
    <w:pPr>
      <w:spacing w:before="60" w:after="60" w:line="360" w:lineRule="auto"/>
      <w:ind w:left="200" w:leftChars="200" w:firstLine="200" w:firstLineChars="200"/>
    </w:pPr>
  </w:style>
  <w:style w:type="paragraph" w:customStyle="1" w:styleId="396">
    <w:name w:val="文字缩进 3"/>
    <w:basedOn w:val="3"/>
    <w:qFormat/>
    <w:uiPriority w:val="0"/>
    <w:pPr>
      <w:autoSpaceDE/>
      <w:autoSpaceDN/>
      <w:spacing w:before="100" w:beforeAutospacing="1" w:after="100" w:afterAutospacing="1" w:line="400" w:lineRule="atLeast"/>
      <w:ind w:left="1276"/>
      <w:jc w:val="both"/>
      <w:textAlignment w:val="baseline"/>
    </w:pPr>
    <w:rPr>
      <w:rFonts w:ascii="Times New Roman"/>
      <w:color w:val="auto"/>
    </w:rPr>
  </w:style>
  <w:style w:type="paragraph" w:customStyle="1" w:styleId="397">
    <w:name w:val="xl92"/>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398">
    <w:name w:val="样式 首行缩进:  0.85 厘米"/>
    <w:basedOn w:val="1"/>
    <w:qFormat/>
    <w:uiPriority w:val="0"/>
    <w:pPr>
      <w:tabs>
        <w:tab w:val="left" w:pos="1080"/>
        <w:tab w:val="left" w:pos="1200"/>
      </w:tabs>
      <w:spacing w:before="156" w:beforeLines="50" w:after="156" w:afterLines="50" w:line="360" w:lineRule="auto"/>
      <w:ind w:left="420" w:firstLine="120"/>
      <w:jc w:val="left"/>
    </w:pPr>
    <w:rPr>
      <w:rFonts w:ascii="Arial"/>
    </w:rPr>
  </w:style>
  <w:style w:type="paragraph" w:customStyle="1" w:styleId="39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0">
    <w:name w:val="Char Char Char Char Char Char Char1"/>
    <w:basedOn w:val="1"/>
    <w:qFormat/>
    <w:uiPriority w:val="0"/>
    <w:rPr>
      <w:rFonts w:ascii="仿宋_GB2312" w:eastAsia="仿宋_GB2312"/>
      <w:b/>
      <w:sz w:val="32"/>
    </w:rPr>
  </w:style>
  <w:style w:type="paragraph" w:customStyle="1" w:styleId="401">
    <w:name w:val="xl88"/>
    <w:basedOn w:val="1"/>
    <w:qFormat/>
    <w:uiPriority w:val="0"/>
    <w:pPr>
      <w:widowControl/>
      <w:shd w:val="clear" w:color="auto" w:fill="C0C0C0"/>
      <w:spacing w:before="100" w:beforeAutospacing="1" w:after="100" w:afterAutospacing="1"/>
      <w:jc w:val="center"/>
    </w:pPr>
    <w:rPr>
      <w:rFonts w:ascii="Arial" w:hAnsi="Arial" w:cs="Arial"/>
      <w:color w:val="000000"/>
      <w:kern w:val="0"/>
      <w:szCs w:val="24"/>
    </w:rPr>
  </w:style>
  <w:style w:type="paragraph" w:customStyle="1" w:styleId="402">
    <w:name w:val="列表编号 31"/>
    <w:basedOn w:val="1"/>
    <w:next w:val="1"/>
    <w:qFormat/>
    <w:uiPriority w:val="0"/>
    <w:pPr>
      <w:widowControl/>
      <w:tabs>
        <w:tab w:val="left" w:pos="482"/>
        <w:tab w:val="left" w:pos="840"/>
      </w:tabs>
      <w:spacing w:after="50"/>
      <w:ind w:left="482" w:hanging="340"/>
      <w:jc w:val="left"/>
    </w:pPr>
    <w:rPr>
      <w:color w:val="000000"/>
      <w:kern w:val="0"/>
    </w:rPr>
  </w:style>
  <w:style w:type="paragraph" w:customStyle="1" w:styleId="403">
    <w:name w:val="font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404">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5">
    <w:name w:val="表正文"/>
    <w:basedOn w:val="1"/>
    <w:next w:val="43"/>
    <w:qFormat/>
    <w:uiPriority w:val="0"/>
    <w:rPr>
      <w:rFonts w:ascii="宋体" w:hAnsi="Courier New"/>
      <w:sz w:val="21"/>
    </w:rPr>
  </w:style>
  <w:style w:type="paragraph" w:customStyle="1" w:styleId="406">
    <w:name w:val="文字缩进"/>
    <w:basedOn w:val="3"/>
    <w:qFormat/>
    <w:uiPriority w:val="0"/>
    <w:pPr>
      <w:autoSpaceDE/>
      <w:autoSpaceDN/>
      <w:spacing w:before="100" w:beforeAutospacing="1" w:after="100" w:afterAutospacing="1" w:line="400" w:lineRule="atLeast"/>
      <w:ind w:left="425"/>
      <w:jc w:val="both"/>
      <w:textAlignment w:val="baseline"/>
    </w:pPr>
    <w:rPr>
      <w:rFonts w:ascii="Times New Roman"/>
      <w:color w:val="auto"/>
    </w:rPr>
  </w:style>
  <w:style w:type="paragraph" w:customStyle="1" w:styleId="407">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08">
    <w:name w:val="文本正文2"/>
    <w:basedOn w:val="1"/>
    <w:qFormat/>
    <w:uiPriority w:val="0"/>
    <w:pPr>
      <w:spacing w:before="156" w:after="156" w:line="360" w:lineRule="auto"/>
    </w:pPr>
    <w:rPr>
      <w:color w:val="000000"/>
      <w:sz w:val="21"/>
    </w:rPr>
  </w:style>
  <w:style w:type="paragraph" w:customStyle="1" w:styleId="409">
    <w:name w:val="My编号1"/>
    <w:basedOn w:val="1"/>
    <w:qFormat/>
    <w:uiPriority w:val="0"/>
    <w:pPr>
      <w:adjustRightInd w:val="0"/>
      <w:spacing w:before="120" w:line="360" w:lineRule="auto"/>
      <w:textAlignment w:val="baseline"/>
    </w:pPr>
    <w:rPr>
      <w:rFonts w:ascii="Arial" w:hAnsi="Arial"/>
      <w:kern w:val="0"/>
    </w:rPr>
  </w:style>
  <w:style w:type="paragraph" w:customStyle="1" w:styleId="410">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1">
    <w:name w:val="正文首行缩进 21"/>
    <w:basedOn w:val="1"/>
    <w:next w:val="1"/>
    <w:qFormat/>
    <w:uiPriority w:val="0"/>
    <w:pPr>
      <w:widowControl/>
      <w:spacing w:after="120"/>
      <w:ind w:firstLine="210"/>
    </w:pPr>
    <w:rPr>
      <w:color w:val="000000"/>
      <w:sz w:val="21"/>
    </w:rPr>
  </w:style>
  <w:style w:type="paragraph" w:customStyle="1" w:styleId="412">
    <w:name w:val="xl87"/>
    <w:basedOn w:val="1"/>
    <w:qFormat/>
    <w:uiPriority w:val="0"/>
    <w:pPr>
      <w:widowControl/>
      <w:shd w:val="clear" w:color="auto" w:fill="C0C0C0"/>
      <w:spacing w:before="100" w:beforeAutospacing="1" w:after="100" w:afterAutospacing="1"/>
      <w:jc w:val="center"/>
    </w:pPr>
    <w:rPr>
      <w:rFonts w:ascii="Arial" w:hAnsi="Arial" w:cs="Arial"/>
      <w:color w:val="000000"/>
      <w:kern w:val="0"/>
      <w:szCs w:val="24"/>
    </w:rPr>
  </w:style>
  <w:style w:type="paragraph" w:customStyle="1" w:styleId="413">
    <w:name w:val="正文图标题"/>
    <w:next w:val="120"/>
    <w:qFormat/>
    <w:uiPriority w:val="0"/>
    <w:pPr>
      <w:jc w:val="center"/>
    </w:pPr>
    <w:rPr>
      <w:rFonts w:ascii="黑体" w:hAnsi="Times New Roman" w:eastAsia="黑体" w:cs="Times New Roman"/>
      <w:sz w:val="21"/>
      <w:lang w:val="en-US" w:eastAsia="zh-CN" w:bidi="ar-SA"/>
    </w:rPr>
  </w:style>
  <w:style w:type="paragraph" w:customStyle="1" w:styleId="414">
    <w:name w:val="普通表格1"/>
    <w:basedOn w:val="1"/>
    <w:next w:val="1"/>
    <w:qFormat/>
    <w:uiPriority w:val="0"/>
    <w:pPr>
      <w:widowControl/>
      <w:jc w:val="left"/>
    </w:pPr>
    <w:rPr>
      <w:color w:val="000000"/>
      <w:kern w:val="0"/>
    </w:rPr>
  </w:style>
  <w:style w:type="paragraph" w:customStyle="1" w:styleId="415">
    <w:name w:val="Char Char Char Char Char Char Char Char Char Char Char Char Char Char Char Char"/>
    <w:basedOn w:val="1"/>
    <w:qFormat/>
    <w:uiPriority w:val="0"/>
    <w:rPr>
      <w:rFonts w:ascii="Tahoma" w:hAnsi="Tahoma"/>
    </w:rPr>
  </w:style>
  <w:style w:type="paragraph" w:customStyle="1" w:styleId="416">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7">
    <w:name w:val="List Paragraph"/>
    <w:basedOn w:val="1"/>
    <w:qFormat/>
    <w:uiPriority w:val="34"/>
    <w:pPr>
      <w:ind w:firstLine="420" w:firstLineChars="200"/>
    </w:pPr>
    <w:rPr>
      <w:rFonts w:ascii="Verdana" w:hAnsi="Verdana" w:eastAsia="微软雅黑"/>
      <w:sz w:val="21"/>
    </w:rPr>
  </w:style>
  <w:style w:type="paragraph" w:customStyle="1" w:styleId="418">
    <w:name w:val="样式 标题 22nd levelh22Header 2H2 + 四号 段前: 6 磅 段后: 6 磅 行距: 1..."/>
    <w:basedOn w:val="5"/>
    <w:qFormat/>
    <w:uiPriority w:val="0"/>
    <w:pPr>
      <w:tabs>
        <w:tab w:val="left" w:pos="425"/>
        <w:tab w:val="clear" w:pos="358"/>
      </w:tabs>
      <w:spacing w:before="120" w:after="120"/>
      <w:ind w:left="425" w:hanging="425"/>
    </w:pPr>
    <w:rPr>
      <w:rFonts w:ascii="Arial" w:hAnsi="Arial"/>
      <w:sz w:val="28"/>
    </w:rPr>
  </w:style>
  <w:style w:type="paragraph" w:customStyle="1" w:styleId="419">
    <w:name w:val="样式 标题 1H1章节1l0Section HeadHeader1h1Level 1 HeadPIM 1He..."/>
    <w:basedOn w:val="4"/>
    <w:qFormat/>
    <w:uiPriority w:val="0"/>
    <w:pPr>
      <w:keepNext/>
      <w:keepLines/>
      <w:pageBreakBefore w:val="0"/>
      <w:widowControl w:val="0"/>
      <w:autoSpaceDE/>
      <w:autoSpaceDN/>
      <w:spacing w:before="340" w:after="330" w:line="576" w:lineRule="auto"/>
      <w:ind w:left="0" w:firstLine="0"/>
      <w:jc w:val="both"/>
    </w:pPr>
    <w:rPr>
      <w:rFonts w:ascii="Times New Roman"/>
      <w:b/>
      <w:color w:val="auto"/>
      <w:kern w:val="44"/>
      <w:sz w:val="44"/>
    </w:rPr>
  </w:style>
  <w:style w:type="paragraph" w:customStyle="1" w:styleId="420">
    <w:name w:val="xl103"/>
    <w:basedOn w:val="1"/>
    <w:qFormat/>
    <w:uiPriority w:val="0"/>
    <w:pPr>
      <w:widowControl/>
      <w:spacing w:before="100" w:beforeAutospacing="1" w:after="100" w:afterAutospacing="1"/>
      <w:jc w:val="left"/>
    </w:pPr>
    <w:rPr>
      <w:rFonts w:ascii="Arial" w:hAnsi="Arial" w:cs="Arial"/>
      <w:kern w:val="0"/>
      <w:szCs w:val="24"/>
    </w:rPr>
  </w:style>
  <w:style w:type="paragraph" w:customStyle="1" w:styleId="421">
    <w:name w:val="纯文本11"/>
    <w:basedOn w:val="1"/>
    <w:qFormat/>
    <w:uiPriority w:val="0"/>
    <w:pPr>
      <w:widowControl/>
      <w:tabs>
        <w:tab w:val="left" w:pos="840"/>
      </w:tabs>
      <w:spacing w:line="360" w:lineRule="auto"/>
      <w:ind w:left="840" w:hanging="420"/>
    </w:pPr>
    <w:rPr>
      <w:rFonts w:ascii="宋体"/>
      <w:color w:val="000000"/>
    </w:rPr>
  </w:style>
  <w:style w:type="paragraph" w:customStyle="1" w:styleId="422">
    <w:name w:val="xl77"/>
    <w:basedOn w:val="1"/>
    <w:qFormat/>
    <w:uiPriority w:val="0"/>
    <w:pPr>
      <w:widowControl/>
      <w:shd w:val="clear" w:color="auto" w:fill="99CCFF"/>
      <w:spacing w:before="100" w:beforeAutospacing="1" w:after="100" w:afterAutospacing="1"/>
      <w:jc w:val="center"/>
    </w:pPr>
    <w:rPr>
      <w:rFonts w:ascii="Arial" w:hAnsi="Arial" w:cs="Arial"/>
      <w:color w:val="000000"/>
      <w:kern w:val="0"/>
      <w:szCs w:val="24"/>
    </w:rPr>
  </w:style>
  <w:style w:type="paragraph" w:customStyle="1" w:styleId="423">
    <w:name w:val="gb23121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424">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5">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6">
    <w:name w:val="正文段 Char"/>
    <w:link w:val="106"/>
    <w:qFormat/>
    <w:uiPriority w:val="0"/>
    <w:rPr>
      <w:sz w:val="24"/>
    </w:rPr>
  </w:style>
  <w:style w:type="character" w:customStyle="1" w:styleId="427">
    <w:name w:val="p121"/>
    <w:qFormat/>
    <w:uiPriority w:val="0"/>
    <w:rPr>
      <w:rFonts w:hint="default" w:ascii="_x000B__x000C_" w:hAnsi="_x000B__x000C_"/>
      <w:sz w:val="24"/>
      <w:szCs w:val="24"/>
    </w:rPr>
  </w:style>
  <w:style w:type="character" w:customStyle="1" w:styleId="428">
    <w:name w:val="highlight"/>
    <w:basedOn w:val="81"/>
    <w:qFormat/>
    <w:uiPriority w:val="0"/>
  </w:style>
  <w:style w:type="character" w:customStyle="1" w:styleId="429">
    <w:name w:val="正文文本缩进 字符"/>
    <w:link w:val="33"/>
    <w:qFormat/>
    <w:uiPriority w:val="99"/>
    <w:rPr>
      <w:rFonts w:ascii="宋体"/>
      <w:kern w:val="2"/>
      <w:sz w:val="24"/>
    </w:rPr>
  </w:style>
  <w:style w:type="character" w:customStyle="1" w:styleId="430">
    <w:name w:val="b1"/>
    <w:qFormat/>
    <w:uiPriority w:val="0"/>
    <w:rPr>
      <w:rFonts w:hint="default" w:ascii="Courier New" w:hAnsi="Courier New"/>
      <w:b/>
      <w:color w:val="FF0000"/>
      <w:u w:val="none"/>
    </w:rPr>
  </w:style>
  <w:style w:type="character" w:customStyle="1" w:styleId="431">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2">
    <w:name w:val="标题 9 字符"/>
    <w:link w:val="13"/>
    <w:qFormat/>
    <w:uiPriority w:val="0"/>
    <w:rPr>
      <w:rFonts w:ascii="Arial" w:hAnsi="Arial" w:eastAsia="黑体"/>
      <w:kern w:val="2"/>
      <w:sz w:val="21"/>
      <w:lang w:val="en-US" w:eastAsia="zh-CN" w:bidi="ar-SA"/>
    </w:rPr>
  </w:style>
  <w:style w:type="character" w:customStyle="1" w:styleId="433">
    <w:name w:val="Footer Char"/>
    <w:qFormat/>
    <w:locked/>
    <w:uiPriority w:val="0"/>
    <w:rPr>
      <w:rFonts w:cs="Times New Roman"/>
      <w:sz w:val="18"/>
      <w:szCs w:val="18"/>
    </w:rPr>
  </w:style>
  <w:style w:type="character" w:customStyle="1" w:styleId="434">
    <w:name w:val="mc2"/>
    <w:qFormat/>
    <w:uiPriority w:val="0"/>
    <w:rPr>
      <w:color w:val="0E2DCD"/>
      <w:sz w:val="21"/>
      <w:szCs w:val="21"/>
    </w:rPr>
  </w:style>
  <w:style w:type="character" w:customStyle="1" w:styleId="435">
    <w:name w:val="样式 标题 4 + 小四 Char Char"/>
    <w:link w:val="94"/>
    <w:qFormat/>
    <w:uiPriority w:val="0"/>
    <w:rPr>
      <w:rFonts w:ascii="Arial" w:hAnsi="Arial" w:eastAsia="楷体_GB2312" w:cs="Arial"/>
      <w:b/>
      <w:bCs/>
      <w:kern w:val="2"/>
      <w:sz w:val="24"/>
      <w:szCs w:val="28"/>
      <w:lang w:val="en-US" w:eastAsia="zh-CN" w:bidi="ar-SA"/>
    </w:rPr>
  </w:style>
  <w:style w:type="character" w:customStyle="1" w:styleId="436">
    <w:name w:val="Char Char3"/>
    <w:qFormat/>
    <w:uiPriority w:val="0"/>
    <w:rPr>
      <w:rFonts w:eastAsia="宋体"/>
      <w:kern w:val="2"/>
      <w:sz w:val="21"/>
      <w:szCs w:val="24"/>
      <w:lang w:val="en-US" w:eastAsia="zh-CN" w:bidi="ar-SA"/>
    </w:rPr>
  </w:style>
  <w:style w:type="character" w:customStyle="1" w:styleId="437">
    <w:name w:val="普通文字 Char Char"/>
    <w:qFormat/>
    <w:uiPriority w:val="0"/>
    <w:rPr>
      <w:rFonts w:ascii="宋体" w:hAnsi="Courier New" w:eastAsia="宋体"/>
      <w:kern w:val="2"/>
      <w:sz w:val="21"/>
      <w:lang w:val="en-US" w:eastAsia="zh-CN"/>
    </w:rPr>
  </w:style>
  <w:style w:type="character" w:customStyle="1" w:styleId="438">
    <w:name w:val="节 Char"/>
    <w:qFormat/>
    <w:uiPriority w:val="0"/>
    <w:rPr>
      <w:rFonts w:ascii="Arial" w:hAnsi="Arial" w:eastAsia="宋体"/>
      <w:b/>
      <w:spacing w:val="14"/>
      <w:kern w:val="24"/>
      <w:sz w:val="32"/>
      <w:lang w:val="en-US" w:eastAsia="zh-CN" w:bidi="ar-SA"/>
    </w:rPr>
  </w:style>
  <w:style w:type="character" w:customStyle="1" w:styleId="439">
    <w:name w:val="第三层条 Char"/>
    <w:qFormat/>
    <w:uiPriority w:val="0"/>
    <w:rPr>
      <w:rFonts w:ascii="Arial" w:hAnsi="Arial" w:eastAsia="黑体"/>
      <w:b/>
      <w:kern w:val="2"/>
      <w:sz w:val="28"/>
      <w:lang w:val="en-US" w:eastAsia="zh-CN" w:bidi="ar-SA"/>
    </w:rPr>
  </w:style>
  <w:style w:type="character" w:customStyle="1" w:styleId="440">
    <w:name w:val="font131"/>
    <w:basedOn w:val="81"/>
    <w:qFormat/>
    <w:uiPriority w:val="0"/>
    <w:rPr>
      <w:rFonts w:ascii="Calibri" w:hAnsi="Calibri" w:cs="Calibri"/>
      <w:color w:val="000000"/>
      <w:sz w:val="22"/>
      <w:szCs w:val="22"/>
      <w:u w:val="none"/>
    </w:rPr>
  </w:style>
  <w:style w:type="character" w:customStyle="1" w:styleId="441">
    <w:name w:val="point_normal1"/>
    <w:qFormat/>
    <w:uiPriority w:val="0"/>
    <w:rPr>
      <w:rFonts w:hint="default" w:ascii="Arial" w:hAnsi="Arial"/>
      <w:sz w:val="22"/>
    </w:rPr>
  </w:style>
  <w:style w:type="character" w:customStyle="1" w:styleId="442">
    <w:name w:val="styletemp1"/>
    <w:qFormat/>
    <w:uiPriority w:val="0"/>
    <w:rPr>
      <w:color w:val="282828"/>
      <w:spacing w:val="15"/>
      <w:sz w:val="18"/>
    </w:rPr>
  </w:style>
  <w:style w:type="character" w:customStyle="1" w:styleId="443">
    <w:name w:val="样式2 Char"/>
    <w:link w:val="146"/>
    <w:qFormat/>
    <w:uiPriority w:val="0"/>
    <w:rPr>
      <w:rFonts w:ascii="黑体" w:hAnsi="Calibri" w:eastAsia="黑体"/>
      <w:b/>
      <w:bCs/>
      <w:kern w:val="44"/>
      <w:sz w:val="32"/>
      <w:szCs w:val="32"/>
    </w:rPr>
  </w:style>
  <w:style w:type="character" w:customStyle="1" w:styleId="444">
    <w:name w:val="Body Text Indent Char"/>
    <w:qFormat/>
    <w:locked/>
    <w:uiPriority w:val="0"/>
    <w:rPr>
      <w:rFonts w:ascii="Times New Roman" w:hAnsi="Times New Roman"/>
      <w:sz w:val="24"/>
    </w:rPr>
  </w:style>
  <w:style w:type="character" w:customStyle="1" w:styleId="445">
    <w:name w:val="title-blue"/>
    <w:basedOn w:val="81"/>
    <w:qFormat/>
    <w:uiPriority w:val="0"/>
  </w:style>
  <w:style w:type="character" w:customStyle="1" w:styleId="446">
    <w:name w:val="标题 1 Char"/>
    <w:qFormat/>
    <w:uiPriority w:val="0"/>
    <w:rPr>
      <w:rFonts w:ascii="宋体" w:hAnsi="宋体"/>
      <w:b/>
      <w:bCs/>
      <w:kern w:val="44"/>
      <w:sz w:val="28"/>
      <w:szCs w:val="28"/>
    </w:rPr>
  </w:style>
  <w:style w:type="character" w:customStyle="1" w:styleId="447">
    <w:name w:val="font21"/>
    <w:basedOn w:val="81"/>
    <w:qFormat/>
    <w:uiPriority w:val="0"/>
    <w:rPr>
      <w:rFonts w:hint="default" w:ascii="Times New Roman" w:hAnsi="Times New Roman" w:cs="Times New Roman"/>
      <w:color w:val="000000"/>
      <w:sz w:val="22"/>
      <w:szCs w:val="22"/>
      <w:u w:val="none"/>
    </w:rPr>
  </w:style>
  <w:style w:type="character" w:customStyle="1" w:styleId="448">
    <w:name w:val="标准文本 Char Char"/>
    <w:link w:val="242"/>
    <w:qFormat/>
    <w:locked/>
    <w:uiPriority w:val="0"/>
    <w:rPr>
      <w:sz w:val="24"/>
      <w:lang w:bidi="ar-SA"/>
    </w:rPr>
  </w:style>
  <w:style w:type="character" w:customStyle="1" w:styleId="449">
    <w:name w:val="style91"/>
    <w:qFormat/>
    <w:uiPriority w:val="0"/>
    <w:rPr>
      <w:sz w:val="21"/>
      <w:szCs w:val="21"/>
    </w:rPr>
  </w:style>
  <w:style w:type="character" w:customStyle="1" w:styleId="450">
    <w:name w:val="HTML 预设格式 字符"/>
    <w:link w:val="73"/>
    <w:qFormat/>
    <w:uiPriority w:val="99"/>
    <w:rPr>
      <w:rFonts w:ascii="Courier New" w:hAnsi="Courier New" w:eastAsia="楷体_GB2312" w:cs="Courier New"/>
      <w:kern w:val="2"/>
    </w:rPr>
  </w:style>
  <w:style w:type="character" w:customStyle="1" w:styleId="451">
    <w:name w:val="HTML 预设格式 Char1"/>
    <w:semiHidden/>
    <w:qFormat/>
    <w:uiPriority w:val="99"/>
    <w:rPr>
      <w:rFonts w:ascii="Courier New" w:hAnsi="Courier New" w:cs="Courier New"/>
      <w:kern w:val="2"/>
    </w:rPr>
  </w:style>
  <w:style w:type="character" w:customStyle="1" w:styleId="452">
    <w:name w:val="标题 2字符"/>
    <w:qFormat/>
    <w:uiPriority w:val="0"/>
    <w:rPr>
      <w:b/>
      <w:kern w:val="2"/>
      <w:sz w:val="32"/>
    </w:rPr>
  </w:style>
  <w:style w:type="character" w:customStyle="1" w:styleId="453">
    <w:name w:val="正文2 Char"/>
    <w:link w:val="288"/>
    <w:qFormat/>
    <w:locked/>
    <w:uiPriority w:val="99"/>
    <w:rPr>
      <w:kern w:val="2"/>
      <w:sz w:val="24"/>
    </w:rPr>
  </w:style>
  <w:style w:type="character" w:customStyle="1" w:styleId="454">
    <w:name w:val="纯文本 字符"/>
    <w:link w:val="43"/>
    <w:qFormat/>
    <w:uiPriority w:val="99"/>
    <w:rPr>
      <w:rFonts w:ascii="宋体" w:hAnsi="Courier New"/>
      <w:kern w:val="2"/>
      <w:sz w:val="21"/>
    </w:rPr>
  </w:style>
  <w:style w:type="character" w:customStyle="1" w:styleId="455">
    <w:name w:val="main1"/>
    <w:qFormat/>
    <w:uiPriority w:val="0"/>
    <w:rPr>
      <w:rFonts w:hint="default" w:ascii="ˎ̥" w:hAnsi="ˎ̥"/>
      <w:sz w:val="21"/>
    </w:rPr>
  </w:style>
  <w:style w:type="character" w:customStyle="1" w:styleId="456">
    <w:name w:val="title14"/>
    <w:qFormat/>
    <w:uiPriority w:val="0"/>
  </w:style>
  <w:style w:type="character" w:customStyle="1" w:styleId="457">
    <w:name w:val="Heading 2 Char"/>
    <w:qFormat/>
    <w:locked/>
    <w:uiPriority w:val="0"/>
    <w:rPr>
      <w:rFonts w:ascii="Cambria" w:hAnsi="Cambria" w:eastAsia="黑体" w:cs="Times New Roman"/>
      <w:b/>
      <w:bCs/>
      <w:sz w:val="32"/>
      <w:szCs w:val="32"/>
    </w:rPr>
  </w:style>
  <w:style w:type="character" w:customStyle="1" w:styleId="458">
    <w:name w:val="title_sub_blue1"/>
    <w:qFormat/>
    <w:uiPriority w:val="0"/>
    <w:rPr>
      <w:rFonts w:hint="default" w:ascii="Arial" w:hAnsi="Arial" w:cs="Arial"/>
      <w:b/>
      <w:bCs/>
      <w:color w:val="16344F"/>
      <w:spacing w:val="0"/>
      <w:sz w:val="20"/>
      <w:szCs w:val="20"/>
      <w:u w:val="none"/>
    </w:rPr>
  </w:style>
  <w:style w:type="character" w:customStyle="1" w:styleId="459">
    <w:name w:val="ptb181"/>
    <w:qFormat/>
    <w:uiPriority w:val="0"/>
    <w:rPr>
      <w:rFonts w:ascii="Verdana" w:hAnsi="Verdana"/>
      <w:b/>
      <w:color w:val="000000"/>
      <w:sz w:val="27"/>
    </w:rPr>
  </w:style>
  <w:style w:type="character" w:customStyle="1" w:styleId="460">
    <w:name w:val="txt_cn_121"/>
    <w:qFormat/>
    <w:uiPriority w:val="0"/>
    <w:rPr>
      <w:rFonts w:hint="default" w:ascii="Arial" w:hAnsi="Arial" w:cs="Arial"/>
      <w:color w:val="666666"/>
      <w:sz w:val="18"/>
      <w:szCs w:val="18"/>
      <w:u w:val="none"/>
    </w:rPr>
  </w:style>
  <w:style w:type="character" w:customStyle="1" w:styleId="461">
    <w:name w:val="font31"/>
    <w:basedOn w:val="81"/>
    <w:qFormat/>
    <w:uiPriority w:val="0"/>
    <w:rPr>
      <w:rFonts w:hint="eastAsia" w:ascii="仿宋_GB2312" w:eastAsia="仿宋_GB2312"/>
      <w:color w:val="000000"/>
      <w:sz w:val="22"/>
      <w:szCs w:val="22"/>
      <w:u w:val="none"/>
    </w:rPr>
  </w:style>
  <w:style w:type="character" w:customStyle="1" w:styleId="462">
    <w:name w:val="标题 字符"/>
    <w:link w:val="76"/>
    <w:qFormat/>
    <w:uiPriority w:val="0"/>
    <w:rPr>
      <w:rFonts w:ascii="Arial" w:hAnsi="Arial" w:eastAsia="楷体_GB2312" w:cs="Arial"/>
      <w:b/>
      <w:bCs/>
      <w:kern w:val="2"/>
      <w:sz w:val="32"/>
      <w:szCs w:val="32"/>
      <w:lang w:val="en-US" w:eastAsia="zh-CN" w:bidi="ar-SA"/>
    </w:rPr>
  </w:style>
  <w:style w:type="character" w:customStyle="1" w:styleId="463">
    <w:name w:val="正文文本 字符"/>
    <w:link w:val="3"/>
    <w:qFormat/>
    <w:uiPriority w:val="0"/>
    <w:rPr>
      <w:rFonts w:ascii="宋体"/>
      <w:color w:val="FF0000"/>
      <w:sz w:val="24"/>
    </w:rPr>
  </w:style>
  <w:style w:type="character" w:customStyle="1" w:styleId="464">
    <w:name w:val="标题 3 字符"/>
    <w:link w:val="6"/>
    <w:qFormat/>
    <w:uiPriority w:val="0"/>
    <w:rPr>
      <w:rFonts w:ascii="Arial" w:hAnsi="宋体"/>
      <w:b/>
      <w:kern w:val="2"/>
      <w:sz w:val="28"/>
    </w:rPr>
  </w:style>
  <w:style w:type="character" w:customStyle="1" w:styleId="465">
    <w:name w:val="标题 4 Char Char Char"/>
    <w:qFormat/>
    <w:uiPriority w:val="0"/>
    <w:rPr>
      <w:rFonts w:ascii="Arial" w:hAnsi="Arial" w:eastAsia="黑体"/>
      <w:b/>
      <w:bCs/>
      <w:kern w:val="2"/>
      <w:sz w:val="28"/>
      <w:szCs w:val="28"/>
      <w:lang w:val="en-US" w:eastAsia="zh-CN" w:bidi="ar-SA"/>
    </w:rPr>
  </w:style>
  <w:style w:type="character" w:customStyle="1" w:styleId="466">
    <w:name w:val="自定义正文 Char"/>
    <w:link w:val="234"/>
    <w:qFormat/>
    <w:locked/>
    <w:uiPriority w:val="0"/>
    <w:rPr>
      <w:rFonts w:ascii="仿宋_GB2312" w:eastAsia="仿宋_GB2312"/>
      <w:sz w:val="24"/>
      <w:lang w:bidi="ar-SA"/>
    </w:rPr>
  </w:style>
  <w:style w:type="character" w:customStyle="1" w:styleId="467">
    <w:name w:val="Char Char7"/>
    <w:qFormat/>
    <w:uiPriority w:val="0"/>
    <w:rPr>
      <w:rFonts w:ascii="Times New Roman" w:hAnsi="Times New Roman"/>
      <w:kern w:val="2"/>
      <w:sz w:val="24"/>
      <w:szCs w:val="24"/>
    </w:rPr>
  </w:style>
  <w:style w:type="character" w:customStyle="1" w:styleId="468">
    <w:name w:val="正文缩进1 Char"/>
    <w:qFormat/>
    <w:uiPriority w:val="0"/>
    <w:rPr>
      <w:rFonts w:eastAsia="宋体"/>
      <w:kern w:val="2"/>
      <w:sz w:val="21"/>
      <w:lang w:val="en-US" w:eastAsia="zh-CN"/>
    </w:rPr>
  </w:style>
  <w:style w:type="character" w:customStyle="1" w:styleId="469">
    <w:name w:val="Char Char13"/>
    <w:qFormat/>
    <w:uiPriority w:val="0"/>
    <w:rPr>
      <w:rFonts w:ascii="Arial" w:hAnsi="Arial" w:eastAsia="仿宋_GB2312"/>
      <w:b/>
      <w:bCs/>
      <w:kern w:val="2"/>
      <w:sz w:val="28"/>
      <w:szCs w:val="32"/>
    </w:rPr>
  </w:style>
  <w:style w:type="character" w:customStyle="1" w:styleId="470">
    <w:name w:val="正文文本缩进 3 字符"/>
    <w:link w:val="65"/>
    <w:qFormat/>
    <w:uiPriority w:val="0"/>
    <w:rPr>
      <w:rFonts w:ascii="Arial" w:hAnsi="Arial"/>
      <w:color w:val="FF0000"/>
      <w:kern w:val="2"/>
      <w:sz w:val="24"/>
    </w:rPr>
  </w:style>
  <w:style w:type="character" w:customStyle="1" w:styleId="471">
    <w:name w:val="Char Char24"/>
    <w:qFormat/>
    <w:uiPriority w:val="0"/>
    <w:rPr>
      <w:rFonts w:ascii="Arial" w:hAnsi="宋体"/>
      <w:b/>
      <w:kern w:val="2"/>
      <w:sz w:val="28"/>
    </w:rPr>
  </w:style>
  <w:style w:type="character" w:customStyle="1" w:styleId="472">
    <w:name w:val="文章标题 3 Char Char Char"/>
    <w:link w:val="248"/>
    <w:qFormat/>
    <w:uiPriority w:val="0"/>
    <w:rPr>
      <w:rFonts w:ascii="Arial" w:hAnsi="Arial" w:eastAsia="黑体"/>
      <w:kern w:val="2"/>
      <w:sz w:val="28"/>
      <w:lang w:val="en-US" w:eastAsia="zh-CN"/>
    </w:rPr>
  </w:style>
  <w:style w:type="character" w:customStyle="1" w:styleId="473">
    <w:name w:val="font01"/>
    <w:basedOn w:val="81"/>
    <w:qFormat/>
    <w:uiPriority w:val="0"/>
    <w:rPr>
      <w:rFonts w:hint="default" w:ascii="Times New Roman" w:hAnsi="Times New Roman" w:cs="Times New Roman"/>
      <w:color w:val="000000"/>
      <w:sz w:val="21"/>
      <w:szCs w:val="21"/>
      <w:u w:val="none"/>
    </w:rPr>
  </w:style>
  <w:style w:type="character" w:customStyle="1" w:styleId="474">
    <w:name w:val="H5 Char"/>
    <w:qFormat/>
    <w:uiPriority w:val="0"/>
    <w:rPr>
      <w:rFonts w:ascii="宋体" w:eastAsia="宋体"/>
      <w:b/>
      <w:color w:val="FF0000"/>
      <w:kern w:val="2"/>
      <w:sz w:val="24"/>
      <w:lang w:val="en-US" w:eastAsia="zh-CN"/>
    </w:rPr>
  </w:style>
  <w:style w:type="character" w:customStyle="1" w:styleId="475">
    <w:name w:val="TITRE1 Char"/>
    <w:qFormat/>
    <w:uiPriority w:val="0"/>
    <w:rPr>
      <w:rFonts w:eastAsia="宋体"/>
      <w:b/>
      <w:bCs/>
      <w:kern w:val="44"/>
      <w:sz w:val="44"/>
      <w:szCs w:val="44"/>
      <w:lang w:val="en-US" w:eastAsia="zh-CN" w:bidi="ar-SA"/>
    </w:rPr>
  </w:style>
  <w:style w:type="character" w:customStyle="1" w:styleId="476">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7">
    <w:name w:val="font3"/>
    <w:basedOn w:val="81"/>
    <w:qFormat/>
    <w:uiPriority w:val="0"/>
  </w:style>
  <w:style w:type="character" w:customStyle="1" w:styleId="478">
    <w:name w:val="Heading 4 Char"/>
    <w:qFormat/>
    <w:locked/>
    <w:uiPriority w:val="0"/>
    <w:rPr>
      <w:rFonts w:ascii="Cambria" w:hAnsi="Cambria" w:eastAsia="黑体" w:cs="Times New Roman"/>
      <w:b/>
      <w:bCs/>
      <w:sz w:val="28"/>
      <w:szCs w:val="28"/>
    </w:rPr>
  </w:style>
  <w:style w:type="character" w:customStyle="1" w:styleId="479">
    <w:name w:val="tx1"/>
    <w:qFormat/>
    <w:uiPriority w:val="0"/>
    <w:rPr>
      <w:b/>
    </w:rPr>
  </w:style>
  <w:style w:type="character" w:customStyle="1" w:styleId="480">
    <w:name w:val="标书正文:  0.74 厘米 Char"/>
    <w:link w:val="224"/>
    <w:qFormat/>
    <w:uiPriority w:val="0"/>
    <w:rPr>
      <w:rFonts w:eastAsia="宋体"/>
      <w:kern w:val="2"/>
      <w:sz w:val="24"/>
      <w:lang w:val="en-US" w:eastAsia="zh-CN" w:bidi="ar-SA"/>
    </w:rPr>
  </w:style>
  <w:style w:type="character" w:customStyle="1" w:styleId="481">
    <w:name w:val="标题 1 Char Char"/>
    <w:qFormat/>
    <w:uiPriority w:val="0"/>
    <w:rPr>
      <w:rFonts w:eastAsia="宋体"/>
      <w:b/>
      <w:spacing w:val="-2"/>
      <w:sz w:val="24"/>
      <w:lang w:val="en-US" w:eastAsia="zh-CN" w:bidi="ar-SA"/>
    </w:rPr>
  </w:style>
  <w:style w:type="character" w:customStyle="1" w:styleId="482">
    <w:name w:val="标题 2 字符"/>
    <w:link w:val="5"/>
    <w:qFormat/>
    <w:uiPriority w:val="0"/>
    <w:rPr>
      <w:b/>
      <w:kern w:val="2"/>
      <w:sz w:val="32"/>
    </w:rPr>
  </w:style>
  <w:style w:type="character" w:customStyle="1" w:styleId="483">
    <w:name w:val="title_emph1"/>
    <w:qFormat/>
    <w:uiPriority w:val="0"/>
    <w:rPr>
      <w:rFonts w:hint="default" w:ascii="Arial" w:hAnsi="Arial"/>
      <w:b/>
      <w:sz w:val="18"/>
    </w:rPr>
  </w:style>
  <w:style w:type="character" w:customStyle="1" w:styleId="484">
    <w:name w:val="标题 1 字符"/>
    <w:link w:val="4"/>
    <w:qFormat/>
    <w:uiPriority w:val="0"/>
    <w:rPr>
      <w:rFonts w:ascii="宋体"/>
      <w:color w:val="000000"/>
      <w:sz w:val="36"/>
    </w:rPr>
  </w:style>
  <w:style w:type="character" w:customStyle="1" w:styleId="485">
    <w:name w:val="Heading 1 Char"/>
    <w:qFormat/>
    <w:locked/>
    <w:uiPriority w:val="0"/>
    <w:rPr>
      <w:rFonts w:ascii="Times New Roman" w:hAnsi="Times New Roman" w:eastAsia="宋体" w:cs="Times New Roman"/>
      <w:b/>
      <w:bCs/>
      <w:kern w:val="44"/>
      <w:sz w:val="44"/>
      <w:szCs w:val="44"/>
    </w:rPr>
  </w:style>
  <w:style w:type="character" w:customStyle="1" w:styleId="486">
    <w:name w:val="textfont1"/>
    <w:qFormat/>
    <w:uiPriority w:val="0"/>
    <w:rPr>
      <w:spacing w:val="31680"/>
      <w:sz w:val="26"/>
    </w:rPr>
  </w:style>
  <w:style w:type="character" w:customStyle="1" w:styleId="487">
    <w:name w:val="font101"/>
    <w:basedOn w:val="81"/>
    <w:qFormat/>
    <w:uiPriority w:val="0"/>
    <w:rPr>
      <w:rFonts w:hint="default" w:ascii="Arial" w:hAnsi="Arial" w:cs="Arial"/>
      <w:color w:val="000000"/>
      <w:sz w:val="22"/>
      <w:szCs w:val="22"/>
      <w:u w:val="none"/>
    </w:rPr>
  </w:style>
  <w:style w:type="character" w:customStyle="1" w:styleId="488">
    <w:name w:val="Normal Indent Char"/>
    <w:qFormat/>
    <w:locked/>
    <w:uiPriority w:val="0"/>
    <w:rPr>
      <w:rFonts w:ascii="Times New Roman" w:hAnsi="Times New Roman"/>
    </w:rPr>
  </w:style>
  <w:style w:type="character" w:customStyle="1" w:styleId="489">
    <w:name w:val="pi1"/>
    <w:qFormat/>
    <w:uiPriority w:val="0"/>
    <w:rPr>
      <w:color w:val="0000FF"/>
    </w:rPr>
  </w:style>
  <w:style w:type="character" w:customStyle="1" w:styleId="490">
    <w:name w:val="b titlename wangputoptitle"/>
    <w:qFormat/>
    <w:uiPriority w:val="0"/>
  </w:style>
  <w:style w:type="character" w:customStyle="1" w:styleId="491">
    <w:name w:val="正文缩进4"/>
    <w:qFormat/>
    <w:uiPriority w:val="0"/>
    <w:rPr>
      <w:rFonts w:eastAsia="宋体"/>
      <w:sz w:val="24"/>
      <w:lang w:val="en-US" w:eastAsia="zh-CN"/>
    </w:rPr>
  </w:style>
  <w:style w:type="character" w:customStyle="1" w:styleId="492">
    <w:name w:val="样式5 Char"/>
    <w:link w:val="245"/>
    <w:qFormat/>
    <w:uiPriority w:val="0"/>
    <w:rPr>
      <w:rFonts w:ascii="宋体" w:hAnsi="宋体" w:eastAsia="宋体"/>
      <w:b/>
      <w:bCs/>
      <w:color w:val="000000"/>
      <w:kern w:val="44"/>
      <w:sz w:val="28"/>
      <w:szCs w:val="32"/>
      <w:lang w:val="en-US" w:eastAsia="zh-CN" w:bidi="ar-SA"/>
    </w:rPr>
  </w:style>
  <w:style w:type="character" w:customStyle="1" w:styleId="493">
    <w:name w:val="Date Char"/>
    <w:qFormat/>
    <w:locked/>
    <w:uiPriority w:val="0"/>
    <w:rPr>
      <w:rFonts w:ascii="楷体_GB2312" w:eastAsia="楷体_GB2312" w:cs="Times New Roman"/>
      <w:sz w:val="32"/>
    </w:rPr>
  </w:style>
  <w:style w:type="character" w:customStyle="1" w:styleId="494">
    <w:name w:val="Header Char"/>
    <w:qFormat/>
    <w:locked/>
    <w:uiPriority w:val="0"/>
    <w:rPr>
      <w:rFonts w:cs="Times New Roman"/>
      <w:sz w:val="18"/>
      <w:szCs w:val="18"/>
    </w:rPr>
  </w:style>
  <w:style w:type="character" w:customStyle="1" w:styleId="495">
    <w:name w:val="unnamed51"/>
    <w:qFormat/>
    <w:uiPriority w:val="0"/>
    <w:rPr>
      <w:sz w:val="22"/>
      <w:szCs w:val="22"/>
    </w:rPr>
  </w:style>
  <w:style w:type="character" w:customStyle="1" w:styleId="496">
    <w:name w:val="H6 Char"/>
    <w:qFormat/>
    <w:uiPriority w:val="0"/>
    <w:rPr>
      <w:rFonts w:ascii="Arial" w:hAnsi="Arial" w:eastAsia="黑体"/>
      <w:b/>
      <w:kern w:val="2"/>
      <w:sz w:val="24"/>
      <w:lang w:val="en-US" w:eastAsia="zh-CN" w:bidi="ar-SA"/>
    </w:rPr>
  </w:style>
  <w:style w:type="character" w:customStyle="1" w:styleId="497">
    <w:name w:val="正文缩进 字符"/>
    <w:link w:val="21"/>
    <w:qFormat/>
    <w:uiPriority w:val="0"/>
    <w:rPr>
      <w:rFonts w:eastAsia="宋体"/>
      <w:kern w:val="2"/>
      <w:sz w:val="21"/>
      <w:lang w:val="en-US" w:eastAsia="zh-CN"/>
    </w:rPr>
  </w:style>
  <w:style w:type="character" w:customStyle="1" w:styleId="498">
    <w:name w:val="font122"/>
    <w:basedOn w:val="81"/>
    <w:qFormat/>
    <w:uiPriority w:val="0"/>
    <w:rPr>
      <w:rFonts w:hint="eastAsia" w:ascii="宋体" w:hAnsi="宋体" w:eastAsia="宋体" w:cs="宋体"/>
      <w:color w:val="000000"/>
      <w:sz w:val="22"/>
      <w:szCs w:val="22"/>
      <w:u w:val="none"/>
    </w:rPr>
  </w:style>
  <w:style w:type="character" w:customStyle="1" w:styleId="499">
    <w:name w:val="sony121"/>
    <w:qFormat/>
    <w:uiPriority w:val="0"/>
    <w:rPr>
      <w:rFonts w:hint="eastAsia" w:ascii="宋体" w:hAnsi="宋体" w:eastAsia="宋体"/>
      <w:sz w:val="18"/>
      <w:szCs w:val="18"/>
    </w:rPr>
  </w:style>
  <w:style w:type="character" w:customStyle="1" w:styleId="500">
    <w:name w:val="t1"/>
    <w:qFormat/>
    <w:uiPriority w:val="0"/>
    <w:rPr>
      <w:color w:val="990000"/>
    </w:rPr>
  </w:style>
  <w:style w:type="character" w:customStyle="1" w:styleId="501">
    <w:name w:val="文档结构图 字符"/>
    <w:link w:val="26"/>
    <w:qFormat/>
    <w:uiPriority w:val="0"/>
    <w:rPr>
      <w:kern w:val="2"/>
      <w:sz w:val="24"/>
      <w:shd w:val="clear" w:color="auto" w:fill="000080"/>
    </w:rPr>
  </w:style>
  <w:style w:type="character" w:customStyle="1" w:styleId="502">
    <w:name w:val="Char Char11"/>
    <w:qFormat/>
    <w:uiPriority w:val="0"/>
    <w:rPr>
      <w:sz w:val="18"/>
      <w:szCs w:val="18"/>
    </w:rPr>
  </w:style>
  <w:style w:type="character" w:customStyle="1" w:styleId="503">
    <w:name w:val="NormalCharacter"/>
    <w:semiHidden/>
    <w:qFormat/>
    <w:uiPriority w:val="0"/>
  </w:style>
  <w:style w:type="character" w:customStyle="1" w:styleId="504">
    <w:name w:val="highlight1"/>
    <w:qFormat/>
    <w:uiPriority w:val="0"/>
    <w:rPr>
      <w:sz w:val="21"/>
    </w:rPr>
  </w:style>
  <w:style w:type="character" w:customStyle="1" w:styleId="505">
    <w:name w:val="抬头 Char"/>
    <w:qFormat/>
    <w:uiPriority w:val="0"/>
    <w:rPr>
      <w:rFonts w:eastAsia="宋体"/>
      <w:sz w:val="30"/>
      <w:szCs w:val="30"/>
      <w:lang w:val="en-US" w:eastAsia="zh-CN" w:bidi="ar-SA"/>
    </w:rPr>
  </w:style>
  <w:style w:type="character" w:customStyle="1" w:styleId="506">
    <w:name w:val="样式1 Char"/>
    <w:link w:val="212"/>
    <w:qFormat/>
    <w:uiPriority w:val="0"/>
    <w:rPr>
      <w:rFonts w:ascii="宋体" w:hAnsi="宋体" w:eastAsia="宋体"/>
      <w:b/>
      <w:bCs/>
      <w:kern w:val="2"/>
      <w:sz w:val="44"/>
      <w:szCs w:val="24"/>
      <w:lang w:val="en-US" w:eastAsia="zh-CN" w:bidi="ar-SA"/>
    </w:rPr>
  </w:style>
  <w:style w:type="character" w:customStyle="1" w:styleId="507">
    <w:name w:val="标段 Char"/>
    <w:qFormat/>
    <w:uiPriority w:val="0"/>
    <w:rPr>
      <w:rFonts w:ascii="宋体" w:hAnsi="宋体" w:eastAsia="宋体"/>
      <w:sz w:val="24"/>
      <w:szCs w:val="21"/>
      <w:u w:val="thick"/>
      <w:lang w:val="en-US" w:eastAsia="zh-CN" w:bidi="ar-SA"/>
    </w:rPr>
  </w:style>
  <w:style w:type="character" w:customStyle="1" w:styleId="508">
    <w:name w:val="普通(网站) 字符"/>
    <w:link w:val="74"/>
    <w:qFormat/>
    <w:uiPriority w:val="0"/>
    <w:rPr>
      <w:rFonts w:ascii="宋体" w:hAnsi="宋体"/>
      <w:sz w:val="22"/>
    </w:rPr>
  </w:style>
  <w:style w:type="character" w:customStyle="1" w:styleId="509">
    <w:name w:val="正文文本缩进字符"/>
    <w:qFormat/>
    <w:uiPriority w:val="0"/>
    <w:rPr>
      <w:rFonts w:ascii="宋体"/>
      <w:kern w:val="2"/>
      <w:sz w:val="24"/>
    </w:rPr>
  </w:style>
  <w:style w:type="character" w:customStyle="1" w:styleId="510">
    <w:name w:val="标题 4 Char Char"/>
    <w:qFormat/>
    <w:uiPriority w:val="0"/>
    <w:rPr>
      <w:rFonts w:ascii="Arial" w:hAnsi="Arial" w:eastAsia="黑体"/>
      <w:b/>
      <w:kern w:val="2"/>
      <w:sz w:val="28"/>
      <w:lang w:val="en-US" w:eastAsia="zh-CN"/>
    </w:rPr>
  </w:style>
  <w:style w:type="character" w:customStyle="1" w:styleId="511">
    <w:name w:val="Char Char14"/>
    <w:qFormat/>
    <w:uiPriority w:val="0"/>
    <w:rPr>
      <w:rFonts w:ascii="Times New Roman" w:hAnsi="Times New Roman" w:eastAsia="仿宋_GB2312"/>
      <w:b/>
      <w:bCs/>
      <w:kern w:val="44"/>
      <w:sz w:val="30"/>
      <w:szCs w:val="44"/>
    </w:rPr>
  </w:style>
  <w:style w:type="character" w:customStyle="1" w:styleId="512">
    <w:name w:val="Char Char1"/>
    <w:qFormat/>
    <w:uiPriority w:val="0"/>
    <w:rPr>
      <w:kern w:val="2"/>
      <w:sz w:val="21"/>
      <w:szCs w:val="24"/>
    </w:rPr>
  </w:style>
  <w:style w:type="character" w:customStyle="1" w:styleId="513">
    <w:name w:val="font51"/>
    <w:basedOn w:val="81"/>
    <w:qFormat/>
    <w:uiPriority w:val="0"/>
    <w:rPr>
      <w:rFonts w:hint="eastAsia" w:ascii="宋体" w:hAnsi="宋体" w:eastAsia="宋体" w:cs="宋体"/>
      <w:b/>
      <w:color w:val="000000"/>
      <w:sz w:val="24"/>
      <w:szCs w:val="24"/>
      <w:u w:val="none"/>
    </w:rPr>
  </w:style>
  <w:style w:type="character" w:customStyle="1" w:styleId="514">
    <w:name w:val="ask-title2"/>
    <w:basedOn w:val="81"/>
    <w:qFormat/>
    <w:uiPriority w:val="0"/>
  </w:style>
  <w:style w:type="character" w:customStyle="1" w:styleId="515">
    <w:name w:val="页眉 字符"/>
    <w:link w:val="52"/>
    <w:qFormat/>
    <w:uiPriority w:val="99"/>
    <w:rPr>
      <w:sz w:val="18"/>
    </w:rPr>
  </w:style>
  <w:style w:type="character" w:customStyle="1" w:styleId="516">
    <w:name w:val="首行缩进:  2 字符 Char Char"/>
    <w:link w:val="247"/>
    <w:qFormat/>
    <w:uiPriority w:val="0"/>
    <w:rPr>
      <w:rFonts w:eastAsia="仿宋_GB2312" w:cs="宋体"/>
      <w:sz w:val="24"/>
      <w:lang w:val="en-US" w:eastAsia="zh-CN" w:bidi="ar-SA"/>
    </w:rPr>
  </w:style>
  <w:style w:type="character" w:customStyle="1" w:styleId="517">
    <w:name w:val="日期 字符"/>
    <w:link w:val="47"/>
    <w:qFormat/>
    <w:uiPriority w:val="99"/>
    <w:rPr>
      <w:rFonts w:ascii="楷体_GB2312" w:eastAsia="楷体_GB2312"/>
      <w:sz w:val="32"/>
    </w:rPr>
  </w:style>
  <w:style w:type="character" w:customStyle="1" w:styleId="518">
    <w:name w:val="ns1"/>
    <w:qFormat/>
    <w:uiPriority w:val="0"/>
    <w:rPr>
      <w:color w:val="FF0000"/>
    </w:rPr>
  </w:style>
  <w:style w:type="character" w:customStyle="1" w:styleId="519">
    <w:name w:val="m1"/>
    <w:qFormat/>
    <w:uiPriority w:val="0"/>
    <w:rPr>
      <w:color w:val="0000FF"/>
    </w:rPr>
  </w:style>
  <w:style w:type="character" w:customStyle="1" w:styleId="520">
    <w:name w:val="标题 7 字符"/>
    <w:link w:val="11"/>
    <w:qFormat/>
    <w:uiPriority w:val="0"/>
    <w:rPr>
      <w:rFonts w:eastAsia="宋体"/>
      <w:b/>
      <w:kern w:val="2"/>
      <w:sz w:val="24"/>
      <w:lang w:val="en-US" w:eastAsia="zh-CN" w:bidi="ar-SA"/>
    </w:rPr>
  </w:style>
  <w:style w:type="character" w:customStyle="1" w:styleId="521">
    <w:name w:val="Char Char8"/>
    <w:qFormat/>
    <w:uiPriority w:val="0"/>
    <w:rPr>
      <w:rFonts w:ascii="Times New Roman" w:hAnsi="Times New Roman"/>
      <w:kern w:val="2"/>
      <w:sz w:val="24"/>
      <w:szCs w:val="21"/>
    </w:rPr>
  </w:style>
  <w:style w:type="character" w:customStyle="1" w:styleId="522">
    <w:name w:val="正文文本样式 Char"/>
    <w:link w:val="148"/>
    <w:qFormat/>
    <w:uiPriority w:val="0"/>
    <w:rPr>
      <w:rFonts w:ascii="Arial" w:hAnsi="Arial"/>
      <w:kern w:val="2"/>
      <w:sz w:val="24"/>
      <w:szCs w:val="22"/>
      <w:lang w:val="en-US" w:eastAsia="zh-CN" w:bidi="ar-SA"/>
    </w:rPr>
  </w:style>
  <w:style w:type="character" w:customStyle="1" w:styleId="523">
    <w:name w:val="页脚 字符"/>
    <w:link w:val="51"/>
    <w:qFormat/>
    <w:uiPriority w:val="99"/>
    <w:rPr>
      <w:kern w:val="2"/>
      <w:sz w:val="18"/>
    </w:rPr>
  </w:style>
  <w:style w:type="character" w:customStyle="1" w:styleId="524">
    <w:name w:val="标题 8 字符"/>
    <w:link w:val="12"/>
    <w:qFormat/>
    <w:uiPriority w:val="0"/>
    <w:rPr>
      <w:rFonts w:ascii="Arial" w:hAnsi="Arial" w:eastAsia="黑体"/>
      <w:kern w:val="2"/>
      <w:sz w:val="24"/>
      <w:lang w:val="en-US" w:eastAsia="zh-CN" w:bidi="ar-SA"/>
    </w:rPr>
  </w:style>
  <w:style w:type="character" w:customStyle="1" w:styleId="525">
    <w:name w:val="标题 6 字符"/>
    <w:link w:val="10"/>
    <w:qFormat/>
    <w:uiPriority w:val="0"/>
    <w:rPr>
      <w:rFonts w:ascii="Arial" w:hAnsi="Arial" w:eastAsia="黑体"/>
      <w:kern w:val="2"/>
      <w:sz w:val="24"/>
    </w:rPr>
  </w:style>
  <w:style w:type="character" w:customStyle="1" w:styleId="526">
    <w:name w:val="正文文本缩进 2 字符"/>
    <w:link w:val="48"/>
    <w:qFormat/>
    <w:uiPriority w:val="0"/>
    <w:rPr>
      <w:rFonts w:ascii="Arial" w:hAnsi="Arial" w:eastAsia="LineDraw"/>
      <w:kern w:val="2"/>
      <w:sz w:val="24"/>
    </w:rPr>
  </w:style>
  <w:style w:type="character" w:customStyle="1" w:styleId="527">
    <w:name w:val="标题一 Char"/>
    <w:qFormat/>
    <w:uiPriority w:val="0"/>
    <w:rPr>
      <w:rFonts w:ascii="宋体" w:hAnsi="宋体" w:eastAsia="宋体"/>
      <w:b/>
      <w:sz w:val="28"/>
      <w:szCs w:val="21"/>
      <w:lang w:val="en-US" w:eastAsia="zh-CN" w:bidi="ar-SA"/>
    </w:rPr>
  </w:style>
  <w:style w:type="character" w:customStyle="1" w:styleId="528">
    <w:name w:val="题注 字符"/>
    <w:link w:val="22"/>
    <w:qFormat/>
    <w:uiPriority w:val="0"/>
    <w:rPr>
      <w:rFonts w:ascii="Arial" w:hAnsi="Arial" w:eastAsia="黑体"/>
      <w:spacing w:val="10"/>
      <w:kern w:val="2"/>
    </w:rPr>
  </w:style>
  <w:style w:type="character" w:customStyle="1" w:styleId="529">
    <w:name w:val="正文文本首行缩进 字符"/>
    <w:link w:val="2"/>
    <w:qFormat/>
    <w:uiPriority w:val="0"/>
    <w:rPr>
      <w:kern w:val="2"/>
      <w:sz w:val="24"/>
    </w:rPr>
  </w:style>
  <w:style w:type="character" w:customStyle="1" w:styleId="530">
    <w:name w:val="标题 4 字符"/>
    <w:link w:val="7"/>
    <w:qFormat/>
    <w:uiPriority w:val="0"/>
    <w:rPr>
      <w:b/>
      <w:kern w:val="2"/>
      <w:sz w:val="28"/>
    </w:rPr>
  </w:style>
  <w:style w:type="character" w:customStyle="1" w:styleId="531">
    <w:name w:val="标题 5 字符"/>
    <w:link w:val="8"/>
    <w:qFormat/>
    <w:uiPriority w:val="0"/>
    <w:rPr>
      <w:b/>
      <w:kern w:val="2"/>
      <w:sz w:val="24"/>
    </w:rPr>
  </w:style>
  <w:style w:type="character" w:customStyle="1" w:styleId="532">
    <w:name w:val="批注文字 字符"/>
    <w:link w:val="28"/>
    <w:qFormat/>
    <w:uiPriority w:val="0"/>
    <w:rPr>
      <w:kern w:val="2"/>
      <w:sz w:val="24"/>
    </w:rPr>
  </w:style>
  <w:style w:type="character" w:customStyle="1" w:styleId="533">
    <w:name w:val="批注框文本 字符"/>
    <w:link w:val="50"/>
    <w:semiHidden/>
    <w:qFormat/>
    <w:uiPriority w:val="99"/>
    <w:rPr>
      <w:rFonts w:ascii="宋体" w:eastAsia="宋体"/>
      <w:color w:val="FF0000"/>
      <w:kern w:val="2"/>
      <w:sz w:val="24"/>
      <w:lang w:val="en-US" w:eastAsia="zh-CN" w:bidi="ar-SA"/>
    </w:rPr>
  </w:style>
  <w:style w:type="character" w:customStyle="1" w:styleId="534">
    <w:name w:val="特点标题 Char"/>
    <w:qFormat/>
    <w:uiPriority w:val="0"/>
    <w:rPr>
      <w:rFonts w:ascii="宋体"/>
      <w:kern w:val="2"/>
      <w:sz w:val="24"/>
    </w:rPr>
  </w:style>
  <w:style w:type="character" w:customStyle="1" w:styleId="535">
    <w:name w:val="Char Char Char Char Char Char Char Char Char"/>
    <w:link w:val="252"/>
    <w:qFormat/>
    <w:uiPriority w:val="0"/>
    <w:rPr>
      <w:rFonts w:ascii="宋体" w:eastAsia="宋体"/>
      <w:color w:val="FF0000"/>
      <w:sz w:val="24"/>
      <w:lang w:val="en-US" w:eastAsia="zh-CN"/>
    </w:rPr>
  </w:style>
  <w:style w:type="character" w:customStyle="1" w:styleId="536">
    <w:name w:val="标题 3 Char"/>
    <w:qFormat/>
    <w:uiPriority w:val="0"/>
    <w:rPr>
      <w:rFonts w:hint="eastAsia" w:ascii="宋体" w:hAnsi="宋体" w:eastAsia="宋体"/>
      <w:b/>
      <w:bCs/>
      <w:kern w:val="2"/>
      <w:sz w:val="21"/>
      <w:szCs w:val="32"/>
      <w:lang w:val="en-US" w:eastAsia="zh-CN" w:bidi="ar-SA"/>
    </w:rPr>
  </w:style>
  <w:style w:type="character" w:customStyle="1" w:styleId="537">
    <w:name w:val="p12"/>
    <w:basedOn w:val="81"/>
    <w:qFormat/>
    <w:uiPriority w:val="0"/>
  </w:style>
  <w:style w:type="character" w:customStyle="1" w:styleId="538">
    <w:name w:val="Heading 3 Char"/>
    <w:qFormat/>
    <w:locked/>
    <w:uiPriority w:val="0"/>
    <w:rPr>
      <w:rFonts w:ascii="Times New Roman" w:hAnsi="Times New Roman" w:eastAsia="黑体" w:cs="Times New Roman"/>
      <w:b/>
      <w:bCs/>
      <w:sz w:val="32"/>
      <w:szCs w:val="32"/>
    </w:rPr>
  </w:style>
  <w:style w:type="character" w:customStyle="1" w:styleId="539">
    <w:name w:val="text_121"/>
    <w:qFormat/>
    <w:uiPriority w:val="0"/>
    <w:rPr>
      <w:rFonts w:hint="default" w:ascii="sө_x0002_" w:hAnsi="sө_x0002_"/>
      <w:color w:val="000000"/>
      <w:sz w:val="15"/>
      <w:szCs w:val="15"/>
    </w:rPr>
  </w:style>
  <w:style w:type="character" w:customStyle="1" w:styleId="540">
    <w:name w:val="正文样式 Char"/>
    <w:link w:val="319"/>
    <w:qFormat/>
    <w:uiPriority w:val="0"/>
    <w:rPr>
      <w:rFonts w:eastAsia="宋体" w:cs="宋体"/>
      <w:kern w:val="2"/>
      <w:sz w:val="21"/>
      <w:lang w:val="en-US" w:eastAsia="zh-CN" w:bidi="ar-SA"/>
    </w:rPr>
  </w:style>
  <w:style w:type="character" w:customStyle="1" w:styleId="541">
    <w:name w:val="Char Char12"/>
    <w:qFormat/>
    <w:uiPriority w:val="0"/>
    <w:rPr>
      <w:sz w:val="18"/>
      <w:szCs w:val="18"/>
    </w:rPr>
  </w:style>
  <w:style w:type="character" w:customStyle="1" w:styleId="542">
    <w:name w:val="font111"/>
    <w:basedOn w:val="81"/>
    <w:qFormat/>
    <w:uiPriority w:val="0"/>
    <w:rPr>
      <w:rFonts w:hint="eastAsia" w:ascii="黑体" w:hAnsi="宋体" w:eastAsia="黑体" w:cs="黑体"/>
      <w:color w:val="000000"/>
      <w:sz w:val="22"/>
      <w:szCs w:val="22"/>
      <w:u w:val="none"/>
    </w:rPr>
  </w:style>
  <w:style w:type="character" w:customStyle="1" w:styleId="543">
    <w:name w:val="font151"/>
    <w:basedOn w:val="81"/>
    <w:qFormat/>
    <w:uiPriority w:val="0"/>
    <w:rPr>
      <w:rFonts w:hint="default" w:ascii="Calibri" w:hAnsi="Calibri" w:cs="Calibri"/>
      <w:color w:val="000000"/>
      <w:sz w:val="22"/>
      <w:szCs w:val="22"/>
      <w:u w:val="none"/>
    </w:rPr>
  </w:style>
  <w:style w:type="character" w:customStyle="1" w:styleId="544">
    <w:name w:val="font141"/>
    <w:basedOn w:val="81"/>
    <w:qFormat/>
    <w:uiPriority w:val="0"/>
    <w:rPr>
      <w:rFonts w:hint="eastAsia" w:ascii="黑体" w:hAnsi="宋体" w:eastAsia="黑体" w:cs="黑体"/>
      <w:color w:val="000000"/>
      <w:sz w:val="22"/>
      <w:szCs w:val="22"/>
      <w:u w:val="none"/>
    </w:rPr>
  </w:style>
  <w:style w:type="character" w:customStyle="1" w:styleId="545">
    <w:name w:val="font91"/>
    <w:basedOn w:val="81"/>
    <w:qFormat/>
    <w:uiPriority w:val="0"/>
    <w:rPr>
      <w:rFonts w:ascii="Segoe UI Symbol" w:hAnsi="Segoe UI Symbol" w:eastAsia="Segoe UI Symbol" w:cs="Segoe UI Symbol"/>
      <w:color w:val="000000"/>
      <w:sz w:val="22"/>
      <w:szCs w:val="22"/>
      <w:u w:val="none"/>
    </w:rPr>
  </w:style>
  <w:style w:type="paragraph" w:customStyle="1" w:styleId="546">
    <w:name w:val="list number ＋left spaceing"/>
    <w:basedOn w:val="20"/>
    <w:qFormat/>
    <w:uiPriority w:val="0"/>
    <w:pPr>
      <w:widowControl/>
      <w:tabs>
        <w:tab w:val="left" w:pos="360"/>
      </w:tabs>
      <w:ind w:left="0"/>
    </w:pPr>
    <w:rPr>
      <w:rFonts w:ascii="Times New Roman" w:hAnsi="Times New Roman" w:eastAsia="宋体" w:cs="Times New Roman"/>
      <w:kern w:val="0"/>
    </w:rPr>
  </w:style>
  <w:style w:type="character" w:customStyle="1" w:styleId="547">
    <w:name w:val="font61"/>
    <w:basedOn w:val="81"/>
    <w:qFormat/>
    <w:uiPriority w:val="0"/>
    <w:rPr>
      <w:rFonts w:hint="eastAsia" w:ascii="宋体" w:hAnsi="宋体" w:eastAsia="宋体" w:cs="宋体"/>
      <w:color w:val="000000"/>
      <w:sz w:val="21"/>
      <w:szCs w:val="21"/>
      <w:u w:val="none"/>
    </w:rPr>
  </w:style>
  <w:style w:type="character" w:customStyle="1" w:styleId="548">
    <w:name w:val="font41"/>
    <w:basedOn w:val="81"/>
    <w:qFormat/>
    <w:uiPriority w:val="0"/>
    <w:rPr>
      <w:rFonts w:hint="eastAsia" w:ascii="宋体" w:hAnsi="宋体" w:eastAsia="宋体" w:cs="宋体"/>
      <w:bCs/>
      <w:color w:val="000000"/>
      <w:sz w:val="18"/>
      <w:szCs w:val="18"/>
      <w:u w:val="none"/>
    </w:rPr>
  </w:style>
  <w:style w:type="paragraph" w:customStyle="1" w:styleId="549">
    <w:name w:val="正文文本首行缩进 21"/>
    <w:basedOn w:val="550"/>
    <w:qFormat/>
    <w:uiPriority w:val="0"/>
    <w:pPr>
      <w:ind w:firstLine="420"/>
    </w:pPr>
    <w:rPr>
      <w:rFonts w:cs="宋体"/>
    </w:rPr>
  </w:style>
  <w:style w:type="paragraph" w:customStyle="1" w:styleId="550">
    <w:name w:val="Body Text Indent1"/>
    <w:basedOn w:val="1"/>
    <w:next w:val="1"/>
    <w:qFormat/>
    <w:uiPriority w:val="0"/>
    <w:pPr>
      <w:spacing w:after="120"/>
      <w:ind w:left="420" w:leftChars="200"/>
    </w:pPr>
    <w:rPr>
      <w:color w:val="000000"/>
      <w:sz w:val="21"/>
      <w:szCs w:val="21"/>
    </w:rPr>
  </w:style>
  <w:style w:type="paragraph" w:customStyle="1" w:styleId="551">
    <w:name w:val="正文缩进1"/>
    <w:basedOn w:val="1"/>
    <w:next w:val="33"/>
    <w:qFormat/>
    <w:uiPriority w:val="0"/>
    <w:pPr>
      <w:autoSpaceDE w:val="0"/>
      <w:autoSpaceDN w:val="0"/>
      <w:snapToGrid w:val="0"/>
      <w:spacing w:after="120" w:line="360" w:lineRule="auto"/>
      <w:ind w:left="420" w:leftChars="200" w:firstLine="480" w:firstLineChars="200"/>
    </w:pPr>
    <w:rPr>
      <w:szCs w:val="21"/>
    </w:rPr>
  </w:style>
  <w:style w:type="paragraph" w:customStyle="1" w:styleId="552">
    <w:name w:val="索引 11"/>
    <w:basedOn w:val="1"/>
    <w:next w:val="1"/>
    <w:qFormat/>
    <w:uiPriority w:val="99"/>
    <w:pPr>
      <w:spacing w:line="360" w:lineRule="auto"/>
    </w:pPr>
    <w:rPr>
      <w:rFonts w:ascii="仿宋_GB2312" w:eastAsia="仿宋_GB2312"/>
    </w:rPr>
  </w:style>
  <w:style w:type="paragraph" w:customStyle="1" w:styleId="553">
    <w:name w:val="text-tag"/>
    <w:basedOn w:val="1"/>
    <w:qFormat/>
    <w:uiPriority w:val="99"/>
    <w:pPr>
      <w:widowControl/>
      <w:spacing w:before="100" w:beforeAutospacing="1" w:after="100" w:afterAutospacing="1"/>
      <w:jc w:val="left"/>
    </w:pPr>
    <w:rPr>
      <w:rFonts w:ascii="宋体" w:hAnsi="宋体" w:cs="宋体"/>
      <w:kern w:val="0"/>
    </w:rPr>
  </w:style>
  <w:style w:type="character" w:customStyle="1" w:styleId="554">
    <w:name w:val="font81"/>
    <w:basedOn w:val="81"/>
    <w:qFormat/>
    <w:uiPriority w:val="0"/>
    <w:rPr>
      <w:rFonts w:ascii="Symbol" w:hAnsi="Symbol" w:cs="Symbol"/>
      <w:color w:val="000000"/>
      <w:sz w:val="22"/>
      <w:szCs w:val="22"/>
      <w:u w:val="none"/>
    </w:rPr>
  </w:style>
  <w:style w:type="paragraph" w:customStyle="1" w:styleId="555">
    <w:name w:val="表格内容"/>
    <w:basedOn w:val="1"/>
    <w:qFormat/>
    <w:uiPriority w:val="99"/>
    <w:pPr>
      <w:widowControl/>
      <w:jc w:val="center"/>
    </w:pPr>
    <w:rPr>
      <w:kern w:val="0"/>
      <w:szCs w:val="28"/>
    </w:rPr>
  </w:style>
  <w:style w:type="paragraph" w:customStyle="1" w:styleId="556">
    <w:name w:val="章正文"/>
    <w:basedOn w:val="1"/>
    <w:qFormat/>
    <w:locked/>
    <w:uiPriority w:val="0"/>
    <w:pPr>
      <w:spacing w:beforeLines="50" w:after="120" w:line="300" w:lineRule="auto"/>
      <w:ind w:firstLine="480"/>
    </w:pPr>
    <w:rPr>
      <w:rFonts w:ascii="Helvetica" w:hAnsi="Helvetica"/>
      <w:kern w:val="0"/>
    </w:rPr>
  </w:style>
  <w:style w:type="character" w:customStyle="1" w:styleId="557">
    <w:name w:val="zbggmain style9"/>
    <w:qFormat/>
    <w:uiPriority w:val="0"/>
    <w:rPr>
      <w:rFonts w:ascii="Tahoma" w:hAnsi="Tahoma"/>
      <w:sz w:val="24"/>
      <w:szCs w:val="20"/>
    </w:rPr>
  </w:style>
  <w:style w:type="paragraph" w:customStyle="1" w:styleId="558">
    <w:name w:val="纯文本_0_0"/>
    <w:basedOn w:val="1"/>
    <w:qFormat/>
    <w:uiPriority w:val="0"/>
    <w:rPr>
      <w:rFonts w:ascii="宋体" w:hAnsi="Courier New"/>
      <w:szCs w:val="21"/>
    </w:rPr>
  </w:style>
  <w:style w:type="paragraph" w:customStyle="1" w:styleId="559">
    <w:name w:val="HQ 段落"/>
    <w:basedOn w:val="1"/>
    <w:qFormat/>
    <w:uiPriority w:val="0"/>
    <w:pPr>
      <w:spacing w:line="288" w:lineRule="auto"/>
      <w:ind w:firstLine="480" w:firstLineChars="200"/>
    </w:pPr>
    <w:rPr>
      <w:rFonts w:ascii="Calibri" w:hAnsi="Calibri"/>
      <w:szCs w:val="36"/>
    </w:rPr>
  </w:style>
  <w:style w:type="paragraph" w:customStyle="1" w:styleId="560">
    <w:name w:val="首行缩进"/>
    <w:basedOn w:val="1"/>
    <w:qFormat/>
    <w:uiPriority w:val="0"/>
    <w:pPr>
      <w:spacing w:line="360" w:lineRule="auto"/>
      <w:ind w:firstLine="480" w:firstLineChars="200"/>
    </w:pPr>
    <w:rPr>
      <w:szCs w:val="22"/>
      <w:lang w:val="zh-CN"/>
    </w:rPr>
  </w:style>
  <w:style w:type="paragraph" w:customStyle="1" w:styleId="561">
    <w:name w:val="列表段落1"/>
    <w:basedOn w:val="1"/>
    <w:qFormat/>
    <w:uiPriority w:val="0"/>
    <w:pPr>
      <w:spacing w:line="360" w:lineRule="auto"/>
      <w:ind w:firstLine="420" w:firstLineChars="200"/>
    </w:pPr>
    <w:rPr>
      <w:rFonts w:ascii="宋体" w:hAnsi="宋体" w:cs="宋体"/>
      <w:szCs w:val="21"/>
    </w:rPr>
  </w:style>
  <w:style w:type="paragraph" w:customStyle="1" w:styleId="562">
    <w:name w:val="部分1"/>
    <w:basedOn w:val="1"/>
    <w:qFormat/>
    <w:uiPriority w:val="0"/>
    <w:pPr>
      <w:keepNext/>
      <w:pageBreakBefore/>
      <w:tabs>
        <w:tab w:val="left" w:pos="720"/>
      </w:tabs>
      <w:spacing w:line="360" w:lineRule="auto"/>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36050</Words>
  <Characters>38852</Characters>
  <Lines>326</Lines>
  <Paragraphs>91</Paragraphs>
  <TotalTime>24</TotalTime>
  <ScaleCrop>false</ScaleCrop>
  <LinksUpToDate>false</LinksUpToDate>
  <CharactersWithSpaces>41540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cp:lastModifiedBy>
  <cp:lastPrinted>2024-09-05T06:56:00Z</cp:lastPrinted>
  <dcterms:modified xsi:type="dcterms:W3CDTF">2024-09-09T03:12:46Z</dcterms:modified>
  <dc:title>sxwh</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9A88DD025EA246E5A840D04191D278FD_13</vt:lpwstr>
  </property>
</Properties>
</file>