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F600E">
      <w:pPr>
        <w:spacing w:line="360" w:lineRule="auto"/>
        <w:jc w:val="center"/>
        <w:rPr>
          <w:rFonts w:hint="eastAsia" w:ascii="仿宋" w:hAnsi="仿宋" w:eastAsia="仿宋" w:cs="仿宋"/>
          <w:b/>
          <w:color w:val="auto"/>
          <w:sz w:val="24"/>
          <w:highlight w:val="none"/>
        </w:rPr>
      </w:pPr>
    </w:p>
    <w:p w14:paraId="7DF67649">
      <w:pPr>
        <w:adjustRightInd/>
        <w:spacing w:line="360" w:lineRule="auto"/>
        <w:jc w:val="both"/>
        <w:rPr>
          <w:rFonts w:hint="eastAsia" w:ascii="仿宋" w:hAnsi="仿宋" w:eastAsia="仿宋" w:cs="仿宋"/>
          <w:b/>
          <w:color w:val="auto"/>
          <w:sz w:val="44"/>
          <w:szCs w:val="44"/>
          <w:highlight w:val="none"/>
        </w:rPr>
      </w:pPr>
    </w:p>
    <w:p w14:paraId="32A4859B">
      <w:pPr>
        <w:adjustRightInd/>
        <w:spacing w:line="360" w:lineRule="auto"/>
        <w:jc w:val="center"/>
        <w:rPr>
          <w:rFonts w:hint="default" w:ascii="仿宋" w:hAnsi="仿宋" w:eastAsia="仿宋" w:cs="仿宋"/>
          <w:b/>
          <w:bCs w:val="0"/>
          <w:color w:val="auto"/>
          <w:sz w:val="48"/>
          <w:szCs w:val="48"/>
          <w:highlight w:val="none"/>
          <w:lang w:val="en-US" w:eastAsia="zh-CN"/>
        </w:rPr>
      </w:pPr>
      <w:r>
        <w:rPr>
          <w:rFonts w:hint="eastAsia" w:ascii="仿宋" w:hAnsi="仿宋" w:eastAsia="仿宋" w:cs="仿宋"/>
          <w:b/>
          <w:bCs w:val="0"/>
          <w:color w:val="auto"/>
          <w:spacing w:val="-28"/>
          <w:sz w:val="48"/>
          <w:szCs w:val="48"/>
          <w:highlight w:val="none"/>
          <w:lang w:val="en-US" w:eastAsia="zh-CN"/>
        </w:rPr>
        <w:t>河上镇人民政府机关食堂运营</w:t>
      </w:r>
    </w:p>
    <w:p w14:paraId="3D02468F">
      <w:pPr>
        <w:pStyle w:val="15"/>
        <w:rPr>
          <w:rFonts w:hint="eastAsia" w:ascii="仿宋" w:hAnsi="仿宋" w:eastAsia="仿宋" w:cs="仿宋"/>
          <w:color w:val="auto"/>
          <w:highlight w:val="none"/>
        </w:rPr>
      </w:pPr>
    </w:p>
    <w:p w14:paraId="26CA923F">
      <w:pPr>
        <w:pStyle w:val="15"/>
        <w:rPr>
          <w:rFonts w:hint="eastAsia" w:ascii="仿宋" w:hAnsi="仿宋" w:eastAsia="仿宋" w:cs="仿宋"/>
          <w:color w:val="auto"/>
          <w:highlight w:val="none"/>
        </w:rPr>
      </w:pPr>
    </w:p>
    <w:p w14:paraId="468A841C">
      <w:pPr>
        <w:pStyle w:val="2"/>
        <w:numPr>
          <w:ilvl w:val="0"/>
          <w:numId w:val="0"/>
        </w:numPr>
        <w:ind w:leftChars="0"/>
        <w:rPr>
          <w:rFonts w:hint="eastAsia"/>
        </w:rPr>
      </w:pPr>
    </w:p>
    <w:p w14:paraId="72B44411">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交易文件</w:t>
      </w:r>
    </w:p>
    <w:p w14:paraId="74169C66">
      <w:pPr>
        <w:adjustRightInd/>
        <w:spacing w:line="360" w:lineRule="auto"/>
        <w:jc w:val="center"/>
        <w:rPr>
          <w:rFonts w:hint="eastAsia" w:ascii="仿宋" w:hAnsi="仿宋" w:eastAsia="仿宋" w:cs="仿宋"/>
          <w:b/>
          <w:color w:val="auto"/>
          <w:sz w:val="56"/>
          <w:szCs w:val="72"/>
          <w:highlight w:val="none"/>
        </w:rPr>
      </w:pPr>
      <w:r>
        <w:rPr>
          <w:rFonts w:hint="eastAsia" w:ascii="仿宋" w:hAnsi="仿宋" w:eastAsia="仿宋" w:cs="仿宋"/>
          <w:sz w:val="48"/>
          <w:szCs w:val="48"/>
        </w:rPr>
        <w:t>（电子招投标）</w:t>
      </w:r>
    </w:p>
    <w:p w14:paraId="4242E45C">
      <w:pPr>
        <w:snapToGrid w:val="0"/>
        <w:spacing w:line="360" w:lineRule="auto"/>
        <w:jc w:val="center"/>
        <w:rPr>
          <w:rFonts w:hint="eastAsia" w:ascii="仿宋" w:hAnsi="仿宋" w:eastAsia="仿宋" w:cs="仿宋"/>
          <w:b/>
          <w:bCs/>
          <w:color w:val="auto"/>
          <w:sz w:val="30"/>
          <w:szCs w:val="30"/>
          <w:highlight w:val="none"/>
          <w:lang w:val="en-US"/>
        </w:rPr>
      </w:pP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HSZ-20250115</w:t>
      </w:r>
    </w:p>
    <w:p w14:paraId="24781FA4">
      <w:pPr>
        <w:adjustRightInd/>
        <w:spacing w:line="360" w:lineRule="auto"/>
        <w:jc w:val="center"/>
        <w:rPr>
          <w:rFonts w:hint="eastAsia" w:ascii="仿宋" w:hAnsi="仿宋" w:eastAsia="仿宋" w:cs="仿宋"/>
          <w:b/>
          <w:color w:val="auto"/>
          <w:sz w:val="56"/>
          <w:szCs w:val="72"/>
          <w:highlight w:val="none"/>
          <w:lang w:eastAsia="zh-CN"/>
        </w:rPr>
      </w:pPr>
    </w:p>
    <w:p w14:paraId="3474576C">
      <w:pPr>
        <w:spacing w:line="360" w:lineRule="auto"/>
        <w:jc w:val="center"/>
        <w:rPr>
          <w:rFonts w:hint="eastAsia" w:ascii="仿宋" w:hAnsi="仿宋" w:eastAsia="仿宋" w:cs="仿宋"/>
          <w:b/>
          <w:color w:val="auto"/>
          <w:sz w:val="24"/>
          <w:highlight w:val="none"/>
        </w:rPr>
      </w:pPr>
    </w:p>
    <w:p w14:paraId="135D8BDE">
      <w:pPr>
        <w:pStyle w:val="4"/>
        <w:numPr>
          <w:ilvl w:val="2"/>
          <w:numId w:val="0"/>
        </w:numPr>
        <w:rPr>
          <w:rFonts w:hint="eastAsia" w:ascii="仿宋" w:hAnsi="仿宋" w:eastAsia="仿宋" w:cs="仿宋"/>
          <w:color w:val="auto"/>
          <w:highlight w:val="none"/>
        </w:rPr>
      </w:pPr>
    </w:p>
    <w:p w14:paraId="1CEDDE88">
      <w:pPr>
        <w:pStyle w:val="2"/>
        <w:numPr>
          <w:ilvl w:val="0"/>
          <w:numId w:val="0"/>
        </w:numPr>
        <w:ind w:leftChars="0"/>
        <w:rPr>
          <w:rFonts w:hint="eastAsia"/>
        </w:rPr>
      </w:pPr>
    </w:p>
    <w:p w14:paraId="43DC60E6">
      <w:pPr>
        <w:rPr>
          <w:rFonts w:hint="eastAsia"/>
        </w:rPr>
      </w:pPr>
    </w:p>
    <w:p w14:paraId="64D61900">
      <w:pPr>
        <w:rPr>
          <w:rFonts w:hint="eastAsia"/>
        </w:rPr>
      </w:pPr>
    </w:p>
    <w:p w14:paraId="5AAADB1E">
      <w:pPr>
        <w:rPr>
          <w:rFonts w:hint="eastAsia"/>
        </w:rPr>
      </w:pPr>
    </w:p>
    <w:p w14:paraId="34E46B6B">
      <w:pPr>
        <w:rPr>
          <w:rFonts w:hint="eastAsia" w:ascii="仿宋" w:hAnsi="仿宋" w:eastAsia="仿宋" w:cs="仿宋"/>
          <w:color w:val="auto"/>
          <w:highlight w:val="none"/>
        </w:rPr>
      </w:pPr>
    </w:p>
    <w:p w14:paraId="50986250">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杭州市萧山区河上镇人民政府</w:t>
      </w:r>
    </w:p>
    <w:p w14:paraId="16115DE1">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sz w:val="32"/>
          <w:szCs w:val="32"/>
        </w:rPr>
        <w:t>浙江铭华工程管理有限公司</w:t>
      </w:r>
    </w:p>
    <w:p w14:paraId="7722FAE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lang w:val="en-US" w:eastAsia="zh-CN"/>
        </w:rPr>
        <w:t>二〇二五年一月十五日</w:t>
      </w:r>
      <w:r>
        <w:rPr>
          <w:rFonts w:hint="eastAsia" w:ascii="仿宋" w:hAnsi="仿宋" w:eastAsia="仿宋" w:cs="仿宋"/>
          <w:color w:val="auto"/>
          <w:sz w:val="24"/>
          <w:highlight w:val="none"/>
        </w:rPr>
        <w:br w:type="page"/>
      </w:r>
      <w:bookmarkStart w:id="0" w:name="_Hlt67893495"/>
      <w:bookmarkEnd w:id="0"/>
    </w:p>
    <w:p w14:paraId="36EF4415">
      <w:pPr>
        <w:spacing w:line="360" w:lineRule="auto"/>
        <w:jc w:val="center"/>
        <w:rPr>
          <w:rFonts w:hint="eastAsia" w:ascii="仿宋" w:hAnsi="仿宋" w:eastAsia="仿宋" w:cs="仿宋"/>
          <w:color w:val="auto"/>
          <w:sz w:val="24"/>
          <w:highlight w:val="none"/>
        </w:rPr>
      </w:pPr>
    </w:p>
    <w:p w14:paraId="71010B1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14018E6">
      <w:pPr>
        <w:spacing w:line="360" w:lineRule="auto"/>
        <w:rPr>
          <w:rFonts w:hint="eastAsia" w:ascii="仿宋" w:hAnsi="仿宋" w:eastAsia="仿宋" w:cs="仿宋"/>
          <w:color w:val="auto"/>
          <w:sz w:val="32"/>
          <w:szCs w:val="32"/>
          <w:highlight w:val="none"/>
        </w:rPr>
      </w:pPr>
    </w:p>
    <w:p w14:paraId="5CDB7FB8">
      <w:pPr>
        <w:spacing w:line="360" w:lineRule="auto"/>
        <w:rPr>
          <w:rFonts w:hint="eastAsia" w:ascii="仿宋" w:hAnsi="仿宋" w:eastAsia="仿宋" w:cs="仿宋"/>
          <w:color w:val="auto"/>
          <w:sz w:val="32"/>
          <w:szCs w:val="32"/>
          <w:highlight w:val="none"/>
        </w:rPr>
      </w:pPr>
    </w:p>
    <w:p w14:paraId="0685C244">
      <w:pPr>
        <w:spacing w:line="360" w:lineRule="auto"/>
        <w:ind w:firstLine="1280" w:firstLineChars="400"/>
        <w:rPr>
          <w:rFonts w:hint="eastAsia" w:ascii="仿宋" w:hAnsi="仿宋" w:eastAsia="仿宋" w:cs="仿宋"/>
          <w:color w:val="auto"/>
          <w:sz w:val="32"/>
          <w:szCs w:val="32"/>
          <w:highlight w:val="none"/>
          <w:lang w:eastAsia="zh-CN"/>
        </w:rPr>
      </w:pPr>
      <w:bookmarkStart w:id="1" w:name="_Hlt91233176"/>
      <w:bookmarkEnd w:id="1"/>
      <w:bookmarkStart w:id="2" w:name="_Toc91899869"/>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61E599C8">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供应商须知</w:t>
      </w:r>
    </w:p>
    <w:p w14:paraId="4FF21A8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367F08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w:t>
      </w:r>
      <w:r>
        <w:rPr>
          <w:rFonts w:hint="eastAsia" w:ascii="仿宋" w:hAnsi="仿宋" w:eastAsia="仿宋" w:cs="仿宋"/>
          <w:color w:val="auto"/>
          <w:sz w:val="32"/>
          <w:szCs w:val="32"/>
          <w:highlight w:val="none"/>
          <w:lang w:eastAsia="zh-CN"/>
        </w:rPr>
        <w:t>审</w:t>
      </w:r>
      <w:r>
        <w:rPr>
          <w:rFonts w:hint="eastAsia" w:ascii="仿宋" w:hAnsi="仿宋" w:eastAsia="仿宋" w:cs="仿宋"/>
          <w:color w:val="auto"/>
          <w:sz w:val="32"/>
          <w:szCs w:val="32"/>
          <w:highlight w:val="none"/>
        </w:rPr>
        <w:t>办法</w:t>
      </w:r>
    </w:p>
    <w:p w14:paraId="72CB65B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77AB5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D3B304">
      <w:pPr>
        <w:spacing w:line="360" w:lineRule="auto"/>
        <w:ind w:firstLine="549" w:firstLineChars="229"/>
        <w:rPr>
          <w:rFonts w:hint="eastAsia" w:ascii="仿宋" w:hAnsi="仿宋" w:eastAsia="仿宋" w:cs="仿宋"/>
          <w:color w:val="auto"/>
          <w:sz w:val="24"/>
          <w:highlight w:val="none"/>
        </w:rPr>
      </w:pPr>
    </w:p>
    <w:p w14:paraId="4BC4CF2A">
      <w:pPr>
        <w:spacing w:line="360" w:lineRule="auto"/>
        <w:ind w:firstLine="549" w:firstLineChars="229"/>
        <w:rPr>
          <w:rFonts w:hint="eastAsia" w:ascii="仿宋" w:hAnsi="仿宋" w:eastAsia="仿宋" w:cs="仿宋"/>
          <w:color w:val="auto"/>
          <w:sz w:val="24"/>
          <w:highlight w:val="none"/>
        </w:rPr>
      </w:pPr>
    </w:p>
    <w:p w14:paraId="14FBF30A">
      <w:pPr>
        <w:spacing w:line="360" w:lineRule="auto"/>
        <w:ind w:firstLine="549" w:firstLineChars="229"/>
        <w:rPr>
          <w:rFonts w:hint="eastAsia" w:ascii="仿宋" w:hAnsi="仿宋" w:eastAsia="仿宋" w:cs="仿宋"/>
          <w:color w:val="auto"/>
          <w:sz w:val="24"/>
          <w:highlight w:val="none"/>
        </w:rPr>
      </w:pPr>
    </w:p>
    <w:p w14:paraId="1EE34B86">
      <w:pPr>
        <w:spacing w:line="360" w:lineRule="auto"/>
        <w:ind w:firstLine="549" w:firstLineChars="229"/>
        <w:rPr>
          <w:rFonts w:hint="eastAsia" w:ascii="仿宋" w:hAnsi="仿宋" w:eastAsia="仿宋" w:cs="仿宋"/>
          <w:color w:val="auto"/>
          <w:sz w:val="24"/>
          <w:highlight w:val="none"/>
        </w:rPr>
      </w:pPr>
    </w:p>
    <w:p w14:paraId="492E523C">
      <w:pPr>
        <w:spacing w:line="360" w:lineRule="auto"/>
        <w:ind w:firstLine="549" w:firstLineChars="229"/>
        <w:rPr>
          <w:rFonts w:hint="eastAsia" w:ascii="仿宋" w:hAnsi="仿宋" w:eastAsia="仿宋" w:cs="仿宋"/>
          <w:color w:val="auto"/>
          <w:sz w:val="24"/>
          <w:highlight w:val="none"/>
        </w:rPr>
      </w:pPr>
    </w:p>
    <w:p w14:paraId="0A20EDAD">
      <w:pPr>
        <w:spacing w:line="360" w:lineRule="auto"/>
        <w:ind w:firstLine="549" w:firstLineChars="229"/>
        <w:rPr>
          <w:rFonts w:hint="eastAsia" w:ascii="仿宋" w:hAnsi="仿宋" w:eastAsia="仿宋" w:cs="仿宋"/>
          <w:color w:val="auto"/>
          <w:sz w:val="24"/>
          <w:highlight w:val="none"/>
        </w:rPr>
      </w:pPr>
    </w:p>
    <w:p w14:paraId="37E835EC">
      <w:pPr>
        <w:spacing w:line="360" w:lineRule="auto"/>
        <w:ind w:firstLine="549" w:firstLineChars="229"/>
        <w:rPr>
          <w:rFonts w:hint="eastAsia" w:ascii="仿宋" w:hAnsi="仿宋" w:eastAsia="仿宋" w:cs="仿宋"/>
          <w:color w:val="auto"/>
          <w:sz w:val="24"/>
          <w:highlight w:val="none"/>
        </w:rPr>
      </w:pPr>
    </w:p>
    <w:p w14:paraId="7AA08270">
      <w:pPr>
        <w:spacing w:line="360" w:lineRule="auto"/>
        <w:ind w:firstLine="549" w:firstLineChars="229"/>
        <w:rPr>
          <w:rFonts w:hint="eastAsia" w:ascii="仿宋" w:hAnsi="仿宋" w:eastAsia="仿宋" w:cs="仿宋"/>
          <w:color w:val="auto"/>
          <w:sz w:val="24"/>
          <w:highlight w:val="none"/>
        </w:rPr>
      </w:pPr>
    </w:p>
    <w:p w14:paraId="1EDBDC30">
      <w:pPr>
        <w:spacing w:line="360" w:lineRule="auto"/>
        <w:ind w:firstLine="549" w:firstLineChars="229"/>
        <w:rPr>
          <w:rFonts w:hint="eastAsia" w:ascii="仿宋" w:hAnsi="仿宋" w:eastAsia="仿宋" w:cs="仿宋"/>
          <w:color w:val="auto"/>
          <w:sz w:val="24"/>
          <w:highlight w:val="none"/>
        </w:rPr>
      </w:pPr>
    </w:p>
    <w:p w14:paraId="33318730">
      <w:pPr>
        <w:spacing w:line="360" w:lineRule="auto"/>
        <w:ind w:firstLine="549" w:firstLineChars="229"/>
        <w:rPr>
          <w:rFonts w:hint="eastAsia" w:ascii="仿宋" w:hAnsi="仿宋" w:eastAsia="仿宋" w:cs="仿宋"/>
          <w:color w:val="auto"/>
          <w:sz w:val="24"/>
          <w:highlight w:val="none"/>
        </w:rPr>
      </w:pPr>
    </w:p>
    <w:p w14:paraId="36AFE288">
      <w:pPr>
        <w:spacing w:line="360" w:lineRule="auto"/>
        <w:ind w:firstLine="549" w:firstLineChars="229"/>
        <w:rPr>
          <w:rFonts w:hint="eastAsia" w:ascii="仿宋" w:hAnsi="仿宋" w:eastAsia="仿宋" w:cs="仿宋"/>
          <w:color w:val="auto"/>
          <w:sz w:val="24"/>
          <w:highlight w:val="none"/>
        </w:rPr>
      </w:pPr>
    </w:p>
    <w:p w14:paraId="71EC2325">
      <w:pPr>
        <w:spacing w:line="360" w:lineRule="auto"/>
        <w:ind w:firstLine="549" w:firstLineChars="229"/>
        <w:rPr>
          <w:rFonts w:hint="eastAsia" w:ascii="仿宋" w:hAnsi="仿宋" w:eastAsia="仿宋" w:cs="仿宋"/>
          <w:color w:val="auto"/>
          <w:sz w:val="24"/>
          <w:highlight w:val="none"/>
        </w:rPr>
      </w:pPr>
    </w:p>
    <w:p w14:paraId="1A82F5F5">
      <w:pPr>
        <w:spacing w:line="360" w:lineRule="auto"/>
        <w:ind w:firstLine="549" w:firstLineChars="229"/>
        <w:rPr>
          <w:rFonts w:hint="eastAsia" w:ascii="仿宋" w:hAnsi="仿宋" w:eastAsia="仿宋" w:cs="仿宋"/>
          <w:color w:val="auto"/>
          <w:sz w:val="24"/>
          <w:highlight w:val="none"/>
        </w:rPr>
      </w:pPr>
    </w:p>
    <w:p w14:paraId="4F4FC042">
      <w:pPr>
        <w:spacing w:line="360" w:lineRule="auto"/>
        <w:rPr>
          <w:rFonts w:hint="eastAsia" w:ascii="仿宋" w:hAnsi="仿宋" w:eastAsia="仿宋" w:cs="仿宋"/>
          <w:color w:val="auto"/>
          <w:sz w:val="24"/>
          <w:highlight w:val="none"/>
        </w:rPr>
      </w:pPr>
    </w:p>
    <w:p w14:paraId="20CDC91C">
      <w:pPr>
        <w:pStyle w:val="3"/>
        <w:rPr>
          <w:rFonts w:hint="eastAsia" w:ascii="仿宋" w:hAnsi="仿宋" w:eastAsia="仿宋" w:cs="仿宋"/>
          <w:color w:val="auto"/>
          <w:highlight w:val="none"/>
        </w:rPr>
      </w:pPr>
      <w:bookmarkStart w:id="3" w:name="第一部分"/>
      <w:r>
        <w:rPr>
          <w:rFonts w:hint="eastAsia" w:ascii="仿宋" w:hAnsi="仿宋" w:eastAsia="仿宋" w:cs="仿宋"/>
          <w:color w:val="auto"/>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color w:val="auto"/>
          <w:highlight w:val="none"/>
        </w:rPr>
        <w:t xml:space="preserve">第一部分 </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公告</w:t>
      </w:r>
    </w:p>
    <w:p w14:paraId="6C7F8E58">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7DC4C660">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u w:val="single"/>
          <w:lang w:eastAsia="zh-CN"/>
        </w:rPr>
        <w:t>河上镇人民政府机关食堂运营</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8"/>
          <w:rFonts w:hint="eastAsia" w:ascii="仿宋" w:hAnsi="仿宋" w:eastAsia="仿宋" w:cs="仿宋"/>
          <w:color w:val="auto"/>
          <w:sz w:val="24"/>
          <w:szCs w:val="24"/>
          <w:highlight w:val="none"/>
          <w:lang w:eastAsia="zh-CN"/>
        </w:rPr>
        <w:t>https://www.lecaiyun.com/</w:t>
      </w:r>
      <w:r>
        <w:rPr>
          <w:rStyle w:val="68"/>
          <w:rFonts w:hint="eastAsia" w:ascii="仿宋" w:hAnsi="仿宋" w:eastAsia="仿宋" w:cs="仿宋"/>
          <w:color w:val="auto"/>
          <w:sz w:val="24"/>
          <w:szCs w:val="24"/>
          <w:highlight w:val="none"/>
        </w:rPr>
        <w:t>）获取（下载）</w:t>
      </w:r>
      <w:r>
        <w:rPr>
          <w:rStyle w:val="68"/>
          <w:rFonts w:hint="eastAsia" w:ascii="仿宋" w:hAnsi="仿宋" w:eastAsia="仿宋" w:cs="仿宋"/>
          <w:color w:val="auto"/>
          <w:sz w:val="24"/>
          <w:szCs w:val="24"/>
          <w:highlight w:val="none"/>
          <w:lang w:eastAsia="zh-CN"/>
        </w:rPr>
        <w:t>交易</w:t>
      </w:r>
      <w:r>
        <w:rPr>
          <w:rStyle w:val="68"/>
          <w:rFonts w:hint="eastAsia" w:ascii="仿宋" w:hAnsi="仿宋" w:eastAsia="仿宋" w:cs="仿宋"/>
          <w:color w:val="auto"/>
          <w:sz w:val="24"/>
          <w:szCs w:val="24"/>
          <w:highlight w:val="none"/>
        </w:rPr>
        <w:t>文件，并于202</w:t>
      </w:r>
      <w:r>
        <w:rPr>
          <w:rStyle w:val="68"/>
          <w:rFonts w:hint="eastAsia" w:ascii="仿宋" w:hAnsi="仿宋" w:eastAsia="仿宋" w:cs="仿宋"/>
          <w:color w:val="auto"/>
          <w:sz w:val="24"/>
          <w:szCs w:val="24"/>
          <w:highlight w:val="none"/>
          <w:lang w:val="en-US" w:eastAsia="zh-CN"/>
        </w:rPr>
        <w:t>5</w:t>
      </w:r>
      <w:r>
        <w:rPr>
          <w:rStyle w:val="68"/>
          <w:rFonts w:hint="eastAsia" w:ascii="仿宋" w:hAnsi="仿宋" w:eastAsia="仿宋" w:cs="仿宋"/>
          <w:color w:val="auto"/>
          <w:sz w:val="24"/>
          <w:szCs w:val="24"/>
          <w:highlight w:val="none"/>
        </w:rPr>
        <w:t>年</w:t>
      </w:r>
      <w:r>
        <w:rPr>
          <w:rStyle w:val="68"/>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 xml:space="preserve"> 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 xml:space="preserve"> 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C589557">
      <w:pPr>
        <w:pStyle w:val="2"/>
        <w:numPr>
          <w:ilvl w:val="0"/>
          <w:numId w:val="0"/>
        </w:numPr>
        <w:rPr>
          <w:rFonts w:hint="eastAsia" w:ascii="仿宋" w:hAnsi="仿宋" w:eastAsia="仿宋" w:cs="仿宋"/>
          <w:color w:val="auto"/>
          <w:sz w:val="24"/>
          <w:szCs w:val="28"/>
          <w:highlight w:val="none"/>
        </w:rPr>
      </w:pPr>
      <w:bookmarkStart w:id="11" w:name="_Toc35393790"/>
      <w:bookmarkStart w:id="12" w:name="_Toc28359079"/>
      <w:bookmarkStart w:id="13" w:name="_Toc35393621"/>
      <w:bookmarkStart w:id="14" w:name="_Toc28359002"/>
      <w:bookmarkStart w:id="15" w:name="_Hlk24379207"/>
      <w:r>
        <w:rPr>
          <w:rFonts w:hint="eastAsia" w:ascii="仿宋" w:hAnsi="仿宋" w:eastAsia="仿宋" w:cs="仿宋"/>
          <w:color w:val="auto"/>
          <w:sz w:val="24"/>
          <w:szCs w:val="28"/>
          <w:highlight w:val="none"/>
        </w:rPr>
        <w:t>一、项目基本情况</w:t>
      </w:r>
      <w:bookmarkEnd w:id="11"/>
      <w:bookmarkEnd w:id="12"/>
      <w:bookmarkEnd w:id="13"/>
      <w:bookmarkEnd w:id="14"/>
    </w:p>
    <w:p w14:paraId="4E2B89A9">
      <w:pPr>
        <w:spacing w:line="360" w:lineRule="auto"/>
        <w:ind w:left="420" w:left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8"/>
          <w:highlight w:val="none"/>
          <w:lang w:eastAsia="zh-CN"/>
        </w:rPr>
        <w:t>HSZ-20250113</w:t>
      </w:r>
    </w:p>
    <w:p w14:paraId="1185ACA2">
      <w:pPr>
        <w:spacing w:line="360" w:lineRule="auto"/>
        <w:ind w:left="1620" w:leftChars="200" w:hanging="1200" w:hangingChars="5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项目名称：</w:t>
      </w:r>
      <w:bookmarkEnd w:id="15"/>
      <w:r>
        <w:rPr>
          <w:rFonts w:hint="eastAsia" w:ascii="仿宋" w:hAnsi="仿宋" w:eastAsia="仿宋" w:cs="仿宋"/>
          <w:color w:val="auto"/>
          <w:sz w:val="24"/>
          <w:highlight w:val="none"/>
          <w:lang w:eastAsia="zh-CN"/>
        </w:rPr>
        <w:t>河上镇人民政府机关食堂运营</w:t>
      </w:r>
    </w:p>
    <w:p w14:paraId="2865DDF8">
      <w:pPr>
        <w:spacing w:line="360" w:lineRule="auto"/>
        <w:ind w:left="420" w:leftChars="200"/>
        <w:jc w:val="left"/>
        <w:rPr>
          <w:rFonts w:hint="default" w:ascii="仿宋" w:hAnsi="仿宋" w:eastAsia="仿宋" w:cs="仿宋"/>
          <w:color w:val="auto"/>
          <w:sz w:val="24"/>
          <w:szCs w:val="28"/>
          <w:highlight w:val="none"/>
          <w:lang w:val="en-US"/>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400000</w:t>
      </w:r>
    </w:p>
    <w:p w14:paraId="6CD94297">
      <w:pPr>
        <w:spacing w:line="360" w:lineRule="auto"/>
        <w:ind w:left="420" w:left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400000</w:t>
      </w:r>
    </w:p>
    <w:p w14:paraId="0F477E12">
      <w:pPr>
        <w:spacing w:line="360" w:lineRule="auto"/>
        <w:ind w:left="420" w:leftChars="200"/>
        <w:jc w:val="left"/>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w:t>
      </w:r>
      <w:r>
        <w:rPr>
          <w:rFonts w:hint="eastAsia" w:ascii="仿宋" w:hAnsi="仿宋" w:eastAsia="仿宋" w:cs="仿宋"/>
          <w:color w:val="auto"/>
          <w:sz w:val="24"/>
          <w:szCs w:val="28"/>
          <w:highlight w:val="none"/>
          <w:lang w:eastAsia="zh-CN"/>
        </w:rPr>
        <w:t>详见交易需求</w:t>
      </w:r>
      <w:r>
        <w:rPr>
          <w:rFonts w:hint="eastAsia" w:ascii="仿宋" w:hAnsi="仿宋" w:eastAsia="仿宋" w:cs="仿宋"/>
          <w:color w:val="auto"/>
          <w:sz w:val="24"/>
          <w:szCs w:val="28"/>
          <w:highlight w:val="none"/>
        </w:rPr>
        <w:t>。</w:t>
      </w:r>
    </w:p>
    <w:p w14:paraId="1D8A4AA8">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标项名称:河上镇人民政府机关食堂运营</w:t>
      </w:r>
    </w:p>
    <w:p w14:paraId="6E1B991C">
      <w:pPr>
        <w:pStyle w:val="15"/>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数量：</w:t>
      </w:r>
      <w:r>
        <w:rPr>
          <w:rFonts w:hint="eastAsia" w:ascii="仿宋" w:hAnsi="仿宋" w:eastAsia="仿宋" w:cs="仿宋"/>
          <w:color w:val="auto"/>
          <w:sz w:val="24"/>
          <w:highlight w:val="none"/>
          <w:lang w:val="en-US" w:eastAsia="zh-CN"/>
        </w:rPr>
        <w:t>1项</w:t>
      </w:r>
    </w:p>
    <w:p w14:paraId="3BB7106A">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预算金额：</w:t>
      </w:r>
      <w:r>
        <w:rPr>
          <w:rFonts w:hint="eastAsia" w:ascii="仿宋" w:hAnsi="仿宋" w:eastAsia="仿宋" w:cs="仿宋"/>
          <w:color w:val="auto"/>
          <w:sz w:val="24"/>
          <w:szCs w:val="28"/>
          <w:highlight w:val="none"/>
          <w:lang w:val="en-US" w:eastAsia="zh-CN"/>
        </w:rPr>
        <w:t>40</w:t>
      </w:r>
      <w:r>
        <w:rPr>
          <w:rFonts w:hint="eastAsia" w:ascii="仿宋" w:hAnsi="仿宋" w:eastAsia="仿宋" w:cs="仿宋"/>
          <w:color w:val="auto"/>
          <w:sz w:val="24"/>
          <w:highlight w:val="none"/>
          <w:lang w:val="en-US" w:eastAsia="zh-CN"/>
        </w:rPr>
        <w:t>万元</w:t>
      </w:r>
    </w:p>
    <w:p w14:paraId="3620F537">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简要规格描述或项目基本概况介绍、用途：详见交易需求</w:t>
      </w:r>
    </w:p>
    <w:p w14:paraId="735BAC8E">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w:t>
      </w:r>
    </w:p>
    <w:p w14:paraId="35065891">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合同履约期限：</w:t>
      </w:r>
      <w:r>
        <w:rPr>
          <w:rFonts w:hint="eastAsia" w:ascii="仿宋" w:hAnsi="仿宋" w:eastAsia="仿宋" w:cs="仿宋"/>
          <w:color w:val="auto"/>
          <w:sz w:val="24"/>
          <w:highlight w:val="none"/>
          <w:lang w:eastAsia="zh-CN"/>
        </w:rPr>
        <w:t>详见交易需求</w:t>
      </w:r>
    </w:p>
    <w:p w14:paraId="3AE956F6">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本项目是否接受联合体投标：（ ）是；（√）否 </w:t>
      </w:r>
    </w:p>
    <w:p w14:paraId="0ABC6B1A">
      <w:pPr>
        <w:pStyle w:val="2"/>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w:t>
      </w:r>
      <w:bookmarkStart w:id="16" w:name="_Toc35393791"/>
      <w:bookmarkStart w:id="17" w:name="_Toc35393622"/>
      <w:bookmarkStart w:id="18" w:name="_Toc28359080"/>
      <w:bookmarkStart w:id="19" w:name="_Toc28359003"/>
      <w:r>
        <w:rPr>
          <w:rFonts w:hint="eastAsia" w:ascii="仿宋" w:hAnsi="仿宋" w:eastAsia="仿宋" w:cs="仿宋"/>
          <w:color w:val="auto"/>
          <w:sz w:val="24"/>
          <w:szCs w:val="28"/>
          <w:highlight w:val="none"/>
        </w:rPr>
        <w:t>申请人的资格要求：</w:t>
      </w:r>
      <w:bookmarkEnd w:id="16"/>
      <w:bookmarkEnd w:id="17"/>
      <w:bookmarkEnd w:id="18"/>
      <w:bookmarkEnd w:id="19"/>
    </w:p>
    <w:p w14:paraId="58B79072">
      <w:pPr>
        <w:spacing w:line="360" w:lineRule="auto"/>
        <w:ind w:firstLine="480" w:firstLineChars="200"/>
        <w:rPr>
          <w:rFonts w:hint="eastAsia" w:ascii="仿宋" w:hAnsi="仿宋" w:eastAsia="仿宋" w:cs="仿宋"/>
          <w:color w:val="auto"/>
          <w:sz w:val="24"/>
          <w:highlight w:val="none"/>
        </w:rPr>
      </w:pPr>
      <w:bookmarkStart w:id="20" w:name="_Toc28359004"/>
      <w:bookmarkStart w:id="21" w:name="_Toc28359081"/>
      <w:bookmarkStart w:id="22" w:name="_Toc35393792"/>
      <w:bookmarkStart w:id="23" w:name="_Toc35393623"/>
      <w:r>
        <w:rPr>
          <w:rFonts w:hint="eastAsia" w:ascii="仿宋" w:hAnsi="仿宋" w:eastAsia="仿宋" w:cs="仿宋"/>
          <w:color w:val="auto"/>
          <w:sz w:val="24"/>
          <w:highlight w:val="none"/>
        </w:rPr>
        <w:t>1.满足《中华人民共和国政府采购法》第二十二条规定；</w:t>
      </w:r>
    </w:p>
    <w:p w14:paraId="5C7F02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2.单位负责人为同一人或者存在直接控股、管理关系的不同供应商，不得参加同一</w:t>
      </w:r>
    </w:p>
    <w:p w14:paraId="171C33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合同项下的政府采购活动。</w:t>
      </w:r>
    </w:p>
    <w:p w14:paraId="6D39BA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3.未被“信用中国”（www.creditchina.gov.cn）、中国政府采购网（www.ccgp.gov.cn）列入失信被执行人、重大税收违法案件当事人名单、政府采购严重违法失信行为记录名单。</w:t>
      </w:r>
    </w:p>
    <w:p w14:paraId="22E02EB7">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4.落实政府采购政策需满足的资格要求：</w:t>
      </w:r>
      <w:r>
        <w:rPr>
          <w:rFonts w:hint="eastAsia" w:ascii="仿宋" w:hAnsi="仿宋" w:eastAsia="仿宋" w:cs="仿宋"/>
          <w:sz w:val="24"/>
        </w:rPr>
        <w:t>（√）</w:t>
      </w:r>
      <w:r>
        <w:rPr>
          <w:rFonts w:hint="eastAsia" w:ascii="仿宋" w:hAnsi="仿宋" w:eastAsia="仿宋" w:cs="仿宋"/>
          <w:color w:val="auto"/>
          <w:sz w:val="24"/>
          <w:highlight w:val="none"/>
          <w:lang w:val="en-US" w:eastAsia="zh-CN"/>
        </w:rPr>
        <w:t>无</w:t>
      </w:r>
    </w:p>
    <w:p w14:paraId="1FFC95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5.本项目的特定资格要求：（ √）</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72087ACC">
      <w:pPr>
        <w:pStyle w:val="2"/>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三、获取</w:t>
      </w:r>
      <w:r>
        <w:rPr>
          <w:rFonts w:hint="eastAsia" w:ascii="仿宋" w:hAnsi="仿宋" w:eastAsia="仿宋" w:cs="仿宋"/>
          <w:color w:val="auto"/>
          <w:sz w:val="24"/>
          <w:szCs w:val="28"/>
          <w:highlight w:val="none"/>
          <w:lang w:eastAsia="zh-CN"/>
        </w:rPr>
        <w:t>交易</w:t>
      </w:r>
      <w:r>
        <w:rPr>
          <w:rFonts w:hint="eastAsia" w:ascii="仿宋" w:hAnsi="仿宋" w:eastAsia="仿宋" w:cs="仿宋"/>
          <w:color w:val="auto"/>
          <w:sz w:val="24"/>
          <w:szCs w:val="28"/>
          <w:highlight w:val="none"/>
        </w:rPr>
        <w:t>文件</w:t>
      </w:r>
      <w:bookmarkEnd w:id="20"/>
      <w:bookmarkEnd w:id="21"/>
      <w:bookmarkEnd w:id="22"/>
      <w:bookmarkEnd w:id="23"/>
    </w:p>
    <w:p w14:paraId="41AF8CC6">
      <w:pPr>
        <w:spacing w:line="360" w:lineRule="auto"/>
        <w:ind w:firstLine="482" w:firstLineChars="200"/>
        <w:rPr>
          <w:rFonts w:hint="eastAsia" w:ascii="仿宋" w:hAnsi="仿宋" w:eastAsia="仿宋" w:cs="仿宋"/>
          <w:color w:val="auto"/>
          <w:sz w:val="24"/>
          <w:highlight w:val="none"/>
        </w:rPr>
      </w:pPr>
      <w:bookmarkStart w:id="24" w:name="_Toc28359005"/>
      <w:bookmarkStart w:id="25" w:name="_Toc28359082"/>
      <w:bookmarkStart w:id="26" w:name="_Toc35393793"/>
      <w:bookmarkStart w:id="27" w:name="_Toc35393624"/>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F5D616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sz w:val="24"/>
        </w:rPr>
        <w:t xml:space="preserve">乐采云平台（https://www.lecaiyun .com/） </w:t>
      </w:r>
      <w:r>
        <w:rPr>
          <w:rFonts w:hint="eastAsia" w:ascii="仿宋" w:hAnsi="仿宋" w:eastAsia="仿宋" w:cs="仿宋"/>
          <w:color w:val="auto"/>
          <w:sz w:val="24"/>
          <w:highlight w:val="none"/>
        </w:rPr>
        <w:t xml:space="preserve"> </w:t>
      </w:r>
    </w:p>
    <w:p w14:paraId="7AF3CC2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sz w:val="24"/>
        </w:rPr>
        <w:t xml:space="preserve">供应商登录乐采云平台（https://www.lecaiyun .com/）在线申请获取采购文件（进入“项目采购”应用，在获取采购文件菜单中选择项目，申请获取采购文件）。 </w:t>
      </w:r>
    </w:p>
    <w:p w14:paraId="3CF0CE2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8813C0C">
      <w:pPr>
        <w:pStyle w:val="2"/>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四、提交投标文件</w:t>
      </w:r>
      <w:bookmarkEnd w:id="24"/>
      <w:bookmarkEnd w:id="25"/>
      <w:r>
        <w:rPr>
          <w:rFonts w:hint="eastAsia" w:ascii="仿宋" w:hAnsi="仿宋" w:eastAsia="仿宋" w:cs="仿宋"/>
          <w:color w:val="auto"/>
          <w:sz w:val="24"/>
          <w:szCs w:val="28"/>
          <w:highlight w:val="none"/>
        </w:rPr>
        <w:t>截止时间、开标时间和地点</w:t>
      </w:r>
      <w:bookmarkEnd w:id="26"/>
      <w:bookmarkEnd w:id="27"/>
    </w:p>
    <w:p w14:paraId="2EAB709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28"/>
          <w:highlight w:val="none"/>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 xml:space="preserve"> 01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23</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rPr>
        <w:t>点</w:t>
      </w:r>
      <w:r>
        <w:rPr>
          <w:rFonts w:hint="eastAsia" w:ascii="仿宋" w:hAnsi="仿宋" w:eastAsia="仿宋" w:cs="仿宋"/>
          <w:color w:val="auto"/>
          <w:sz w:val="24"/>
          <w:szCs w:val="28"/>
          <w:highlight w:val="none"/>
          <w:lang w:val="en-US" w:eastAsia="zh-CN"/>
        </w:rPr>
        <w:t>00</w:t>
      </w:r>
      <w:r>
        <w:rPr>
          <w:rFonts w:hint="eastAsia" w:ascii="仿宋" w:hAnsi="仿宋" w:eastAsia="仿宋" w:cs="仿宋"/>
          <w:color w:val="auto"/>
          <w:sz w:val="24"/>
          <w:szCs w:val="28"/>
          <w:highlight w:val="none"/>
        </w:rPr>
        <w:t>分00秒（</w:t>
      </w:r>
      <w:r>
        <w:rPr>
          <w:rFonts w:hint="eastAsia" w:ascii="仿宋" w:hAnsi="仿宋" w:eastAsia="仿宋" w:cs="仿宋"/>
          <w:color w:val="auto"/>
          <w:sz w:val="24"/>
          <w:highlight w:val="none"/>
        </w:rPr>
        <w:t>北京时间）</w:t>
      </w:r>
    </w:p>
    <w:p w14:paraId="06AC7453">
      <w:pPr>
        <w:spacing w:line="360" w:lineRule="auto"/>
        <w:ind w:firstLine="482" w:firstLineChars="200"/>
        <w:rPr>
          <w:rFonts w:hint="eastAsia"/>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乐采云平台（https://www.lecaiyun .com/）</w:t>
      </w:r>
    </w:p>
    <w:p w14:paraId="1E8B896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28"/>
          <w:highlight w:val="none"/>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01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23</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rPr>
        <w:t>点</w:t>
      </w:r>
      <w:r>
        <w:rPr>
          <w:rFonts w:hint="eastAsia" w:ascii="仿宋" w:hAnsi="仿宋" w:eastAsia="仿宋" w:cs="仿宋"/>
          <w:color w:val="auto"/>
          <w:sz w:val="24"/>
          <w:szCs w:val="28"/>
          <w:highlight w:val="none"/>
          <w:lang w:val="en-US" w:eastAsia="zh-CN"/>
        </w:rPr>
        <w:t>00</w:t>
      </w:r>
      <w:r>
        <w:rPr>
          <w:rFonts w:hint="eastAsia" w:ascii="仿宋" w:hAnsi="仿宋" w:eastAsia="仿宋" w:cs="仿宋"/>
          <w:color w:val="auto"/>
          <w:sz w:val="24"/>
          <w:szCs w:val="28"/>
          <w:highlight w:val="none"/>
        </w:rPr>
        <w:t>分00秒</w:t>
      </w:r>
    </w:p>
    <w:p w14:paraId="575F332A">
      <w:pPr>
        <w:spacing w:line="360" w:lineRule="auto"/>
        <w:ind w:firstLine="482" w:firstLineChars="200"/>
        <w:rPr>
          <w:rFonts w:ascii="仿宋" w:hAnsi="仿宋" w:eastAsia="仿宋" w:cs="仿宋"/>
          <w:sz w:val="24"/>
          <w:highlight w:val="none"/>
        </w:rPr>
      </w:pPr>
      <w:r>
        <w:rPr>
          <w:rFonts w:hint="eastAsia" w:ascii="仿宋" w:hAnsi="仿宋" w:eastAsia="仿宋" w:cs="仿宋"/>
          <w:b/>
          <w:color w:val="auto"/>
          <w:sz w:val="24"/>
          <w:highlight w:val="none"/>
        </w:rPr>
        <w:t>开标地点：</w:t>
      </w:r>
      <w:r>
        <w:rPr>
          <w:rFonts w:hint="eastAsia" w:ascii="仿宋" w:hAnsi="仿宋" w:eastAsia="仿宋" w:cs="仿宋"/>
          <w:sz w:val="24"/>
          <w:highlight w:val="none"/>
        </w:rPr>
        <w:t>乐采云平台（https://www.lecaiyun.com）</w:t>
      </w:r>
    </w:p>
    <w:p w14:paraId="346F4AA4">
      <w:pPr>
        <w:pStyle w:val="2"/>
        <w:numPr>
          <w:ilvl w:val="0"/>
          <w:numId w:val="0"/>
        </w:numPr>
        <w:rPr>
          <w:rFonts w:hint="eastAsia" w:ascii="仿宋" w:hAnsi="仿宋" w:eastAsia="仿宋" w:cs="仿宋"/>
          <w:color w:val="auto"/>
          <w:sz w:val="24"/>
          <w:szCs w:val="28"/>
          <w:highlight w:val="none"/>
        </w:rPr>
      </w:pPr>
      <w:bookmarkStart w:id="28" w:name="_Toc28359007"/>
      <w:bookmarkStart w:id="29" w:name="_Toc35393625"/>
      <w:bookmarkStart w:id="30" w:name="_Toc35393794"/>
      <w:bookmarkStart w:id="31" w:name="_Toc28359084"/>
      <w:r>
        <w:rPr>
          <w:rFonts w:hint="eastAsia" w:ascii="仿宋" w:hAnsi="仿宋" w:eastAsia="仿宋" w:cs="仿宋"/>
          <w:color w:val="auto"/>
          <w:sz w:val="24"/>
          <w:szCs w:val="28"/>
          <w:highlight w:val="none"/>
        </w:rPr>
        <w:t>五、公告期限</w:t>
      </w:r>
      <w:bookmarkEnd w:id="28"/>
      <w:bookmarkEnd w:id="29"/>
      <w:bookmarkEnd w:id="30"/>
      <w:bookmarkEnd w:id="31"/>
    </w:p>
    <w:p w14:paraId="64A651C6">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52F96DD2">
      <w:pPr>
        <w:pStyle w:val="2"/>
        <w:numPr>
          <w:ilvl w:val="0"/>
          <w:numId w:val="0"/>
        </w:numPr>
        <w:rPr>
          <w:rFonts w:hint="eastAsia" w:ascii="仿宋" w:hAnsi="仿宋" w:eastAsia="仿宋" w:cs="仿宋"/>
          <w:color w:val="auto"/>
          <w:sz w:val="24"/>
          <w:szCs w:val="28"/>
          <w:highlight w:val="none"/>
        </w:rPr>
      </w:pPr>
      <w:bookmarkStart w:id="32" w:name="_Toc35393795"/>
      <w:bookmarkStart w:id="33" w:name="_Toc35393626"/>
      <w:r>
        <w:rPr>
          <w:rFonts w:hint="eastAsia" w:ascii="仿宋" w:hAnsi="仿宋" w:eastAsia="仿宋" w:cs="仿宋"/>
          <w:color w:val="auto"/>
          <w:sz w:val="24"/>
          <w:szCs w:val="28"/>
          <w:highlight w:val="none"/>
        </w:rPr>
        <w:t>六、其他补充事宜</w:t>
      </w:r>
      <w:bookmarkEnd w:id="32"/>
      <w:bookmarkEnd w:id="33"/>
    </w:p>
    <w:p w14:paraId="399FD785">
      <w:pPr>
        <w:spacing w:line="360" w:lineRule="auto"/>
        <w:ind w:firstLine="480" w:firstLineChars="200"/>
        <w:rPr>
          <w:rFonts w:ascii="仿宋" w:hAnsi="仿宋" w:eastAsia="仿宋" w:cs="仿宋"/>
          <w:sz w:val="24"/>
        </w:rPr>
      </w:pPr>
      <w:bookmarkStart w:id="34" w:name="_Toc35393796"/>
      <w:bookmarkStart w:id="35" w:name="_Toc28359085"/>
      <w:bookmarkStart w:id="36" w:name="_Toc35393627"/>
      <w:bookmarkStart w:id="37" w:name="_Toc28359008"/>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函范本、投诉书范本请到浙江政府采购网下载专区下载。</w:t>
      </w:r>
    </w:p>
    <w:p w14:paraId="0102DD59">
      <w:pPr>
        <w:spacing w:line="360" w:lineRule="auto"/>
        <w:ind w:firstLine="480" w:firstLineChars="200"/>
        <w:rPr>
          <w:rFonts w:ascii="仿宋" w:hAnsi="仿宋" w:eastAsia="仿宋" w:cs="仿宋"/>
          <w:sz w:val="24"/>
        </w:rPr>
      </w:pPr>
      <w:r>
        <w:rPr>
          <w:rFonts w:hint="eastAsia" w:ascii="仿宋" w:hAnsi="仿宋" w:eastAsia="仿宋" w:cs="仿宋"/>
          <w:sz w:val="24"/>
        </w:rPr>
        <w:t>2.电子招投标的说明：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交易文件的获取：使用账号登录或者使用CA登录政采云平台；进入“项目采购”应用，在获取采购文件菜单中选择项目，获取交易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交易文件的供应商进行投标活动； 6）对未按上述方式获取交易文件的供应商对该文件提出的质疑，采购人或采购代理机构将不予处理；7）不提供交易文件纸质版。8）投标文件的传输递交：投标人在投标截止时间前将加密的投标文件上传至政府采购云平台，还可以在投标截止时间前直接提交。备份投标文件的制作、存储、密封详见交易文件第二部分。9）投标文件的解密：投标人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14:paraId="25547D90">
      <w:pPr>
        <w:pStyle w:val="2"/>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七、对本次</w:t>
      </w:r>
      <w:r>
        <w:rPr>
          <w:rFonts w:hint="eastAsia" w:ascii="仿宋" w:hAnsi="仿宋" w:eastAsia="仿宋" w:cs="仿宋"/>
          <w:color w:val="auto"/>
          <w:sz w:val="24"/>
          <w:szCs w:val="28"/>
          <w:highlight w:val="none"/>
          <w:lang w:eastAsia="zh-CN"/>
        </w:rPr>
        <w:t>交易</w:t>
      </w:r>
      <w:r>
        <w:rPr>
          <w:rFonts w:hint="eastAsia" w:ascii="仿宋" w:hAnsi="仿宋" w:eastAsia="仿宋" w:cs="仿宋"/>
          <w:color w:val="auto"/>
          <w:sz w:val="24"/>
          <w:szCs w:val="28"/>
          <w:highlight w:val="none"/>
        </w:rPr>
        <w:t>提出询问，请按以下方式联系。</w:t>
      </w:r>
      <w:bookmarkEnd w:id="34"/>
      <w:bookmarkEnd w:id="35"/>
      <w:bookmarkEnd w:id="36"/>
      <w:bookmarkEnd w:id="37"/>
    </w:p>
    <w:p w14:paraId="0EF3BE49">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1.采购人信息</w:t>
      </w:r>
    </w:p>
    <w:p w14:paraId="358BBD0B">
      <w:pPr>
        <w:spacing w:line="360" w:lineRule="auto"/>
        <w:jc w:val="left"/>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rPr>
        <w:t>名 称：</w:t>
      </w:r>
      <w:r>
        <w:rPr>
          <w:rFonts w:hint="eastAsia" w:ascii="仿宋" w:hAnsi="仿宋" w:eastAsia="仿宋" w:cs="仿宋"/>
          <w:b w:val="0"/>
          <w:bCs w:val="0"/>
          <w:color w:val="auto"/>
          <w:sz w:val="24"/>
          <w:szCs w:val="28"/>
          <w:highlight w:val="none"/>
          <w:lang w:eastAsia="zh-CN"/>
        </w:rPr>
        <w:t>杭州市萧山区河上镇人民政府</w:t>
      </w:r>
    </w:p>
    <w:p w14:paraId="2BD55B42">
      <w:pPr>
        <w:spacing w:line="360" w:lineRule="auto"/>
        <w:jc w:val="left"/>
        <w:rPr>
          <w:rFonts w:hint="eastAsia" w:ascii="仿宋" w:hAnsi="仿宋" w:eastAsia="仿宋" w:cs="仿宋"/>
          <w:b w:val="0"/>
          <w:bCs w:val="0"/>
          <w:color w:val="auto"/>
          <w:sz w:val="24"/>
          <w:szCs w:val="28"/>
          <w:highlight w:val="none"/>
          <w:lang w:val="en-US" w:eastAsia="zh-CN"/>
        </w:rPr>
      </w:pPr>
      <w:bookmarkStart w:id="38" w:name="_Toc28359009"/>
      <w:bookmarkStart w:id="39" w:name="_Toc28359086"/>
      <w:r>
        <w:rPr>
          <w:rFonts w:hint="eastAsia" w:ascii="仿宋" w:hAnsi="仿宋" w:eastAsia="仿宋" w:cs="仿宋"/>
          <w:b w:val="0"/>
          <w:bCs w:val="0"/>
          <w:color w:val="auto"/>
          <w:sz w:val="24"/>
          <w:szCs w:val="28"/>
          <w:highlight w:val="none"/>
        </w:rPr>
        <w:t>地址：</w:t>
      </w:r>
      <w:r>
        <w:rPr>
          <w:rFonts w:hint="eastAsia" w:ascii="仿宋" w:hAnsi="仿宋" w:eastAsia="仿宋" w:cs="仿宋"/>
          <w:b w:val="0"/>
          <w:bCs w:val="0"/>
          <w:color w:val="auto"/>
          <w:sz w:val="24"/>
          <w:szCs w:val="28"/>
          <w:highlight w:val="none"/>
          <w:lang w:eastAsia="zh-CN"/>
        </w:rPr>
        <w:t>萧山区河上镇人民政府</w:t>
      </w:r>
    </w:p>
    <w:p w14:paraId="1CAFDC98">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项目联系人（询问）：</w:t>
      </w:r>
      <w:r>
        <w:rPr>
          <w:rFonts w:hint="eastAsia" w:ascii="仿宋" w:hAnsi="仿宋" w:eastAsia="仿宋" w:cs="仿宋"/>
          <w:b w:val="0"/>
          <w:bCs w:val="0"/>
          <w:color w:val="auto"/>
          <w:sz w:val="24"/>
          <w:szCs w:val="28"/>
          <w:highlight w:val="none"/>
          <w:lang w:val="en-US" w:eastAsia="zh-CN"/>
        </w:rPr>
        <w:t>韩慧娜</w:t>
      </w:r>
    </w:p>
    <w:p w14:paraId="7E751BFE">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项目联系方式（询问）：</w:t>
      </w:r>
      <w:r>
        <w:rPr>
          <w:rFonts w:hint="eastAsia" w:ascii="仿宋" w:hAnsi="仿宋" w:eastAsia="仿宋" w:cs="仿宋"/>
          <w:b w:val="0"/>
          <w:bCs w:val="0"/>
          <w:color w:val="auto"/>
          <w:sz w:val="24"/>
          <w:szCs w:val="28"/>
          <w:highlight w:val="none"/>
          <w:lang w:val="en-US" w:eastAsia="zh-CN"/>
        </w:rPr>
        <w:t xml:space="preserve">13735439914 </w:t>
      </w:r>
    </w:p>
    <w:p w14:paraId="0DBA6896">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2.采购代理机构信息</w:t>
      </w:r>
      <w:bookmarkEnd w:id="38"/>
      <w:bookmarkEnd w:id="39"/>
      <w:bookmarkStart w:id="418" w:name="_GoBack"/>
      <w:bookmarkEnd w:id="418"/>
    </w:p>
    <w:p w14:paraId="7F0CB50D">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名称：浙江铭华工程管理有限公司</w:t>
      </w:r>
    </w:p>
    <w:p w14:paraId="5F1D8DA2">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地址：杭州市萧山区北干街道天汇园2幢1602室</w:t>
      </w:r>
    </w:p>
    <w:p w14:paraId="16299A0E">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项目联系人（询问）：张齐英</w:t>
      </w:r>
    </w:p>
    <w:p w14:paraId="1E0007BA">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项目联系方式（询问）：13958126867</w:t>
      </w:r>
    </w:p>
    <w:p w14:paraId="2E096AFB">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质疑联系人：邓倩</w:t>
      </w:r>
    </w:p>
    <w:p w14:paraId="5B2BE32E">
      <w:pPr>
        <w:spacing w:line="360" w:lineRule="auto"/>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szCs w:val="28"/>
          <w:highlight w:val="none"/>
        </w:rPr>
        <w:t>质疑联系方式：13758112557</w:t>
      </w:r>
    </w:p>
    <w:p w14:paraId="4A2C5699">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 xml:space="preserve">服务热线400-881-7190获取热线服务帮助。       </w:t>
      </w:r>
    </w:p>
    <w:p w14:paraId="06AF17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4C18789">
      <w:pPr>
        <w:pStyle w:val="3"/>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第二部分</w:t>
      </w:r>
      <w:bookmarkEnd w:id="8"/>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须知</w:t>
      </w:r>
      <w:bookmarkEnd w:id="9"/>
    </w:p>
    <w:p w14:paraId="3F443489">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0"/>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548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DADF7BE">
            <w:pPr>
              <w:snapToGrid w:val="0"/>
              <w:jc w:val="center"/>
              <w:rPr>
                <w:rFonts w:ascii="仿宋" w:hAnsi="仿宋" w:eastAsia="仿宋" w:cs="仿宋"/>
                <w:b/>
                <w:sz w:val="24"/>
              </w:rPr>
            </w:pPr>
            <w:r>
              <w:rPr>
                <w:rFonts w:hint="eastAsia" w:ascii="仿宋" w:hAnsi="仿宋" w:eastAsia="仿宋" w:cs="仿宋"/>
                <w:b/>
                <w:sz w:val="24"/>
              </w:rPr>
              <w:t>序号</w:t>
            </w:r>
          </w:p>
        </w:tc>
        <w:tc>
          <w:tcPr>
            <w:tcW w:w="1843" w:type="dxa"/>
            <w:vAlign w:val="center"/>
          </w:tcPr>
          <w:p w14:paraId="3D1A91D8">
            <w:pPr>
              <w:snapToGrid w:val="0"/>
              <w:jc w:val="center"/>
              <w:rPr>
                <w:rFonts w:ascii="仿宋" w:hAnsi="仿宋" w:eastAsia="仿宋" w:cs="仿宋"/>
                <w:b/>
                <w:sz w:val="24"/>
              </w:rPr>
            </w:pPr>
            <w:r>
              <w:rPr>
                <w:rFonts w:hint="eastAsia" w:ascii="仿宋" w:hAnsi="仿宋" w:eastAsia="仿宋" w:cs="仿宋"/>
                <w:b/>
                <w:sz w:val="24"/>
              </w:rPr>
              <w:t>事项</w:t>
            </w:r>
          </w:p>
        </w:tc>
        <w:tc>
          <w:tcPr>
            <w:tcW w:w="6095" w:type="dxa"/>
            <w:vAlign w:val="center"/>
          </w:tcPr>
          <w:p w14:paraId="7CA9DCDD">
            <w:pPr>
              <w:snapToGrid w:val="0"/>
              <w:ind w:firstLine="482"/>
              <w:jc w:val="center"/>
              <w:rPr>
                <w:rFonts w:ascii="仿宋" w:hAnsi="仿宋" w:eastAsia="仿宋" w:cs="仿宋"/>
                <w:b/>
                <w:sz w:val="24"/>
              </w:rPr>
            </w:pPr>
            <w:r>
              <w:rPr>
                <w:rFonts w:hint="eastAsia" w:ascii="仿宋" w:hAnsi="仿宋" w:eastAsia="仿宋" w:cs="仿宋"/>
                <w:b/>
                <w:sz w:val="24"/>
              </w:rPr>
              <w:t>本项目的特别规定</w:t>
            </w:r>
          </w:p>
        </w:tc>
      </w:tr>
      <w:tr w14:paraId="3E4F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tblHeader/>
          <w:jc w:val="center"/>
        </w:trPr>
        <w:tc>
          <w:tcPr>
            <w:tcW w:w="629" w:type="dxa"/>
            <w:vAlign w:val="center"/>
          </w:tcPr>
          <w:p w14:paraId="74F45559">
            <w:pPr>
              <w:snapToGrid w:val="0"/>
              <w:jc w:val="center"/>
              <w:rPr>
                <w:rFonts w:ascii="仿宋" w:hAnsi="仿宋" w:eastAsia="仿宋" w:cs="仿宋"/>
                <w:sz w:val="24"/>
              </w:rPr>
            </w:pPr>
            <w:r>
              <w:rPr>
                <w:rFonts w:hint="eastAsia" w:ascii="仿宋" w:hAnsi="仿宋" w:eastAsia="仿宋" w:cs="仿宋"/>
                <w:sz w:val="24"/>
              </w:rPr>
              <w:t>1</w:t>
            </w:r>
          </w:p>
        </w:tc>
        <w:tc>
          <w:tcPr>
            <w:tcW w:w="1843" w:type="dxa"/>
            <w:vAlign w:val="center"/>
          </w:tcPr>
          <w:p w14:paraId="7D061FEF">
            <w:pPr>
              <w:snapToGrid w:val="0"/>
              <w:jc w:val="center"/>
              <w:rPr>
                <w:rFonts w:ascii="仿宋" w:hAnsi="仿宋" w:eastAsia="仿宋" w:cs="仿宋"/>
                <w:b/>
                <w:sz w:val="24"/>
              </w:rPr>
            </w:pPr>
            <w:r>
              <w:rPr>
                <w:rFonts w:hint="eastAsia" w:ascii="仿宋" w:hAnsi="仿宋" w:eastAsia="仿宋" w:cs="仿宋"/>
                <w:b/>
                <w:sz w:val="24"/>
              </w:rPr>
              <w:t>项目属性</w:t>
            </w:r>
          </w:p>
        </w:tc>
        <w:tc>
          <w:tcPr>
            <w:tcW w:w="6095" w:type="dxa"/>
            <w:vAlign w:val="center"/>
          </w:tcPr>
          <w:p w14:paraId="02901E54">
            <w:pPr>
              <w:rPr>
                <w:rFonts w:ascii="仿宋" w:hAnsi="仿宋" w:eastAsia="仿宋" w:cs="仿宋"/>
                <w:sz w:val="24"/>
              </w:rPr>
            </w:pPr>
            <w:r>
              <w:rPr>
                <w:rFonts w:hint="eastAsia" w:ascii="仿宋" w:hAnsi="仿宋" w:eastAsia="仿宋" w:cs="仿宋"/>
                <w:sz w:val="24"/>
              </w:rPr>
              <w:t>服务类。</w:t>
            </w:r>
          </w:p>
        </w:tc>
      </w:tr>
      <w:tr w14:paraId="164B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tblHeader/>
          <w:jc w:val="center"/>
        </w:trPr>
        <w:tc>
          <w:tcPr>
            <w:tcW w:w="629" w:type="dxa"/>
            <w:vAlign w:val="center"/>
          </w:tcPr>
          <w:p w14:paraId="32DBC645">
            <w:pPr>
              <w:snapToGrid w:val="0"/>
              <w:jc w:val="center"/>
              <w:rPr>
                <w:rFonts w:ascii="仿宋" w:hAnsi="仿宋" w:eastAsia="仿宋" w:cs="仿宋"/>
                <w:sz w:val="24"/>
              </w:rPr>
            </w:pPr>
          </w:p>
          <w:p w14:paraId="4B07171F">
            <w:pPr>
              <w:snapToGrid w:val="0"/>
              <w:jc w:val="center"/>
              <w:rPr>
                <w:rFonts w:ascii="仿宋" w:hAnsi="仿宋" w:eastAsia="仿宋" w:cs="仿宋"/>
                <w:sz w:val="24"/>
              </w:rPr>
            </w:pPr>
            <w:r>
              <w:rPr>
                <w:rFonts w:hint="eastAsia" w:ascii="仿宋" w:hAnsi="仿宋" w:eastAsia="仿宋" w:cs="仿宋"/>
                <w:sz w:val="24"/>
              </w:rPr>
              <w:t>2</w:t>
            </w:r>
          </w:p>
        </w:tc>
        <w:tc>
          <w:tcPr>
            <w:tcW w:w="1843" w:type="dxa"/>
            <w:vAlign w:val="center"/>
          </w:tcPr>
          <w:p w14:paraId="71B40110">
            <w:pPr>
              <w:snapToGrid w:val="0"/>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vAlign w:val="center"/>
          </w:tcPr>
          <w:p w14:paraId="7CFF1118">
            <w:pPr>
              <w:rPr>
                <w:rFonts w:ascii="仿宋" w:hAnsi="仿宋" w:eastAsia="仿宋" w:cs="仿宋"/>
                <w:sz w:val="24"/>
              </w:rPr>
            </w:pPr>
            <w:r>
              <w:rPr>
                <w:rFonts w:hint="eastAsia" w:ascii="仿宋" w:hAnsi="仿宋" w:eastAsia="仿宋" w:cs="仿宋"/>
                <w:sz w:val="24"/>
              </w:rPr>
              <w:t>（1）标的：</w:t>
            </w:r>
            <w:r>
              <w:rPr>
                <w:rFonts w:hint="eastAsia" w:ascii="仿宋" w:hAnsi="仿宋" w:eastAsia="仿宋" w:cs="仿宋"/>
                <w:color w:val="auto"/>
                <w:sz w:val="24"/>
                <w:highlight w:val="none"/>
                <w:u w:val="single"/>
                <w:lang w:eastAsia="zh-CN"/>
              </w:rPr>
              <w:t>河上镇人民政府机关食堂运营</w:t>
            </w:r>
            <w:r>
              <w:rPr>
                <w:rFonts w:hint="eastAsia" w:ascii="仿宋" w:hAnsi="仿宋" w:eastAsia="仿宋" w:cs="仿宋"/>
                <w:sz w:val="24"/>
              </w:rPr>
              <w:t>，属于</w:t>
            </w:r>
            <w:r>
              <w:rPr>
                <w:rFonts w:hint="eastAsia" w:ascii="仿宋" w:hAnsi="仿宋" w:eastAsia="仿宋" w:cs="仿宋"/>
                <w:color w:val="auto"/>
                <w:kern w:val="0"/>
                <w:sz w:val="24"/>
                <w:highlight w:val="none"/>
                <w:u w:val="single"/>
              </w:rPr>
              <w:t>租赁和商务服务业</w:t>
            </w:r>
            <w:r>
              <w:rPr>
                <w:rFonts w:hint="eastAsia" w:ascii="仿宋" w:hAnsi="仿宋" w:eastAsia="仿宋" w:cs="仿宋"/>
                <w:sz w:val="24"/>
                <w:highlight w:val="none"/>
              </w:rPr>
              <w:t>；</w:t>
            </w:r>
          </w:p>
        </w:tc>
      </w:tr>
      <w:tr w14:paraId="62D5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9" w:hRule="atLeast"/>
          <w:tblHeader/>
          <w:jc w:val="center"/>
        </w:trPr>
        <w:tc>
          <w:tcPr>
            <w:tcW w:w="629" w:type="dxa"/>
            <w:vAlign w:val="center"/>
          </w:tcPr>
          <w:p w14:paraId="39BA28A3">
            <w:pPr>
              <w:snapToGrid w:val="0"/>
              <w:jc w:val="center"/>
              <w:rPr>
                <w:rFonts w:ascii="仿宋" w:hAnsi="仿宋" w:eastAsia="仿宋" w:cs="仿宋"/>
                <w:sz w:val="24"/>
              </w:rPr>
            </w:pPr>
          </w:p>
          <w:p w14:paraId="7CF6F422">
            <w:pPr>
              <w:snapToGrid w:val="0"/>
              <w:jc w:val="center"/>
              <w:rPr>
                <w:rFonts w:ascii="仿宋" w:hAnsi="仿宋" w:eastAsia="仿宋" w:cs="仿宋"/>
                <w:sz w:val="24"/>
              </w:rPr>
            </w:pPr>
            <w:r>
              <w:rPr>
                <w:rFonts w:hint="eastAsia" w:ascii="仿宋" w:hAnsi="仿宋" w:eastAsia="仿宋" w:cs="仿宋"/>
                <w:sz w:val="24"/>
              </w:rPr>
              <w:t>3</w:t>
            </w:r>
          </w:p>
        </w:tc>
        <w:tc>
          <w:tcPr>
            <w:tcW w:w="1843" w:type="dxa"/>
            <w:vAlign w:val="center"/>
          </w:tcPr>
          <w:p w14:paraId="14DCDEE5">
            <w:pPr>
              <w:snapToGrid w:val="0"/>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vAlign w:val="center"/>
          </w:tcPr>
          <w:p w14:paraId="136D78F5">
            <w:pPr>
              <w:rPr>
                <w:rFonts w:ascii="仿宋" w:hAnsi="仿宋" w:eastAsia="仿宋" w:cs="仿宋"/>
                <w:sz w:val="24"/>
              </w:rPr>
            </w:pPr>
            <w:sdt>
              <w:sdtPr>
                <w:rPr>
                  <w:rFonts w:hint="eastAsia" w:ascii="仿宋" w:hAnsi="仿宋" w:eastAsia="仿宋" w:cs="仿宋"/>
                  <w:kern w:val="0"/>
                  <w:sz w:val="24"/>
                </w:rPr>
                <w:id w:val="1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tc>
      </w:tr>
      <w:tr w14:paraId="2966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tblHeader/>
          <w:jc w:val="center"/>
        </w:trPr>
        <w:tc>
          <w:tcPr>
            <w:tcW w:w="629" w:type="dxa"/>
            <w:vAlign w:val="center"/>
          </w:tcPr>
          <w:p w14:paraId="3FD57589">
            <w:pPr>
              <w:snapToGrid w:val="0"/>
              <w:jc w:val="center"/>
              <w:rPr>
                <w:rFonts w:ascii="仿宋" w:hAnsi="仿宋" w:eastAsia="仿宋" w:cs="仿宋"/>
                <w:sz w:val="24"/>
              </w:rPr>
            </w:pPr>
            <w:r>
              <w:rPr>
                <w:rFonts w:hint="eastAsia" w:ascii="仿宋" w:hAnsi="仿宋" w:eastAsia="仿宋" w:cs="仿宋"/>
                <w:sz w:val="24"/>
              </w:rPr>
              <w:t>4</w:t>
            </w:r>
          </w:p>
        </w:tc>
        <w:tc>
          <w:tcPr>
            <w:tcW w:w="1843" w:type="dxa"/>
            <w:vAlign w:val="center"/>
          </w:tcPr>
          <w:p w14:paraId="24E6297D">
            <w:pPr>
              <w:snapToGrid w:val="0"/>
              <w:jc w:val="center"/>
              <w:rPr>
                <w:rFonts w:ascii="仿宋" w:hAnsi="仿宋" w:eastAsia="仿宋" w:cs="仿宋"/>
                <w:b/>
                <w:sz w:val="24"/>
              </w:rPr>
            </w:pPr>
            <w:r>
              <w:rPr>
                <w:rFonts w:hint="eastAsia" w:ascii="仿宋" w:hAnsi="仿宋" w:eastAsia="仿宋" w:cs="仿宋"/>
                <w:b/>
                <w:sz w:val="24"/>
              </w:rPr>
              <w:t>分包</w:t>
            </w:r>
          </w:p>
        </w:tc>
        <w:tc>
          <w:tcPr>
            <w:tcW w:w="6095" w:type="dxa"/>
            <w:vAlign w:val="center"/>
          </w:tcPr>
          <w:p w14:paraId="233A7E18">
            <w:pPr>
              <w:rPr>
                <w:rFonts w:ascii="仿宋" w:hAnsi="仿宋" w:eastAsia="仿宋" w:cs="仿宋"/>
                <w:sz w:val="24"/>
              </w:rPr>
            </w:pPr>
            <w:sdt>
              <w:sdtPr>
                <w:rPr>
                  <w:rFonts w:hint="eastAsia" w:ascii="仿宋" w:hAnsi="仿宋" w:eastAsia="仿宋" w:cs="仿宋"/>
                  <w:kern w:val="0"/>
                  <w:sz w:val="24"/>
                </w:rPr>
                <w:id w:val="13"/>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tc>
      </w:tr>
      <w:tr w14:paraId="30E6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13240B45">
            <w:pPr>
              <w:snapToGrid w:val="0"/>
              <w:jc w:val="center"/>
              <w:rPr>
                <w:rFonts w:ascii="仿宋" w:hAnsi="仿宋" w:eastAsia="仿宋" w:cs="仿宋"/>
                <w:sz w:val="24"/>
              </w:rPr>
            </w:pPr>
            <w:r>
              <w:rPr>
                <w:rFonts w:hint="eastAsia" w:ascii="仿宋" w:hAnsi="仿宋" w:eastAsia="仿宋" w:cs="仿宋"/>
                <w:sz w:val="24"/>
              </w:rPr>
              <w:t>5</w:t>
            </w:r>
          </w:p>
        </w:tc>
        <w:tc>
          <w:tcPr>
            <w:tcW w:w="1843" w:type="dxa"/>
            <w:vAlign w:val="center"/>
          </w:tcPr>
          <w:p w14:paraId="1A851A50">
            <w:pPr>
              <w:snapToGrid w:val="0"/>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vAlign w:val="center"/>
          </w:tcPr>
          <w:p w14:paraId="71F8FA95">
            <w:pPr>
              <w:rPr>
                <w:rFonts w:ascii="仿宋" w:hAnsi="仿宋" w:eastAsia="仿宋" w:cs="仿宋"/>
                <w:sz w:val="24"/>
              </w:rPr>
            </w:pPr>
            <w:sdt>
              <w:sdtPr>
                <w:rPr>
                  <w:rFonts w:hint="eastAsia" w:ascii="仿宋" w:hAnsi="仿宋" w:eastAsia="仿宋" w:cs="仿宋"/>
                  <w:kern w:val="0"/>
                  <w:sz w:val="24"/>
                </w:rPr>
                <w:id w:val="15"/>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7184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blHeader/>
          <w:jc w:val="center"/>
        </w:trPr>
        <w:tc>
          <w:tcPr>
            <w:tcW w:w="629" w:type="dxa"/>
            <w:vAlign w:val="center"/>
          </w:tcPr>
          <w:p w14:paraId="32803764">
            <w:pPr>
              <w:snapToGrid w:val="0"/>
              <w:jc w:val="center"/>
              <w:rPr>
                <w:rFonts w:ascii="仿宋" w:hAnsi="仿宋" w:eastAsia="仿宋" w:cs="仿宋"/>
                <w:sz w:val="24"/>
              </w:rPr>
            </w:pPr>
            <w:r>
              <w:rPr>
                <w:rFonts w:hint="eastAsia" w:ascii="仿宋" w:hAnsi="仿宋" w:eastAsia="仿宋" w:cs="仿宋"/>
                <w:sz w:val="24"/>
              </w:rPr>
              <w:t>6</w:t>
            </w:r>
          </w:p>
        </w:tc>
        <w:tc>
          <w:tcPr>
            <w:tcW w:w="1843" w:type="dxa"/>
            <w:vAlign w:val="center"/>
          </w:tcPr>
          <w:p w14:paraId="05FBB992">
            <w:pPr>
              <w:snapToGrid w:val="0"/>
              <w:jc w:val="center"/>
              <w:rPr>
                <w:rFonts w:ascii="仿宋" w:hAnsi="仿宋" w:eastAsia="仿宋" w:cs="仿宋"/>
                <w:b/>
                <w:sz w:val="24"/>
              </w:rPr>
            </w:pPr>
            <w:r>
              <w:rPr>
                <w:rFonts w:hint="eastAsia" w:ascii="仿宋" w:hAnsi="仿宋" w:eastAsia="仿宋" w:cs="仿宋"/>
                <w:b/>
                <w:sz w:val="24"/>
              </w:rPr>
              <w:t>样品提供</w:t>
            </w:r>
          </w:p>
        </w:tc>
        <w:tc>
          <w:tcPr>
            <w:tcW w:w="6095" w:type="dxa"/>
            <w:vAlign w:val="center"/>
          </w:tcPr>
          <w:p w14:paraId="28AA3D47">
            <w:pPr>
              <w:rPr>
                <w:rFonts w:ascii="仿宋" w:hAnsi="仿宋" w:eastAsia="仿宋" w:cs="仿宋"/>
                <w:sz w:val="24"/>
              </w:rPr>
            </w:pPr>
            <w:sdt>
              <w:sdtPr>
                <w:rPr>
                  <w:rFonts w:hint="eastAsia" w:ascii="仿宋" w:hAnsi="仿宋" w:eastAsia="仿宋" w:cs="仿宋"/>
                  <w:kern w:val="0"/>
                  <w:sz w:val="24"/>
                </w:rPr>
                <w:id w:val="17"/>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tc>
      </w:tr>
      <w:tr w14:paraId="1DF0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tblHeader/>
          <w:jc w:val="center"/>
        </w:trPr>
        <w:tc>
          <w:tcPr>
            <w:tcW w:w="629" w:type="dxa"/>
            <w:vAlign w:val="center"/>
          </w:tcPr>
          <w:p w14:paraId="479CA548">
            <w:pPr>
              <w:snapToGrid w:val="0"/>
              <w:jc w:val="center"/>
              <w:rPr>
                <w:rFonts w:ascii="仿宋" w:hAnsi="仿宋" w:eastAsia="仿宋" w:cs="仿宋"/>
                <w:sz w:val="24"/>
              </w:rPr>
            </w:pPr>
            <w:r>
              <w:rPr>
                <w:rFonts w:hint="eastAsia" w:ascii="仿宋" w:hAnsi="仿宋" w:eastAsia="仿宋" w:cs="仿宋"/>
                <w:sz w:val="24"/>
              </w:rPr>
              <w:t>7</w:t>
            </w:r>
          </w:p>
        </w:tc>
        <w:tc>
          <w:tcPr>
            <w:tcW w:w="1843" w:type="dxa"/>
            <w:vAlign w:val="center"/>
          </w:tcPr>
          <w:p w14:paraId="7B6F8435">
            <w:pPr>
              <w:snapToGrid w:val="0"/>
              <w:jc w:val="center"/>
              <w:rPr>
                <w:rFonts w:ascii="仿宋" w:hAnsi="仿宋" w:eastAsia="仿宋" w:cs="仿宋"/>
                <w:bCs/>
                <w:sz w:val="24"/>
              </w:rPr>
            </w:pPr>
            <w:r>
              <w:rPr>
                <w:rFonts w:hint="eastAsia" w:ascii="仿宋" w:hAnsi="仿宋" w:eastAsia="仿宋" w:cs="仿宋"/>
                <w:b/>
                <w:sz w:val="24"/>
              </w:rPr>
              <w:t>方案讲解演示</w:t>
            </w:r>
          </w:p>
        </w:tc>
        <w:tc>
          <w:tcPr>
            <w:tcW w:w="6095" w:type="dxa"/>
            <w:vAlign w:val="center"/>
          </w:tcPr>
          <w:p w14:paraId="63E6A658">
            <w:pPr>
              <w:snapToGrid w:val="0"/>
              <w:rPr>
                <w:rFonts w:ascii="仿宋" w:hAnsi="仿宋" w:eastAsia="仿宋" w:cs="仿宋"/>
                <w:b/>
                <w:kern w:val="0"/>
                <w:sz w:val="24"/>
                <w:lang w:val="zh-CN"/>
              </w:rPr>
            </w:pPr>
            <w:sdt>
              <w:sdtPr>
                <w:rPr>
                  <w:rFonts w:hint="eastAsia" w:ascii="仿宋" w:hAnsi="仿宋" w:eastAsia="仿宋" w:cs="仿宋"/>
                  <w:kern w:val="0"/>
                  <w:sz w:val="24"/>
                </w:rPr>
                <w:id w:val="147452773"/>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5B4B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14:paraId="68490B92">
            <w:pPr>
              <w:snapToGrid w:val="0"/>
              <w:jc w:val="center"/>
              <w:rPr>
                <w:rFonts w:ascii="仿宋" w:hAnsi="仿宋" w:eastAsia="仿宋" w:cs="仿宋"/>
                <w:sz w:val="24"/>
              </w:rPr>
            </w:pPr>
            <w:r>
              <w:rPr>
                <w:rFonts w:hint="eastAsia" w:ascii="仿宋" w:hAnsi="仿宋" w:eastAsia="仿宋" w:cs="仿宋"/>
                <w:sz w:val="24"/>
              </w:rPr>
              <w:t>8</w:t>
            </w:r>
          </w:p>
        </w:tc>
        <w:tc>
          <w:tcPr>
            <w:tcW w:w="1843" w:type="dxa"/>
            <w:vMerge w:val="restart"/>
            <w:vAlign w:val="center"/>
          </w:tcPr>
          <w:p w14:paraId="0BB7B540">
            <w:pPr>
              <w:snapToGrid w:val="0"/>
              <w:jc w:val="center"/>
              <w:rPr>
                <w:rFonts w:ascii="仿宋" w:hAnsi="仿宋" w:eastAsia="仿宋" w:cs="仿宋"/>
                <w:b/>
                <w:sz w:val="24"/>
              </w:rPr>
            </w:pPr>
            <w:r>
              <w:rPr>
                <w:rFonts w:hint="eastAsia" w:ascii="仿宋" w:hAnsi="仿宋" w:eastAsia="仿宋" w:cs="仿宋"/>
                <w:b/>
                <w:sz w:val="24"/>
              </w:rPr>
              <w:t>响应人应当提供的资格、资信证明文件</w:t>
            </w:r>
          </w:p>
        </w:tc>
        <w:tc>
          <w:tcPr>
            <w:tcW w:w="6095" w:type="dxa"/>
            <w:vAlign w:val="center"/>
          </w:tcPr>
          <w:p w14:paraId="121ECB46">
            <w:pPr>
              <w:rPr>
                <w:rFonts w:ascii="仿宋" w:hAnsi="仿宋" w:eastAsia="仿宋" w:cs="仿宋"/>
                <w:sz w:val="24"/>
              </w:rPr>
            </w:pPr>
            <w:r>
              <w:rPr>
                <w:rFonts w:hint="eastAsia" w:ascii="仿宋" w:hAnsi="仿宋" w:eastAsia="仿宋" w:cs="仿宋"/>
                <w:sz w:val="24"/>
              </w:rPr>
              <w:t>（1）资格证明文件：见交易文件第二部分11.1。</w:t>
            </w:r>
          </w:p>
          <w:p w14:paraId="4870A266">
            <w:pPr>
              <w:rPr>
                <w:rFonts w:ascii="仿宋" w:hAnsi="仿宋" w:eastAsia="仿宋" w:cs="仿宋"/>
                <w:snapToGrid w:val="0"/>
                <w:kern w:val="0"/>
                <w:sz w:val="24"/>
              </w:rPr>
            </w:pPr>
            <w:r>
              <w:rPr>
                <w:rFonts w:hint="eastAsia" w:ascii="仿宋" w:hAnsi="仿宋" w:eastAsia="仿宋" w:cs="仿宋"/>
                <w:kern w:val="0"/>
                <w:sz w:val="24"/>
                <w:lang w:val="zh-CN"/>
              </w:rPr>
              <w:t>响应人未提供有效的资格证明文件的，视为响应人不具备交易文件中规定的资格要求，响应无效。</w:t>
            </w:r>
          </w:p>
        </w:tc>
      </w:tr>
      <w:tr w14:paraId="3ACB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blHeader/>
          <w:jc w:val="center"/>
        </w:trPr>
        <w:tc>
          <w:tcPr>
            <w:tcW w:w="629" w:type="dxa"/>
            <w:vMerge w:val="continue"/>
            <w:vAlign w:val="center"/>
          </w:tcPr>
          <w:p w14:paraId="08DF9D04">
            <w:pPr>
              <w:snapToGrid w:val="0"/>
              <w:jc w:val="center"/>
              <w:rPr>
                <w:rFonts w:ascii="仿宋" w:hAnsi="仿宋" w:eastAsia="仿宋" w:cs="仿宋"/>
                <w:sz w:val="24"/>
              </w:rPr>
            </w:pPr>
          </w:p>
        </w:tc>
        <w:tc>
          <w:tcPr>
            <w:tcW w:w="1843" w:type="dxa"/>
            <w:vMerge w:val="continue"/>
            <w:vAlign w:val="center"/>
          </w:tcPr>
          <w:p w14:paraId="542702DB">
            <w:pPr>
              <w:snapToGrid w:val="0"/>
              <w:ind w:firstLine="482"/>
              <w:jc w:val="center"/>
              <w:rPr>
                <w:rFonts w:ascii="仿宋" w:hAnsi="仿宋" w:eastAsia="仿宋" w:cs="仿宋"/>
                <w:b/>
                <w:sz w:val="24"/>
              </w:rPr>
            </w:pPr>
          </w:p>
        </w:tc>
        <w:tc>
          <w:tcPr>
            <w:tcW w:w="6095" w:type="dxa"/>
            <w:vAlign w:val="center"/>
          </w:tcPr>
          <w:p w14:paraId="1DE689E7">
            <w:pPr>
              <w:rPr>
                <w:rFonts w:ascii="仿宋" w:hAnsi="仿宋" w:eastAsia="仿宋" w:cs="仿宋"/>
                <w:sz w:val="24"/>
              </w:rPr>
            </w:pPr>
            <w:r>
              <w:rPr>
                <w:rFonts w:hint="eastAsia" w:ascii="仿宋" w:hAnsi="仿宋" w:eastAsia="仿宋" w:cs="仿宋"/>
                <w:sz w:val="24"/>
              </w:rPr>
              <w:t>（2）资信证明文件：根据交易文件第四部分评标标准提供。</w:t>
            </w:r>
          </w:p>
        </w:tc>
      </w:tr>
      <w:tr w14:paraId="68F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7CE76B3A">
            <w:pPr>
              <w:snapToGrid w:val="0"/>
              <w:jc w:val="center"/>
              <w:rPr>
                <w:rFonts w:ascii="仿宋" w:hAnsi="仿宋" w:eastAsia="仿宋" w:cs="仿宋"/>
                <w:sz w:val="24"/>
              </w:rPr>
            </w:pPr>
            <w:r>
              <w:rPr>
                <w:rFonts w:hint="eastAsia" w:ascii="仿宋" w:hAnsi="仿宋" w:eastAsia="仿宋" w:cs="仿宋"/>
                <w:sz w:val="24"/>
              </w:rPr>
              <w:t>9</w:t>
            </w:r>
          </w:p>
        </w:tc>
        <w:tc>
          <w:tcPr>
            <w:tcW w:w="1843" w:type="dxa"/>
            <w:vAlign w:val="center"/>
          </w:tcPr>
          <w:p w14:paraId="7F3A9FC5">
            <w:pPr>
              <w:snapToGrid w:val="0"/>
              <w:jc w:val="center"/>
              <w:rPr>
                <w:rFonts w:ascii="仿宋" w:hAnsi="仿宋" w:eastAsia="仿宋" w:cs="仿宋"/>
                <w:b/>
                <w:sz w:val="24"/>
              </w:rPr>
            </w:pPr>
            <w:r>
              <w:rPr>
                <w:rFonts w:hint="eastAsia" w:ascii="仿宋" w:hAnsi="仿宋" w:eastAsia="仿宋" w:cs="仿宋"/>
                <w:b/>
                <w:sz w:val="24"/>
              </w:rPr>
              <w:t>报价要求</w:t>
            </w:r>
          </w:p>
        </w:tc>
        <w:tc>
          <w:tcPr>
            <w:tcW w:w="6095" w:type="dxa"/>
            <w:vAlign w:val="center"/>
          </w:tcPr>
          <w:p w14:paraId="7C9959F0">
            <w:pPr>
              <w:snapToGrid w:val="0"/>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响应文件</w:t>
            </w:r>
            <w:r>
              <w:rPr>
                <w:rFonts w:hint="eastAsia" w:ascii="仿宋" w:hAnsi="仿宋" w:eastAsia="仿宋" w:cs="仿宋"/>
                <w:b/>
                <w:bCs/>
                <w:sz w:val="24"/>
              </w:rPr>
              <w:t>交易一览表（报价表）是报价的唯一载体，如响应人在乐采云平台填写的响应报价与响应文件报价文件中交易一览表（报价表）不一致的，以报价文件中交易一览表（报价表）为准。</w:t>
            </w:r>
            <w:r>
              <w:rPr>
                <w:rFonts w:hint="eastAsia" w:ascii="仿宋" w:hAnsi="仿宋" w:eastAsia="仿宋" w:cs="仿宋"/>
                <w:kern w:val="0"/>
                <w:sz w:val="24"/>
                <w:lang w:val="zh-CN"/>
              </w:rPr>
              <w:t>响应文件中价格全部采用人民币报价。交易文件未列明，而响应人认为必需的费用也需列入报价。</w:t>
            </w:r>
            <w:r>
              <w:rPr>
                <w:rFonts w:hint="eastAsia" w:ascii="仿宋" w:hAnsi="仿宋" w:eastAsia="仿宋" w:cs="仿宋"/>
                <w:b/>
                <w:kern w:val="0"/>
                <w:sz w:val="24"/>
                <w:lang w:val="zh-CN"/>
              </w:rPr>
              <w:t>提醒：验收时检测费用由采购人承担，不包含在</w:t>
            </w:r>
            <w:r>
              <w:rPr>
                <w:rFonts w:hint="eastAsia" w:ascii="仿宋" w:hAnsi="仿宋" w:eastAsia="仿宋" w:cs="仿宋"/>
                <w:b/>
                <w:kern w:val="0"/>
                <w:sz w:val="24"/>
              </w:rPr>
              <w:t>响应</w:t>
            </w:r>
            <w:r>
              <w:rPr>
                <w:rFonts w:hint="eastAsia" w:ascii="仿宋" w:hAnsi="仿宋" w:eastAsia="仿宋" w:cs="仿宋"/>
                <w:b/>
                <w:kern w:val="0"/>
                <w:sz w:val="24"/>
                <w:lang w:val="zh-CN"/>
              </w:rPr>
              <w:t>总价中。</w:t>
            </w:r>
          </w:p>
          <w:p w14:paraId="4883F241">
            <w:pPr>
              <w:snapToGrid w:val="0"/>
              <w:ind w:firstLine="482"/>
              <w:jc w:val="left"/>
              <w:rPr>
                <w:rFonts w:ascii="仿宋" w:hAnsi="仿宋" w:eastAsia="仿宋" w:cs="仿宋"/>
                <w:b/>
                <w:kern w:val="0"/>
                <w:sz w:val="24"/>
                <w:lang w:val="zh-CN"/>
              </w:rPr>
            </w:pPr>
            <w:r>
              <w:rPr>
                <w:rFonts w:hint="eastAsia" w:ascii="仿宋" w:hAnsi="仿宋" w:eastAsia="仿宋" w:cs="仿宋"/>
                <w:b/>
                <w:kern w:val="0"/>
                <w:sz w:val="24"/>
              </w:rPr>
              <w:t>响应</w:t>
            </w:r>
            <w:r>
              <w:rPr>
                <w:rFonts w:hint="eastAsia" w:ascii="仿宋" w:hAnsi="仿宋" w:eastAsia="仿宋" w:cs="仿宋"/>
                <w:b/>
                <w:kern w:val="0"/>
                <w:sz w:val="24"/>
                <w:lang w:val="zh-CN"/>
              </w:rPr>
              <w:t>报价出现下列情形的，</w:t>
            </w:r>
            <w:r>
              <w:rPr>
                <w:rFonts w:hint="eastAsia" w:ascii="仿宋" w:hAnsi="仿宋" w:eastAsia="仿宋" w:cs="仿宋"/>
                <w:b/>
                <w:kern w:val="0"/>
                <w:sz w:val="24"/>
              </w:rPr>
              <w:t>响应</w:t>
            </w:r>
            <w:r>
              <w:rPr>
                <w:rFonts w:hint="eastAsia" w:ascii="仿宋" w:hAnsi="仿宋" w:eastAsia="仿宋" w:cs="仿宋"/>
                <w:b/>
                <w:kern w:val="0"/>
                <w:sz w:val="24"/>
                <w:lang w:val="zh-CN"/>
              </w:rPr>
              <w:t>无效：</w:t>
            </w:r>
          </w:p>
          <w:p w14:paraId="3A9EDB4C">
            <w:pPr>
              <w:snapToGrid w:val="0"/>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w:t>
            </w:r>
            <w:r>
              <w:rPr>
                <w:rFonts w:hint="eastAsia" w:ascii="仿宋" w:hAnsi="仿宋" w:eastAsia="仿宋" w:cs="仿宋"/>
                <w:b/>
                <w:kern w:val="0"/>
                <w:sz w:val="24"/>
              </w:rPr>
              <w:t>响应</w:t>
            </w:r>
            <w:r>
              <w:rPr>
                <w:rFonts w:hint="eastAsia" w:ascii="仿宋" w:hAnsi="仿宋" w:eastAsia="仿宋" w:cs="仿宋"/>
                <w:b/>
                <w:kern w:val="0"/>
                <w:sz w:val="24"/>
                <w:lang w:val="zh-CN"/>
              </w:rPr>
              <w:t>报价的；</w:t>
            </w:r>
          </w:p>
          <w:p w14:paraId="69F5AC02">
            <w:pPr>
              <w:snapToGrid w:val="0"/>
              <w:ind w:firstLine="482" w:firstLineChars="200"/>
              <w:jc w:val="left"/>
              <w:rPr>
                <w:rFonts w:ascii="仿宋" w:hAnsi="仿宋" w:eastAsia="仿宋" w:cs="仿宋"/>
                <w:kern w:val="0"/>
                <w:sz w:val="24"/>
                <w:lang w:val="zh-CN"/>
              </w:rPr>
            </w:pPr>
            <w:r>
              <w:rPr>
                <w:rFonts w:hint="eastAsia" w:ascii="仿宋" w:hAnsi="仿宋" w:eastAsia="仿宋" w:cs="仿宋"/>
                <w:b/>
                <w:kern w:val="0"/>
                <w:sz w:val="24"/>
                <w:lang w:val="zh-CN"/>
              </w:rPr>
              <w:t>响应报价超过交易文件中规定的预算金额或者最高限价的;</w:t>
            </w:r>
          </w:p>
          <w:p w14:paraId="52950425">
            <w:pPr>
              <w:ind w:firstLine="482" w:firstLineChars="200"/>
              <w:rPr>
                <w:rFonts w:ascii="仿宋" w:hAnsi="仿宋" w:eastAsia="仿宋" w:cs="仿宋"/>
                <w:b/>
                <w:sz w:val="24"/>
              </w:rPr>
            </w:pPr>
            <w:r>
              <w:rPr>
                <w:rFonts w:hint="eastAsia" w:ascii="仿宋" w:hAnsi="仿宋" w:eastAsia="仿宋" w:cs="仿宋"/>
                <w:b/>
                <w:kern w:val="0"/>
                <w:sz w:val="24"/>
              </w:rPr>
              <w:t>报价明显低于其他通过符合性审查响应人的报价，有可能影响产品质量或者不能诚信履约的，未能按要求提供书面说明或者提交相关证明材料证明其报价合理性的</w:t>
            </w:r>
            <w:r>
              <w:rPr>
                <w:rFonts w:hint="eastAsia" w:ascii="仿宋" w:hAnsi="仿宋" w:eastAsia="仿宋" w:cs="仿宋"/>
                <w:b/>
                <w:sz w:val="24"/>
              </w:rPr>
              <w:t>;</w:t>
            </w:r>
          </w:p>
          <w:p w14:paraId="6D24564D">
            <w:pPr>
              <w:ind w:firstLine="482" w:firstLineChars="200"/>
              <w:rPr>
                <w:rFonts w:ascii="仿宋" w:hAnsi="仿宋" w:eastAsia="仿宋" w:cs="仿宋"/>
                <w:sz w:val="24"/>
              </w:rPr>
            </w:pPr>
            <w:r>
              <w:rPr>
                <w:rFonts w:hint="eastAsia" w:ascii="仿宋" w:hAnsi="仿宋" w:eastAsia="仿宋" w:cs="仿宋"/>
                <w:b/>
                <w:kern w:val="0"/>
                <w:sz w:val="24"/>
              </w:rPr>
              <w:t>响应人对根据修正原则修正后的报价不确认的</w:t>
            </w:r>
            <w:r>
              <w:rPr>
                <w:rFonts w:hint="eastAsia" w:ascii="仿宋" w:hAnsi="仿宋" w:eastAsia="仿宋" w:cs="仿宋"/>
                <w:b/>
                <w:sz w:val="24"/>
              </w:rPr>
              <w:t>。</w:t>
            </w:r>
          </w:p>
        </w:tc>
      </w:tr>
      <w:tr w14:paraId="6B10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jc w:val="center"/>
        </w:trPr>
        <w:tc>
          <w:tcPr>
            <w:tcW w:w="629" w:type="dxa"/>
            <w:vAlign w:val="center"/>
          </w:tcPr>
          <w:p w14:paraId="16A57775">
            <w:pPr>
              <w:snapToGrid w:val="0"/>
              <w:jc w:val="center"/>
              <w:rPr>
                <w:rFonts w:ascii="仿宋" w:hAnsi="仿宋" w:eastAsia="仿宋" w:cs="仿宋"/>
                <w:sz w:val="24"/>
              </w:rPr>
            </w:pPr>
            <w:r>
              <w:rPr>
                <w:rFonts w:hint="eastAsia" w:ascii="仿宋" w:hAnsi="仿宋" w:eastAsia="仿宋" w:cs="仿宋"/>
                <w:sz w:val="24"/>
              </w:rPr>
              <w:t>10</w:t>
            </w:r>
          </w:p>
        </w:tc>
        <w:tc>
          <w:tcPr>
            <w:tcW w:w="1843" w:type="dxa"/>
            <w:vAlign w:val="center"/>
          </w:tcPr>
          <w:p w14:paraId="52D6A1D3">
            <w:pPr>
              <w:snapToGrid w:val="0"/>
              <w:jc w:val="center"/>
              <w:rPr>
                <w:rFonts w:ascii="仿宋" w:hAnsi="仿宋" w:eastAsia="仿宋" w:cs="仿宋"/>
                <w:b/>
                <w:sz w:val="24"/>
              </w:rPr>
            </w:pPr>
            <w:r>
              <w:rPr>
                <w:rFonts w:hint="eastAsia" w:ascii="仿宋" w:hAnsi="仿宋" w:eastAsia="仿宋" w:cs="仿宋"/>
                <w:b/>
                <w:sz w:val="24"/>
              </w:rPr>
              <w:t>备份响应文件送达地点和签收人员</w:t>
            </w:r>
          </w:p>
        </w:tc>
        <w:tc>
          <w:tcPr>
            <w:tcW w:w="6095" w:type="dxa"/>
            <w:vAlign w:val="center"/>
          </w:tcPr>
          <w:p w14:paraId="668494B4">
            <w:pPr>
              <w:pStyle w:val="32"/>
              <w:rPr>
                <w:rFonts w:ascii="仿宋" w:hAnsi="仿宋" w:eastAsia="仿宋" w:cs="仿宋"/>
                <w:b/>
                <w:sz w:val="24"/>
                <w:szCs w:val="24"/>
              </w:rPr>
            </w:pPr>
            <w:r>
              <w:rPr>
                <w:rFonts w:hint="eastAsia" w:ascii="仿宋" w:hAnsi="仿宋" w:eastAsia="仿宋" w:cs="仿宋"/>
                <w:kern w:val="28"/>
                <w:sz w:val="24"/>
                <w:szCs w:val="24"/>
              </w:rPr>
              <w:t>本项目备份文件是否收取：不收取。</w:t>
            </w:r>
          </w:p>
        </w:tc>
      </w:tr>
      <w:tr w14:paraId="2F35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blHeader/>
          <w:jc w:val="center"/>
        </w:trPr>
        <w:tc>
          <w:tcPr>
            <w:tcW w:w="629" w:type="dxa"/>
            <w:vAlign w:val="center"/>
          </w:tcPr>
          <w:p w14:paraId="2CAA3249">
            <w:pPr>
              <w:snapToGrid w:val="0"/>
              <w:jc w:val="center"/>
              <w:rPr>
                <w:rFonts w:ascii="仿宋" w:hAnsi="仿宋" w:eastAsia="仿宋" w:cs="仿宋"/>
                <w:sz w:val="24"/>
              </w:rPr>
            </w:pPr>
            <w:r>
              <w:rPr>
                <w:rFonts w:hint="eastAsia" w:ascii="仿宋" w:hAnsi="仿宋" w:eastAsia="仿宋" w:cs="仿宋"/>
                <w:sz w:val="24"/>
              </w:rPr>
              <w:t>11</w:t>
            </w:r>
          </w:p>
        </w:tc>
        <w:tc>
          <w:tcPr>
            <w:tcW w:w="1843" w:type="dxa"/>
            <w:vAlign w:val="center"/>
          </w:tcPr>
          <w:p w14:paraId="259E1B12">
            <w:pPr>
              <w:snapToGrid w:val="0"/>
              <w:jc w:val="center"/>
              <w:rPr>
                <w:rFonts w:ascii="仿宋" w:hAnsi="仿宋" w:eastAsia="仿宋" w:cs="仿宋"/>
                <w:b/>
                <w:sz w:val="24"/>
              </w:rPr>
            </w:pPr>
            <w:r>
              <w:rPr>
                <w:rFonts w:hint="eastAsia" w:ascii="仿宋" w:hAnsi="仿宋" w:eastAsia="仿宋" w:cs="仿宋"/>
                <w:b/>
                <w:sz w:val="24"/>
              </w:rPr>
              <w:t>采购机构代理费用</w:t>
            </w:r>
          </w:p>
        </w:tc>
        <w:tc>
          <w:tcPr>
            <w:tcW w:w="6095" w:type="dxa"/>
            <w:vAlign w:val="center"/>
          </w:tcPr>
          <w:p w14:paraId="41494CF8">
            <w:pPr>
              <w:pStyle w:val="32"/>
              <w:rPr>
                <w:rFonts w:ascii="仿宋" w:hAnsi="仿宋" w:eastAsia="仿宋" w:cs="仿宋"/>
                <w:kern w:val="28"/>
                <w:sz w:val="24"/>
                <w:szCs w:val="24"/>
              </w:rPr>
            </w:pPr>
            <w:r>
              <w:rPr>
                <w:rFonts w:hint="eastAsia" w:ascii="仿宋" w:hAnsi="仿宋" w:eastAsia="仿宋" w:cs="仿宋"/>
                <w:kern w:val="28"/>
                <w:sz w:val="24"/>
                <w:szCs w:val="24"/>
                <w:highlight w:val="none"/>
              </w:rPr>
              <w:t>本项目采购代理费由</w:t>
            </w:r>
            <w:r>
              <w:rPr>
                <w:rFonts w:hint="eastAsia" w:ascii="仿宋" w:hAnsi="仿宋" w:eastAsia="仿宋" w:cs="仿宋"/>
                <w:kern w:val="28"/>
                <w:sz w:val="24"/>
                <w:szCs w:val="24"/>
                <w:highlight w:val="none"/>
                <w:lang w:val="en-US" w:eastAsia="zh-CN"/>
              </w:rPr>
              <w:t>采购</w:t>
            </w:r>
            <w:r>
              <w:rPr>
                <w:rFonts w:hint="eastAsia" w:ascii="仿宋" w:hAnsi="仿宋" w:eastAsia="仿宋" w:cs="仿宋"/>
                <w:kern w:val="28"/>
                <w:sz w:val="24"/>
                <w:szCs w:val="24"/>
                <w:highlight w:val="none"/>
              </w:rPr>
              <w:t>人支付，</w:t>
            </w:r>
            <w:r>
              <w:rPr>
                <w:rFonts w:hint="eastAsia" w:ascii="仿宋" w:hAnsi="仿宋" w:eastAsia="仿宋" w:cs="仿宋"/>
                <w:kern w:val="28"/>
                <w:sz w:val="24"/>
                <w:szCs w:val="24"/>
                <w:highlight w:val="none"/>
                <w:lang w:val="zh-CN"/>
              </w:rPr>
              <w:t>计费标准按《计价格［2002］1980号》。</w:t>
            </w:r>
          </w:p>
        </w:tc>
      </w:tr>
      <w:tr w14:paraId="425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jc w:val="center"/>
        </w:trPr>
        <w:tc>
          <w:tcPr>
            <w:tcW w:w="629" w:type="dxa"/>
            <w:vAlign w:val="center"/>
          </w:tcPr>
          <w:p w14:paraId="6A57D448">
            <w:pPr>
              <w:jc w:val="center"/>
              <w:rPr>
                <w:rFonts w:ascii="仿宋" w:hAnsi="仿宋" w:eastAsia="仿宋" w:cs="仿宋"/>
                <w:sz w:val="24"/>
              </w:rPr>
            </w:pPr>
            <w:r>
              <w:rPr>
                <w:rFonts w:hint="eastAsia" w:ascii="仿宋" w:hAnsi="仿宋" w:eastAsia="仿宋" w:cs="仿宋"/>
                <w:sz w:val="24"/>
              </w:rPr>
              <w:t>12</w:t>
            </w:r>
          </w:p>
        </w:tc>
        <w:tc>
          <w:tcPr>
            <w:tcW w:w="1843" w:type="dxa"/>
            <w:vAlign w:val="center"/>
          </w:tcPr>
          <w:p w14:paraId="7172E5B6">
            <w:pPr>
              <w:jc w:val="center"/>
              <w:rPr>
                <w:rFonts w:ascii="仿宋" w:hAnsi="仿宋" w:eastAsia="仿宋" w:cs="仿宋"/>
                <w:sz w:val="24"/>
              </w:rPr>
            </w:pPr>
            <w:r>
              <w:rPr>
                <w:rFonts w:hint="eastAsia" w:ascii="仿宋" w:hAnsi="仿宋" w:eastAsia="仿宋" w:cs="仿宋"/>
                <w:b/>
                <w:sz w:val="24"/>
              </w:rPr>
              <w:t>资格审查和信用信息审查</w:t>
            </w:r>
          </w:p>
        </w:tc>
        <w:tc>
          <w:tcPr>
            <w:tcW w:w="6095" w:type="dxa"/>
            <w:vAlign w:val="center"/>
          </w:tcPr>
          <w:p w14:paraId="4A1EB959">
            <w:pPr>
              <w:rPr>
                <w:rFonts w:ascii="仿宋" w:hAnsi="仿宋" w:eastAsia="仿宋" w:cs="仿宋"/>
                <w:sz w:val="24"/>
              </w:rPr>
            </w:pPr>
            <w:r>
              <w:rPr>
                <w:rFonts w:hint="eastAsia" w:ascii="仿宋" w:hAnsi="仿宋" w:eastAsia="仿宋" w:cs="仿宋"/>
                <w:sz w:val="24"/>
              </w:rPr>
              <w:t>本项目由采购人进行资格文件及信用信息查询。</w:t>
            </w:r>
          </w:p>
        </w:tc>
      </w:tr>
      <w:tr w14:paraId="2581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19FD7497">
            <w:pPr>
              <w:jc w:val="center"/>
              <w:rPr>
                <w:rFonts w:ascii="仿宋" w:hAnsi="仿宋" w:eastAsia="仿宋" w:cs="仿宋"/>
                <w:sz w:val="24"/>
              </w:rPr>
            </w:pPr>
            <w:r>
              <w:rPr>
                <w:rFonts w:hint="eastAsia" w:ascii="仿宋" w:hAnsi="仿宋" w:eastAsia="仿宋" w:cs="仿宋"/>
                <w:sz w:val="24"/>
              </w:rPr>
              <w:t>13</w:t>
            </w:r>
          </w:p>
        </w:tc>
        <w:tc>
          <w:tcPr>
            <w:tcW w:w="1843" w:type="dxa"/>
            <w:vAlign w:val="center"/>
          </w:tcPr>
          <w:p w14:paraId="1577E30B">
            <w:pPr>
              <w:jc w:val="center"/>
              <w:rPr>
                <w:rFonts w:ascii="仿宋" w:hAnsi="仿宋" w:eastAsia="仿宋" w:cs="仿宋"/>
                <w:b/>
                <w:sz w:val="24"/>
              </w:rPr>
            </w:pPr>
            <w:r>
              <w:rPr>
                <w:rFonts w:hint="eastAsia" w:ascii="仿宋" w:hAnsi="仿宋" w:eastAsia="仿宋" w:cs="仿宋"/>
                <w:b/>
                <w:sz w:val="24"/>
              </w:rPr>
              <w:t>质疑接收人及答复</w:t>
            </w:r>
          </w:p>
        </w:tc>
        <w:tc>
          <w:tcPr>
            <w:tcW w:w="6095" w:type="dxa"/>
            <w:vAlign w:val="center"/>
          </w:tcPr>
          <w:p w14:paraId="7D6717D5">
            <w:pPr>
              <w:snapToGrid w:val="0"/>
              <w:rPr>
                <w:rFonts w:ascii="仿宋" w:hAnsi="仿宋" w:eastAsia="仿宋" w:cs="仿宋"/>
                <w:sz w:val="24"/>
                <w:u w:val="single"/>
              </w:rPr>
            </w:pPr>
            <w:r>
              <w:rPr>
                <w:rFonts w:hint="eastAsia" w:ascii="仿宋" w:hAnsi="仿宋" w:eastAsia="仿宋" w:cs="仿宋"/>
                <w:sz w:val="24"/>
              </w:rPr>
              <w:t>采购人、采购机构质疑接收人、联系方式：详见公告</w:t>
            </w:r>
          </w:p>
          <w:p w14:paraId="3320089B">
            <w:pPr>
              <w:snapToGrid w:val="0"/>
              <w:ind w:firstLine="482"/>
              <w:rPr>
                <w:rFonts w:ascii="仿宋" w:hAnsi="仿宋" w:eastAsia="仿宋" w:cs="仿宋"/>
                <w:b/>
                <w:sz w:val="24"/>
              </w:rPr>
            </w:pPr>
            <w:r>
              <w:rPr>
                <w:rFonts w:hint="eastAsia" w:ascii="仿宋" w:hAnsi="仿宋" w:eastAsia="仿宋" w:cs="仿宋"/>
                <w:b/>
                <w:sz w:val="24"/>
              </w:rPr>
              <w:t>线上提交质疑方式：乐采云线上质疑路径：项目采购-询问质疑投诉-质疑列表。请使用ca签章在每一页质疑文件中加盖电子公章，上传完整附件。</w:t>
            </w:r>
          </w:p>
          <w:p w14:paraId="4ABBEBFC">
            <w:pPr>
              <w:snapToGrid w:val="0"/>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本项目涉及资格条件、采购需求、评分办法及采购过程中有关现场考察或开标前答疑会等事项由采购人进行答复。</w:t>
            </w:r>
          </w:p>
          <w:p w14:paraId="79878022">
            <w:pPr>
              <w:rPr>
                <w:rFonts w:ascii="仿宋" w:hAnsi="仿宋" w:eastAsia="仿宋" w:cs="仿宋"/>
                <w:sz w:val="24"/>
              </w:rPr>
            </w:pPr>
            <w:r>
              <w:rPr>
                <w:rFonts w:hint="eastAsia" w:ascii="仿宋" w:hAnsi="仿宋" w:eastAsia="仿宋" w:cs="仿宋"/>
                <w:sz w:val="24"/>
              </w:rPr>
              <w:t>涉及流程规范性、组织程序等相关事项，由采购机构进行答复。</w:t>
            </w:r>
          </w:p>
        </w:tc>
      </w:tr>
    </w:tbl>
    <w:p w14:paraId="0A6B49D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05DA978E">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40" w:name="_Toc164416483"/>
      <w:bookmarkStart w:id="41" w:name="第三部分"/>
      <w:r>
        <w:rPr>
          <w:rFonts w:hint="eastAsia" w:ascii="仿宋" w:hAnsi="仿宋" w:eastAsia="仿宋" w:cs="仿宋"/>
          <w:b/>
          <w:color w:val="auto"/>
          <w:sz w:val="32"/>
          <w:szCs w:val="20"/>
          <w:highlight w:val="none"/>
        </w:rPr>
        <w:t>一、总则</w:t>
      </w:r>
    </w:p>
    <w:p w14:paraId="64781E5E">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886C23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文件适用于该项目的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、投标、开标、资格审查及信用信息查询、评标、定标、合同、验收等行为（法律、法规另有规定的，从其规定）。</w:t>
      </w:r>
    </w:p>
    <w:p w14:paraId="51DB0CC2">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00ECC7F">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222B9DDA">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“采购代理机构”系指交易公告中载明的本项目的采购代理机构。</w:t>
      </w:r>
    </w:p>
    <w:p w14:paraId="4C9E9A75">
      <w:pPr>
        <w:spacing w:line="360" w:lineRule="auto"/>
        <w:ind w:firstLine="480" w:firstLineChars="200"/>
        <w:rPr>
          <w:rFonts w:ascii="仿宋" w:hAnsi="仿宋" w:eastAsia="仿宋" w:cs="仿宋"/>
          <w:sz w:val="24"/>
        </w:rPr>
      </w:pPr>
      <w:r>
        <w:rPr>
          <w:rFonts w:hint="eastAsia" w:ascii="仿宋" w:hAnsi="仿宋" w:eastAsia="仿宋" w:cs="仿宋"/>
          <w:sz w:val="24"/>
        </w:rPr>
        <w:t>2.3 “响应人”系指是指响应招标、参加投标竞争的法人、其他组织或者自然人。</w:t>
      </w:r>
    </w:p>
    <w:p w14:paraId="5CBD4CF3">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9B8BBDC">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CB5D8D">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2.6“电子交易平台”系指本项目政府采购活动所依托的乐采云平台（https://www.lecaiyun.com/）。</w:t>
      </w:r>
    </w:p>
    <w:p w14:paraId="5416EC94">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bookmarkEnd w:id="40"/>
    <w:bookmarkEnd w:id="41"/>
    <w:p w14:paraId="08597B9F">
      <w:pPr>
        <w:spacing w:line="360" w:lineRule="auto"/>
        <w:ind w:firstLine="482" w:firstLineChars="200"/>
        <w:rPr>
          <w:rFonts w:ascii="仿宋" w:hAnsi="仿宋" w:eastAsia="仿宋" w:cs="仿宋"/>
          <w:b/>
          <w:sz w:val="24"/>
        </w:rPr>
      </w:pPr>
      <w:bookmarkStart w:id="42" w:name="第四部分"/>
      <w:r>
        <w:rPr>
          <w:rFonts w:hint="eastAsia" w:ascii="仿宋" w:hAnsi="仿宋" w:eastAsia="仿宋" w:cs="仿宋"/>
          <w:b/>
          <w:sz w:val="24"/>
        </w:rPr>
        <w:t>3.采购项目需要落实的政府采购政策：无</w:t>
      </w:r>
    </w:p>
    <w:p w14:paraId="4E4F65CF">
      <w:pPr>
        <w:spacing w:line="360" w:lineRule="auto"/>
        <w:ind w:firstLine="482" w:firstLineChars="200"/>
        <w:rPr>
          <w:rFonts w:ascii="仿宋" w:hAnsi="仿宋" w:eastAsia="仿宋" w:cs="仿宋"/>
          <w:b/>
          <w:sz w:val="24"/>
        </w:rPr>
      </w:pPr>
      <w:r>
        <w:rPr>
          <w:rFonts w:hint="eastAsia" w:ascii="仿宋" w:hAnsi="仿宋" w:eastAsia="仿宋" w:cs="仿宋"/>
          <w:b/>
          <w:sz w:val="24"/>
        </w:rPr>
        <w:t>4.询问、质疑、投诉</w:t>
      </w:r>
    </w:p>
    <w:p w14:paraId="1AC171D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1</w:t>
      </w:r>
      <w:r>
        <w:rPr>
          <w:rFonts w:hint="eastAsia" w:ascii="仿宋" w:hAnsi="仿宋" w:eastAsia="仿宋" w:cs="仿宋"/>
          <w:kern w:val="0"/>
          <w:sz w:val="24"/>
          <w:lang w:val="zh-CN"/>
        </w:rPr>
        <w:t>供应商询问</w:t>
      </w:r>
    </w:p>
    <w:p w14:paraId="2018F0F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63131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供应商质疑</w:t>
      </w:r>
    </w:p>
    <w:p w14:paraId="4A26BEAD">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sz w:val="24"/>
        </w:rPr>
        <w:t>.1提出质疑的供应商应当是参与所质疑项目采购活动的供应商。潜在供应商已依法获取其可质疑的交易文件的，可以对该文件提出质疑。</w:t>
      </w:r>
    </w:p>
    <w:p w14:paraId="34F47336">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sz w:val="24"/>
        </w:rPr>
        <w:t>.2供应商认为交易文件、采购过程和成交结果使自己的权益受到损害的，可以在知道或者应知其权益受到损害之日起七个工作日内，以书面形式向采购人或者采购代理机构提出质疑，否则，采购人或者采购代理机构不予受理：</w:t>
      </w:r>
    </w:p>
    <w:p w14:paraId="2BE84278">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4.2.2.1对交易文件提出质疑的，质疑期限为供应商获得交易文件之日或者交易文件公告期限届满之日起计算。</w:t>
      </w:r>
    </w:p>
    <w:p w14:paraId="61FCECD2">
      <w:pPr>
        <w:pStyle w:val="32"/>
        <w:spacing w:line="360" w:lineRule="auto"/>
        <w:ind w:left="479" w:leftChars="228"/>
        <w:rPr>
          <w:rFonts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14:paraId="5EA18C3D">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14:paraId="352762C7">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.3.1供应商的姓名或者名称、地址、邮编、联系人及联系电话；</w:t>
      </w:r>
    </w:p>
    <w:p w14:paraId="4D20B6C8">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.3.2质疑项目的名称、编号；</w:t>
      </w:r>
    </w:p>
    <w:p w14:paraId="2518CE4B">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.3.3具体、明确的质疑事项和与质疑事项相关的请求；</w:t>
      </w:r>
    </w:p>
    <w:p w14:paraId="5494F72F">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.3.4事实依据；</w:t>
      </w:r>
    </w:p>
    <w:p w14:paraId="0A473672">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.3.5必要的法律依据；</w:t>
      </w:r>
    </w:p>
    <w:p w14:paraId="6C441BEE">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2</w:t>
      </w:r>
      <w:r>
        <w:rPr>
          <w:rFonts w:hint="eastAsia" w:ascii="仿宋" w:hAnsi="仿宋" w:eastAsia="仿宋" w:cs="仿宋"/>
          <w:kern w:val="0"/>
          <w:sz w:val="24"/>
          <w:lang w:val="zh-CN"/>
        </w:rPr>
        <w:t>.3.6提出质疑的日期。</w:t>
      </w:r>
    </w:p>
    <w:p w14:paraId="4A2F856F">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AC6C41B">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质疑函范本及制作说明详见附件2。</w:t>
      </w:r>
    </w:p>
    <w:p w14:paraId="67F93F6C">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14:paraId="773F6938">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w:t>
      </w:r>
      <w:r>
        <w:rPr>
          <w:rFonts w:hint="eastAsia" w:ascii="仿宋" w:hAnsi="仿宋" w:eastAsia="仿宋" w:cs="仿宋"/>
        </w:rPr>
        <w:t>2.5采购人或者采购代理机构应当在收到供应商的书面质疑后七个工作日内作出答复，并以书面形式通知质疑供应商和其他与质疑处理结果有利害关系的政府采购当事人，但答复的内容不得涉及商业秘密。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0D7E497D">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w:t>
      </w:r>
      <w:r>
        <w:rPr>
          <w:rFonts w:hint="eastAsia" w:ascii="仿宋" w:hAnsi="仿宋" w:eastAsia="仿宋" w:cs="仿宋"/>
        </w:rPr>
        <w:t>3</w:t>
      </w:r>
      <w:r>
        <w:rPr>
          <w:rFonts w:hint="eastAsia" w:ascii="仿宋" w:hAnsi="仿宋" w:eastAsia="仿宋" w:cs="仿宋"/>
          <w:lang w:val="zh-CN"/>
        </w:rPr>
        <w:t>供应商投诉</w:t>
      </w:r>
    </w:p>
    <w:p w14:paraId="00E6A1EE">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4.4.1质疑供应商对采购人、采购代理机构的答复不满意或者采购人、采购代理机构应在规定的时间内作出答复的</w:t>
      </w:r>
    </w:p>
    <w:p w14:paraId="0AB83327">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F98F146">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4.4.3供应商投诉应当有明确的请求和必要的证明材料。</w:t>
      </w:r>
    </w:p>
    <w:p w14:paraId="3AF85D54">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4384F598">
      <w:pPr>
        <w:pStyle w:val="6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14:paraId="4C5763AF">
      <w:pPr>
        <w:pStyle w:val="219"/>
        <w:snapToGrid w:val="0"/>
        <w:spacing w:before="0"/>
        <w:ind w:firstLine="360"/>
        <w:rPr>
          <w:rFonts w:ascii="仿宋" w:hAnsi="仿宋" w:eastAsia="仿宋" w:cs="仿宋"/>
          <w:sz w:val="18"/>
          <w:szCs w:val="18"/>
        </w:rPr>
      </w:pPr>
    </w:p>
    <w:p w14:paraId="176D8CF0">
      <w:pPr>
        <w:adjustRightInd/>
        <w:spacing w:line="360" w:lineRule="auto"/>
        <w:ind w:firstLine="643" w:firstLineChars="200"/>
        <w:jc w:val="center"/>
        <w:outlineLvl w:val="0"/>
        <w:rPr>
          <w:rFonts w:ascii="仿宋" w:hAnsi="仿宋" w:eastAsia="仿宋" w:cs="仿宋"/>
          <w:b/>
          <w:sz w:val="32"/>
          <w:szCs w:val="20"/>
        </w:rPr>
      </w:pPr>
      <w:r>
        <w:rPr>
          <w:rFonts w:hint="eastAsia" w:ascii="仿宋" w:hAnsi="仿宋" w:eastAsia="仿宋" w:cs="仿宋"/>
          <w:b/>
          <w:sz w:val="32"/>
          <w:szCs w:val="20"/>
        </w:rPr>
        <w:t xml:space="preserve">      二、交易文件的构成、澄清、修改</w:t>
      </w:r>
    </w:p>
    <w:p w14:paraId="6CF93D04">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5．交易文件的构成</w:t>
      </w:r>
    </w:p>
    <w:p w14:paraId="10BE9A69">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359748C8">
      <w:pPr>
        <w:pStyle w:val="32"/>
        <w:tabs>
          <w:tab w:val="left" w:pos="8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5.1.1交易公告；</w:t>
      </w:r>
    </w:p>
    <w:p w14:paraId="63262FC6">
      <w:pPr>
        <w:pStyle w:val="32"/>
        <w:tabs>
          <w:tab w:val="left" w:pos="8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5.1.2响应人须知；</w:t>
      </w:r>
    </w:p>
    <w:p w14:paraId="5EF61890">
      <w:pPr>
        <w:pStyle w:val="32"/>
        <w:tabs>
          <w:tab w:val="left" w:pos="8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5.1.3采购需求；</w:t>
      </w:r>
    </w:p>
    <w:p w14:paraId="213B077B">
      <w:pPr>
        <w:pStyle w:val="32"/>
        <w:tabs>
          <w:tab w:val="left" w:pos="8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5.1.4评审办法；</w:t>
      </w:r>
    </w:p>
    <w:p w14:paraId="76007B87">
      <w:pPr>
        <w:pStyle w:val="32"/>
        <w:tabs>
          <w:tab w:val="left" w:pos="8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5.1.5拟签订的合同文本；</w:t>
      </w:r>
    </w:p>
    <w:p w14:paraId="73E1075F">
      <w:pPr>
        <w:pStyle w:val="32"/>
        <w:tabs>
          <w:tab w:val="left" w:pos="840"/>
        </w:tabs>
        <w:spacing w:line="360" w:lineRule="auto"/>
        <w:ind w:firstLine="480" w:firstLineChars="2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E310961">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澄清或者修改的内容为交易文件的组成部分</w:t>
      </w:r>
      <w:r>
        <w:rPr>
          <w:rFonts w:hint="eastAsia" w:ascii="仿宋" w:hAnsi="仿宋" w:eastAsia="仿宋" w:cs="仿宋"/>
          <w:sz w:val="24"/>
        </w:rPr>
        <w:t>。</w:t>
      </w:r>
    </w:p>
    <w:p w14:paraId="0DB00FCE">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2AF50E72">
      <w:pPr>
        <w:pStyle w:val="219"/>
        <w:snapToGrid w:val="0"/>
        <w:spacing w:before="0"/>
        <w:ind w:firstLine="480"/>
        <w:rPr>
          <w:rFonts w:ascii="仿宋" w:hAnsi="仿宋" w:eastAsia="仿宋" w:cs="仿宋"/>
        </w:rPr>
      </w:pPr>
      <w:r>
        <w:rPr>
          <w:rFonts w:hint="eastAsia" w:ascii="仿宋" w:hAnsi="仿宋" w:eastAsia="仿宋" w:cs="仿宋"/>
        </w:rPr>
        <w:t>6.1已获取交易文件的潜在响应人，若有问题需要澄清，应于交易截止时间前，以书面形式向采购代理机构提出。</w:t>
      </w:r>
    </w:p>
    <w:p w14:paraId="22A3D157">
      <w:pPr>
        <w:pStyle w:val="219"/>
        <w:snapToGrid w:val="0"/>
        <w:spacing w:before="0"/>
        <w:ind w:firstLine="480"/>
        <w:rPr>
          <w:rFonts w:ascii="仿宋" w:hAnsi="仿宋" w:eastAsia="仿宋" w:cs="仿宋"/>
        </w:rPr>
      </w:pPr>
      <w:r>
        <w:rPr>
          <w:rFonts w:hint="eastAsia" w:ascii="仿宋" w:hAnsi="仿宋" w:eastAsia="仿宋" w:cs="仿宋"/>
        </w:rPr>
        <w:t>6.2 采购代理机构对交易文件进行澄清或修改的，将同时通过电子交易平台通知已获取交易文件的潜在响应人。依法应当公告的，将按规定公告，同时视情况延长交易截止时间和开标时间。该澄清或者修改的内容为交易文件的组成部分。</w:t>
      </w:r>
    </w:p>
    <w:p w14:paraId="50513563">
      <w:pPr>
        <w:pStyle w:val="22"/>
        <w:ind w:firstLine="480" w:firstLineChars="200"/>
        <w:rPr>
          <w:rFonts w:ascii="仿宋" w:hAnsi="仿宋" w:eastAsia="仿宋" w:cs="仿宋"/>
          <w:sz w:val="18"/>
          <w:szCs w:val="18"/>
          <w:lang w:val="en-US"/>
        </w:rPr>
      </w:pPr>
      <w:r>
        <w:rPr>
          <w:rFonts w:hint="eastAsia" w:ascii="仿宋" w:hAnsi="仿宋" w:eastAsia="仿宋" w:cs="仿宋"/>
          <w:szCs w:val="24"/>
          <w:lang w:val="en-US"/>
        </w:rPr>
        <w:t xml:space="preserve">    </w:t>
      </w:r>
    </w:p>
    <w:p w14:paraId="4C39D916">
      <w:pPr>
        <w:adjustRightInd/>
        <w:spacing w:line="360" w:lineRule="auto"/>
        <w:ind w:firstLine="602" w:firstLineChars="200"/>
        <w:jc w:val="center"/>
        <w:outlineLvl w:val="0"/>
        <w:rPr>
          <w:rFonts w:ascii="仿宋" w:hAnsi="仿宋" w:eastAsia="仿宋" w:cs="仿宋"/>
          <w:b/>
          <w:sz w:val="30"/>
          <w:szCs w:val="20"/>
        </w:rPr>
      </w:pPr>
      <w:r>
        <w:rPr>
          <w:rFonts w:hint="eastAsia" w:ascii="仿宋" w:hAnsi="仿宋" w:eastAsia="仿宋" w:cs="仿宋"/>
          <w:b/>
          <w:sz w:val="30"/>
          <w:szCs w:val="20"/>
        </w:rPr>
        <w:t>三、交易响应</w:t>
      </w:r>
    </w:p>
    <w:p w14:paraId="00CEC283">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7.交易文件的获取</w:t>
      </w:r>
    </w:p>
    <w:p w14:paraId="41ED3D8B">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详见交易公告中获取交易文件的时间期限、地点、方式及交易文件售价。</w:t>
      </w:r>
    </w:p>
    <w:p w14:paraId="07D378BF">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14:paraId="3F56FD6C">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采购人组织潜在响应人现场考察或者召开开标前答疑会的，潜在响应人按第二部分响应人须知前附表的规定参加现场考察或者开标前答疑会。</w:t>
      </w:r>
    </w:p>
    <w:p w14:paraId="23C31DE9">
      <w:pPr>
        <w:pStyle w:val="32"/>
        <w:spacing w:line="360" w:lineRule="auto"/>
        <w:ind w:firstLine="482" w:firstLineChars="200"/>
        <w:rPr>
          <w:rFonts w:ascii="仿宋" w:hAnsi="仿宋" w:eastAsia="仿宋" w:cs="仿宋"/>
          <w:b/>
          <w:szCs w:val="24"/>
        </w:rPr>
      </w:pPr>
      <w:r>
        <w:rPr>
          <w:rFonts w:hint="eastAsia" w:ascii="仿宋" w:hAnsi="仿宋" w:eastAsia="仿宋" w:cs="仿宋"/>
          <w:b/>
          <w:kern w:val="28"/>
          <w:sz w:val="24"/>
          <w:szCs w:val="24"/>
        </w:rPr>
        <w:t>9.响应保证金</w:t>
      </w:r>
    </w:p>
    <w:p w14:paraId="5374A635">
      <w:pPr>
        <w:pStyle w:val="15"/>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本项目不需缴纳响应保证金。</w:t>
      </w:r>
    </w:p>
    <w:p w14:paraId="6EA47579">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10.响应文件的语言</w:t>
      </w:r>
    </w:p>
    <w:p w14:paraId="7A2C8308">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响应文件及响应人与采购有关的来往通知、函件和文件均应使用中文。</w:t>
      </w:r>
    </w:p>
    <w:p w14:paraId="651FE722">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11.响应文件的组成</w:t>
      </w:r>
    </w:p>
    <w:p w14:paraId="654E632C">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11.1资格文件：</w:t>
      </w:r>
    </w:p>
    <w:p w14:paraId="0F143FC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4CC9B7F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7814A7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CBE96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14B89E2">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653908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637322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1C3DF18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11.2.3分包意向协议（如果有)；</w:t>
      </w:r>
    </w:p>
    <w:p w14:paraId="2E926A3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11.2.4符合性审查资料；</w:t>
      </w:r>
    </w:p>
    <w:p w14:paraId="511F13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3FD234F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11.2.6响应标的清单；</w:t>
      </w:r>
    </w:p>
    <w:p w14:paraId="7000799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11.2.7商务技术偏离表；</w:t>
      </w:r>
    </w:p>
    <w:p w14:paraId="36D67AB0">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85E1B8D">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FC621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11.3.1交易一览表（报价表）；</w:t>
      </w:r>
    </w:p>
    <w:p w14:paraId="38BC09A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11.3.2中小企业声明函（如果有）。</w:t>
      </w:r>
    </w:p>
    <w:p w14:paraId="19F8BC1B">
      <w:pPr>
        <w:spacing w:line="360" w:lineRule="auto"/>
        <w:ind w:firstLine="482" w:firstLineChars="200"/>
        <w:rPr>
          <w:rFonts w:ascii="仿宋" w:hAnsi="仿宋" w:eastAsia="仿宋" w:cs="仿宋"/>
          <w:b/>
          <w:sz w:val="24"/>
        </w:rPr>
      </w:pPr>
      <w:r>
        <w:rPr>
          <w:rFonts w:hint="eastAsia" w:ascii="仿宋" w:hAnsi="仿宋" w:eastAsia="仿宋" w:cs="仿宋"/>
          <w:b/>
          <w:sz w:val="24"/>
        </w:rPr>
        <w:t>响应文件含有采购人不能接受的附加条件的，响应无效；</w:t>
      </w:r>
    </w:p>
    <w:p w14:paraId="32F483FB">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响应人提供虚假材料投标的，响应无效。</w:t>
      </w:r>
    </w:p>
    <w:p w14:paraId="71E4EAAD">
      <w:pPr>
        <w:pStyle w:val="219"/>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响应文件的编制</w:t>
      </w:r>
    </w:p>
    <w:p w14:paraId="318BDFD6">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6B36719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12.2响应人进行电子</w:t>
      </w:r>
      <w:r>
        <w:rPr>
          <w:rFonts w:hint="eastAsia" w:ascii="仿宋" w:hAnsi="仿宋" w:eastAsia="仿宋" w:cs="仿宋"/>
          <w:kern w:val="0"/>
          <w:sz w:val="24"/>
        </w:rPr>
        <w:t>交易</w:t>
      </w:r>
      <w:r>
        <w:rPr>
          <w:rFonts w:hint="eastAsia" w:ascii="仿宋" w:hAnsi="仿宋" w:eastAsia="仿宋" w:cs="仿宋"/>
          <w:kern w:val="0"/>
          <w:sz w:val="24"/>
          <w:lang w:val="zh-CN"/>
        </w:rPr>
        <w:t>应安装客户端软件—“</w:t>
      </w:r>
      <w:r>
        <w:rPr>
          <w:rFonts w:hint="eastAsia" w:ascii="仿宋" w:hAnsi="仿宋" w:eastAsia="仿宋" w:cs="仿宋"/>
          <w:kern w:val="0"/>
          <w:sz w:val="24"/>
        </w:rPr>
        <w:t>乐采云</w:t>
      </w:r>
      <w:r>
        <w:rPr>
          <w:rFonts w:hint="eastAsia" w:ascii="仿宋" w:hAnsi="仿宋" w:eastAsia="仿宋" w:cs="仿宋"/>
          <w:kern w:val="0"/>
          <w:sz w:val="24"/>
          <w:lang w:val="zh-CN"/>
        </w:rPr>
        <w:t>交易客户端”，并按照交易文件和电子交易平台的要求编制并加密响应文件。响应人未按规定加密的响应文件，电子交易平台将拒收并提示。</w:t>
      </w:r>
    </w:p>
    <w:p w14:paraId="3A1DD092">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12.3使用“乐采云交易客户端”需要提前申领CA数字证书，申领流程请自行前往“浙江政府采购网-下载专区-电子交易客户端-CA驱动和申领流程”进行查阅。</w:t>
      </w:r>
    </w:p>
    <w:p w14:paraId="4EE2C399">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13.响应文件的签署、盖章</w:t>
      </w:r>
    </w:p>
    <w:p w14:paraId="18B8F3D7">
      <w:pPr>
        <w:pStyle w:val="219"/>
        <w:snapToGrid w:val="0"/>
        <w:spacing w:before="0"/>
        <w:ind w:firstLine="480"/>
        <w:rPr>
          <w:rFonts w:ascii="仿宋" w:hAnsi="仿宋" w:eastAsia="仿宋" w:cs="仿宋"/>
          <w:b/>
        </w:rPr>
      </w:pPr>
      <w:r>
        <w:rPr>
          <w:rFonts w:hint="eastAsia" w:ascii="仿宋" w:hAnsi="仿宋" w:eastAsia="仿宋" w:cs="仿宋"/>
          <w:szCs w:val="24"/>
        </w:rPr>
        <w:t>13.1响应文件按照交易文件第六部分格式要</w:t>
      </w:r>
      <w:r>
        <w:rPr>
          <w:rFonts w:hint="eastAsia" w:ascii="仿宋" w:hAnsi="仿宋" w:eastAsia="仿宋" w:cs="仿宋"/>
        </w:rPr>
        <w:t>求进行签署、盖章。</w:t>
      </w:r>
      <w:r>
        <w:rPr>
          <w:rFonts w:hint="eastAsia" w:ascii="仿宋" w:hAnsi="仿宋" w:eastAsia="仿宋" w:cs="仿宋"/>
          <w:b/>
        </w:rPr>
        <w:t>▲响应人的响应文件未按照交易文件要求签署、盖章的，其响应无效</w:t>
      </w:r>
      <w:r>
        <w:rPr>
          <w:rFonts w:hint="eastAsia" w:ascii="仿宋" w:hAnsi="仿宋" w:eastAsia="仿宋" w:cs="仿宋"/>
          <w:szCs w:val="24"/>
        </w:rPr>
        <w:t>。</w:t>
      </w:r>
    </w:p>
    <w:p w14:paraId="5B7B729E">
      <w:pPr>
        <w:pStyle w:val="219"/>
        <w:snapToGrid w:val="0"/>
        <w:spacing w:before="0"/>
        <w:ind w:firstLine="480"/>
        <w:rPr>
          <w:rFonts w:ascii="仿宋" w:hAnsi="仿宋" w:eastAsia="仿宋" w:cs="仿宋"/>
        </w:rPr>
      </w:pPr>
      <w:r>
        <w:rPr>
          <w:rFonts w:hint="eastAsia" w:ascii="仿宋" w:hAnsi="仿宋" w:eastAsia="仿宋" w:cs="仿宋"/>
        </w:rPr>
        <w:t>13.2为确保网上操作合法、有效和安全，响应人应当在交易截止时间前完成在“乐采云平台”的身份认证，确保在电子交易过程中能够对相关数据电文进行加密和使用电子签名。</w:t>
      </w:r>
    </w:p>
    <w:p w14:paraId="0649FE3F">
      <w:pPr>
        <w:pStyle w:val="219"/>
        <w:snapToGrid w:val="0"/>
        <w:spacing w:before="0"/>
        <w:ind w:firstLine="480"/>
        <w:rPr>
          <w:rFonts w:ascii="仿宋" w:hAnsi="仿宋" w:eastAsia="仿宋" w:cs="仿宋"/>
          <w:szCs w:val="24"/>
        </w:rPr>
      </w:pPr>
      <w:r>
        <w:rPr>
          <w:rFonts w:hint="eastAsia" w:ascii="仿宋" w:hAnsi="仿宋" w:eastAsia="仿宋" w:cs="仿宋"/>
        </w:rPr>
        <w:t>13.3交易文件对响应文件签署、盖章的要求适用于电子签名。</w:t>
      </w:r>
    </w:p>
    <w:p w14:paraId="36A9362F">
      <w:pPr>
        <w:pStyle w:val="219"/>
        <w:spacing w:before="0"/>
        <w:ind w:firstLine="482"/>
        <w:rPr>
          <w:rFonts w:ascii="仿宋" w:hAnsi="仿宋" w:eastAsia="仿宋" w:cs="仿宋"/>
          <w:b/>
          <w:szCs w:val="24"/>
        </w:rPr>
      </w:pPr>
      <w:r>
        <w:rPr>
          <w:rFonts w:hint="eastAsia" w:ascii="仿宋" w:hAnsi="仿宋" w:eastAsia="仿宋" w:cs="仿宋"/>
          <w:b/>
          <w:szCs w:val="24"/>
        </w:rPr>
        <w:t>14.响应文件的提交、补充、修改、撤回</w:t>
      </w:r>
    </w:p>
    <w:p w14:paraId="36AE6063">
      <w:pPr>
        <w:pStyle w:val="219"/>
        <w:spacing w:before="0"/>
        <w:ind w:firstLine="480"/>
        <w:rPr>
          <w:rFonts w:ascii="仿宋" w:hAnsi="仿宋" w:eastAsia="仿宋" w:cs="仿宋"/>
          <w:szCs w:val="24"/>
        </w:rPr>
      </w:pPr>
      <w:r>
        <w:rPr>
          <w:rFonts w:hint="eastAsia" w:ascii="仿宋" w:hAnsi="仿宋" w:eastAsia="仿宋" w:cs="仿宋"/>
          <w:szCs w:val="24"/>
        </w:rPr>
        <w:t>14.1 供应商应当在交易截止时间前完成响应文件的传输递交，并可以补充、修改或者撤回响应文件。补充或者修改响应文件的，应当先行撤回原文件，补充、修改后重新传输递交。供应商撤回投标不得损害国家利益、社会公共利益、采购人利益、代理机构利益、其他供应商利益，否则，供应商撤销（撤回）响应无效。交易截止时间前未完成传输的，视为撤回响应文件。交易截止时间后递交的响应文件，电子交易平台将拒收。</w:t>
      </w:r>
    </w:p>
    <w:p w14:paraId="25F2CB11">
      <w:pPr>
        <w:pStyle w:val="219"/>
        <w:spacing w:before="0"/>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14.2电子交易平台收到响应文件，将妥善保存并即时向供应商发出确认回执通知。在交易截止时间前，除供应商补充、修改或者撤回响应文件外，任何单位和个人不得解密或提取响应文件。</w:t>
      </w:r>
    </w:p>
    <w:p w14:paraId="68F22A46">
      <w:pPr>
        <w:pStyle w:val="219"/>
        <w:spacing w:before="0"/>
        <w:ind w:firstLine="480"/>
        <w:rPr>
          <w:rFonts w:ascii="仿宋" w:hAnsi="仿宋" w:eastAsia="仿宋" w:cs="仿宋"/>
          <w:szCs w:val="24"/>
        </w:rPr>
      </w:pPr>
      <w:r>
        <w:rPr>
          <w:rFonts w:hint="eastAsia" w:ascii="仿宋" w:hAnsi="仿宋" w:eastAsia="仿宋" w:cs="仿宋"/>
          <w:szCs w:val="24"/>
        </w:rPr>
        <w:t>14.3采购人、采购代理机构可以视情况延长响应文件提交的截止时间。在上述情况下，采购代理机构与响应人以前在交易截止期方面的全部权利、责任和义务，将适用于延长至新的交易截止期。</w:t>
      </w:r>
    </w:p>
    <w:p w14:paraId="36E0CE70">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15.备份响应文件</w:t>
      </w:r>
    </w:p>
    <w:p w14:paraId="749E3FF6">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15.1响应人在电子交易平台传输递交响应文件后，还可以在交易截止时间前直接提交或者以邮政快递方式递交备份响应文件1份，</w:t>
      </w:r>
      <w:r>
        <w:rPr>
          <w:rFonts w:hint="eastAsia" w:ascii="仿宋" w:hAnsi="仿宋" w:eastAsia="仿宋" w:cs="仿宋"/>
          <w:b/>
          <w:sz w:val="24"/>
          <w:szCs w:val="24"/>
        </w:rPr>
        <w:t>但采购人、采购代理机构不强制或变相强制响应人提交备份响应文件。</w:t>
      </w:r>
    </w:p>
    <w:p w14:paraId="3EC89EAA">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15.2备份响应文件须在“乐采云投标客户端”制作生成，并储存在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1B04D72">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15.3直接提交备份响应文件的，响应人应于交易截止时间前在交易公告中载明的开标地点将备份响应文件提交给采购代理机构，采购代理机构将拒绝接受逾期送达的备份响应文件。</w:t>
      </w:r>
    </w:p>
    <w:p w14:paraId="45AE67BE">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响应文件的，响应人应先将备份响应文件按要求密封和标记，再进行邮政快递包装后邮寄。备份响应文件须在交易截止时间之前送达交易文件第二部分响应人须知前附表规定的备份响应文件送达地点；送达时间以签收人签收时间为准。采购代理机构将拒绝接受逾期送达的备份响应文件。邮寄过程中，电子备份响应文件发生泄露、遗失、损坏或延期送达等情况的，由响应人自行负责。</w:t>
      </w:r>
    </w:p>
    <w:p w14:paraId="04E8AC39">
      <w:pPr>
        <w:pStyle w:val="32"/>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15.5响应人仅提交备份响应文件，未在电子交易平台传输递交响应文件的，响应无效。</w:t>
      </w:r>
    </w:p>
    <w:p w14:paraId="02610FFE">
      <w:pPr>
        <w:pStyle w:val="219"/>
        <w:spacing w:before="0"/>
        <w:ind w:firstLine="482"/>
        <w:rPr>
          <w:rFonts w:ascii="仿宋" w:hAnsi="仿宋" w:eastAsia="仿宋" w:cs="仿宋"/>
          <w:b/>
          <w:szCs w:val="24"/>
        </w:rPr>
      </w:pPr>
      <w:r>
        <w:rPr>
          <w:rFonts w:hint="eastAsia" w:ascii="仿宋" w:hAnsi="仿宋" w:eastAsia="仿宋" w:cs="仿宋"/>
          <w:b/>
          <w:szCs w:val="24"/>
        </w:rPr>
        <w:t>16.响应文件的无效处理</w:t>
      </w:r>
    </w:p>
    <w:p w14:paraId="22A58921">
      <w:pPr>
        <w:pStyle w:val="24"/>
        <w:spacing w:line="360" w:lineRule="auto"/>
        <w:rPr>
          <w:rFonts w:ascii="仿宋" w:hAnsi="仿宋" w:eastAsia="仿宋" w:cs="仿宋"/>
          <w:szCs w:val="21"/>
        </w:rPr>
      </w:pPr>
      <w:r>
        <w:rPr>
          <w:rFonts w:hint="eastAsia" w:ascii="仿宋" w:hAnsi="仿宋" w:eastAsia="仿宋" w:cs="仿宋"/>
          <w:szCs w:val="21"/>
        </w:rPr>
        <w:t>有交易文件第四部分4.2规定的情形之一的，响应无效：</w:t>
      </w:r>
    </w:p>
    <w:p w14:paraId="2104D26C">
      <w:pPr>
        <w:pStyle w:val="219"/>
        <w:spacing w:before="0"/>
        <w:ind w:firstLine="482"/>
        <w:rPr>
          <w:rFonts w:ascii="仿宋" w:hAnsi="仿宋" w:eastAsia="仿宋" w:cs="仿宋"/>
          <w:b/>
          <w:szCs w:val="24"/>
        </w:rPr>
      </w:pPr>
      <w:r>
        <w:rPr>
          <w:rFonts w:hint="eastAsia" w:ascii="仿宋" w:hAnsi="仿宋" w:eastAsia="仿宋" w:cs="仿宋"/>
          <w:b/>
          <w:szCs w:val="24"/>
        </w:rPr>
        <w:t>17.投标有效期</w:t>
      </w:r>
    </w:p>
    <w:p w14:paraId="440EB3C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17.1投标有效期为从提交响应文件的截止之日起90天。▲</w:t>
      </w:r>
      <w:r>
        <w:rPr>
          <w:rFonts w:hint="eastAsia" w:ascii="仿宋" w:hAnsi="仿宋" w:eastAsia="仿宋" w:cs="仿宋"/>
          <w:b/>
          <w:sz w:val="24"/>
          <w:szCs w:val="20"/>
        </w:rPr>
        <w:t>响应人的响应文件中承</w:t>
      </w:r>
      <w:r>
        <w:rPr>
          <w:rFonts w:hint="eastAsia" w:ascii="仿宋" w:hAnsi="仿宋" w:eastAsia="仿宋" w:cs="仿宋"/>
          <w:b/>
          <w:sz w:val="24"/>
          <w:szCs w:val="21"/>
        </w:rPr>
        <w:t>诺的投标有效期少于交易文件中载明的投标有效期的，响应无效。</w:t>
      </w:r>
    </w:p>
    <w:p w14:paraId="060A7858">
      <w:pPr>
        <w:pStyle w:val="219"/>
        <w:spacing w:before="0"/>
        <w:ind w:firstLine="480"/>
        <w:rPr>
          <w:rFonts w:ascii="仿宋" w:hAnsi="仿宋" w:eastAsia="仿宋" w:cs="仿宋"/>
        </w:rPr>
      </w:pPr>
      <w:r>
        <w:rPr>
          <w:rFonts w:hint="eastAsia" w:ascii="仿宋" w:hAnsi="仿宋" w:eastAsia="仿宋" w:cs="仿宋"/>
        </w:rPr>
        <w:t>17.2响应文件合格投递后，自交易截止日期起，在投标有效期内有效。</w:t>
      </w:r>
    </w:p>
    <w:p w14:paraId="4393749E">
      <w:pPr>
        <w:pStyle w:val="219"/>
        <w:spacing w:before="0"/>
        <w:ind w:firstLine="480"/>
        <w:jc w:val="left"/>
        <w:rPr>
          <w:rFonts w:ascii="仿宋" w:hAnsi="仿宋" w:eastAsia="仿宋" w:cs="仿宋"/>
        </w:rPr>
      </w:pPr>
      <w:r>
        <w:rPr>
          <w:rFonts w:hint="eastAsia" w:ascii="仿宋" w:hAnsi="仿宋" w:eastAsia="仿宋" w:cs="仿宋"/>
        </w:rPr>
        <w:t>17.3在原定投标有效期满之前，如果出现特殊情况，采购代理机构可以以书面形式通知响应人延长投标有效期。响应人同意延长的，不得要求或被允许修改其响应文件，响应人拒绝延长的，其响应无效。</w:t>
      </w:r>
      <w:r>
        <w:rPr>
          <w:rFonts w:hint="eastAsia" w:ascii="仿宋" w:hAnsi="仿宋" w:eastAsia="仿宋" w:cs="仿宋"/>
        </w:rPr>
        <w:br w:type="textWrapping"/>
      </w:r>
      <w:r>
        <w:rPr>
          <w:rFonts w:hint="eastAsia" w:ascii="仿宋" w:hAnsi="仿宋" w:eastAsia="仿宋" w:cs="仿宋"/>
        </w:rPr>
        <w:t xml:space="preserve">    17.4在交易截止时间起至投标有效期届满，供应商响应文件不可撤销。</w:t>
      </w:r>
    </w:p>
    <w:p w14:paraId="307782F3">
      <w:pPr>
        <w:pStyle w:val="219"/>
        <w:spacing w:before="0"/>
        <w:ind w:firstLine="643"/>
        <w:rPr>
          <w:rFonts w:ascii="仿宋" w:hAnsi="仿宋" w:eastAsia="仿宋" w:cs="仿宋"/>
          <w:b/>
          <w:sz w:val="32"/>
        </w:rPr>
      </w:pPr>
    </w:p>
    <w:p w14:paraId="3C317D2F">
      <w:pPr>
        <w:pStyle w:val="219"/>
        <w:spacing w:before="0"/>
        <w:ind w:firstLine="643"/>
        <w:jc w:val="center"/>
        <w:rPr>
          <w:rFonts w:ascii="仿宋" w:hAnsi="仿宋" w:eastAsia="仿宋" w:cs="仿宋"/>
          <w:b/>
          <w:sz w:val="32"/>
        </w:rPr>
      </w:pPr>
      <w:r>
        <w:rPr>
          <w:rFonts w:hint="eastAsia" w:ascii="仿宋" w:hAnsi="仿宋" w:eastAsia="仿宋" w:cs="仿宋"/>
          <w:b/>
          <w:sz w:val="32"/>
        </w:rPr>
        <w:t>四、开标、资格审查与信用信息查询</w:t>
      </w:r>
    </w:p>
    <w:p w14:paraId="1A4E7087">
      <w:pPr>
        <w:pStyle w:val="498"/>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46530BFA">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18.1采购代理机构按照交易文件规定的时间通过电子交易平台组织开标，所有响应人均应当准时在线参加。响应人不足3家的，不得开标。</w:t>
      </w:r>
    </w:p>
    <w:p w14:paraId="04D578E4">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18.2开标时，电子交易平台按开标时间自动提取所有响应文件。采购代理机构依托电子交易平台发起开始解密指令，响应人按照平台提示和交易文件的规定在半小时内完成在线解密。</w:t>
      </w:r>
    </w:p>
    <w:p w14:paraId="08462CD3">
      <w:pPr>
        <w:pStyle w:val="24"/>
        <w:spacing w:line="360" w:lineRule="auto"/>
        <w:rPr>
          <w:rFonts w:ascii="仿宋" w:hAnsi="仿宋" w:eastAsia="仿宋" w:cs="仿宋"/>
          <w:szCs w:val="21"/>
        </w:rPr>
      </w:pPr>
      <w:r>
        <w:rPr>
          <w:rFonts w:hint="eastAsia" w:ascii="仿宋" w:hAnsi="仿宋" w:eastAsia="仿宋" w:cs="仿宋"/>
          <w:szCs w:val="21"/>
        </w:rPr>
        <w:t>18.3响应文件未按时解密，响应人提供了备份响应文件的，以备份响应文件作为依据，否则视为响应文件撤回。响应文件已按时解密的，备份响应文件自动失效。</w:t>
      </w:r>
    </w:p>
    <w:p w14:paraId="4A6B5592">
      <w:pPr>
        <w:pStyle w:val="24"/>
        <w:spacing w:line="360" w:lineRule="auto"/>
        <w:ind w:firstLine="482"/>
        <w:rPr>
          <w:rFonts w:ascii="仿宋" w:hAnsi="仿宋" w:eastAsia="仿宋" w:cs="仿宋"/>
          <w:b/>
          <w:bCs/>
          <w:szCs w:val="21"/>
        </w:rPr>
      </w:pPr>
      <w:r>
        <w:rPr>
          <w:rFonts w:hint="eastAsia" w:ascii="仿宋" w:hAnsi="仿宋" w:eastAsia="仿宋" w:cs="仿宋"/>
          <w:b/>
          <w:bCs/>
          <w:szCs w:val="21"/>
        </w:rPr>
        <w:t>19、资格审查</w:t>
      </w:r>
    </w:p>
    <w:p w14:paraId="06B7C06B">
      <w:pPr>
        <w:pStyle w:val="219"/>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19.1开标后，采购人将依据法律法规和交易文件的规定，对响应人的资格进行审查。</w:t>
      </w:r>
    </w:p>
    <w:p w14:paraId="32354144">
      <w:pPr>
        <w:pStyle w:val="219"/>
        <w:spacing w:before="0"/>
        <w:ind w:firstLine="480"/>
        <w:rPr>
          <w:rFonts w:ascii="仿宋" w:hAnsi="仿宋" w:eastAsia="仿宋" w:cs="仿宋"/>
        </w:rPr>
      </w:pPr>
      <w:r>
        <w:rPr>
          <w:rFonts w:hint="eastAsia" w:ascii="仿宋" w:hAnsi="仿宋" w:eastAsia="仿宋" w:cs="仿宋"/>
          <w:kern w:val="0"/>
          <w:szCs w:val="24"/>
        </w:rPr>
        <w:t>19.2响应人未按照交易文件要求提供与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响应人不具备交易文件中规定的资格要求，其响应无效。</w:t>
      </w:r>
    </w:p>
    <w:p w14:paraId="46DE51D6">
      <w:pPr>
        <w:pStyle w:val="21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3对未通过资格审查的响应人，告知其未通过的原因。</w:t>
      </w:r>
    </w:p>
    <w:p w14:paraId="37774E25">
      <w:pPr>
        <w:pStyle w:val="21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4合格响应人不足3家的，不再评审。</w:t>
      </w:r>
    </w:p>
    <w:p w14:paraId="76020A94">
      <w:pPr>
        <w:pStyle w:val="219"/>
        <w:spacing w:before="0"/>
        <w:ind w:firstLine="482"/>
        <w:rPr>
          <w:rFonts w:ascii="仿宋" w:hAnsi="仿宋" w:eastAsia="仿宋" w:cs="仿宋"/>
          <w:b/>
          <w:szCs w:val="24"/>
        </w:rPr>
      </w:pPr>
      <w:r>
        <w:rPr>
          <w:rFonts w:hint="eastAsia" w:ascii="仿宋" w:hAnsi="仿宋" w:eastAsia="仿宋" w:cs="仿宋"/>
          <w:b/>
          <w:szCs w:val="24"/>
        </w:rPr>
        <w:t>20、信用信息查询</w:t>
      </w:r>
    </w:p>
    <w:p w14:paraId="23734ED8">
      <w:pPr>
        <w:pStyle w:val="219"/>
        <w:spacing w:before="0"/>
        <w:ind w:firstLine="480"/>
        <w:rPr>
          <w:rFonts w:ascii="仿宋" w:hAnsi="仿宋" w:eastAsia="仿宋" w:cs="仿宋"/>
          <w:kern w:val="0"/>
          <w:szCs w:val="24"/>
        </w:rPr>
      </w:pPr>
      <w:r>
        <w:rPr>
          <w:rFonts w:hint="eastAsia" w:ascii="仿宋" w:hAnsi="仿宋" w:eastAsia="仿宋" w:cs="仿宋"/>
          <w:kern w:val="0"/>
          <w:szCs w:val="24"/>
        </w:rPr>
        <w:t>20.1信用信息查询渠道及截止时间：采购人将在资格审查时通过“信用中国”网站(www.creditchina.gov.cn)、中国政府采购网(www.ccgp.gov.cn)渠道查询响应人接受资格时的信用记录。</w:t>
      </w:r>
    </w:p>
    <w:p w14:paraId="71830536">
      <w:pPr>
        <w:pStyle w:val="219"/>
        <w:spacing w:before="0"/>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20.2信用信息查询记录和证据留存的具体方式：现场查询的响应人的信用记录、查询结果经确认后将与采购文件一起存档。</w:t>
      </w:r>
    </w:p>
    <w:p w14:paraId="52FA3377">
      <w:pPr>
        <w:pStyle w:val="219"/>
        <w:spacing w:before="0"/>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20.3信用信息的使用规则：经查询列入失信被执行人名单、重大税收违法案件当事人名单、政府采购严重违法失信行为记录名单的响应人将被拒绝参与政府采购活动。</w:t>
      </w:r>
    </w:p>
    <w:p w14:paraId="313CDEC9">
      <w:pPr>
        <w:pStyle w:val="21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216412D">
      <w:pPr>
        <w:pStyle w:val="219"/>
        <w:spacing w:before="0"/>
        <w:ind w:firstLine="480"/>
        <w:rPr>
          <w:rFonts w:ascii="仿宋" w:hAnsi="仿宋" w:eastAsia="仿宋" w:cs="仿宋"/>
          <w:kern w:val="0"/>
          <w:szCs w:val="24"/>
        </w:rPr>
      </w:pPr>
    </w:p>
    <w:p w14:paraId="13551826">
      <w:pPr>
        <w:snapToGrid w:val="0"/>
        <w:spacing w:line="360" w:lineRule="auto"/>
        <w:ind w:firstLine="723" w:firstLineChars="200"/>
        <w:jc w:val="center"/>
        <w:outlineLvl w:val="0"/>
        <w:rPr>
          <w:rFonts w:ascii="仿宋" w:hAnsi="仿宋" w:eastAsia="仿宋" w:cs="仿宋"/>
          <w:b/>
          <w:sz w:val="36"/>
          <w:szCs w:val="36"/>
        </w:rPr>
      </w:pPr>
      <w:r>
        <w:rPr>
          <w:rFonts w:hint="eastAsia" w:ascii="仿宋" w:hAnsi="仿宋" w:eastAsia="仿宋" w:cs="仿宋"/>
          <w:b/>
          <w:sz w:val="36"/>
          <w:szCs w:val="36"/>
        </w:rPr>
        <w:t>五、评审</w:t>
      </w:r>
    </w:p>
    <w:p w14:paraId="2EB0CD29">
      <w:pPr>
        <w:spacing w:line="360" w:lineRule="auto"/>
        <w:ind w:firstLine="482" w:firstLineChars="200"/>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审委员会将根据交易文件和有关规定，履行评审工作职责，并按照评审方法及评分标准，全面衡量各响应人对交易文件的响应情况。对实质上响应交易文件的响应人，按照评审因素的量化指标排出推荐中标的响应人的先后顺序，并按顺序提出授标建议。</w:t>
      </w:r>
      <w:r>
        <w:rPr>
          <w:rFonts w:hint="eastAsia" w:ascii="仿宋" w:hAnsi="仿宋" w:eastAsia="仿宋" w:cs="仿宋"/>
          <w:b/>
          <w:sz w:val="24"/>
        </w:rPr>
        <w:t>详见交易文件第四部分评标办法。</w:t>
      </w:r>
    </w:p>
    <w:p w14:paraId="73FC13F4">
      <w:pPr>
        <w:spacing w:line="360" w:lineRule="auto"/>
        <w:ind w:firstLine="482" w:firstLineChars="200"/>
        <w:rPr>
          <w:rFonts w:ascii="仿宋" w:hAnsi="仿宋" w:eastAsia="仿宋" w:cs="仿宋"/>
          <w:b/>
          <w:sz w:val="24"/>
        </w:rPr>
      </w:pPr>
    </w:p>
    <w:p w14:paraId="00C2553A">
      <w:pPr>
        <w:snapToGrid w:val="0"/>
        <w:spacing w:line="360" w:lineRule="auto"/>
        <w:ind w:firstLine="723" w:firstLineChars="200"/>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700D3DD9">
      <w:pPr>
        <w:pStyle w:val="24"/>
        <w:spacing w:line="360" w:lineRule="auto"/>
        <w:ind w:firstLine="482"/>
        <w:rPr>
          <w:rFonts w:ascii="仿宋" w:hAnsi="仿宋" w:eastAsia="仿宋" w:cs="仿宋"/>
          <w:b/>
        </w:rPr>
      </w:pPr>
      <w:r>
        <w:rPr>
          <w:rFonts w:hint="eastAsia" w:ascii="仿宋" w:hAnsi="仿宋" w:eastAsia="仿宋" w:cs="仿宋"/>
          <w:b/>
        </w:rPr>
        <w:t>22.确定成交供应商</w:t>
      </w:r>
    </w:p>
    <w:p w14:paraId="15BC791D">
      <w:pPr>
        <w:pStyle w:val="219"/>
        <w:snapToGrid w:val="0"/>
        <w:spacing w:before="0"/>
        <w:ind w:firstLine="480"/>
        <w:rPr>
          <w:rFonts w:ascii="仿宋" w:hAnsi="仿宋" w:eastAsia="仿宋" w:cs="仿宋"/>
          <w:b/>
          <w:szCs w:val="24"/>
        </w:rPr>
      </w:pPr>
      <w:r>
        <w:rPr>
          <w:rFonts w:hint="eastAsia" w:ascii="仿宋" w:hAnsi="仿宋" w:eastAsia="仿宋" w:cs="仿宋"/>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7D829139">
      <w:pPr>
        <w:pStyle w:val="219"/>
        <w:snapToGrid w:val="0"/>
        <w:spacing w:before="0"/>
        <w:ind w:firstLine="482"/>
        <w:rPr>
          <w:rFonts w:ascii="仿宋" w:hAnsi="仿宋" w:eastAsia="仿宋" w:cs="仿宋"/>
          <w:b/>
          <w:szCs w:val="24"/>
        </w:rPr>
      </w:pPr>
      <w:r>
        <w:rPr>
          <w:rFonts w:hint="eastAsia" w:ascii="仿宋" w:hAnsi="仿宋" w:eastAsia="仿宋" w:cs="仿宋"/>
          <w:b/>
          <w:szCs w:val="24"/>
        </w:rPr>
        <w:t>23.成交通知与成交结果公告</w:t>
      </w:r>
    </w:p>
    <w:p w14:paraId="268B717C">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23.1自成交人确定之日起2个工作日内，采购代理机构通过电子交易平台向成交人发出成交通知书，同时编制发布采购结果公告。采购代理机构也可以以纸质形式进行成交通知。</w:t>
      </w:r>
    </w:p>
    <w:p w14:paraId="4B001703">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23.2成交结果公告内容包括采购人及其委托的采购代理机构的名称、地址、联系方式，项目名称和项目编号，成交人名称、地址和成交金额，主要标的的名称、规格型号、数量、单价、服务要求，开标记录、</w:t>
      </w:r>
      <w:bookmarkStart w:id="43" w:name="_Hlk101184471"/>
      <w:r>
        <w:rPr>
          <w:rFonts w:hint="eastAsia" w:ascii="仿宋" w:hAnsi="仿宋" w:eastAsia="仿宋" w:cs="仿宋"/>
          <w:sz w:val="24"/>
        </w:rPr>
        <w:t>资格审查情况、评审专家抽取规则、符合性审查情况、</w:t>
      </w:r>
      <w:bookmarkEnd w:id="43"/>
      <w:r>
        <w:rPr>
          <w:rFonts w:hint="eastAsia" w:ascii="仿宋" w:hAnsi="仿宋" w:eastAsia="仿宋" w:cs="仿宋"/>
          <w:sz w:val="24"/>
        </w:rPr>
        <w:t>未中标情况说明、成交公告期限以及评审专家名单、评分汇总及明细。</w:t>
      </w:r>
    </w:p>
    <w:p w14:paraId="42B56B7F">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23.3公告期限为1个工作日。</w:t>
      </w:r>
    </w:p>
    <w:p w14:paraId="767587F5">
      <w:pPr>
        <w:snapToGrid w:val="0"/>
        <w:spacing w:line="360" w:lineRule="auto"/>
        <w:ind w:firstLine="643" w:firstLineChars="200"/>
        <w:jc w:val="center"/>
        <w:rPr>
          <w:rFonts w:ascii="仿宋" w:hAnsi="仿宋" w:eastAsia="仿宋" w:cs="仿宋"/>
          <w:b/>
          <w:sz w:val="32"/>
        </w:rPr>
      </w:pPr>
      <w:r>
        <w:rPr>
          <w:rFonts w:hint="eastAsia" w:ascii="仿宋" w:hAnsi="仿宋" w:eastAsia="仿宋" w:cs="仿宋"/>
          <w:b/>
          <w:sz w:val="32"/>
        </w:rPr>
        <w:t>七、合同授予</w:t>
      </w:r>
    </w:p>
    <w:p w14:paraId="2E542589">
      <w:pPr>
        <w:pStyle w:val="24"/>
        <w:spacing w:line="360" w:lineRule="auto"/>
        <w:ind w:firstLine="482"/>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A10605B">
      <w:pPr>
        <w:pStyle w:val="24"/>
        <w:spacing w:line="360" w:lineRule="auto"/>
        <w:ind w:firstLine="482"/>
        <w:rPr>
          <w:rFonts w:ascii="仿宋" w:hAnsi="仿宋" w:eastAsia="仿宋" w:cs="仿宋"/>
          <w:b/>
        </w:rPr>
      </w:pPr>
      <w:r>
        <w:rPr>
          <w:rFonts w:hint="eastAsia" w:ascii="仿宋" w:hAnsi="仿宋" w:eastAsia="仿宋" w:cs="仿宋"/>
          <w:b/>
        </w:rPr>
        <w:t>25.合同的签订</w:t>
      </w:r>
    </w:p>
    <w:p w14:paraId="5145662F">
      <w:pPr>
        <w:widowControl/>
        <w:shd w:val="clear" w:color="auto" w:fill="FFFFFF"/>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通过电子交易平台在成交通知书发出之日起三十日内，按照交易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采购合同。</w:t>
      </w:r>
    </w:p>
    <w:p w14:paraId="0F2F793F">
      <w:pPr>
        <w:pStyle w:val="219"/>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773B94AB">
      <w:pPr>
        <w:pStyle w:val="219"/>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2DD99F81">
      <w:pPr>
        <w:pStyle w:val="219"/>
        <w:snapToGrid w:val="0"/>
        <w:spacing w:before="0"/>
        <w:ind w:firstLine="480"/>
        <w:rPr>
          <w:rFonts w:ascii="仿宋" w:hAnsi="仿宋" w:eastAsia="仿宋" w:cs="仿宋"/>
        </w:rPr>
      </w:pPr>
      <w:r>
        <w:rPr>
          <w:rFonts w:hint="eastAsia" w:ascii="仿宋" w:hAnsi="仿宋" w:eastAsia="仿宋" w:cs="仿宋"/>
        </w:rPr>
        <w:t>25.4成交供应商拒绝与采购人签订合同的，采购人可以按照评审报告推荐的中标或者成交候选人名单排序，确定下一候选人为成交供应商，也可以重新开展政府采购活动。</w:t>
      </w:r>
    </w:p>
    <w:p w14:paraId="16530261">
      <w:pPr>
        <w:pStyle w:val="219"/>
        <w:snapToGrid w:val="0"/>
        <w:spacing w:before="0"/>
        <w:ind w:firstLine="480"/>
        <w:rPr>
          <w:rFonts w:ascii="仿宋" w:hAnsi="仿宋" w:eastAsia="仿宋" w:cs="仿宋"/>
        </w:rPr>
      </w:pPr>
      <w:r>
        <w:rPr>
          <w:rFonts w:hint="eastAsia" w:ascii="仿宋" w:hAnsi="仿宋" w:eastAsia="仿宋" w:cs="仿宋"/>
        </w:rPr>
        <w:t>25.5采购合同由采购人与成交供应商根据交易文件、响应文件等内容通过乐采云</w:t>
      </w:r>
    </w:p>
    <w:p w14:paraId="48E31BDA">
      <w:pPr>
        <w:pStyle w:val="24"/>
        <w:spacing w:line="360" w:lineRule="auto"/>
        <w:ind w:firstLine="482"/>
        <w:rPr>
          <w:rFonts w:ascii="仿宋" w:hAnsi="仿宋" w:eastAsia="仿宋" w:cs="仿宋"/>
          <w:b/>
        </w:rPr>
      </w:pPr>
      <w:r>
        <w:rPr>
          <w:rFonts w:hint="eastAsia" w:ascii="仿宋" w:hAnsi="仿宋" w:eastAsia="仿宋" w:cs="仿宋"/>
          <w:b/>
        </w:rPr>
        <w:t>26.履约保证金</w:t>
      </w:r>
    </w:p>
    <w:p w14:paraId="41E9F847">
      <w:pPr>
        <w:pStyle w:val="2"/>
        <w:ind w:left="0" w:firstLine="482" w:firstLineChars="200"/>
        <w:rPr>
          <w:b w:val="0"/>
          <w:bCs w:val="0"/>
          <w:snapToGrid w:val="0"/>
          <w:kern w:val="28"/>
          <w:sz w:val="24"/>
        </w:rPr>
      </w:pPr>
      <w:r>
        <w:rPr>
          <w:rFonts w:hint="eastAsia"/>
          <w:kern w:val="0"/>
          <w:sz w:val="24"/>
        </w:rPr>
        <w:t>拟签订的合同文本要求成交供应商提交履约保证金的，供应商应当以支票、汇票、本票或者金融机构、担保机构出具的保函等非现金形式提交</w:t>
      </w:r>
      <w:r>
        <w:rPr>
          <w:rFonts w:hint="eastAsia"/>
          <w:sz w:val="24"/>
        </w:rPr>
        <w:t>。履约保证金的数额不得超过政府采购合同金额的1%，</w:t>
      </w:r>
    </w:p>
    <w:p w14:paraId="703ECEC8">
      <w:pPr>
        <w:spacing w:line="360" w:lineRule="auto"/>
        <w:ind w:firstLine="420" w:firstLineChars="200"/>
        <w:rPr>
          <w:rFonts w:ascii="仿宋" w:hAnsi="仿宋" w:eastAsia="仿宋" w:cs="仿宋"/>
        </w:rPr>
      </w:pPr>
    </w:p>
    <w:p w14:paraId="1519DFC1">
      <w:pPr>
        <w:snapToGrid w:val="0"/>
        <w:spacing w:line="360" w:lineRule="auto"/>
        <w:ind w:firstLine="643" w:firstLineChars="200"/>
        <w:jc w:val="center"/>
        <w:rPr>
          <w:rFonts w:ascii="仿宋" w:hAnsi="仿宋" w:eastAsia="仿宋" w:cs="仿宋"/>
          <w:b/>
          <w:sz w:val="24"/>
        </w:rPr>
      </w:pPr>
      <w:r>
        <w:rPr>
          <w:rFonts w:hint="eastAsia" w:ascii="仿宋" w:hAnsi="仿宋" w:eastAsia="仿宋" w:cs="仿宋"/>
          <w:b/>
          <w:sz w:val="32"/>
        </w:rPr>
        <w:t>八、电子交易活动的中止</w:t>
      </w:r>
    </w:p>
    <w:p w14:paraId="4F3A110D">
      <w:pPr>
        <w:pStyle w:val="219"/>
        <w:snapToGrid w:val="0"/>
        <w:spacing w:before="0"/>
        <w:ind w:firstLine="482"/>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901CD05">
      <w:pPr>
        <w:pStyle w:val="219"/>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6174F4F8">
      <w:pPr>
        <w:pStyle w:val="219"/>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3ABF643C">
      <w:pPr>
        <w:pStyle w:val="219"/>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065FE6AE">
      <w:pPr>
        <w:pStyle w:val="219"/>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464501DE">
      <w:pPr>
        <w:pStyle w:val="219"/>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0876C7F">
      <w:pPr>
        <w:pStyle w:val="219"/>
        <w:snapToGrid w:val="0"/>
        <w:spacing w:before="0"/>
        <w:ind w:firstLine="48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5B3A3F">
      <w:pPr>
        <w:tabs>
          <w:tab w:val="left" w:pos="0"/>
        </w:tabs>
        <w:spacing w:line="360" w:lineRule="auto"/>
        <w:ind w:firstLine="480" w:firstLineChars="200"/>
        <w:rPr>
          <w:rFonts w:ascii="仿宋" w:hAnsi="仿宋" w:eastAsia="仿宋" w:cs="仿宋"/>
          <w:sz w:val="24"/>
        </w:rPr>
      </w:pPr>
    </w:p>
    <w:p w14:paraId="2D31ECC9">
      <w:pPr>
        <w:snapToGrid w:val="0"/>
        <w:spacing w:line="360" w:lineRule="auto"/>
        <w:ind w:firstLine="643" w:firstLineChars="200"/>
        <w:jc w:val="center"/>
        <w:rPr>
          <w:rFonts w:ascii="仿宋" w:hAnsi="仿宋" w:eastAsia="仿宋" w:cs="仿宋"/>
          <w:b/>
          <w:sz w:val="32"/>
        </w:rPr>
      </w:pPr>
      <w:r>
        <w:rPr>
          <w:rFonts w:hint="eastAsia" w:ascii="仿宋" w:hAnsi="仿宋" w:eastAsia="仿宋" w:cs="仿宋"/>
          <w:b/>
          <w:sz w:val="32"/>
        </w:rPr>
        <w:t>九、验收</w:t>
      </w:r>
    </w:p>
    <w:p w14:paraId="0E9BBEE4">
      <w:pPr>
        <w:pStyle w:val="24"/>
        <w:spacing w:line="360" w:lineRule="auto"/>
        <w:ind w:firstLine="482"/>
        <w:rPr>
          <w:rFonts w:ascii="仿宋" w:hAnsi="仿宋" w:eastAsia="仿宋" w:cs="仿宋"/>
          <w:b/>
        </w:rPr>
      </w:pPr>
      <w:r>
        <w:rPr>
          <w:rFonts w:hint="eastAsia" w:ascii="仿宋" w:hAnsi="仿宋" w:eastAsia="仿宋" w:cs="仿宋"/>
          <w:b/>
        </w:rPr>
        <w:t>30.验收</w:t>
      </w:r>
    </w:p>
    <w:p w14:paraId="65EEA042">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F1ACAB">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30.2采购人可以邀请参加本项目的其他响应人或者第三方机构参与验收。参与验收的响应人或者第三方机构的意见作为验收书的参考资料一并存档。</w:t>
      </w:r>
    </w:p>
    <w:p w14:paraId="2506CD68">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487AEF">
      <w:pPr>
        <w:pStyle w:val="3"/>
        <w:jc w:val="left"/>
        <w:rPr>
          <w:rFonts w:hint="eastAsia"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05DD50">
      <w:pPr>
        <w:pStyle w:val="3"/>
        <w:jc w:val="left"/>
        <w:rPr>
          <w:rFonts w:hint="eastAsia" w:ascii="仿宋" w:hAnsi="仿宋" w:eastAsia="仿宋" w:cs="仿宋"/>
          <w:kern w:val="0"/>
          <w:sz w:val="24"/>
        </w:rPr>
      </w:pPr>
    </w:p>
    <w:p w14:paraId="7A45BBC1">
      <w:pPr>
        <w:pStyle w:val="3"/>
        <w:rPr>
          <w:rFonts w:hint="eastAsia" w:ascii="仿宋" w:hAnsi="仿宋" w:eastAsia="仿宋" w:cs="仿宋"/>
          <w:kern w:val="0"/>
          <w:sz w:val="24"/>
        </w:rPr>
      </w:pPr>
    </w:p>
    <w:p w14:paraId="3FA9EA32">
      <w:pPr>
        <w:pStyle w:val="3"/>
        <w:rPr>
          <w:rFonts w:hint="eastAsia" w:ascii="仿宋" w:hAnsi="仿宋" w:eastAsia="仿宋" w:cs="仿宋"/>
          <w:kern w:val="0"/>
          <w:sz w:val="24"/>
        </w:rPr>
      </w:pPr>
    </w:p>
    <w:p w14:paraId="1C149402">
      <w:pPr>
        <w:pStyle w:val="3"/>
        <w:rPr>
          <w:rFonts w:hint="eastAsia" w:ascii="仿宋" w:hAnsi="仿宋" w:eastAsia="仿宋" w:cs="仿宋"/>
          <w:kern w:val="0"/>
          <w:sz w:val="24"/>
        </w:rPr>
      </w:pPr>
    </w:p>
    <w:p w14:paraId="600681A3">
      <w:pPr>
        <w:pStyle w:val="3"/>
        <w:rPr>
          <w:rFonts w:hint="eastAsia" w:ascii="仿宋" w:hAnsi="仿宋" w:eastAsia="仿宋" w:cs="仿宋"/>
          <w:kern w:val="0"/>
          <w:sz w:val="24"/>
        </w:rPr>
      </w:pPr>
    </w:p>
    <w:p w14:paraId="26FF6F93">
      <w:pPr>
        <w:pStyle w:val="3"/>
        <w:rPr>
          <w:rFonts w:hint="eastAsia" w:ascii="仿宋" w:hAnsi="仿宋" w:eastAsia="仿宋" w:cs="仿宋"/>
          <w:kern w:val="0"/>
          <w:sz w:val="24"/>
        </w:rPr>
      </w:pPr>
    </w:p>
    <w:p w14:paraId="10ED1469">
      <w:pPr>
        <w:pStyle w:val="3"/>
        <w:rPr>
          <w:rFonts w:hint="eastAsia" w:ascii="仿宋" w:hAnsi="仿宋" w:eastAsia="仿宋" w:cs="仿宋"/>
          <w:kern w:val="0"/>
          <w:sz w:val="24"/>
        </w:rPr>
      </w:pPr>
    </w:p>
    <w:p w14:paraId="635E2781">
      <w:pPr>
        <w:pStyle w:val="3"/>
        <w:rPr>
          <w:rFonts w:hint="eastAsia" w:ascii="仿宋" w:hAnsi="仿宋" w:eastAsia="仿宋" w:cs="仿宋"/>
          <w:kern w:val="0"/>
          <w:sz w:val="24"/>
        </w:rPr>
      </w:pPr>
    </w:p>
    <w:p w14:paraId="5121E43A">
      <w:pPr>
        <w:pStyle w:val="3"/>
        <w:rPr>
          <w:rFonts w:hint="eastAsia" w:ascii="仿宋" w:hAnsi="仿宋" w:eastAsia="仿宋" w:cs="仿宋"/>
          <w:kern w:val="0"/>
          <w:sz w:val="24"/>
        </w:rPr>
      </w:pPr>
    </w:p>
    <w:p w14:paraId="2826CC57">
      <w:pPr>
        <w:pStyle w:val="3"/>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14:paraId="16067859">
      <w:pPr>
        <w:adjustRightInd w:val="0"/>
        <w:snapToGrid w:val="0"/>
        <w:spacing w:line="360" w:lineRule="auto"/>
        <w:ind w:firstLine="240" w:firstLineChars="1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607A1C8F">
      <w:pPr>
        <w:spacing w:line="360" w:lineRule="auto"/>
        <w:ind w:firstLine="470" w:firstLineChars="196"/>
        <w:jc w:val="center"/>
        <w:rPr>
          <w:rFonts w:hint="eastAsia" w:ascii="仿宋" w:hAnsi="仿宋" w:eastAsia="仿宋" w:cs="仿宋"/>
          <w:color w:val="auto"/>
          <w:sz w:val="24"/>
          <w:highlight w:val="none"/>
          <w:lang w:eastAsia="zh-CN"/>
        </w:rPr>
      </w:pPr>
      <w:bookmarkStart w:id="44" w:name="_Toc518046409"/>
      <w:r>
        <w:rPr>
          <w:rFonts w:hint="eastAsia" w:ascii="仿宋" w:hAnsi="仿宋" w:eastAsia="仿宋" w:cs="仿宋"/>
          <w:color w:val="auto"/>
          <w:sz w:val="24"/>
          <w:highlight w:val="none"/>
          <w:lang w:eastAsia="zh-CN"/>
        </w:rPr>
        <w:t>（一）、交易一览表</w:t>
      </w:r>
      <w:bookmarkEnd w:id="44"/>
    </w:p>
    <w:p w14:paraId="1050388B">
      <w:pPr>
        <w:spacing w:line="360" w:lineRule="auto"/>
        <w:ind w:firstLine="470" w:firstLineChars="196"/>
        <w:rPr>
          <w:rFonts w:hint="eastAsia" w:ascii="仿宋" w:hAnsi="仿宋" w:eastAsia="仿宋" w:cs="仿宋"/>
          <w:color w:val="auto"/>
          <w:sz w:val="24"/>
          <w:highlight w:val="none"/>
          <w:lang w:eastAsia="zh-CN"/>
        </w:rPr>
      </w:pPr>
      <w:bookmarkStart w:id="45" w:name="_Toc518046410"/>
      <w:r>
        <w:rPr>
          <w:rFonts w:hint="eastAsia" w:ascii="仿宋" w:hAnsi="仿宋" w:eastAsia="仿宋" w:cs="仿宋"/>
          <w:color w:val="auto"/>
          <w:sz w:val="24"/>
          <w:highlight w:val="none"/>
          <w:lang w:eastAsia="zh-CN"/>
        </w:rPr>
        <w:t>交易项：一</w:t>
      </w:r>
    </w:p>
    <w:tbl>
      <w:tblPr>
        <w:tblStyle w:val="60"/>
        <w:tblW w:w="9542" w:type="dxa"/>
        <w:jc w:val="center"/>
        <w:tblLayout w:type="fixed"/>
        <w:tblCellMar>
          <w:top w:w="0" w:type="dxa"/>
          <w:left w:w="0" w:type="dxa"/>
          <w:bottom w:w="0" w:type="dxa"/>
          <w:right w:w="0" w:type="dxa"/>
        </w:tblCellMar>
      </w:tblPr>
      <w:tblGrid>
        <w:gridCol w:w="920"/>
        <w:gridCol w:w="3750"/>
        <w:gridCol w:w="1980"/>
        <w:gridCol w:w="720"/>
        <w:gridCol w:w="720"/>
        <w:gridCol w:w="1452"/>
      </w:tblGrid>
      <w:tr w14:paraId="75CC739E">
        <w:trPr>
          <w:cantSplit/>
          <w:trHeight w:val="663"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00CEC6">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序号</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8EE1BC">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名称</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23085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规格型号与参数</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1B896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43F42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数量</w:t>
            </w:r>
          </w:p>
        </w:tc>
        <w:tc>
          <w:tcPr>
            <w:tcW w:w="1452" w:type="dxa"/>
            <w:tcBorders>
              <w:top w:val="single" w:color="auto" w:sz="4" w:space="0"/>
              <w:left w:val="nil"/>
              <w:bottom w:val="single" w:color="auto" w:sz="4" w:space="0"/>
              <w:right w:val="single" w:color="auto" w:sz="4" w:space="0"/>
            </w:tcBorders>
            <w:vAlign w:val="center"/>
          </w:tcPr>
          <w:p w14:paraId="770D1735">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w:t>
            </w:r>
          </w:p>
        </w:tc>
      </w:tr>
      <w:tr w14:paraId="711AA6A6">
        <w:tblPrEx>
          <w:tblCellMar>
            <w:top w:w="0" w:type="dxa"/>
            <w:left w:w="0" w:type="dxa"/>
            <w:bottom w:w="0" w:type="dxa"/>
            <w:right w:w="0" w:type="dxa"/>
          </w:tblCellMar>
        </w:tblPrEx>
        <w:trPr>
          <w:cantSplit/>
          <w:trHeight w:val="927"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9FDF0F">
            <w:pPr>
              <w:spacing w:line="360" w:lineRule="auto"/>
              <w:ind w:firstLine="470" w:firstLineChars="19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70CC2A">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河上镇人民政府机关食堂运营</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E12884">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6947B8">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72F80B">
            <w:pPr>
              <w:spacing w:line="360" w:lineRule="auto"/>
              <w:ind w:firstLine="470" w:firstLineChars="196"/>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1452" w:type="dxa"/>
            <w:tcBorders>
              <w:top w:val="single" w:color="auto" w:sz="4" w:space="0"/>
              <w:left w:val="nil"/>
              <w:bottom w:val="single" w:color="auto" w:sz="4" w:space="0"/>
              <w:right w:val="single" w:color="auto" w:sz="4" w:space="0"/>
            </w:tcBorders>
            <w:vAlign w:val="center"/>
          </w:tcPr>
          <w:p w14:paraId="14FD22E6">
            <w:pPr>
              <w:spacing w:line="360" w:lineRule="auto"/>
              <w:ind w:firstLine="470" w:firstLineChars="196"/>
              <w:jc w:val="center"/>
              <w:rPr>
                <w:rFonts w:hint="eastAsia" w:ascii="仿宋" w:hAnsi="仿宋" w:eastAsia="仿宋" w:cs="仿宋"/>
                <w:color w:val="auto"/>
                <w:sz w:val="24"/>
                <w:highlight w:val="none"/>
                <w:lang w:eastAsia="zh-CN"/>
              </w:rPr>
            </w:pPr>
          </w:p>
        </w:tc>
      </w:tr>
    </w:tbl>
    <w:p w14:paraId="779E3107">
      <w:pPr>
        <w:pStyle w:val="4"/>
        <w:numPr>
          <w:ilvl w:val="0"/>
          <w:numId w:val="7"/>
        </w:numPr>
        <w:ind w:leftChars="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需求</w:t>
      </w:r>
      <w:bookmarkEnd w:id="45"/>
    </w:p>
    <w:p w14:paraId="2914D1D2">
      <w:pPr>
        <w:spacing w:after="0"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技术需求</w:t>
      </w:r>
    </w:p>
    <w:p w14:paraId="1A94CE86">
      <w:pPr>
        <w:keepNext w:val="0"/>
        <w:keepLines w:val="0"/>
        <w:pageBreakBefore w:val="0"/>
        <w:widowControl w:val="0"/>
        <w:kinsoku/>
        <w:overflowPunct/>
        <w:topLinePunct w:val="0"/>
        <w:autoSpaceDN/>
        <w:bidi w:val="0"/>
        <w:adjustRightInd w:val="0"/>
        <w:snapToGrid w:val="0"/>
        <w:spacing w:after="0" w:line="360" w:lineRule="auto"/>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一、基本情况简介：</w:t>
      </w:r>
    </w:p>
    <w:p w14:paraId="325429FF">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杭州市萧山区河上镇人民政府食堂</w:t>
      </w:r>
      <w:r>
        <w:rPr>
          <w:rFonts w:hint="eastAsia" w:ascii="仿宋" w:hAnsi="仿宋" w:eastAsia="仿宋" w:cs="仿宋"/>
          <w:color w:val="auto"/>
          <w:kern w:val="2"/>
          <w:sz w:val="24"/>
          <w:szCs w:val="24"/>
          <w:highlight w:val="none"/>
        </w:rPr>
        <w:t>，位于</w:t>
      </w:r>
      <w:r>
        <w:rPr>
          <w:rFonts w:hint="eastAsia" w:ascii="仿宋" w:hAnsi="仿宋" w:eastAsia="仿宋" w:cs="仿宋"/>
          <w:color w:val="auto"/>
          <w:kern w:val="2"/>
          <w:sz w:val="24"/>
          <w:szCs w:val="24"/>
          <w:highlight w:val="none"/>
          <w:lang w:val="en-US" w:eastAsia="zh-CN"/>
        </w:rPr>
        <w:t>河上镇人民政府内</w:t>
      </w:r>
      <w:r>
        <w:rPr>
          <w:rFonts w:hint="eastAsia" w:ascii="仿宋" w:hAnsi="仿宋" w:eastAsia="仿宋" w:cs="仿宋"/>
          <w:color w:val="auto"/>
          <w:kern w:val="2"/>
          <w:sz w:val="24"/>
          <w:szCs w:val="24"/>
          <w:highlight w:val="none"/>
        </w:rPr>
        <w:t>。</w:t>
      </w:r>
    </w:p>
    <w:p w14:paraId="30BCDDE0">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1、就餐人数</w:t>
      </w:r>
    </w:p>
    <w:p w14:paraId="01FF1850">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河上镇机关食堂</w:t>
      </w:r>
      <w:r>
        <w:rPr>
          <w:rFonts w:hint="eastAsia" w:ascii="仿宋" w:hAnsi="仿宋" w:eastAsia="仿宋" w:cs="仿宋"/>
          <w:color w:val="auto"/>
          <w:kern w:val="2"/>
          <w:sz w:val="24"/>
          <w:szCs w:val="24"/>
          <w:highlight w:val="none"/>
        </w:rPr>
        <w:t>总就餐人数180人左右，工作日早餐120人左右，中餐150人左右，晚餐30人左右</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双休日和节假日须供应值守人员中餐，少量值守夜班人员晚餐。</w:t>
      </w:r>
    </w:p>
    <w:p w14:paraId="253E2765">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2、供餐要求（以中式快餐为主，高中低搭配）</w:t>
      </w:r>
    </w:p>
    <w:p w14:paraId="2BC9B4CC">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原则上工作日、节假日均要求供应一日三餐，小长假（元旦、清明节、五一劳动节、端午节、中秋节），长假（春节、国家节）按照中心值班值守的情况，根据采购人要求供餐。</w:t>
      </w:r>
    </w:p>
    <w:p w14:paraId="3A48B138">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工作日每天早餐品种不少于10种；中餐每天品种大荤不少于</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种、中荤不少于3种、蔬菜不少于</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种；晚餐每天品种不少于3种。</w:t>
      </w:r>
    </w:p>
    <w:p w14:paraId="18BE4BB3">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照采购人的要求按需供应自已做的卤味，品种每天不少于3种，冬季需要做些咸肉酱肉酱鸭等，在中国传统节日时应供应传统食品（如元宵节前后提供自做的汤团、清明节前后提供自做的青明团子和艾饭、立夏前后提供自做的乌米饭、端午节前后提供自做的粽子、中秋节前后提供自做的月饼、立冬和冬至前后提供自做的饺子、腊八前后提供自做的八宝粥等）。</w:t>
      </w:r>
    </w:p>
    <w:p w14:paraId="06A749AA">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3、场地设备设施配置情况</w:t>
      </w:r>
    </w:p>
    <w:p w14:paraId="7A8411C5">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3.1.</w:t>
      </w:r>
      <w:r>
        <w:rPr>
          <w:rFonts w:hint="eastAsia" w:ascii="仿宋" w:hAnsi="仿宋" w:eastAsia="仿宋" w:cs="仿宋"/>
          <w:color w:val="auto"/>
          <w:kern w:val="2"/>
          <w:sz w:val="24"/>
          <w:szCs w:val="24"/>
          <w:highlight w:val="none"/>
          <w:lang w:val="en-US" w:eastAsia="zh-CN"/>
        </w:rPr>
        <w:t>河上镇机关食堂</w:t>
      </w:r>
      <w:r>
        <w:rPr>
          <w:rFonts w:hint="eastAsia" w:ascii="仿宋" w:hAnsi="仿宋" w:eastAsia="仿宋" w:cs="仿宋"/>
          <w:color w:val="auto"/>
          <w:kern w:val="2"/>
          <w:sz w:val="24"/>
          <w:szCs w:val="24"/>
          <w:highlight w:val="none"/>
        </w:rPr>
        <w:t>总面积</w:t>
      </w:r>
      <w:r>
        <w:rPr>
          <w:rFonts w:hint="eastAsia" w:ascii="仿宋" w:hAnsi="仿宋" w:eastAsia="仿宋" w:cs="仿宋"/>
          <w:color w:val="auto"/>
          <w:kern w:val="2"/>
          <w:sz w:val="24"/>
          <w:szCs w:val="24"/>
          <w:highlight w:val="none"/>
          <w:lang w:val="en-US" w:eastAsia="zh-CN"/>
        </w:rPr>
        <w:t>约</w:t>
      </w:r>
      <w:r>
        <w:rPr>
          <w:rFonts w:hint="eastAsia" w:ascii="仿宋" w:hAnsi="仿宋" w:eastAsia="仿宋" w:cs="仿宋"/>
          <w:color w:val="auto"/>
          <w:kern w:val="2"/>
          <w:sz w:val="24"/>
          <w:szCs w:val="24"/>
          <w:highlight w:val="none"/>
        </w:rPr>
        <w:t>为</w:t>
      </w:r>
      <w:r>
        <w:rPr>
          <w:rFonts w:hint="eastAsia" w:ascii="仿宋" w:hAnsi="仿宋" w:eastAsia="仿宋" w:cs="仿宋"/>
          <w:color w:val="auto"/>
          <w:kern w:val="2"/>
          <w:sz w:val="24"/>
          <w:szCs w:val="24"/>
          <w:highlight w:val="none"/>
          <w:lang w:val="en-US" w:eastAsia="zh-CN"/>
        </w:rPr>
        <w:t>700</w:t>
      </w:r>
      <w:r>
        <w:rPr>
          <w:rFonts w:hint="eastAsia" w:ascii="仿宋" w:hAnsi="仿宋" w:eastAsia="仿宋" w:cs="仿宋"/>
          <w:color w:val="auto"/>
          <w:kern w:val="2"/>
          <w:sz w:val="24"/>
          <w:szCs w:val="24"/>
          <w:highlight w:val="none"/>
        </w:rPr>
        <w:t>平方米。</w:t>
      </w:r>
    </w:p>
    <w:p w14:paraId="3CD46B53">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3.2.厨房设备由采购人提供，如炉灶、冰柜、电热烤箱、桌椅、餐具等。</w:t>
      </w:r>
    </w:p>
    <w:p w14:paraId="0D832D1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3.3.提供微机就餐系统（就餐系统由采购人负责管理），不发生现金往来。</w:t>
      </w:r>
    </w:p>
    <w:p w14:paraId="394F2A79">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3.4.中标人必须贯彻节能减排的要求，下班后随手关掉水费、电费、煤气费总开关（除冰箱外）。在合同期限内食堂的水费、电费、煤气费等费用均由采购人承担，支出费用发生异常（特别多）时，应与采购人一起进行排查，如是中标人责任，费用将于中标人支出。 </w:t>
      </w:r>
    </w:p>
    <w:p w14:paraId="2F45FFE5">
      <w:pPr>
        <w:keepNext w:val="0"/>
        <w:keepLines w:val="0"/>
        <w:pageBreakBefore w:val="0"/>
        <w:widowControl w:val="0"/>
        <w:kinsoku/>
        <w:overflowPunct/>
        <w:topLinePunct w:val="0"/>
        <w:autoSpaceDN/>
        <w:bidi w:val="0"/>
        <w:adjustRightInd w:val="0"/>
        <w:snapToGrid w:val="0"/>
        <w:spacing w:after="0" w:line="360" w:lineRule="auto"/>
        <w:jc w:val="left"/>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二、人员配备要求</w:t>
      </w:r>
    </w:p>
    <w:p w14:paraId="0FB068C9">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1、人员基本要求</w:t>
      </w:r>
    </w:p>
    <w:p w14:paraId="0ED6BBA7">
      <w:pPr>
        <w:keepNext w:val="0"/>
        <w:keepLines w:val="0"/>
        <w:pageBreakBefore w:val="0"/>
        <w:widowControl w:val="0"/>
        <w:kinsoku/>
        <w:overflowPunct/>
        <w:topLinePunct w:val="0"/>
        <w:autoSpaceDN/>
        <w:bidi w:val="0"/>
        <w:adjustRightInd w:val="0"/>
        <w:snapToGrid w:val="0"/>
        <w:spacing w:after="0" w:line="360" w:lineRule="auto"/>
        <w:ind w:firstLine="482"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河上镇机关食堂</w:t>
      </w:r>
      <w:r>
        <w:rPr>
          <w:rFonts w:hint="eastAsia" w:ascii="仿宋" w:hAnsi="仿宋" w:eastAsia="仿宋" w:cs="仿宋"/>
          <w:b/>
          <w:bCs/>
          <w:color w:val="auto"/>
          <w:kern w:val="2"/>
          <w:sz w:val="24"/>
          <w:szCs w:val="24"/>
          <w:highlight w:val="none"/>
        </w:rPr>
        <w:t>管理</w:t>
      </w:r>
      <w:r>
        <w:rPr>
          <w:rFonts w:hint="eastAsia" w:ascii="仿宋" w:hAnsi="仿宋" w:eastAsia="仿宋" w:cs="仿宋"/>
          <w:b/>
          <w:bCs/>
          <w:color w:val="auto"/>
          <w:kern w:val="2"/>
          <w:sz w:val="24"/>
          <w:szCs w:val="24"/>
          <w:highlight w:val="none"/>
          <w:lang w:val="en-US" w:eastAsia="zh-CN"/>
        </w:rPr>
        <w:t>人员不少于1人，</w:t>
      </w:r>
      <w:r>
        <w:rPr>
          <w:rFonts w:hint="eastAsia" w:ascii="仿宋" w:hAnsi="仿宋" w:eastAsia="仿宋" w:cs="仿宋"/>
          <w:b/>
          <w:bCs/>
          <w:color w:val="auto"/>
          <w:kern w:val="2"/>
          <w:sz w:val="24"/>
          <w:szCs w:val="24"/>
          <w:highlight w:val="none"/>
        </w:rPr>
        <w:t>服务人员总数不少于</w:t>
      </w:r>
      <w:r>
        <w:rPr>
          <w:rFonts w:hint="eastAsia" w:ascii="仿宋" w:hAnsi="仿宋" w:eastAsia="仿宋" w:cs="仿宋"/>
          <w:b/>
          <w:bCs/>
          <w:color w:val="auto"/>
          <w:kern w:val="2"/>
          <w:sz w:val="24"/>
          <w:szCs w:val="24"/>
          <w:highlight w:val="none"/>
          <w:lang w:val="en-US" w:eastAsia="zh-CN"/>
        </w:rPr>
        <w:t>6</w:t>
      </w:r>
      <w:r>
        <w:rPr>
          <w:rFonts w:hint="eastAsia" w:ascii="仿宋" w:hAnsi="仿宋" w:eastAsia="仿宋" w:cs="仿宋"/>
          <w:b/>
          <w:bCs/>
          <w:color w:val="auto"/>
          <w:kern w:val="2"/>
          <w:sz w:val="24"/>
          <w:szCs w:val="24"/>
          <w:highlight w:val="none"/>
        </w:rPr>
        <w:t>人</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rPr>
        <w:t>投标人应在投标文件中对此做出明确的人员安排计划。</w:t>
      </w:r>
    </w:p>
    <w:p w14:paraId="20F62384">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1.1．中标人应加强对食堂工作人员管理，严格遵守采购人所制定的各项规章制度，教育食堂工作人员应热爱本职工作，端正服务态度，提高服务质量，保证食堂正常运行，严格上下班制度，严禁迟到早退。</w:t>
      </w:r>
    </w:p>
    <w:p w14:paraId="58212CDF">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1.2．食堂工作人员须持有健康合格证，必须做到先办证后上岗。做到一年一次健康体检，一旦查出有碍餐饮卫生工作疾病的人员，应及时调离餐饮工作岗位，并将体检结果复印件交采购人留存。</w:t>
      </w:r>
    </w:p>
    <w:p w14:paraId="516F6727">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1.3．食堂工作人员必须统一着装，仪容整洁，做好个人卫生（做到每月理发2次，2天更换工作服和工作帽并定期清洗干净，每天修剪指甲，女性工作人员严禁涂手指甲油），不擅离岗位。工作时不得大声喧哗、谈笑。</w:t>
      </w:r>
    </w:p>
    <w:p w14:paraId="261F2AC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1.4．中标人负责组织对食堂工作人员定期学习、座谈、培训，不断提高业务技术水平，做到饭菜美味可口，荤素菜搭配合理，经济实惠。</w:t>
      </w:r>
    </w:p>
    <w:p w14:paraId="5ECB8567">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1.5．食堂库房保管员要做好防腐烂防发霉工作，保证所储食物的新鲜；认真做好平时的出入库记录，保证帐目清楚、帐物相符。一旦发现食品有腐烂发霉情况，应及时向采购人汇报，并与采购人一起查明原因，做好处理工作。</w:t>
      </w:r>
    </w:p>
    <w:p w14:paraId="16C6442A">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1.6.售饭人员要做倒礼貌待人、文明用语、热情服务、计算费用准确。</w:t>
      </w:r>
    </w:p>
    <w:p w14:paraId="085DE358">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1.7.派驻的项目经理须每周对食堂工作人员进行食品卫生、操作安全等内容的培训，时间不少于2小时，并做好书面记录。</w:t>
      </w:r>
    </w:p>
    <w:p w14:paraId="47A1E41D">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2、人员配备</w:t>
      </w:r>
    </w:p>
    <w:p w14:paraId="2B7BB9C3">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所有人员必须：按国家规定具备相关工种的上岗证和健康证，并按国家有关部门规定定期体检且有合格记录，本人及家庭成员不得受过刑事、行政处罚。所有人员的基本情况和合格纪录需在正式进入前3天交采购人备案；服务期间，若中标人岗位人员发生变动的，必须提前向采购人汇报，新进人员需经采购人审查合格后，放可上岗。</w:t>
      </w:r>
    </w:p>
    <w:p w14:paraId="16559346">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中标人必须按劳动法规定为员工缴纳社会保险、人身保险等各项保险。</w:t>
      </w:r>
    </w:p>
    <w:p w14:paraId="2D90DEE3">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三、工作要求</w:t>
      </w:r>
    </w:p>
    <w:p w14:paraId="62BC942E">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1、中标人应严格做好使用食品的验收监督工作，严禁使用过期、变质食品，保证使用食品安全，发现质量、数量等问题的，需及时向采购人汇报，并提出或做好相应的解决方案。</w:t>
      </w:r>
    </w:p>
    <w:p w14:paraId="37341AAA">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2、严格落实生、熟分离和物品摆放定点定位制度，实行标签化管理。</w:t>
      </w:r>
    </w:p>
    <w:p w14:paraId="2F630A3E">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3、严格落实定时消毒、定时清理制度，并做好登记。</w:t>
      </w:r>
    </w:p>
    <w:p w14:paraId="26DA7AD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4、严格执行48小时留样菜制度。</w:t>
      </w:r>
    </w:p>
    <w:p w14:paraId="034E97B9">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5、加强企业内部管理，中标企业对本服务点的检查每月不得少于1次;食堂经理每天应对食品安全、食品卫生、食品供应等情况进行检查，并全程参与保障工作，发现问题及时纠正，并做好相关登记。</w:t>
      </w:r>
    </w:p>
    <w:p w14:paraId="4DFDAAC2">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6、中标人应及时向采购人提供当日的收款情况，配合采购人核定每个菜品的单价，保证成本价销售，确保采购人收支平衡。</w:t>
      </w:r>
    </w:p>
    <w:p w14:paraId="28CB9D73">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四、卫生基本要求与管理规定</w:t>
      </w:r>
    </w:p>
    <w:p w14:paraId="4BF294F5">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1、进入服务前，须取得服务点的《卫生许可证》。</w:t>
      </w:r>
    </w:p>
    <w:p w14:paraId="16B6CBB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2、上班期间，不准在岗位上抽烟、吃东西；售餐期间，服务人员必须配戴卫生口罩和一次性手套上岗。不得擅自使用提供用餐人的物品。</w:t>
      </w:r>
    </w:p>
    <w:p w14:paraId="7F7CCEDC">
      <w:pPr>
        <w:keepNext w:val="0"/>
        <w:keepLines w:val="0"/>
        <w:pageBreakBefore w:val="0"/>
        <w:widowControl w:val="0"/>
        <w:kinsoku/>
        <w:overflowPunct/>
        <w:topLinePunct w:val="0"/>
        <w:autoSpaceDN/>
        <w:bidi w:val="0"/>
        <w:adjustRightIn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认真搞好食堂卫生，做到每天一小扫、每周一大扫，保持食堂的清洁卫生。做好厨房油烟管道的清洗工作，根据厨房用火的实际情况确定清洗次数。每季度不少于一次对排烟（包括屋顶油烟净化滤芯）及通风管道清洗一次。外请专业管道清洗公司须经采购人认可。如因中标人未按采购人要求及相关规定操作，发生各种意外事故，由中标人自行承担责任。</w:t>
      </w:r>
    </w:p>
    <w:p w14:paraId="497FCD48">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4、积极配合采购人开展灭四害、垃圾分类等活动，若因四害造成的破坏和损失应及时修补和照价赔偿。</w:t>
      </w:r>
    </w:p>
    <w:p w14:paraId="0B5FDB2D">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5、生产加工的工具、容器、砧板等每次用后要及时清洗，保持清洁卫生。生熟用具、器具严格区分使用，不得混用；做到成品和半成品隔离、食品和杂物隔离，盛放食物成品的器具必须经过消毒才准使用。</w:t>
      </w:r>
    </w:p>
    <w:p w14:paraId="08FFEFB1">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6、冰柜每月清洗一次，冰柜內架、柜内要保持洁净、无臭味。</w:t>
      </w:r>
    </w:p>
    <w:p w14:paraId="1BAA730A">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7、及时清洁属于服务区域内的桌面、地面和洗手间。桌椅、地面、工具、台布等做到无积污、无油渍、无水迹、摆设整齐；洗手间设施完好、洁净、无异味，保证良好的就餐环境。</w:t>
      </w:r>
    </w:p>
    <w:p w14:paraId="02964DF1">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8、食品用具做到每餐清洁和每餐彻底消毒并烘干，味碟、匙更、筷子、小碗、茶杯等食具必须在保洁柜存放，分类排好，移动时不得接触盛食品的部位。</w:t>
      </w:r>
    </w:p>
    <w:p w14:paraId="4F49B2BC">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9、保洁柜必须清洁、做到无霉菌、无苍蝇、无蟑螂、无杂物。</w:t>
      </w:r>
    </w:p>
    <w:p w14:paraId="45E59B3B">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保持污水排放口及管道的畅通。采取有效方法，保证各专用区域污水排放口至隔油池排放口不流入颗粒较大易引起堵塞的垃圾。隔油池至少每月清掏一次，有溢出及时清掏。因污水溢出或管道堵塞引起其它的问题和损失，由中标单位全权负责。</w:t>
      </w:r>
    </w:p>
    <w:p w14:paraId="126664D4">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五、安全节能生产管理规定</w:t>
      </w:r>
    </w:p>
    <w:p w14:paraId="7F06946E">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1、建立安全生产责任制。谁主管，谁负责，食堂设立专职安全生产管理员，切实履行安全生产管理、监督职责，认真落实安全生产措施，确保责任到位，工作到位。</w:t>
      </w:r>
    </w:p>
    <w:p w14:paraId="167DE198">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各类机械设备、燃气设备、管道设备、电器设备的使用，必须严格按照各类设备的操作规程操作，杜绝违规操作，发现安全隐患及时报告，对违反设备操作规程操作造成人员伤亡、财务损失的，由供应商承担所有损失，情节严重的，按相关规定执行。</w:t>
      </w:r>
    </w:p>
    <w:p w14:paraId="0DE406E3">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严格遵守有关用电规定。外加电线电路、用电器的铺设、连接、安装，必须报采购人同意，不得擅自乱拉、乱接电线，不得擅自增加用电器数量，增大用电功率，对违反规定，造成触电、断电、短路引起火灾事故的违章人员及相关责任人要严肃处理，并承担所有损失，事故特别严重的，要追究相应的经济和法律责任。</w:t>
      </w:r>
    </w:p>
    <w:p w14:paraId="7F0398AD">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加强防火安全意识。天然气库内严禁烟火，禁止进行可生产火花的作业；上下班要认真检查送气管道、天然气阀门库房、开关、炉头，若发现漏气现象立即关闭总闸，并通知有关部门迅速维修完好；每天使用完毕后，须仔细检查所有燃气具开关是否关闭，厨房设备及管道要及时清除污垢或易燃物，严防不安全隐患的产生。</w:t>
      </w:r>
    </w:p>
    <w:p w14:paraId="2446978D">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5、保证生产从业人员正确、熟练掌握消防器材、设备的使用方法，定期对器材、设备设施进行检查，确保消防器材充足有效。</w:t>
      </w:r>
    </w:p>
    <w:p w14:paraId="3D41D8D3">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6、定期对食堂的机器电器设备、输送油（气）管道、开关等进行检查，发现问题立即维修，并建立台账。</w:t>
      </w:r>
    </w:p>
    <w:p w14:paraId="0613DBEF">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7、加强食品卫生管理，严防传染疾病的传播流行及食物中毒事故的发生。</w:t>
      </w:r>
    </w:p>
    <w:p w14:paraId="75F6621A">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8、认真做好食品仓库、冷库的管理，防止食品变质、霉烂食品流入加工制作工序，食品贮存要合乎卫生、安全要求。</w:t>
      </w:r>
    </w:p>
    <w:p w14:paraId="75DF46B1">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经常性地组织食堂员工开展工作安全教育。进入食堂场所要穿防滑水鞋，防止滑倒跌伤；员工在进行餐具消毒、煮饭、菜肴制作时，必须按章操作，防止被热水、热油、高温蒸汽、高温餐具、厨具等灼伤；在刀工制作时，要防止被刀切伤割伤等。如发生跌伤、灼伤、触电、刀伤等事故，要迅速组织抢救治疗，情况严重的要立即报告职能部门领导，果断采取必要救治措施。</w:t>
      </w:r>
    </w:p>
    <w:p w14:paraId="3B32E193">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10、严格按照食品卫生防疫要求，及时做好各类台帐的登记工作。</w:t>
      </w:r>
    </w:p>
    <w:p w14:paraId="12EDD8EE">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11、积极配合采购单位做好节能减排、节水型单位创建工作，强化管理职能，提高节能管理水平，建立水、电、气能耗台账。加强节能监管，落实节能考核，在能源消耗定额范围内使用能源。</w:t>
      </w:r>
    </w:p>
    <w:p w14:paraId="354858D9">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六、服务方式</w:t>
      </w:r>
    </w:p>
    <w:p w14:paraId="0E90E65E">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1、中标人提供厨房和用餐的管理与服务。</w:t>
      </w:r>
    </w:p>
    <w:p w14:paraId="2A60F492">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2、采购人提供现有标的厨房设备、用器餐具和场地。支付水电、燃气费、</w:t>
      </w:r>
      <w:r>
        <w:rPr>
          <w:rFonts w:hint="eastAsia" w:ascii="仿宋" w:hAnsi="仿宋" w:eastAsia="仿宋" w:cs="仿宋"/>
          <w:color w:val="auto"/>
          <w:kern w:val="2"/>
          <w:sz w:val="24"/>
          <w:szCs w:val="24"/>
          <w:highlight w:val="none"/>
          <w:lang w:val="en-US" w:eastAsia="zh-CN"/>
        </w:rPr>
        <w:t>食堂原材料采购费、</w:t>
      </w:r>
      <w:r>
        <w:rPr>
          <w:rFonts w:hint="eastAsia" w:ascii="仿宋" w:hAnsi="仿宋" w:eastAsia="仿宋" w:cs="仿宋"/>
          <w:color w:val="auto"/>
          <w:kern w:val="2"/>
          <w:sz w:val="24"/>
          <w:szCs w:val="24"/>
          <w:highlight w:val="none"/>
        </w:rPr>
        <w:t>设备设施维保及管理服务费。</w:t>
      </w:r>
    </w:p>
    <w:p w14:paraId="2DD0A317">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3、采购人每月至少对中标人进行一次盘仓。</w:t>
      </w:r>
    </w:p>
    <w:p w14:paraId="1C07B1B1">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4、双方每季清点资产一次。发现有遗失和采购人未认可的损坏物品，须及时补足或赔偿。</w:t>
      </w:r>
    </w:p>
    <w:p w14:paraId="73F6A899">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5、食堂工作时间遇特殊情况需要加班的，中标人不得另外收取服务费。 </w:t>
      </w:r>
    </w:p>
    <w:p w14:paraId="4E25FDFA">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6、中标人不得转让外包服务。</w:t>
      </w:r>
    </w:p>
    <w:p w14:paraId="219FF56B">
      <w:pPr>
        <w:keepNext w:val="0"/>
        <w:keepLines w:val="0"/>
        <w:pageBreakBefore w:val="0"/>
        <w:widowControl w:val="0"/>
        <w:kinsoku/>
        <w:overflowPunct/>
        <w:topLinePunct w:val="0"/>
        <w:autoSpaceDE w:val="0"/>
        <w:autoSpaceDN/>
        <w:bidi w:val="0"/>
        <w:adjustRightInd w:val="0"/>
        <w:snapToGrid w:val="0"/>
        <w:spacing w:after="0" w:line="360" w:lineRule="auto"/>
        <w:jc w:val="both"/>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七、双方义务</w:t>
      </w:r>
    </w:p>
    <w:p w14:paraId="4A79FE5F">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（一）采购人义务</w:t>
      </w:r>
    </w:p>
    <w:p w14:paraId="1486267E">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1、维护食堂的就餐秩序及治安。</w:t>
      </w:r>
    </w:p>
    <w:p w14:paraId="63BE60B9">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2、重大就餐人员变动应提前一天通知食堂。</w:t>
      </w:r>
    </w:p>
    <w:p w14:paraId="3A601CFD">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3、提前通知停电停水情况。</w:t>
      </w:r>
    </w:p>
    <w:p w14:paraId="25F4B148">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4、采购人每月应按时支付服务费（扣除后的金额）。</w:t>
      </w:r>
    </w:p>
    <w:p w14:paraId="5C287543">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（二）中标人义务</w:t>
      </w:r>
    </w:p>
    <w:p w14:paraId="0EBDF6B3">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1、负责中标人工作人员的管理和安全教育工作。中标人任何人员出现工伤或死亡事故，中标人要负完全责任，所有费用由中标人支付，采购人不承担任何责任。</w:t>
      </w:r>
    </w:p>
    <w:p w14:paraId="413F137C">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2、中标人的人员在采购人区域范围内，应遵守采购人的规章制度。若中标人的人员在采购人的范围内违反采购人的规章制度，应接受采购人的处理，并且采购人可视情没收中标人的履约保证金。</w:t>
      </w:r>
    </w:p>
    <w:p w14:paraId="59C931C8">
      <w:pPr>
        <w:keepNext w:val="0"/>
        <w:keepLines w:val="0"/>
        <w:pageBreakBefore w:val="0"/>
        <w:widowControl w:val="0"/>
        <w:kinsoku/>
        <w:overflowPunct/>
        <w:topLinePunct w:val="0"/>
        <w:autoSpaceDE w:val="0"/>
        <w:autoSpaceDN/>
        <w:bidi w:val="0"/>
        <w:adjustRightIn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3、负责厨房设备、器具的使用和管理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日常食堂原材料采购</w:t>
      </w:r>
      <w:r>
        <w:rPr>
          <w:rFonts w:hint="eastAsia" w:ascii="仿宋" w:hAnsi="仿宋" w:eastAsia="仿宋" w:cs="仿宋"/>
          <w:color w:val="auto"/>
          <w:kern w:val="2"/>
          <w:sz w:val="24"/>
          <w:szCs w:val="24"/>
          <w:highlight w:val="none"/>
        </w:rPr>
        <w:t>。</w:t>
      </w:r>
    </w:p>
    <w:p w14:paraId="0D292336">
      <w:pPr>
        <w:keepNext w:val="0"/>
        <w:keepLines w:val="0"/>
        <w:pageBreakBefore w:val="0"/>
        <w:widowControl w:val="0"/>
        <w:kinsoku/>
        <w:overflowPunct/>
        <w:topLinePunct w:val="0"/>
        <w:autoSpaceDE w:val="0"/>
        <w:autoSpaceDN/>
        <w:bidi w:val="0"/>
        <w:adjustRightIn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4、负责厨房、餐厅的环境卫生，做好器具的消毒同时做好台帐；协助做好垃圾分类工作。</w:t>
      </w:r>
    </w:p>
    <w:p w14:paraId="0E5CDC87">
      <w:pPr>
        <w:keepNext w:val="0"/>
        <w:keepLines w:val="0"/>
        <w:pageBreakBefore w:val="0"/>
        <w:widowControl w:val="0"/>
        <w:kinsoku/>
        <w:overflowPunct/>
        <w:topLinePunct w:val="0"/>
        <w:autoSpaceDE w:val="0"/>
        <w:autoSpaceDN/>
        <w:bidi w:val="0"/>
        <w:adjustRightIn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5、做好食品的验收</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保存</w:t>
      </w:r>
      <w:r>
        <w:rPr>
          <w:rFonts w:hint="eastAsia" w:ascii="仿宋" w:hAnsi="仿宋" w:eastAsia="仿宋" w:cs="仿宋"/>
          <w:color w:val="auto"/>
          <w:kern w:val="2"/>
          <w:sz w:val="24"/>
          <w:szCs w:val="24"/>
          <w:highlight w:val="none"/>
        </w:rPr>
        <w:t>工作，保证食品安全，协助采购人实行成本核算。</w:t>
      </w:r>
    </w:p>
    <w:p w14:paraId="2ED27420">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6、协助采购人服务点取得有效的《卫生许可证》，工作人员必须全部通过体检合格，有健康证及卫生知识培训证。</w:t>
      </w:r>
    </w:p>
    <w:p w14:paraId="78CB14A7">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7、负责服务区域治安保卫、安全防火、防盗等工作，保证服务区域内所有设施、工具物品及不动产的安全完好。</w:t>
      </w:r>
    </w:p>
    <w:p w14:paraId="3324E2E8">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8、保证按采购人提出的时间、要求，保质保量地向就餐人员提供早餐、午餐及晚餐（加班餐）等餐次的伙食，若采购人临时加餐，不再另行相关支付费用。</w:t>
      </w:r>
    </w:p>
    <w:p w14:paraId="4493B1E9">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9、接受采购人的监督检查，对采购人提出的问题和员工投诉及时整改纠正。</w:t>
      </w:r>
    </w:p>
    <w:p w14:paraId="0C53F9BD">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10、在食堂显著地方公布菜谱价格，并接受采购人监督。</w:t>
      </w:r>
    </w:p>
    <w:p w14:paraId="3A17122E">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11、保证制作、销售的食品质量要求符合国家的卫生、安全标准。</w:t>
      </w:r>
    </w:p>
    <w:p w14:paraId="7690B0FD">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12、保证生产现场、室内外环境卫生必须符合有关创卫要求和餐饮卫生要求。</w:t>
      </w:r>
    </w:p>
    <w:p w14:paraId="7C1F5FFA">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13、加强厨具、设备、用具的管理，保证对厨房设备、设施和各类物品进行日常定期维修、维护保养、填补工作；厨房设施设备如破损不能正常使用，则需进行及时维修，保证正常运作；协助采购人做好节能减排和节水型单位创建工作。</w:t>
      </w:r>
    </w:p>
    <w:p w14:paraId="572AA35F">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14、按照国家有关餐具卫生管理要求，做好公共餐具消毒工作，随时接受市防疫站和采购人的监督检查，并配合做好各项“创卫”必检工作。</w:t>
      </w:r>
    </w:p>
    <w:p w14:paraId="5E40937C">
      <w:pPr>
        <w:keepNext w:val="0"/>
        <w:keepLines w:val="0"/>
        <w:pageBreakBefore w:val="0"/>
        <w:widowControl w:val="0"/>
        <w:kinsoku/>
        <w:overflowPunct/>
        <w:topLinePunct w:val="0"/>
        <w:autoSpaceDN/>
        <w:bidi w:val="0"/>
        <w:adjustRightInd w:val="0"/>
        <w:snapToGrid w:val="0"/>
        <w:spacing w:after="0" w:line="360" w:lineRule="auto"/>
        <w:jc w:val="left"/>
        <w:textAlignment w:val="auto"/>
        <w:outlineLvl w:val="0"/>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八</w:t>
      </w:r>
      <w:r>
        <w:rPr>
          <w:rFonts w:hint="eastAsia" w:ascii="仿宋" w:hAnsi="仿宋" w:eastAsia="仿宋" w:cs="仿宋"/>
          <w:b/>
          <w:bCs/>
          <w:color w:val="auto"/>
          <w:kern w:val="2"/>
          <w:sz w:val="24"/>
          <w:szCs w:val="24"/>
          <w:highlight w:val="none"/>
        </w:rPr>
        <w:t>、其他要求：</w:t>
      </w:r>
    </w:p>
    <w:p w14:paraId="7734D03D">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1.采购人食堂内的工作人员属于中标人的员工，与采购人不存在任何雇佣、委托、劳务或劳动关系，同时食堂工作人员在工作过程中的安全责任由中标人负责。如用电、用水等不注意安全引起生产事故，或发生意外伤亡事故，中标人承担全部责任和必要的经济补偿，采购人概不承担任何责任。 </w:t>
      </w:r>
    </w:p>
    <w:p w14:paraId="0B099F4E">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2.中标人应向采购人提供一份人员岗位配置名单。中标人应与聘用管理人员和餐厅员工签订劳动合同，按时发放薪酬。发放劳动保护用品的费用、人员保险费、节假日加班费、培训费、中标人经营税费自行承担。</w:t>
      </w:r>
    </w:p>
    <w:p w14:paraId="6C9180E8">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 中标后与采购人正式签订《安全责任书》的同时，还应建立健全各项规章制度，内部运作严格按照各项规章制度执行并将制度报送采购人留存。中标人负责对员工进行消防操作的培训，并承担中标人管辖范围内的消防责任。</w:t>
      </w:r>
    </w:p>
    <w:p w14:paraId="64B5F7BD">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 中标人必须严格履行食堂委托管理合同要求，不得在中标后转包或分包给他人经营。</w:t>
      </w:r>
    </w:p>
    <w:p w14:paraId="4D0DC90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5、因中标人过错造成就餐员工食物中毒，由中标人承担一切经济和法律责任。</w:t>
      </w:r>
    </w:p>
    <w:p w14:paraId="13002304">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仿宋" w:hAnsi="仿宋" w:eastAsia="仿宋" w:cs="仿宋"/>
          <w:color w:val="auto"/>
          <w:spacing w:val="-6"/>
          <w:kern w:val="2"/>
          <w:sz w:val="24"/>
          <w:szCs w:val="24"/>
          <w:highlight w:val="none"/>
        </w:rPr>
      </w:pPr>
      <w:r>
        <w:rPr>
          <w:rFonts w:hint="eastAsia" w:ascii="仿宋" w:hAnsi="仿宋" w:eastAsia="仿宋" w:cs="仿宋"/>
          <w:color w:val="auto"/>
          <w:kern w:val="2"/>
          <w:sz w:val="24"/>
          <w:szCs w:val="24"/>
          <w:highlight w:val="none"/>
        </w:rPr>
        <w:t>6、中标人</w:t>
      </w:r>
      <w:r>
        <w:rPr>
          <w:rFonts w:hint="eastAsia" w:ascii="仿宋" w:hAnsi="仿宋" w:eastAsia="仿宋" w:cs="仿宋"/>
          <w:color w:val="auto"/>
          <w:spacing w:val="-6"/>
          <w:kern w:val="2"/>
          <w:sz w:val="24"/>
          <w:szCs w:val="24"/>
          <w:highlight w:val="none"/>
        </w:rPr>
        <w:t>擅自把承包权转让他人，视</w:t>
      </w:r>
      <w:r>
        <w:rPr>
          <w:rFonts w:hint="eastAsia" w:ascii="仿宋" w:hAnsi="仿宋" w:eastAsia="仿宋" w:cs="仿宋"/>
          <w:color w:val="auto"/>
          <w:kern w:val="2"/>
          <w:sz w:val="24"/>
          <w:szCs w:val="24"/>
          <w:highlight w:val="none"/>
        </w:rPr>
        <w:t>中标人</w:t>
      </w:r>
      <w:r>
        <w:rPr>
          <w:rFonts w:hint="eastAsia" w:ascii="仿宋" w:hAnsi="仿宋" w:eastAsia="仿宋" w:cs="仿宋"/>
          <w:color w:val="auto"/>
          <w:spacing w:val="-6"/>
          <w:kern w:val="2"/>
          <w:sz w:val="24"/>
          <w:szCs w:val="24"/>
          <w:highlight w:val="none"/>
        </w:rPr>
        <w:t>违约，采购单位有权终止服务合同。</w:t>
      </w:r>
    </w:p>
    <w:p w14:paraId="34D9B9B9">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仿宋" w:hAnsi="仿宋" w:eastAsia="仿宋" w:cs="仿宋"/>
          <w:b/>
          <w:bCs/>
          <w:color w:val="auto"/>
          <w:kern w:val="2"/>
          <w:sz w:val="30"/>
          <w:szCs w:val="30"/>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商务需求</w:t>
      </w:r>
    </w:p>
    <w:p w14:paraId="401CD73C">
      <w:pPr>
        <w:keepNext w:val="0"/>
        <w:keepLines w:val="0"/>
        <w:pageBreakBefore w:val="0"/>
        <w:widowControl w:val="0"/>
        <w:kinsoku/>
        <w:overflowPunct/>
        <w:topLinePunct w:val="0"/>
        <w:autoSpaceDN/>
        <w:bidi w:val="0"/>
        <w:adjustRightInd w:val="0"/>
        <w:spacing w:after="0" w:line="360" w:lineRule="auto"/>
        <w:ind w:firstLine="482" w:firstLineChars="200"/>
        <w:jc w:val="both"/>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2.1服务期限：1年</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rPr>
        <w:t>具体时间合同中明确</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rPr>
        <w:t>。</w:t>
      </w:r>
    </w:p>
    <w:p w14:paraId="45F5E7CD">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2"/>
          <w:sz w:val="24"/>
          <w:szCs w:val="24"/>
          <w:highlight w:val="none"/>
        </w:rPr>
        <w:t>2.2</w:t>
      </w:r>
      <w:r>
        <w:rPr>
          <w:rFonts w:hint="eastAsia" w:ascii="仿宋" w:hAnsi="仿宋" w:eastAsia="仿宋" w:cs="仿宋"/>
          <w:color w:val="auto"/>
          <w:kern w:val="0"/>
          <w:sz w:val="24"/>
          <w:szCs w:val="24"/>
          <w:highlight w:val="none"/>
        </w:rPr>
        <w:t>合同履行完毕后，在未找到接替前，中标单位应适当延续服务，费用按原合同签订的费用标准支付。如中标单位在服务期内违反合同约定，经考核不合格，采购人有权提前终止合同</w:t>
      </w:r>
      <w:r>
        <w:rPr>
          <w:rFonts w:hint="eastAsia" w:ascii="仿宋" w:hAnsi="仿宋" w:eastAsia="仿宋" w:cs="仿宋"/>
          <w:color w:val="auto"/>
          <w:kern w:val="0"/>
          <w:sz w:val="24"/>
          <w:szCs w:val="24"/>
          <w:highlight w:val="none"/>
          <w:lang w:eastAsia="zh-CN"/>
        </w:rPr>
        <w:t>。</w:t>
      </w:r>
    </w:p>
    <w:p w14:paraId="775CB0E3">
      <w:pPr>
        <w:keepNext w:val="0"/>
        <w:keepLines w:val="0"/>
        <w:pageBreakBefore w:val="0"/>
        <w:kinsoku/>
        <w:overflowPunct/>
        <w:topLinePunct w:val="0"/>
        <w:autoSpaceDN/>
        <w:bidi w:val="0"/>
        <w:snapToGrid w:val="0"/>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▲2.3付款方式</w:t>
      </w:r>
      <w:r>
        <w:rPr>
          <w:rFonts w:hint="eastAsia" w:ascii="仿宋" w:hAnsi="仿宋" w:eastAsia="仿宋" w:cs="仿宋"/>
          <w:b/>
          <w:bCs/>
          <w:color w:val="auto"/>
          <w:sz w:val="24"/>
          <w:szCs w:val="24"/>
          <w:highlight w:val="none"/>
          <w:lang w:eastAsia="zh-CN"/>
        </w:rPr>
        <w:t>：</w:t>
      </w:r>
    </w:p>
    <w:p w14:paraId="4F01A2A2">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合同签订后支付合同总价的20%作为预付款，剩余款项按</w:t>
      </w:r>
      <w:r>
        <w:rPr>
          <w:rFonts w:hint="eastAsia" w:ascii="仿宋" w:hAnsi="仿宋" w:eastAsia="仿宋" w:cs="仿宋"/>
          <w:color w:val="auto"/>
          <w:kern w:val="2"/>
          <w:sz w:val="24"/>
          <w:szCs w:val="24"/>
          <w:highlight w:val="none"/>
        </w:rPr>
        <w:t>每季度支付一次，支付时间为季末，最后一次支付时间为合同期满后。</w:t>
      </w:r>
    </w:p>
    <w:p w14:paraId="158792E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其他事项：未尽事宜，在合同中约定。</w:t>
      </w:r>
    </w:p>
    <w:p w14:paraId="07F2EA8F">
      <w:pPr>
        <w:numPr>
          <w:ilvl w:val="0"/>
          <w:numId w:val="0"/>
        </w:numPr>
        <w:spacing w:line="360" w:lineRule="auto"/>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文件中打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内容为实质性要求，不允许有负偏离，否则将以涉及无效响应条款作无效响应。</w:t>
      </w:r>
    </w:p>
    <w:p w14:paraId="5AC45820">
      <w:pPr>
        <w:rPr>
          <w:rFonts w:hint="eastAsia" w:ascii="仿宋" w:hAnsi="仿宋" w:eastAsia="仿宋" w:cs="仿宋"/>
          <w:color w:val="auto"/>
          <w:highlight w:val="none"/>
          <w:lang w:eastAsia="zh-CN"/>
        </w:rPr>
      </w:pPr>
    </w:p>
    <w:p w14:paraId="3AD8C132">
      <w:pPr>
        <w:rPr>
          <w:rFonts w:hint="eastAsia"/>
          <w:color w:val="auto"/>
          <w:highlight w:val="none"/>
        </w:rPr>
      </w:pPr>
    </w:p>
    <w:p w14:paraId="7306001B">
      <w:pPr>
        <w:rPr>
          <w:rFonts w:hint="eastAsia"/>
          <w:color w:val="auto"/>
          <w:highlight w:val="none"/>
        </w:rPr>
      </w:pPr>
    </w:p>
    <w:p w14:paraId="19111907">
      <w:pPr>
        <w:rPr>
          <w:rFonts w:hint="eastAsia"/>
          <w:color w:val="auto"/>
          <w:highlight w:val="none"/>
        </w:rPr>
      </w:pPr>
    </w:p>
    <w:p w14:paraId="35F95279">
      <w:pPr>
        <w:rPr>
          <w:rFonts w:hint="eastAsia"/>
          <w:color w:val="auto"/>
          <w:highlight w:val="none"/>
        </w:rPr>
      </w:pPr>
    </w:p>
    <w:p w14:paraId="2F49DE35">
      <w:pPr>
        <w:rPr>
          <w:rFonts w:hint="eastAsia"/>
          <w:color w:val="auto"/>
          <w:highlight w:val="none"/>
        </w:rPr>
      </w:pPr>
    </w:p>
    <w:p w14:paraId="0F09ADDE">
      <w:pPr>
        <w:rPr>
          <w:rFonts w:hint="eastAsia"/>
          <w:color w:val="auto"/>
          <w:highlight w:val="none"/>
        </w:rPr>
      </w:pPr>
    </w:p>
    <w:p w14:paraId="5AC53CC0">
      <w:pPr>
        <w:rPr>
          <w:rFonts w:hint="eastAsia"/>
          <w:color w:val="auto"/>
          <w:highlight w:val="none"/>
        </w:rPr>
      </w:pPr>
    </w:p>
    <w:p w14:paraId="7F22BF6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74C0355">
      <w:pPr>
        <w:pStyle w:val="3"/>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第四部分   </w:t>
      </w:r>
      <w:bookmarkStart w:id="46" w:name="_Toc184310317"/>
      <w:bookmarkEnd w:id="46"/>
      <w:bookmarkStart w:id="47" w:name="_Toc184308086"/>
      <w:bookmarkEnd w:id="47"/>
      <w:bookmarkStart w:id="48" w:name="_Toc184312131"/>
      <w:bookmarkEnd w:id="48"/>
      <w:bookmarkStart w:id="49" w:name="_Toc184313290"/>
      <w:bookmarkEnd w:id="49"/>
      <w:bookmarkStart w:id="50" w:name="_Toc184310295"/>
      <w:bookmarkEnd w:id="50"/>
      <w:bookmarkStart w:id="51" w:name="_Toc184310340"/>
      <w:bookmarkEnd w:id="51"/>
      <w:bookmarkStart w:id="52" w:name="_Toc184312106"/>
      <w:bookmarkEnd w:id="52"/>
      <w:bookmarkStart w:id="53" w:name="_Toc184308049"/>
      <w:bookmarkEnd w:id="53"/>
      <w:bookmarkStart w:id="54" w:name="_Toc184312118"/>
      <w:bookmarkEnd w:id="54"/>
      <w:bookmarkStart w:id="55" w:name="_Toc184312124"/>
      <w:bookmarkEnd w:id="55"/>
      <w:bookmarkStart w:id="56" w:name="_Toc184312123"/>
      <w:bookmarkEnd w:id="56"/>
      <w:bookmarkStart w:id="57" w:name="_Toc184308096"/>
      <w:bookmarkEnd w:id="57"/>
      <w:bookmarkStart w:id="58" w:name="_Toc184312080"/>
      <w:bookmarkEnd w:id="58"/>
      <w:bookmarkStart w:id="59" w:name="_Toc184314420"/>
      <w:bookmarkEnd w:id="59"/>
      <w:bookmarkStart w:id="60" w:name="_Toc184313276"/>
      <w:bookmarkEnd w:id="60"/>
      <w:bookmarkStart w:id="61" w:name="_Toc184310333"/>
      <w:bookmarkEnd w:id="61"/>
      <w:bookmarkStart w:id="62" w:name="_Toc184314422"/>
      <w:bookmarkEnd w:id="62"/>
      <w:bookmarkStart w:id="63" w:name="_Toc184308098"/>
      <w:bookmarkEnd w:id="63"/>
      <w:bookmarkStart w:id="64" w:name="_Toc184310316"/>
      <w:bookmarkEnd w:id="64"/>
      <w:bookmarkStart w:id="65" w:name="_Toc184312130"/>
      <w:bookmarkEnd w:id="65"/>
      <w:bookmarkStart w:id="66" w:name="_Toc184308072"/>
      <w:bookmarkEnd w:id="66"/>
      <w:bookmarkStart w:id="67" w:name="_Toc184312108"/>
      <w:bookmarkEnd w:id="67"/>
      <w:bookmarkStart w:id="68" w:name="_Toc184308100"/>
      <w:bookmarkEnd w:id="68"/>
      <w:bookmarkStart w:id="69" w:name="_Toc184312139"/>
      <w:bookmarkEnd w:id="69"/>
      <w:bookmarkStart w:id="70" w:name="_Toc184313294"/>
      <w:bookmarkEnd w:id="70"/>
      <w:bookmarkStart w:id="71" w:name="_Toc184308094"/>
      <w:bookmarkEnd w:id="71"/>
      <w:bookmarkStart w:id="72" w:name="_Toc184308036"/>
      <w:bookmarkEnd w:id="72"/>
      <w:bookmarkStart w:id="73" w:name="_Toc184310298"/>
      <w:bookmarkEnd w:id="73"/>
      <w:bookmarkStart w:id="74" w:name="_Toc184313297"/>
      <w:bookmarkEnd w:id="74"/>
      <w:bookmarkStart w:id="75" w:name="_Toc184308063"/>
      <w:bookmarkEnd w:id="75"/>
      <w:bookmarkStart w:id="76" w:name="_Toc184313267"/>
      <w:bookmarkEnd w:id="76"/>
      <w:bookmarkStart w:id="77" w:name="_Toc184310279"/>
      <w:bookmarkEnd w:id="77"/>
      <w:bookmarkStart w:id="78" w:name="_Toc184313248"/>
      <w:bookmarkEnd w:id="78"/>
      <w:bookmarkStart w:id="79" w:name="_Toc184308089"/>
      <w:bookmarkEnd w:id="79"/>
      <w:bookmarkStart w:id="80" w:name="_Toc184312105"/>
      <w:bookmarkEnd w:id="80"/>
      <w:bookmarkStart w:id="81" w:name="_Toc184310291"/>
      <w:bookmarkEnd w:id="81"/>
      <w:bookmarkStart w:id="82" w:name="_Toc184313254"/>
      <w:bookmarkEnd w:id="82"/>
      <w:bookmarkStart w:id="83" w:name="_Toc184310278"/>
      <w:bookmarkEnd w:id="83"/>
      <w:bookmarkStart w:id="84" w:name="_Toc184308083"/>
      <w:bookmarkEnd w:id="84"/>
      <w:bookmarkStart w:id="85" w:name="_Toc184314459"/>
      <w:bookmarkEnd w:id="85"/>
      <w:bookmarkStart w:id="86" w:name="_Toc184308060"/>
      <w:bookmarkEnd w:id="86"/>
      <w:bookmarkStart w:id="87" w:name="_Toc184313305"/>
      <w:bookmarkEnd w:id="87"/>
      <w:bookmarkStart w:id="88" w:name="_Toc184313250"/>
      <w:bookmarkEnd w:id="88"/>
      <w:bookmarkStart w:id="89" w:name="_Toc184312092"/>
      <w:bookmarkEnd w:id="89"/>
      <w:bookmarkStart w:id="90" w:name="_Toc184310334"/>
      <w:bookmarkEnd w:id="90"/>
      <w:bookmarkStart w:id="91" w:name="_Toc184312107"/>
      <w:bookmarkEnd w:id="91"/>
      <w:bookmarkStart w:id="92" w:name="_Toc184312069"/>
      <w:bookmarkEnd w:id="92"/>
      <w:bookmarkStart w:id="93" w:name="_Toc184313259"/>
      <w:bookmarkEnd w:id="93"/>
      <w:bookmarkStart w:id="94" w:name="_Toc184313287"/>
      <w:bookmarkEnd w:id="94"/>
      <w:bookmarkStart w:id="95" w:name="_Toc184313306"/>
      <w:bookmarkEnd w:id="95"/>
      <w:bookmarkStart w:id="96" w:name="_Toc184313299"/>
      <w:bookmarkEnd w:id="96"/>
      <w:bookmarkStart w:id="97" w:name="_Toc184310336"/>
      <w:bookmarkEnd w:id="97"/>
      <w:bookmarkStart w:id="98" w:name="_Toc184314437"/>
      <w:bookmarkEnd w:id="98"/>
      <w:bookmarkStart w:id="99" w:name="_Toc184312100"/>
      <w:bookmarkEnd w:id="99"/>
      <w:bookmarkStart w:id="100" w:name="_Toc184310301"/>
      <w:bookmarkEnd w:id="100"/>
      <w:bookmarkStart w:id="101" w:name="_Toc184308080"/>
      <w:bookmarkEnd w:id="101"/>
      <w:bookmarkStart w:id="102" w:name="_Toc184310288"/>
      <w:bookmarkEnd w:id="102"/>
      <w:bookmarkStart w:id="103" w:name="_Toc184313273"/>
      <w:bookmarkEnd w:id="103"/>
      <w:bookmarkStart w:id="104" w:name="_Toc184308038"/>
      <w:bookmarkEnd w:id="104"/>
      <w:bookmarkStart w:id="105" w:name="_Toc184313298"/>
      <w:bookmarkEnd w:id="105"/>
      <w:bookmarkStart w:id="106" w:name="_Toc184313249"/>
      <w:bookmarkEnd w:id="106"/>
      <w:bookmarkStart w:id="107" w:name="_Toc184308082"/>
      <w:bookmarkEnd w:id="107"/>
      <w:bookmarkStart w:id="108" w:name="_Toc184312071"/>
      <w:bookmarkEnd w:id="108"/>
      <w:bookmarkStart w:id="109" w:name="_Toc184313247"/>
      <w:bookmarkEnd w:id="109"/>
      <w:bookmarkStart w:id="110" w:name="_Toc184314461"/>
      <w:bookmarkEnd w:id="110"/>
      <w:bookmarkStart w:id="111" w:name="_Toc184313285"/>
      <w:bookmarkEnd w:id="111"/>
      <w:bookmarkStart w:id="112" w:name="_Toc184312132"/>
      <w:bookmarkEnd w:id="112"/>
      <w:bookmarkStart w:id="113" w:name="_Toc184312097"/>
      <w:bookmarkEnd w:id="113"/>
      <w:bookmarkStart w:id="114" w:name="_Toc184313271"/>
      <w:bookmarkEnd w:id="114"/>
      <w:bookmarkStart w:id="115" w:name="_Toc184313289"/>
      <w:bookmarkEnd w:id="115"/>
      <w:bookmarkStart w:id="116" w:name="_Toc184314466"/>
      <w:bookmarkEnd w:id="116"/>
      <w:bookmarkStart w:id="117" w:name="_Toc184308102"/>
      <w:bookmarkEnd w:id="117"/>
      <w:bookmarkStart w:id="118" w:name="_Toc184314470"/>
      <w:bookmarkEnd w:id="118"/>
      <w:bookmarkStart w:id="119" w:name="_Toc184314434"/>
      <w:bookmarkEnd w:id="119"/>
      <w:bookmarkStart w:id="120" w:name="_Toc184308106"/>
      <w:bookmarkEnd w:id="120"/>
      <w:bookmarkStart w:id="121" w:name="_Toc184310284"/>
      <w:bookmarkEnd w:id="121"/>
      <w:bookmarkStart w:id="122" w:name="_Toc184310342"/>
      <w:bookmarkEnd w:id="122"/>
      <w:bookmarkStart w:id="123" w:name="_Toc184313243"/>
      <w:bookmarkEnd w:id="123"/>
      <w:bookmarkStart w:id="124" w:name="_Toc184308056"/>
      <w:bookmarkEnd w:id="124"/>
      <w:bookmarkStart w:id="125" w:name="_Toc184314418"/>
      <w:bookmarkEnd w:id="125"/>
      <w:bookmarkStart w:id="126" w:name="_Toc184310289"/>
      <w:bookmarkEnd w:id="126"/>
      <w:bookmarkStart w:id="127" w:name="_Toc184314467"/>
      <w:bookmarkEnd w:id="127"/>
      <w:bookmarkStart w:id="128" w:name="_Toc184314481"/>
      <w:bookmarkEnd w:id="128"/>
      <w:bookmarkStart w:id="129" w:name="_Toc184314457"/>
      <w:bookmarkEnd w:id="129"/>
      <w:bookmarkStart w:id="130" w:name="_Toc184314424"/>
      <w:bookmarkEnd w:id="130"/>
      <w:bookmarkStart w:id="131" w:name="_Toc184312138"/>
      <w:bookmarkEnd w:id="131"/>
      <w:bookmarkStart w:id="132" w:name="_Toc184312137"/>
      <w:bookmarkEnd w:id="132"/>
      <w:bookmarkStart w:id="133" w:name="_Toc184314426"/>
      <w:bookmarkEnd w:id="133"/>
      <w:bookmarkStart w:id="134" w:name="_Toc184308093"/>
      <w:bookmarkEnd w:id="134"/>
      <w:bookmarkStart w:id="135" w:name="_Toc184308042"/>
      <w:bookmarkEnd w:id="135"/>
      <w:bookmarkStart w:id="136" w:name="_Toc184312133"/>
      <w:bookmarkEnd w:id="136"/>
      <w:bookmarkStart w:id="137" w:name="_Toc184310304"/>
      <w:bookmarkEnd w:id="137"/>
      <w:bookmarkStart w:id="138" w:name="_Toc184310296"/>
      <w:bookmarkEnd w:id="138"/>
      <w:bookmarkStart w:id="139" w:name="_Toc184308065"/>
      <w:bookmarkEnd w:id="139"/>
      <w:bookmarkStart w:id="140" w:name="_Toc184312119"/>
      <w:bookmarkEnd w:id="140"/>
      <w:bookmarkStart w:id="141" w:name="_Toc184310305"/>
      <w:bookmarkEnd w:id="141"/>
      <w:bookmarkStart w:id="142" w:name="_Toc184310338"/>
      <w:bookmarkEnd w:id="142"/>
      <w:bookmarkStart w:id="143" w:name="_Toc184308101"/>
      <w:bookmarkEnd w:id="143"/>
      <w:bookmarkStart w:id="144" w:name="_Toc184312117"/>
      <w:bookmarkEnd w:id="144"/>
      <w:bookmarkStart w:id="145" w:name="_Toc184313301"/>
      <w:bookmarkEnd w:id="145"/>
      <w:bookmarkStart w:id="146" w:name="_Toc184314423"/>
      <w:bookmarkEnd w:id="146"/>
      <w:bookmarkStart w:id="147" w:name="_Toc184313253"/>
      <w:bookmarkEnd w:id="147"/>
      <w:bookmarkStart w:id="148" w:name="_Toc184314443"/>
      <w:bookmarkEnd w:id="148"/>
      <w:bookmarkStart w:id="149" w:name="_Toc184313309"/>
      <w:bookmarkEnd w:id="149"/>
      <w:bookmarkStart w:id="150" w:name="_Toc184312084"/>
      <w:bookmarkEnd w:id="150"/>
      <w:bookmarkStart w:id="151" w:name="_Toc184313255"/>
      <w:bookmarkEnd w:id="151"/>
      <w:bookmarkStart w:id="152" w:name="_Toc184313286"/>
      <w:bookmarkEnd w:id="152"/>
      <w:bookmarkStart w:id="153" w:name="_Toc184313261"/>
      <w:bookmarkEnd w:id="153"/>
      <w:bookmarkStart w:id="154" w:name="_Toc184313282"/>
      <w:bookmarkEnd w:id="154"/>
      <w:bookmarkStart w:id="155" w:name="_Toc184313278"/>
      <w:bookmarkEnd w:id="155"/>
      <w:bookmarkStart w:id="156" w:name="_Toc184313303"/>
      <w:bookmarkEnd w:id="156"/>
      <w:bookmarkStart w:id="157" w:name="_Toc184312090"/>
      <w:bookmarkEnd w:id="157"/>
      <w:bookmarkStart w:id="158" w:name="_Toc184312102"/>
      <w:bookmarkEnd w:id="158"/>
      <w:bookmarkStart w:id="159" w:name="_Toc184308097"/>
      <w:bookmarkEnd w:id="159"/>
      <w:bookmarkStart w:id="160" w:name="_Toc184312087"/>
      <w:bookmarkEnd w:id="160"/>
      <w:bookmarkStart w:id="161" w:name="_Toc184313238"/>
      <w:bookmarkEnd w:id="161"/>
      <w:bookmarkStart w:id="162" w:name="_Toc184313283"/>
      <w:bookmarkEnd w:id="162"/>
      <w:bookmarkStart w:id="163" w:name="_Toc184314465"/>
      <w:bookmarkEnd w:id="163"/>
      <w:bookmarkStart w:id="164" w:name="_Toc184312110"/>
      <w:bookmarkEnd w:id="164"/>
      <w:bookmarkStart w:id="165" w:name="_Toc184313241"/>
      <w:bookmarkEnd w:id="165"/>
      <w:bookmarkStart w:id="166" w:name="_Toc184314445"/>
      <w:bookmarkEnd w:id="166"/>
      <w:bookmarkStart w:id="167" w:name="_Toc184308071"/>
      <w:bookmarkEnd w:id="167"/>
      <w:bookmarkStart w:id="168" w:name="_Toc184312093"/>
      <w:bookmarkEnd w:id="168"/>
      <w:bookmarkStart w:id="169" w:name="_Toc184313239"/>
      <w:bookmarkEnd w:id="169"/>
      <w:bookmarkStart w:id="170" w:name="_Toc184308075"/>
      <w:bookmarkEnd w:id="170"/>
      <w:bookmarkStart w:id="171" w:name="_Toc184312096"/>
      <w:bookmarkEnd w:id="171"/>
      <w:bookmarkStart w:id="172" w:name="_Toc184312099"/>
      <w:bookmarkEnd w:id="172"/>
      <w:bookmarkStart w:id="173" w:name="_Toc184310330"/>
      <w:bookmarkEnd w:id="173"/>
      <w:bookmarkStart w:id="174" w:name="_Toc184313307"/>
      <w:bookmarkEnd w:id="174"/>
      <w:bookmarkStart w:id="175" w:name="_Toc184308085"/>
      <w:bookmarkEnd w:id="175"/>
      <w:bookmarkStart w:id="176" w:name="_Toc184314460"/>
      <w:bookmarkEnd w:id="176"/>
      <w:bookmarkStart w:id="177" w:name="_Toc184308043"/>
      <w:bookmarkEnd w:id="177"/>
      <w:bookmarkStart w:id="178" w:name="_Toc184312095"/>
      <w:bookmarkEnd w:id="178"/>
      <w:bookmarkStart w:id="179" w:name="_Toc184312082"/>
      <w:bookmarkEnd w:id="179"/>
      <w:bookmarkStart w:id="180" w:name="_Toc184314429"/>
      <w:bookmarkEnd w:id="180"/>
      <w:bookmarkStart w:id="181" w:name="_Toc184310283"/>
      <w:bookmarkEnd w:id="181"/>
      <w:bookmarkStart w:id="182" w:name="_Toc184312127"/>
      <w:bookmarkEnd w:id="182"/>
      <w:bookmarkStart w:id="183" w:name="_Toc184313242"/>
      <w:bookmarkEnd w:id="183"/>
      <w:bookmarkStart w:id="184" w:name="_Toc184310286"/>
      <w:bookmarkEnd w:id="184"/>
      <w:bookmarkStart w:id="185" w:name="_Toc184312098"/>
      <w:bookmarkEnd w:id="185"/>
      <w:bookmarkStart w:id="186" w:name="_Toc184313252"/>
      <w:bookmarkEnd w:id="186"/>
      <w:bookmarkStart w:id="187" w:name="_Toc184308066"/>
      <w:bookmarkEnd w:id="187"/>
      <w:bookmarkStart w:id="188" w:name="_Toc184310273"/>
      <w:bookmarkEnd w:id="188"/>
      <w:bookmarkStart w:id="189" w:name="_Toc184310297"/>
      <w:bookmarkEnd w:id="189"/>
      <w:bookmarkStart w:id="190" w:name="_Toc184314474"/>
      <w:bookmarkEnd w:id="190"/>
      <w:bookmarkStart w:id="191" w:name="_Toc184314439"/>
      <w:bookmarkEnd w:id="191"/>
      <w:bookmarkStart w:id="192" w:name="_Toc184308045"/>
      <w:bookmarkEnd w:id="192"/>
      <w:bookmarkStart w:id="193" w:name="_Toc184312070"/>
      <w:bookmarkEnd w:id="193"/>
      <w:bookmarkStart w:id="194" w:name="_Toc184310287"/>
      <w:bookmarkEnd w:id="194"/>
      <w:bookmarkStart w:id="195" w:name="_Toc184310320"/>
      <w:bookmarkEnd w:id="195"/>
      <w:bookmarkStart w:id="196" w:name="_Toc184313272"/>
      <w:bookmarkEnd w:id="196"/>
      <w:bookmarkStart w:id="197" w:name="_Toc184310307"/>
      <w:bookmarkEnd w:id="197"/>
      <w:bookmarkStart w:id="198" w:name="_Toc184313304"/>
      <w:bookmarkEnd w:id="198"/>
      <w:bookmarkStart w:id="199" w:name="_Toc184308104"/>
      <w:bookmarkEnd w:id="199"/>
      <w:bookmarkStart w:id="200" w:name="_Toc184312114"/>
      <w:bookmarkEnd w:id="200"/>
      <w:bookmarkStart w:id="201" w:name="_Toc184310276"/>
      <w:bookmarkEnd w:id="201"/>
      <w:bookmarkStart w:id="202" w:name="_Toc184312121"/>
      <w:bookmarkEnd w:id="202"/>
      <w:bookmarkStart w:id="203" w:name="_Toc184310275"/>
      <w:bookmarkEnd w:id="203"/>
      <w:bookmarkStart w:id="204" w:name="_Toc184308092"/>
      <w:bookmarkEnd w:id="204"/>
      <w:bookmarkStart w:id="205" w:name="_Toc184308054"/>
      <w:bookmarkEnd w:id="205"/>
      <w:bookmarkStart w:id="206" w:name="_Toc184313268"/>
      <w:bookmarkEnd w:id="206"/>
      <w:bookmarkStart w:id="207" w:name="_Toc184314449"/>
      <w:bookmarkEnd w:id="207"/>
      <w:bookmarkStart w:id="208" w:name="_Toc184310326"/>
      <w:bookmarkEnd w:id="208"/>
      <w:bookmarkStart w:id="209" w:name="_Toc184310299"/>
      <w:bookmarkEnd w:id="209"/>
      <w:bookmarkStart w:id="210" w:name="_Toc184313244"/>
      <w:bookmarkEnd w:id="210"/>
      <w:bookmarkStart w:id="211" w:name="_Toc184314425"/>
      <w:bookmarkEnd w:id="211"/>
      <w:bookmarkStart w:id="212" w:name="_Toc184310280"/>
      <w:bookmarkEnd w:id="212"/>
      <w:bookmarkStart w:id="213" w:name="_Toc184314417"/>
      <w:bookmarkEnd w:id="213"/>
      <w:bookmarkStart w:id="214" w:name="_Toc184314431"/>
      <w:bookmarkEnd w:id="214"/>
      <w:bookmarkStart w:id="215" w:name="_Toc184314435"/>
      <w:bookmarkEnd w:id="215"/>
      <w:bookmarkStart w:id="216" w:name="_Toc184313240"/>
      <w:bookmarkEnd w:id="216"/>
      <w:bookmarkStart w:id="217" w:name="_Toc184314427"/>
      <w:bookmarkEnd w:id="217"/>
      <w:bookmarkStart w:id="218" w:name="_Toc184310272"/>
      <w:bookmarkEnd w:id="218"/>
      <w:bookmarkStart w:id="219" w:name="_Toc184312113"/>
      <w:bookmarkEnd w:id="219"/>
      <w:bookmarkStart w:id="220" w:name="_Toc184313256"/>
      <w:bookmarkEnd w:id="220"/>
      <w:bookmarkStart w:id="221" w:name="_Toc184308090"/>
      <w:bookmarkEnd w:id="221"/>
      <w:bookmarkStart w:id="222" w:name="_Toc184310302"/>
      <w:bookmarkEnd w:id="222"/>
      <w:bookmarkStart w:id="223" w:name="_Toc184312073"/>
      <w:bookmarkEnd w:id="223"/>
      <w:bookmarkStart w:id="224" w:name="_Toc184313288"/>
      <w:bookmarkEnd w:id="224"/>
      <w:bookmarkStart w:id="225" w:name="_Toc184310318"/>
      <w:bookmarkEnd w:id="225"/>
      <w:bookmarkStart w:id="226" w:name="_Toc184308050"/>
      <w:bookmarkEnd w:id="226"/>
      <w:bookmarkStart w:id="227" w:name="_Toc184314463"/>
      <w:bookmarkEnd w:id="227"/>
      <w:bookmarkStart w:id="228" w:name="_Toc184313245"/>
      <w:bookmarkEnd w:id="228"/>
      <w:bookmarkStart w:id="229" w:name="_Toc184312125"/>
      <w:bookmarkEnd w:id="229"/>
      <w:bookmarkStart w:id="230" w:name="_Toc184310300"/>
      <w:bookmarkEnd w:id="230"/>
      <w:bookmarkStart w:id="231" w:name="_Toc184314450"/>
      <w:bookmarkEnd w:id="231"/>
      <w:bookmarkStart w:id="232" w:name="_Toc184310310"/>
      <w:bookmarkEnd w:id="232"/>
      <w:bookmarkStart w:id="233" w:name="_Toc184313260"/>
      <w:bookmarkEnd w:id="233"/>
      <w:bookmarkStart w:id="234" w:name="_Toc184312112"/>
      <w:bookmarkEnd w:id="234"/>
      <w:bookmarkStart w:id="235" w:name="_Toc184314464"/>
      <w:bookmarkEnd w:id="235"/>
      <w:bookmarkStart w:id="236" w:name="_Toc184314411"/>
      <w:bookmarkEnd w:id="236"/>
      <w:bookmarkStart w:id="237" w:name="_Toc184310309"/>
      <w:bookmarkEnd w:id="237"/>
      <w:bookmarkStart w:id="238" w:name="_Toc184312129"/>
      <w:bookmarkEnd w:id="238"/>
      <w:bookmarkStart w:id="239" w:name="_Toc184313310"/>
      <w:bookmarkEnd w:id="239"/>
      <w:bookmarkStart w:id="240" w:name="_Toc184310337"/>
      <w:bookmarkEnd w:id="240"/>
      <w:bookmarkStart w:id="241" w:name="_Toc184308081"/>
      <w:bookmarkEnd w:id="241"/>
      <w:bookmarkStart w:id="242" w:name="_Toc184310290"/>
      <w:bookmarkEnd w:id="242"/>
      <w:bookmarkStart w:id="243" w:name="_Toc184314448"/>
      <w:bookmarkEnd w:id="243"/>
      <w:bookmarkStart w:id="244" w:name="_Toc184312078"/>
      <w:bookmarkEnd w:id="244"/>
      <w:bookmarkStart w:id="245" w:name="_Toc184314414"/>
      <w:bookmarkEnd w:id="245"/>
      <w:bookmarkStart w:id="246" w:name="_Toc184314452"/>
      <w:bookmarkEnd w:id="246"/>
      <w:bookmarkStart w:id="247" w:name="_Toc184313284"/>
      <w:bookmarkEnd w:id="247"/>
      <w:bookmarkStart w:id="248" w:name="_Toc184314476"/>
      <w:bookmarkEnd w:id="248"/>
      <w:bookmarkStart w:id="249" w:name="_Toc184308061"/>
      <w:bookmarkEnd w:id="249"/>
      <w:bookmarkStart w:id="250" w:name="_Toc184308051"/>
      <w:bookmarkEnd w:id="250"/>
      <w:bookmarkStart w:id="251" w:name="_Toc184312104"/>
      <w:bookmarkEnd w:id="251"/>
      <w:bookmarkStart w:id="252" w:name="_Toc184308088"/>
      <w:bookmarkEnd w:id="252"/>
      <w:bookmarkStart w:id="253" w:name="_Toc184310339"/>
      <w:bookmarkEnd w:id="253"/>
      <w:bookmarkStart w:id="254" w:name="_Toc184312103"/>
      <w:bookmarkEnd w:id="254"/>
      <w:bookmarkStart w:id="255" w:name="_Toc184314444"/>
      <w:bookmarkEnd w:id="255"/>
      <w:bookmarkStart w:id="256" w:name="_Toc184310341"/>
      <w:bookmarkEnd w:id="256"/>
      <w:bookmarkStart w:id="257" w:name="_Toc184313258"/>
      <w:bookmarkEnd w:id="257"/>
      <w:bookmarkStart w:id="258" w:name="_Toc184310313"/>
      <w:bookmarkEnd w:id="258"/>
      <w:bookmarkStart w:id="259" w:name="_Toc184313308"/>
      <w:bookmarkEnd w:id="259"/>
      <w:bookmarkStart w:id="260" w:name="_Toc184308099"/>
      <w:bookmarkEnd w:id="260"/>
      <w:bookmarkStart w:id="261" w:name="_Toc184310325"/>
      <w:bookmarkEnd w:id="261"/>
      <w:bookmarkStart w:id="262" w:name="_Toc184314433"/>
      <w:bookmarkEnd w:id="262"/>
      <w:bookmarkStart w:id="263" w:name="_Toc184308079"/>
      <w:bookmarkEnd w:id="263"/>
      <w:bookmarkStart w:id="264" w:name="_Toc184308039"/>
      <w:bookmarkEnd w:id="264"/>
      <w:bookmarkStart w:id="265" w:name="_Toc184310314"/>
      <w:bookmarkEnd w:id="265"/>
      <w:bookmarkStart w:id="266" w:name="_Toc184314451"/>
      <w:bookmarkEnd w:id="266"/>
      <w:bookmarkStart w:id="267" w:name="_Toc184308070"/>
      <w:bookmarkEnd w:id="267"/>
      <w:bookmarkStart w:id="268" w:name="_Toc184308044"/>
      <w:bookmarkEnd w:id="268"/>
      <w:bookmarkStart w:id="269" w:name="_Toc184314453"/>
      <w:bookmarkEnd w:id="269"/>
      <w:bookmarkStart w:id="270" w:name="_Toc184313295"/>
      <w:bookmarkEnd w:id="270"/>
      <w:bookmarkStart w:id="271" w:name="_Toc184308084"/>
      <w:bookmarkEnd w:id="271"/>
      <w:bookmarkStart w:id="272" w:name="_Toc184314478"/>
      <w:bookmarkEnd w:id="272"/>
      <w:bookmarkStart w:id="273" w:name="_Toc184312120"/>
      <w:bookmarkEnd w:id="273"/>
      <w:bookmarkStart w:id="274" w:name="_Toc184313270"/>
      <w:bookmarkEnd w:id="274"/>
      <w:bookmarkStart w:id="275" w:name="_Toc184308047"/>
      <w:bookmarkEnd w:id="275"/>
      <w:bookmarkStart w:id="276" w:name="_Toc184308087"/>
      <w:bookmarkEnd w:id="276"/>
      <w:bookmarkStart w:id="277" w:name="_Toc184313296"/>
      <w:bookmarkEnd w:id="277"/>
      <w:bookmarkStart w:id="278" w:name="_Toc184313302"/>
      <w:bookmarkEnd w:id="278"/>
      <w:bookmarkStart w:id="279" w:name="_Toc184308046"/>
      <w:bookmarkEnd w:id="279"/>
      <w:bookmarkStart w:id="280" w:name="_Toc184310344"/>
      <w:bookmarkEnd w:id="280"/>
      <w:bookmarkStart w:id="281" w:name="_Toc184310321"/>
      <w:bookmarkEnd w:id="281"/>
      <w:bookmarkStart w:id="282" w:name="_Toc184310281"/>
      <w:bookmarkEnd w:id="282"/>
      <w:bookmarkStart w:id="283" w:name="_Toc184308064"/>
      <w:bookmarkEnd w:id="283"/>
      <w:bookmarkStart w:id="284" w:name="_Toc184310282"/>
      <w:bookmarkEnd w:id="284"/>
      <w:bookmarkStart w:id="285" w:name="_Toc184312126"/>
      <w:bookmarkEnd w:id="285"/>
      <w:bookmarkStart w:id="286" w:name="_Toc184314447"/>
      <w:bookmarkEnd w:id="286"/>
      <w:bookmarkStart w:id="287" w:name="_Toc184312101"/>
      <w:bookmarkEnd w:id="287"/>
      <w:bookmarkStart w:id="288" w:name="_Toc184313265"/>
      <w:bookmarkEnd w:id="288"/>
      <w:bookmarkStart w:id="289" w:name="_Toc184308078"/>
      <w:bookmarkEnd w:id="289"/>
      <w:bookmarkStart w:id="290" w:name="_Toc184312091"/>
      <w:bookmarkEnd w:id="290"/>
      <w:bookmarkStart w:id="291" w:name="_Toc184313246"/>
      <w:bookmarkEnd w:id="291"/>
      <w:bookmarkStart w:id="292" w:name="_Toc184313275"/>
      <w:bookmarkEnd w:id="292"/>
      <w:bookmarkStart w:id="293" w:name="_Toc184308058"/>
      <w:bookmarkEnd w:id="293"/>
      <w:bookmarkStart w:id="294" w:name="_Toc184308062"/>
      <w:bookmarkEnd w:id="294"/>
      <w:bookmarkStart w:id="295" w:name="_Toc184312079"/>
      <w:bookmarkEnd w:id="295"/>
      <w:bookmarkStart w:id="296" w:name="_Toc184314455"/>
      <w:bookmarkEnd w:id="296"/>
      <w:bookmarkStart w:id="297" w:name="_Toc184310332"/>
      <w:bookmarkEnd w:id="297"/>
      <w:bookmarkStart w:id="298" w:name="_Toc184312111"/>
      <w:bookmarkEnd w:id="298"/>
      <w:bookmarkStart w:id="299" w:name="_Toc184312068"/>
      <w:bookmarkEnd w:id="299"/>
      <w:bookmarkStart w:id="300" w:name="_Toc184313280"/>
      <w:bookmarkEnd w:id="300"/>
      <w:bookmarkStart w:id="301" w:name="_Toc184314413"/>
      <w:bookmarkEnd w:id="301"/>
      <w:bookmarkStart w:id="302" w:name="_Toc184314458"/>
      <w:bookmarkEnd w:id="302"/>
      <w:bookmarkStart w:id="303" w:name="_Toc184308040"/>
      <w:bookmarkEnd w:id="303"/>
      <w:bookmarkStart w:id="304" w:name="_Toc184312122"/>
      <w:bookmarkEnd w:id="304"/>
      <w:bookmarkStart w:id="305" w:name="_Toc184312083"/>
      <w:bookmarkEnd w:id="305"/>
      <w:bookmarkStart w:id="306" w:name="_Toc184310343"/>
      <w:bookmarkEnd w:id="306"/>
      <w:bookmarkStart w:id="307" w:name="_Toc184312085"/>
      <w:bookmarkEnd w:id="307"/>
      <w:bookmarkStart w:id="308" w:name="_Toc184308067"/>
      <w:bookmarkEnd w:id="308"/>
      <w:bookmarkStart w:id="309" w:name="_Toc184312135"/>
      <w:bookmarkEnd w:id="309"/>
      <w:bookmarkStart w:id="310" w:name="_Toc184308059"/>
      <w:bookmarkEnd w:id="310"/>
      <w:bookmarkStart w:id="311" w:name="_Toc184312094"/>
      <w:bookmarkEnd w:id="311"/>
      <w:bookmarkStart w:id="312" w:name="_Toc184308074"/>
      <w:bookmarkEnd w:id="312"/>
      <w:bookmarkStart w:id="313" w:name="_Toc184312072"/>
      <w:bookmarkEnd w:id="313"/>
      <w:bookmarkStart w:id="314" w:name="_Toc184310277"/>
      <w:bookmarkEnd w:id="314"/>
      <w:bookmarkStart w:id="315" w:name="_Toc184314468"/>
      <w:bookmarkEnd w:id="315"/>
      <w:bookmarkStart w:id="316" w:name="_Toc184308041"/>
      <w:bookmarkEnd w:id="316"/>
      <w:bookmarkStart w:id="317" w:name="_Toc184310328"/>
      <w:bookmarkEnd w:id="317"/>
      <w:bookmarkStart w:id="318" w:name="_Toc184310292"/>
      <w:bookmarkEnd w:id="318"/>
      <w:bookmarkStart w:id="319" w:name="_Toc184310327"/>
      <w:bookmarkEnd w:id="319"/>
      <w:bookmarkStart w:id="320" w:name="_Toc184308053"/>
      <w:bookmarkEnd w:id="320"/>
      <w:bookmarkStart w:id="321" w:name="_Toc184312077"/>
      <w:bookmarkEnd w:id="321"/>
      <w:bookmarkStart w:id="322" w:name="_Toc184314436"/>
      <w:bookmarkEnd w:id="322"/>
      <w:bookmarkStart w:id="323" w:name="_Toc184310274"/>
      <w:bookmarkEnd w:id="323"/>
      <w:bookmarkStart w:id="324" w:name="_Toc184314477"/>
      <w:bookmarkEnd w:id="324"/>
      <w:bookmarkStart w:id="325" w:name="_Toc184314479"/>
      <w:bookmarkEnd w:id="325"/>
      <w:bookmarkStart w:id="326" w:name="_Toc184310311"/>
      <w:bookmarkEnd w:id="326"/>
      <w:bookmarkStart w:id="327" w:name="_Toc184314454"/>
      <w:bookmarkEnd w:id="327"/>
      <w:bookmarkStart w:id="328" w:name="_Toc184308095"/>
      <w:bookmarkEnd w:id="328"/>
      <w:bookmarkStart w:id="329" w:name="_Toc184314469"/>
      <w:bookmarkEnd w:id="329"/>
      <w:bookmarkStart w:id="330" w:name="_Toc184314442"/>
      <w:bookmarkEnd w:id="330"/>
      <w:bookmarkStart w:id="331" w:name="_Toc184314475"/>
      <w:bookmarkEnd w:id="331"/>
      <w:bookmarkStart w:id="332" w:name="_Toc184314462"/>
      <w:bookmarkEnd w:id="332"/>
      <w:bookmarkStart w:id="333" w:name="_Toc184310306"/>
      <w:bookmarkEnd w:id="333"/>
      <w:bookmarkStart w:id="334" w:name="_Toc184310335"/>
      <w:bookmarkEnd w:id="334"/>
      <w:bookmarkStart w:id="335" w:name="_Toc184313279"/>
      <w:bookmarkEnd w:id="335"/>
      <w:bookmarkStart w:id="336" w:name="_Toc184312116"/>
      <w:bookmarkEnd w:id="336"/>
      <w:bookmarkStart w:id="337" w:name="_Toc184312115"/>
      <w:bookmarkEnd w:id="337"/>
      <w:bookmarkStart w:id="338" w:name="_Toc184314412"/>
      <w:bookmarkEnd w:id="338"/>
      <w:bookmarkStart w:id="339" w:name="_Toc184308068"/>
      <w:bookmarkEnd w:id="339"/>
      <w:bookmarkStart w:id="340" w:name="_Toc184314410"/>
      <w:bookmarkEnd w:id="340"/>
      <w:bookmarkStart w:id="341" w:name="_Toc184310285"/>
      <w:bookmarkEnd w:id="341"/>
      <w:bookmarkStart w:id="342" w:name="_Toc184312086"/>
      <w:bookmarkEnd w:id="342"/>
      <w:bookmarkStart w:id="343" w:name="_Toc184314432"/>
      <w:bookmarkEnd w:id="343"/>
      <w:bookmarkStart w:id="344" w:name="_Toc184310319"/>
      <w:bookmarkEnd w:id="344"/>
      <w:bookmarkStart w:id="345" w:name="_Toc184310312"/>
      <w:bookmarkEnd w:id="345"/>
      <w:bookmarkStart w:id="346" w:name="_Toc184313269"/>
      <w:bookmarkEnd w:id="346"/>
      <w:bookmarkStart w:id="347" w:name="_Toc184308091"/>
      <w:bookmarkEnd w:id="347"/>
      <w:bookmarkStart w:id="348" w:name="_Toc184308103"/>
      <w:bookmarkEnd w:id="348"/>
      <w:bookmarkStart w:id="349" w:name="_Toc184308052"/>
      <w:bookmarkEnd w:id="349"/>
      <w:bookmarkStart w:id="350" w:name="_Toc184314438"/>
      <w:bookmarkEnd w:id="350"/>
      <w:bookmarkStart w:id="351" w:name="_Toc184312074"/>
      <w:bookmarkEnd w:id="351"/>
      <w:bookmarkStart w:id="352" w:name="_Toc184313293"/>
      <w:bookmarkEnd w:id="352"/>
      <w:bookmarkStart w:id="353" w:name="_Toc184310329"/>
      <w:bookmarkEnd w:id="353"/>
      <w:bookmarkStart w:id="354" w:name="_Toc184314472"/>
      <w:bookmarkEnd w:id="354"/>
      <w:bookmarkStart w:id="355" w:name="_Toc184314440"/>
      <w:bookmarkEnd w:id="355"/>
      <w:bookmarkStart w:id="356" w:name="_Toc184314415"/>
      <w:bookmarkEnd w:id="356"/>
      <w:bookmarkStart w:id="357" w:name="_Toc184308057"/>
      <w:bookmarkEnd w:id="357"/>
      <w:bookmarkStart w:id="358" w:name="_Toc184314456"/>
      <w:bookmarkEnd w:id="358"/>
      <w:bookmarkStart w:id="359" w:name="_Toc184313257"/>
      <w:bookmarkEnd w:id="359"/>
      <w:bookmarkStart w:id="360" w:name="_Toc184310303"/>
      <w:bookmarkEnd w:id="360"/>
      <w:bookmarkStart w:id="361" w:name="_Toc184310294"/>
      <w:bookmarkEnd w:id="361"/>
      <w:bookmarkStart w:id="362" w:name="_Toc184308048"/>
      <w:bookmarkEnd w:id="362"/>
      <w:bookmarkStart w:id="363" w:name="_Toc184310322"/>
      <w:bookmarkEnd w:id="363"/>
      <w:bookmarkStart w:id="364" w:name="_Toc184308105"/>
      <w:bookmarkEnd w:id="364"/>
      <w:bookmarkStart w:id="365" w:name="_Toc184310293"/>
      <w:bookmarkEnd w:id="365"/>
      <w:bookmarkStart w:id="366" w:name="_Toc184312088"/>
      <w:bookmarkEnd w:id="366"/>
      <w:bookmarkStart w:id="367" w:name="_Toc184314416"/>
      <w:bookmarkEnd w:id="367"/>
      <w:bookmarkStart w:id="368" w:name="_Toc184312134"/>
      <w:bookmarkEnd w:id="368"/>
      <w:bookmarkStart w:id="369" w:name="_Toc184312128"/>
      <w:bookmarkEnd w:id="369"/>
      <w:bookmarkStart w:id="370" w:name="_Toc184308069"/>
      <w:bookmarkEnd w:id="370"/>
      <w:bookmarkStart w:id="371" w:name="_Toc184313300"/>
      <w:bookmarkEnd w:id="371"/>
      <w:bookmarkStart w:id="372" w:name="_Toc184314419"/>
      <w:bookmarkEnd w:id="372"/>
      <w:bookmarkStart w:id="373" w:name="_Toc184313263"/>
      <w:bookmarkEnd w:id="373"/>
      <w:bookmarkStart w:id="374" w:name="_Toc184313292"/>
      <w:bookmarkEnd w:id="374"/>
      <w:bookmarkStart w:id="375" w:name="_Toc184308037"/>
      <w:bookmarkEnd w:id="375"/>
      <w:bookmarkStart w:id="376" w:name="_Toc184314471"/>
      <w:bookmarkEnd w:id="376"/>
      <w:bookmarkStart w:id="377" w:name="_Toc184308073"/>
      <w:bookmarkEnd w:id="377"/>
      <w:bookmarkStart w:id="378" w:name="_Toc184313262"/>
      <w:bookmarkEnd w:id="378"/>
      <w:bookmarkStart w:id="379" w:name="_Toc184312076"/>
      <w:bookmarkEnd w:id="379"/>
      <w:bookmarkStart w:id="380" w:name="_Toc184312081"/>
      <w:bookmarkEnd w:id="380"/>
      <w:bookmarkStart w:id="381" w:name="_Toc184314421"/>
      <w:bookmarkEnd w:id="381"/>
      <w:bookmarkStart w:id="382" w:name="_Toc184310308"/>
      <w:bookmarkEnd w:id="382"/>
      <w:bookmarkStart w:id="383" w:name="_Toc184312089"/>
      <w:bookmarkEnd w:id="383"/>
      <w:bookmarkStart w:id="384" w:name="_Toc184314482"/>
      <w:bookmarkEnd w:id="384"/>
      <w:bookmarkStart w:id="385" w:name="_Toc184308055"/>
      <w:bookmarkEnd w:id="385"/>
      <w:bookmarkStart w:id="386" w:name="_Toc184313281"/>
      <w:bookmarkEnd w:id="386"/>
      <w:bookmarkStart w:id="387" w:name="_Toc184310323"/>
      <w:bookmarkEnd w:id="387"/>
      <w:bookmarkStart w:id="388" w:name="_Toc184313266"/>
      <w:bookmarkEnd w:id="388"/>
      <w:bookmarkStart w:id="389" w:name="_Toc184313277"/>
      <w:bookmarkEnd w:id="389"/>
      <w:bookmarkStart w:id="390" w:name="_Toc184308108"/>
      <w:bookmarkEnd w:id="390"/>
      <w:bookmarkStart w:id="391" w:name="_Toc184312067"/>
      <w:bookmarkEnd w:id="391"/>
      <w:bookmarkStart w:id="392" w:name="_Toc184314441"/>
      <w:bookmarkEnd w:id="392"/>
      <w:bookmarkStart w:id="393" w:name="_Toc184310331"/>
      <w:bookmarkEnd w:id="393"/>
      <w:bookmarkStart w:id="394" w:name="_Toc184313274"/>
      <w:bookmarkEnd w:id="394"/>
      <w:bookmarkStart w:id="395" w:name="_Toc184308076"/>
      <w:bookmarkEnd w:id="395"/>
      <w:bookmarkStart w:id="396" w:name="_Toc184308107"/>
      <w:bookmarkEnd w:id="396"/>
      <w:bookmarkStart w:id="397" w:name="_Toc184314430"/>
      <w:bookmarkEnd w:id="397"/>
      <w:bookmarkStart w:id="398" w:name="_Toc184314473"/>
      <w:bookmarkEnd w:id="398"/>
      <w:bookmarkStart w:id="399" w:name="_Toc184313291"/>
      <w:bookmarkEnd w:id="399"/>
      <w:bookmarkStart w:id="400" w:name="_Toc184314446"/>
      <w:bookmarkEnd w:id="400"/>
      <w:bookmarkStart w:id="401" w:name="_Toc184308077"/>
      <w:bookmarkEnd w:id="401"/>
      <w:bookmarkStart w:id="402" w:name="_Toc184314480"/>
      <w:bookmarkEnd w:id="402"/>
      <w:bookmarkStart w:id="403" w:name="_Toc184310324"/>
      <w:bookmarkEnd w:id="403"/>
      <w:bookmarkStart w:id="404" w:name="_Toc184312075"/>
      <w:bookmarkEnd w:id="404"/>
      <w:bookmarkStart w:id="405" w:name="_Toc184313264"/>
      <w:bookmarkEnd w:id="405"/>
      <w:bookmarkStart w:id="406" w:name="_Toc184312109"/>
      <w:bookmarkEnd w:id="406"/>
      <w:bookmarkStart w:id="407" w:name="_Toc184312136"/>
      <w:bookmarkEnd w:id="407"/>
      <w:bookmarkStart w:id="408" w:name="_Toc184313251"/>
      <w:bookmarkEnd w:id="408"/>
      <w:bookmarkStart w:id="409" w:name="_Toc184314428"/>
      <w:bookmarkEnd w:id="409"/>
      <w:bookmarkStart w:id="410" w:name="_Toc184310315"/>
      <w:bookmarkEnd w:id="410"/>
      <w:r>
        <w:rPr>
          <w:rFonts w:hint="eastAsia" w:ascii="仿宋" w:hAnsi="仿宋" w:eastAsia="仿宋" w:cs="仿宋"/>
          <w:color w:val="auto"/>
          <w:highlight w:val="none"/>
          <w:lang w:val="en-US" w:eastAsia="zh-CN"/>
        </w:rPr>
        <w:t>评审办法</w:t>
      </w:r>
    </w:p>
    <w:p w14:paraId="6E9345BD">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0"/>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6C07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14:paraId="1102953E">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6223658C">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，并形成评标意见。</w:t>
            </w:r>
          </w:p>
          <w:p w14:paraId="6D139928">
            <w:pP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w:t>
            </w:r>
            <w:r>
              <w:rPr>
                <w:rFonts w:hint="eastAsia" w:ascii="仿宋" w:hAnsi="仿宋" w:eastAsia="仿宋" w:cs="仿宋"/>
                <w:color w:val="auto"/>
                <w:sz w:val="24"/>
                <w:highlight w:val="none"/>
                <w:lang w:val="en-US" w:eastAsia="zh-CN"/>
              </w:rPr>
              <w:t>商务资信</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投标价格得分，总和为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001C719F">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2BA3117B">
      <w:pPr>
        <w:widowControl/>
        <w:spacing w:line="360" w:lineRule="auto"/>
        <w:rPr>
          <w:rFonts w:hint="eastAsia" w:ascii="仿宋" w:hAnsi="仿宋" w:eastAsia="仿宋" w:cs="仿宋"/>
          <w:b/>
          <w:color w:val="auto"/>
          <w:sz w:val="32"/>
          <w:highlight w:val="none"/>
        </w:rPr>
      </w:pPr>
    </w:p>
    <w:p w14:paraId="38956741">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71EDCD2D">
      <w:pPr>
        <w:widowControl/>
        <w:adjustRightInd/>
        <w:spacing w:after="200"/>
        <w:jc w:val="left"/>
        <w:rPr>
          <w:rFonts w:ascii="仿宋" w:hAnsi="仿宋" w:eastAsia="仿宋"/>
          <w:b/>
          <w:color w:val="auto"/>
          <w:kern w:val="0"/>
          <w:sz w:val="24"/>
          <w:highlight w:val="none"/>
        </w:rPr>
      </w:pPr>
      <w:r>
        <w:rPr>
          <w:rFonts w:hint="eastAsia" w:ascii="仿宋" w:hAnsi="仿宋" w:eastAsia="仿宋"/>
          <w:b/>
          <w:color w:val="auto"/>
          <w:kern w:val="0"/>
          <w:sz w:val="24"/>
          <w:highlight w:val="none"/>
          <w:lang w:val="en-US" w:eastAsia="zh-CN"/>
        </w:rPr>
        <w:t>1、</w:t>
      </w:r>
      <w:r>
        <w:rPr>
          <w:rFonts w:hint="eastAsia" w:ascii="仿宋" w:hAnsi="仿宋" w:eastAsia="仿宋"/>
          <w:b/>
          <w:color w:val="auto"/>
          <w:kern w:val="0"/>
          <w:sz w:val="24"/>
          <w:highlight w:val="none"/>
        </w:rPr>
        <w:t>商务技术分（</w:t>
      </w:r>
      <w:r>
        <w:rPr>
          <w:rFonts w:hint="eastAsia" w:ascii="仿宋" w:hAnsi="仿宋" w:eastAsia="仿宋"/>
          <w:b/>
          <w:color w:val="auto"/>
          <w:kern w:val="0"/>
          <w:sz w:val="24"/>
          <w:highlight w:val="none"/>
          <w:lang w:val="en-US" w:eastAsia="zh-CN"/>
        </w:rPr>
        <w:t>90</w:t>
      </w:r>
      <w:r>
        <w:rPr>
          <w:rFonts w:hint="eastAsia" w:ascii="仿宋" w:hAnsi="仿宋" w:eastAsia="仿宋"/>
          <w:b/>
          <w:color w:val="auto"/>
          <w:kern w:val="0"/>
          <w:sz w:val="24"/>
          <w:highlight w:val="none"/>
        </w:rPr>
        <w:t>分）</w:t>
      </w:r>
    </w:p>
    <w:tbl>
      <w:tblPr>
        <w:tblStyle w:val="6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709"/>
        <w:gridCol w:w="804"/>
        <w:gridCol w:w="968"/>
        <w:gridCol w:w="5202"/>
        <w:gridCol w:w="799"/>
        <w:gridCol w:w="998"/>
      </w:tblGrid>
      <w:tr w14:paraId="4BF7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709" w:type="dxa"/>
            <w:shd w:val="clear" w:color="auto" w:fill="auto"/>
          </w:tcPr>
          <w:p w14:paraId="7C50FE21">
            <w:pPr>
              <w:widowControl/>
              <w:adjustRightInd/>
              <w:spacing w:after="0" w:line="240" w:lineRule="auto"/>
              <w:jc w:val="center"/>
              <w:rPr>
                <w:rFonts w:ascii="仿宋" w:hAnsi="仿宋" w:eastAsia="仿宋"/>
                <w:color w:val="auto"/>
                <w:kern w:val="0"/>
                <w:sz w:val="24"/>
                <w:highlight w:val="none"/>
              </w:rPr>
            </w:pPr>
          </w:p>
        </w:tc>
        <w:tc>
          <w:tcPr>
            <w:tcW w:w="804" w:type="dxa"/>
            <w:shd w:val="clear" w:color="auto" w:fill="auto"/>
            <w:vAlign w:val="center"/>
          </w:tcPr>
          <w:p w14:paraId="719FE3E1">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序号</w:t>
            </w:r>
          </w:p>
        </w:tc>
        <w:tc>
          <w:tcPr>
            <w:tcW w:w="6170" w:type="dxa"/>
            <w:gridSpan w:val="2"/>
            <w:shd w:val="clear" w:color="auto" w:fill="auto"/>
            <w:vAlign w:val="center"/>
          </w:tcPr>
          <w:p w14:paraId="7A6B12E4">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评分内容和标准</w:t>
            </w:r>
          </w:p>
        </w:tc>
        <w:tc>
          <w:tcPr>
            <w:tcW w:w="799" w:type="dxa"/>
            <w:shd w:val="clear" w:color="auto" w:fill="auto"/>
            <w:vAlign w:val="center"/>
          </w:tcPr>
          <w:p w14:paraId="18D38FF1">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分值区间</w:t>
            </w:r>
          </w:p>
        </w:tc>
        <w:tc>
          <w:tcPr>
            <w:tcW w:w="998" w:type="dxa"/>
            <w:shd w:val="clear" w:color="auto" w:fill="auto"/>
            <w:vAlign w:val="center"/>
          </w:tcPr>
          <w:p w14:paraId="5FADE0EF">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主客观分</w:t>
            </w:r>
          </w:p>
        </w:tc>
      </w:tr>
      <w:tr w14:paraId="4B9B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709" w:type="dxa"/>
            <w:vMerge w:val="restart"/>
            <w:shd w:val="clear" w:color="auto" w:fill="auto"/>
            <w:vAlign w:val="center"/>
          </w:tcPr>
          <w:p w14:paraId="5B24B71F">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商务资信分</w:t>
            </w:r>
          </w:p>
        </w:tc>
        <w:tc>
          <w:tcPr>
            <w:tcW w:w="804" w:type="dxa"/>
            <w:shd w:val="clear" w:color="auto" w:fill="auto"/>
            <w:vAlign w:val="center"/>
          </w:tcPr>
          <w:p w14:paraId="5AD281E6">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6170" w:type="dxa"/>
            <w:gridSpan w:val="2"/>
            <w:shd w:val="clear" w:color="auto" w:fill="auto"/>
            <w:vAlign w:val="center"/>
          </w:tcPr>
          <w:p w14:paraId="00D19A2E">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szCs w:val="24"/>
                <w:highlight w:val="none"/>
              </w:rPr>
              <w:t>投标人提供20</w:t>
            </w:r>
            <w:r>
              <w:rPr>
                <w:rFonts w:hint="eastAsia" w:ascii="仿宋" w:hAnsi="仿宋" w:eastAsia="仿宋"/>
                <w:color w:val="auto"/>
                <w:kern w:val="0"/>
                <w:sz w:val="24"/>
                <w:szCs w:val="24"/>
                <w:highlight w:val="none"/>
                <w:lang w:val="en-US" w:eastAsia="zh-CN"/>
              </w:rPr>
              <w:t>22</w:t>
            </w:r>
            <w:r>
              <w:rPr>
                <w:rFonts w:hint="eastAsia" w:ascii="仿宋" w:hAnsi="仿宋" w:eastAsia="仿宋"/>
                <w:color w:val="auto"/>
                <w:kern w:val="0"/>
                <w:sz w:val="24"/>
                <w:szCs w:val="24"/>
                <w:highlight w:val="none"/>
              </w:rPr>
              <w:t>年1月1日以来（以合同签订时间为准）同类业绩，每个业绩得</w:t>
            </w:r>
            <w:r>
              <w:rPr>
                <w:rFonts w:hint="eastAsia" w:ascii="仿宋" w:hAnsi="仿宋" w:eastAsia="仿宋"/>
                <w:color w:val="auto"/>
                <w:kern w:val="0"/>
                <w:sz w:val="24"/>
                <w:szCs w:val="24"/>
                <w:highlight w:val="none"/>
                <w:lang w:val="en-US" w:eastAsia="zh-CN"/>
              </w:rPr>
              <w:t>0.5</w:t>
            </w:r>
            <w:r>
              <w:rPr>
                <w:rFonts w:hint="eastAsia" w:ascii="仿宋" w:hAnsi="仿宋" w:eastAsia="仿宋"/>
                <w:color w:val="auto"/>
                <w:kern w:val="0"/>
                <w:sz w:val="24"/>
                <w:szCs w:val="24"/>
                <w:highlight w:val="none"/>
              </w:rPr>
              <w:t>分，最高得</w:t>
            </w:r>
            <w:r>
              <w:rPr>
                <w:rFonts w:hint="eastAsia" w:ascii="仿宋" w:hAnsi="仿宋" w:eastAsia="仿宋"/>
                <w:color w:val="auto"/>
                <w:kern w:val="0"/>
                <w:sz w:val="24"/>
                <w:szCs w:val="24"/>
                <w:highlight w:val="none"/>
                <w:lang w:val="en-US" w:eastAsia="zh-CN"/>
              </w:rPr>
              <w:t>1</w:t>
            </w:r>
            <w:r>
              <w:rPr>
                <w:rFonts w:hint="eastAsia" w:ascii="仿宋" w:hAnsi="仿宋" w:eastAsia="仿宋"/>
                <w:color w:val="auto"/>
                <w:kern w:val="0"/>
                <w:sz w:val="24"/>
                <w:szCs w:val="24"/>
                <w:highlight w:val="none"/>
              </w:rPr>
              <w:t>分。</w:t>
            </w:r>
            <w:r>
              <w:rPr>
                <w:rFonts w:hint="eastAsia" w:ascii="仿宋" w:hAnsi="仿宋" w:eastAsia="仿宋" w:cs="仿宋"/>
                <w:color w:val="auto"/>
                <w:kern w:val="0"/>
                <w:sz w:val="24"/>
                <w:szCs w:val="24"/>
                <w:highlight w:val="none"/>
              </w:rPr>
              <w:t>（证明材料：需提供合同复印件加盖公章）</w:t>
            </w:r>
            <w:r>
              <w:rPr>
                <w:rFonts w:hint="eastAsia" w:ascii="仿宋" w:hAnsi="仿宋" w:eastAsia="仿宋"/>
                <w:color w:val="auto"/>
                <w:kern w:val="0"/>
                <w:sz w:val="24"/>
                <w:szCs w:val="24"/>
                <w:highlight w:val="none"/>
              </w:rPr>
              <w:t>。</w:t>
            </w:r>
          </w:p>
        </w:tc>
        <w:tc>
          <w:tcPr>
            <w:tcW w:w="799" w:type="dxa"/>
            <w:shd w:val="clear" w:color="auto" w:fill="auto"/>
            <w:vAlign w:val="center"/>
          </w:tcPr>
          <w:p w14:paraId="6A286059">
            <w:pPr>
              <w:widowControl/>
              <w:adjustRightInd/>
              <w:spacing w:after="0" w:line="240" w:lineRule="auto"/>
              <w:ind w:left="194" w:hanging="194" w:hangingChars="81"/>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0-1</w:t>
            </w:r>
          </w:p>
        </w:tc>
        <w:tc>
          <w:tcPr>
            <w:tcW w:w="998" w:type="dxa"/>
            <w:shd w:val="clear" w:color="auto" w:fill="auto"/>
            <w:vAlign w:val="center"/>
          </w:tcPr>
          <w:p w14:paraId="6AEC3BF2">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rPr>
              <w:t>客观分</w:t>
            </w:r>
          </w:p>
        </w:tc>
      </w:tr>
      <w:tr w14:paraId="464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458E5D14">
            <w:pPr>
              <w:spacing w:after="0" w:line="240" w:lineRule="auto"/>
              <w:ind w:left="420"/>
              <w:contextualSpacing/>
              <w:jc w:val="center"/>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4975C8C7">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6170" w:type="dxa"/>
            <w:gridSpan w:val="2"/>
            <w:shd w:val="clear" w:color="auto" w:fill="auto"/>
            <w:vAlign w:val="center"/>
          </w:tcPr>
          <w:p w14:paraId="2BFC9497">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eastAsia="zh-CN"/>
              </w:rPr>
              <w:t>具有食品安全管理体系认证证书、质量</w:t>
            </w:r>
            <w:r>
              <w:rPr>
                <w:rFonts w:hint="eastAsia" w:ascii="仿宋" w:hAnsi="仿宋" w:eastAsia="仿宋" w:cs="仿宋"/>
                <w:color w:val="auto"/>
                <w:kern w:val="0"/>
                <w:sz w:val="24"/>
                <w:highlight w:val="none"/>
                <w:lang w:val="en-US" w:eastAsia="zh-CN"/>
              </w:rPr>
              <w:t>管理</w:t>
            </w:r>
            <w:r>
              <w:rPr>
                <w:rFonts w:hint="eastAsia" w:ascii="仿宋" w:hAnsi="仿宋" w:eastAsia="仿宋" w:cs="仿宋"/>
                <w:color w:val="auto"/>
                <w:kern w:val="0"/>
                <w:sz w:val="24"/>
                <w:highlight w:val="none"/>
                <w:lang w:eastAsia="zh-CN"/>
              </w:rPr>
              <w:t>体系认证、环境管理体系认证、职业健康安全体系认证、五星售后</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lang w:eastAsia="zh-CN"/>
              </w:rPr>
              <w:t>认证的，每提供1项得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分，最高得</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eastAsia="zh-CN"/>
              </w:rPr>
              <w:t>分。（投标文件提供</w:t>
            </w:r>
            <w:r>
              <w:rPr>
                <w:rFonts w:hint="eastAsia" w:ascii="仿宋" w:hAnsi="仿宋" w:eastAsia="仿宋" w:cs="仿宋"/>
                <w:color w:val="auto"/>
                <w:kern w:val="0"/>
                <w:sz w:val="24"/>
                <w:highlight w:val="none"/>
                <w:lang w:val="en-US" w:eastAsia="zh-CN"/>
              </w:rPr>
              <w:t>有效期内证书复印件</w:t>
            </w:r>
            <w:r>
              <w:rPr>
                <w:rFonts w:hint="eastAsia" w:ascii="仿宋" w:hAnsi="仿宋" w:eastAsia="仿宋" w:cs="仿宋"/>
                <w:color w:val="auto"/>
                <w:kern w:val="0"/>
                <w:sz w:val="24"/>
                <w:highlight w:val="none"/>
                <w:lang w:eastAsia="zh-CN"/>
              </w:rPr>
              <w:t>，未提供或不</w:t>
            </w:r>
            <w:r>
              <w:rPr>
                <w:rFonts w:hint="eastAsia" w:ascii="仿宋" w:hAnsi="仿宋" w:eastAsia="仿宋" w:cs="仿宋"/>
                <w:color w:val="auto"/>
                <w:kern w:val="0"/>
                <w:sz w:val="24"/>
                <w:highlight w:val="none"/>
              </w:rPr>
              <w:t>符合要求不得分）</w:t>
            </w:r>
          </w:p>
        </w:tc>
        <w:tc>
          <w:tcPr>
            <w:tcW w:w="799" w:type="dxa"/>
            <w:shd w:val="clear" w:color="auto" w:fill="auto"/>
            <w:vAlign w:val="center"/>
          </w:tcPr>
          <w:p w14:paraId="6E8DA702">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0-10</w:t>
            </w:r>
          </w:p>
        </w:tc>
        <w:tc>
          <w:tcPr>
            <w:tcW w:w="998" w:type="dxa"/>
            <w:shd w:val="clear" w:color="auto" w:fill="auto"/>
            <w:vAlign w:val="center"/>
          </w:tcPr>
          <w:p w14:paraId="32A8FF67">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rPr>
              <w:t>客观分</w:t>
            </w:r>
          </w:p>
        </w:tc>
      </w:tr>
      <w:tr w14:paraId="1266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shd w:val="clear" w:color="auto" w:fill="auto"/>
          </w:tcPr>
          <w:p w14:paraId="38867853">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技术服务分</w:t>
            </w:r>
          </w:p>
        </w:tc>
        <w:tc>
          <w:tcPr>
            <w:tcW w:w="804" w:type="dxa"/>
            <w:shd w:val="clear" w:color="auto" w:fill="auto"/>
            <w:vAlign w:val="center"/>
          </w:tcPr>
          <w:p w14:paraId="33273F6C">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vMerge w:val="restart"/>
            <w:shd w:val="clear" w:color="auto" w:fill="auto"/>
            <w:vAlign w:val="center"/>
          </w:tcPr>
          <w:p w14:paraId="328F4596">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s="Times New Roman"/>
                <w:color w:val="auto"/>
                <w:spacing w:val="-6"/>
                <w:kern w:val="0"/>
                <w:sz w:val="24"/>
                <w:highlight w:val="none"/>
              </w:rPr>
              <w:t>本项目整体的可行性方案</w:t>
            </w:r>
          </w:p>
        </w:tc>
        <w:tc>
          <w:tcPr>
            <w:tcW w:w="5202" w:type="dxa"/>
            <w:shd w:val="clear" w:color="auto" w:fill="auto"/>
          </w:tcPr>
          <w:p w14:paraId="0B2FAC09">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spacing w:val="-6"/>
                <w:kern w:val="0"/>
                <w:sz w:val="24"/>
                <w:szCs w:val="24"/>
                <w:highlight w:val="none"/>
              </w:rPr>
              <w:t>根据投标人投标文件中对于服务时间、窗口开设率</w:t>
            </w:r>
            <w:r>
              <w:rPr>
                <w:rFonts w:hint="eastAsia" w:ascii="仿宋" w:hAnsi="仿宋" w:eastAsia="仿宋"/>
                <w:color w:val="auto"/>
                <w:spacing w:val="-6"/>
                <w:kern w:val="0"/>
                <w:sz w:val="24"/>
                <w:szCs w:val="24"/>
                <w:highlight w:val="none"/>
                <w:lang w:val="en-US" w:eastAsia="zh-CN"/>
              </w:rPr>
              <w:t>等</w:t>
            </w:r>
            <w:r>
              <w:rPr>
                <w:rFonts w:hint="eastAsia" w:ascii="仿宋" w:hAnsi="仿宋" w:eastAsia="仿宋"/>
                <w:color w:val="auto"/>
                <w:spacing w:val="-6"/>
                <w:kern w:val="0"/>
                <w:sz w:val="24"/>
                <w:szCs w:val="24"/>
                <w:highlight w:val="none"/>
              </w:rPr>
              <w:t>方案，根据方案的完整性及投标人对该食堂服务需求的把握程度，评标委员会综合评分。方案内容完整且与项目匹配度好的得</w:t>
            </w:r>
            <w:r>
              <w:rPr>
                <w:rFonts w:hint="eastAsia" w:ascii="仿宋" w:hAnsi="仿宋" w:eastAsia="仿宋"/>
                <w:color w:val="auto"/>
                <w:spacing w:val="-6"/>
                <w:kern w:val="0"/>
                <w:sz w:val="24"/>
                <w:szCs w:val="24"/>
                <w:highlight w:val="none"/>
                <w:lang w:val="en-US" w:eastAsia="zh-CN"/>
              </w:rPr>
              <w:t>5</w:t>
            </w:r>
            <w:r>
              <w:rPr>
                <w:rFonts w:hint="eastAsia" w:ascii="仿宋" w:hAnsi="仿宋" w:eastAsia="仿宋"/>
                <w:color w:val="auto"/>
                <w:spacing w:val="-6"/>
                <w:kern w:val="0"/>
                <w:sz w:val="24"/>
                <w:szCs w:val="24"/>
                <w:highlight w:val="none"/>
              </w:rPr>
              <w:t>分；方案内容基本完整且与项目匹配度较好的得</w:t>
            </w:r>
            <w:r>
              <w:rPr>
                <w:rFonts w:hint="eastAsia" w:ascii="仿宋" w:hAnsi="仿宋" w:eastAsia="仿宋"/>
                <w:color w:val="auto"/>
                <w:spacing w:val="-6"/>
                <w:kern w:val="0"/>
                <w:sz w:val="24"/>
                <w:szCs w:val="24"/>
                <w:highlight w:val="none"/>
                <w:lang w:val="en-US" w:eastAsia="zh-CN"/>
              </w:rPr>
              <w:t>3</w:t>
            </w:r>
            <w:r>
              <w:rPr>
                <w:rFonts w:hint="eastAsia" w:ascii="仿宋" w:hAnsi="仿宋" w:eastAsia="仿宋"/>
                <w:color w:val="auto"/>
                <w:spacing w:val="-6"/>
                <w:kern w:val="0"/>
                <w:sz w:val="24"/>
                <w:szCs w:val="24"/>
                <w:highlight w:val="none"/>
              </w:rPr>
              <w:t>分；方案内容存在欠缺或与项目匹配度一般的得</w:t>
            </w:r>
            <w:r>
              <w:rPr>
                <w:rFonts w:hint="eastAsia" w:ascii="仿宋" w:hAnsi="仿宋" w:eastAsia="仿宋"/>
                <w:color w:val="auto"/>
                <w:spacing w:val="-6"/>
                <w:kern w:val="0"/>
                <w:sz w:val="24"/>
                <w:szCs w:val="24"/>
                <w:highlight w:val="none"/>
                <w:lang w:val="en-US" w:eastAsia="zh-CN"/>
              </w:rPr>
              <w:t>1</w:t>
            </w:r>
            <w:r>
              <w:rPr>
                <w:rFonts w:hint="eastAsia" w:ascii="仿宋" w:hAnsi="仿宋" w:eastAsia="仿宋"/>
                <w:color w:val="auto"/>
                <w:spacing w:val="-6"/>
                <w:kern w:val="0"/>
                <w:sz w:val="24"/>
                <w:szCs w:val="24"/>
                <w:highlight w:val="none"/>
              </w:rPr>
              <w:t>分；方案内容缺失严重或与项目不匹配的不得分。</w:t>
            </w:r>
          </w:p>
        </w:tc>
        <w:tc>
          <w:tcPr>
            <w:tcW w:w="799" w:type="dxa"/>
            <w:shd w:val="clear" w:color="auto" w:fill="auto"/>
            <w:vAlign w:val="center"/>
          </w:tcPr>
          <w:p w14:paraId="4EB63F79">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0-5</w:t>
            </w:r>
          </w:p>
        </w:tc>
        <w:tc>
          <w:tcPr>
            <w:tcW w:w="998" w:type="dxa"/>
            <w:shd w:val="clear" w:color="auto" w:fill="auto"/>
            <w:vAlign w:val="center"/>
          </w:tcPr>
          <w:p w14:paraId="2EAF9046">
            <w:pPr>
              <w:widowControl/>
              <w:adjustRightInd/>
              <w:spacing w:after="0" w:line="240" w:lineRule="auto"/>
              <w:jc w:val="left"/>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r w14:paraId="62DF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709" w:type="dxa"/>
            <w:vMerge w:val="continue"/>
            <w:shd w:val="clear" w:color="auto" w:fill="auto"/>
          </w:tcPr>
          <w:p w14:paraId="389412A1">
            <w:pPr>
              <w:widowControl/>
              <w:adjustRightInd/>
              <w:spacing w:after="0" w:line="240" w:lineRule="auto"/>
              <w:jc w:val="left"/>
              <w:rPr>
                <w:rFonts w:hint="eastAsia" w:ascii="仿宋" w:hAnsi="仿宋" w:eastAsia="仿宋"/>
                <w:color w:val="auto"/>
                <w:kern w:val="0"/>
                <w:sz w:val="24"/>
                <w:highlight w:val="none"/>
              </w:rPr>
            </w:pPr>
          </w:p>
        </w:tc>
        <w:tc>
          <w:tcPr>
            <w:tcW w:w="804" w:type="dxa"/>
            <w:shd w:val="clear" w:color="auto" w:fill="auto"/>
            <w:vAlign w:val="center"/>
          </w:tcPr>
          <w:p w14:paraId="4C4B2398">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vMerge w:val="continue"/>
            <w:shd w:val="clear" w:color="auto" w:fill="auto"/>
            <w:vAlign w:val="center"/>
          </w:tcPr>
          <w:p w14:paraId="254943C2">
            <w:pPr>
              <w:widowControl/>
              <w:adjustRightInd/>
              <w:spacing w:after="0" w:line="240" w:lineRule="auto"/>
              <w:jc w:val="center"/>
              <w:rPr>
                <w:rFonts w:hint="eastAsia" w:ascii="仿宋" w:hAnsi="仿宋" w:eastAsia="仿宋" w:cs="仿宋"/>
                <w:color w:val="auto"/>
                <w:kern w:val="0"/>
                <w:sz w:val="24"/>
                <w:highlight w:val="none"/>
              </w:rPr>
            </w:pPr>
          </w:p>
        </w:tc>
        <w:tc>
          <w:tcPr>
            <w:tcW w:w="5202" w:type="dxa"/>
            <w:shd w:val="clear" w:color="auto" w:fill="auto"/>
          </w:tcPr>
          <w:p w14:paraId="0A3E1E56">
            <w:pPr>
              <w:widowControl/>
              <w:adjustRightInd/>
              <w:spacing w:after="0" w:line="240" w:lineRule="auto"/>
              <w:jc w:val="left"/>
              <w:rPr>
                <w:rFonts w:hint="eastAsia" w:ascii="仿宋" w:hAnsi="仿宋" w:eastAsia="仿宋" w:cs="仿宋"/>
                <w:color w:val="auto"/>
                <w:kern w:val="0"/>
                <w:sz w:val="24"/>
                <w:highlight w:val="none"/>
              </w:rPr>
            </w:pPr>
            <w:r>
              <w:rPr>
                <w:rFonts w:hint="eastAsia" w:ascii="仿宋" w:hAnsi="仿宋" w:eastAsia="仿宋"/>
                <w:color w:val="auto"/>
                <w:spacing w:val="-6"/>
                <w:kern w:val="0"/>
                <w:sz w:val="24"/>
                <w:szCs w:val="24"/>
                <w:highlight w:val="none"/>
              </w:rPr>
              <w:t>根据投标人投标文件中菜色品种以及提供特色服务方案，评标委员会综合评分。方案内容完整且与项目匹配度好的得</w:t>
            </w:r>
            <w:r>
              <w:rPr>
                <w:rFonts w:hint="eastAsia" w:ascii="仿宋" w:hAnsi="仿宋" w:eastAsia="仿宋"/>
                <w:color w:val="auto"/>
                <w:spacing w:val="-6"/>
                <w:kern w:val="0"/>
                <w:sz w:val="24"/>
                <w:szCs w:val="24"/>
                <w:highlight w:val="none"/>
                <w:lang w:val="en-US" w:eastAsia="zh-CN"/>
              </w:rPr>
              <w:t>5</w:t>
            </w:r>
            <w:r>
              <w:rPr>
                <w:rFonts w:hint="eastAsia" w:ascii="仿宋" w:hAnsi="仿宋" w:eastAsia="仿宋"/>
                <w:color w:val="auto"/>
                <w:spacing w:val="-6"/>
                <w:kern w:val="0"/>
                <w:sz w:val="24"/>
                <w:szCs w:val="24"/>
                <w:highlight w:val="none"/>
              </w:rPr>
              <w:t>分；方案内容基本完整且与项目匹配度较好的得</w:t>
            </w:r>
            <w:r>
              <w:rPr>
                <w:rFonts w:hint="eastAsia" w:ascii="仿宋" w:hAnsi="仿宋" w:eastAsia="仿宋"/>
                <w:color w:val="auto"/>
                <w:spacing w:val="-6"/>
                <w:kern w:val="0"/>
                <w:sz w:val="24"/>
                <w:szCs w:val="24"/>
                <w:highlight w:val="none"/>
                <w:lang w:val="en-US" w:eastAsia="zh-CN"/>
              </w:rPr>
              <w:t>3</w:t>
            </w:r>
            <w:r>
              <w:rPr>
                <w:rFonts w:hint="eastAsia" w:ascii="仿宋" w:hAnsi="仿宋" w:eastAsia="仿宋"/>
                <w:color w:val="auto"/>
                <w:spacing w:val="-6"/>
                <w:kern w:val="0"/>
                <w:sz w:val="24"/>
                <w:szCs w:val="24"/>
                <w:highlight w:val="none"/>
              </w:rPr>
              <w:t>分；方案内容存在欠缺或与项目匹配度一般的得</w:t>
            </w:r>
            <w:r>
              <w:rPr>
                <w:rFonts w:hint="eastAsia" w:ascii="仿宋" w:hAnsi="仿宋" w:eastAsia="仿宋"/>
                <w:color w:val="auto"/>
                <w:spacing w:val="-6"/>
                <w:kern w:val="0"/>
                <w:sz w:val="24"/>
                <w:szCs w:val="24"/>
                <w:highlight w:val="none"/>
                <w:lang w:val="en-US" w:eastAsia="zh-CN"/>
              </w:rPr>
              <w:t>1</w:t>
            </w:r>
            <w:r>
              <w:rPr>
                <w:rFonts w:hint="eastAsia" w:ascii="仿宋" w:hAnsi="仿宋" w:eastAsia="仿宋"/>
                <w:color w:val="auto"/>
                <w:spacing w:val="-6"/>
                <w:kern w:val="0"/>
                <w:sz w:val="24"/>
                <w:szCs w:val="24"/>
                <w:highlight w:val="none"/>
              </w:rPr>
              <w:t>分；方案内容缺失严重或与项目不匹配的不得分。</w:t>
            </w:r>
          </w:p>
        </w:tc>
        <w:tc>
          <w:tcPr>
            <w:tcW w:w="799" w:type="dxa"/>
            <w:shd w:val="clear" w:color="auto" w:fill="auto"/>
            <w:vAlign w:val="center"/>
          </w:tcPr>
          <w:p w14:paraId="270D7D79">
            <w:pPr>
              <w:widowControl/>
              <w:adjustRightInd/>
              <w:spacing w:after="0" w:line="240" w:lineRule="auto"/>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0-5</w:t>
            </w:r>
          </w:p>
        </w:tc>
        <w:tc>
          <w:tcPr>
            <w:tcW w:w="998" w:type="dxa"/>
            <w:shd w:val="clear" w:color="auto" w:fill="auto"/>
            <w:vAlign w:val="center"/>
          </w:tcPr>
          <w:p w14:paraId="581B1B94">
            <w:pPr>
              <w:widowControl/>
              <w:adjustRightInd/>
              <w:spacing w:after="0" w:line="240" w:lineRule="auto"/>
              <w:jc w:val="left"/>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r w14:paraId="02B2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709" w:type="dxa"/>
            <w:vMerge w:val="continue"/>
            <w:shd w:val="clear" w:color="auto" w:fill="auto"/>
          </w:tcPr>
          <w:p w14:paraId="249A783B">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0217BF13">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vMerge w:val="restart"/>
            <w:shd w:val="clear" w:color="auto" w:fill="auto"/>
            <w:vAlign w:val="center"/>
          </w:tcPr>
          <w:p w14:paraId="45A4FDF5">
            <w:pPr>
              <w:keepNext w:val="0"/>
              <w:keepLines w:val="0"/>
              <w:pageBreakBefore w:val="0"/>
              <w:widowControl w:val="0"/>
              <w:kinsoku/>
              <w:wordWrap/>
              <w:overflowPunct/>
              <w:topLinePunct w:val="0"/>
              <w:bidi w:val="0"/>
              <w:adjustRightInd w:val="0"/>
              <w:snapToGrid w:val="0"/>
              <w:spacing w:after="0" w:line="240" w:lineRule="auto"/>
              <w:ind w:firstLine="0" w:firstLineChars="0"/>
              <w:jc w:val="both"/>
              <w:textAlignment w:val="auto"/>
              <w:rPr>
                <w:rFonts w:ascii="宋体" w:hAnsi="宋体" w:eastAsia="宋体"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服务质量保证情况</w:t>
            </w:r>
          </w:p>
        </w:tc>
        <w:tc>
          <w:tcPr>
            <w:tcW w:w="5202" w:type="dxa"/>
            <w:shd w:val="clear" w:color="auto" w:fill="auto"/>
          </w:tcPr>
          <w:p w14:paraId="145618A1">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spacing w:val="-6"/>
                <w:kern w:val="0"/>
                <w:sz w:val="24"/>
                <w:szCs w:val="24"/>
                <w:highlight w:val="none"/>
              </w:rPr>
              <w:t>根据投标人的方案，针对本项目设计菜品、质量保证方案，制定可行的产品质量控制方案，评标委员会综合评定。方案内容完整且与项目匹配度好的得</w:t>
            </w:r>
            <w:r>
              <w:rPr>
                <w:rFonts w:hint="eastAsia" w:ascii="仿宋" w:hAnsi="仿宋" w:eastAsia="仿宋"/>
                <w:color w:val="auto"/>
                <w:spacing w:val="-6"/>
                <w:kern w:val="0"/>
                <w:sz w:val="24"/>
                <w:szCs w:val="24"/>
                <w:highlight w:val="none"/>
                <w:lang w:val="en-US" w:eastAsia="zh-CN"/>
              </w:rPr>
              <w:t>5</w:t>
            </w:r>
            <w:r>
              <w:rPr>
                <w:rFonts w:hint="eastAsia" w:ascii="仿宋" w:hAnsi="仿宋" w:eastAsia="仿宋"/>
                <w:color w:val="auto"/>
                <w:spacing w:val="-6"/>
                <w:kern w:val="0"/>
                <w:sz w:val="24"/>
                <w:szCs w:val="24"/>
                <w:highlight w:val="none"/>
              </w:rPr>
              <w:t>分；方案内容基本完整且与项目匹配度较好的得</w:t>
            </w:r>
            <w:r>
              <w:rPr>
                <w:rFonts w:hint="eastAsia" w:ascii="仿宋" w:hAnsi="仿宋" w:eastAsia="仿宋"/>
                <w:color w:val="auto"/>
                <w:spacing w:val="-6"/>
                <w:kern w:val="0"/>
                <w:sz w:val="24"/>
                <w:szCs w:val="24"/>
                <w:highlight w:val="none"/>
                <w:lang w:val="en-US" w:eastAsia="zh-CN"/>
              </w:rPr>
              <w:t>3</w:t>
            </w:r>
            <w:r>
              <w:rPr>
                <w:rFonts w:hint="eastAsia" w:ascii="仿宋" w:hAnsi="仿宋" w:eastAsia="仿宋"/>
                <w:color w:val="auto"/>
                <w:spacing w:val="-6"/>
                <w:kern w:val="0"/>
                <w:sz w:val="24"/>
                <w:szCs w:val="24"/>
                <w:highlight w:val="none"/>
              </w:rPr>
              <w:t>分；方案内容存在欠缺或与项目匹配度一般的得</w:t>
            </w:r>
            <w:r>
              <w:rPr>
                <w:rFonts w:hint="eastAsia" w:ascii="仿宋" w:hAnsi="仿宋" w:eastAsia="仿宋"/>
                <w:color w:val="auto"/>
                <w:spacing w:val="-6"/>
                <w:kern w:val="0"/>
                <w:sz w:val="24"/>
                <w:szCs w:val="24"/>
                <w:highlight w:val="none"/>
                <w:lang w:val="en-US" w:eastAsia="zh-CN"/>
              </w:rPr>
              <w:t>1</w:t>
            </w:r>
            <w:r>
              <w:rPr>
                <w:rFonts w:hint="eastAsia" w:ascii="仿宋" w:hAnsi="仿宋" w:eastAsia="仿宋"/>
                <w:color w:val="auto"/>
                <w:spacing w:val="-6"/>
                <w:kern w:val="0"/>
                <w:sz w:val="24"/>
                <w:szCs w:val="24"/>
                <w:highlight w:val="none"/>
              </w:rPr>
              <w:t>分；方案内容缺失严重或与项目不匹配的不得分。</w:t>
            </w:r>
          </w:p>
        </w:tc>
        <w:tc>
          <w:tcPr>
            <w:tcW w:w="799" w:type="dxa"/>
            <w:shd w:val="clear" w:color="auto" w:fill="auto"/>
            <w:vAlign w:val="center"/>
          </w:tcPr>
          <w:p w14:paraId="07B773E0">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0-5</w:t>
            </w:r>
          </w:p>
        </w:tc>
        <w:tc>
          <w:tcPr>
            <w:tcW w:w="998" w:type="dxa"/>
            <w:shd w:val="clear" w:color="auto" w:fill="auto"/>
            <w:vAlign w:val="center"/>
          </w:tcPr>
          <w:p w14:paraId="60FE78DD">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主观分</w:t>
            </w:r>
          </w:p>
        </w:tc>
      </w:tr>
      <w:tr w14:paraId="05F6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6BAD1729">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11D1BF04">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vMerge w:val="continue"/>
            <w:shd w:val="clear" w:color="auto" w:fill="auto"/>
            <w:vAlign w:val="center"/>
          </w:tcPr>
          <w:p w14:paraId="173E9A07">
            <w:pPr>
              <w:widowControl/>
              <w:adjustRightInd/>
              <w:spacing w:after="0" w:line="240" w:lineRule="auto"/>
              <w:jc w:val="center"/>
              <w:rPr>
                <w:rFonts w:ascii="仿宋" w:hAnsi="仿宋" w:eastAsia="仿宋"/>
                <w:color w:val="auto"/>
                <w:kern w:val="0"/>
                <w:sz w:val="24"/>
                <w:highlight w:val="none"/>
              </w:rPr>
            </w:pPr>
          </w:p>
        </w:tc>
        <w:tc>
          <w:tcPr>
            <w:tcW w:w="5202" w:type="dxa"/>
            <w:shd w:val="clear" w:color="auto" w:fill="auto"/>
          </w:tcPr>
          <w:p w14:paraId="6BC0597F">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spacing w:val="-6"/>
                <w:kern w:val="0"/>
                <w:sz w:val="24"/>
                <w:szCs w:val="24"/>
                <w:highlight w:val="none"/>
              </w:rPr>
              <w:t>根据投标人方案，对餐厅经营的定位、餐厅经营措施、餐厅经营的流程设计</w:t>
            </w:r>
            <w:r>
              <w:rPr>
                <w:rFonts w:hint="eastAsia" w:ascii="仿宋" w:hAnsi="仿宋" w:eastAsia="仿宋"/>
                <w:color w:val="auto"/>
                <w:spacing w:val="-6"/>
                <w:kern w:val="0"/>
                <w:sz w:val="24"/>
                <w:szCs w:val="24"/>
                <w:highlight w:val="none"/>
                <w:lang w:eastAsia="zh-CN"/>
              </w:rPr>
              <w:t>、</w:t>
            </w:r>
            <w:r>
              <w:rPr>
                <w:rFonts w:hint="eastAsia" w:ascii="仿宋" w:hAnsi="仿宋" w:eastAsia="仿宋"/>
                <w:color w:val="auto"/>
                <w:spacing w:val="-6"/>
                <w:kern w:val="0"/>
                <w:sz w:val="24"/>
                <w:szCs w:val="24"/>
                <w:highlight w:val="none"/>
                <w:lang w:val="en-US" w:eastAsia="zh-CN"/>
              </w:rPr>
              <w:t>增值服务</w:t>
            </w:r>
            <w:r>
              <w:rPr>
                <w:rFonts w:hint="eastAsia" w:ascii="仿宋" w:hAnsi="仿宋" w:eastAsia="仿宋"/>
                <w:color w:val="auto"/>
                <w:spacing w:val="-6"/>
                <w:kern w:val="0"/>
                <w:sz w:val="24"/>
                <w:szCs w:val="24"/>
                <w:highlight w:val="none"/>
              </w:rPr>
              <w:t>等方面内容，评标委员会综合评分。方案内容完整且与项目匹配度好的得</w:t>
            </w:r>
            <w:r>
              <w:rPr>
                <w:rFonts w:hint="eastAsia" w:ascii="仿宋" w:hAnsi="仿宋" w:eastAsia="仿宋"/>
                <w:color w:val="auto"/>
                <w:spacing w:val="-6"/>
                <w:kern w:val="0"/>
                <w:sz w:val="24"/>
                <w:szCs w:val="24"/>
                <w:highlight w:val="none"/>
                <w:lang w:val="en-US" w:eastAsia="zh-CN"/>
              </w:rPr>
              <w:t>5</w:t>
            </w:r>
            <w:r>
              <w:rPr>
                <w:rFonts w:hint="eastAsia" w:ascii="仿宋" w:hAnsi="仿宋" w:eastAsia="仿宋"/>
                <w:color w:val="auto"/>
                <w:spacing w:val="-6"/>
                <w:kern w:val="0"/>
                <w:sz w:val="24"/>
                <w:szCs w:val="24"/>
                <w:highlight w:val="none"/>
              </w:rPr>
              <w:t>分；方案内容基本完整且与项目匹配度较好的得</w:t>
            </w:r>
            <w:r>
              <w:rPr>
                <w:rFonts w:hint="eastAsia" w:ascii="仿宋" w:hAnsi="仿宋" w:eastAsia="仿宋"/>
                <w:color w:val="auto"/>
                <w:spacing w:val="-6"/>
                <w:kern w:val="0"/>
                <w:sz w:val="24"/>
                <w:szCs w:val="24"/>
                <w:highlight w:val="none"/>
                <w:lang w:val="en-US" w:eastAsia="zh-CN"/>
              </w:rPr>
              <w:t>3</w:t>
            </w:r>
            <w:r>
              <w:rPr>
                <w:rFonts w:hint="eastAsia" w:ascii="仿宋" w:hAnsi="仿宋" w:eastAsia="仿宋"/>
                <w:color w:val="auto"/>
                <w:spacing w:val="-6"/>
                <w:kern w:val="0"/>
                <w:sz w:val="24"/>
                <w:szCs w:val="24"/>
                <w:highlight w:val="none"/>
              </w:rPr>
              <w:t>分；方案内容存在欠缺或与项目匹配度一般的得</w:t>
            </w:r>
            <w:r>
              <w:rPr>
                <w:rFonts w:hint="eastAsia" w:ascii="仿宋" w:hAnsi="仿宋" w:eastAsia="仿宋"/>
                <w:color w:val="auto"/>
                <w:spacing w:val="-6"/>
                <w:kern w:val="0"/>
                <w:sz w:val="24"/>
                <w:szCs w:val="24"/>
                <w:highlight w:val="none"/>
                <w:lang w:val="en-US" w:eastAsia="zh-CN"/>
              </w:rPr>
              <w:t>1</w:t>
            </w:r>
            <w:r>
              <w:rPr>
                <w:rFonts w:hint="eastAsia" w:ascii="仿宋" w:hAnsi="仿宋" w:eastAsia="仿宋"/>
                <w:color w:val="auto"/>
                <w:spacing w:val="-6"/>
                <w:kern w:val="0"/>
                <w:sz w:val="24"/>
                <w:szCs w:val="24"/>
                <w:highlight w:val="none"/>
              </w:rPr>
              <w:t>分；方案内容缺失严重或与项目不匹配的不得分。</w:t>
            </w:r>
          </w:p>
        </w:tc>
        <w:tc>
          <w:tcPr>
            <w:tcW w:w="799" w:type="dxa"/>
            <w:shd w:val="clear" w:color="auto" w:fill="auto"/>
            <w:vAlign w:val="center"/>
          </w:tcPr>
          <w:p w14:paraId="3C807FF4">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spacing w:val="-6"/>
                <w:kern w:val="0"/>
                <w:sz w:val="24"/>
                <w:szCs w:val="24"/>
                <w:highlight w:val="none"/>
                <w:lang w:val="en-US" w:eastAsia="zh-CN"/>
              </w:rPr>
              <w:t>0-5</w:t>
            </w:r>
          </w:p>
        </w:tc>
        <w:tc>
          <w:tcPr>
            <w:tcW w:w="998" w:type="dxa"/>
            <w:shd w:val="clear" w:color="auto" w:fill="auto"/>
            <w:vAlign w:val="center"/>
          </w:tcPr>
          <w:p w14:paraId="4FAC66BE">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主观分</w:t>
            </w:r>
          </w:p>
        </w:tc>
      </w:tr>
      <w:tr w14:paraId="270A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709" w:type="dxa"/>
            <w:vMerge w:val="continue"/>
            <w:shd w:val="clear" w:color="auto" w:fill="auto"/>
          </w:tcPr>
          <w:p w14:paraId="072BEC69">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7F9B5704">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shd w:val="clear" w:color="auto" w:fill="auto"/>
            <w:vAlign w:val="center"/>
          </w:tcPr>
          <w:p w14:paraId="6BC8F706">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spacing w:val="-6"/>
                <w:kern w:val="0"/>
                <w:sz w:val="24"/>
                <w:szCs w:val="24"/>
                <w:highlight w:val="none"/>
              </w:rPr>
              <w:t>食品安全、生产安全的风险分析及可行控制方案</w:t>
            </w:r>
          </w:p>
        </w:tc>
        <w:tc>
          <w:tcPr>
            <w:tcW w:w="5202" w:type="dxa"/>
            <w:shd w:val="clear" w:color="auto" w:fill="auto"/>
          </w:tcPr>
          <w:p w14:paraId="78F33C90">
            <w:pPr>
              <w:widowControl/>
              <w:adjustRightInd/>
              <w:spacing w:after="0" w:line="240" w:lineRule="auto"/>
              <w:jc w:val="left"/>
              <w:rPr>
                <w:rFonts w:hint="eastAsia" w:ascii="仿宋" w:hAnsi="仿宋" w:eastAsia="仿宋"/>
                <w:color w:val="auto"/>
                <w:spacing w:val="-6"/>
                <w:kern w:val="0"/>
                <w:sz w:val="24"/>
                <w:szCs w:val="24"/>
                <w:highlight w:val="none"/>
              </w:rPr>
            </w:pPr>
            <w:r>
              <w:rPr>
                <w:rFonts w:hint="eastAsia" w:ascii="仿宋" w:hAnsi="仿宋" w:eastAsia="仿宋"/>
                <w:color w:val="auto"/>
                <w:spacing w:val="-6"/>
                <w:kern w:val="0"/>
                <w:sz w:val="24"/>
                <w:szCs w:val="24"/>
                <w:highlight w:val="none"/>
              </w:rPr>
              <w:t>根据投标人提供的方案的相关内容，对食堂风险的分析，对食品安全的保障措施及应急预案的科学合理性，在安全方案的内控机制及能力，综合评分。方案内容完整且与项目匹配度好的得</w:t>
            </w:r>
            <w:r>
              <w:rPr>
                <w:rFonts w:hint="eastAsia" w:ascii="仿宋" w:hAnsi="仿宋" w:eastAsia="仿宋"/>
                <w:color w:val="auto"/>
                <w:spacing w:val="-6"/>
                <w:kern w:val="0"/>
                <w:sz w:val="24"/>
                <w:szCs w:val="24"/>
                <w:highlight w:val="none"/>
                <w:lang w:val="en-US" w:eastAsia="zh-CN"/>
              </w:rPr>
              <w:t>5</w:t>
            </w:r>
            <w:r>
              <w:rPr>
                <w:rFonts w:hint="eastAsia" w:ascii="仿宋" w:hAnsi="仿宋" w:eastAsia="仿宋"/>
                <w:color w:val="auto"/>
                <w:spacing w:val="-6"/>
                <w:kern w:val="0"/>
                <w:sz w:val="24"/>
                <w:szCs w:val="24"/>
                <w:highlight w:val="none"/>
              </w:rPr>
              <w:t>分；方案内容基本完整且与项目匹配度较好的得</w:t>
            </w:r>
            <w:r>
              <w:rPr>
                <w:rFonts w:hint="eastAsia" w:ascii="仿宋" w:hAnsi="仿宋" w:eastAsia="仿宋"/>
                <w:color w:val="auto"/>
                <w:spacing w:val="-6"/>
                <w:kern w:val="0"/>
                <w:sz w:val="24"/>
                <w:szCs w:val="24"/>
                <w:highlight w:val="none"/>
                <w:lang w:val="en-US" w:eastAsia="zh-CN"/>
              </w:rPr>
              <w:t>5</w:t>
            </w:r>
            <w:r>
              <w:rPr>
                <w:rFonts w:hint="eastAsia" w:ascii="仿宋" w:hAnsi="仿宋" w:eastAsia="仿宋"/>
                <w:color w:val="auto"/>
                <w:spacing w:val="-6"/>
                <w:kern w:val="0"/>
                <w:sz w:val="24"/>
                <w:szCs w:val="24"/>
                <w:highlight w:val="none"/>
              </w:rPr>
              <w:t>分；方案内容存在欠缺或与项目匹配度一般的得</w:t>
            </w:r>
            <w:r>
              <w:rPr>
                <w:rFonts w:hint="eastAsia" w:ascii="仿宋" w:hAnsi="仿宋" w:eastAsia="仿宋"/>
                <w:color w:val="auto"/>
                <w:spacing w:val="-6"/>
                <w:kern w:val="0"/>
                <w:sz w:val="24"/>
                <w:szCs w:val="24"/>
                <w:highlight w:val="none"/>
                <w:lang w:val="en-US" w:eastAsia="zh-CN"/>
              </w:rPr>
              <w:t>1</w:t>
            </w:r>
            <w:r>
              <w:rPr>
                <w:rFonts w:hint="eastAsia" w:ascii="仿宋" w:hAnsi="仿宋" w:eastAsia="仿宋"/>
                <w:color w:val="auto"/>
                <w:spacing w:val="-6"/>
                <w:kern w:val="0"/>
                <w:sz w:val="24"/>
                <w:szCs w:val="24"/>
                <w:highlight w:val="none"/>
              </w:rPr>
              <w:t>分；方案内容缺失严重或与项目不匹配的不得分。</w:t>
            </w:r>
          </w:p>
        </w:tc>
        <w:tc>
          <w:tcPr>
            <w:tcW w:w="799" w:type="dxa"/>
            <w:shd w:val="clear" w:color="auto" w:fill="auto"/>
            <w:vAlign w:val="center"/>
          </w:tcPr>
          <w:p w14:paraId="06000391">
            <w:pPr>
              <w:widowControl/>
              <w:adjustRightInd/>
              <w:spacing w:after="0" w:line="240" w:lineRule="auto"/>
              <w:jc w:val="center"/>
              <w:rPr>
                <w:rFonts w:hint="default" w:ascii="仿宋" w:hAnsi="仿宋" w:eastAsia="仿宋"/>
                <w:color w:val="auto"/>
                <w:spacing w:val="-6"/>
                <w:kern w:val="0"/>
                <w:sz w:val="24"/>
                <w:szCs w:val="24"/>
                <w:highlight w:val="none"/>
                <w:lang w:val="en-US" w:eastAsia="zh-CN"/>
              </w:rPr>
            </w:pPr>
            <w:r>
              <w:rPr>
                <w:rFonts w:hint="eastAsia" w:ascii="仿宋" w:hAnsi="仿宋" w:eastAsia="仿宋"/>
                <w:color w:val="auto"/>
                <w:spacing w:val="-6"/>
                <w:kern w:val="0"/>
                <w:sz w:val="24"/>
                <w:szCs w:val="24"/>
                <w:highlight w:val="none"/>
                <w:lang w:val="en-US" w:eastAsia="zh-CN"/>
              </w:rPr>
              <w:t>0-5</w:t>
            </w:r>
          </w:p>
        </w:tc>
        <w:tc>
          <w:tcPr>
            <w:tcW w:w="998" w:type="dxa"/>
            <w:shd w:val="clear" w:color="auto" w:fill="auto"/>
            <w:vAlign w:val="center"/>
          </w:tcPr>
          <w:p w14:paraId="7D4EC321">
            <w:pPr>
              <w:widowControl/>
              <w:adjustRightInd/>
              <w:spacing w:after="0" w:line="240" w:lineRule="auto"/>
              <w:jc w:val="left"/>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r w14:paraId="4D5F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2624CBEF">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4E6FF99D">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vMerge w:val="restart"/>
            <w:shd w:val="clear" w:color="auto" w:fill="auto"/>
            <w:vAlign w:val="center"/>
          </w:tcPr>
          <w:p w14:paraId="3484DE8F">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s="Times New Roman"/>
                <w:color w:val="auto"/>
                <w:kern w:val="0"/>
                <w:sz w:val="24"/>
                <w:highlight w:val="none"/>
              </w:rPr>
              <w:t>保证进度和项目完成的方案和措施等综合评定</w:t>
            </w:r>
          </w:p>
        </w:tc>
        <w:tc>
          <w:tcPr>
            <w:tcW w:w="5202" w:type="dxa"/>
            <w:shd w:val="clear" w:color="auto" w:fill="auto"/>
          </w:tcPr>
          <w:p w14:paraId="4080199D">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rPr>
              <w:t>投标人具备完整的各项管理制度，包括卫生管理制度、食品安全管理制度、综合治理管理制度、突发性事件处置制度方案的综合评定</w:t>
            </w:r>
            <w:r>
              <w:rPr>
                <w:rFonts w:hint="eastAsia" w:ascii="仿宋" w:hAnsi="仿宋" w:eastAsia="仿宋"/>
                <w:bCs/>
                <w:color w:val="auto"/>
                <w:kern w:val="0"/>
                <w:sz w:val="24"/>
                <w:highlight w:val="none"/>
              </w:rPr>
              <w:t>。方案内容完整且与项目匹配度好的得</w:t>
            </w:r>
            <w:r>
              <w:rPr>
                <w:rFonts w:hint="eastAsia" w:ascii="仿宋" w:hAnsi="仿宋" w:eastAsia="仿宋"/>
                <w:bCs/>
                <w:color w:val="auto"/>
                <w:kern w:val="0"/>
                <w:sz w:val="24"/>
                <w:highlight w:val="none"/>
                <w:lang w:val="en-US" w:eastAsia="zh-CN"/>
              </w:rPr>
              <w:t>6</w:t>
            </w:r>
            <w:r>
              <w:rPr>
                <w:rFonts w:hint="eastAsia" w:ascii="仿宋" w:hAnsi="仿宋" w:eastAsia="仿宋"/>
                <w:bCs/>
                <w:color w:val="auto"/>
                <w:kern w:val="0"/>
                <w:sz w:val="24"/>
                <w:highlight w:val="none"/>
              </w:rPr>
              <w:t>分；方案内容基本完整且与项目匹配度较好的得</w:t>
            </w:r>
            <w:r>
              <w:rPr>
                <w:rFonts w:hint="eastAsia" w:ascii="仿宋" w:hAnsi="仿宋" w:eastAsia="仿宋"/>
                <w:bCs/>
                <w:color w:val="auto"/>
                <w:kern w:val="0"/>
                <w:sz w:val="24"/>
                <w:highlight w:val="none"/>
                <w:lang w:val="en-US" w:eastAsia="zh-CN"/>
              </w:rPr>
              <w:t>4</w:t>
            </w:r>
            <w:r>
              <w:rPr>
                <w:rFonts w:hint="eastAsia" w:ascii="仿宋" w:hAnsi="仿宋" w:eastAsia="仿宋"/>
                <w:bCs/>
                <w:color w:val="auto"/>
                <w:kern w:val="0"/>
                <w:sz w:val="24"/>
                <w:highlight w:val="none"/>
              </w:rPr>
              <w:t>分；方案内容存在欠缺或与项目匹配度一般的得</w:t>
            </w:r>
            <w:r>
              <w:rPr>
                <w:rFonts w:hint="eastAsia" w:ascii="仿宋" w:hAnsi="仿宋" w:eastAsia="仿宋"/>
                <w:bCs/>
                <w:color w:val="auto"/>
                <w:kern w:val="0"/>
                <w:sz w:val="24"/>
                <w:highlight w:val="none"/>
                <w:lang w:val="en-US" w:eastAsia="zh-CN"/>
              </w:rPr>
              <w:t>2</w:t>
            </w:r>
            <w:r>
              <w:rPr>
                <w:rFonts w:hint="eastAsia" w:ascii="仿宋" w:hAnsi="仿宋" w:eastAsia="仿宋"/>
                <w:bCs/>
                <w:color w:val="auto"/>
                <w:kern w:val="0"/>
                <w:sz w:val="24"/>
                <w:highlight w:val="none"/>
              </w:rPr>
              <w:t>分；方案内容缺失严重或与项目不匹配的不得分。</w:t>
            </w:r>
          </w:p>
        </w:tc>
        <w:tc>
          <w:tcPr>
            <w:tcW w:w="799" w:type="dxa"/>
            <w:shd w:val="clear" w:color="auto" w:fill="auto"/>
            <w:vAlign w:val="center"/>
          </w:tcPr>
          <w:p w14:paraId="4B8C13B8">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bCs/>
                <w:color w:val="auto"/>
                <w:kern w:val="0"/>
                <w:sz w:val="24"/>
                <w:highlight w:val="none"/>
                <w:lang w:val="en-US" w:eastAsia="zh-CN"/>
              </w:rPr>
              <w:t>0-6</w:t>
            </w:r>
          </w:p>
        </w:tc>
        <w:tc>
          <w:tcPr>
            <w:tcW w:w="998" w:type="dxa"/>
            <w:shd w:val="clear" w:color="auto" w:fill="auto"/>
            <w:vAlign w:val="center"/>
          </w:tcPr>
          <w:p w14:paraId="60440823">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主观分</w:t>
            </w:r>
          </w:p>
        </w:tc>
      </w:tr>
      <w:tr w14:paraId="389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3C794160">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56E365C4">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vMerge w:val="continue"/>
            <w:shd w:val="clear" w:color="auto" w:fill="auto"/>
            <w:vAlign w:val="center"/>
          </w:tcPr>
          <w:p w14:paraId="6E83258C">
            <w:pPr>
              <w:widowControl/>
              <w:adjustRightInd/>
              <w:spacing w:after="0" w:line="240" w:lineRule="auto"/>
              <w:jc w:val="left"/>
              <w:rPr>
                <w:rFonts w:hint="eastAsia" w:ascii="仿宋" w:hAnsi="仿宋" w:eastAsia="仿宋" w:cs="仿宋"/>
                <w:color w:val="auto"/>
                <w:kern w:val="0"/>
                <w:sz w:val="24"/>
                <w:highlight w:val="none"/>
              </w:rPr>
            </w:pPr>
          </w:p>
        </w:tc>
        <w:tc>
          <w:tcPr>
            <w:tcW w:w="5202" w:type="dxa"/>
            <w:shd w:val="clear" w:color="auto" w:fill="auto"/>
          </w:tcPr>
          <w:p w14:paraId="0D0DF81B">
            <w:pPr>
              <w:widowControl/>
              <w:adjustRightInd/>
              <w:spacing w:after="0" w:line="240" w:lineRule="auto"/>
              <w:jc w:val="left"/>
              <w:rPr>
                <w:rFonts w:hint="eastAsia" w:ascii="仿宋" w:hAnsi="仿宋" w:eastAsia="仿宋" w:cs="仿宋"/>
                <w:color w:val="auto"/>
                <w:kern w:val="0"/>
                <w:sz w:val="24"/>
                <w:highlight w:val="none"/>
              </w:rPr>
            </w:pPr>
            <w:r>
              <w:rPr>
                <w:rFonts w:hint="eastAsia" w:ascii="仿宋" w:hAnsi="仿宋" w:eastAsia="仿宋"/>
                <w:color w:val="auto"/>
                <w:kern w:val="0"/>
                <w:sz w:val="24"/>
                <w:highlight w:val="none"/>
              </w:rPr>
              <w:t>投标人具备完整的各项管理制度，包括公众服务制度、内部岗位责任制度、管理运作制度、员工考核制度、成本核算方案的综合评定</w:t>
            </w:r>
            <w:r>
              <w:rPr>
                <w:rFonts w:hint="eastAsia" w:ascii="仿宋" w:hAnsi="仿宋" w:eastAsia="仿宋"/>
                <w:bCs/>
                <w:color w:val="auto"/>
                <w:kern w:val="0"/>
                <w:sz w:val="24"/>
                <w:highlight w:val="none"/>
              </w:rPr>
              <w:t>。方案内容完整且与项目匹配度好的得</w:t>
            </w:r>
            <w:r>
              <w:rPr>
                <w:rFonts w:hint="eastAsia" w:ascii="仿宋" w:hAnsi="仿宋" w:eastAsia="仿宋"/>
                <w:bCs/>
                <w:color w:val="auto"/>
                <w:kern w:val="0"/>
                <w:sz w:val="24"/>
                <w:highlight w:val="none"/>
                <w:lang w:val="en-US" w:eastAsia="zh-CN"/>
              </w:rPr>
              <w:t>6</w:t>
            </w:r>
            <w:r>
              <w:rPr>
                <w:rFonts w:hint="eastAsia" w:ascii="仿宋" w:hAnsi="仿宋" w:eastAsia="仿宋"/>
                <w:bCs/>
                <w:color w:val="auto"/>
                <w:kern w:val="0"/>
                <w:sz w:val="24"/>
                <w:highlight w:val="none"/>
              </w:rPr>
              <w:t>分；方案内容基本完整且与项目匹配度较好的得4分；方案内容存在欠缺或与项目匹配度一般的得2分；方案内容缺失严重或与项目不匹配的不得分。</w:t>
            </w:r>
          </w:p>
        </w:tc>
        <w:tc>
          <w:tcPr>
            <w:tcW w:w="799" w:type="dxa"/>
            <w:shd w:val="clear" w:color="auto" w:fill="auto"/>
            <w:vAlign w:val="center"/>
          </w:tcPr>
          <w:p w14:paraId="1EBBA497">
            <w:pPr>
              <w:widowControl/>
              <w:adjustRightInd/>
              <w:spacing w:after="0" w:line="240" w:lineRule="auto"/>
              <w:jc w:val="center"/>
              <w:rPr>
                <w:rFonts w:hint="eastAsia" w:ascii="仿宋" w:hAnsi="仿宋" w:eastAsia="仿宋"/>
                <w:color w:val="auto"/>
                <w:kern w:val="0"/>
                <w:sz w:val="24"/>
                <w:highlight w:val="none"/>
                <w:lang w:val="en-US" w:eastAsia="zh-CN"/>
              </w:rPr>
            </w:pPr>
            <w:r>
              <w:rPr>
                <w:rFonts w:hint="eastAsia" w:ascii="仿宋" w:hAnsi="仿宋" w:eastAsia="仿宋"/>
                <w:bCs/>
                <w:color w:val="auto"/>
                <w:kern w:val="0"/>
                <w:sz w:val="24"/>
                <w:highlight w:val="none"/>
                <w:lang w:val="en-US" w:eastAsia="zh-CN"/>
              </w:rPr>
              <w:t>0-6</w:t>
            </w:r>
          </w:p>
        </w:tc>
        <w:tc>
          <w:tcPr>
            <w:tcW w:w="998" w:type="dxa"/>
            <w:shd w:val="clear" w:color="auto" w:fill="auto"/>
            <w:vAlign w:val="center"/>
          </w:tcPr>
          <w:p w14:paraId="55EC2BCB">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主观分</w:t>
            </w:r>
          </w:p>
        </w:tc>
      </w:tr>
      <w:tr w14:paraId="0120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09" w:type="dxa"/>
            <w:vMerge w:val="continue"/>
            <w:shd w:val="clear" w:color="auto" w:fill="auto"/>
          </w:tcPr>
          <w:p w14:paraId="5C5B0442">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vMerge w:val="restart"/>
            <w:shd w:val="clear" w:color="auto" w:fill="auto"/>
            <w:vAlign w:val="center"/>
          </w:tcPr>
          <w:p w14:paraId="0CE7CA65">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vMerge w:val="restart"/>
            <w:shd w:val="clear" w:color="auto" w:fill="auto"/>
            <w:vAlign w:val="center"/>
          </w:tcPr>
          <w:p w14:paraId="0774C1AB">
            <w:pPr>
              <w:keepNext w:val="0"/>
              <w:keepLines w:val="0"/>
              <w:pageBreakBefore w:val="0"/>
              <w:widowControl w:val="0"/>
              <w:kinsoku/>
              <w:wordWrap/>
              <w:overflowPunct/>
              <w:topLinePunct w:val="0"/>
              <w:bidi w:val="0"/>
              <w:adjustRightInd w:val="0"/>
              <w:snapToGrid w:val="0"/>
              <w:spacing w:after="0" w:line="240" w:lineRule="auto"/>
              <w:ind w:firstLine="0" w:firstLineChars="0"/>
              <w:jc w:val="both"/>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项目负责人及技术力量安排等综合评定</w:t>
            </w:r>
          </w:p>
          <w:p w14:paraId="7287B691">
            <w:pPr>
              <w:widowControl/>
              <w:adjustRightInd/>
              <w:spacing w:after="0" w:line="240" w:lineRule="auto"/>
              <w:jc w:val="center"/>
              <w:rPr>
                <w:rFonts w:ascii="仿宋" w:hAnsi="仿宋" w:eastAsia="仿宋"/>
                <w:color w:val="auto"/>
                <w:kern w:val="0"/>
                <w:sz w:val="24"/>
                <w:highlight w:val="none"/>
              </w:rPr>
            </w:pPr>
          </w:p>
        </w:tc>
        <w:tc>
          <w:tcPr>
            <w:tcW w:w="5202" w:type="dxa"/>
            <w:shd w:val="clear" w:color="auto" w:fill="auto"/>
          </w:tcPr>
          <w:p w14:paraId="10F3EE22">
            <w:pPr>
              <w:widowControl/>
              <w:adjustRightInd/>
              <w:spacing w:after="0" w:line="240" w:lineRule="auto"/>
              <w:jc w:val="left"/>
              <w:rPr>
                <w:rFonts w:hint="eastAsia" w:ascii="仿宋" w:hAnsi="仿宋" w:eastAsia="仿宋"/>
                <w:color w:val="auto"/>
                <w:spacing w:val="-6"/>
                <w:kern w:val="0"/>
                <w:sz w:val="24"/>
                <w:szCs w:val="24"/>
                <w:highlight w:val="none"/>
              </w:rPr>
            </w:pPr>
            <w:r>
              <w:rPr>
                <w:rFonts w:hint="eastAsia" w:ascii="仿宋" w:hAnsi="仿宋" w:eastAsia="仿宋"/>
                <w:color w:val="auto"/>
                <w:spacing w:val="-6"/>
                <w:kern w:val="0"/>
                <w:sz w:val="24"/>
                <w:szCs w:val="24"/>
                <w:highlight w:val="none"/>
              </w:rPr>
              <w:t>（1）项目负责人</w:t>
            </w:r>
            <w:r>
              <w:rPr>
                <w:rFonts w:hint="eastAsia" w:ascii="仿宋" w:hAnsi="仿宋" w:eastAsia="仿宋"/>
                <w:color w:val="auto"/>
                <w:spacing w:val="-6"/>
                <w:kern w:val="0"/>
                <w:sz w:val="24"/>
                <w:szCs w:val="24"/>
                <w:highlight w:val="none"/>
                <w:lang w:val="en-US" w:eastAsia="zh-CN"/>
              </w:rPr>
              <w:t>50周岁下</w:t>
            </w:r>
            <w:r>
              <w:rPr>
                <w:rFonts w:hint="eastAsia" w:ascii="仿宋" w:hAnsi="仿宋" w:eastAsia="仿宋"/>
                <w:color w:val="auto"/>
                <w:spacing w:val="-6"/>
                <w:kern w:val="0"/>
                <w:sz w:val="24"/>
                <w:szCs w:val="24"/>
                <w:highlight w:val="none"/>
              </w:rPr>
              <w:t>具有</w:t>
            </w:r>
            <w:r>
              <w:rPr>
                <w:rFonts w:hint="eastAsia" w:ascii="仿宋" w:hAnsi="仿宋" w:eastAsia="仿宋"/>
                <w:color w:val="auto"/>
                <w:spacing w:val="-6"/>
                <w:kern w:val="0"/>
                <w:sz w:val="24"/>
                <w:szCs w:val="24"/>
                <w:highlight w:val="none"/>
                <w:lang w:val="en-US" w:eastAsia="zh-CN"/>
              </w:rPr>
              <w:t>本科及以上</w:t>
            </w:r>
            <w:r>
              <w:rPr>
                <w:rFonts w:hint="eastAsia" w:ascii="仿宋" w:hAnsi="仿宋" w:eastAsia="仿宋"/>
                <w:color w:val="auto"/>
                <w:spacing w:val="-6"/>
                <w:kern w:val="0"/>
                <w:sz w:val="24"/>
                <w:szCs w:val="24"/>
                <w:highlight w:val="none"/>
              </w:rPr>
              <w:t>学历</w:t>
            </w:r>
            <w:r>
              <w:rPr>
                <w:rFonts w:hint="eastAsia" w:ascii="仿宋" w:hAnsi="仿宋" w:eastAsia="仿宋"/>
                <w:color w:val="auto"/>
                <w:spacing w:val="-6"/>
                <w:kern w:val="0"/>
                <w:sz w:val="24"/>
                <w:szCs w:val="24"/>
                <w:highlight w:val="none"/>
                <w:lang w:val="en-US" w:eastAsia="zh-CN"/>
              </w:rPr>
              <w:t>的得2分</w:t>
            </w:r>
            <w:r>
              <w:rPr>
                <w:rFonts w:hint="eastAsia" w:ascii="仿宋" w:hAnsi="仿宋" w:eastAsia="仿宋"/>
                <w:color w:val="auto"/>
                <w:spacing w:val="-6"/>
                <w:kern w:val="0"/>
                <w:sz w:val="24"/>
                <w:szCs w:val="24"/>
                <w:highlight w:val="none"/>
              </w:rPr>
              <w:t>；</w:t>
            </w:r>
            <w:r>
              <w:rPr>
                <w:rFonts w:hint="eastAsia" w:ascii="仿宋" w:hAnsi="仿宋" w:eastAsia="仿宋"/>
                <w:color w:val="auto"/>
                <w:spacing w:val="-6"/>
                <w:kern w:val="0"/>
                <w:sz w:val="24"/>
                <w:szCs w:val="24"/>
                <w:highlight w:val="none"/>
                <w:lang w:eastAsia="zh-CN"/>
              </w:rPr>
              <w:t>被评为杭州市F级以上人才的得2分，</w:t>
            </w:r>
            <w:r>
              <w:rPr>
                <w:rFonts w:hint="eastAsia" w:ascii="仿宋" w:hAnsi="仿宋" w:eastAsia="仿宋"/>
                <w:color w:val="auto"/>
                <w:spacing w:val="-6"/>
                <w:kern w:val="0"/>
                <w:sz w:val="24"/>
                <w:szCs w:val="24"/>
                <w:highlight w:val="none"/>
                <w:lang w:val="en-US" w:eastAsia="zh-CN"/>
              </w:rPr>
              <w:t>本项最高得4分。（需提供近6个月</w:t>
            </w:r>
            <w:r>
              <w:rPr>
                <w:rFonts w:hint="eastAsia" w:ascii="宋体" w:hAnsi="宋体" w:eastAsia="仿宋"/>
                <w:color w:val="auto"/>
                <w:kern w:val="0"/>
                <w:sz w:val="24"/>
                <w:highlight w:val="none"/>
                <w:lang w:val="en-US" w:eastAsia="zh-CN"/>
              </w:rPr>
              <w:t>本单位社会保险证明及</w:t>
            </w:r>
            <w:r>
              <w:rPr>
                <w:rFonts w:hint="eastAsia" w:ascii="仿宋" w:hAnsi="仿宋" w:eastAsia="仿宋"/>
                <w:color w:val="auto"/>
                <w:spacing w:val="-6"/>
                <w:kern w:val="0"/>
                <w:sz w:val="24"/>
                <w:szCs w:val="24"/>
                <w:highlight w:val="none"/>
                <w:lang w:val="en-US" w:eastAsia="zh-CN"/>
              </w:rPr>
              <w:t>相关证书复印件）</w:t>
            </w:r>
          </w:p>
        </w:tc>
        <w:tc>
          <w:tcPr>
            <w:tcW w:w="799" w:type="dxa"/>
            <w:shd w:val="clear" w:color="auto" w:fill="auto"/>
            <w:vAlign w:val="center"/>
          </w:tcPr>
          <w:p w14:paraId="2C1747FA">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0-4</w:t>
            </w:r>
          </w:p>
        </w:tc>
        <w:tc>
          <w:tcPr>
            <w:tcW w:w="998" w:type="dxa"/>
            <w:shd w:val="clear" w:color="auto" w:fill="auto"/>
            <w:vAlign w:val="center"/>
          </w:tcPr>
          <w:p w14:paraId="7AF488EC">
            <w:pPr>
              <w:widowControl/>
              <w:adjustRightInd/>
              <w:spacing w:after="0" w:line="24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客观分</w:t>
            </w:r>
          </w:p>
        </w:tc>
      </w:tr>
      <w:tr w14:paraId="0CB1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09" w:type="dxa"/>
            <w:vMerge w:val="continue"/>
            <w:shd w:val="clear" w:color="auto" w:fill="auto"/>
          </w:tcPr>
          <w:p w14:paraId="5F4E3C55">
            <w:pPr>
              <w:widowControl/>
              <w:adjustRightInd/>
              <w:spacing w:after="0" w:line="240" w:lineRule="auto"/>
              <w:jc w:val="left"/>
              <w:rPr>
                <w:rFonts w:ascii="仿宋" w:hAnsi="仿宋" w:eastAsia="仿宋"/>
                <w:color w:val="auto"/>
                <w:kern w:val="0"/>
                <w:sz w:val="24"/>
                <w:highlight w:val="none"/>
              </w:rPr>
            </w:pPr>
          </w:p>
        </w:tc>
        <w:tc>
          <w:tcPr>
            <w:tcW w:w="804" w:type="dxa"/>
            <w:vMerge w:val="continue"/>
            <w:shd w:val="clear" w:color="auto" w:fill="auto"/>
            <w:vAlign w:val="center"/>
          </w:tcPr>
          <w:p w14:paraId="39F711EE">
            <w:pPr>
              <w:widowControl/>
              <w:adjustRightInd/>
              <w:spacing w:after="0" w:line="240" w:lineRule="auto"/>
              <w:jc w:val="left"/>
              <w:rPr>
                <w:rFonts w:ascii="仿宋" w:hAnsi="仿宋" w:eastAsia="仿宋"/>
                <w:color w:val="auto"/>
                <w:kern w:val="0"/>
                <w:sz w:val="24"/>
                <w:highlight w:val="none"/>
              </w:rPr>
            </w:pPr>
          </w:p>
        </w:tc>
        <w:tc>
          <w:tcPr>
            <w:tcW w:w="968" w:type="dxa"/>
            <w:vMerge w:val="continue"/>
            <w:shd w:val="clear" w:color="auto" w:fill="auto"/>
            <w:vAlign w:val="center"/>
          </w:tcPr>
          <w:p w14:paraId="07AEA124">
            <w:pPr>
              <w:widowControl/>
              <w:adjustRightInd/>
              <w:spacing w:after="0" w:line="240" w:lineRule="auto"/>
              <w:jc w:val="left"/>
              <w:rPr>
                <w:rFonts w:ascii="仿宋" w:hAnsi="仿宋" w:eastAsia="仿宋"/>
                <w:color w:val="auto"/>
                <w:kern w:val="0"/>
                <w:sz w:val="24"/>
                <w:highlight w:val="none"/>
              </w:rPr>
            </w:pPr>
          </w:p>
        </w:tc>
        <w:tc>
          <w:tcPr>
            <w:tcW w:w="5202" w:type="dxa"/>
            <w:shd w:val="clear" w:color="auto" w:fill="auto"/>
          </w:tcPr>
          <w:p w14:paraId="60BA81AF">
            <w:pPr>
              <w:widowControl/>
              <w:numPr>
                <w:ilvl w:val="0"/>
                <w:numId w:val="9"/>
              </w:numPr>
              <w:adjustRightInd/>
              <w:spacing w:after="0" w:line="240" w:lineRule="auto"/>
              <w:jc w:val="left"/>
              <w:rPr>
                <w:rFonts w:hint="eastAsia" w:ascii="仿宋" w:hAnsi="仿宋" w:eastAsia="仿宋"/>
                <w:color w:val="auto"/>
                <w:spacing w:val="-6"/>
                <w:kern w:val="0"/>
                <w:sz w:val="24"/>
                <w:szCs w:val="24"/>
                <w:highlight w:val="none"/>
              </w:rPr>
            </w:pPr>
            <w:r>
              <w:rPr>
                <w:rFonts w:hint="eastAsia" w:ascii="仿宋" w:hAnsi="仿宋" w:eastAsia="仿宋"/>
                <w:color w:val="auto"/>
                <w:spacing w:val="-6"/>
                <w:kern w:val="0"/>
                <w:sz w:val="24"/>
                <w:szCs w:val="24"/>
                <w:highlight w:val="none"/>
              </w:rPr>
              <w:t>厨师长</w:t>
            </w:r>
            <w:r>
              <w:rPr>
                <w:rFonts w:hint="eastAsia" w:ascii="仿宋" w:hAnsi="仿宋" w:eastAsia="仿宋"/>
                <w:color w:val="auto"/>
                <w:spacing w:val="-6"/>
                <w:kern w:val="0"/>
                <w:sz w:val="24"/>
                <w:szCs w:val="24"/>
                <w:highlight w:val="none"/>
                <w:lang w:val="en-US" w:eastAsia="zh-CN"/>
              </w:rPr>
              <w:t>具有</w:t>
            </w:r>
            <w:r>
              <w:rPr>
                <w:rFonts w:hint="eastAsia" w:ascii="仿宋" w:hAnsi="仿宋" w:eastAsia="仿宋"/>
                <w:color w:val="auto"/>
                <w:spacing w:val="-6"/>
                <w:kern w:val="0"/>
                <w:sz w:val="24"/>
                <w:szCs w:val="24"/>
                <w:highlight w:val="none"/>
              </w:rPr>
              <w:t>三级厨师（中式烹饪师）以上证书的得2分</w:t>
            </w:r>
            <w:r>
              <w:rPr>
                <w:rFonts w:hint="eastAsia" w:ascii="仿宋" w:hAnsi="仿宋" w:eastAsia="仿宋"/>
                <w:color w:val="auto"/>
                <w:spacing w:val="-6"/>
                <w:kern w:val="0"/>
                <w:sz w:val="24"/>
                <w:szCs w:val="24"/>
                <w:highlight w:val="none"/>
                <w:lang w:eastAsia="zh-CN"/>
              </w:rPr>
              <w:t>。</w:t>
            </w:r>
            <w:r>
              <w:rPr>
                <w:rFonts w:hint="eastAsia" w:ascii="仿宋" w:hAnsi="仿宋" w:eastAsia="仿宋"/>
                <w:color w:val="auto"/>
                <w:spacing w:val="-6"/>
                <w:kern w:val="0"/>
                <w:sz w:val="24"/>
                <w:szCs w:val="24"/>
                <w:highlight w:val="none"/>
              </w:rPr>
              <w:t>（需提供近</w:t>
            </w:r>
            <w:r>
              <w:rPr>
                <w:rFonts w:hint="eastAsia" w:ascii="仿宋" w:hAnsi="仿宋" w:eastAsia="仿宋"/>
                <w:color w:val="auto"/>
                <w:spacing w:val="-6"/>
                <w:kern w:val="0"/>
                <w:sz w:val="24"/>
                <w:szCs w:val="24"/>
                <w:highlight w:val="none"/>
                <w:lang w:val="en-US" w:eastAsia="zh-CN"/>
              </w:rPr>
              <w:t>6</w:t>
            </w:r>
            <w:r>
              <w:rPr>
                <w:rFonts w:hint="eastAsia" w:ascii="仿宋" w:hAnsi="仿宋" w:eastAsia="仿宋"/>
                <w:color w:val="auto"/>
                <w:spacing w:val="-6"/>
                <w:kern w:val="0"/>
                <w:sz w:val="24"/>
                <w:szCs w:val="24"/>
                <w:highlight w:val="none"/>
              </w:rPr>
              <w:t>个月本单位社会保险证明及相关证书复印件）</w:t>
            </w:r>
          </w:p>
          <w:p w14:paraId="65222E81">
            <w:pPr>
              <w:widowControl/>
              <w:numPr>
                <w:ilvl w:val="0"/>
                <w:numId w:val="9"/>
              </w:numPr>
              <w:adjustRightInd/>
              <w:spacing w:after="0" w:line="240" w:lineRule="auto"/>
              <w:jc w:val="left"/>
              <w:rPr>
                <w:rFonts w:hint="eastAsia" w:ascii="仿宋" w:hAnsi="仿宋" w:eastAsia="仿宋"/>
                <w:color w:val="auto"/>
                <w:spacing w:val="-6"/>
                <w:kern w:val="0"/>
                <w:sz w:val="24"/>
                <w:szCs w:val="24"/>
                <w:highlight w:val="none"/>
              </w:rPr>
            </w:pPr>
            <w:r>
              <w:rPr>
                <w:rFonts w:hint="eastAsia" w:ascii="仿宋" w:hAnsi="仿宋" w:eastAsia="仿宋" w:cs="仿宋"/>
                <w:color w:val="auto"/>
                <w:sz w:val="24"/>
                <w:highlight w:val="none"/>
              </w:rPr>
              <w:t>主厨、</w:t>
            </w:r>
            <w:r>
              <w:rPr>
                <w:rFonts w:hint="eastAsia" w:ascii="仿宋" w:hAnsi="仿宋" w:eastAsia="仿宋" w:cs="仿宋"/>
                <w:color w:val="auto"/>
                <w:sz w:val="24"/>
                <w:highlight w:val="none"/>
                <w:lang w:val="en-US" w:eastAsia="zh-CN"/>
              </w:rPr>
              <w:t>或</w:t>
            </w:r>
            <w:r>
              <w:rPr>
                <w:rFonts w:hint="eastAsia" w:ascii="仿宋" w:hAnsi="仿宋" w:eastAsia="仿宋" w:cs="仿宋"/>
                <w:color w:val="auto"/>
                <w:kern w:val="0"/>
                <w:sz w:val="24"/>
                <w:szCs w:val="24"/>
                <w:highlight w:val="none"/>
                <w:lang w:val="zh-CN"/>
              </w:rPr>
              <w:t>副厨</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面点师等服务人员具有劳动部门颁发的厨师、面点师等级技能资格证书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每人得2分，最多4分</w:t>
            </w:r>
            <w:r>
              <w:rPr>
                <w:rFonts w:hint="eastAsia" w:ascii="仿宋" w:hAnsi="仿宋" w:eastAsia="仿宋" w:cs="仿宋"/>
                <w:color w:val="auto"/>
                <w:sz w:val="24"/>
                <w:highlight w:val="none"/>
              </w:rPr>
              <w:t>。</w:t>
            </w:r>
          </w:p>
        </w:tc>
        <w:tc>
          <w:tcPr>
            <w:tcW w:w="799" w:type="dxa"/>
            <w:shd w:val="clear" w:color="auto" w:fill="auto"/>
            <w:vAlign w:val="center"/>
          </w:tcPr>
          <w:p w14:paraId="5D56410B">
            <w:pPr>
              <w:widowControl/>
              <w:adjustRightInd/>
              <w:spacing w:after="0" w:line="240" w:lineRule="auto"/>
              <w:jc w:val="center"/>
              <w:rPr>
                <w:rFonts w:hint="default" w:ascii="仿宋" w:hAnsi="仿宋" w:eastAsia="仿宋"/>
                <w:color w:val="auto"/>
                <w:spacing w:val="-6"/>
                <w:kern w:val="0"/>
                <w:sz w:val="24"/>
                <w:szCs w:val="24"/>
                <w:highlight w:val="none"/>
                <w:lang w:val="en-US" w:eastAsia="zh-CN"/>
              </w:rPr>
            </w:pPr>
            <w:r>
              <w:rPr>
                <w:rFonts w:hint="eastAsia" w:ascii="仿宋" w:hAnsi="仿宋" w:eastAsia="仿宋"/>
                <w:color w:val="auto"/>
                <w:spacing w:val="-6"/>
                <w:kern w:val="0"/>
                <w:sz w:val="24"/>
                <w:szCs w:val="24"/>
                <w:highlight w:val="none"/>
                <w:lang w:val="en-US" w:eastAsia="zh-CN"/>
              </w:rPr>
              <w:t>0-6</w:t>
            </w:r>
          </w:p>
        </w:tc>
        <w:tc>
          <w:tcPr>
            <w:tcW w:w="998" w:type="dxa"/>
            <w:shd w:val="clear" w:color="auto" w:fill="auto"/>
            <w:vAlign w:val="center"/>
          </w:tcPr>
          <w:p w14:paraId="7F3A778A">
            <w:pPr>
              <w:widowControl/>
              <w:adjustRightInd/>
              <w:spacing w:after="0" w:line="240" w:lineRule="auto"/>
              <w:jc w:val="left"/>
              <w:rPr>
                <w:rFonts w:hint="eastAsia" w:ascii="仿宋" w:hAnsi="仿宋" w:eastAsia="仿宋"/>
                <w:color w:val="auto"/>
                <w:spacing w:val="-6"/>
                <w:kern w:val="0"/>
                <w:sz w:val="24"/>
                <w:szCs w:val="24"/>
                <w:highlight w:val="none"/>
              </w:rPr>
            </w:pPr>
            <w:r>
              <w:rPr>
                <w:rFonts w:hint="eastAsia" w:ascii="仿宋" w:hAnsi="仿宋" w:eastAsia="仿宋"/>
                <w:color w:val="auto"/>
                <w:kern w:val="0"/>
                <w:sz w:val="24"/>
                <w:highlight w:val="none"/>
              </w:rPr>
              <w:t>客观分</w:t>
            </w:r>
          </w:p>
        </w:tc>
      </w:tr>
      <w:tr w14:paraId="6076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09" w:type="dxa"/>
            <w:vMerge w:val="continue"/>
            <w:shd w:val="clear" w:color="auto" w:fill="auto"/>
          </w:tcPr>
          <w:p w14:paraId="2CDCF458">
            <w:pPr>
              <w:widowControl/>
              <w:adjustRightInd/>
              <w:spacing w:after="0" w:line="240" w:lineRule="auto"/>
              <w:jc w:val="left"/>
              <w:rPr>
                <w:rFonts w:hint="eastAsia" w:ascii="仿宋" w:hAnsi="仿宋" w:eastAsia="仿宋"/>
                <w:color w:val="auto"/>
                <w:spacing w:val="-6"/>
                <w:kern w:val="0"/>
                <w:sz w:val="24"/>
                <w:szCs w:val="24"/>
                <w:highlight w:val="none"/>
              </w:rPr>
            </w:pPr>
          </w:p>
        </w:tc>
        <w:tc>
          <w:tcPr>
            <w:tcW w:w="804" w:type="dxa"/>
            <w:vMerge w:val="continue"/>
            <w:shd w:val="clear" w:color="auto" w:fill="auto"/>
            <w:vAlign w:val="center"/>
          </w:tcPr>
          <w:p w14:paraId="7E995629">
            <w:pPr>
              <w:widowControl/>
              <w:adjustRightInd/>
              <w:spacing w:after="0" w:line="240" w:lineRule="auto"/>
              <w:jc w:val="left"/>
              <w:rPr>
                <w:rFonts w:hint="eastAsia" w:ascii="仿宋" w:hAnsi="仿宋" w:eastAsia="仿宋"/>
                <w:color w:val="auto"/>
                <w:spacing w:val="-6"/>
                <w:kern w:val="0"/>
                <w:sz w:val="24"/>
                <w:szCs w:val="24"/>
                <w:highlight w:val="none"/>
              </w:rPr>
            </w:pPr>
          </w:p>
        </w:tc>
        <w:tc>
          <w:tcPr>
            <w:tcW w:w="968" w:type="dxa"/>
            <w:vMerge w:val="continue"/>
            <w:shd w:val="clear" w:color="auto" w:fill="auto"/>
            <w:vAlign w:val="center"/>
          </w:tcPr>
          <w:p w14:paraId="0030AC86">
            <w:pPr>
              <w:widowControl/>
              <w:adjustRightInd/>
              <w:spacing w:after="0" w:line="240" w:lineRule="auto"/>
              <w:jc w:val="left"/>
              <w:rPr>
                <w:rFonts w:hint="eastAsia" w:ascii="仿宋" w:hAnsi="仿宋" w:eastAsia="仿宋"/>
                <w:color w:val="auto"/>
                <w:spacing w:val="-6"/>
                <w:kern w:val="0"/>
                <w:sz w:val="24"/>
                <w:szCs w:val="24"/>
                <w:highlight w:val="none"/>
              </w:rPr>
            </w:pPr>
          </w:p>
        </w:tc>
        <w:tc>
          <w:tcPr>
            <w:tcW w:w="5202" w:type="dxa"/>
            <w:shd w:val="clear" w:color="auto" w:fill="auto"/>
          </w:tcPr>
          <w:p w14:paraId="0B015763">
            <w:pPr>
              <w:widowControl/>
              <w:adjustRightInd/>
              <w:spacing w:after="0" w:line="240" w:lineRule="auto"/>
              <w:jc w:val="left"/>
              <w:rPr>
                <w:rFonts w:hint="eastAsia" w:ascii="仿宋" w:hAnsi="仿宋" w:eastAsia="仿宋"/>
                <w:color w:val="auto"/>
                <w:spacing w:val="-6"/>
                <w:kern w:val="0"/>
                <w:sz w:val="24"/>
                <w:szCs w:val="24"/>
                <w:highlight w:val="none"/>
              </w:rPr>
            </w:pPr>
            <w:r>
              <w:rPr>
                <w:rFonts w:hint="eastAsia" w:ascii="仿宋" w:hAnsi="仿宋" w:eastAsia="仿宋"/>
                <w:color w:val="auto"/>
                <w:spacing w:val="-6"/>
                <w:kern w:val="0"/>
                <w:sz w:val="24"/>
                <w:szCs w:val="24"/>
                <w:highlight w:val="none"/>
                <w:lang w:eastAsia="zh-CN"/>
              </w:rPr>
              <w:t>（</w:t>
            </w:r>
            <w:r>
              <w:rPr>
                <w:rFonts w:hint="eastAsia" w:ascii="仿宋" w:hAnsi="仿宋" w:eastAsia="仿宋"/>
                <w:color w:val="auto"/>
                <w:spacing w:val="-6"/>
                <w:kern w:val="0"/>
                <w:sz w:val="24"/>
                <w:szCs w:val="24"/>
                <w:highlight w:val="none"/>
                <w:lang w:val="en-US" w:eastAsia="zh-CN"/>
              </w:rPr>
              <w:t>4</w:t>
            </w:r>
            <w:r>
              <w:rPr>
                <w:rFonts w:hint="eastAsia" w:ascii="仿宋" w:hAnsi="仿宋" w:eastAsia="仿宋"/>
                <w:color w:val="auto"/>
                <w:spacing w:val="-6"/>
                <w:kern w:val="0"/>
                <w:sz w:val="24"/>
                <w:szCs w:val="24"/>
                <w:highlight w:val="none"/>
                <w:lang w:eastAsia="zh-CN"/>
              </w:rPr>
              <w:t>）</w:t>
            </w:r>
            <w:r>
              <w:rPr>
                <w:rFonts w:hint="eastAsia" w:ascii="仿宋" w:hAnsi="仿宋" w:eastAsia="仿宋"/>
                <w:color w:val="auto"/>
                <w:spacing w:val="-6"/>
                <w:kern w:val="0"/>
                <w:sz w:val="24"/>
                <w:szCs w:val="24"/>
                <w:highlight w:val="none"/>
              </w:rPr>
              <w:t>项目人员</w:t>
            </w:r>
            <w:r>
              <w:rPr>
                <w:rFonts w:hint="eastAsia" w:ascii="仿宋" w:hAnsi="仿宋" w:eastAsia="仿宋"/>
                <w:color w:val="auto"/>
                <w:spacing w:val="-6"/>
                <w:kern w:val="0"/>
                <w:sz w:val="24"/>
                <w:szCs w:val="24"/>
                <w:highlight w:val="none"/>
                <w:lang w:eastAsia="zh-CN"/>
              </w:rPr>
              <w:t>：</w:t>
            </w:r>
            <w:r>
              <w:rPr>
                <w:rFonts w:hint="eastAsia" w:ascii="仿宋" w:hAnsi="仿宋" w:eastAsia="仿宋"/>
                <w:color w:val="auto"/>
                <w:spacing w:val="-6"/>
                <w:kern w:val="0"/>
                <w:sz w:val="24"/>
                <w:szCs w:val="24"/>
                <w:highlight w:val="none"/>
              </w:rPr>
              <w:t>根据</w:t>
            </w:r>
            <w:r>
              <w:rPr>
                <w:rFonts w:hint="eastAsia" w:ascii="仿宋" w:hAnsi="仿宋" w:eastAsia="仿宋"/>
                <w:color w:val="auto"/>
                <w:spacing w:val="-6"/>
                <w:kern w:val="0"/>
                <w:sz w:val="24"/>
                <w:szCs w:val="24"/>
                <w:highlight w:val="none"/>
                <w:lang w:val="en-US" w:eastAsia="zh-CN"/>
              </w:rPr>
              <w:t>投入项目人员方案的</w:t>
            </w:r>
            <w:r>
              <w:rPr>
                <w:rFonts w:hint="eastAsia" w:ascii="仿宋" w:hAnsi="仿宋" w:eastAsia="仿宋"/>
                <w:color w:val="auto"/>
                <w:spacing w:val="-6"/>
                <w:kern w:val="0"/>
                <w:sz w:val="24"/>
                <w:szCs w:val="24"/>
                <w:highlight w:val="none"/>
              </w:rPr>
              <w:t>年龄、文化程度、社保购买情况</w:t>
            </w:r>
            <w:r>
              <w:rPr>
                <w:rFonts w:hint="eastAsia" w:ascii="仿宋" w:hAnsi="仿宋" w:eastAsia="仿宋"/>
                <w:color w:val="auto"/>
                <w:spacing w:val="-6"/>
                <w:kern w:val="0"/>
                <w:sz w:val="24"/>
                <w:szCs w:val="24"/>
                <w:highlight w:val="none"/>
                <w:lang w:val="en-US" w:eastAsia="zh-CN"/>
              </w:rPr>
              <w:t>等</w:t>
            </w:r>
            <w:r>
              <w:rPr>
                <w:rFonts w:hint="eastAsia" w:ascii="仿宋" w:hAnsi="仿宋" w:eastAsia="仿宋"/>
                <w:color w:val="auto"/>
                <w:spacing w:val="-6"/>
                <w:kern w:val="0"/>
                <w:sz w:val="24"/>
                <w:szCs w:val="24"/>
                <w:highlight w:val="none"/>
              </w:rPr>
              <w:t>综合评定。</w:t>
            </w:r>
            <w:r>
              <w:rPr>
                <w:rFonts w:hint="eastAsia" w:ascii="仿宋" w:hAnsi="仿宋" w:eastAsia="仿宋" w:cs="仿宋"/>
                <w:color w:val="auto"/>
                <w:kern w:val="0"/>
                <w:sz w:val="24"/>
                <w:highlight w:val="none"/>
              </w:rPr>
              <w:t>方案内容完整且与项目匹配度好的得5分；方案内容基本完整且与项目匹配度较好的得4分；方案内容存在欠缺或与项目匹配度一般的得2分；方案内容缺失严重或与项目不匹配的不得分。</w:t>
            </w:r>
          </w:p>
        </w:tc>
        <w:tc>
          <w:tcPr>
            <w:tcW w:w="799" w:type="dxa"/>
            <w:shd w:val="clear" w:color="auto" w:fill="auto"/>
            <w:vAlign w:val="center"/>
          </w:tcPr>
          <w:p w14:paraId="41069465">
            <w:pPr>
              <w:widowControl/>
              <w:adjustRightInd/>
              <w:spacing w:after="0" w:line="240" w:lineRule="auto"/>
              <w:jc w:val="center"/>
              <w:rPr>
                <w:rFonts w:hint="default" w:ascii="仿宋" w:hAnsi="仿宋" w:eastAsia="仿宋"/>
                <w:color w:val="auto"/>
                <w:spacing w:val="-6"/>
                <w:kern w:val="0"/>
                <w:sz w:val="24"/>
                <w:szCs w:val="24"/>
                <w:highlight w:val="none"/>
                <w:lang w:val="en-US" w:eastAsia="zh-CN"/>
              </w:rPr>
            </w:pPr>
            <w:r>
              <w:rPr>
                <w:rFonts w:hint="eastAsia" w:ascii="仿宋" w:hAnsi="仿宋" w:eastAsia="仿宋"/>
                <w:color w:val="auto"/>
                <w:spacing w:val="-6"/>
                <w:kern w:val="0"/>
                <w:sz w:val="24"/>
                <w:szCs w:val="24"/>
                <w:highlight w:val="none"/>
                <w:lang w:val="en-US" w:eastAsia="zh-CN"/>
              </w:rPr>
              <w:t>0-5</w:t>
            </w:r>
          </w:p>
        </w:tc>
        <w:tc>
          <w:tcPr>
            <w:tcW w:w="998" w:type="dxa"/>
            <w:shd w:val="clear" w:color="auto" w:fill="auto"/>
            <w:vAlign w:val="center"/>
          </w:tcPr>
          <w:p w14:paraId="79FB3DD4">
            <w:pPr>
              <w:widowControl/>
              <w:adjustRightInd/>
              <w:spacing w:after="0" w:line="240" w:lineRule="auto"/>
              <w:jc w:val="left"/>
              <w:rPr>
                <w:rFonts w:hint="eastAsia" w:ascii="仿宋" w:hAnsi="仿宋" w:eastAsia="仿宋"/>
                <w:color w:val="auto"/>
                <w:spacing w:val="-6"/>
                <w:kern w:val="0"/>
                <w:sz w:val="24"/>
                <w:szCs w:val="24"/>
                <w:highlight w:val="none"/>
              </w:rPr>
            </w:pPr>
            <w:r>
              <w:rPr>
                <w:rFonts w:hint="eastAsia" w:ascii="仿宋" w:hAnsi="仿宋" w:eastAsia="仿宋"/>
                <w:color w:val="auto"/>
                <w:kern w:val="0"/>
                <w:sz w:val="24"/>
                <w:highlight w:val="none"/>
                <w:lang w:val="en-US" w:eastAsia="zh-CN"/>
              </w:rPr>
              <w:t>主观分</w:t>
            </w:r>
          </w:p>
        </w:tc>
      </w:tr>
      <w:tr w14:paraId="4F2F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7F516EF4">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662F21BC">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shd w:val="clear" w:color="auto" w:fill="auto"/>
            <w:vAlign w:val="center"/>
          </w:tcPr>
          <w:p w14:paraId="5C49572E">
            <w:pPr>
              <w:widowControl/>
              <w:adjustRightInd/>
              <w:spacing w:after="0"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olor w:val="auto"/>
                <w:kern w:val="0"/>
                <w:sz w:val="24"/>
                <w:szCs w:val="24"/>
                <w:highlight w:val="none"/>
              </w:rPr>
              <w:t>合理化建议</w:t>
            </w:r>
          </w:p>
        </w:tc>
        <w:tc>
          <w:tcPr>
            <w:tcW w:w="5202" w:type="dxa"/>
            <w:shd w:val="clear" w:color="auto" w:fill="auto"/>
          </w:tcPr>
          <w:p w14:paraId="139873DC">
            <w:pPr>
              <w:widowControl/>
              <w:adjustRightInd/>
              <w:spacing w:after="0" w:line="240" w:lineRule="auto"/>
              <w:jc w:val="left"/>
              <w:rPr>
                <w:rFonts w:hint="eastAsia" w:ascii="仿宋" w:hAnsi="仿宋" w:eastAsia="仿宋"/>
                <w:color w:val="auto"/>
                <w:spacing w:val="-6"/>
                <w:kern w:val="0"/>
                <w:sz w:val="24"/>
                <w:szCs w:val="24"/>
                <w:highlight w:val="none"/>
                <w:lang w:eastAsia="zh-CN"/>
              </w:rPr>
            </w:pPr>
            <w:r>
              <w:rPr>
                <w:rFonts w:hint="eastAsia" w:ascii="仿宋" w:hAnsi="仿宋" w:eastAsia="仿宋"/>
                <w:color w:val="auto"/>
                <w:spacing w:val="-6"/>
                <w:kern w:val="0"/>
                <w:sz w:val="24"/>
                <w:szCs w:val="24"/>
                <w:highlight w:val="none"/>
              </w:rPr>
              <w:t>对本项目的合理化建议</w:t>
            </w:r>
            <w:r>
              <w:rPr>
                <w:rFonts w:hint="eastAsia" w:ascii="仿宋" w:hAnsi="仿宋" w:eastAsia="仿宋"/>
                <w:color w:val="auto"/>
                <w:spacing w:val="-6"/>
                <w:kern w:val="0"/>
                <w:sz w:val="24"/>
                <w:szCs w:val="24"/>
                <w:highlight w:val="none"/>
                <w:lang w:eastAsia="zh-CN"/>
              </w:rPr>
              <w:t>。</w:t>
            </w:r>
            <w:r>
              <w:rPr>
                <w:rFonts w:hint="eastAsia" w:ascii="仿宋" w:hAnsi="仿宋" w:eastAsia="仿宋" w:cs="仿宋"/>
                <w:color w:val="auto"/>
                <w:kern w:val="0"/>
                <w:sz w:val="24"/>
                <w:highlight w:val="none"/>
              </w:rPr>
              <w:t>方案内容完整且与项目匹配度好的得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分；方案内容基本完整且与项目匹配度较好的得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分；方案内容存在欠缺或与项目匹配度一般的得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分；方案内容缺失严重或与项目不匹配的不得分。</w:t>
            </w:r>
          </w:p>
        </w:tc>
        <w:tc>
          <w:tcPr>
            <w:tcW w:w="799" w:type="dxa"/>
            <w:shd w:val="clear" w:color="auto" w:fill="auto"/>
            <w:vAlign w:val="center"/>
          </w:tcPr>
          <w:p w14:paraId="670A9BC8">
            <w:pPr>
              <w:widowControl/>
              <w:adjustRightInd/>
              <w:spacing w:after="0"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olor w:val="auto"/>
                <w:kern w:val="0"/>
                <w:sz w:val="24"/>
                <w:szCs w:val="24"/>
                <w:highlight w:val="none"/>
                <w:lang w:val="en-US" w:eastAsia="zh-CN"/>
              </w:rPr>
              <w:t>0-5</w:t>
            </w:r>
          </w:p>
        </w:tc>
        <w:tc>
          <w:tcPr>
            <w:tcW w:w="998" w:type="dxa"/>
            <w:shd w:val="clear" w:color="auto" w:fill="auto"/>
            <w:vAlign w:val="center"/>
          </w:tcPr>
          <w:p w14:paraId="30358E43">
            <w:pPr>
              <w:widowControl/>
              <w:adjustRightInd/>
              <w:spacing w:after="0" w:line="240" w:lineRule="auto"/>
              <w:jc w:val="left"/>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r w14:paraId="3029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22291BB6">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1BC54773">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shd w:val="clear" w:color="auto" w:fill="auto"/>
            <w:vAlign w:val="center"/>
          </w:tcPr>
          <w:p w14:paraId="6BF04421">
            <w:pPr>
              <w:widowControl/>
              <w:adjustRightInd/>
              <w:spacing w:after="0" w:line="240" w:lineRule="auto"/>
              <w:jc w:val="center"/>
              <w:rPr>
                <w:rFonts w:hint="eastAsia" w:ascii="仿宋" w:hAnsi="仿宋" w:eastAsia="仿宋"/>
                <w:color w:val="auto"/>
                <w:kern w:val="0"/>
                <w:sz w:val="24"/>
                <w:highlight w:val="none"/>
                <w:lang w:val="en-US" w:eastAsia="zh-CN"/>
              </w:rPr>
            </w:pPr>
            <w:r>
              <w:rPr>
                <w:rFonts w:hint="eastAsia" w:ascii="仿宋" w:hAnsi="仿宋" w:eastAsia="仿宋" w:cs="Times New Roman"/>
                <w:color w:val="auto"/>
                <w:kern w:val="0"/>
                <w:sz w:val="24"/>
                <w:highlight w:val="none"/>
              </w:rPr>
              <w:t>服务承诺方案</w:t>
            </w:r>
          </w:p>
        </w:tc>
        <w:tc>
          <w:tcPr>
            <w:tcW w:w="5202" w:type="dxa"/>
            <w:shd w:val="clear" w:color="auto" w:fill="auto"/>
          </w:tcPr>
          <w:p w14:paraId="3A7245B6">
            <w:pPr>
              <w:widowControl/>
              <w:adjustRightInd/>
              <w:spacing w:after="0" w:line="240" w:lineRule="auto"/>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根据投标人服务方案措施、响应程度</w:t>
            </w:r>
            <w:r>
              <w:rPr>
                <w:rFonts w:hint="eastAsia" w:ascii="仿宋" w:hAnsi="仿宋" w:eastAsia="仿宋"/>
                <w:color w:val="auto"/>
                <w:kern w:val="0"/>
                <w:sz w:val="24"/>
                <w:szCs w:val="24"/>
                <w:highlight w:val="none"/>
                <w:lang w:eastAsia="zh-CN"/>
              </w:rPr>
              <w:t>、</w:t>
            </w:r>
            <w:r>
              <w:rPr>
                <w:rFonts w:hint="eastAsia" w:ascii="仿宋" w:hAnsi="仿宋" w:eastAsia="仿宋"/>
                <w:color w:val="auto"/>
                <w:kern w:val="0"/>
                <w:sz w:val="24"/>
                <w:szCs w:val="24"/>
                <w:highlight w:val="none"/>
                <w:lang w:val="en-US" w:eastAsia="zh-CN"/>
              </w:rPr>
              <w:t>售后服务</w:t>
            </w:r>
            <w:r>
              <w:rPr>
                <w:rFonts w:hint="eastAsia" w:ascii="仿宋" w:hAnsi="仿宋" w:eastAsia="仿宋"/>
                <w:color w:val="auto"/>
                <w:kern w:val="0"/>
                <w:sz w:val="24"/>
                <w:szCs w:val="24"/>
                <w:highlight w:val="none"/>
              </w:rPr>
              <w:t>等情况综合评分</w:t>
            </w:r>
            <w:r>
              <w:rPr>
                <w:rFonts w:hint="eastAsia" w:ascii="仿宋" w:hAnsi="仿宋" w:eastAsia="仿宋"/>
                <w:color w:val="auto"/>
                <w:kern w:val="0"/>
                <w:sz w:val="24"/>
                <w:szCs w:val="24"/>
                <w:highlight w:val="none"/>
                <w:lang w:eastAsia="zh-CN"/>
              </w:rPr>
              <w:t>。</w:t>
            </w:r>
            <w:r>
              <w:rPr>
                <w:rFonts w:hint="eastAsia" w:ascii="仿宋" w:hAnsi="仿宋" w:eastAsia="仿宋" w:cs="仿宋"/>
                <w:color w:val="auto"/>
                <w:kern w:val="0"/>
                <w:sz w:val="24"/>
                <w:highlight w:val="none"/>
              </w:rPr>
              <w:t>方案内容完整且与项目匹配度好的得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分；方案内容基本完整且与项目匹配度较好的得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分；方案内容存在欠缺或与项目匹配度一般的得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分；方案内容缺失严重或与项目不匹配的不得分。</w:t>
            </w:r>
          </w:p>
        </w:tc>
        <w:tc>
          <w:tcPr>
            <w:tcW w:w="799" w:type="dxa"/>
            <w:shd w:val="clear" w:color="auto" w:fill="auto"/>
            <w:vAlign w:val="center"/>
          </w:tcPr>
          <w:p w14:paraId="03BC080E">
            <w:pPr>
              <w:widowControl/>
              <w:adjustRightInd/>
              <w:spacing w:after="0"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olor w:val="auto"/>
                <w:kern w:val="0"/>
                <w:sz w:val="24"/>
                <w:highlight w:val="none"/>
                <w:lang w:val="en-US" w:eastAsia="zh-CN"/>
              </w:rPr>
              <w:t>0-5</w:t>
            </w:r>
          </w:p>
        </w:tc>
        <w:tc>
          <w:tcPr>
            <w:tcW w:w="998" w:type="dxa"/>
            <w:shd w:val="clear" w:color="auto" w:fill="auto"/>
            <w:vAlign w:val="center"/>
          </w:tcPr>
          <w:p w14:paraId="39110DB3">
            <w:pPr>
              <w:widowControl/>
              <w:adjustRightInd/>
              <w:spacing w:after="0" w:line="240" w:lineRule="auto"/>
              <w:jc w:val="left"/>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r w14:paraId="0A05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4D945547">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6343FBFE">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shd w:val="clear" w:color="auto" w:fill="auto"/>
            <w:vAlign w:val="center"/>
          </w:tcPr>
          <w:p w14:paraId="2720A5BE">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应急措施</w:t>
            </w:r>
          </w:p>
        </w:tc>
        <w:tc>
          <w:tcPr>
            <w:tcW w:w="5202" w:type="dxa"/>
            <w:shd w:val="clear" w:color="auto" w:fill="auto"/>
          </w:tcPr>
          <w:p w14:paraId="69A8179B">
            <w:pPr>
              <w:widowControl/>
              <w:adjustRightInd/>
              <w:spacing w:after="0" w:line="240" w:lineRule="auto"/>
              <w:jc w:val="left"/>
              <w:rPr>
                <w:rFonts w:hint="eastAsia" w:ascii="仿宋" w:hAnsi="仿宋" w:eastAsia="仿宋" w:cs="仿宋"/>
                <w:color w:val="auto"/>
                <w:kern w:val="0"/>
                <w:sz w:val="24"/>
                <w:highlight w:val="none"/>
                <w:lang w:eastAsia="zh-CN"/>
              </w:rPr>
            </w:pPr>
            <w:r>
              <w:rPr>
                <w:rFonts w:hint="eastAsia" w:ascii="仿宋" w:hAnsi="仿宋" w:eastAsia="仿宋"/>
                <w:color w:val="auto"/>
                <w:kern w:val="0"/>
                <w:sz w:val="24"/>
                <w:szCs w:val="24"/>
                <w:highlight w:val="none"/>
              </w:rPr>
              <w:t>投标人对于突发事件的措施以及大型活动、法定节假日食堂工作人员安排等方面综合评定</w:t>
            </w:r>
            <w:r>
              <w:rPr>
                <w:rFonts w:hint="eastAsia" w:ascii="仿宋" w:hAnsi="仿宋" w:eastAsia="仿宋"/>
                <w:color w:val="auto"/>
                <w:kern w:val="0"/>
                <w:sz w:val="24"/>
                <w:szCs w:val="24"/>
                <w:highlight w:val="none"/>
                <w:lang w:eastAsia="zh-CN"/>
              </w:rPr>
              <w:t>。</w:t>
            </w:r>
            <w:r>
              <w:rPr>
                <w:rFonts w:hint="eastAsia" w:ascii="仿宋" w:hAnsi="仿宋" w:eastAsia="仿宋" w:cs="仿宋"/>
                <w:color w:val="auto"/>
                <w:kern w:val="0"/>
                <w:sz w:val="24"/>
                <w:highlight w:val="none"/>
              </w:rPr>
              <w:t>方案内容完整且与项目匹配度好的得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分；方案内容基本完整且与项目匹配度较好的得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分；方案内容存在欠缺或与项目匹配度一般的得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分；方案内容缺失严重或与项目不匹配的不得分。</w:t>
            </w:r>
          </w:p>
        </w:tc>
        <w:tc>
          <w:tcPr>
            <w:tcW w:w="799" w:type="dxa"/>
            <w:shd w:val="clear" w:color="auto" w:fill="auto"/>
            <w:vAlign w:val="center"/>
          </w:tcPr>
          <w:p w14:paraId="518D1BA4">
            <w:pPr>
              <w:widowControl/>
              <w:adjustRightInd/>
              <w:spacing w:after="0"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0-5</w:t>
            </w:r>
          </w:p>
        </w:tc>
        <w:tc>
          <w:tcPr>
            <w:tcW w:w="998" w:type="dxa"/>
            <w:shd w:val="clear" w:color="auto" w:fill="auto"/>
            <w:vAlign w:val="center"/>
          </w:tcPr>
          <w:p w14:paraId="22C57475">
            <w:pPr>
              <w:widowControl/>
              <w:adjustRightInd/>
              <w:spacing w:after="0" w:line="240" w:lineRule="auto"/>
              <w:jc w:val="left"/>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r w14:paraId="0F00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16AE8FBE">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11AEF23A">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shd w:val="clear" w:color="auto" w:fill="auto"/>
            <w:vAlign w:val="center"/>
          </w:tcPr>
          <w:p w14:paraId="5E8D529A">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内部管理制度考核办法</w:t>
            </w:r>
          </w:p>
        </w:tc>
        <w:tc>
          <w:tcPr>
            <w:tcW w:w="5202" w:type="dxa"/>
            <w:shd w:val="clear" w:color="auto" w:fill="auto"/>
          </w:tcPr>
          <w:p w14:paraId="171A0509">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szCs w:val="24"/>
                <w:highlight w:val="none"/>
              </w:rPr>
              <w:t>根据本项目的特点投标人是否制定内部管理制度及考核办法的情况评标委员会综合评定。</w:t>
            </w:r>
            <w:r>
              <w:rPr>
                <w:rFonts w:hint="eastAsia" w:ascii="仿宋" w:hAnsi="仿宋" w:eastAsia="仿宋" w:cs="仿宋"/>
                <w:color w:val="auto"/>
                <w:kern w:val="0"/>
                <w:sz w:val="24"/>
                <w:highlight w:val="none"/>
              </w:rPr>
              <w:t>方案内容完整且与项目匹配度好的得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分；方案内容基本完整且与项目匹配度较好的得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分；方案内容存在欠缺或与项目匹配度一般的得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分；方案内容缺失严重或与项目不匹配的不得分。</w:t>
            </w:r>
          </w:p>
        </w:tc>
        <w:tc>
          <w:tcPr>
            <w:tcW w:w="799" w:type="dxa"/>
            <w:shd w:val="clear" w:color="auto" w:fill="auto"/>
            <w:vAlign w:val="center"/>
          </w:tcPr>
          <w:p w14:paraId="33582EAD">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0-4</w:t>
            </w:r>
          </w:p>
        </w:tc>
        <w:tc>
          <w:tcPr>
            <w:tcW w:w="998" w:type="dxa"/>
            <w:shd w:val="clear" w:color="auto" w:fill="auto"/>
            <w:vAlign w:val="center"/>
          </w:tcPr>
          <w:p w14:paraId="21C4F879">
            <w:pPr>
              <w:widowControl/>
              <w:adjustRightInd/>
              <w:spacing w:after="0" w:line="240" w:lineRule="auto"/>
              <w:jc w:val="left"/>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主观分</w:t>
            </w:r>
          </w:p>
        </w:tc>
      </w:tr>
      <w:tr w14:paraId="597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64EEF4A3">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4E92037D">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shd w:val="clear" w:color="auto" w:fill="auto"/>
            <w:vAlign w:val="center"/>
          </w:tcPr>
          <w:p w14:paraId="73B5CCC7">
            <w:pPr>
              <w:widowControl/>
              <w:adjustRightInd/>
              <w:spacing w:after="0" w:line="240" w:lineRule="auto"/>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本地化服务</w:t>
            </w:r>
          </w:p>
        </w:tc>
        <w:tc>
          <w:tcPr>
            <w:tcW w:w="5202" w:type="dxa"/>
            <w:shd w:val="clear" w:color="auto" w:fill="auto"/>
          </w:tcPr>
          <w:p w14:paraId="00EACC42">
            <w:pPr>
              <w:widowControl/>
              <w:adjustRightInd/>
              <w:spacing w:after="0" w:line="240" w:lineRule="auto"/>
              <w:jc w:val="left"/>
              <w:rPr>
                <w:rFonts w:hint="eastAsia"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本地化服务</w:t>
            </w:r>
            <w:r>
              <w:rPr>
                <w:rFonts w:hint="eastAsia" w:ascii="仿宋" w:hAnsi="仿宋" w:eastAsia="仿宋" w:cs="仿宋"/>
                <w:color w:val="auto"/>
                <w:kern w:val="0"/>
                <w:sz w:val="24"/>
                <w:szCs w:val="24"/>
                <w:highlight w:val="none"/>
                <w:lang w:val="en-US" w:eastAsia="zh-CN"/>
              </w:rPr>
              <w:t>能力综合评定。</w:t>
            </w:r>
            <w:r>
              <w:rPr>
                <w:rFonts w:hint="eastAsia" w:ascii="仿宋" w:hAnsi="仿宋" w:eastAsia="仿宋" w:cs="仿宋"/>
                <w:color w:val="auto"/>
                <w:kern w:val="0"/>
                <w:sz w:val="24"/>
                <w:highlight w:val="none"/>
              </w:rPr>
              <w:t>方案内容完整且与项目匹配度好的得5分；方案内容基本完整且与项目匹配度较好的得4分；方案内容存在欠缺或与项目匹配度一般的得2分；方案内容缺失严重或与项目不匹配的不得分。</w:t>
            </w:r>
          </w:p>
        </w:tc>
        <w:tc>
          <w:tcPr>
            <w:tcW w:w="799" w:type="dxa"/>
            <w:shd w:val="clear" w:color="auto" w:fill="auto"/>
            <w:vAlign w:val="center"/>
          </w:tcPr>
          <w:p w14:paraId="3C0ACD95">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0-5</w:t>
            </w:r>
          </w:p>
        </w:tc>
        <w:tc>
          <w:tcPr>
            <w:tcW w:w="998" w:type="dxa"/>
            <w:shd w:val="clear" w:color="auto" w:fill="auto"/>
            <w:vAlign w:val="center"/>
          </w:tcPr>
          <w:p w14:paraId="76E6E5B1">
            <w:pPr>
              <w:widowControl/>
              <w:adjustRightInd/>
              <w:spacing w:after="0" w:line="240" w:lineRule="auto"/>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r w14:paraId="092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405CA909">
            <w:pPr>
              <w:spacing w:after="0" w:line="240" w:lineRule="auto"/>
              <w:ind w:left="420"/>
              <w:contextualSpacing/>
              <w:rPr>
                <w:rFonts w:ascii="仿宋" w:hAnsi="仿宋" w:eastAsia="仿宋" w:cs="Times New Roman"/>
                <w:color w:val="auto"/>
                <w:sz w:val="24"/>
                <w:szCs w:val="24"/>
                <w:highlight w:val="none"/>
                <w:lang w:val="en-US" w:eastAsia="zh-CN" w:bidi="ar-SA"/>
              </w:rPr>
            </w:pPr>
          </w:p>
        </w:tc>
        <w:tc>
          <w:tcPr>
            <w:tcW w:w="804" w:type="dxa"/>
            <w:shd w:val="clear" w:color="auto" w:fill="auto"/>
            <w:vAlign w:val="center"/>
          </w:tcPr>
          <w:p w14:paraId="677C9171">
            <w:pPr>
              <w:numPr>
                <w:ilvl w:val="0"/>
                <w:numId w:val="8"/>
              </w:numPr>
              <w:spacing w:after="0" w:line="240" w:lineRule="auto"/>
              <w:ind w:left="720"/>
              <w:contextualSpacing/>
              <w:jc w:val="center"/>
              <w:rPr>
                <w:rFonts w:ascii="仿宋" w:hAnsi="仿宋" w:eastAsia="仿宋" w:cs="Times New Roman"/>
                <w:color w:val="auto"/>
                <w:sz w:val="24"/>
                <w:szCs w:val="24"/>
                <w:highlight w:val="none"/>
                <w:lang w:val="en-US" w:eastAsia="zh-CN" w:bidi="ar-SA"/>
              </w:rPr>
            </w:pPr>
          </w:p>
        </w:tc>
        <w:tc>
          <w:tcPr>
            <w:tcW w:w="968" w:type="dxa"/>
            <w:shd w:val="clear" w:color="auto" w:fill="auto"/>
            <w:vAlign w:val="center"/>
          </w:tcPr>
          <w:p w14:paraId="7AEFC571">
            <w:pPr>
              <w:widowControl/>
              <w:adjustRightInd/>
              <w:spacing w:after="0" w:line="240" w:lineRule="auto"/>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szCs w:val="24"/>
                <w:highlight w:val="none"/>
              </w:rPr>
              <w:t>投标文件制作情况</w:t>
            </w:r>
          </w:p>
        </w:tc>
        <w:tc>
          <w:tcPr>
            <w:tcW w:w="5202" w:type="dxa"/>
            <w:shd w:val="clear" w:color="auto" w:fill="auto"/>
          </w:tcPr>
          <w:p w14:paraId="0F880EFA">
            <w:pPr>
              <w:widowControl/>
              <w:adjustRightInd/>
              <w:spacing w:after="0" w:line="240" w:lineRule="auto"/>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根据投标文件编制有序、内容规范、表述完整等情况综合评定对比打分</w:t>
            </w:r>
          </w:p>
        </w:tc>
        <w:tc>
          <w:tcPr>
            <w:tcW w:w="799" w:type="dxa"/>
            <w:shd w:val="clear" w:color="auto" w:fill="auto"/>
            <w:vAlign w:val="center"/>
          </w:tcPr>
          <w:p w14:paraId="74E4FCC2">
            <w:pPr>
              <w:widowControl/>
              <w:adjustRightInd/>
              <w:spacing w:after="0" w:line="240" w:lineRule="auto"/>
              <w:jc w:val="center"/>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0-3</w:t>
            </w:r>
          </w:p>
        </w:tc>
        <w:tc>
          <w:tcPr>
            <w:tcW w:w="998" w:type="dxa"/>
            <w:shd w:val="clear" w:color="auto" w:fill="auto"/>
            <w:vAlign w:val="center"/>
          </w:tcPr>
          <w:p w14:paraId="2744FD1E">
            <w:pPr>
              <w:widowControl/>
              <w:adjustRightInd/>
              <w:spacing w:after="0" w:line="240" w:lineRule="auto"/>
              <w:jc w:val="left"/>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主观分</w:t>
            </w:r>
          </w:p>
        </w:tc>
      </w:tr>
    </w:tbl>
    <w:p w14:paraId="2421803C">
      <w:pPr>
        <w:widowControl/>
        <w:adjustRightInd/>
        <w:spacing w:after="200"/>
        <w:jc w:val="left"/>
        <w:rPr>
          <w:rFonts w:hint="eastAsia" w:ascii="仿宋" w:hAnsi="仿宋" w:eastAsia="仿宋"/>
          <w:b/>
          <w:color w:val="auto"/>
          <w:kern w:val="0"/>
          <w:sz w:val="24"/>
          <w:highlight w:val="none"/>
          <w:lang w:val="en-US" w:eastAsia="zh-CN"/>
        </w:rPr>
      </w:pPr>
    </w:p>
    <w:p w14:paraId="74A89441">
      <w:pPr>
        <w:widowControl/>
        <w:adjustRightInd/>
        <w:spacing w:after="200"/>
        <w:jc w:val="left"/>
        <w:rPr>
          <w:rFonts w:hint="eastAsia" w:ascii="仿宋" w:hAnsi="仿宋" w:eastAsia="仿宋"/>
          <w:b/>
          <w:color w:val="auto"/>
          <w:kern w:val="0"/>
          <w:sz w:val="24"/>
          <w:highlight w:val="none"/>
        </w:rPr>
      </w:pPr>
      <w:r>
        <w:rPr>
          <w:rFonts w:hint="eastAsia" w:ascii="仿宋" w:hAnsi="仿宋" w:eastAsia="仿宋"/>
          <w:b/>
          <w:color w:val="auto"/>
          <w:kern w:val="0"/>
          <w:sz w:val="24"/>
          <w:highlight w:val="none"/>
          <w:lang w:val="en-US" w:eastAsia="zh-CN"/>
        </w:rPr>
        <w:t>2、</w:t>
      </w:r>
      <w:r>
        <w:rPr>
          <w:rFonts w:hint="eastAsia" w:ascii="仿宋" w:hAnsi="仿宋" w:eastAsia="仿宋"/>
          <w:b/>
          <w:color w:val="auto"/>
          <w:kern w:val="0"/>
          <w:sz w:val="24"/>
          <w:highlight w:val="none"/>
        </w:rPr>
        <w:t>价格</w:t>
      </w:r>
      <w:r>
        <w:rPr>
          <w:rFonts w:hint="eastAsia" w:ascii="仿宋" w:hAnsi="仿宋" w:eastAsia="仿宋"/>
          <w:b/>
          <w:color w:val="auto"/>
          <w:kern w:val="0"/>
          <w:sz w:val="24"/>
          <w:highlight w:val="none"/>
          <w:lang w:val="en-US" w:eastAsia="zh-CN"/>
        </w:rPr>
        <w:t>部分</w:t>
      </w:r>
      <w:r>
        <w:rPr>
          <w:rFonts w:hint="eastAsia" w:ascii="仿宋" w:hAnsi="仿宋" w:eastAsia="仿宋"/>
          <w:b/>
          <w:color w:val="auto"/>
          <w:kern w:val="0"/>
          <w:sz w:val="24"/>
          <w:highlight w:val="none"/>
        </w:rPr>
        <w:t>（</w:t>
      </w:r>
      <w:r>
        <w:rPr>
          <w:rFonts w:hint="eastAsia" w:ascii="仿宋" w:hAnsi="仿宋" w:eastAsia="仿宋"/>
          <w:b/>
          <w:color w:val="auto"/>
          <w:kern w:val="0"/>
          <w:sz w:val="24"/>
          <w:highlight w:val="none"/>
          <w:lang w:val="en-US" w:eastAsia="zh-CN"/>
        </w:rPr>
        <w:t>10</w:t>
      </w:r>
      <w:r>
        <w:rPr>
          <w:rFonts w:hint="eastAsia" w:ascii="仿宋" w:hAnsi="仿宋" w:eastAsia="仿宋"/>
          <w:b/>
          <w:color w:val="auto"/>
          <w:kern w:val="0"/>
          <w:sz w:val="24"/>
          <w:highlight w:val="none"/>
        </w:rPr>
        <w:t>分）</w:t>
      </w:r>
    </w:p>
    <w:tbl>
      <w:tblPr>
        <w:tblStyle w:val="61"/>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625"/>
        <w:gridCol w:w="6283"/>
      </w:tblGrid>
      <w:tr w14:paraId="10C3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94" w:type="dxa"/>
            <w:vAlign w:val="center"/>
          </w:tcPr>
          <w:p w14:paraId="4AD566A6">
            <w:pPr>
              <w:widowControl/>
              <w:adjustRightInd/>
              <w:spacing w:after="0"/>
              <w:jc w:val="center"/>
              <w:rPr>
                <w:rFonts w:ascii="仿宋" w:hAnsi="仿宋" w:eastAsia="仿宋"/>
                <w:color w:val="auto"/>
                <w:kern w:val="0"/>
                <w:sz w:val="24"/>
                <w:highlight w:val="none"/>
              </w:rPr>
            </w:pPr>
            <w:r>
              <w:rPr>
                <w:rFonts w:hint="eastAsia" w:ascii="仿宋" w:hAnsi="仿宋" w:eastAsia="仿宋" w:cs="仿宋_GB2312"/>
                <w:color w:val="auto"/>
                <w:kern w:val="0"/>
                <w:sz w:val="24"/>
                <w:highlight w:val="none"/>
              </w:rPr>
              <w:t>价格分</w:t>
            </w:r>
          </w:p>
        </w:tc>
        <w:tc>
          <w:tcPr>
            <w:tcW w:w="1625" w:type="dxa"/>
            <w:vAlign w:val="center"/>
          </w:tcPr>
          <w:p w14:paraId="1E10C55D">
            <w:pPr>
              <w:widowControl/>
              <w:adjustRightInd/>
              <w:spacing w:after="0"/>
              <w:jc w:val="center"/>
              <w:rPr>
                <w:rFonts w:hint="default" w:ascii="仿宋" w:hAnsi="仿宋" w:eastAsia="仿宋"/>
                <w:color w:val="auto"/>
                <w:kern w:val="0"/>
                <w:sz w:val="24"/>
                <w:highlight w:val="none"/>
                <w:lang w:val="en-US" w:eastAsia="zh-CN"/>
              </w:rPr>
            </w:pPr>
            <w:r>
              <w:rPr>
                <w:rFonts w:hint="eastAsia" w:ascii="仿宋" w:hAnsi="仿宋" w:eastAsia="仿宋" w:cs="仿宋_GB2312"/>
                <w:color w:val="auto"/>
                <w:kern w:val="0"/>
                <w:sz w:val="24"/>
                <w:highlight w:val="none"/>
              </w:rPr>
              <w:t>价格权</w:t>
            </w:r>
            <w:r>
              <w:rPr>
                <w:rFonts w:hint="eastAsia" w:ascii="仿宋" w:hAnsi="仿宋" w:eastAsia="仿宋" w:cs="仿宋_GB2312"/>
                <w:color w:val="auto"/>
                <w:kern w:val="0"/>
                <w:sz w:val="24"/>
                <w:highlight w:val="none"/>
                <w:lang w:val="en-US" w:eastAsia="zh-CN"/>
              </w:rPr>
              <w:t>=0.10</w:t>
            </w:r>
          </w:p>
        </w:tc>
        <w:tc>
          <w:tcPr>
            <w:tcW w:w="6283" w:type="dxa"/>
          </w:tcPr>
          <w:p w14:paraId="3B951863">
            <w:pPr>
              <w:widowControl/>
              <w:adjustRightInd/>
              <w:spacing w:after="0"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最低有效投标价格为评标基准价</w:t>
            </w:r>
          </w:p>
          <w:p w14:paraId="62372F42">
            <w:pPr>
              <w:widowControl/>
              <w:adjustRightInd/>
              <w:spacing w:after="0"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投标报价得分</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评标基准价／投标报价</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×价格权值×</w:t>
            </w:r>
            <w:r>
              <w:rPr>
                <w:rFonts w:ascii="仿宋" w:hAnsi="仿宋" w:eastAsia="仿宋" w:cs="仿宋_GB2312"/>
                <w:color w:val="auto"/>
                <w:kern w:val="0"/>
                <w:sz w:val="24"/>
                <w:highlight w:val="none"/>
              </w:rPr>
              <w:t xml:space="preserve">100 </w:t>
            </w:r>
          </w:p>
          <w:p w14:paraId="01AFFDFD">
            <w:pPr>
              <w:widowControl/>
              <w:adjustRightInd/>
              <w:spacing w:after="0"/>
              <w:jc w:val="left"/>
              <w:rPr>
                <w:rFonts w:ascii="仿宋" w:hAnsi="仿宋" w:eastAsia="仿宋"/>
                <w:color w:val="auto"/>
                <w:kern w:val="0"/>
                <w:sz w:val="24"/>
                <w:highlight w:val="none"/>
              </w:rPr>
            </w:pPr>
            <w:r>
              <w:rPr>
                <w:rFonts w:hint="eastAsia" w:ascii="仿宋" w:hAnsi="仿宋" w:eastAsia="仿宋" w:cs="仿宋_GB2312"/>
                <w:color w:val="auto"/>
                <w:kern w:val="0"/>
                <w:sz w:val="24"/>
                <w:highlight w:val="none"/>
              </w:rPr>
              <w:t>（计算得分保留小数点后</w:t>
            </w:r>
            <w:r>
              <w:rPr>
                <w:rFonts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rPr>
              <w:t>位）</w:t>
            </w:r>
          </w:p>
        </w:tc>
      </w:tr>
    </w:tbl>
    <w:p w14:paraId="4C32444D">
      <w:pPr>
        <w:widowControl/>
        <w:adjustRightInd/>
        <w:spacing w:after="200" w:line="360" w:lineRule="auto"/>
        <w:jc w:val="left"/>
        <w:rPr>
          <w:rFonts w:hint="eastAsia" w:ascii="仿宋" w:hAnsi="仿宋" w:eastAsia="仿宋" w:cs="仿宋_GB2312"/>
          <w:b/>
          <w:color w:val="auto"/>
          <w:kern w:val="0"/>
          <w:sz w:val="24"/>
          <w:highlight w:val="none"/>
        </w:rPr>
      </w:pPr>
    </w:p>
    <w:p w14:paraId="3AA78FC3">
      <w:pPr>
        <w:widowControl/>
        <w:adjustRightInd/>
        <w:spacing w:after="200" w:line="360" w:lineRule="auto"/>
        <w:jc w:val="left"/>
        <w:rPr>
          <w:rFonts w:ascii="仿宋" w:hAnsi="仿宋" w:eastAsia="仿宋" w:cs="仿宋_GB2312"/>
          <w:color w:val="auto"/>
          <w:kern w:val="0"/>
          <w:sz w:val="24"/>
          <w:highlight w:val="none"/>
        </w:rPr>
      </w:pPr>
      <w:r>
        <w:rPr>
          <w:rFonts w:hint="eastAsia" w:ascii="仿宋" w:hAnsi="仿宋" w:eastAsia="仿宋" w:cs="仿宋_GB2312"/>
          <w:b/>
          <w:color w:val="auto"/>
          <w:kern w:val="0"/>
          <w:sz w:val="24"/>
          <w:highlight w:val="none"/>
        </w:rPr>
        <w:t>备注：</w:t>
      </w:r>
      <w:r>
        <w:rPr>
          <w:rFonts w:hint="eastAsia" w:ascii="仿宋" w:hAnsi="仿宋" w:eastAsia="仿宋" w:cs="仿宋_GB2312"/>
          <w:color w:val="auto"/>
          <w:kern w:val="0"/>
          <w:sz w:val="24"/>
          <w:highlight w:val="none"/>
        </w:rPr>
        <w:t>1、评分条款中涉及的业绩、荣誉、人员、社保等分公司均有效。</w:t>
      </w:r>
    </w:p>
    <w:p w14:paraId="15001716">
      <w:pPr>
        <w:widowControl/>
        <w:adjustRightInd/>
        <w:spacing w:after="200"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A8A897A">
      <w:pPr>
        <w:snapToGrid w:val="0"/>
        <w:spacing w:line="360" w:lineRule="auto"/>
        <w:rPr>
          <w:rFonts w:hint="eastAsia" w:ascii="仿宋" w:hAnsi="仿宋" w:eastAsia="仿宋" w:cs="仿宋"/>
          <w:b/>
          <w:color w:val="auto"/>
          <w:sz w:val="24"/>
          <w:highlight w:val="none"/>
        </w:rPr>
      </w:pPr>
      <w:r>
        <w:rPr>
          <w:rFonts w:hint="eastAsia" w:ascii="仿宋" w:hAnsi="仿宋" w:eastAsia="仿宋" w:cs="仿宋_GB2312"/>
          <w:color w:val="auto"/>
          <w:kern w:val="0"/>
          <w:sz w:val="24"/>
          <w:highlight w:val="none"/>
        </w:rPr>
        <w:t>3、投标人编制投标文件（商务技术文件部分）时，建议按此目录（序号和内容）提供评标标准相应的商务技术资料。</w:t>
      </w:r>
    </w:p>
    <w:p w14:paraId="6874A05A">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6378AEA">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F01A08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文件全部实质性要求，且按照评审因素的量化指标评审得分最高的投标人为中标候选人的评标方法。</w:t>
      </w:r>
    </w:p>
    <w:p w14:paraId="3EA7CBE1">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8A7557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A069075">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5C254202">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文件的实质性要求。不满足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文件的实质性要求的，投标无效。</w:t>
      </w:r>
    </w:p>
    <w:p w14:paraId="1363D741">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文件中规定的评标方法和标准，对符合性审查合格的投标文件进行商务和技术评估，综合比较与评价。</w:t>
      </w:r>
    </w:p>
    <w:p w14:paraId="7AA305E2">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DDE610A">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078F124">
      <w:pPr>
        <w:pStyle w:val="219"/>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3.4.1投标文件报价出现前后不一致的，按照下列规定修正：</w:t>
      </w:r>
    </w:p>
    <w:p w14:paraId="1A2943F1">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D5D941E">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6DA4E35">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1CECE0F">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BDFB3C3">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投标管理办法》第五十一条第二款的规定经投标人确认后产生约束力。</w:t>
      </w:r>
    </w:p>
    <w:p w14:paraId="448C18CC">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67023FF9">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3.4.3</w:t>
      </w:r>
      <w:r>
        <w:rPr>
          <w:rFonts w:hint="eastAsia" w:ascii="仿宋" w:hAnsi="仿宋" w:eastAsia="仿宋" w:cs="仿宋"/>
          <w:color w:val="auto"/>
          <w:kern w:val="0"/>
          <w:sz w:val="24"/>
          <w:highlight w:val="none"/>
        </w:rPr>
        <w:t>投标报价超过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文件中规定的预算金额或者最高限价的，投标无效。</w:t>
      </w:r>
    </w:p>
    <w:p w14:paraId="4B6EBD38">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FB10C1">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文件全部实质性要求，且按照评审因素的量化指标评审得分最高的投标人为排名第一的中标候选人。</w:t>
      </w:r>
    </w:p>
    <w:p w14:paraId="3EE9463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4DD49D">
      <w:pPr>
        <w:widowControl/>
        <w:adjustRightInd/>
        <w:spacing w:before="100" w:beforeAutospacing="1" w:after="100" w:afterAutospacing="1"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9B3EFF">
      <w:pPr>
        <w:widowControl/>
        <w:shd w:val="clear"/>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9C8D093">
      <w:pPr>
        <w:pStyle w:val="219"/>
        <w:shd w:val="clear"/>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1"/>
          <w:highlight w:val="none"/>
        </w:rPr>
        <w:t>4.1</w:t>
      </w:r>
      <w:r>
        <w:rPr>
          <w:rFonts w:hint="eastAsia" w:ascii="仿宋" w:hAnsi="仿宋" w:eastAsia="仿宋" w:cs="仿宋"/>
          <w:b/>
          <w:bCs/>
          <w:color w:val="auto"/>
          <w:kern w:val="0"/>
          <w:szCs w:val="24"/>
          <w:highlight w:val="none"/>
        </w:rPr>
        <w:t>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91FD78">
      <w:pPr>
        <w:widowControl/>
        <w:shd w:val="clear"/>
        <w:adjustRightInd/>
        <w:spacing w:after="225" w:line="315" w:lineRule="atLeast"/>
        <w:jc w:val="left"/>
        <w:rPr>
          <w:rFonts w:hint="eastAsia" w:ascii="仿宋" w:hAnsi="仿宋" w:eastAsia="仿宋" w:cs="仿宋"/>
          <w:color w:val="auto"/>
          <w:kern w:val="0"/>
          <w:szCs w:val="21"/>
          <w:highlight w:val="none"/>
        </w:rPr>
      </w:pPr>
    </w:p>
    <w:p w14:paraId="675CBAE9">
      <w:pPr>
        <w:pStyle w:val="24"/>
        <w:shd w:val="clear"/>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29CDDABF">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文件中规定的资格要求的（投标人未提供有效的资格文件的，视为投标人不具备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文件中规定的资格要求）；</w:t>
      </w:r>
    </w:p>
    <w:p w14:paraId="104374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文件要求签署、盖章的；</w:t>
      </w:r>
    </w:p>
    <w:p w14:paraId="77DE103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14:paraId="4AA1EE5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FE97A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文件中载明的投标有效期的；</w:t>
      </w:r>
    </w:p>
    <w:p w14:paraId="7FF7BE6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A9E159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文件中规定的预算金额或者最高限价的;</w:t>
      </w:r>
    </w:p>
    <w:p w14:paraId="064306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5B9059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02068B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1485E6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703D49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4A9721AC">
      <w:pPr>
        <w:pStyle w:val="2"/>
        <w:numPr>
          <w:ilvl w:val="0"/>
          <w:numId w:val="0"/>
        </w:numPr>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w:t>
      </w:r>
      <w:r>
        <w:rPr>
          <w:rFonts w:hint="eastAsia" w:ascii="仿宋" w:hAnsi="仿宋" w:eastAsia="仿宋" w:cs="仿宋"/>
          <w:b w:val="0"/>
          <w:bCs w:val="0"/>
          <w:color w:val="auto"/>
          <w:kern w:val="0"/>
          <w:sz w:val="24"/>
          <w:szCs w:val="24"/>
          <w:highlight w:val="none"/>
          <w:lang w:val="en-US" w:eastAsia="zh-CN"/>
        </w:rPr>
        <w:t>交易</w:t>
      </w:r>
      <w:r>
        <w:rPr>
          <w:rFonts w:hint="eastAsia" w:ascii="仿宋" w:hAnsi="仿宋" w:eastAsia="仿宋" w:cs="仿宋"/>
          <w:b w:val="0"/>
          <w:bCs w:val="0"/>
          <w:color w:val="auto"/>
          <w:kern w:val="0"/>
          <w:sz w:val="24"/>
          <w:szCs w:val="24"/>
          <w:highlight w:val="none"/>
          <w:lang w:val="en-US"/>
        </w:rPr>
        <w:t>文件的其它实质性要求的；</w:t>
      </w:r>
    </w:p>
    <w:p w14:paraId="60F4CA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1FBFE38">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27210F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文件作实质响应的供应商不足3家的；</w:t>
      </w:r>
    </w:p>
    <w:p w14:paraId="019DEFE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FC246E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4717CE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FE3D98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4BB50E09">
      <w:pPr>
        <w:pStyle w:val="24"/>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w:t>
      </w:r>
      <w:r>
        <w:rPr>
          <w:rFonts w:hint="eastAsia" w:ascii="仿宋" w:hAnsi="仿宋" w:eastAsia="仿宋" w:cs="仿宋"/>
          <w:b/>
          <w:color w:val="auto"/>
          <w:highlight w:val="none"/>
        </w:rPr>
        <w:t>文件，重新组织采购活动。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文件存在歧义、重大缺陷导致评标工作无法进行，或者</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文件，重新组织采购活动。</w:t>
      </w:r>
    </w:p>
    <w:p w14:paraId="7FC575D1">
      <w:pPr>
        <w:pStyle w:val="24"/>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2AD9EF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7260AD3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94C876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7D0C030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134050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6744E1C2">
      <w:pPr>
        <w:widowControl/>
        <w:spacing w:line="360" w:lineRule="auto"/>
        <w:ind w:firstLine="480" w:firstLineChars="200"/>
        <w:rPr>
          <w:rFonts w:hint="eastAsia" w:ascii="仿宋" w:hAnsi="仿宋" w:eastAsia="仿宋" w:cs="仿宋"/>
          <w:color w:val="auto"/>
          <w:sz w:val="24"/>
          <w:highlight w:val="none"/>
        </w:rPr>
      </w:pPr>
    </w:p>
    <w:p w14:paraId="48974C2E">
      <w:pPr>
        <w:pStyle w:val="3"/>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第五部分</w:t>
      </w:r>
      <w:bookmarkEnd w:id="42"/>
      <w:r>
        <w:rPr>
          <w:rFonts w:hint="eastAsia" w:ascii="仿宋" w:hAnsi="仿宋" w:eastAsia="仿宋" w:cs="仿宋"/>
          <w:color w:val="auto"/>
          <w:highlight w:val="none"/>
        </w:rPr>
        <w:t xml:space="preserve"> 拟签订的合同文本</w:t>
      </w:r>
    </w:p>
    <w:p w14:paraId="57398653">
      <w:pPr>
        <w:pStyle w:val="24"/>
        <w:snapToGrid w:val="0"/>
        <w:spacing w:line="360" w:lineRule="auto"/>
        <w:ind w:firstLine="31680"/>
        <w:jc w:val="center"/>
        <w:rPr>
          <w:rFonts w:hint="eastAsia" w:ascii="仿宋" w:hAnsi="仿宋" w:eastAsia="仿宋" w:cs="仿宋"/>
          <w:color w:val="auto"/>
          <w:highlight w:val="none"/>
        </w:rPr>
      </w:pPr>
      <w:bookmarkStart w:id="411" w:name="第五部分"/>
      <w:bookmarkStart w:id="412" w:name="_Toc86217003"/>
      <w:r>
        <w:rPr>
          <w:rFonts w:hint="eastAsia" w:ascii="仿宋" w:hAnsi="仿宋" w:eastAsia="仿宋" w:cs="仿宋"/>
          <w:color w:val="auto"/>
          <w:highlight w:val="none"/>
        </w:rPr>
        <w:t>（服务类参考样本</w:t>
      </w:r>
      <w:r>
        <w:rPr>
          <w:rFonts w:hint="eastAsia" w:ascii="仿宋" w:hAnsi="仿宋" w:eastAsia="仿宋" w:cs="仿宋"/>
          <w:color w:val="auto"/>
          <w:highlight w:val="none"/>
          <w:lang w:val="en-US" w:eastAsia="zh-CN"/>
        </w:rPr>
        <w:t>,具体以交易人实际合同为准</w:t>
      </w:r>
      <w:r>
        <w:rPr>
          <w:rFonts w:hint="eastAsia" w:ascii="仿宋" w:hAnsi="仿宋" w:eastAsia="仿宋" w:cs="仿宋"/>
          <w:color w:val="auto"/>
          <w:highlight w:val="none"/>
        </w:rPr>
        <w:t>）</w:t>
      </w:r>
    </w:p>
    <w:p w14:paraId="015CF0E5">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5D465143">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签订地点：                                 签订时间：20</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年  月  日</w:t>
      </w:r>
    </w:p>
    <w:p w14:paraId="6C3092E6">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09174A7F">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14:paraId="7F2B4DD3">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14:paraId="72183EC7">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供、需双方根据杭州市萧山区                             项目（</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 xml:space="preserve">  -  -   ）</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结果和</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文件的要求，并经双方协调一致，订立本采购合同。</w:t>
      </w:r>
    </w:p>
    <w:p w14:paraId="630E7BE0">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18252DC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3033ED1A">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14:paraId="61B73FDA">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w:t>
      </w:r>
    </w:p>
    <w:p w14:paraId="29057FB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0230E3C9">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14:paraId="1795203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6、其他。</w:t>
      </w:r>
    </w:p>
    <w:p w14:paraId="3F093855">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元）人民币附：《采购项目清单内容》</w:t>
      </w:r>
    </w:p>
    <w:tbl>
      <w:tblPr>
        <w:tblStyle w:val="60"/>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EAE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080751F3">
            <w:pPr>
              <w:pStyle w:val="24"/>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92" w:type="dxa"/>
            <w:vAlign w:val="center"/>
          </w:tcPr>
          <w:p w14:paraId="3885FF52">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800" w:type="dxa"/>
            <w:vAlign w:val="center"/>
          </w:tcPr>
          <w:p w14:paraId="0AA72442">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1758" w:type="dxa"/>
            <w:vAlign w:val="center"/>
          </w:tcPr>
          <w:p w14:paraId="61D2D2B8">
            <w:pPr>
              <w:pStyle w:val="24"/>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中标单价（元）</w:t>
            </w:r>
          </w:p>
        </w:tc>
        <w:tc>
          <w:tcPr>
            <w:tcW w:w="762" w:type="dxa"/>
            <w:vAlign w:val="center"/>
          </w:tcPr>
          <w:p w14:paraId="1AEFFAAA">
            <w:pPr>
              <w:pStyle w:val="24"/>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vAlign w:val="center"/>
          </w:tcPr>
          <w:p w14:paraId="51302D70">
            <w:pPr>
              <w:pStyle w:val="24"/>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14:paraId="221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5F15C5E5">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92" w:type="dxa"/>
            <w:vAlign w:val="center"/>
          </w:tcPr>
          <w:p w14:paraId="4A943566">
            <w:pPr>
              <w:pStyle w:val="24"/>
              <w:snapToGrid w:val="0"/>
              <w:spacing w:line="360" w:lineRule="auto"/>
              <w:ind w:firstLine="31680"/>
              <w:rPr>
                <w:rFonts w:hint="eastAsia" w:ascii="仿宋" w:hAnsi="仿宋" w:eastAsia="仿宋" w:cs="仿宋"/>
                <w:color w:val="auto"/>
                <w:highlight w:val="none"/>
              </w:rPr>
            </w:pPr>
          </w:p>
        </w:tc>
        <w:tc>
          <w:tcPr>
            <w:tcW w:w="1800" w:type="dxa"/>
            <w:vAlign w:val="center"/>
          </w:tcPr>
          <w:p w14:paraId="468E3525">
            <w:pPr>
              <w:pStyle w:val="24"/>
              <w:snapToGrid w:val="0"/>
              <w:spacing w:line="360" w:lineRule="auto"/>
              <w:ind w:firstLine="31680"/>
              <w:rPr>
                <w:rFonts w:hint="eastAsia" w:ascii="仿宋" w:hAnsi="仿宋" w:eastAsia="仿宋" w:cs="仿宋"/>
                <w:color w:val="auto"/>
                <w:highlight w:val="none"/>
              </w:rPr>
            </w:pPr>
          </w:p>
        </w:tc>
        <w:tc>
          <w:tcPr>
            <w:tcW w:w="1758" w:type="dxa"/>
            <w:vAlign w:val="center"/>
          </w:tcPr>
          <w:p w14:paraId="02BF19E8">
            <w:pPr>
              <w:pStyle w:val="24"/>
              <w:snapToGrid w:val="0"/>
              <w:spacing w:line="360" w:lineRule="auto"/>
              <w:ind w:firstLine="31680"/>
              <w:rPr>
                <w:rFonts w:hint="eastAsia" w:ascii="仿宋" w:hAnsi="仿宋" w:eastAsia="仿宋" w:cs="仿宋"/>
                <w:color w:val="auto"/>
                <w:highlight w:val="none"/>
              </w:rPr>
            </w:pPr>
          </w:p>
        </w:tc>
        <w:tc>
          <w:tcPr>
            <w:tcW w:w="762" w:type="dxa"/>
            <w:vAlign w:val="center"/>
          </w:tcPr>
          <w:p w14:paraId="525F434F">
            <w:pPr>
              <w:pStyle w:val="24"/>
              <w:snapToGrid w:val="0"/>
              <w:spacing w:line="360" w:lineRule="auto"/>
              <w:ind w:firstLine="31680"/>
              <w:rPr>
                <w:rFonts w:hint="eastAsia" w:ascii="仿宋" w:hAnsi="仿宋" w:eastAsia="仿宋" w:cs="仿宋"/>
                <w:color w:val="auto"/>
                <w:highlight w:val="none"/>
              </w:rPr>
            </w:pPr>
          </w:p>
        </w:tc>
        <w:tc>
          <w:tcPr>
            <w:tcW w:w="1867" w:type="dxa"/>
            <w:vAlign w:val="center"/>
          </w:tcPr>
          <w:p w14:paraId="4AF778B9">
            <w:pPr>
              <w:pStyle w:val="24"/>
              <w:snapToGrid w:val="0"/>
              <w:spacing w:line="360" w:lineRule="auto"/>
              <w:ind w:firstLine="31680"/>
              <w:rPr>
                <w:rFonts w:hint="eastAsia" w:ascii="仿宋" w:hAnsi="仿宋" w:eastAsia="仿宋" w:cs="仿宋"/>
                <w:color w:val="auto"/>
                <w:highlight w:val="none"/>
              </w:rPr>
            </w:pPr>
          </w:p>
        </w:tc>
      </w:tr>
      <w:tr w14:paraId="55CF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0B67F865">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92" w:type="dxa"/>
            <w:vAlign w:val="center"/>
          </w:tcPr>
          <w:p w14:paraId="5607674E">
            <w:pPr>
              <w:pStyle w:val="24"/>
              <w:snapToGrid w:val="0"/>
              <w:spacing w:line="360" w:lineRule="auto"/>
              <w:ind w:firstLine="31680"/>
              <w:rPr>
                <w:rFonts w:hint="eastAsia" w:ascii="仿宋" w:hAnsi="仿宋" w:eastAsia="仿宋" w:cs="仿宋"/>
                <w:color w:val="auto"/>
                <w:highlight w:val="none"/>
              </w:rPr>
            </w:pPr>
          </w:p>
        </w:tc>
        <w:tc>
          <w:tcPr>
            <w:tcW w:w="1800" w:type="dxa"/>
            <w:vAlign w:val="center"/>
          </w:tcPr>
          <w:p w14:paraId="12B4AA62">
            <w:pPr>
              <w:pStyle w:val="24"/>
              <w:snapToGrid w:val="0"/>
              <w:spacing w:line="360" w:lineRule="auto"/>
              <w:ind w:firstLine="31680"/>
              <w:rPr>
                <w:rFonts w:hint="eastAsia" w:ascii="仿宋" w:hAnsi="仿宋" w:eastAsia="仿宋" w:cs="仿宋"/>
                <w:color w:val="auto"/>
                <w:highlight w:val="none"/>
              </w:rPr>
            </w:pPr>
          </w:p>
        </w:tc>
        <w:tc>
          <w:tcPr>
            <w:tcW w:w="1758" w:type="dxa"/>
            <w:vAlign w:val="center"/>
          </w:tcPr>
          <w:p w14:paraId="370294A4">
            <w:pPr>
              <w:pStyle w:val="24"/>
              <w:snapToGrid w:val="0"/>
              <w:spacing w:line="360" w:lineRule="auto"/>
              <w:ind w:firstLine="31680"/>
              <w:rPr>
                <w:rFonts w:hint="eastAsia" w:ascii="仿宋" w:hAnsi="仿宋" w:eastAsia="仿宋" w:cs="仿宋"/>
                <w:color w:val="auto"/>
                <w:highlight w:val="none"/>
              </w:rPr>
            </w:pPr>
          </w:p>
        </w:tc>
        <w:tc>
          <w:tcPr>
            <w:tcW w:w="762" w:type="dxa"/>
            <w:vAlign w:val="center"/>
          </w:tcPr>
          <w:p w14:paraId="1B5548BB">
            <w:pPr>
              <w:pStyle w:val="24"/>
              <w:snapToGrid w:val="0"/>
              <w:spacing w:line="360" w:lineRule="auto"/>
              <w:ind w:firstLine="31680"/>
              <w:rPr>
                <w:rFonts w:hint="eastAsia" w:ascii="仿宋" w:hAnsi="仿宋" w:eastAsia="仿宋" w:cs="仿宋"/>
                <w:color w:val="auto"/>
                <w:highlight w:val="none"/>
              </w:rPr>
            </w:pPr>
          </w:p>
        </w:tc>
        <w:tc>
          <w:tcPr>
            <w:tcW w:w="1867" w:type="dxa"/>
            <w:vAlign w:val="center"/>
          </w:tcPr>
          <w:p w14:paraId="5D5161B6">
            <w:pPr>
              <w:pStyle w:val="24"/>
              <w:snapToGrid w:val="0"/>
              <w:spacing w:line="360" w:lineRule="auto"/>
              <w:ind w:firstLine="31680"/>
              <w:rPr>
                <w:rFonts w:hint="eastAsia" w:ascii="仿宋" w:hAnsi="仿宋" w:eastAsia="仿宋" w:cs="仿宋"/>
                <w:color w:val="auto"/>
                <w:highlight w:val="none"/>
              </w:rPr>
            </w:pPr>
          </w:p>
        </w:tc>
      </w:tr>
    </w:tbl>
    <w:p w14:paraId="2B5DD89F">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1A2FA3B6">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1.乙方应按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文件规定的时间向甲方提供有关技术资料。</w:t>
      </w:r>
    </w:p>
    <w:p w14:paraId="61E6287B">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F3120A6">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四、知识产权</w:t>
      </w:r>
    </w:p>
    <w:p w14:paraId="4C0A8624">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14:paraId="36704EC9">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14:paraId="7193319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乙方交纳人民币        元作为本合同的履约保证金。</w:t>
      </w:r>
    </w:p>
    <w:p w14:paraId="092248C2">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14:paraId="54BE224D">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14:paraId="66A95C42">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14:paraId="2D110B77">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14:paraId="0E53733F">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七、服务质量保证期</w:t>
      </w:r>
    </w:p>
    <w:p w14:paraId="112EA33E">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服务质量保证期      年。（自验收合格之日起计）</w:t>
      </w:r>
    </w:p>
    <w:p w14:paraId="7C236D16">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14:paraId="6F8BC5A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602E2849">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 履行方式：</w:t>
      </w:r>
    </w:p>
    <w:p w14:paraId="6798F7E5">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 履行地点：</w:t>
      </w:r>
    </w:p>
    <w:p w14:paraId="376FC2ED">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九、款项支付</w:t>
      </w:r>
    </w:p>
    <w:p w14:paraId="50339A74">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1.付款方式：</w:t>
      </w:r>
    </w:p>
    <w:p w14:paraId="7AC23490">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14:paraId="31BE3294">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6EC28CE5">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3EDA7909">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6A41C6D0">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乙方应按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文件规定向甲方提供服务。</w:t>
      </w:r>
    </w:p>
    <w:p w14:paraId="08237D80">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14:paraId="2E82E000">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14:paraId="574F7BA4">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14:paraId="72B4C2BA">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⑶解除合同。</w:t>
      </w:r>
    </w:p>
    <w:p w14:paraId="32CD8800">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小时内到达甲方现场。</w:t>
      </w:r>
    </w:p>
    <w:p w14:paraId="5016D66E">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14:paraId="3147E3F2">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3E36BCF4">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14:paraId="41212BE3">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14:paraId="7674BB65">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367D44E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14:paraId="2CA1160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14:paraId="75EFD913">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244A257C">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14:paraId="7D29DCFC">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5F1D4771">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529E7313">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36383429">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14:paraId="0A62383D">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2.本合同经需、供双方法定代表人或其授权委托人签字并加盖单位公章后生效。</w:t>
      </w:r>
    </w:p>
    <w:p w14:paraId="216A1276">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3E7C1AD9">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744DC421">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法定代表人（或委托代理人）签名：   法定代表人（或委托代理人）签名：                    </w:t>
      </w:r>
    </w:p>
    <w:p w14:paraId="56755571">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6B79A4E7">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1BD6827F">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23B16E28">
      <w:pPr>
        <w:pStyle w:val="24"/>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帐号：                             帐号：</w:t>
      </w:r>
    </w:p>
    <w:p w14:paraId="5EDFA1AD">
      <w:pPr>
        <w:pStyle w:val="3"/>
        <w:rPr>
          <w:rFonts w:hint="eastAsia" w:ascii="仿宋" w:hAnsi="仿宋" w:eastAsia="仿宋" w:cs="仿宋"/>
          <w:color w:val="auto"/>
          <w:highlight w:val="none"/>
        </w:rPr>
      </w:pPr>
    </w:p>
    <w:p w14:paraId="4542079C">
      <w:pPr>
        <w:pStyle w:val="3"/>
        <w:rPr>
          <w:rFonts w:hint="eastAsia" w:ascii="仿宋" w:hAnsi="仿宋" w:eastAsia="仿宋" w:cs="仿宋"/>
          <w:color w:val="auto"/>
          <w:highlight w:val="none"/>
        </w:rPr>
      </w:pPr>
      <w:r>
        <w:rPr>
          <w:rFonts w:hint="eastAsia" w:ascii="仿宋" w:hAnsi="仿宋" w:eastAsia="仿宋" w:cs="仿宋"/>
          <w:color w:val="auto"/>
          <w:highlight w:val="none"/>
        </w:rPr>
        <w:t>第六部分</w:t>
      </w:r>
      <w:bookmarkEnd w:id="411"/>
      <w:r>
        <w:rPr>
          <w:rFonts w:hint="eastAsia" w:ascii="仿宋" w:hAnsi="仿宋" w:eastAsia="仿宋" w:cs="仿宋"/>
          <w:color w:val="auto"/>
          <w:highlight w:val="none"/>
        </w:rPr>
        <w:t xml:space="preserve"> </w:t>
      </w:r>
      <w:bookmarkEnd w:id="412"/>
      <w:r>
        <w:rPr>
          <w:rFonts w:hint="eastAsia" w:ascii="仿宋" w:hAnsi="仿宋" w:eastAsia="仿宋" w:cs="仿宋"/>
          <w:color w:val="auto"/>
          <w:highlight w:val="none"/>
        </w:rPr>
        <w:t>应提交的有关格式范例</w:t>
      </w:r>
    </w:p>
    <w:p w14:paraId="3F3B31E2">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投标人按照以下格式编制投标文件，并将资格文件、报价文件、商务技术文件分别装订成册。</w:t>
      </w:r>
    </w:p>
    <w:p w14:paraId="6D44DB3E">
      <w:pPr>
        <w:spacing w:line="360" w:lineRule="auto"/>
        <w:jc w:val="center"/>
        <w:outlineLvl w:val="0"/>
        <w:rPr>
          <w:rFonts w:hint="eastAsia" w:ascii="仿宋" w:hAnsi="仿宋" w:eastAsia="仿宋" w:cs="仿宋"/>
          <w:b/>
          <w:color w:val="auto"/>
          <w:kern w:val="0"/>
          <w:sz w:val="36"/>
          <w:szCs w:val="36"/>
          <w:highlight w:val="none"/>
        </w:rPr>
      </w:pPr>
    </w:p>
    <w:p w14:paraId="6AEADE7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D3DEAB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5127FD0">
      <w:pPr>
        <w:rPr>
          <w:rFonts w:hint="eastAsia" w:ascii="仿宋" w:hAnsi="仿宋" w:eastAsia="仿宋" w:cs="仿宋"/>
          <w:b/>
          <w:color w:val="auto"/>
          <w:kern w:val="0"/>
          <w:sz w:val="36"/>
          <w:szCs w:val="36"/>
          <w:highlight w:val="none"/>
        </w:rPr>
      </w:pPr>
    </w:p>
    <w:p w14:paraId="07561A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3C852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5205E9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6B5877F5">
      <w:pPr>
        <w:snapToGrid w:val="0"/>
        <w:spacing w:line="360" w:lineRule="auto"/>
        <w:rPr>
          <w:rFonts w:hint="eastAsia" w:ascii="仿宋" w:hAnsi="仿宋" w:eastAsia="仿宋" w:cs="仿宋"/>
          <w:color w:val="auto"/>
          <w:sz w:val="36"/>
          <w:szCs w:val="36"/>
          <w:highlight w:val="none"/>
        </w:rPr>
      </w:pPr>
    </w:p>
    <w:p w14:paraId="282AF0A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0CC246A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AB0A7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编号：XXX】政府采购活动，郑重承诺：</w:t>
      </w:r>
    </w:p>
    <w:p w14:paraId="1AC795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4F681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FFA39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74C03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F60B1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AD3FE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E5DF6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01495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76C00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14:paraId="69143D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3D49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238052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71E7B58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28653DD">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640025CA">
      <w:pPr>
        <w:spacing w:line="360" w:lineRule="auto"/>
        <w:jc w:val="center"/>
        <w:rPr>
          <w:rFonts w:hint="eastAsia" w:ascii="仿宋" w:hAnsi="仿宋" w:eastAsia="仿宋" w:cs="仿宋"/>
          <w:b/>
          <w:color w:val="auto"/>
          <w:sz w:val="30"/>
          <w:szCs w:val="30"/>
          <w:highlight w:val="none"/>
        </w:rPr>
      </w:pPr>
    </w:p>
    <w:p w14:paraId="074A15C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5BF6E1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4225EFA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公告本项目的特定资格要求提供相应的材料；未要求的，无需提供）</w:t>
      </w:r>
    </w:p>
    <w:p w14:paraId="4AEEC223">
      <w:pPr>
        <w:pStyle w:val="74"/>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14:paraId="094D6BBD">
      <w:pPr>
        <w:spacing w:line="360" w:lineRule="auto"/>
        <w:jc w:val="center"/>
        <w:rPr>
          <w:rFonts w:hint="eastAsia" w:ascii="仿宋" w:hAnsi="仿宋" w:eastAsia="仿宋" w:cs="仿宋"/>
          <w:b/>
          <w:color w:val="auto"/>
          <w:sz w:val="28"/>
          <w:szCs w:val="32"/>
          <w:highlight w:val="none"/>
        </w:rPr>
      </w:pPr>
    </w:p>
    <w:p w14:paraId="4F82E7F9">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14:paraId="40C8AD8F">
      <w:pPr>
        <w:spacing w:line="360" w:lineRule="auto"/>
        <w:jc w:val="center"/>
        <w:outlineLvl w:val="0"/>
        <w:rPr>
          <w:rFonts w:hint="eastAsia" w:ascii="仿宋" w:hAnsi="仿宋" w:eastAsia="仿宋" w:cs="仿宋"/>
          <w:b/>
          <w:color w:val="auto"/>
          <w:kern w:val="0"/>
          <w:sz w:val="24"/>
          <w:highlight w:val="none"/>
        </w:rPr>
      </w:pPr>
    </w:p>
    <w:p w14:paraId="0777557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3773C67">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投标（开标）一览表…………………………………………（页码）</w:t>
      </w:r>
    </w:p>
    <w:p w14:paraId="4FCB6325">
      <w:pPr>
        <w:spacing w:line="360" w:lineRule="auto"/>
        <w:ind w:left="2" w:firstLine="480" w:firstLineChars="200"/>
        <w:rPr>
          <w:rFonts w:hint="eastAsia" w:ascii="仿宋" w:hAnsi="仿宋" w:eastAsia="仿宋" w:cs="仿宋"/>
          <w:color w:val="auto"/>
          <w:sz w:val="24"/>
          <w:highlight w:val="none"/>
        </w:rPr>
      </w:pPr>
    </w:p>
    <w:p w14:paraId="6BBC83AA">
      <w:pPr>
        <w:spacing w:line="360" w:lineRule="auto"/>
        <w:ind w:left="2" w:firstLine="480" w:firstLineChars="200"/>
        <w:rPr>
          <w:rFonts w:hint="eastAsia" w:ascii="仿宋" w:hAnsi="仿宋" w:eastAsia="仿宋" w:cs="仿宋"/>
          <w:color w:val="auto"/>
          <w:sz w:val="24"/>
          <w:highlight w:val="none"/>
        </w:rPr>
      </w:pPr>
    </w:p>
    <w:p w14:paraId="35F10A47">
      <w:pPr>
        <w:spacing w:line="360" w:lineRule="auto"/>
        <w:ind w:left="2" w:firstLine="480" w:firstLineChars="200"/>
        <w:rPr>
          <w:rFonts w:hint="eastAsia" w:ascii="仿宋" w:hAnsi="仿宋" w:eastAsia="仿宋" w:cs="仿宋"/>
          <w:color w:val="auto"/>
          <w:sz w:val="24"/>
          <w:highlight w:val="none"/>
        </w:rPr>
      </w:pPr>
    </w:p>
    <w:p w14:paraId="27CC4F79">
      <w:pPr>
        <w:spacing w:line="360" w:lineRule="auto"/>
        <w:ind w:left="2" w:firstLine="480" w:firstLineChars="200"/>
        <w:rPr>
          <w:rFonts w:hint="eastAsia" w:ascii="仿宋" w:hAnsi="仿宋" w:eastAsia="仿宋" w:cs="仿宋"/>
          <w:color w:val="auto"/>
          <w:sz w:val="24"/>
          <w:highlight w:val="none"/>
        </w:rPr>
      </w:pPr>
    </w:p>
    <w:p w14:paraId="7057292B">
      <w:pPr>
        <w:spacing w:line="360" w:lineRule="auto"/>
        <w:ind w:left="2" w:firstLine="480" w:firstLineChars="200"/>
        <w:rPr>
          <w:rFonts w:hint="eastAsia" w:ascii="仿宋" w:hAnsi="仿宋" w:eastAsia="仿宋" w:cs="仿宋"/>
          <w:color w:val="auto"/>
          <w:sz w:val="24"/>
          <w:highlight w:val="none"/>
        </w:rPr>
      </w:pPr>
    </w:p>
    <w:p w14:paraId="5D3104FE">
      <w:pPr>
        <w:snapToGrid w:val="0"/>
        <w:spacing w:line="360" w:lineRule="auto"/>
        <w:jc w:val="center"/>
        <w:outlineLvl w:val="0"/>
        <w:rPr>
          <w:rFonts w:hint="eastAsia" w:ascii="仿宋" w:hAnsi="仿宋" w:eastAsia="仿宋" w:cs="仿宋"/>
          <w:b/>
          <w:color w:val="auto"/>
          <w:kern w:val="0"/>
          <w:sz w:val="32"/>
          <w:szCs w:val="32"/>
          <w:highlight w:val="none"/>
        </w:rPr>
      </w:pPr>
    </w:p>
    <w:p w14:paraId="2A72BAE7">
      <w:pPr>
        <w:snapToGrid w:val="0"/>
        <w:spacing w:line="360" w:lineRule="auto"/>
        <w:jc w:val="center"/>
        <w:outlineLvl w:val="0"/>
        <w:rPr>
          <w:rFonts w:hint="eastAsia" w:ascii="仿宋" w:hAnsi="仿宋" w:eastAsia="仿宋" w:cs="仿宋"/>
          <w:b/>
          <w:color w:val="auto"/>
          <w:kern w:val="0"/>
          <w:sz w:val="32"/>
          <w:szCs w:val="32"/>
          <w:highlight w:val="none"/>
        </w:rPr>
      </w:pPr>
    </w:p>
    <w:p w14:paraId="7111BB5C">
      <w:pPr>
        <w:snapToGrid w:val="0"/>
        <w:spacing w:line="360" w:lineRule="auto"/>
        <w:jc w:val="center"/>
        <w:outlineLvl w:val="0"/>
        <w:rPr>
          <w:rFonts w:hint="eastAsia" w:ascii="仿宋" w:hAnsi="仿宋" w:eastAsia="仿宋" w:cs="仿宋"/>
          <w:b/>
          <w:color w:val="auto"/>
          <w:kern w:val="0"/>
          <w:sz w:val="32"/>
          <w:szCs w:val="32"/>
          <w:highlight w:val="none"/>
        </w:rPr>
      </w:pPr>
    </w:p>
    <w:p w14:paraId="201A1D18">
      <w:pPr>
        <w:snapToGrid w:val="0"/>
        <w:spacing w:line="360" w:lineRule="auto"/>
        <w:jc w:val="center"/>
        <w:outlineLvl w:val="0"/>
        <w:rPr>
          <w:rFonts w:hint="eastAsia" w:ascii="仿宋" w:hAnsi="仿宋" w:eastAsia="仿宋" w:cs="仿宋"/>
          <w:b/>
          <w:color w:val="auto"/>
          <w:kern w:val="0"/>
          <w:sz w:val="32"/>
          <w:szCs w:val="32"/>
          <w:highlight w:val="none"/>
        </w:rPr>
      </w:pPr>
    </w:p>
    <w:p w14:paraId="5FE6A3FB">
      <w:pPr>
        <w:snapToGrid w:val="0"/>
        <w:spacing w:line="360" w:lineRule="auto"/>
        <w:jc w:val="center"/>
        <w:outlineLvl w:val="0"/>
        <w:rPr>
          <w:rFonts w:hint="eastAsia" w:ascii="仿宋" w:hAnsi="仿宋" w:eastAsia="仿宋" w:cs="仿宋"/>
          <w:b/>
          <w:color w:val="auto"/>
          <w:kern w:val="0"/>
          <w:sz w:val="32"/>
          <w:szCs w:val="32"/>
          <w:highlight w:val="none"/>
        </w:rPr>
      </w:pPr>
    </w:p>
    <w:p w14:paraId="096F6F97">
      <w:pPr>
        <w:snapToGrid w:val="0"/>
        <w:spacing w:line="360" w:lineRule="auto"/>
        <w:jc w:val="center"/>
        <w:outlineLvl w:val="0"/>
        <w:rPr>
          <w:rFonts w:hint="eastAsia" w:ascii="仿宋" w:hAnsi="仿宋" w:eastAsia="仿宋" w:cs="仿宋"/>
          <w:b/>
          <w:color w:val="auto"/>
          <w:kern w:val="0"/>
          <w:sz w:val="32"/>
          <w:szCs w:val="32"/>
          <w:highlight w:val="none"/>
        </w:rPr>
      </w:pPr>
    </w:p>
    <w:p w14:paraId="3E375E1A">
      <w:pPr>
        <w:snapToGrid w:val="0"/>
        <w:spacing w:line="360" w:lineRule="auto"/>
        <w:jc w:val="center"/>
        <w:outlineLvl w:val="0"/>
        <w:rPr>
          <w:rFonts w:hint="eastAsia" w:ascii="仿宋" w:hAnsi="仿宋" w:eastAsia="仿宋" w:cs="仿宋"/>
          <w:b/>
          <w:color w:val="auto"/>
          <w:kern w:val="0"/>
          <w:sz w:val="32"/>
          <w:szCs w:val="32"/>
          <w:highlight w:val="none"/>
        </w:rPr>
      </w:pPr>
    </w:p>
    <w:p w14:paraId="59C36085">
      <w:pPr>
        <w:snapToGrid w:val="0"/>
        <w:spacing w:line="360" w:lineRule="auto"/>
        <w:jc w:val="center"/>
        <w:outlineLvl w:val="0"/>
        <w:rPr>
          <w:rFonts w:hint="eastAsia" w:ascii="仿宋" w:hAnsi="仿宋" w:eastAsia="仿宋" w:cs="仿宋"/>
          <w:b/>
          <w:color w:val="auto"/>
          <w:kern w:val="0"/>
          <w:sz w:val="32"/>
          <w:szCs w:val="32"/>
          <w:highlight w:val="none"/>
        </w:rPr>
      </w:pPr>
    </w:p>
    <w:p w14:paraId="26C8A1C6">
      <w:pPr>
        <w:snapToGrid w:val="0"/>
        <w:spacing w:line="360" w:lineRule="auto"/>
        <w:jc w:val="center"/>
        <w:outlineLvl w:val="0"/>
        <w:rPr>
          <w:rFonts w:hint="eastAsia" w:ascii="仿宋" w:hAnsi="仿宋" w:eastAsia="仿宋" w:cs="仿宋"/>
          <w:b/>
          <w:color w:val="auto"/>
          <w:kern w:val="0"/>
          <w:sz w:val="32"/>
          <w:szCs w:val="32"/>
          <w:highlight w:val="none"/>
        </w:rPr>
      </w:pPr>
    </w:p>
    <w:p w14:paraId="325E0D7D">
      <w:pPr>
        <w:snapToGrid w:val="0"/>
        <w:spacing w:line="360" w:lineRule="auto"/>
        <w:jc w:val="center"/>
        <w:outlineLvl w:val="0"/>
        <w:rPr>
          <w:rFonts w:hint="eastAsia" w:ascii="仿宋" w:hAnsi="仿宋" w:eastAsia="仿宋" w:cs="仿宋"/>
          <w:b/>
          <w:color w:val="auto"/>
          <w:kern w:val="0"/>
          <w:sz w:val="32"/>
          <w:szCs w:val="32"/>
          <w:highlight w:val="none"/>
        </w:rPr>
      </w:pPr>
    </w:p>
    <w:p w14:paraId="71F832A6">
      <w:pPr>
        <w:snapToGrid w:val="0"/>
        <w:spacing w:line="360" w:lineRule="auto"/>
        <w:jc w:val="center"/>
        <w:outlineLvl w:val="0"/>
        <w:rPr>
          <w:rFonts w:hint="eastAsia" w:ascii="仿宋" w:hAnsi="仿宋" w:eastAsia="仿宋" w:cs="仿宋"/>
          <w:b/>
          <w:color w:val="auto"/>
          <w:kern w:val="0"/>
          <w:sz w:val="32"/>
          <w:szCs w:val="32"/>
          <w:highlight w:val="none"/>
        </w:rPr>
      </w:pPr>
    </w:p>
    <w:p w14:paraId="18A29F44">
      <w:pPr>
        <w:snapToGrid w:val="0"/>
        <w:spacing w:line="360" w:lineRule="auto"/>
        <w:jc w:val="center"/>
        <w:outlineLvl w:val="0"/>
        <w:rPr>
          <w:rFonts w:hint="eastAsia" w:ascii="仿宋" w:hAnsi="仿宋" w:eastAsia="仿宋" w:cs="仿宋"/>
          <w:b/>
          <w:color w:val="auto"/>
          <w:kern w:val="0"/>
          <w:sz w:val="32"/>
          <w:szCs w:val="32"/>
          <w:highlight w:val="none"/>
        </w:rPr>
      </w:pPr>
    </w:p>
    <w:p w14:paraId="53B944F3">
      <w:pPr>
        <w:snapToGrid w:val="0"/>
        <w:spacing w:line="360" w:lineRule="auto"/>
        <w:jc w:val="center"/>
        <w:outlineLvl w:val="0"/>
        <w:rPr>
          <w:rFonts w:hint="eastAsia" w:ascii="仿宋" w:hAnsi="仿宋" w:eastAsia="仿宋" w:cs="仿宋"/>
          <w:b/>
          <w:color w:val="auto"/>
          <w:kern w:val="0"/>
          <w:sz w:val="32"/>
          <w:szCs w:val="32"/>
          <w:highlight w:val="none"/>
        </w:rPr>
      </w:pPr>
    </w:p>
    <w:p w14:paraId="1381FB9D">
      <w:pPr>
        <w:pStyle w:val="596"/>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0B4816F3">
      <w:pPr>
        <w:pStyle w:val="5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b/>
          <w:bCs w:val="0"/>
          <w:color w:val="auto"/>
          <w:kern w:val="0"/>
          <w:sz w:val="32"/>
          <w:szCs w:val="32"/>
          <w:highlight w:val="none"/>
        </w:rPr>
        <w:t>一</w:t>
      </w:r>
      <w:r>
        <w:rPr>
          <w:rFonts w:hint="eastAsia" w:ascii="仿宋" w:hAnsi="仿宋" w:eastAsia="仿宋" w:cs="仿宋"/>
          <w:b/>
          <w:bCs w:val="0"/>
          <w:color w:val="auto"/>
          <w:kern w:val="2"/>
          <w:sz w:val="32"/>
          <w:szCs w:val="32"/>
          <w:highlight w:val="none"/>
        </w:rPr>
        <w:t>、</w:t>
      </w:r>
      <w:r>
        <w:rPr>
          <w:rFonts w:hint="eastAsia" w:ascii="仿宋" w:hAnsi="仿宋" w:eastAsia="仿宋" w:cs="仿宋"/>
          <w:color w:val="auto"/>
          <w:kern w:val="2"/>
          <w:sz w:val="32"/>
          <w:szCs w:val="32"/>
          <w:highlight w:val="none"/>
          <w:lang w:eastAsia="zh-CN"/>
        </w:rPr>
        <w:t>开标</w:t>
      </w:r>
      <w:r>
        <w:rPr>
          <w:rFonts w:hint="eastAsia" w:ascii="仿宋" w:hAnsi="仿宋" w:eastAsia="仿宋" w:cs="仿宋"/>
          <w:color w:val="auto"/>
          <w:kern w:val="2"/>
          <w:sz w:val="32"/>
          <w:szCs w:val="32"/>
          <w:highlight w:val="none"/>
        </w:rPr>
        <w:t>一览表（报价表）</w:t>
      </w:r>
    </w:p>
    <w:p w14:paraId="25691CC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（交易人）、（采购代理机构）</w:t>
      </w:r>
      <w:r>
        <w:rPr>
          <w:rFonts w:hint="eastAsia" w:ascii="仿宋" w:hAnsi="仿宋" w:eastAsia="仿宋" w:cs="仿宋"/>
          <w:color w:val="auto"/>
          <w:kern w:val="0"/>
          <w:sz w:val="24"/>
          <w:highlight w:val="none"/>
          <w:lang w:val="zh-CN"/>
        </w:rPr>
        <w:t>：</w:t>
      </w:r>
    </w:p>
    <w:p w14:paraId="7FC6D97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7EDE4A2A">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eastAsia="zh-CN"/>
        </w:rPr>
        <w:t>开标</w:t>
      </w:r>
      <w:r>
        <w:rPr>
          <w:rFonts w:hint="eastAsia" w:ascii="仿宋" w:hAnsi="仿宋" w:eastAsia="仿宋" w:cs="仿宋"/>
          <w:b/>
          <w:color w:val="auto"/>
          <w:kern w:val="0"/>
          <w:sz w:val="24"/>
          <w:highlight w:val="none"/>
          <w:lang w:val="zh-CN"/>
        </w:rPr>
        <w:t>一览表</w:t>
      </w:r>
    </w:p>
    <w:tbl>
      <w:tblPr>
        <w:tblStyle w:val="60"/>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1172FC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17932A25">
            <w:pPr>
              <w:pStyle w:val="620"/>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标项</w:t>
            </w:r>
          </w:p>
        </w:tc>
        <w:tc>
          <w:tcPr>
            <w:tcW w:w="3827" w:type="dxa"/>
            <w:tcBorders>
              <w:left w:val="single" w:color="auto" w:sz="4" w:space="0"/>
              <w:right w:val="single" w:color="auto" w:sz="4" w:space="0"/>
            </w:tcBorders>
            <w:vAlign w:val="center"/>
          </w:tcPr>
          <w:p w14:paraId="6ABF2F0B">
            <w:pPr>
              <w:pStyle w:val="620"/>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名称</w:t>
            </w:r>
          </w:p>
        </w:tc>
        <w:tc>
          <w:tcPr>
            <w:tcW w:w="2622" w:type="dxa"/>
            <w:tcBorders>
              <w:left w:val="single" w:color="auto" w:sz="4" w:space="0"/>
              <w:right w:val="single" w:color="auto" w:sz="4" w:space="0"/>
            </w:tcBorders>
            <w:vAlign w:val="center"/>
          </w:tcPr>
          <w:p w14:paraId="67FAEC6C">
            <w:pPr>
              <w:pStyle w:val="620"/>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规格型号参数</w:t>
            </w:r>
          </w:p>
        </w:tc>
        <w:tc>
          <w:tcPr>
            <w:tcW w:w="1842" w:type="dxa"/>
            <w:tcBorders>
              <w:left w:val="single" w:color="auto" w:sz="4" w:space="0"/>
              <w:right w:val="single" w:color="auto" w:sz="4" w:space="0"/>
            </w:tcBorders>
            <w:vAlign w:val="center"/>
          </w:tcPr>
          <w:p w14:paraId="4651055D">
            <w:pPr>
              <w:pStyle w:val="620"/>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数量</w:t>
            </w:r>
          </w:p>
        </w:tc>
        <w:tc>
          <w:tcPr>
            <w:tcW w:w="1915" w:type="dxa"/>
            <w:tcBorders>
              <w:left w:val="single" w:color="auto" w:sz="4" w:space="0"/>
              <w:right w:val="single" w:color="auto" w:sz="4" w:space="0"/>
            </w:tcBorders>
            <w:vAlign w:val="center"/>
          </w:tcPr>
          <w:p w14:paraId="62E04424">
            <w:pPr>
              <w:pStyle w:val="62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单价</w:t>
            </w:r>
          </w:p>
        </w:tc>
        <w:tc>
          <w:tcPr>
            <w:tcW w:w="2996" w:type="dxa"/>
            <w:tcBorders>
              <w:left w:val="single" w:color="auto" w:sz="4" w:space="0"/>
              <w:right w:val="single" w:color="auto" w:sz="4" w:space="0"/>
            </w:tcBorders>
            <w:vAlign w:val="center"/>
          </w:tcPr>
          <w:p w14:paraId="28A9348A">
            <w:pPr>
              <w:pStyle w:val="620"/>
              <w:spacing w:line="400" w:lineRule="exact"/>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总价</w:t>
            </w:r>
          </w:p>
        </w:tc>
      </w:tr>
      <w:tr w14:paraId="448FD0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03F029A2">
            <w:pPr>
              <w:spacing w:line="360" w:lineRule="auto"/>
              <w:jc w:val="center"/>
              <w:rPr>
                <w:rFonts w:hint="eastAsia"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14:paraId="2D6D53DC">
            <w:pPr>
              <w:spacing w:line="360" w:lineRule="exact"/>
              <w:jc w:val="center"/>
              <w:rPr>
                <w:rFonts w:hint="eastAsia"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14:paraId="0CCD49FE">
            <w:pPr>
              <w:pStyle w:val="620"/>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347E2B0A">
            <w:pPr>
              <w:pStyle w:val="620"/>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2539C196">
            <w:pPr>
              <w:pStyle w:val="620"/>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2F97D96A">
            <w:pPr>
              <w:pStyle w:val="620"/>
              <w:spacing w:line="400" w:lineRule="exact"/>
              <w:jc w:val="center"/>
              <w:rPr>
                <w:rFonts w:hint="eastAsia" w:ascii="仿宋" w:hAnsi="仿宋" w:eastAsia="仿宋" w:cs="仿宋"/>
                <w:color w:val="auto"/>
                <w:sz w:val="24"/>
                <w:szCs w:val="24"/>
                <w:highlight w:val="none"/>
              </w:rPr>
            </w:pPr>
          </w:p>
        </w:tc>
      </w:tr>
      <w:tr w14:paraId="7CA173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39C9CC5F">
            <w:pPr>
              <w:spacing w:line="360" w:lineRule="auto"/>
              <w:jc w:val="center"/>
              <w:rPr>
                <w:rFonts w:hint="eastAsia"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14:paraId="16FA324D">
            <w:pPr>
              <w:spacing w:line="360" w:lineRule="exact"/>
              <w:jc w:val="center"/>
              <w:rPr>
                <w:rFonts w:hint="eastAsia"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14:paraId="58113D16">
            <w:pPr>
              <w:pStyle w:val="620"/>
              <w:spacing w:line="400" w:lineRule="exact"/>
              <w:jc w:val="center"/>
              <w:rPr>
                <w:rFonts w:hint="eastAsia"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2B9B25D0">
            <w:pPr>
              <w:pStyle w:val="620"/>
              <w:spacing w:line="400" w:lineRule="exact"/>
              <w:jc w:val="center"/>
              <w:rPr>
                <w:rFonts w:hint="eastAsia"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739C3BBB">
            <w:pPr>
              <w:pStyle w:val="620"/>
              <w:spacing w:line="400" w:lineRule="exact"/>
              <w:jc w:val="center"/>
              <w:rPr>
                <w:rFonts w:hint="eastAsia"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4BF3B810">
            <w:pPr>
              <w:pStyle w:val="620"/>
              <w:spacing w:line="400" w:lineRule="exact"/>
              <w:jc w:val="center"/>
              <w:rPr>
                <w:rFonts w:hint="eastAsia" w:ascii="仿宋" w:hAnsi="仿宋" w:eastAsia="仿宋" w:cs="仿宋"/>
                <w:color w:val="auto"/>
                <w:sz w:val="24"/>
                <w:szCs w:val="24"/>
                <w:highlight w:val="none"/>
              </w:rPr>
            </w:pPr>
          </w:p>
        </w:tc>
      </w:tr>
    </w:tbl>
    <w:p w14:paraId="18B178B5">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9041AF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p>
    <w:p w14:paraId="46EA3F67">
      <w:pPr>
        <w:snapToGrid w:val="0"/>
        <w:spacing w:line="360" w:lineRule="auto"/>
        <w:ind w:left="48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p>
    <w:p w14:paraId="726C5D33">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 xml:space="preserve">                                                                               </w:t>
      </w:r>
    </w:p>
    <w:p w14:paraId="4572E965">
      <w:pPr>
        <w:spacing w:line="360" w:lineRule="auto"/>
        <w:ind w:firstLine="480" w:firstLineChars="200"/>
        <w:jc w:val="center"/>
        <w:rPr>
          <w:rFonts w:hint="eastAsia" w:ascii="仿宋" w:hAnsi="仿宋" w:eastAsia="仿宋" w:cs="仿宋"/>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sz w:val="24"/>
          <w:highlight w:val="none"/>
        </w:rPr>
        <w:t xml:space="preserve">                                                              日期：  年   月   日</w:t>
      </w:r>
    </w:p>
    <w:p w14:paraId="1C7E52F8">
      <w:pPr>
        <w:pStyle w:val="24"/>
        <w:ind w:firstLine="0" w:firstLineChars="0"/>
        <w:rPr>
          <w:rFonts w:hint="eastAsia" w:ascii="仿宋" w:hAnsi="仿宋" w:eastAsia="仿宋" w:cs="仿宋"/>
          <w:color w:val="auto"/>
          <w:highlight w:val="none"/>
        </w:rPr>
        <w:sectPr>
          <w:pgSz w:w="11906" w:h="16838"/>
          <w:pgMar w:top="1440" w:right="1800" w:bottom="1440" w:left="1800" w:header="1020" w:footer="1020" w:gutter="0"/>
          <w:pgBorders>
            <w:top w:val="none" w:sz="0" w:space="0"/>
            <w:left w:val="none" w:sz="0" w:space="0"/>
            <w:bottom w:val="none" w:sz="0" w:space="0"/>
            <w:right w:val="none" w:sz="0" w:space="0"/>
          </w:pgBorders>
          <w:cols w:space="720" w:num="1"/>
          <w:docGrid w:type="lines" w:linePitch="312" w:charSpace="0"/>
        </w:sectPr>
      </w:pPr>
    </w:p>
    <w:p w14:paraId="43F0CA0C">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C520709">
      <w:pPr>
        <w:spacing w:line="360" w:lineRule="auto"/>
        <w:jc w:val="center"/>
        <w:outlineLvl w:val="0"/>
        <w:rPr>
          <w:rFonts w:hint="eastAsia" w:ascii="仿宋" w:hAnsi="仿宋" w:eastAsia="仿宋" w:cs="仿宋"/>
          <w:b/>
          <w:color w:val="auto"/>
          <w:kern w:val="0"/>
          <w:sz w:val="24"/>
          <w:highlight w:val="none"/>
        </w:rPr>
      </w:pPr>
    </w:p>
    <w:p w14:paraId="25A6003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BED016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353AFD8">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125F983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3250EF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08E808D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0E52504">
      <w:pPr>
        <w:spacing w:line="360" w:lineRule="auto"/>
        <w:rPr>
          <w:rFonts w:hint="eastAsia" w:ascii="仿宋" w:hAnsi="仿宋" w:eastAsia="仿宋" w:cs="仿宋"/>
          <w:b/>
          <w:bCs/>
          <w:color w:val="auto"/>
          <w:sz w:val="24"/>
          <w:highlight w:val="none"/>
        </w:rPr>
      </w:pPr>
    </w:p>
    <w:p w14:paraId="46978C19">
      <w:pPr>
        <w:snapToGrid w:val="0"/>
        <w:spacing w:line="360" w:lineRule="auto"/>
        <w:jc w:val="center"/>
        <w:rPr>
          <w:rFonts w:hint="eastAsia" w:ascii="仿宋" w:hAnsi="仿宋" w:eastAsia="仿宋" w:cs="仿宋"/>
          <w:b/>
          <w:color w:val="auto"/>
          <w:kern w:val="0"/>
          <w:sz w:val="32"/>
          <w:szCs w:val="32"/>
          <w:highlight w:val="none"/>
          <w:lang w:val="zh-CN"/>
        </w:rPr>
      </w:pPr>
    </w:p>
    <w:p w14:paraId="3D6AD112">
      <w:pPr>
        <w:snapToGrid w:val="0"/>
        <w:spacing w:line="360" w:lineRule="auto"/>
        <w:jc w:val="center"/>
        <w:rPr>
          <w:rFonts w:hint="eastAsia" w:ascii="仿宋" w:hAnsi="仿宋" w:eastAsia="仿宋" w:cs="仿宋"/>
          <w:b/>
          <w:color w:val="auto"/>
          <w:kern w:val="0"/>
          <w:sz w:val="32"/>
          <w:szCs w:val="32"/>
          <w:highlight w:val="none"/>
          <w:lang w:val="zh-CN"/>
        </w:rPr>
      </w:pPr>
    </w:p>
    <w:p w14:paraId="54DD5F38">
      <w:pPr>
        <w:snapToGrid w:val="0"/>
        <w:spacing w:line="360" w:lineRule="auto"/>
        <w:jc w:val="center"/>
        <w:rPr>
          <w:rFonts w:hint="eastAsia" w:ascii="仿宋" w:hAnsi="仿宋" w:eastAsia="仿宋" w:cs="仿宋"/>
          <w:b/>
          <w:color w:val="auto"/>
          <w:kern w:val="0"/>
          <w:sz w:val="32"/>
          <w:szCs w:val="32"/>
          <w:highlight w:val="none"/>
          <w:lang w:val="zh-CN"/>
        </w:rPr>
      </w:pPr>
    </w:p>
    <w:p w14:paraId="3D962B7E">
      <w:pPr>
        <w:snapToGrid w:val="0"/>
        <w:spacing w:line="360" w:lineRule="auto"/>
        <w:jc w:val="center"/>
        <w:rPr>
          <w:rFonts w:hint="eastAsia" w:ascii="仿宋" w:hAnsi="仿宋" w:eastAsia="仿宋" w:cs="仿宋"/>
          <w:b/>
          <w:color w:val="auto"/>
          <w:kern w:val="0"/>
          <w:sz w:val="32"/>
          <w:szCs w:val="32"/>
          <w:highlight w:val="none"/>
          <w:lang w:val="zh-CN"/>
        </w:rPr>
      </w:pPr>
    </w:p>
    <w:p w14:paraId="25EDFCE8">
      <w:pPr>
        <w:snapToGrid w:val="0"/>
        <w:spacing w:line="360" w:lineRule="auto"/>
        <w:jc w:val="center"/>
        <w:rPr>
          <w:rFonts w:hint="eastAsia" w:ascii="仿宋" w:hAnsi="仿宋" w:eastAsia="仿宋" w:cs="仿宋"/>
          <w:b/>
          <w:color w:val="auto"/>
          <w:kern w:val="0"/>
          <w:sz w:val="32"/>
          <w:szCs w:val="32"/>
          <w:highlight w:val="none"/>
          <w:lang w:val="zh-CN"/>
        </w:rPr>
      </w:pPr>
    </w:p>
    <w:p w14:paraId="46BE5E6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75C81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14:paraId="02EA407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编号：XXXXXX】</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的有关活动，并对此项目进行投标。为此：</w:t>
      </w:r>
    </w:p>
    <w:p w14:paraId="5A407EF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7C924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0631EC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37D0FA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84AB6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p>
    <w:p w14:paraId="4BC3D9F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p>
    <w:p w14:paraId="49AAA9D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11AB0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62FC7D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5AD5D8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6D727E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34C3B8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4F4F0E9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p>
    <w:p w14:paraId="777D8A4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03EC0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F16B4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文件的全部要求。</w:t>
      </w:r>
    </w:p>
    <w:p w14:paraId="14DFAED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EB3E19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27FC60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A4EA8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 xml:space="preserve">文件要求提交履约保证金； </w:t>
      </w:r>
    </w:p>
    <w:p w14:paraId="05D5FC3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88F6FF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F05FA8D">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0B7B4FB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2EB64B6">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14:paraId="4EC01B4C">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14:paraId="26D3BBB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14:paraId="5292DD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23DE2FC">
      <w:pPr>
        <w:snapToGrid w:val="0"/>
        <w:spacing w:line="360" w:lineRule="auto"/>
        <w:rPr>
          <w:rFonts w:hint="eastAsia" w:ascii="仿宋" w:hAnsi="仿宋" w:eastAsia="仿宋" w:cs="仿宋"/>
          <w:color w:val="auto"/>
          <w:sz w:val="24"/>
          <w:highlight w:val="none"/>
        </w:rPr>
      </w:pPr>
    </w:p>
    <w:p w14:paraId="2401C926">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8540F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025B8BE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杭州市XXX采购项目【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编号：XXXXXX】</w:t>
      </w:r>
      <w:r>
        <w:rPr>
          <w:rFonts w:hint="eastAsia" w:ascii="仿宋" w:hAnsi="仿宋" w:eastAsia="仿宋" w:cs="仿宋"/>
          <w:color w:val="auto"/>
          <w:kern w:val="0"/>
          <w:sz w:val="24"/>
          <w:highlight w:val="none"/>
          <w:lang w:val="zh-CN"/>
        </w:rPr>
        <w:t>政府采购投标的一切事项，其法律后果由我方承担。</w:t>
      </w:r>
    </w:p>
    <w:p w14:paraId="0EBECD4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FDFC2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828E6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投标人名称(电子签章)：</w:t>
      </w:r>
    </w:p>
    <w:p w14:paraId="7A76CD9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00C42B9">
      <w:pPr>
        <w:snapToGrid w:val="0"/>
        <w:spacing w:line="360" w:lineRule="auto"/>
        <w:rPr>
          <w:rFonts w:hint="eastAsia" w:ascii="仿宋" w:hAnsi="仿宋" w:eastAsia="仿宋" w:cs="仿宋"/>
          <w:color w:val="auto"/>
          <w:sz w:val="24"/>
          <w:highlight w:val="none"/>
        </w:rPr>
      </w:pPr>
    </w:p>
    <w:p w14:paraId="78CE73DF">
      <w:pPr>
        <w:snapToGrid w:val="0"/>
        <w:spacing w:line="360" w:lineRule="auto"/>
        <w:rPr>
          <w:rFonts w:hint="eastAsia" w:ascii="仿宋" w:hAnsi="仿宋" w:eastAsia="仿宋" w:cs="仿宋"/>
          <w:color w:val="auto"/>
          <w:sz w:val="24"/>
          <w:highlight w:val="none"/>
        </w:rPr>
      </w:pPr>
    </w:p>
    <w:p w14:paraId="45F25D2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0182FEE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8A2450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955109">
      <w:pPr>
        <w:pStyle w:val="61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DA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19B9AE">
            <w:pPr>
              <w:pStyle w:val="61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0256B85">
            <w:pPr>
              <w:pStyle w:val="617"/>
              <w:spacing w:line="360" w:lineRule="auto"/>
              <w:rPr>
                <w:rFonts w:hint="eastAsia" w:ascii="仿宋" w:hAnsi="仿宋" w:eastAsia="仿宋" w:cs="仿宋"/>
                <w:bCs/>
                <w:color w:val="auto"/>
                <w:sz w:val="24"/>
                <w:highlight w:val="none"/>
              </w:rPr>
            </w:pPr>
          </w:p>
        </w:tc>
      </w:tr>
    </w:tbl>
    <w:p w14:paraId="0364F74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56983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p>
    <w:p w14:paraId="5F2F73BB">
      <w:pPr>
        <w:snapToGrid w:val="0"/>
        <w:spacing w:line="360" w:lineRule="auto"/>
        <w:rPr>
          <w:rFonts w:hint="eastAsia" w:ascii="仿宋" w:hAnsi="仿宋" w:eastAsia="仿宋" w:cs="仿宋"/>
          <w:color w:val="auto"/>
          <w:kern w:val="0"/>
          <w:sz w:val="24"/>
          <w:highlight w:val="none"/>
          <w:lang w:val="zh-CN"/>
        </w:rPr>
      </w:pPr>
    </w:p>
    <w:p w14:paraId="6C16C515">
      <w:pPr>
        <w:snapToGrid w:val="0"/>
        <w:spacing w:line="360" w:lineRule="auto"/>
        <w:rPr>
          <w:rFonts w:hint="eastAsia" w:ascii="仿宋" w:hAnsi="仿宋" w:eastAsia="仿宋" w:cs="仿宋"/>
          <w:color w:val="auto"/>
          <w:kern w:val="0"/>
          <w:sz w:val="24"/>
          <w:highlight w:val="none"/>
          <w:lang w:val="zh-CN"/>
        </w:rPr>
      </w:pPr>
    </w:p>
    <w:p w14:paraId="62819AC0">
      <w:pPr>
        <w:snapToGrid w:val="0"/>
        <w:spacing w:line="360" w:lineRule="auto"/>
        <w:rPr>
          <w:rFonts w:hint="eastAsia" w:ascii="仿宋" w:hAnsi="仿宋" w:eastAsia="仿宋" w:cs="仿宋"/>
          <w:color w:val="auto"/>
          <w:kern w:val="0"/>
          <w:sz w:val="24"/>
          <w:highlight w:val="none"/>
          <w:lang w:val="zh-CN"/>
        </w:rPr>
      </w:pPr>
    </w:p>
    <w:p w14:paraId="7CE26036">
      <w:pPr>
        <w:snapToGrid w:val="0"/>
        <w:spacing w:line="360" w:lineRule="auto"/>
        <w:rPr>
          <w:rFonts w:hint="eastAsia" w:ascii="仿宋" w:hAnsi="仿宋" w:eastAsia="仿宋" w:cs="仿宋"/>
          <w:color w:val="auto"/>
          <w:kern w:val="0"/>
          <w:sz w:val="24"/>
          <w:highlight w:val="none"/>
          <w:lang w:val="zh-CN"/>
        </w:rPr>
      </w:pPr>
    </w:p>
    <w:p w14:paraId="1BF794E7">
      <w:pPr>
        <w:snapToGrid w:val="0"/>
        <w:spacing w:line="360" w:lineRule="auto"/>
        <w:rPr>
          <w:rFonts w:hint="eastAsia" w:ascii="仿宋" w:hAnsi="仿宋" w:eastAsia="仿宋" w:cs="仿宋"/>
          <w:color w:val="auto"/>
          <w:kern w:val="0"/>
          <w:sz w:val="24"/>
          <w:highlight w:val="none"/>
          <w:lang w:val="zh-CN"/>
        </w:rPr>
      </w:pPr>
    </w:p>
    <w:p w14:paraId="6B43E723">
      <w:pPr>
        <w:snapToGrid w:val="0"/>
        <w:spacing w:line="360" w:lineRule="auto"/>
        <w:rPr>
          <w:rFonts w:hint="eastAsia" w:ascii="仿宋" w:hAnsi="仿宋" w:eastAsia="仿宋" w:cs="仿宋"/>
          <w:color w:val="auto"/>
          <w:kern w:val="0"/>
          <w:sz w:val="24"/>
          <w:highlight w:val="none"/>
          <w:lang w:val="zh-CN"/>
        </w:rPr>
      </w:pPr>
    </w:p>
    <w:p w14:paraId="0673F913">
      <w:pPr>
        <w:snapToGrid w:val="0"/>
        <w:spacing w:line="360" w:lineRule="auto"/>
        <w:rPr>
          <w:rFonts w:hint="eastAsia" w:ascii="仿宋" w:hAnsi="仿宋" w:eastAsia="仿宋" w:cs="仿宋"/>
          <w:color w:val="auto"/>
          <w:kern w:val="0"/>
          <w:sz w:val="24"/>
          <w:highlight w:val="none"/>
          <w:lang w:val="zh-CN"/>
        </w:rPr>
      </w:pPr>
    </w:p>
    <w:p w14:paraId="4D6F9C95">
      <w:pPr>
        <w:snapToGrid w:val="0"/>
        <w:spacing w:line="360" w:lineRule="auto"/>
        <w:rPr>
          <w:rFonts w:hint="eastAsia" w:ascii="仿宋" w:hAnsi="仿宋" w:eastAsia="仿宋" w:cs="仿宋"/>
          <w:color w:val="auto"/>
          <w:kern w:val="0"/>
          <w:sz w:val="24"/>
          <w:highlight w:val="none"/>
          <w:lang w:val="zh-CN"/>
        </w:rPr>
      </w:pPr>
    </w:p>
    <w:p w14:paraId="62E0A96B">
      <w:pPr>
        <w:snapToGrid w:val="0"/>
        <w:spacing w:line="360" w:lineRule="auto"/>
        <w:rPr>
          <w:rFonts w:hint="eastAsia" w:ascii="仿宋" w:hAnsi="仿宋" w:eastAsia="仿宋" w:cs="仿宋"/>
          <w:color w:val="auto"/>
          <w:kern w:val="0"/>
          <w:sz w:val="24"/>
          <w:highlight w:val="none"/>
          <w:lang w:val="zh-CN"/>
        </w:rPr>
      </w:pPr>
    </w:p>
    <w:p w14:paraId="5773C08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                              </w:t>
      </w:r>
    </w:p>
    <w:p w14:paraId="4690B20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0F41737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E61E6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、符合性审查资料索引表及具体内容</w:t>
      </w:r>
    </w:p>
    <w:p w14:paraId="0690572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2D5D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1080BB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188" w:type="dxa"/>
            <w:vAlign w:val="center"/>
          </w:tcPr>
          <w:p w14:paraId="76DA2B4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354" w:type="dxa"/>
            <w:vAlign w:val="center"/>
          </w:tcPr>
          <w:p w14:paraId="230D97E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B84D2E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7651CF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F66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1D4E06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188" w:type="dxa"/>
          </w:tcPr>
          <w:p w14:paraId="41AAFB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不存在如下情形：投标文件未按照</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文件要求签署、盖章。</w:t>
            </w:r>
          </w:p>
        </w:tc>
        <w:tc>
          <w:tcPr>
            <w:tcW w:w="2354" w:type="dxa"/>
            <w:vAlign w:val="center"/>
          </w:tcPr>
          <w:p w14:paraId="40169455">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投标文件的组成部分中需要使用电子签章或者签字盖章处 </w:t>
            </w:r>
          </w:p>
        </w:tc>
        <w:tc>
          <w:tcPr>
            <w:tcW w:w="1418" w:type="dxa"/>
          </w:tcPr>
          <w:p w14:paraId="4C39E3F4">
            <w:pPr>
              <w:jc w:val="center"/>
              <w:rPr>
                <w:rFonts w:hint="eastAsia" w:ascii="仿宋" w:hAnsi="仿宋" w:eastAsia="仿宋" w:cs="仿宋"/>
                <w:color w:val="auto"/>
                <w:sz w:val="24"/>
                <w:highlight w:val="none"/>
              </w:rPr>
            </w:pPr>
          </w:p>
          <w:p w14:paraId="650AD4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0FDDF19">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64A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62AA6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188" w:type="dxa"/>
          </w:tcPr>
          <w:p w14:paraId="1A5FD1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不存在如下情形：采购人拟采购的产品属于政府强制采购的节能产品品目清单范围的，投标人未按</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文件要求提供国家确定的认证机构出具的、处于有效期之内的节能产品认证证书、环境标志产品认证证书。</w:t>
            </w:r>
          </w:p>
        </w:tc>
        <w:tc>
          <w:tcPr>
            <w:tcW w:w="2354" w:type="dxa"/>
            <w:vAlign w:val="center"/>
          </w:tcPr>
          <w:p w14:paraId="0E38906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节能产品认证证书、环境标志产品认证证书（</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文件未要求的，无需提供）</w:t>
            </w:r>
          </w:p>
        </w:tc>
        <w:tc>
          <w:tcPr>
            <w:tcW w:w="1418" w:type="dxa"/>
          </w:tcPr>
          <w:p w14:paraId="21529335">
            <w:pPr>
              <w:jc w:val="center"/>
              <w:rPr>
                <w:rFonts w:hint="eastAsia" w:ascii="仿宋" w:hAnsi="仿宋" w:eastAsia="仿宋" w:cs="仿宋"/>
                <w:color w:val="auto"/>
                <w:sz w:val="24"/>
                <w:highlight w:val="none"/>
              </w:rPr>
            </w:pPr>
          </w:p>
          <w:p w14:paraId="092FC252">
            <w:pPr>
              <w:jc w:val="center"/>
              <w:rPr>
                <w:rFonts w:hint="eastAsia" w:ascii="仿宋" w:hAnsi="仿宋" w:eastAsia="仿宋" w:cs="仿宋"/>
                <w:color w:val="auto"/>
                <w:sz w:val="24"/>
                <w:highlight w:val="none"/>
              </w:rPr>
            </w:pPr>
          </w:p>
          <w:p w14:paraId="7BAF833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1F0730E">
            <w:pPr>
              <w:pStyle w:val="2"/>
              <w:numPr>
                <w:ilvl w:val="0"/>
                <w:numId w:val="0"/>
              </w:numPr>
              <w:ind w:left="432"/>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  页</w:t>
            </w:r>
          </w:p>
        </w:tc>
      </w:tr>
      <w:tr w14:paraId="5B5F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91B65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188" w:type="dxa"/>
          </w:tcPr>
          <w:p w14:paraId="1EFF7F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不存在如下情形：投标文件中承诺的投标有效期少于</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文件中载明的投标有效期。</w:t>
            </w:r>
          </w:p>
        </w:tc>
        <w:tc>
          <w:tcPr>
            <w:tcW w:w="2354" w:type="dxa"/>
            <w:vAlign w:val="center"/>
          </w:tcPr>
          <w:p w14:paraId="4029BC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825FEE0">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38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95CD7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188" w:type="dxa"/>
          </w:tcPr>
          <w:p w14:paraId="0450B1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不存在如下情形：投标文件不满足</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文件的其它实质性要求。</w:t>
            </w:r>
          </w:p>
        </w:tc>
        <w:tc>
          <w:tcPr>
            <w:tcW w:w="2354" w:type="dxa"/>
            <w:vAlign w:val="center"/>
          </w:tcPr>
          <w:p w14:paraId="5F70E62F">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文件其它实质性要求相应的材料（</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文件未要求的，无需提供）</w:t>
            </w:r>
          </w:p>
        </w:tc>
        <w:tc>
          <w:tcPr>
            <w:tcW w:w="1418" w:type="dxa"/>
          </w:tcPr>
          <w:p w14:paraId="1E333D9B">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E2968D9">
      <w:pPr>
        <w:jc w:val="center"/>
        <w:rPr>
          <w:rFonts w:hint="eastAsia" w:ascii="仿宋" w:hAnsi="仿宋" w:eastAsia="仿宋" w:cs="仿宋"/>
          <w:b/>
          <w:color w:val="auto"/>
          <w:kern w:val="0"/>
          <w:sz w:val="32"/>
          <w:szCs w:val="32"/>
          <w:highlight w:val="none"/>
        </w:rPr>
      </w:pPr>
    </w:p>
    <w:p w14:paraId="2FAE8B17">
      <w:pPr>
        <w:jc w:val="center"/>
        <w:rPr>
          <w:rFonts w:hint="eastAsia" w:ascii="仿宋" w:hAnsi="仿宋" w:eastAsia="仿宋" w:cs="仿宋"/>
          <w:b/>
          <w:color w:val="auto"/>
          <w:kern w:val="0"/>
          <w:sz w:val="32"/>
          <w:szCs w:val="32"/>
          <w:highlight w:val="none"/>
        </w:rPr>
      </w:pPr>
    </w:p>
    <w:p w14:paraId="7473F772">
      <w:pPr>
        <w:jc w:val="center"/>
        <w:rPr>
          <w:rFonts w:hint="eastAsia" w:ascii="仿宋" w:hAnsi="仿宋" w:eastAsia="仿宋" w:cs="仿宋"/>
          <w:b/>
          <w:color w:val="auto"/>
          <w:kern w:val="0"/>
          <w:sz w:val="32"/>
          <w:szCs w:val="32"/>
          <w:highlight w:val="none"/>
        </w:rPr>
      </w:pPr>
    </w:p>
    <w:p w14:paraId="4AA20F9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14:paraId="4686905E">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1、投标文件的组成部分中需要使用电子签章或者签字盖章处（详见投标文件第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页） </w:t>
      </w:r>
    </w:p>
    <w:p w14:paraId="6CC0468E">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文件未要求的，无需提供）</w:t>
      </w:r>
    </w:p>
    <w:p w14:paraId="7D067915">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p w14:paraId="22528195">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文件其它实质性要求相应的材料（</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文件未要求的，无需提供）</w:t>
      </w:r>
    </w:p>
    <w:p w14:paraId="3A26E6DC">
      <w:pPr>
        <w:rPr>
          <w:rFonts w:hint="eastAsia" w:ascii="仿宋" w:hAnsi="仿宋" w:eastAsia="仿宋" w:cs="仿宋"/>
          <w:color w:val="auto"/>
          <w:highlight w:val="none"/>
        </w:rPr>
      </w:pPr>
    </w:p>
    <w:p w14:paraId="2915489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95ED2D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6BE82CD">
      <w:pPr>
        <w:numPr>
          <w:ilvl w:val="0"/>
          <w:numId w:val="1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评标标准相应的商务技术资料</w:t>
      </w:r>
    </w:p>
    <w:p w14:paraId="320B6FEC">
      <w:pPr>
        <w:pStyle w:val="41"/>
        <w:numPr>
          <w:ilvl w:val="0"/>
          <w:numId w:val="0"/>
        </w:numPr>
        <w:rPr>
          <w:rFonts w:hint="eastAsia" w:ascii="仿宋" w:hAnsi="仿宋" w:eastAsia="仿宋" w:cs="仿宋"/>
          <w:color w:val="auto"/>
          <w:highlight w:val="none"/>
        </w:rPr>
      </w:pPr>
    </w:p>
    <w:p w14:paraId="27FE3846">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文件第四部分评标办法前附表中“投标文件中评标标准相应的商务技术资料目录”提供资料）</w:t>
      </w:r>
    </w:p>
    <w:p w14:paraId="5044F5A0">
      <w:pPr>
        <w:jc w:val="center"/>
        <w:rPr>
          <w:rFonts w:hint="eastAsia" w:ascii="仿宋" w:hAnsi="仿宋" w:eastAsia="仿宋" w:cs="仿宋"/>
          <w:b/>
          <w:color w:val="auto"/>
          <w:kern w:val="0"/>
          <w:sz w:val="32"/>
          <w:szCs w:val="32"/>
          <w:highlight w:val="none"/>
        </w:rPr>
      </w:pPr>
    </w:p>
    <w:p w14:paraId="7419086D">
      <w:pPr>
        <w:jc w:val="center"/>
        <w:rPr>
          <w:rFonts w:hint="eastAsia" w:ascii="仿宋" w:hAnsi="仿宋" w:eastAsia="仿宋" w:cs="仿宋"/>
          <w:b/>
          <w:color w:val="auto"/>
          <w:kern w:val="0"/>
          <w:sz w:val="32"/>
          <w:szCs w:val="32"/>
          <w:highlight w:val="none"/>
        </w:rPr>
      </w:pPr>
    </w:p>
    <w:p w14:paraId="2F016DCB">
      <w:pPr>
        <w:jc w:val="center"/>
        <w:rPr>
          <w:rFonts w:hint="eastAsia" w:ascii="仿宋" w:hAnsi="仿宋" w:eastAsia="仿宋" w:cs="仿宋"/>
          <w:b/>
          <w:color w:val="auto"/>
          <w:kern w:val="0"/>
          <w:sz w:val="32"/>
          <w:szCs w:val="32"/>
          <w:highlight w:val="none"/>
        </w:rPr>
      </w:pPr>
    </w:p>
    <w:p w14:paraId="452FAC0F">
      <w:pPr>
        <w:jc w:val="center"/>
        <w:rPr>
          <w:rFonts w:hint="eastAsia" w:ascii="仿宋" w:hAnsi="仿宋" w:eastAsia="仿宋" w:cs="仿宋"/>
          <w:b/>
          <w:color w:val="auto"/>
          <w:kern w:val="0"/>
          <w:sz w:val="32"/>
          <w:szCs w:val="32"/>
          <w:highlight w:val="none"/>
        </w:rPr>
      </w:pPr>
    </w:p>
    <w:p w14:paraId="40A5ECE9">
      <w:pPr>
        <w:jc w:val="center"/>
        <w:rPr>
          <w:rFonts w:hint="eastAsia" w:ascii="仿宋" w:hAnsi="仿宋" w:eastAsia="仿宋" w:cs="仿宋"/>
          <w:b/>
          <w:color w:val="auto"/>
          <w:kern w:val="0"/>
          <w:sz w:val="32"/>
          <w:szCs w:val="32"/>
          <w:highlight w:val="none"/>
        </w:rPr>
      </w:pPr>
    </w:p>
    <w:p w14:paraId="39C35B1D">
      <w:pPr>
        <w:jc w:val="center"/>
        <w:rPr>
          <w:rFonts w:hint="eastAsia" w:ascii="仿宋" w:hAnsi="仿宋" w:eastAsia="仿宋" w:cs="仿宋"/>
          <w:b/>
          <w:color w:val="auto"/>
          <w:kern w:val="0"/>
          <w:sz w:val="32"/>
          <w:szCs w:val="32"/>
          <w:highlight w:val="none"/>
        </w:rPr>
      </w:pPr>
    </w:p>
    <w:p w14:paraId="09170004">
      <w:pPr>
        <w:jc w:val="center"/>
        <w:rPr>
          <w:rFonts w:hint="eastAsia" w:ascii="仿宋" w:hAnsi="仿宋" w:eastAsia="仿宋" w:cs="仿宋"/>
          <w:b/>
          <w:color w:val="auto"/>
          <w:kern w:val="0"/>
          <w:sz w:val="32"/>
          <w:szCs w:val="32"/>
          <w:highlight w:val="none"/>
        </w:rPr>
      </w:pPr>
    </w:p>
    <w:p w14:paraId="0864EBC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37D15FD">
      <w:pPr>
        <w:numPr>
          <w:ilvl w:val="0"/>
          <w:numId w:val="10"/>
        </w:numPr>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商务技术偏离表</w:t>
      </w:r>
    </w:p>
    <w:p w14:paraId="550A8A62">
      <w:pPr>
        <w:pStyle w:val="41"/>
        <w:widowControl w:val="0"/>
        <w:numPr>
          <w:ilvl w:val="0"/>
          <w:numId w:val="0"/>
        </w:numPr>
        <w:adjustRightInd w:val="0"/>
        <w:jc w:val="both"/>
        <w:rPr>
          <w:rFonts w:hint="eastAsia" w:ascii="仿宋" w:hAnsi="仿宋" w:eastAsia="仿宋" w:cs="仿宋"/>
          <w:color w:val="auto"/>
          <w:highlight w:val="none"/>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8C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1A872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5CF79B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w:t>
            </w:r>
            <w:r>
              <w:rPr>
                <w:rFonts w:hint="eastAsia" w:ascii="仿宋" w:hAnsi="仿宋" w:eastAsia="仿宋" w:cs="仿宋"/>
                <w:b/>
                <w:bCs/>
                <w:color w:val="auto"/>
                <w:sz w:val="24"/>
                <w:highlight w:val="none"/>
              </w:rPr>
              <w:t>文件章节及具体内容</w:t>
            </w:r>
          </w:p>
        </w:tc>
        <w:tc>
          <w:tcPr>
            <w:tcW w:w="3546" w:type="dxa"/>
          </w:tcPr>
          <w:p w14:paraId="2A6946E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765691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偏差说明</w:t>
            </w:r>
          </w:p>
        </w:tc>
      </w:tr>
      <w:tr w14:paraId="7C07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E7E631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w:t>
            </w:r>
          </w:p>
        </w:tc>
        <w:tc>
          <w:tcPr>
            <w:tcW w:w="3683" w:type="dxa"/>
          </w:tcPr>
          <w:p w14:paraId="3A605AB6">
            <w:pPr>
              <w:jc w:val="center"/>
              <w:rPr>
                <w:rFonts w:hint="eastAsia" w:ascii="仿宋" w:hAnsi="仿宋" w:eastAsia="仿宋" w:cs="仿宋"/>
                <w:b/>
                <w:color w:val="auto"/>
                <w:kern w:val="0"/>
                <w:sz w:val="32"/>
                <w:szCs w:val="32"/>
                <w:highlight w:val="none"/>
              </w:rPr>
            </w:pPr>
          </w:p>
        </w:tc>
        <w:tc>
          <w:tcPr>
            <w:tcW w:w="3546" w:type="dxa"/>
          </w:tcPr>
          <w:p w14:paraId="78D0EAC6">
            <w:pPr>
              <w:jc w:val="center"/>
              <w:rPr>
                <w:rFonts w:hint="eastAsia" w:ascii="仿宋" w:hAnsi="仿宋" w:eastAsia="仿宋" w:cs="仿宋"/>
                <w:b/>
                <w:color w:val="auto"/>
                <w:kern w:val="0"/>
                <w:sz w:val="32"/>
                <w:szCs w:val="32"/>
                <w:highlight w:val="none"/>
              </w:rPr>
            </w:pPr>
          </w:p>
        </w:tc>
        <w:tc>
          <w:tcPr>
            <w:tcW w:w="1276" w:type="dxa"/>
          </w:tcPr>
          <w:p w14:paraId="30CC4E3C">
            <w:pPr>
              <w:jc w:val="center"/>
              <w:rPr>
                <w:rFonts w:hint="eastAsia" w:ascii="仿宋" w:hAnsi="仿宋" w:eastAsia="仿宋" w:cs="仿宋"/>
                <w:b/>
                <w:color w:val="auto"/>
                <w:kern w:val="0"/>
                <w:sz w:val="32"/>
                <w:szCs w:val="32"/>
                <w:highlight w:val="none"/>
              </w:rPr>
            </w:pPr>
          </w:p>
        </w:tc>
      </w:tr>
      <w:tr w14:paraId="0107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7DB07F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w:t>
            </w:r>
          </w:p>
        </w:tc>
        <w:tc>
          <w:tcPr>
            <w:tcW w:w="3683" w:type="dxa"/>
          </w:tcPr>
          <w:p w14:paraId="4FD4B23B">
            <w:pPr>
              <w:jc w:val="center"/>
              <w:rPr>
                <w:rFonts w:hint="eastAsia" w:ascii="仿宋" w:hAnsi="仿宋" w:eastAsia="仿宋" w:cs="仿宋"/>
                <w:b/>
                <w:color w:val="auto"/>
                <w:kern w:val="0"/>
                <w:sz w:val="32"/>
                <w:szCs w:val="32"/>
                <w:highlight w:val="none"/>
              </w:rPr>
            </w:pPr>
          </w:p>
        </w:tc>
        <w:tc>
          <w:tcPr>
            <w:tcW w:w="3546" w:type="dxa"/>
          </w:tcPr>
          <w:p w14:paraId="76F592BC">
            <w:pPr>
              <w:jc w:val="center"/>
              <w:rPr>
                <w:rFonts w:hint="eastAsia" w:ascii="仿宋" w:hAnsi="仿宋" w:eastAsia="仿宋" w:cs="仿宋"/>
                <w:b/>
                <w:color w:val="auto"/>
                <w:kern w:val="0"/>
                <w:sz w:val="32"/>
                <w:szCs w:val="32"/>
                <w:highlight w:val="none"/>
              </w:rPr>
            </w:pPr>
          </w:p>
        </w:tc>
        <w:tc>
          <w:tcPr>
            <w:tcW w:w="1276" w:type="dxa"/>
          </w:tcPr>
          <w:p w14:paraId="1C4981D2">
            <w:pPr>
              <w:jc w:val="center"/>
              <w:rPr>
                <w:rFonts w:hint="eastAsia" w:ascii="仿宋" w:hAnsi="仿宋" w:eastAsia="仿宋" w:cs="仿宋"/>
                <w:b/>
                <w:color w:val="auto"/>
                <w:kern w:val="0"/>
                <w:sz w:val="32"/>
                <w:szCs w:val="32"/>
                <w:highlight w:val="none"/>
              </w:rPr>
            </w:pPr>
          </w:p>
        </w:tc>
      </w:tr>
      <w:tr w14:paraId="5FB6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07B2A9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tc>
        <w:tc>
          <w:tcPr>
            <w:tcW w:w="3683" w:type="dxa"/>
          </w:tcPr>
          <w:p w14:paraId="2F240E6A">
            <w:pPr>
              <w:jc w:val="center"/>
              <w:rPr>
                <w:rFonts w:hint="eastAsia" w:ascii="仿宋" w:hAnsi="仿宋" w:eastAsia="仿宋" w:cs="仿宋"/>
                <w:b/>
                <w:color w:val="auto"/>
                <w:kern w:val="0"/>
                <w:sz w:val="32"/>
                <w:szCs w:val="32"/>
                <w:highlight w:val="none"/>
              </w:rPr>
            </w:pPr>
          </w:p>
        </w:tc>
        <w:tc>
          <w:tcPr>
            <w:tcW w:w="3546" w:type="dxa"/>
          </w:tcPr>
          <w:p w14:paraId="24A7CEF2">
            <w:pPr>
              <w:jc w:val="center"/>
              <w:rPr>
                <w:rFonts w:hint="eastAsia" w:ascii="仿宋" w:hAnsi="仿宋" w:eastAsia="仿宋" w:cs="仿宋"/>
                <w:b/>
                <w:color w:val="auto"/>
                <w:kern w:val="0"/>
                <w:sz w:val="32"/>
                <w:szCs w:val="32"/>
                <w:highlight w:val="none"/>
              </w:rPr>
            </w:pPr>
          </w:p>
        </w:tc>
        <w:tc>
          <w:tcPr>
            <w:tcW w:w="1276" w:type="dxa"/>
          </w:tcPr>
          <w:p w14:paraId="09BFFF25">
            <w:pPr>
              <w:jc w:val="center"/>
              <w:rPr>
                <w:rFonts w:hint="eastAsia" w:ascii="仿宋" w:hAnsi="仿宋" w:eastAsia="仿宋" w:cs="仿宋"/>
                <w:b/>
                <w:color w:val="auto"/>
                <w:kern w:val="0"/>
                <w:sz w:val="32"/>
                <w:szCs w:val="32"/>
                <w:highlight w:val="none"/>
              </w:rPr>
            </w:pPr>
          </w:p>
        </w:tc>
      </w:tr>
    </w:tbl>
    <w:p w14:paraId="693F0EC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文件的全部要求</w:t>
      </w:r>
    </w:p>
    <w:p w14:paraId="022C2F31">
      <w:pPr>
        <w:jc w:val="center"/>
        <w:rPr>
          <w:rFonts w:hint="eastAsia" w:ascii="仿宋" w:hAnsi="仿宋" w:eastAsia="仿宋" w:cs="仿宋"/>
          <w:b/>
          <w:color w:val="auto"/>
          <w:kern w:val="0"/>
          <w:sz w:val="32"/>
          <w:szCs w:val="32"/>
          <w:highlight w:val="none"/>
        </w:rPr>
      </w:pPr>
    </w:p>
    <w:p w14:paraId="72572432">
      <w:pPr>
        <w:jc w:val="center"/>
        <w:rPr>
          <w:rFonts w:hint="eastAsia" w:ascii="仿宋" w:hAnsi="仿宋" w:eastAsia="仿宋" w:cs="仿宋"/>
          <w:b/>
          <w:color w:val="auto"/>
          <w:kern w:val="0"/>
          <w:sz w:val="32"/>
          <w:szCs w:val="32"/>
          <w:highlight w:val="none"/>
        </w:rPr>
      </w:pPr>
    </w:p>
    <w:p w14:paraId="5D55A61F">
      <w:pPr>
        <w:jc w:val="center"/>
        <w:rPr>
          <w:rFonts w:hint="eastAsia" w:ascii="仿宋" w:hAnsi="仿宋" w:eastAsia="仿宋" w:cs="仿宋"/>
          <w:b/>
          <w:color w:val="auto"/>
          <w:kern w:val="0"/>
          <w:sz w:val="32"/>
          <w:szCs w:val="32"/>
          <w:highlight w:val="none"/>
        </w:rPr>
      </w:pPr>
    </w:p>
    <w:p w14:paraId="53F30E1A">
      <w:pPr>
        <w:jc w:val="center"/>
        <w:rPr>
          <w:rFonts w:hint="eastAsia" w:ascii="仿宋" w:hAnsi="仿宋" w:eastAsia="仿宋" w:cs="仿宋"/>
          <w:b/>
          <w:color w:val="auto"/>
          <w:kern w:val="0"/>
          <w:sz w:val="32"/>
          <w:szCs w:val="32"/>
          <w:highlight w:val="none"/>
        </w:rPr>
      </w:pPr>
    </w:p>
    <w:p w14:paraId="5C0D4D3A">
      <w:pPr>
        <w:jc w:val="center"/>
        <w:rPr>
          <w:rFonts w:hint="eastAsia" w:ascii="仿宋" w:hAnsi="仿宋" w:eastAsia="仿宋" w:cs="仿宋"/>
          <w:b/>
          <w:color w:val="auto"/>
          <w:kern w:val="0"/>
          <w:sz w:val="32"/>
          <w:szCs w:val="32"/>
          <w:highlight w:val="none"/>
        </w:rPr>
      </w:pPr>
    </w:p>
    <w:p w14:paraId="011A655A">
      <w:pPr>
        <w:jc w:val="center"/>
        <w:rPr>
          <w:rFonts w:hint="eastAsia" w:ascii="仿宋" w:hAnsi="仿宋" w:eastAsia="仿宋" w:cs="仿宋"/>
          <w:b/>
          <w:color w:val="auto"/>
          <w:kern w:val="0"/>
          <w:sz w:val="32"/>
          <w:szCs w:val="32"/>
          <w:highlight w:val="none"/>
        </w:rPr>
      </w:pPr>
    </w:p>
    <w:p w14:paraId="1930469D">
      <w:pPr>
        <w:jc w:val="center"/>
        <w:rPr>
          <w:rFonts w:hint="eastAsia" w:ascii="仿宋" w:hAnsi="仿宋" w:eastAsia="仿宋" w:cs="仿宋"/>
          <w:b/>
          <w:color w:val="auto"/>
          <w:kern w:val="0"/>
          <w:sz w:val="32"/>
          <w:szCs w:val="32"/>
          <w:highlight w:val="none"/>
        </w:rPr>
      </w:pPr>
    </w:p>
    <w:p w14:paraId="6CAD3704">
      <w:pPr>
        <w:jc w:val="center"/>
        <w:rPr>
          <w:rFonts w:hint="eastAsia" w:ascii="仿宋" w:hAnsi="仿宋" w:eastAsia="仿宋" w:cs="仿宋"/>
          <w:b/>
          <w:color w:val="auto"/>
          <w:kern w:val="0"/>
          <w:sz w:val="32"/>
          <w:szCs w:val="32"/>
          <w:highlight w:val="none"/>
        </w:rPr>
      </w:pPr>
    </w:p>
    <w:p w14:paraId="2E496979">
      <w:pPr>
        <w:jc w:val="center"/>
        <w:rPr>
          <w:rFonts w:hint="eastAsia" w:ascii="仿宋" w:hAnsi="仿宋" w:eastAsia="仿宋" w:cs="仿宋"/>
          <w:b/>
          <w:color w:val="auto"/>
          <w:kern w:val="0"/>
          <w:sz w:val="32"/>
          <w:szCs w:val="32"/>
          <w:highlight w:val="none"/>
        </w:rPr>
      </w:pPr>
    </w:p>
    <w:p w14:paraId="76CA550D">
      <w:pPr>
        <w:jc w:val="center"/>
        <w:rPr>
          <w:rFonts w:hint="eastAsia" w:ascii="仿宋" w:hAnsi="仿宋" w:eastAsia="仿宋" w:cs="仿宋"/>
          <w:b/>
          <w:color w:val="auto"/>
          <w:kern w:val="0"/>
          <w:sz w:val="32"/>
          <w:szCs w:val="32"/>
          <w:highlight w:val="none"/>
        </w:rPr>
      </w:pPr>
    </w:p>
    <w:p w14:paraId="5F888783">
      <w:pPr>
        <w:jc w:val="center"/>
        <w:rPr>
          <w:rFonts w:hint="eastAsia" w:ascii="仿宋" w:hAnsi="仿宋" w:eastAsia="仿宋" w:cs="仿宋"/>
          <w:b/>
          <w:color w:val="auto"/>
          <w:kern w:val="0"/>
          <w:sz w:val="32"/>
          <w:szCs w:val="32"/>
          <w:highlight w:val="none"/>
        </w:rPr>
      </w:pPr>
    </w:p>
    <w:p w14:paraId="0A0A4221">
      <w:pPr>
        <w:jc w:val="center"/>
        <w:rPr>
          <w:rFonts w:hint="eastAsia" w:ascii="仿宋" w:hAnsi="仿宋" w:eastAsia="仿宋" w:cs="仿宋"/>
          <w:b/>
          <w:color w:val="auto"/>
          <w:kern w:val="0"/>
          <w:sz w:val="32"/>
          <w:szCs w:val="32"/>
          <w:highlight w:val="none"/>
        </w:rPr>
      </w:pPr>
    </w:p>
    <w:p w14:paraId="5FADF91F">
      <w:pPr>
        <w:ind w:firstLine="2891" w:firstLineChars="900"/>
        <w:rPr>
          <w:rFonts w:hint="eastAsia" w:ascii="仿宋" w:hAnsi="仿宋" w:eastAsia="仿宋" w:cs="仿宋"/>
          <w:b/>
          <w:bCs/>
          <w:color w:val="auto"/>
          <w:sz w:val="32"/>
          <w:szCs w:val="32"/>
          <w:highlight w:val="none"/>
        </w:rPr>
      </w:pPr>
    </w:p>
    <w:p w14:paraId="0334CF41">
      <w:pPr>
        <w:ind w:firstLine="2891" w:firstLineChars="900"/>
        <w:rPr>
          <w:rFonts w:hint="eastAsia" w:ascii="仿宋" w:hAnsi="仿宋" w:eastAsia="仿宋" w:cs="仿宋"/>
          <w:b/>
          <w:bCs/>
          <w:color w:val="auto"/>
          <w:sz w:val="32"/>
          <w:szCs w:val="32"/>
          <w:highlight w:val="none"/>
        </w:rPr>
      </w:pPr>
    </w:p>
    <w:p w14:paraId="3BD348BE">
      <w:pPr>
        <w:ind w:firstLine="2891" w:firstLineChars="900"/>
        <w:rPr>
          <w:rFonts w:hint="eastAsia" w:ascii="仿宋" w:hAnsi="仿宋" w:eastAsia="仿宋" w:cs="仿宋"/>
          <w:b/>
          <w:bCs/>
          <w:color w:val="auto"/>
          <w:sz w:val="32"/>
          <w:szCs w:val="32"/>
          <w:highlight w:val="none"/>
        </w:rPr>
      </w:pPr>
    </w:p>
    <w:p w14:paraId="5A58162D">
      <w:pPr>
        <w:ind w:firstLine="2891" w:firstLineChars="900"/>
        <w:rPr>
          <w:rFonts w:hint="eastAsia" w:ascii="仿宋" w:hAnsi="仿宋" w:eastAsia="仿宋" w:cs="仿宋"/>
          <w:b/>
          <w:bCs/>
          <w:color w:val="auto"/>
          <w:sz w:val="32"/>
          <w:szCs w:val="32"/>
          <w:highlight w:val="none"/>
        </w:rPr>
      </w:pPr>
    </w:p>
    <w:p w14:paraId="55AEC0E2">
      <w:pPr>
        <w:ind w:firstLine="2891" w:firstLineChars="900"/>
        <w:rPr>
          <w:rFonts w:hint="eastAsia" w:ascii="仿宋" w:hAnsi="仿宋" w:eastAsia="仿宋" w:cs="仿宋"/>
          <w:b/>
          <w:bCs/>
          <w:color w:val="auto"/>
          <w:sz w:val="32"/>
          <w:szCs w:val="32"/>
          <w:highlight w:val="none"/>
        </w:rPr>
      </w:pPr>
    </w:p>
    <w:p w14:paraId="1B8F1A81">
      <w:pPr>
        <w:ind w:firstLine="2891" w:firstLineChars="900"/>
        <w:rPr>
          <w:rFonts w:hint="eastAsia" w:ascii="仿宋" w:hAnsi="仿宋" w:eastAsia="仿宋" w:cs="仿宋"/>
          <w:b/>
          <w:bCs/>
          <w:color w:val="auto"/>
          <w:sz w:val="32"/>
          <w:szCs w:val="32"/>
          <w:highlight w:val="none"/>
        </w:rPr>
      </w:pPr>
    </w:p>
    <w:p w14:paraId="3AA4520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C4ED66">
      <w:pPr>
        <w:numPr>
          <w:ilvl w:val="0"/>
          <w:numId w:val="10"/>
        </w:numPr>
        <w:ind w:left="0" w:leftChars="0" w:firstLine="0" w:firstLineChars="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政府采购供应商廉洁自律承诺书</w:t>
      </w:r>
    </w:p>
    <w:p w14:paraId="2CF82353">
      <w:pPr>
        <w:pStyle w:val="41"/>
        <w:widowControl w:val="0"/>
        <w:numPr>
          <w:ilvl w:val="0"/>
          <w:numId w:val="0"/>
        </w:numPr>
        <w:adjustRightInd w:val="0"/>
        <w:jc w:val="both"/>
        <w:rPr>
          <w:rFonts w:hint="eastAsia" w:ascii="仿宋" w:hAnsi="仿宋" w:eastAsia="仿宋" w:cs="仿宋"/>
          <w:color w:val="auto"/>
          <w:highlight w:val="none"/>
        </w:rPr>
      </w:pPr>
    </w:p>
    <w:p w14:paraId="364939F8">
      <w:pPr>
        <w:snapToGrid w:val="0"/>
        <w:spacing w:line="360" w:lineRule="auto"/>
        <w:rPr>
          <w:rFonts w:hint="eastAsia" w:ascii="仿宋" w:hAnsi="仿宋" w:eastAsia="仿宋" w:cs="仿宋"/>
          <w:color w:val="auto"/>
          <w:sz w:val="24"/>
          <w:highlight w:val="none"/>
        </w:rPr>
      </w:pPr>
    </w:p>
    <w:p w14:paraId="1A5F611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7D54417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项目交易要求参加投标。在这次投标过程中和中标后，我们将严格遵守国家法律法规要求，并郑重承诺：</w:t>
      </w:r>
    </w:p>
    <w:p w14:paraId="28D06BF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18EC76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6C87F4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786804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B33EE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B67BBC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21CC66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交易投标</w:t>
      </w:r>
    </w:p>
    <w:p w14:paraId="41EB660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65483E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FEEBF5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1265AA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CC5FD3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B797A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763D76A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E7D285B">
      <w:pPr>
        <w:numPr>
          <w:ilvl w:val="0"/>
          <w:numId w:val="11"/>
        </w:numPr>
        <w:spacing w:line="360" w:lineRule="auto"/>
        <w:jc w:val="center"/>
        <w:rPr>
          <w:rFonts w:hint="eastAsia" w:ascii="仿宋" w:hAnsi="仿宋" w:eastAsia="仿宋" w:cs="仿宋"/>
          <w:b/>
          <w:bCs/>
          <w:color w:val="auto"/>
          <w:kern w:val="0"/>
          <w:sz w:val="24"/>
          <w:highlight w:val="none"/>
        </w:rPr>
        <w:sectPr>
          <w:headerReference r:id="rId9" w:type="default"/>
          <w:footerReference r:id="rId10" w:type="default"/>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14:paraId="36DF1D28">
      <w:pPr>
        <w:spacing w:line="360" w:lineRule="auto"/>
        <w:ind w:right="420"/>
        <w:rPr>
          <w:rFonts w:hint="eastAsia" w:ascii="仿宋" w:hAnsi="仿宋" w:eastAsia="仿宋" w:cs="仿宋"/>
          <w:b/>
          <w:color w:val="auto"/>
          <w:sz w:val="24"/>
          <w:highlight w:val="none"/>
        </w:rPr>
      </w:pPr>
    </w:p>
    <w:p w14:paraId="55FCBC7D">
      <w:pPr>
        <w:pStyle w:val="3"/>
        <w:rPr>
          <w:rFonts w:hint="eastAsia" w:ascii="仿宋" w:hAnsi="仿宋" w:eastAsia="仿宋" w:cs="仿宋"/>
          <w:color w:val="auto"/>
          <w:highlight w:val="none"/>
        </w:rPr>
      </w:pPr>
      <w:bookmarkStart w:id="413" w:name="_Toc465665161"/>
      <w:r>
        <w:rPr>
          <w:rFonts w:hint="eastAsia" w:ascii="仿宋" w:hAnsi="仿宋" w:eastAsia="仿宋" w:cs="仿宋"/>
          <w:color w:val="auto"/>
          <w:highlight w:val="none"/>
        </w:rPr>
        <w:t>附件</w:t>
      </w:r>
      <w:bookmarkEnd w:id="413"/>
    </w:p>
    <w:p w14:paraId="0E7EB8CD">
      <w:pPr>
        <w:rPr>
          <w:rFonts w:hint="eastAsia" w:ascii="仿宋" w:hAnsi="仿宋" w:eastAsia="仿宋" w:cs="仿宋"/>
          <w:color w:val="auto"/>
          <w:highlight w:val="none"/>
        </w:rPr>
      </w:pPr>
    </w:p>
    <w:p w14:paraId="6D1E64EB">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22F8F4F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109E47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30E14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87A3C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邮箱： </w:t>
      </w:r>
      <w:r>
        <w:rPr>
          <w:rFonts w:hint="eastAsia" w:ascii="仿宋" w:hAnsi="仿宋" w:eastAsia="仿宋" w:cs="仿宋"/>
          <w:color w:val="auto"/>
          <w:sz w:val="24"/>
          <w:highlight w:val="none"/>
          <w:u w:val="dotted"/>
        </w:rPr>
        <w:t xml:space="preserve">                      </w:t>
      </w:r>
    </w:p>
    <w:p w14:paraId="6F35B0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C36CB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762F9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E9161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D9A2EA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3360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0243D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标项号：</w:t>
      </w:r>
      <w:r>
        <w:rPr>
          <w:rFonts w:hint="eastAsia" w:ascii="仿宋" w:hAnsi="仿宋" w:eastAsia="仿宋" w:cs="仿宋"/>
          <w:color w:val="auto"/>
          <w:sz w:val="24"/>
          <w:highlight w:val="none"/>
          <w:u w:val="dotted"/>
        </w:rPr>
        <w:t xml:space="preserve">                 </w:t>
      </w:r>
    </w:p>
    <w:p w14:paraId="770E96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4B226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C26EFC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A7727A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D26A4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18E7E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7F3A3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B19F2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2DCAAC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EB346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FB9346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F17DA5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44132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3682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8652538">
      <w:pPr>
        <w:spacing w:line="360" w:lineRule="auto"/>
        <w:jc w:val="center"/>
        <w:rPr>
          <w:rFonts w:hint="eastAsia" w:ascii="仿宋" w:hAnsi="仿宋" w:eastAsia="仿宋" w:cs="仿宋"/>
          <w:b/>
          <w:bCs/>
          <w:color w:val="auto"/>
          <w:sz w:val="24"/>
          <w:highlight w:val="none"/>
        </w:rPr>
      </w:pPr>
    </w:p>
    <w:p w14:paraId="5F7FFCCA">
      <w:pPr>
        <w:spacing w:line="360" w:lineRule="auto"/>
        <w:rPr>
          <w:rFonts w:hint="eastAsia" w:ascii="仿宋" w:hAnsi="仿宋" w:eastAsia="仿宋" w:cs="仿宋"/>
          <w:b/>
          <w:color w:val="auto"/>
          <w:sz w:val="24"/>
          <w:highlight w:val="none"/>
        </w:rPr>
      </w:pPr>
    </w:p>
    <w:p w14:paraId="1E1BC7CB">
      <w:pPr>
        <w:spacing w:line="360" w:lineRule="auto"/>
        <w:rPr>
          <w:rFonts w:hint="eastAsia" w:ascii="仿宋" w:hAnsi="仿宋" w:eastAsia="仿宋" w:cs="仿宋"/>
          <w:b/>
          <w:color w:val="auto"/>
          <w:sz w:val="24"/>
          <w:highlight w:val="none"/>
        </w:rPr>
      </w:pPr>
    </w:p>
    <w:p w14:paraId="6B05B04D">
      <w:pPr>
        <w:spacing w:line="360" w:lineRule="auto"/>
        <w:rPr>
          <w:rFonts w:hint="eastAsia" w:ascii="仿宋" w:hAnsi="仿宋" w:eastAsia="仿宋" w:cs="仿宋"/>
          <w:b/>
          <w:color w:val="auto"/>
          <w:sz w:val="24"/>
          <w:highlight w:val="none"/>
        </w:rPr>
      </w:pPr>
    </w:p>
    <w:p w14:paraId="7758A3B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84DC2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2AB322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39B04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64CB1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7264A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2D10F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66F83">
      <w:pPr>
        <w:widowControl/>
        <w:spacing w:line="360" w:lineRule="auto"/>
        <w:ind w:firstLine="600" w:firstLineChars="200"/>
        <w:jc w:val="left"/>
        <w:rPr>
          <w:rFonts w:hint="eastAsia" w:ascii="仿宋" w:hAnsi="仿宋" w:eastAsia="仿宋" w:cs="仿宋"/>
          <w:color w:val="auto"/>
          <w:sz w:val="30"/>
          <w:szCs w:val="30"/>
          <w:highlight w:val="none"/>
        </w:rPr>
      </w:pPr>
    </w:p>
    <w:p w14:paraId="32FE03F6">
      <w:pPr>
        <w:spacing w:line="360" w:lineRule="auto"/>
        <w:jc w:val="center"/>
        <w:rPr>
          <w:rFonts w:hint="eastAsia" w:ascii="仿宋" w:hAnsi="仿宋" w:eastAsia="仿宋" w:cs="仿宋"/>
          <w:b/>
          <w:color w:val="auto"/>
          <w:spacing w:val="6"/>
          <w:sz w:val="32"/>
          <w:szCs w:val="32"/>
          <w:highlight w:val="none"/>
        </w:rPr>
      </w:pPr>
    </w:p>
    <w:p w14:paraId="54557614">
      <w:pPr>
        <w:spacing w:line="360" w:lineRule="auto"/>
        <w:jc w:val="center"/>
        <w:rPr>
          <w:rFonts w:hint="eastAsia" w:ascii="仿宋" w:hAnsi="仿宋" w:eastAsia="仿宋" w:cs="仿宋"/>
          <w:b/>
          <w:color w:val="auto"/>
          <w:spacing w:val="6"/>
          <w:sz w:val="32"/>
          <w:szCs w:val="32"/>
          <w:highlight w:val="none"/>
        </w:rPr>
      </w:pPr>
    </w:p>
    <w:p w14:paraId="34B83B3E">
      <w:pPr>
        <w:spacing w:line="360" w:lineRule="auto"/>
        <w:jc w:val="center"/>
        <w:rPr>
          <w:rFonts w:hint="eastAsia" w:ascii="仿宋" w:hAnsi="仿宋" w:eastAsia="仿宋" w:cs="仿宋"/>
          <w:b/>
          <w:color w:val="auto"/>
          <w:spacing w:val="6"/>
          <w:sz w:val="32"/>
          <w:szCs w:val="32"/>
          <w:highlight w:val="none"/>
        </w:rPr>
      </w:pPr>
    </w:p>
    <w:p w14:paraId="6D5E42FC">
      <w:pPr>
        <w:spacing w:line="360" w:lineRule="auto"/>
        <w:jc w:val="center"/>
        <w:rPr>
          <w:rFonts w:hint="eastAsia" w:ascii="仿宋" w:hAnsi="仿宋" w:eastAsia="仿宋" w:cs="仿宋"/>
          <w:b/>
          <w:color w:val="auto"/>
          <w:spacing w:val="6"/>
          <w:sz w:val="32"/>
          <w:szCs w:val="32"/>
          <w:highlight w:val="none"/>
        </w:rPr>
      </w:pPr>
    </w:p>
    <w:p w14:paraId="36114D89">
      <w:pPr>
        <w:spacing w:line="360" w:lineRule="auto"/>
        <w:jc w:val="center"/>
        <w:rPr>
          <w:rFonts w:hint="eastAsia" w:ascii="仿宋" w:hAnsi="仿宋" w:eastAsia="仿宋" w:cs="仿宋"/>
          <w:b/>
          <w:color w:val="auto"/>
          <w:spacing w:val="6"/>
          <w:sz w:val="32"/>
          <w:szCs w:val="32"/>
          <w:highlight w:val="none"/>
        </w:rPr>
      </w:pPr>
    </w:p>
    <w:p w14:paraId="674068AC">
      <w:pPr>
        <w:spacing w:line="360" w:lineRule="auto"/>
        <w:jc w:val="center"/>
        <w:rPr>
          <w:rFonts w:hint="eastAsia" w:ascii="仿宋" w:hAnsi="仿宋" w:eastAsia="仿宋" w:cs="仿宋"/>
          <w:b/>
          <w:color w:val="auto"/>
          <w:spacing w:val="6"/>
          <w:sz w:val="32"/>
          <w:szCs w:val="32"/>
          <w:highlight w:val="none"/>
        </w:rPr>
      </w:pPr>
    </w:p>
    <w:p w14:paraId="43964EF5">
      <w:pPr>
        <w:spacing w:line="360" w:lineRule="auto"/>
        <w:jc w:val="center"/>
        <w:rPr>
          <w:rFonts w:hint="eastAsia" w:ascii="仿宋" w:hAnsi="仿宋" w:eastAsia="仿宋" w:cs="仿宋"/>
          <w:b/>
          <w:color w:val="auto"/>
          <w:spacing w:val="6"/>
          <w:sz w:val="32"/>
          <w:szCs w:val="32"/>
          <w:highlight w:val="none"/>
        </w:rPr>
      </w:pPr>
    </w:p>
    <w:p w14:paraId="7AB7E59E">
      <w:pPr>
        <w:spacing w:line="360" w:lineRule="auto"/>
        <w:jc w:val="center"/>
        <w:rPr>
          <w:rFonts w:hint="eastAsia" w:ascii="仿宋" w:hAnsi="仿宋" w:eastAsia="仿宋" w:cs="仿宋"/>
          <w:b/>
          <w:color w:val="auto"/>
          <w:spacing w:val="6"/>
          <w:sz w:val="32"/>
          <w:szCs w:val="32"/>
          <w:highlight w:val="none"/>
        </w:rPr>
      </w:pPr>
    </w:p>
    <w:p w14:paraId="7535E842">
      <w:pPr>
        <w:spacing w:line="360" w:lineRule="auto"/>
        <w:jc w:val="center"/>
        <w:rPr>
          <w:rFonts w:hint="eastAsia" w:ascii="仿宋" w:hAnsi="仿宋" w:eastAsia="仿宋" w:cs="仿宋"/>
          <w:b/>
          <w:color w:val="auto"/>
          <w:spacing w:val="6"/>
          <w:sz w:val="32"/>
          <w:szCs w:val="32"/>
          <w:highlight w:val="none"/>
        </w:rPr>
      </w:pPr>
    </w:p>
    <w:p w14:paraId="2A8964D5">
      <w:pPr>
        <w:spacing w:line="360" w:lineRule="auto"/>
        <w:jc w:val="center"/>
        <w:rPr>
          <w:rFonts w:hint="eastAsia" w:ascii="仿宋" w:hAnsi="仿宋" w:eastAsia="仿宋" w:cs="仿宋"/>
          <w:b/>
          <w:color w:val="auto"/>
          <w:spacing w:val="6"/>
          <w:sz w:val="32"/>
          <w:szCs w:val="32"/>
          <w:highlight w:val="none"/>
        </w:rPr>
      </w:pPr>
    </w:p>
    <w:p w14:paraId="3925338E">
      <w:pPr>
        <w:spacing w:line="360" w:lineRule="auto"/>
        <w:jc w:val="center"/>
        <w:rPr>
          <w:rFonts w:hint="eastAsia" w:ascii="仿宋" w:hAnsi="仿宋" w:eastAsia="仿宋" w:cs="仿宋"/>
          <w:b/>
          <w:color w:val="auto"/>
          <w:spacing w:val="6"/>
          <w:sz w:val="32"/>
          <w:szCs w:val="32"/>
          <w:highlight w:val="none"/>
        </w:rPr>
      </w:pPr>
    </w:p>
    <w:p w14:paraId="258970FB">
      <w:pPr>
        <w:spacing w:line="360" w:lineRule="auto"/>
        <w:jc w:val="center"/>
        <w:rPr>
          <w:rFonts w:hint="eastAsia" w:ascii="仿宋" w:hAnsi="仿宋" w:eastAsia="仿宋" w:cs="仿宋"/>
          <w:b/>
          <w:color w:val="auto"/>
          <w:spacing w:val="6"/>
          <w:sz w:val="32"/>
          <w:szCs w:val="32"/>
          <w:highlight w:val="none"/>
        </w:rPr>
      </w:pPr>
    </w:p>
    <w:p w14:paraId="78331468">
      <w:pPr>
        <w:spacing w:line="360" w:lineRule="auto"/>
        <w:jc w:val="left"/>
        <w:rPr>
          <w:rFonts w:hint="eastAsia" w:ascii="仿宋" w:hAnsi="仿宋" w:eastAsia="仿宋" w:cs="仿宋"/>
          <w:b/>
          <w:color w:val="auto"/>
          <w:spacing w:val="6"/>
          <w:sz w:val="32"/>
          <w:szCs w:val="32"/>
          <w:highlight w:val="none"/>
        </w:rPr>
      </w:pPr>
    </w:p>
    <w:p w14:paraId="0C97860B">
      <w:pPr>
        <w:spacing w:line="360" w:lineRule="auto"/>
        <w:jc w:val="left"/>
        <w:rPr>
          <w:rFonts w:hint="eastAsia" w:ascii="仿宋" w:hAnsi="仿宋" w:eastAsia="仿宋" w:cs="仿宋"/>
          <w:b/>
          <w:color w:val="auto"/>
          <w:spacing w:val="6"/>
          <w:sz w:val="32"/>
          <w:szCs w:val="32"/>
          <w:highlight w:val="none"/>
        </w:rPr>
      </w:pPr>
    </w:p>
    <w:p w14:paraId="56C3F6C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36177907">
      <w:pPr>
        <w:spacing w:line="360" w:lineRule="auto"/>
        <w:jc w:val="center"/>
        <w:rPr>
          <w:rFonts w:hint="eastAsia" w:ascii="仿宋" w:hAnsi="仿宋" w:eastAsia="仿宋" w:cs="仿宋"/>
          <w:b/>
          <w:color w:val="auto"/>
          <w:sz w:val="24"/>
          <w:highlight w:val="none"/>
        </w:rPr>
      </w:pPr>
    </w:p>
    <w:p w14:paraId="2326B53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EDE52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10A57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649D2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B8887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B6E71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E556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AE975F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05193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5D44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96A2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87CB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B923E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F2E6CD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70417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C16E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0226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98E4C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7F702A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A8BF7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C323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u w:val="dotted"/>
        </w:rPr>
        <w:t xml:space="preserve">                                         </w:t>
      </w:r>
    </w:p>
    <w:p w14:paraId="23EF5E0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FB4C6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DDD88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FBC4FB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A4C7D2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8EBFF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采购人/采购代理机构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F9246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C1A3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5CA94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9B13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80A966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A2CA6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7F9A7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138F9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B6A3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624B4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B1D11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E7A05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B4D25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0A634AC">
      <w:pPr>
        <w:spacing w:line="360" w:lineRule="auto"/>
        <w:rPr>
          <w:rFonts w:hint="eastAsia" w:ascii="仿宋" w:hAnsi="仿宋" w:eastAsia="仿宋" w:cs="仿宋"/>
          <w:b/>
          <w:color w:val="auto"/>
          <w:sz w:val="24"/>
          <w:highlight w:val="none"/>
        </w:rPr>
      </w:pPr>
    </w:p>
    <w:p w14:paraId="3E9221ED">
      <w:pPr>
        <w:spacing w:line="360" w:lineRule="auto"/>
        <w:rPr>
          <w:rFonts w:hint="eastAsia" w:ascii="仿宋" w:hAnsi="仿宋" w:eastAsia="仿宋" w:cs="仿宋"/>
          <w:b/>
          <w:color w:val="auto"/>
          <w:sz w:val="24"/>
          <w:highlight w:val="none"/>
        </w:rPr>
      </w:pPr>
    </w:p>
    <w:p w14:paraId="68A4DB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B7524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1B3E59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06B225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D90F09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BF1B0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33B03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CDD6F3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81E59D">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6452DEB">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 xml:space="preserve"> 质疑答复范本</w:t>
      </w:r>
    </w:p>
    <w:p w14:paraId="245E2BF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关于**</w:t>
      </w:r>
      <w:r>
        <w:rPr>
          <w:rFonts w:hint="eastAsia" w:ascii="仿宋" w:hAnsi="仿宋" w:eastAsia="仿宋" w:cs="仿宋"/>
          <w:b/>
          <w:color w:val="auto"/>
          <w:spacing w:val="6"/>
          <w:sz w:val="32"/>
          <w:szCs w:val="32"/>
          <w:highlight w:val="none"/>
          <w:lang w:val="en-US" w:eastAsia="zh-CN"/>
        </w:rPr>
        <w:t>***</w:t>
      </w:r>
      <w:r>
        <w:rPr>
          <w:rFonts w:hint="eastAsia" w:ascii="仿宋" w:hAnsi="仿宋" w:eastAsia="仿宋" w:cs="仿宋"/>
          <w:b/>
          <w:color w:val="auto"/>
          <w:spacing w:val="6"/>
          <w:sz w:val="32"/>
          <w:szCs w:val="32"/>
          <w:highlight w:val="none"/>
        </w:rPr>
        <w:t>项目质疑的答复</w:t>
      </w:r>
    </w:p>
    <w:p w14:paraId="3C5D42EF">
      <w:pPr>
        <w:snapToGrid w:val="0"/>
        <w:spacing w:line="360" w:lineRule="auto"/>
        <w:rPr>
          <w:rFonts w:hint="eastAsia" w:ascii="仿宋" w:hAnsi="仿宋" w:eastAsia="仿宋" w:cs="仿宋"/>
          <w:color w:val="auto"/>
          <w:sz w:val="24"/>
          <w:highlight w:val="none"/>
        </w:rPr>
      </w:pPr>
    </w:p>
    <w:p w14:paraId="1FF6A4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质疑项目名称：</w:t>
      </w:r>
      <w:r>
        <w:rPr>
          <w:rFonts w:hint="eastAsia" w:ascii="仿宋" w:hAnsi="仿宋" w:eastAsia="仿宋" w:cs="仿宋"/>
          <w:color w:val="auto"/>
          <w:sz w:val="24"/>
          <w:highlight w:val="none"/>
          <w:u w:val="dotted"/>
        </w:rPr>
        <w:t xml:space="preserve"> ***政府采购项目                                       </w:t>
      </w:r>
    </w:p>
    <w:p w14:paraId="397179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质疑项目编号：</w:t>
      </w:r>
      <w:r>
        <w:rPr>
          <w:rFonts w:hint="eastAsia" w:ascii="仿宋" w:hAnsi="仿宋" w:eastAsia="仿宋" w:cs="仿宋"/>
          <w:color w:val="auto"/>
          <w:sz w:val="24"/>
          <w:highlight w:val="none"/>
          <w:u w:val="dotted"/>
        </w:rPr>
        <w:t xml:space="preserve"> ***                                     </w:t>
      </w:r>
    </w:p>
    <w:p w14:paraId="7580A7E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本单位于  月  日收到质疑函，  月  日收到补充材料，答复内容如下。</w:t>
      </w:r>
    </w:p>
    <w:p w14:paraId="3C824EF5">
      <w:pPr>
        <w:numPr>
          <w:ilvl w:val="0"/>
          <w:numId w:val="12"/>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质疑人</w:t>
      </w:r>
    </w:p>
    <w:p w14:paraId="4BF3BEB3">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3E4A115">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DB2E75B">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                           </w:t>
      </w:r>
    </w:p>
    <w:p w14:paraId="48ACE162">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1C45FBD">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dotted"/>
        </w:rPr>
        <w:t xml:space="preserve">                                                </w:t>
      </w:r>
    </w:p>
    <w:p w14:paraId="2A889A6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二、项目采购人和代理机构</w:t>
      </w:r>
    </w:p>
    <w:p w14:paraId="74E3EE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dotted"/>
        </w:rPr>
        <w:t xml:space="preserve">                                                             </w:t>
      </w:r>
    </w:p>
    <w:p w14:paraId="06117EF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采购人地址：</w:t>
      </w:r>
      <w:r>
        <w:rPr>
          <w:rFonts w:hint="eastAsia" w:ascii="仿宋" w:hAnsi="仿宋" w:eastAsia="仿宋" w:cs="仿宋"/>
          <w:color w:val="auto"/>
          <w:sz w:val="24"/>
          <w:highlight w:val="none"/>
          <w:u w:val="dotted"/>
        </w:rPr>
        <w:t xml:space="preserve">                                                          </w:t>
      </w:r>
    </w:p>
    <w:p w14:paraId="15D5C334">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235268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dotted"/>
        </w:rPr>
        <w:t xml:space="preserve">                                                        </w:t>
      </w:r>
    </w:p>
    <w:p w14:paraId="0728EE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采购代理机构地址：</w:t>
      </w:r>
      <w:r>
        <w:rPr>
          <w:rFonts w:hint="eastAsia" w:ascii="仿宋" w:hAnsi="仿宋" w:eastAsia="仿宋" w:cs="仿宋"/>
          <w:color w:val="auto"/>
          <w:sz w:val="24"/>
          <w:highlight w:val="none"/>
          <w:u w:val="dotted"/>
        </w:rPr>
        <w:t xml:space="preserve">                                                     </w:t>
      </w:r>
    </w:p>
    <w:p w14:paraId="1FCDEB3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6E353AC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w:t>
      </w:r>
    </w:p>
    <w:p w14:paraId="44536A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C834A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r>
        <w:rPr>
          <w:rFonts w:hint="eastAsia" w:ascii="仿宋" w:hAnsi="仿宋" w:eastAsia="仿宋" w:cs="仿宋"/>
          <w:color w:val="auto"/>
          <w:sz w:val="24"/>
          <w:highlight w:val="none"/>
          <w:u w:val="dotted"/>
        </w:rPr>
        <w:t xml:space="preserve">                    </w:t>
      </w:r>
    </w:p>
    <w:p w14:paraId="70C77F90">
      <w:pPr>
        <w:numPr>
          <w:ilvl w:val="0"/>
          <w:numId w:val="13"/>
        </w:num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审查及答复</w:t>
      </w:r>
    </w:p>
    <w:p w14:paraId="6E83F5F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bCs/>
          <w:color w:val="auto"/>
          <w:sz w:val="24"/>
          <w:highlight w:val="none"/>
        </w:rPr>
        <w:t>事项1：</w:t>
      </w:r>
      <w:r>
        <w:rPr>
          <w:rFonts w:hint="eastAsia" w:ascii="仿宋" w:hAnsi="仿宋" w:eastAsia="仿宋" w:cs="仿宋"/>
          <w:color w:val="auto"/>
          <w:sz w:val="24"/>
          <w:highlight w:val="none"/>
          <w:u w:val="dotted"/>
        </w:rPr>
        <w:t xml:space="preserve">                    </w:t>
      </w:r>
    </w:p>
    <w:p w14:paraId="4C4A4C2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事项2：</w:t>
      </w:r>
      <w:r>
        <w:rPr>
          <w:rFonts w:hint="eastAsia" w:ascii="仿宋" w:hAnsi="仿宋" w:eastAsia="仿宋" w:cs="仿宋"/>
          <w:color w:val="auto"/>
          <w:sz w:val="24"/>
          <w:highlight w:val="none"/>
          <w:u w:val="dotted"/>
        </w:rPr>
        <w:t xml:space="preserve">                    </w:t>
      </w:r>
    </w:p>
    <w:p w14:paraId="7ABFBB8B">
      <w:pPr>
        <w:snapToGrid w:val="0"/>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欢迎并感谢你单位对政府采购活动的参与和支持。</w:t>
      </w:r>
    </w:p>
    <w:p w14:paraId="67C17C31">
      <w:pPr>
        <w:snapToGrid w:val="0"/>
        <w:spacing w:line="360" w:lineRule="auto"/>
        <w:rPr>
          <w:rFonts w:hint="eastAsia" w:ascii="仿宋" w:hAnsi="仿宋" w:eastAsia="仿宋" w:cs="仿宋"/>
          <w:bCs/>
          <w:color w:val="auto"/>
          <w:sz w:val="24"/>
          <w:highlight w:val="none"/>
        </w:rPr>
      </w:pPr>
    </w:p>
    <w:p w14:paraId="200792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采购单位：</w:t>
      </w:r>
    </w:p>
    <w:p w14:paraId="366E56AA">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p w14:paraId="4A961895">
      <w:pPr>
        <w:spacing w:line="360" w:lineRule="auto"/>
        <w:rPr>
          <w:rFonts w:hint="eastAsia" w:ascii="仿宋" w:hAnsi="仿宋" w:eastAsia="仿宋" w:cs="仿宋"/>
          <w:b/>
          <w:color w:val="auto"/>
          <w:sz w:val="24"/>
          <w:highlight w:val="none"/>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modern"/>
    <w:pitch w:val="default"/>
    <w:sig w:usb0="80000287" w:usb1="2ACF3C50" w:usb2="00000016" w:usb3="00000000" w:csb0="0004001F" w:csb1="00000000"/>
  </w:font>
  <w:font w:name="隶书">
    <w:altName w:val="微软雅黑"/>
    <w:panose1 w:val="02010509060101010101"/>
    <w:charset w:val="86"/>
    <w:family w:val="roma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modern"/>
    <w:pitch w:val="default"/>
    <w:sig w:usb0="00000007" w:usb1="00000000" w:usb2="00000000" w:usb3="00000000" w:csb0="00000093" w:csb1="00000000"/>
  </w:font>
  <w:font w:name="Lucida Sans">
    <w:altName w:val="Lucida Sans Unicode"/>
    <w:panose1 w:val="020B0602030504020204"/>
    <w:charset w:val="00"/>
    <w:family w:val="modern"/>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modern"/>
    <w:pitch w:val="default"/>
    <w:sig w:usb0="00000000" w:usb1="00000000" w:usb2="00000000" w:usb3="00000000" w:csb0="00000001" w:csb1="00000000"/>
  </w:font>
  <w:font w:name="ˎ̥">
    <w:altName w:val="微软雅黑"/>
    <w:panose1 w:val="00000000000000000000"/>
    <w:charset w:val="00"/>
    <w:family w:val="decorative"/>
    <w:pitch w:val="default"/>
    <w:sig w:usb0="00000000" w:usb1="00000000" w:usb2="00000000" w:usb3="00000000" w:csb0="00040001" w:csb1="00000000"/>
  </w:font>
  <w:font w:name="Futura Bk">
    <w:altName w:val="Trebuchet MS"/>
    <w:panose1 w:val="00000000000000000000"/>
    <w:charset w:val="00"/>
    <w:family w:val="modern"/>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roma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modern"/>
    <w:pitch w:val="default"/>
    <w:sig w:usb0="00000000" w:usb1="00000000" w:usb2="00000000" w:usb3="00000000" w:csb0="2000009F" w:csb1="DFD70000"/>
  </w:font>
  <w:font w:name="新宋体">
    <w:panose1 w:val="02010609030101010101"/>
    <w:charset w:val="86"/>
    <w:family w:val="roman"/>
    <w:pitch w:val="default"/>
    <w:sig w:usb0="00000203" w:usb1="288F0000" w:usb2="00000006" w:usb3="00000000" w:csb0="00040001" w:csb1="00000000"/>
  </w:font>
  <w:font w:name="Segoe UI">
    <w:panose1 w:val="020B0502040204020203"/>
    <w:charset w:val="00"/>
    <w:family w:val="modern"/>
    <w:pitch w:val="default"/>
    <w:sig w:usb0="E4002EFF" w:usb1="C000E47F" w:usb2="00000009" w:usb3="00000000" w:csb0="200001FF" w:csb1="00000000"/>
  </w:font>
  <w:font w:name="Latha">
    <w:altName w:val="Segoe Print"/>
    <w:panose1 w:val="020B0604020202020204"/>
    <w:charset w:val="01"/>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Century Gothic">
    <w:altName w:val="Yu Gothic UI"/>
    <w:panose1 w:val="020B0502020202020204"/>
    <w:charset w:val="00"/>
    <w:family w:val="modern"/>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modern"/>
    <w:pitch w:val="default"/>
    <w:sig w:usb0="00000000" w:usb1="00000000" w:usb2="00000000" w:usb3="00000000" w:csb0="00000001" w:csb1="00000000"/>
  </w:font>
  <w:font w:name="Aldine401 BT">
    <w:altName w:val="Courier New"/>
    <w:panose1 w:val="00000000000000000000"/>
    <w:charset w:val="00"/>
    <w:family w:val="decorative"/>
    <w:pitch w:val="default"/>
    <w:sig w:usb0="00000000" w:usb1="00000000" w:usb2="00000000" w:usb3="00000000" w:csb0="00000001" w:csb1="00000000"/>
  </w:font>
  <w:font w:name="幼圆">
    <w:altName w:val="宋体"/>
    <w:panose1 w:val="02010509060101010101"/>
    <w:charset w:val="86"/>
    <w:family w:val="roman"/>
    <w:pitch w:val="default"/>
    <w:sig w:usb0="00000000" w:usb1="00000000" w:usb2="00000000" w:usb3="00000000" w:csb0="00040000" w:csb1="00000000"/>
  </w:font>
  <w:font w:name="FHLHE E+ Futura Bk">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09A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7E06DA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DF23">
    <w:pPr>
      <w:pStyle w:val="38"/>
      <w:framePr w:wrap="around" w:vAnchor="text" w:hAnchor="margin" w:xAlign="right" w:y="1"/>
      <w:rPr>
        <w:rStyle w:val="64"/>
      </w:rPr>
    </w:pPr>
    <w:r>
      <w:fldChar w:fldCharType="begin"/>
    </w:r>
    <w:r>
      <w:rPr>
        <w:rStyle w:val="64"/>
      </w:rPr>
      <w:instrText xml:space="preserve">PAGE  </w:instrText>
    </w:r>
    <w:r>
      <w:fldChar w:fldCharType="end"/>
    </w:r>
  </w:p>
  <w:p w14:paraId="5643A03D">
    <w:pPr>
      <w:pStyle w:val="38"/>
      <w:ind w:right="360"/>
    </w:pPr>
  </w:p>
  <w:p w14:paraId="1BE94D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D4A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510E9B3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F93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06D6E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7EB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84B3">
    <w:pPr>
      <w:pStyle w:val="38"/>
      <w:framePr w:wrap="around" w:vAnchor="text" w:hAnchor="margin" w:xAlign="right" w:y="1"/>
      <w:rPr>
        <w:rStyle w:val="64"/>
      </w:rPr>
    </w:pPr>
    <w:r>
      <w:fldChar w:fldCharType="begin"/>
    </w:r>
    <w:r>
      <w:rPr>
        <w:rStyle w:val="64"/>
      </w:rPr>
      <w:instrText xml:space="preserve">PAGE  </w:instrText>
    </w:r>
    <w:r>
      <w:fldChar w:fldCharType="end"/>
    </w:r>
  </w:p>
  <w:p w14:paraId="0133730A">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6BB6">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14" w:name="_Toc131845147"/>
    <w:bookmarkStart w:id="415" w:name="_Toc36110187"/>
    <w:bookmarkStart w:id="416" w:name="_Toc164085800"/>
    <w:bookmarkStart w:id="417" w:name="_Toc91899912"/>
    <w:r>
      <w:rPr>
        <w:rFonts w:hint="eastAsia" w:ascii="仿宋_GB2312" w:eastAsia="仿宋_GB2312"/>
        <w:kern w:val="0"/>
        <w:szCs w:val="21"/>
      </w:rPr>
      <w:t xml:space="preserve"> 页</w:t>
    </w:r>
    <w:bookmarkEnd w:id="414"/>
    <w:bookmarkEnd w:id="415"/>
    <w:bookmarkEnd w:id="416"/>
    <w:bookmarkEnd w:id="4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87E4">
    <w:pPr>
      <w:pStyle w:val="39"/>
      <w:jc w:val="right"/>
      <w:rPr>
        <w:rFonts w:ascii="仿宋_GB2312" w:eastAsia="仿宋_GB2312"/>
        <w:b/>
        <w:i/>
        <w:u w:val="single"/>
      </w:rPr>
    </w:pPr>
    <w:r>
      <w:rPr>
        <w:rFonts w:hint="eastAsia"/>
        <w:lang w:val="en-US" w:eastAsia="zh-CN"/>
      </w:rPr>
      <w:t xml:space="preserve">                                                                                                                                                                      </w:t>
    </w:r>
    <w:r>
      <w:rPr>
        <w:rFonts w:hint="eastAsia"/>
      </w:rPr>
      <w:t>公开</w:t>
    </w:r>
    <w:r>
      <w:rPr>
        <w:rFonts w:hint="eastAsia"/>
        <w:lang w:eastAsia="zh-CN"/>
      </w:rPr>
      <w:t>交易</w:t>
    </w:r>
    <w:r>
      <w:rPr>
        <w:rFonts w:hint="eastAsia"/>
      </w:rPr>
      <w:t>文件</w:t>
    </w:r>
  </w:p>
  <w:p w14:paraId="479DF496">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9A06">
    <w:pPr>
      <w:pStyle w:val="39"/>
    </w:pPr>
  </w:p>
  <w:p w14:paraId="3342BC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89F0">
    <w:pPr>
      <w:pStyle w:val="39"/>
    </w:pPr>
  </w:p>
  <w:p w14:paraId="53EC55A5">
    <w:pPr>
      <w:pStyle w:val="39"/>
    </w:pPr>
    <w:r>
      <w:rPr>
        <w:rFonts w:hint="eastAsia"/>
        <w:lang w:val="en-US" w:eastAsia="zh-CN"/>
      </w:rPr>
      <w:t xml:space="preserve">                                                                                       </w:t>
    </w:r>
    <w:r>
      <w:rPr>
        <w:rFonts w:hint="eastAsia"/>
      </w:rPr>
      <w:t>公开</w:t>
    </w:r>
    <w:r>
      <w:rPr>
        <w:rFonts w:hint="eastAsia"/>
        <w:lang w:eastAsia="zh-CN"/>
      </w:rPr>
      <w:t>交易</w:t>
    </w:r>
    <w:r>
      <w:rPr>
        <w:rFonts w:hint="eastAsia"/>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B5E3">
    <w:pPr>
      <w:pStyle w:val="39"/>
      <w:jc w:val="right"/>
      <w:rPr>
        <w:rFonts w:ascii="仿宋_GB2312" w:eastAsia="仿宋_GB2312"/>
        <w:b/>
        <w:i/>
        <w:u w:val="single"/>
      </w:rPr>
    </w:pPr>
    <w:r>
      <w:t></w:t>
    </w:r>
    <w:r>
      <w:rPr>
        <w:rFonts w:hint="eastAsia"/>
        <w:lang w:val="en-US" w:eastAsia="zh-CN"/>
      </w:rPr>
      <w:t xml:space="preserve">                 </w:t>
    </w:r>
    <w:r>
      <w:t>公开</w:t>
    </w:r>
    <w:r>
      <w:rPr>
        <w:rFonts w:hint="eastAsia"/>
        <w:lang w:eastAsia="zh-CN"/>
      </w:rPr>
      <w:t>交易</w:t>
    </w:r>
    <w:r>
      <w:t>文件</w:t>
    </w:r>
  </w:p>
  <w:p w14:paraId="4F8170E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5757">
    <w:pPr>
      <w:pStyle w:val="39"/>
      <w:rPr>
        <w:rFonts w:ascii="仿宋_GB2312" w:eastAsia="仿宋_GB2312"/>
        <w:b/>
        <w:i/>
        <w:iCs/>
        <w:u w:val="single"/>
      </w:rPr>
    </w:pPr>
    <w:r>
      <w:rPr>
        <w:rFonts w:hint="eastAsia"/>
        <w:lang w:val="en-US" w:eastAsia="zh-CN"/>
      </w:rPr>
      <w:t xml:space="preserve">                                                                                       </w:t>
    </w:r>
    <w:r>
      <w:rPr>
        <w:rFonts w:hint="eastAsia"/>
      </w:rPr>
      <w:t>公开</w:t>
    </w:r>
    <w:r>
      <w:rPr>
        <w:rFonts w:hint="eastAsia"/>
        <w:lang w:eastAsia="zh-CN"/>
      </w:rPr>
      <w:t>交易</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AB6E">
    <w:pPr>
      <w:pStyle w:val="39"/>
    </w:pPr>
  </w:p>
  <w:p w14:paraId="14B4D184">
    <w:pPr>
      <w:pStyle w:val="39"/>
    </w:pPr>
    <w:r>
      <w:rPr>
        <w:rFonts w:hint="eastAsia"/>
      </w:rPr>
      <w:t>萧山区政府采购公开</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C21B8D4E"/>
    <w:multiLevelType w:val="singleLevel"/>
    <w:tmpl w:val="C21B8D4E"/>
    <w:lvl w:ilvl="0" w:tentative="0">
      <w:start w:val="2"/>
      <w:numFmt w:val="chineseCounting"/>
      <w:suff w:val="nothing"/>
      <w:lvlText w:val="（%1）"/>
      <w:lvlJc w:val="left"/>
      <w:rPr>
        <w:rFonts w:hint="eastAsia"/>
      </w:rPr>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D18CB0"/>
    <w:multiLevelType w:val="singleLevel"/>
    <w:tmpl w:val="2AD18CB0"/>
    <w:lvl w:ilvl="0" w:tentative="0">
      <w:start w:val="2"/>
      <w:numFmt w:val="decimal"/>
      <w:suff w:val="nothing"/>
      <w:lvlText w:val="（%1）"/>
      <w:lvlJc w:val="left"/>
    </w:lvl>
  </w:abstractNum>
  <w:abstractNum w:abstractNumId="9">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8A8CF3"/>
    <w:multiLevelType w:val="singleLevel"/>
    <w:tmpl w:val="5E8A8CF3"/>
    <w:lvl w:ilvl="0" w:tentative="0">
      <w:start w:val="4"/>
      <w:numFmt w:val="chineseCounting"/>
      <w:suff w:val="nothing"/>
      <w:lvlText w:val="%1、"/>
      <w:lvlJc w:val="left"/>
      <w:rPr>
        <w:rFonts w:hint="eastAsia"/>
      </w:rPr>
    </w:lvl>
  </w:abstractNum>
  <w:abstractNum w:abstractNumId="12">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10"/>
  </w:num>
  <w:num w:numId="6">
    <w:abstractNumId w:val="12"/>
  </w:num>
  <w:num w:numId="7">
    <w:abstractNumId w:val="1"/>
  </w:num>
  <w:num w:numId="8">
    <w:abstractNumId w:val="9"/>
  </w:num>
  <w:num w:numId="9">
    <w:abstractNumId w:val="8"/>
  </w:num>
  <w:num w:numId="10">
    <w:abstractNumId w:val="1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OWFjZDI2NTE0ODlmNTRlODVmMGRmZGJhNzU1MDQ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4B36B4"/>
    <w:rsid w:val="0E53677C"/>
    <w:rsid w:val="0E7D26B6"/>
    <w:rsid w:val="0E924E11"/>
    <w:rsid w:val="0E9E6E62"/>
    <w:rsid w:val="0EB36461"/>
    <w:rsid w:val="0EB750E2"/>
    <w:rsid w:val="0F657030"/>
    <w:rsid w:val="0F816ACD"/>
    <w:rsid w:val="0FB94AA9"/>
    <w:rsid w:val="0FD44A90"/>
    <w:rsid w:val="10550967"/>
    <w:rsid w:val="10677240"/>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2D16DC9"/>
    <w:rsid w:val="13072A44"/>
    <w:rsid w:val="130B45A9"/>
    <w:rsid w:val="13173672"/>
    <w:rsid w:val="13414693"/>
    <w:rsid w:val="13497FBE"/>
    <w:rsid w:val="135B48AB"/>
    <w:rsid w:val="135D2E40"/>
    <w:rsid w:val="137C5628"/>
    <w:rsid w:val="138403CC"/>
    <w:rsid w:val="13B81E24"/>
    <w:rsid w:val="145543E5"/>
    <w:rsid w:val="146855F8"/>
    <w:rsid w:val="149B4CA4"/>
    <w:rsid w:val="14E530ED"/>
    <w:rsid w:val="15280237"/>
    <w:rsid w:val="15761F97"/>
    <w:rsid w:val="15C27407"/>
    <w:rsid w:val="15C312F8"/>
    <w:rsid w:val="15F6419B"/>
    <w:rsid w:val="161458E9"/>
    <w:rsid w:val="16167586"/>
    <w:rsid w:val="162F1D9B"/>
    <w:rsid w:val="1670582E"/>
    <w:rsid w:val="16A11B76"/>
    <w:rsid w:val="16E50215"/>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44389A"/>
    <w:rsid w:val="1A4D3453"/>
    <w:rsid w:val="1A554870"/>
    <w:rsid w:val="1A6C1BBA"/>
    <w:rsid w:val="1A7867B1"/>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2DC2"/>
    <w:rsid w:val="1C705335"/>
    <w:rsid w:val="1C73104C"/>
    <w:rsid w:val="1C944144"/>
    <w:rsid w:val="1C986C96"/>
    <w:rsid w:val="1CAE6BBC"/>
    <w:rsid w:val="1CCC6940"/>
    <w:rsid w:val="1CE67443"/>
    <w:rsid w:val="1CE974F2"/>
    <w:rsid w:val="1CF902A5"/>
    <w:rsid w:val="1CFB79C6"/>
    <w:rsid w:val="1D061E52"/>
    <w:rsid w:val="1D266CE1"/>
    <w:rsid w:val="1D295B40"/>
    <w:rsid w:val="1D3963AF"/>
    <w:rsid w:val="1D4D5E8E"/>
    <w:rsid w:val="1D762EC8"/>
    <w:rsid w:val="1D7F6A82"/>
    <w:rsid w:val="1D832687"/>
    <w:rsid w:val="1D83500D"/>
    <w:rsid w:val="1E0A530C"/>
    <w:rsid w:val="1E0D2147"/>
    <w:rsid w:val="1E3465FF"/>
    <w:rsid w:val="1E3E432C"/>
    <w:rsid w:val="1E601A36"/>
    <w:rsid w:val="1E714A66"/>
    <w:rsid w:val="1E796654"/>
    <w:rsid w:val="1E886C9D"/>
    <w:rsid w:val="1EAD0046"/>
    <w:rsid w:val="1EAE09F3"/>
    <w:rsid w:val="1ECF22A8"/>
    <w:rsid w:val="1EDD3086"/>
    <w:rsid w:val="1EE551B2"/>
    <w:rsid w:val="1EE7764E"/>
    <w:rsid w:val="1EF34658"/>
    <w:rsid w:val="1F0A6DC3"/>
    <w:rsid w:val="1F0F54A8"/>
    <w:rsid w:val="1F3B6EBB"/>
    <w:rsid w:val="1F62533A"/>
    <w:rsid w:val="1F7A6B27"/>
    <w:rsid w:val="1F7C7B91"/>
    <w:rsid w:val="1FC13803"/>
    <w:rsid w:val="1FC17A0D"/>
    <w:rsid w:val="1FE627DD"/>
    <w:rsid w:val="1FE868A9"/>
    <w:rsid w:val="1FF5350D"/>
    <w:rsid w:val="20036B1D"/>
    <w:rsid w:val="204E6847"/>
    <w:rsid w:val="207F084A"/>
    <w:rsid w:val="20AD351B"/>
    <w:rsid w:val="20BA3BA7"/>
    <w:rsid w:val="20C75D9C"/>
    <w:rsid w:val="20E250CB"/>
    <w:rsid w:val="213B0D78"/>
    <w:rsid w:val="214473ED"/>
    <w:rsid w:val="21505D92"/>
    <w:rsid w:val="21722593"/>
    <w:rsid w:val="217658F9"/>
    <w:rsid w:val="217C668E"/>
    <w:rsid w:val="219E6AFD"/>
    <w:rsid w:val="21DB4464"/>
    <w:rsid w:val="2217605D"/>
    <w:rsid w:val="222B63E9"/>
    <w:rsid w:val="225D5AB1"/>
    <w:rsid w:val="22E77460"/>
    <w:rsid w:val="23055FD8"/>
    <w:rsid w:val="2329689A"/>
    <w:rsid w:val="232A7827"/>
    <w:rsid w:val="23353491"/>
    <w:rsid w:val="2351124D"/>
    <w:rsid w:val="236478D2"/>
    <w:rsid w:val="237F19E8"/>
    <w:rsid w:val="23C34B4D"/>
    <w:rsid w:val="23D769A1"/>
    <w:rsid w:val="23ED0E03"/>
    <w:rsid w:val="244514B2"/>
    <w:rsid w:val="24860EE4"/>
    <w:rsid w:val="24861ACA"/>
    <w:rsid w:val="2490101C"/>
    <w:rsid w:val="24AE56A0"/>
    <w:rsid w:val="24E748D0"/>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6C7A9B"/>
    <w:rsid w:val="27E65F87"/>
    <w:rsid w:val="28013942"/>
    <w:rsid w:val="28051028"/>
    <w:rsid w:val="2822331D"/>
    <w:rsid w:val="28377363"/>
    <w:rsid w:val="28434545"/>
    <w:rsid w:val="284B5813"/>
    <w:rsid w:val="285F54D9"/>
    <w:rsid w:val="285F6637"/>
    <w:rsid w:val="286363AA"/>
    <w:rsid w:val="286640ED"/>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C0933DD"/>
    <w:rsid w:val="2C152DB5"/>
    <w:rsid w:val="2C4630FB"/>
    <w:rsid w:val="2C78619D"/>
    <w:rsid w:val="2C7A0167"/>
    <w:rsid w:val="2C857BF3"/>
    <w:rsid w:val="2C9A7991"/>
    <w:rsid w:val="2CAD4727"/>
    <w:rsid w:val="2D0D7B88"/>
    <w:rsid w:val="2D404F0C"/>
    <w:rsid w:val="2D742E08"/>
    <w:rsid w:val="2DBB0A37"/>
    <w:rsid w:val="2DD15014"/>
    <w:rsid w:val="2DD65871"/>
    <w:rsid w:val="2E0F2B31"/>
    <w:rsid w:val="2E1B7598"/>
    <w:rsid w:val="2E3D31FA"/>
    <w:rsid w:val="2E5F5866"/>
    <w:rsid w:val="2E61338C"/>
    <w:rsid w:val="2E677D38"/>
    <w:rsid w:val="2EDC2A13"/>
    <w:rsid w:val="2F0E6B2E"/>
    <w:rsid w:val="2F274E83"/>
    <w:rsid w:val="2F29570B"/>
    <w:rsid w:val="2F4B0DD2"/>
    <w:rsid w:val="2F8F356E"/>
    <w:rsid w:val="2FD25781"/>
    <w:rsid w:val="2FD951A4"/>
    <w:rsid w:val="2FFD2CC7"/>
    <w:rsid w:val="301165DA"/>
    <w:rsid w:val="30405223"/>
    <w:rsid w:val="308960F0"/>
    <w:rsid w:val="30A15875"/>
    <w:rsid w:val="30A56736"/>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547AF"/>
    <w:rsid w:val="31BB7257"/>
    <w:rsid w:val="32001F60"/>
    <w:rsid w:val="32062FF1"/>
    <w:rsid w:val="321F6690"/>
    <w:rsid w:val="32482A68"/>
    <w:rsid w:val="3268280F"/>
    <w:rsid w:val="327F7168"/>
    <w:rsid w:val="328E0844"/>
    <w:rsid w:val="329249EA"/>
    <w:rsid w:val="32953EF6"/>
    <w:rsid w:val="32C30F37"/>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45E4448"/>
    <w:rsid w:val="35275551"/>
    <w:rsid w:val="35700359"/>
    <w:rsid w:val="35831047"/>
    <w:rsid w:val="35BB6247"/>
    <w:rsid w:val="35D408E8"/>
    <w:rsid w:val="35EF127D"/>
    <w:rsid w:val="360B1E2F"/>
    <w:rsid w:val="362C24D2"/>
    <w:rsid w:val="364649EC"/>
    <w:rsid w:val="365302AE"/>
    <w:rsid w:val="3658762C"/>
    <w:rsid w:val="365D67EB"/>
    <w:rsid w:val="36A20866"/>
    <w:rsid w:val="36BB5604"/>
    <w:rsid w:val="36CD591E"/>
    <w:rsid w:val="36EC7FA3"/>
    <w:rsid w:val="370E1BD7"/>
    <w:rsid w:val="37305FF2"/>
    <w:rsid w:val="37672D54"/>
    <w:rsid w:val="379876B4"/>
    <w:rsid w:val="37B26B9E"/>
    <w:rsid w:val="382B66A0"/>
    <w:rsid w:val="386D6DD1"/>
    <w:rsid w:val="388E5275"/>
    <w:rsid w:val="38961E84"/>
    <w:rsid w:val="38981423"/>
    <w:rsid w:val="38E30E42"/>
    <w:rsid w:val="38E40555"/>
    <w:rsid w:val="392D273D"/>
    <w:rsid w:val="398576CC"/>
    <w:rsid w:val="39990BEE"/>
    <w:rsid w:val="399C304B"/>
    <w:rsid w:val="39B33898"/>
    <w:rsid w:val="39B439E6"/>
    <w:rsid w:val="39D0704E"/>
    <w:rsid w:val="39E62997"/>
    <w:rsid w:val="3A045513"/>
    <w:rsid w:val="3A2259A8"/>
    <w:rsid w:val="3A322C5A"/>
    <w:rsid w:val="3A561B54"/>
    <w:rsid w:val="3A667F7C"/>
    <w:rsid w:val="3B0227C4"/>
    <w:rsid w:val="3B252077"/>
    <w:rsid w:val="3B3221E0"/>
    <w:rsid w:val="3BA7084C"/>
    <w:rsid w:val="3BBB2899"/>
    <w:rsid w:val="3BC9431F"/>
    <w:rsid w:val="3BD31641"/>
    <w:rsid w:val="3BE15A44"/>
    <w:rsid w:val="3BE850ED"/>
    <w:rsid w:val="3BED44B1"/>
    <w:rsid w:val="3C3B0FB9"/>
    <w:rsid w:val="3C5F759A"/>
    <w:rsid w:val="3C7249B6"/>
    <w:rsid w:val="3C824100"/>
    <w:rsid w:val="3C897B28"/>
    <w:rsid w:val="3D0F4820"/>
    <w:rsid w:val="3D2056B7"/>
    <w:rsid w:val="3D393726"/>
    <w:rsid w:val="3DA46197"/>
    <w:rsid w:val="3DAD4D93"/>
    <w:rsid w:val="3DD70862"/>
    <w:rsid w:val="3DDD0C8A"/>
    <w:rsid w:val="3DED2D3D"/>
    <w:rsid w:val="3DFA74C8"/>
    <w:rsid w:val="3E1F46CA"/>
    <w:rsid w:val="3E21047D"/>
    <w:rsid w:val="3E2A548E"/>
    <w:rsid w:val="3E2A789D"/>
    <w:rsid w:val="3E9B434E"/>
    <w:rsid w:val="3EC139D3"/>
    <w:rsid w:val="3EC81656"/>
    <w:rsid w:val="3ED2273B"/>
    <w:rsid w:val="3ED516E1"/>
    <w:rsid w:val="3EDD431F"/>
    <w:rsid w:val="3EF23B8C"/>
    <w:rsid w:val="3F316FFA"/>
    <w:rsid w:val="3F420216"/>
    <w:rsid w:val="3F4563B2"/>
    <w:rsid w:val="3F4C5993"/>
    <w:rsid w:val="3FEC0F24"/>
    <w:rsid w:val="3FEF7DE2"/>
    <w:rsid w:val="401228F6"/>
    <w:rsid w:val="4044666A"/>
    <w:rsid w:val="404B79F8"/>
    <w:rsid w:val="404E2A10"/>
    <w:rsid w:val="405F2248"/>
    <w:rsid w:val="40624A60"/>
    <w:rsid w:val="406805AA"/>
    <w:rsid w:val="407D4B6A"/>
    <w:rsid w:val="40A84E4B"/>
    <w:rsid w:val="40DA0A3B"/>
    <w:rsid w:val="40E045E4"/>
    <w:rsid w:val="40ED6D01"/>
    <w:rsid w:val="40EE65D6"/>
    <w:rsid w:val="40F07788"/>
    <w:rsid w:val="412119C6"/>
    <w:rsid w:val="4138444E"/>
    <w:rsid w:val="417302AC"/>
    <w:rsid w:val="419D0727"/>
    <w:rsid w:val="41F26D9D"/>
    <w:rsid w:val="42191E1B"/>
    <w:rsid w:val="422C3859"/>
    <w:rsid w:val="423544BC"/>
    <w:rsid w:val="428020A0"/>
    <w:rsid w:val="42AB5B89"/>
    <w:rsid w:val="42C80237"/>
    <w:rsid w:val="42CA745D"/>
    <w:rsid w:val="42CD5064"/>
    <w:rsid w:val="42E1381E"/>
    <w:rsid w:val="42E32353"/>
    <w:rsid w:val="42E67EAC"/>
    <w:rsid w:val="43120CA1"/>
    <w:rsid w:val="431E13F4"/>
    <w:rsid w:val="433E469E"/>
    <w:rsid w:val="43613359"/>
    <w:rsid w:val="43A53661"/>
    <w:rsid w:val="43CD6FAD"/>
    <w:rsid w:val="44004F9E"/>
    <w:rsid w:val="442448B0"/>
    <w:rsid w:val="444624FE"/>
    <w:rsid w:val="44565A77"/>
    <w:rsid w:val="44760F33"/>
    <w:rsid w:val="4476352A"/>
    <w:rsid w:val="4480414E"/>
    <w:rsid w:val="44C138E2"/>
    <w:rsid w:val="44D052EB"/>
    <w:rsid w:val="44E41552"/>
    <w:rsid w:val="45285E2C"/>
    <w:rsid w:val="45294080"/>
    <w:rsid w:val="452F0709"/>
    <w:rsid w:val="4530540F"/>
    <w:rsid w:val="455250D1"/>
    <w:rsid w:val="455F77C0"/>
    <w:rsid w:val="45813EBC"/>
    <w:rsid w:val="45A121C9"/>
    <w:rsid w:val="45B42B24"/>
    <w:rsid w:val="45F26E8B"/>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A063282"/>
    <w:rsid w:val="4A873D23"/>
    <w:rsid w:val="4A8A3813"/>
    <w:rsid w:val="4A9D52F4"/>
    <w:rsid w:val="4AA77F21"/>
    <w:rsid w:val="4AB32B4A"/>
    <w:rsid w:val="4ACC6DC8"/>
    <w:rsid w:val="4B513D34"/>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283C23"/>
    <w:rsid w:val="4E3A504C"/>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407E30"/>
    <w:rsid w:val="514C537E"/>
    <w:rsid w:val="515003FA"/>
    <w:rsid w:val="51687A61"/>
    <w:rsid w:val="519E4F32"/>
    <w:rsid w:val="51A0432A"/>
    <w:rsid w:val="51AC0513"/>
    <w:rsid w:val="51CF4131"/>
    <w:rsid w:val="51F223CA"/>
    <w:rsid w:val="522D51B0"/>
    <w:rsid w:val="523627F6"/>
    <w:rsid w:val="5246001F"/>
    <w:rsid w:val="524F4DFB"/>
    <w:rsid w:val="527774D3"/>
    <w:rsid w:val="52A96B6F"/>
    <w:rsid w:val="52BA04CC"/>
    <w:rsid w:val="53235B23"/>
    <w:rsid w:val="534A736A"/>
    <w:rsid w:val="537865C5"/>
    <w:rsid w:val="538641F0"/>
    <w:rsid w:val="53967EAD"/>
    <w:rsid w:val="539C0175"/>
    <w:rsid w:val="53E144A4"/>
    <w:rsid w:val="543D36A4"/>
    <w:rsid w:val="544762D1"/>
    <w:rsid w:val="546B6463"/>
    <w:rsid w:val="54992FD0"/>
    <w:rsid w:val="54996B2C"/>
    <w:rsid w:val="549F1015"/>
    <w:rsid w:val="54D22327"/>
    <w:rsid w:val="550764A4"/>
    <w:rsid w:val="551116AB"/>
    <w:rsid w:val="55366A71"/>
    <w:rsid w:val="55441109"/>
    <w:rsid w:val="55472A2C"/>
    <w:rsid w:val="554F446C"/>
    <w:rsid w:val="55AF2380"/>
    <w:rsid w:val="55F70887"/>
    <w:rsid w:val="56101070"/>
    <w:rsid w:val="562C1C22"/>
    <w:rsid w:val="564E1B99"/>
    <w:rsid w:val="566C6330"/>
    <w:rsid w:val="56B04A7B"/>
    <w:rsid w:val="56C05DE0"/>
    <w:rsid w:val="56D13882"/>
    <w:rsid w:val="56F004E8"/>
    <w:rsid w:val="57275755"/>
    <w:rsid w:val="572B15A7"/>
    <w:rsid w:val="57642B60"/>
    <w:rsid w:val="57B3707C"/>
    <w:rsid w:val="57C61AE4"/>
    <w:rsid w:val="57D305A7"/>
    <w:rsid w:val="57E52067"/>
    <w:rsid w:val="58020D56"/>
    <w:rsid w:val="58225825"/>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B71C1D"/>
    <w:rsid w:val="59E44CEE"/>
    <w:rsid w:val="5A2A7C7B"/>
    <w:rsid w:val="5A537537"/>
    <w:rsid w:val="5ABC0B62"/>
    <w:rsid w:val="5ACE32A8"/>
    <w:rsid w:val="5AE44D9F"/>
    <w:rsid w:val="5AED35E8"/>
    <w:rsid w:val="5AF0644D"/>
    <w:rsid w:val="5B0B62AA"/>
    <w:rsid w:val="5B0C45BD"/>
    <w:rsid w:val="5B0D2022"/>
    <w:rsid w:val="5B0F1027"/>
    <w:rsid w:val="5B2F1F99"/>
    <w:rsid w:val="5BA40E76"/>
    <w:rsid w:val="5BBB2421"/>
    <w:rsid w:val="5BDF73AA"/>
    <w:rsid w:val="5BF31218"/>
    <w:rsid w:val="5C2A6758"/>
    <w:rsid w:val="5C3343BC"/>
    <w:rsid w:val="5C80234E"/>
    <w:rsid w:val="5C8641D7"/>
    <w:rsid w:val="5CE21672"/>
    <w:rsid w:val="5D2E4D5C"/>
    <w:rsid w:val="5DFC1EDA"/>
    <w:rsid w:val="5E084A2C"/>
    <w:rsid w:val="5E084D23"/>
    <w:rsid w:val="5E0D40E7"/>
    <w:rsid w:val="5E1A5E3F"/>
    <w:rsid w:val="5E261785"/>
    <w:rsid w:val="5E6A0EA5"/>
    <w:rsid w:val="5E826883"/>
    <w:rsid w:val="5E8D459C"/>
    <w:rsid w:val="5EB50A07"/>
    <w:rsid w:val="5ED30E8D"/>
    <w:rsid w:val="5EE17A4E"/>
    <w:rsid w:val="5F10510E"/>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885958"/>
    <w:rsid w:val="62AC5837"/>
    <w:rsid w:val="62C751AC"/>
    <w:rsid w:val="62E33669"/>
    <w:rsid w:val="630B0B6F"/>
    <w:rsid w:val="630D7AA2"/>
    <w:rsid w:val="6324615B"/>
    <w:rsid w:val="633839B4"/>
    <w:rsid w:val="637507CD"/>
    <w:rsid w:val="63975118"/>
    <w:rsid w:val="63E82FD8"/>
    <w:rsid w:val="64191A38"/>
    <w:rsid w:val="643E41AF"/>
    <w:rsid w:val="64703142"/>
    <w:rsid w:val="647A6070"/>
    <w:rsid w:val="647C1FC7"/>
    <w:rsid w:val="64877387"/>
    <w:rsid w:val="64880C41"/>
    <w:rsid w:val="648A4251"/>
    <w:rsid w:val="648C220A"/>
    <w:rsid w:val="64AD52E7"/>
    <w:rsid w:val="64CE2EAA"/>
    <w:rsid w:val="64DE60CD"/>
    <w:rsid w:val="650A0E6F"/>
    <w:rsid w:val="651B4002"/>
    <w:rsid w:val="651E72A0"/>
    <w:rsid w:val="652B3FD1"/>
    <w:rsid w:val="657607C4"/>
    <w:rsid w:val="658721E6"/>
    <w:rsid w:val="65B93350"/>
    <w:rsid w:val="65BD0BFE"/>
    <w:rsid w:val="65E10333"/>
    <w:rsid w:val="65EB7404"/>
    <w:rsid w:val="65F5200F"/>
    <w:rsid w:val="66187A52"/>
    <w:rsid w:val="661E7317"/>
    <w:rsid w:val="662E75B1"/>
    <w:rsid w:val="66342C2E"/>
    <w:rsid w:val="663E784C"/>
    <w:rsid w:val="6655487D"/>
    <w:rsid w:val="66950E7F"/>
    <w:rsid w:val="669C2647"/>
    <w:rsid w:val="66C072F5"/>
    <w:rsid w:val="66D07594"/>
    <w:rsid w:val="670047E9"/>
    <w:rsid w:val="671745FC"/>
    <w:rsid w:val="673F2C72"/>
    <w:rsid w:val="675C1782"/>
    <w:rsid w:val="677F7E04"/>
    <w:rsid w:val="67D93618"/>
    <w:rsid w:val="68261CC4"/>
    <w:rsid w:val="68343CC5"/>
    <w:rsid w:val="68401C64"/>
    <w:rsid w:val="684849C6"/>
    <w:rsid w:val="68705312"/>
    <w:rsid w:val="68914293"/>
    <w:rsid w:val="68BF2482"/>
    <w:rsid w:val="68DE0B5A"/>
    <w:rsid w:val="690C27AB"/>
    <w:rsid w:val="690D7691"/>
    <w:rsid w:val="693410C2"/>
    <w:rsid w:val="6942558D"/>
    <w:rsid w:val="696B74C4"/>
    <w:rsid w:val="69777DE2"/>
    <w:rsid w:val="697A1104"/>
    <w:rsid w:val="698B348F"/>
    <w:rsid w:val="69933B39"/>
    <w:rsid w:val="69A86236"/>
    <w:rsid w:val="69AA3132"/>
    <w:rsid w:val="69F00E5C"/>
    <w:rsid w:val="6A1C750D"/>
    <w:rsid w:val="6A4E7F61"/>
    <w:rsid w:val="6A617E02"/>
    <w:rsid w:val="6A620582"/>
    <w:rsid w:val="6A6837D1"/>
    <w:rsid w:val="6A6D488B"/>
    <w:rsid w:val="6A8E0FFC"/>
    <w:rsid w:val="6AA16C75"/>
    <w:rsid w:val="6ABB1498"/>
    <w:rsid w:val="6AF97ECD"/>
    <w:rsid w:val="6B0A41B2"/>
    <w:rsid w:val="6B52226C"/>
    <w:rsid w:val="6B5C6424"/>
    <w:rsid w:val="6B735ED1"/>
    <w:rsid w:val="6BBE4C73"/>
    <w:rsid w:val="6BD36970"/>
    <w:rsid w:val="6BF80185"/>
    <w:rsid w:val="6C38732C"/>
    <w:rsid w:val="6C680C88"/>
    <w:rsid w:val="6C81092E"/>
    <w:rsid w:val="6CF30F04"/>
    <w:rsid w:val="6D082DFE"/>
    <w:rsid w:val="6D0D0199"/>
    <w:rsid w:val="6D6F570C"/>
    <w:rsid w:val="6D8912EF"/>
    <w:rsid w:val="6D8E1BA4"/>
    <w:rsid w:val="6D967C55"/>
    <w:rsid w:val="6DA2229E"/>
    <w:rsid w:val="6DA92861"/>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342F2"/>
    <w:rsid w:val="71650B6A"/>
    <w:rsid w:val="71900E5F"/>
    <w:rsid w:val="71D43752"/>
    <w:rsid w:val="71DD4E54"/>
    <w:rsid w:val="72040C7E"/>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587EE6"/>
    <w:rsid w:val="75BC659D"/>
    <w:rsid w:val="75C537CD"/>
    <w:rsid w:val="75D76B65"/>
    <w:rsid w:val="75DA2C18"/>
    <w:rsid w:val="75DC563D"/>
    <w:rsid w:val="76366A04"/>
    <w:rsid w:val="76443E88"/>
    <w:rsid w:val="76865C05"/>
    <w:rsid w:val="76A65B00"/>
    <w:rsid w:val="76C06100"/>
    <w:rsid w:val="76F10446"/>
    <w:rsid w:val="76FA4F64"/>
    <w:rsid w:val="771440AA"/>
    <w:rsid w:val="771F2A69"/>
    <w:rsid w:val="7725204A"/>
    <w:rsid w:val="77664B3C"/>
    <w:rsid w:val="77730402"/>
    <w:rsid w:val="777E4FAA"/>
    <w:rsid w:val="77877F55"/>
    <w:rsid w:val="77954B48"/>
    <w:rsid w:val="77B47F8F"/>
    <w:rsid w:val="77B6499D"/>
    <w:rsid w:val="77FC051C"/>
    <w:rsid w:val="788F1E71"/>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926E0C"/>
    <w:rsid w:val="7AAB1D04"/>
    <w:rsid w:val="7ABA4368"/>
    <w:rsid w:val="7B257FFD"/>
    <w:rsid w:val="7B4909FD"/>
    <w:rsid w:val="7B875081"/>
    <w:rsid w:val="7B8A5149"/>
    <w:rsid w:val="7B8A6F71"/>
    <w:rsid w:val="7B8B25F6"/>
    <w:rsid w:val="7BAB5214"/>
    <w:rsid w:val="7BF85F7F"/>
    <w:rsid w:val="7C120DEF"/>
    <w:rsid w:val="7C1C3A1B"/>
    <w:rsid w:val="7C636FEF"/>
    <w:rsid w:val="7C6D6D67"/>
    <w:rsid w:val="7C91271D"/>
    <w:rsid w:val="7CA560CB"/>
    <w:rsid w:val="7CF1353C"/>
    <w:rsid w:val="7D1E0263"/>
    <w:rsid w:val="7D262449"/>
    <w:rsid w:val="7D3F34EE"/>
    <w:rsid w:val="7D494CE4"/>
    <w:rsid w:val="7D553689"/>
    <w:rsid w:val="7D60202E"/>
    <w:rsid w:val="7D6E6A4F"/>
    <w:rsid w:val="7D9D5AA3"/>
    <w:rsid w:val="7DA84125"/>
    <w:rsid w:val="7DB87774"/>
    <w:rsid w:val="7DD52D1C"/>
    <w:rsid w:val="7DDF5BD5"/>
    <w:rsid w:val="7DFA4B0F"/>
    <w:rsid w:val="7E087B80"/>
    <w:rsid w:val="7E2968C4"/>
    <w:rsid w:val="7E4A5F1A"/>
    <w:rsid w:val="7E5E656D"/>
    <w:rsid w:val="7E7B47F1"/>
    <w:rsid w:val="7E7C7B76"/>
    <w:rsid w:val="7ECA3C03"/>
    <w:rsid w:val="7EE27547"/>
    <w:rsid w:val="7EEC6657"/>
    <w:rsid w:val="7EF16460"/>
    <w:rsid w:val="7EF55D5F"/>
    <w:rsid w:val="7EF72849"/>
    <w:rsid w:val="7F2B6433"/>
    <w:rsid w:val="7F3845D5"/>
    <w:rsid w:val="7F396B2C"/>
    <w:rsid w:val="7F397695"/>
    <w:rsid w:val="7F3D0E3E"/>
    <w:rsid w:val="7F447D8C"/>
    <w:rsid w:val="7F4A0830"/>
    <w:rsid w:val="7F5636E8"/>
    <w:rsid w:val="7F58120E"/>
    <w:rsid w:val="7F65392B"/>
    <w:rsid w:val="7F686F78"/>
    <w:rsid w:val="7F8A5140"/>
    <w:rsid w:val="7F8E155C"/>
    <w:rsid w:val="7FA63579"/>
    <w:rsid w:val="7FE94158"/>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3"/>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6"/>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8"/>
    <w:qFormat/>
    <w:uiPriority w:val="99"/>
    <w:pPr>
      <w:jc w:val="left"/>
    </w:pPr>
  </w:style>
  <w:style w:type="paragraph" w:styleId="20">
    <w:name w:val="Salutation"/>
    <w:basedOn w:val="1"/>
    <w:next w:val="1"/>
    <w:link w:val="213"/>
    <w:qFormat/>
    <w:uiPriority w:val="0"/>
    <w:rPr>
      <w:rFonts w:ascii="仿宋_GB2312" w:eastAsia="仿宋_GB2312"/>
      <w:sz w:val="28"/>
      <w:szCs w:val="20"/>
    </w:rPr>
  </w:style>
  <w:style w:type="paragraph" w:styleId="21">
    <w:name w:val="Body Text 3"/>
    <w:basedOn w:val="1"/>
    <w:link w:val="186"/>
    <w:qFormat/>
    <w:uiPriority w:val="0"/>
    <w:pPr>
      <w:jc w:val="center"/>
    </w:pPr>
    <w:rPr>
      <w:szCs w:val="20"/>
    </w:rPr>
  </w:style>
  <w:style w:type="paragraph" w:styleId="22">
    <w:name w:val="Body Text"/>
    <w:basedOn w:val="1"/>
    <w:next w:val="23"/>
    <w:link w:val="123"/>
    <w:qFormat/>
    <w:uiPriority w:val="0"/>
    <w:pPr>
      <w:autoSpaceDE w:val="0"/>
      <w:autoSpaceDN w:val="0"/>
      <w:spacing w:line="360" w:lineRule="auto"/>
    </w:pPr>
    <w:rPr>
      <w:rFonts w:ascii="宋体"/>
      <w:sz w:val="24"/>
      <w:szCs w:val="21"/>
      <w:lang w:val="zh-CN"/>
    </w:rPr>
  </w:style>
  <w:style w:type="paragraph" w:styleId="23">
    <w:name w:val="Body Text First Indent"/>
    <w:basedOn w:val="22"/>
    <w:link w:val="136"/>
    <w:qFormat/>
    <w:uiPriority w:val="0"/>
    <w:pPr>
      <w:ind w:firstLine="420"/>
    </w:pPr>
    <w:rPr>
      <w:szCs w:val="20"/>
    </w:rPr>
  </w:style>
  <w:style w:type="paragraph" w:styleId="24">
    <w:name w:val="Body Text Indent"/>
    <w:basedOn w:val="1"/>
    <w:next w:val="1"/>
    <w:link w:val="10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4"/>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1"/>
    <w:qFormat/>
    <w:uiPriority w:val="0"/>
    <w:pPr>
      <w:ind w:left="100" w:leftChars="2500"/>
    </w:pPr>
    <w:rPr>
      <w:rFonts w:ascii="宋体"/>
      <w:sz w:val="24"/>
      <w:szCs w:val="21"/>
      <w:lang w:val="zh-CN"/>
    </w:rPr>
  </w:style>
  <w:style w:type="paragraph" w:styleId="36">
    <w:name w:val="Body Text Indent 2"/>
    <w:basedOn w:val="1"/>
    <w:link w:val="84"/>
    <w:qFormat/>
    <w:uiPriority w:val="0"/>
    <w:pPr>
      <w:spacing w:line="360" w:lineRule="auto"/>
      <w:ind w:firstLine="601"/>
      <w:textAlignment w:val="baseline"/>
    </w:pPr>
    <w:rPr>
      <w:rFonts w:ascii="宋体"/>
      <w:kern w:val="0"/>
      <w:sz w:val="28"/>
      <w:szCs w:val="20"/>
    </w:rPr>
  </w:style>
  <w:style w:type="paragraph" w:styleId="37">
    <w:name w:val="Balloon Text"/>
    <w:basedOn w:val="1"/>
    <w:link w:val="249"/>
    <w:semiHidden/>
    <w:qFormat/>
    <w:uiPriority w:val="0"/>
    <w:rPr>
      <w:sz w:val="18"/>
      <w:szCs w:val="18"/>
    </w:rPr>
  </w:style>
  <w:style w:type="paragraph" w:styleId="38">
    <w:name w:val="footer"/>
    <w:basedOn w:val="1"/>
    <w:link w:val="629"/>
    <w:qFormat/>
    <w:uiPriority w:val="99"/>
    <w:pPr>
      <w:tabs>
        <w:tab w:val="center" w:pos="4153"/>
        <w:tab w:val="right" w:pos="8306"/>
      </w:tabs>
      <w:snapToGrid w:val="0"/>
      <w:jc w:val="left"/>
    </w:pPr>
    <w:rPr>
      <w:sz w:val="18"/>
      <w:szCs w:val="18"/>
    </w:rPr>
  </w:style>
  <w:style w:type="paragraph" w:styleId="39">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38"/>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5"/>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next w:val="1"/>
    <w:link w:val="246"/>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2">
    <w:name w:val="标题 1 Char"/>
    <w:link w:val="3"/>
    <w:qFormat/>
    <w:uiPriority w:val="0"/>
    <w:rPr>
      <w:rFonts w:ascii="仿宋" w:hAnsi="仿宋" w:eastAsia="仿宋" w:cs="仿宋_GB2312"/>
      <w:b/>
      <w:color w:val="000000"/>
      <w:kern w:val="2"/>
      <w:sz w:val="36"/>
      <w:szCs w:val="36"/>
    </w:rPr>
  </w:style>
  <w:style w:type="character" w:customStyle="1" w:styleId="73">
    <w:name w:val="标题 2 Char"/>
    <w:qFormat/>
    <w:uiPriority w:val="0"/>
    <w:rPr>
      <w:rFonts w:ascii="Arial" w:hAnsi="Arial" w:eastAsia="黑体"/>
      <w:b/>
      <w:kern w:val="2"/>
      <w:sz w:val="32"/>
      <w:lang w:val="en-US" w:eastAsia="zh-CN"/>
    </w:rPr>
  </w:style>
  <w:style w:type="paragraph" w:customStyle="1" w:styleId="74">
    <w:name w:val="List Paragraph"/>
    <w:basedOn w:val="1"/>
    <w:qFormat/>
    <w:uiPriority w:val="34"/>
    <w:pPr>
      <w:spacing w:line="360" w:lineRule="auto"/>
      <w:ind w:firstLine="200" w:firstLineChars="200"/>
    </w:pPr>
    <w:rPr>
      <w:rFonts w:eastAsia="楷体_GB2312" w:cs="Lucida Sans"/>
      <w:sz w:val="24"/>
    </w:rPr>
  </w:style>
  <w:style w:type="character" w:customStyle="1" w:styleId="75">
    <w:name w:val="solutionfonts"/>
    <w:qFormat/>
    <w:uiPriority w:val="0"/>
  </w:style>
  <w:style w:type="character" w:customStyle="1" w:styleId="76">
    <w:name w:val="Font Style82"/>
    <w:qFormat/>
    <w:uiPriority w:val="99"/>
    <w:rPr>
      <w:rFonts w:ascii="宋体" w:eastAsia="宋体" w:cs="宋体"/>
      <w:color w:val="000000"/>
      <w:sz w:val="14"/>
      <w:szCs w:val="14"/>
    </w:rPr>
  </w:style>
  <w:style w:type="character" w:customStyle="1" w:styleId="77">
    <w:name w:val="此正文 Char"/>
    <w:link w:val="78"/>
    <w:qFormat/>
    <w:uiPriority w:val="0"/>
    <w:rPr>
      <w:kern w:val="2"/>
      <w:sz w:val="24"/>
      <w:szCs w:val="24"/>
    </w:rPr>
  </w:style>
  <w:style w:type="paragraph" w:customStyle="1" w:styleId="78">
    <w:name w:val="此正文"/>
    <w:basedOn w:val="1"/>
    <w:link w:val="77"/>
    <w:qFormat/>
    <w:uiPriority w:val="0"/>
    <w:pPr>
      <w:adjustRightInd/>
      <w:spacing w:line="360" w:lineRule="auto"/>
      <w:ind w:firstLine="200" w:firstLineChars="200"/>
    </w:pPr>
    <w:rPr>
      <w:sz w:val="24"/>
    </w:rPr>
  </w:style>
  <w:style w:type="character" w:customStyle="1" w:styleId="79">
    <w:name w:val="Char Char10"/>
    <w:semiHidden/>
    <w:qFormat/>
    <w:uiPriority w:val="0"/>
    <w:rPr>
      <w:rFonts w:ascii="宋体" w:hAnsi="宋体"/>
      <w:kern w:val="2"/>
      <w:sz w:val="21"/>
      <w:szCs w:val="24"/>
      <w:lang w:val="en-US" w:eastAsia="zh-CN"/>
    </w:rPr>
  </w:style>
  <w:style w:type="character" w:customStyle="1" w:styleId="80">
    <w:name w:val="h Char Char"/>
    <w:qFormat/>
    <w:uiPriority w:val="0"/>
    <w:rPr>
      <w:rFonts w:eastAsia="宋体"/>
      <w:kern w:val="2"/>
      <w:sz w:val="18"/>
      <w:lang w:val="en-US" w:eastAsia="zh-CN" w:bidi="ar-SA"/>
    </w:rPr>
  </w:style>
  <w:style w:type="character" w:customStyle="1" w:styleId="81">
    <w:name w:val="Bold"/>
    <w:qFormat/>
    <w:uiPriority w:val="0"/>
    <w:rPr>
      <w:rFonts w:ascii="Arial" w:hAnsi="Arial" w:eastAsia="黑体" w:cs="Times New Roman"/>
      <w:b/>
      <w:kern w:val="2"/>
      <w:sz w:val="32"/>
      <w:szCs w:val="32"/>
      <w:lang w:val="en-US" w:eastAsia="zh-CN" w:bidi="ar-SA"/>
    </w:rPr>
  </w:style>
  <w:style w:type="character" w:customStyle="1" w:styleId="82">
    <w:name w:val="Ò³Ã¼ Char Char"/>
    <w:qFormat/>
    <w:uiPriority w:val="0"/>
    <w:rPr>
      <w:rFonts w:eastAsia="宋体"/>
      <w:kern w:val="2"/>
      <w:sz w:val="18"/>
      <w:lang w:val="en-US" w:eastAsia="zh-CN" w:bidi="ar-SA"/>
    </w:rPr>
  </w:style>
  <w:style w:type="character" w:customStyle="1" w:styleId="83">
    <w:name w:val="标准正文格式 Char"/>
    <w:qFormat/>
    <w:uiPriority w:val="0"/>
    <w:rPr>
      <w:rFonts w:ascii="宋体" w:eastAsia="仿宋_GB2312" w:cs="宋体"/>
      <w:color w:val="000000"/>
      <w:sz w:val="24"/>
      <w:lang w:val="en-US" w:eastAsia="zh-CN" w:bidi="ar-SA"/>
    </w:rPr>
  </w:style>
  <w:style w:type="character" w:customStyle="1" w:styleId="84">
    <w:name w:val="正文文本缩进 2 Char"/>
    <w:link w:val="36"/>
    <w:qFormat/>
    <w:uiPriority w:val="0"/>
    <w:rPr>
      <w:rFonts w:ascii="宋体"/>
      <w:sz w:val="28"/>
    </w:rPr>
  </w:style>
  <w:style w:type="character" w:customStyle="1" w:styleId="85">
    <w:name w:val="Char Char8"/>
    <w:qFormat/>
    <w:uiPriority w:val="0"/>
    <w:rPr>
      <w:rFonts w:eastAsia="宋体"/>
      <w:b/>
      <w:sz w:val="24"/>
      <w:lang w:val="en-GB" w:eastAsia="zh-CN"/>
    </w:rPr>
  </w:style>
  <w:style w:type="character" w:customStyle="1" w:styleId="86">
    <w:name w:val="No Spacing Char"/>
    <w:link w:val="87"/>
    <w:qFormat/>
    <w:uiPriority w:val="1"/>
    <w:rPr>
      <w:rFonts w:ascii="Calibri" w:hAnsi="Calibri"/>
      <w:sz w:val="22"/>
      <w:szCs w:val="22"/>
      <w:lang w:val="en-US" w:eastAsia="zh-CN" w:bidi="ar-SA"/>
    </w:rPr>
  </w:style>
  <w:style w:type="paragraph" w:customStyle="1" w:styleId="87">
    <w:name w:val="无间隔1"/>
    <w:link w:val="86"/>
    <w:qFormat/>
    <w:uiPriority w:val="1"/>
    <w:rPr>
      <w:rFonts w:ascii="Calibri" w:hAnsi="Calibri" w:eastAsia="宋体" w:cs="Times New Roman"/>
      <w:sz w:val="22"/>
      <w:szCs w:val="22"/>
      <w:lang w:val="en-US" w:eastAsia="zh-CN" w:bidi="ar-SA"/>
    </w:rPr>
  </w:style>
  <w:style w:type="character" w:customStyle="1" w:styleId="88">
    <w:name w:val="blue1"/>
    <w:basedOn w:val="62"/>
    <w:qFormat/>
    <w:uiPriority w:val="0"/>
    <w:rPr>
      <w:rFonts w:ascii="Arial" w:hAnsi="Arial" w:eastAsia="黑体" w:cs="Arial"/>
      <w:snapToGrid w:val="0"/>
      <w:kern w:val="0"/>
      <w:szCs w:val="21"/>
    </w:rPr>
  </w:style>
  <w:style w:type="character" w:customStyle="1" w:styleId="89">
    <w:name w:val="highlight1"/>
    <w:qFormat/>
    <w:uiPriority w:val="0"/>
    <w:rPr>
      <w:rFonts w:ascii="仿宋_GB2312" w:eastAsia="微软雅黑"/>
      <w:b/>
      <w:kern w:val="2"/>
      <w:sz w:val="23"/>
      <w:szCs w:val="23"/>
      <w:lang w:val="en-US" w:eastAsia="zh-CN" w:bidi="ar-SA"/>
    </w:rPr>
  </w:style>
  <w:style w:type="character" w:customStyle="1" w:styleId="90">
    <w:name w:val="ca-131"/>
    <w:qFormat/>
    <w:uiPriority w:val="0"/>
    <w:rPr>
      <w:rFonts w:hint="eastAsia" w:ascii="仿宋_GB2312" w:eastAsia="仿宋_GB2312"/>
      <w:b/>
      <w:bCs/>
      <w:color w:val="000000"/>
      <w:spacing w:val="-20"/>
      <w:sz w:val="24"/>
      <w:szCs w:val="24"/>
    </w:rPr>
  </w:style>
  <w:style w:type="character" w:customStyle="1" w:styleId="91">
    <w:name w:val="h3 Char"/>
    <w:qFormat/>
    <w:uiPriority w:val="0"/>
    <w:rPr>
      <w:rFonts w:eastAsia="宋体"/>
      <w:b/>
      <w:kern w:val="2"/>
      <w:sz w:val="32"/>
      <w:lang w:val="en-US" w:eastAsia="zh-CN" w:bidi="ar-SA"/>
    </w:rPr>
  </w:style>
  <w:style w:type="character" w:customStyle="1" w:styleId="92">
    <w:name w:val="Char Char12"/>
    <w:qFormat/>
    <w:uiPriority w:val="0"/>
    <w:rPr>
      <w:rFonts w:ascii="仿宋_GB2312" w:eastAsia="仿宋_GB2312"/>
      <w:b/>
      <w:bCs/>
      <w:kern w:val="2"/>
      <w:sz w:val="24"/>
      <w:szCs w:val="24"/>
      <w:lang w:val="zh-CN" w:eastAsia="zh-CN" w:bidi="ar-SA"/>
    </w:rPr>
  </w:style>
  <w:style w:type="character" w:customStyle="1" w:styleId="93">
    <w:name w:val="Comment Text Char"/>
    <w:semiHidden/>
    <w:qFormat/>
    <w:locked/>
    <w:uiPriority w:val="0"/>
    <w:rPr>
      <w:rFonts w:ascii="宋体" w:hAnsi="宋体" w:eastAsia="宋体"/>
      <w:kern w:val="2"/>
      <w:sz w:val="24"/>
      <w:lang w:val="en-US" w:eastAsia="zh-CN" w:bidi="ar-SA"/>
    </w:rPr>
  </w:style>
  <w:style w:type="character" w:customStyle="1" w:styleId="94">
    <w:name w:val="批注文字 Char"/>
    <w:qFormat/>
    <w:uiPriority w:val="99"/>
    <w:rPr>
      <w:kern w:val="2"/>
      <w:sz w:val="21"/>
      <w:szCs w:val="24"/>
    </w:rPr>
  </w:style>
  <w:style w:type="character" w:customStyle="1" w:styleId="95">
    <w:name w:val="仿宋正文 Char"/>
    <w:link w:val="96"/>
    <w:qFormat/>
    <w:uiPriority w:val="0"/>
    <w:rPr>
      <w:rFonts w:ascii="仿宋_GB2312" w:eastAsia="仿宋_GB2312"/>
      <w:kern w:val="2"/>
      <w:sz w:val="24"/>
      <w:lang w:val="en-US" w:eastAsia="zh-CN" w:bidi="ar-SA"/>
    </w:rPr>
  </w:style>
  <w:style w:type="paragraph" w:customStyle="1" w:styleId="96">
    <w:name w:val="仿宋正文"/>
    <w:basedOn w:val="1"/>
    <w:link w:val="95"/>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qFormat/>
    <w:uiPriority w:val="0"/>
    <w:rPr>
      <w:color w:val="333333"/>
    </w:rPr>
  </w:style>
  <w:style w:type="character" w:customStyle="1" w:styleId="98">
    <w:name w:val="Char Char4"/>
    <w:qFormat/>
    <w:uiPriority w:val="0"/>
    <w:rPr>
      <w:rFonts w:eastAsia="宋体"/>
      <w:b/>
      <w:sz w:val="24"/>
      <w:lang w:val="en-GB" w:eastAsia="zh-CN" w:bidi="ar-SA"/>
    </w:rPr>
  </w:style>
  <w:style w:type="character" w:customStyle="1" w:styleId="99">
    <w:name w:val="Char Char2"/>
    <w:qFormat/>
    <w:uiPriority w:val="0"/>
    <w:rPr>
      <w:rFonts w:eastAsia="宋体"/>
      <w:b/>
      <w:bCs/>
      <w:kern w:val="2"/>
      <w:sz w:val="21"/>
      <w:szCs w:val="24"/>
      <w:lang w:val="en-US" w:eastAsia="zh-CN" w:bidi="ar-SA"/>
    </w:rPr>
  </w:style>
  <w:style w:type="character" w:customStyle="1" w:styleId="100">
    <w:name w:val="正文 项目2 Char"/>
    <w:basedOn w:val="101"/>
    <w:qFormat/>
    <w:uiPriority w:val="0"/>
    <w:rPr>
      <w:rFonts w:ascii="仿宋_GB2312" w:hAnsi="仿宋_GB2312" w:eastAsia="仿宋_GB2312"/>
      <w:kern w:val="2"/>
      <w:sz w:val="24"/>
      <w:lang w:bidi="ar-SA"/>
    </w:rPr>
  </w:style>
  <w:style w:type="character" w:customStyle="1" w:styleId="101">
    <w:name w:val="正文 项目 Char"/>
    <w:qFormat/>
    <w:uiPriority w:val="0"/>
    <w:rPr>
      <w:rFonts w:ascii="仿宋_GB2312" w:hAnsi="仿宋_GB2312" w:eastAsia="仿宋_GB2312"/>
      <w:kern w:val="2"/>
      <w:sz w:val="24"/>
      <w:lang w:bidi="ar-SA"/>
    </w:rPr>
  </w:style>
  <w:style w:type="character" w:customStyle="1" w:styleId="102">
    <w:name w:val="页眉 Char1"/>
    <w:qFormat/>
    <w:uiPriority w:val="0"/>
    <w:rPr>
      <w:rFonts w:eastAsia="宋体"/>
      <w:kern w:val="2"/>
      <w:sz w:val="18"/>
      <w:szCs w:val="18"/>
      <w:lang w:val="en-US" w:eastAsia="zh-CN" w:bidi="ar-SA"/>
    </w:rPr>
  </w:style>
  <w:style w:type="character" w:customStyle="1" w:styleId="103">
    <w:name w:val="副标题 Char"/>
    <w:link w:val="45"/>
    <w:qFormat/>
    <w:uiPriority w:val="0"/>
    <w:rPr>
      <w:rFonts w:ascii="Arial" w:hAnsi="Arial" w:eastAsia="隶书"/>
      <w:b/>
      <w:bCs/>
      <w:kern w:val="28"/>
      <w:sz w:val="44"/>
      <w:szCs w:val="32"/>
      <w:lang w:val="en-US" w:eastAsia="zh-CN" w:bidi="ar-SA"/>
    </w:rPr>
  </w:style>
  <w:style w:type="character" w:customStyle="1" w:styleId="104">
    <w:name w:val="正文文本缩进 Char1"/>
    <w:link w:val="24"/>
    <w:qFormat/>
    <w:uiPriority w:val="0"/>
    <w:rPr>
      <w:rFonts w:ascii="宋体" w:hAnsi="宋体"/>
      <w:kern w:val="2"/>
      <w:sz w:val="24"/>
      <w:szCs w:val="24"/>
    </w:rPr>
  </w:style>
  <w:style w:type="character" w:customStyle="1" w:styleId="105">
    <w:name w:val="big1"/>
    <w:qFormat/>
    <w:uiPriority w:val="0"/>
    <w:rPr>
      <w:rFonts w:hint="eastAsia" w:ascii="宋体" w:hAnsi="宋体" w:eastAsia="宋体"/>
      <w:color w:val="333333"/>
      <w:sz w:val="22"/>
      <w:szCs w:val="22"/>
    </w:rPr>
  </w:style>
  <w:style w:type="character" w:customStyle="1" w:styleId="106">
    <w:name w:val="h Char Char1"/>
    <w:qFormat/>
    <w:uiPriority w:val="0"/>
    <w:rPr>
      <w:rFonts w:eastAsia="宋体"/>
      <w:kern w:val="2"/>
      <w:sz w:val="18"/>
      <w:szCs w:val="18"/>
      <w:lang w:val="en-US" w:eastAsia="zh-CN" w:bidi="ar-SA"/>
    </w:rPr>
  </w:style>
  <w:style w:type="character" w:customStyle="1" w:styleId="107">
    <w:name w:val="样式8 Char"/>
    <w:qFormat/>
    <w:uiPriority w:val="0"/>
    <w:rPr>
      <w:rFonts w:ascii="仿宋_GB2312" w:hAnsi="宋体" w:eastAsia="仿宋_GB2312"/>
      <w:b/>
      <w:bCs/>
      <w:kern w:val="2"/>
      <w:sz w:val="24"/>
      <w:szCs w:val="24"/>
    </w:rPr>
  </w:style>
  <w:style w:type="character" w:customStyle="1" w:styleId="108">
    <w:name w:val="HTML 预设格式 Char"/>
    <w:link w:val="55"/>
    <w:qFormat/>
    <w:uiPriority w:val="0"/>
    <w:rPr>
      <w:rFonts w:ascii="黑体" w:hAnsi="Courier New" w:eastAsia="黑体"/>
    </w:rPr>
  </w:style>
  <w:style w:type="character" w:customStyle="1" w:styleId="109">
    <w:name w:val="页脚 Char1"/>
    <w:qFormat/>
    <w:uiPriority w:val="0"/>
    <w:rPr>
      <w:rFonts w:eastAsia="宋体"/>
      <w:kern w:val="2"/>
      <w:sz w:val="18"/>
      <w:szCs w:val="18"/>
      <w:lang w:val="en-US" w:eastAsia="zh-CN" w:bidi="ar-SA"/>
    </w:rPr>
  </w:style>
  <w:style w:type="character" w:customStyle="1" w:styleId="110">
    <w:name w:val="myp11"/>
    <w:qFormat/>
    <w:uiPriority w:val="0"/>
    <w:rPr>
      <w:rFonts w:ascii="仿宋_GB2312" w:eastAsia="微软雅黑"/>
      <w:b/>
      <w:kern w:val="2"/>
      <w:sz w:val="32"/>
      <w:szCs w:val="32"/>
      <w:lang w:val="en-US" w:eastAsia="zh-CN" w:bidi="ar-SA"/>
    </w:rPr>
  </w:style>
  <w:style w:type="character" w:customStyle="1" w:styleId="111">
    <w:name w:val="正文文本 2 Char"/>
    <w:qFormat/>
    <w:uiPriority w:val="0"/>
    <w:rPr>
      <w:rFonts w:eastAsia="宋体"/>
      <w:kern w:val="2"/>
      <w:sz w:val="21"/>
      <w:szCs w:val="24"/>
      <w:lang w:val="en-US" w:eastAsia="zh-CN" w:bidi="ar-SA"/>
    </w:rPr>
  </w:style>
  <w:style w:type="character" w:customStyle="1" w:styleId="112">
    <w:name w:val="tw4winTerm"/>
    <w:qFormat/>
    <w:uiPriority w:val="0"/>
    <w:rPr>
      <w:color w:val="0000FF"/>
    </w:rPr>
  </w:style>
  <w:style w:type="character" w:customStyle="1" w:styleId="113">
    <w:name w:val="标题 8 Char"/>
    <w:link w:val="9"/>
    <w:qFormat/>
    <w:uiPriority w:val="0"/>
    <w:rPr>
      <w:rFonts w:ascii="Arial" w:hAnsi="Arial" w:eastAsia="黑体"/>
      <w:kern w:val="2"/>
      <w:sz w:val="24"/>
      <w:szCs w:val="24"/>
    </w:rPr>
  </w:style>
  <w:style w:type="character" w:customStyle="1" w:styleId="114">
    <w:name w:val="标题 2 Char Char"/>
    <w:qFormat/>
    <w:uiPriority w:val="0"/>
    <w:rPr>
      <w:rFonts w:ascii="楷体_GB2312" w:hAnsi="Arial" w:eastAsia="楷体_GB2312"/>
      <w:b/>
      <w:bCs/>
      <w:kern w:val="2"/>
      <w:sz w:val="24"/>
      <w:szCs w:val="32"/>
      <w:lang w:val="en-US" w:eastAsia="zh-CN" w:bidi="ar-SA"/>
    </w:rPr>
  </w:style>
  <w:style w:type="character" w:customStyle="1" w:styleId="115">
    <w:name w:val="hei16b1"/>
    <w:qFormat/>
    <w:uiPriority w:val="0"/>
    <w:rPr>
      <w:rFonts w:hint="default" w:ascii="Arial" w:hAnsi="Arial" w:cs="Arial"/>
      <w:b/>
      <w:bCs/>
      <w:color w:val="000000"/>
      <w:sz w:val="24"/>
      <w:szCs w:val="24"/>
    </w:rPr>
  </w:style>
  <w:style w:type="character" w:customStyle="1" w:styleId="116">
    <w:name w:val="Heading 7 Char"/>
    <w:qFormat/>
    <w:locked/>
    <w:uiPriority w:val="0"/>
    <w:rPr>
      <w:rFonts w:ascii="宋体" w:hAnsi="宋体" w:eastAsia="宋体"/>
      <w:b/>
      <w:bCs/>
      <w:kern w:val="2"/>
      <w:sz w:val="24"/>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哈哈正文 Char"/>
    <w:link w:val="119"/>
    <w:qFormat/>
    <w:uiPriority w:val="0"/>
    <w:rPr>
      <w:rFonts w:ascii="宋体" w:hAnsi="宋体" w:eastAsia="宋体"/>
      <w:kern w:val="2"/>
      <w:sz w:val="24"/>
      <w:lang w:bidi="ar-SA"/>
    </w:rPr>
  </w:style>
  <w:style w:type="paragraph" w:customStyle="1" w:styleId="119">
    <w:name w:val="哈哈正文"/>
    <w:basedOn w:val="1"/>
    <w:link w:val="118"/>
    <w:qFormat/>
    <w:uiPriority w:val="0"/>
    <w:pPr>
      <w:adjustRightInd/>
      <w:spacing w:line="360" w:lineRule="auto"/>
      <w:ind w:firstLine="200" w:firstLineChars="200"/>
    </w:pPr>
    <w:rPr>
      <w:rFonts w:ascii="宋体" w:hAnsi="宋体"/>
      <w:sz w:val="24"/>
      <w:szCs w:val="20"/>
    </w:rPr>
  </w:style>
  <w:style w:type="character" w:customStyle="1" w:styleId="120">
    <w:name w:val="pt141"/>
    <w:qFormat/>
    <w:uiPriority w:val="0"/>
    <w:rPr>
      <w:color w:val="330066"/>
      <w:sz w:val="22"/>
      <w:szCs w:val="22"/>
    </w:rPr>
  </w:style>
  <w:style w:type="character" w:customStyle="1" w:styleId="121">
    <w:name w:val="普通文字 Char3"/>
    <w:qFormat/>
    <w:uiPriority w:val="0"/>
    <w:rPr>
      <w:rFonts w:ascii="宋体" w:hAnsi="Courier New" w:eastAsia="宋体"/>
      <w:kern w:val="2"/>
      <w:sz w:val="21"/>
      <w:lang w:val="en-US" w:eastAsia="zh-CN" w:bidi="ar-SA"/>
    </w:rPr>
  </w:style>
  <w:style w:type="character" w:customStyle="1" w:styleId="12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qFormat/>
    <w:uiPriority w:val="0"/>
    <w:rPr>
      <w:rFonts w:eastAsia="宋体"/>
      <w:kern w:val="2"/>
      <w:sz w:val="24"/>
      <w:lang w:val="en-US" w:eastAsia="zh-CN" w:bidi="ar-SA"/>
    </w:rPr>
  </w:style>
  <w:style w:type="character" w:customStyle="1" w:styleId="125">
    <w:name w:val="普通文字 Char1"/>
    <w:qFormat/>
    <w:uiPriority w:val="0"/>
    <w:rPr>
      <w:rFonts w:ascii="宋体" w:hAnsi="Courier New" w:eastAsia="宋体"/>
      <w:kern w:val="2"/>
      <w:sz w:val="21"/>
      <w:lang w:val="en-US" w:eastAsia="zh-CN"/>
    </w:rPr>
  </w:style>
  <w:style w:type="character" w:customStyle="1" w:styleId="126">
    <w:name w:val="标题 9 Char"/>
    <w:link w:val="10"/>
    <w:qFormat/>
    <w:uiPriority w:val="0"/>
    <w:rPr>
      <w:rFonts w:ascii="Arial" w:hAnsi="Arial" w:eastAsia="黑体"/>
      <w:kern w:val="2"/>
      <w:sz w:val="21"/>
      <w:szCs w:val="21"/>
    </w:rPr>
  </w:style>
  <w:style w:type="character" w:customStyle="1" w:styleId="127">
    <w:name w:val="Header Char"/>
    <w:semiHidden/>
    <w:qFormat/>
    <w:locked/>
    <w:uiPriority w:val="0"/>
    <w:rPr>
      <w:rFonts w:eastAsia="宋体"/>
      <w:kern w:val="2"/>
      <w:sz w:val="18"/>
      <w:szCs w:val="18"/>
      <w:lang w:val="en-US" w:eastAsia="zh-CN" w:bidi="ar-SA"/>
    </w:rPr>
  </w:style>
  <w:style w:type="character" w:customStyle="1" w:styleId="128">
    <w:name w:val="Footer-Even Char1"/>
    <w:qFormat/>
    <w:uiPriority w:val="0"/>
    <w:rPr>
      <w:rFonts w:eastAsia="宋体"/>
      <w:kern w:val="2"/>
      <w:sz w:val="18"/>
      <w:szCs w:val="18"/>
      <w:lang w:val="en-US" w:eastAsia="zh-CN" w:bidi="ar-SA"/>
    </w:rPr>
  </w:style>
  <w:style w:type="character" w:customStyle="1" w:styleId="129">
    <w:name w:val="unnamed31"/>
    <w:qFormat/>
    <w:uiPriority w:val="0"/>
    <w:rPr>
      <w:rFonts w:ascii="Tahoma" w:hAnsi="Tahoma" w:eastAsia="宋体"/>
      <w:b/>
      <w:kern w:val="2"/>
      <w:sz w:val="24"/>
      <w:szCs w:val="32"/>
      <w:u w:val="none"/>
      <w:lang w:val="en-US" w:eastAsia="zh-CN" w:bidi="ar-SA"/>
    </w:rPr>
  </w:style>
  <w:style w:type="character" w:customStyle="1" w:styleId="130">
    <w:name w:val="纯文本 Char Char Char"/>
    <w:qFormat/>
    <w:uiPriority w:val="0"/>
    <w:rPr>
      <w:rFonts w:ascii="宋体" w:hAnsi="Courier New" w:eastAsia="宋体"/>
      <w:kern w:val="2"/>
      <w:sz w:val="21"/>
      <w:lang w:val="en-US" w:eastAsia="zh-CN" w:bidi="ar-SA"/>
    </w:rPr>
  </w:style>
  <w:style w:type="character" w:customStyle="1" w:styleId="131">
    <w:name w:val="Body Text(ch) Char Char"/>
    <w:qFormat/>
    <w:uiPriority w:val="0"/>
    <w:rPr>
      <w:rFonts w:ascii="宋体"/>
      <w:kern w:val="2"/>
      <w:sz w:val="24"/>
      <w:szCs w:val="21"/>
      <w:lang w:val="zh-CN"/>
    </w:rPr>
  </w:style>
  <w:style w:type="character" w:customStyle="1" w:styleId="132">
    <w:name w:val="插图说明 Char"/>
    <w:qFormat/>
    <w:uiPriority w:val="0"/>
    <w:rPr>
      <w:rFonts w:eastAsia="黑体"/>
      <w:sz w:val="24"/>
      <w:lang w:val="en-US" w:eastAsia="zh-CN"/>
    </w:rPr>
  </w:style>
  <w:style w:type="character" w:customStyle="1" w:styleId="133">
    <w:name w:val="tw4winExternal"/>
    <w:qFormat/>
    <w:uiPriority w:val="0"/>
    <w:rPr>
      <w:rFonts w:ascii="Courier New" w:hAnsi="Courier New" w:cs="Courier New"/>
      <w:color w:val="808080"/>
      <w:lang w:val="en-US" w:eastAsia="zh-CN"/>
    </w:rPr>
  </w:style>
  <w:style w:type="character" w:customStyle="1" w:styleId="134">
    <w:name w:val="font21"/>
    <w:qFormat/>
    <w:uiPriority w:val="0"/>
    <w:rPr>
      <w:rFonts w:hint="eastAsia" w:ascii="宋体" w:hAnsi="宋体" w:eastAsia="宋体"/>
      <w:kern w:val="2"/>
      <w:sz w:val="28"/>
      <w:szCs w:val="28"/>
      <w:lang w:val="en-US" w:eastAsia="zh-CN" w:bidi="ar-SA"/>
    </w:rPr>
  </w:style>
  <w:style w:type="character" w:customStyle="1" w:styleId="135">
    <w:name w:val="标书正文格式 Char"/>
    <w:qFormat/>
    <w:uiPriority w:val="0"/>
    <w:rPr>
      <w:rFonts w:eastAsia="楷体_GB2312"/>
      <w:kern w:val="2"/>
      <w:sz w:val="24"/>
      <w:szCs w:val="24"/>
      <w:lang w:bidi="ar-SA"/>
    </w:rPr>
  </w:style>
  <w:style w:type="character" w:customStyle="1" w:styleId="136">
    <w:name w:val="正文首行缩进 Char"/>
    <w:link w:val="23"/>
    <w:qFormat/>
    <w:uiPriority w:val="0"/>
    <w:rPr>
      <w:rFonts w:ascii="宋体"/>
      <w:kern w:val="2"/>
      <w:sz w:val="24"/>
      <w:lang w:val="zh-CN"/>
    </w:rPr>
  </w:style>
  <w:style w:type="character" w:customStyle="1" w:styleId="137">
    <w:name w:val="javascript"/>
    <w:qFormat/>
    <w:uiPriority w:val="0"/>
  </w:style>
  <w:style w:type="character" w:customStyle="1" w:styleId="138">
    <w:name w:val="Balloon Text Char"/>
    <w:semiHidden/>
    <w:qFormat/>
    <w:locked/>
    <w:uiPriority w:val="0"/>
    <w:rPr>
      <w:rFonts w:eastAsia="宋体"/>
      <w:kern w:val="2"/>
      <w:sz w:val="18"/>
      <w:szCs w:val="18"/>
      <w:lang w:val="en-US" w:eastAsia="zh-CN" w:bidi="ar-SA"/>
    </w:rPr>
  </w:style>
  <w:style w:type="character" w:customStyle="1" w:styleId="139">
    <w:name w:val="Char Char5"/>
    <w:qFormat/>
    <w:uiPriority w:val="0"/>
    <w:rPr>
      <w:rFonts w:ascii="宋体" w:hAnsi="Courier New" w:eastAsia="宋体"/>
      <w:kern w:val="2"/>
      <w:sz w:val="21"/>
      <w:lang w:val="en-US" w:eastAsia="zh-CN"/>
    </w:rPr>
  </w:style>
  <w:style w:type="character" w:customStyle="1" w:styleId="140">
    <w:name w:val="Char Char"/>
    <w:qFormat/>
    <w:uiPriority w:val="0"/>
    <w:rPr>
      <w:rFonts w:ascii="宋体" w:hAnsi="Courier New" w:eastAsia="宋体"/>
      <w:kern w:val="2"/>
      <w:sz w:val="21"/>
      <w:lang w:val="en-US" w:eastAsia="zh-CN" w:bidi="ar-SA"/>
    </w:rPr>
  </w:style>
  <w:style w:type="character" w:customStyle="1" w:styleId="141">
    <w:name w:val="mdeck"/>
    <w:qFormat/>
    <w:uiPriority w:val="0"/>
    <w:rPr>
      <w:rFonts w:ascii="仿宋_GB2312" w:eastAsia="微软雅黑"/>
      <w:b/>
      <w:kern w:val="2"/>
      <w:sz w:val="32"/>
      <w:szCs w:val="32"/>
      <w:lang w:val="en-US" w:eastAsia="zh-CN" w:bidi="ar-SA"/>
    </w:rPr>
  </w:style>
  <w:style w:type="character" w:customStyle="1" w:styleId="142">
    <w:name w:val="content"/>
    <w:qFormat/>
    <w:uiPriority w:val="0"/>
  </w:style>
  <w:style w:type="character" w:customStyle="1" w:styleId="143">
    <w:name w:val="Char Char3"/>
    <w:qFormat/>
    <w:uiPriority w:val="0"/>
    <w:rPr>
      <w:rFonts w:eastAsia="宋体"/>
      <w:kern w:val="2"/>
      <w:sz w:val="21"/>
      <w:szCs w:val="24"/>
      <w:lang w:val="en-US" w:eastAsia="zh-CN" w:bidi="ar-SA"/>
    </w:rPr>
  </w:style>
  <w:style w:type="character" w:customStyle="1" w:styleId="144">
    <w:name w:val="Char Char81"/>
    <w:qFormat/>
    <w:uiPriority w:val="6"/>
    <w:rPr>
      <w:rFonts w:eastAsia="宋体"/>
      <w:b/>
      <w:sz w:val="24"/>
      <w:lang w:val="en-GB" w:eastAsia="zh-CN"/>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5"/>
    <w:link w:val="148"/>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2"/>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0"/>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Char"/>
    <w:link w:val="29"/>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Char"/>
    <w:link w:val="6"/>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2"/>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Char"/>
    <w:link w:val="21"/>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Char"/>
    <w:link w:val="51"/>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2"/>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Char"/>
    <w:link w:val="8"/>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Char"/>
    <w:link w:val="35"/>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Char"/>
    <w:link w:val="20"/>
    <w:qFormat/>
    <w:uiPriority w:val="0"/>
    <w:rPr>
      <w:rFonts w:ascii="仿宋_GB2312" w:eastAsia="仿宋_GB2312"/>
      <w:kern w:val="2"/>
      <w:sz w:val="28"/>
    </w:rPr>
  </w:style>
  <w:style w:type="character" w:customStyle="1" w:styleId="214">
    <w:name w:val="标题 4 Char"/>
    <w:link w:val="5"/>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Char"/>
    <w:link w:val="48"/>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Char"/>
    <w:link w:val="7"/>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Char2"/>
    <w:link w:val="15"/>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首行缩进 2 Char"/>
    <w:link w:val="59"/>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Char1"/>
    <w:link w:val="19"/>
    <w:qFormat/>
    <w:uiPriority w:val="0"/>
    <w:rPr>
      <w:kern w:val="2"/>
      <w:sz w:val="21"/>
      <w:szCs w:val="24"/>
    </w:rPr>
  </w:style>
  <w:style w:type="character" w:customStyle="1" w:styleId="249">
    <w:name w:val="批注框文本 Char"/>
    <w:link w:val="37"/>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Char"/>
    <w:link w:val="40"/>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2"/>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6"/>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4"/>
    <w:qFormat/>
    <w:uiPriority w:val="0"/>
    <w:pPr>
      <w:numPr>
        <w:numId w:val="4"/>
      </w:numPr>
      <w:tabs>
        <w:tab w:val="left" w:pos="840"/>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5"/>
    <w:qFormat/>
    <w:uiPriority w:val="0"/>
    <w:pPr>
      <w:numPr>
        <w:numId w:val="4"/>
      </w:numPr>
      <w:tabs>
        <w:tab w:val="left" w:pos="840"/>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2"/>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2"/>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2"/>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2"/>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Heading"/>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3"/>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70"/>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4"/>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6"/>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Revision"/>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2"/>
    <w:next w:val="422"/>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8"/>
    <w:qFormat/>
    <w:locked/>
    <w:uiPriority w:val="99"/>
    <w:rPr>
      <w:kern w:val="2"/>
      <w:sz w:val="18"/>
      <w:szCs w:val="18"/>
    </w:rPr>
  </w:style>
  <w:style w:type="character" w:customStyle="1" w:styleId="630">
    <w:name w:val="页眉 Char2"/>
    <w:link w:val="39"/>
    <w:qFormat/>
    <w:uiPriority w:val="99"/>
    <w:rPr>
      <w:kern w:val="2"/>
      <w:sz w:val="18"/>
      <w:szCs w:val="18"/>
    </w:rPr>
  </w:style>
  <w:style w:type="paragraph" w:customStyle="1" w:styleId="631">
    <w:name w:val="封面编号"/>
    <w:basedOn w:val="1"/>
    <w:qFormat/>
    <w:uiPriority w:val="0"/>
    <w:pPr>
      <w:spacing w:line="360" w:lineRule="auto"/>
      <w:jc w:val="center"/>
    </w:pPr>
    <w:rPr>
      <w:rFonts w:ascii="黑体" w:hAnsi="宋体" w:eastAsia="黑体" w:cs="宋体"/>
      <w:b/>
      <w:bCs/>
      <w:sz w:val="38"/>
      <w:szCs w:val="20"/>
    </w:rPr>
  </w:style>
  <w:style w:type="paragraph" w:customStyle="1" w:styleId="63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3">
    <w:name w:val="[Normal]"/>
    <w:qFormat/>
    <w:uiPriority w:val="0"/>
    <w:rPr>
      <w:rFonts w:ascii="宋体" w:hAnsi="宋体" w:eastAsia="宋体" w:cs="Times New Roman"/>
      <w:sz w:val="24"/>
      <w:szCs w:val="22"/>
      <w:lang w:val="zh-CN" w:eastAsia="zh-CN" w:bidi="ar-SA"/>
    </w:rPr>
  </w:style>
  <w:style w:type="character" w:customStyle="1" w:styleId="634">
    <w:name w:val="font01"/>
    <w:basedOn w:val="62"/>
    <w:qFormat/>
    <w:uiPriority w:val="0"/>
    <w:rPr>
      <w:rFonts w:hint="eastAsia" w:ascii="宋体" w:hAnsi="宋体" w:eastAsia="宋体" w:cs="宋体"/>
      <w:color w:val="000000"/>
      <w:sz w:val="22"/>
      <w:szCs w:val="22"/>
      <w:u w:val="none"/>
    </w:rPr>
  </w:style>
  <w:style w:type="character" w:customStyle="1" w:styleId="635">
    <w:name w:val="font31"/>
    <w:basedOn w:val="62"/>
    <w:qFormat/>
    <w:uiPriority w:val="0"/>
    <w:rPr>
      <w:rFonts w:hint="eastAsia" w:ascii="宋体" w:hAnsi="宋体" w:eastAsia="宋体" w:cs="宋体"/>
      <w:color w:val="000000"/>
      <w:sz w:val="22"/>
      <w:szCs w:val="22"/>
      <w:u w:val="single"/>
    </w:rPr>
  </w:style>
  <w:style w:type="table" w:customStyle="1" w:styleId="636">
    <w:name w:val="Table Normal"/>
    <w:unhideWhenUsed/>
    <w:qFormat/>
    <w:uiPriority w:val="0"/>
    <w:tblPr>
      <w:tblCellMar>
        <w:top w:w="0" w:type="dxa"/>
        <w:left w:w="0" w:type="dxa"/>
        <w:bottom w:w="0" w:type="dxa"/>
        <w:right w:w="0" w:type="dxa"/>
      </w:tblCellMar>
    </w:tblPr>
  </w:style>
  <w:style w:type="character" w:customStyle="1" w:styleId="637">
    <w:name w:val="line"/>
    <w:basedOn w:val="62"/>
    <w:qFormat/>
    <w:uiPriority w:val="0"/>
    <w:rPr>
      <w:sz w:val="13"/>
      <w:szCs w:val="13"/>
    </w:rPr>
  </w:style>
  <w:style w:type="character" w:customStyle="1" w:styleId="638">
    <w:name w:val="header-title"/>
    <w:basedOn w:val="62"/>
    <w:qFormat/>
    <w:uiPriority w:val="0"/>
    <w:rPr>
      <w:b/>
      <w:bCs/>
      <w:color w:val="D71D21"/>
      <w:sz w:val="25"/>
      <w:szCs w:val="2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22177</Words>
  <Characters>23399</Characters>
  <Lines>1331</Lines>
  <Paragraphs>1597</Paragraphs>
  <TotalTime>38</TotalTime>
  <ScaleCrop>false</ScaleCrop>
  <LinksUpToDate>false</LinksUpToDate>
  <CharactersWithSpaces>24167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Mrs12</cp:lastModifiedBy>
  <cp:lastPrinted>2021-04-01T06:48:00Z</cp:lastPrinted>
  <dcterms:modified xsi:type="dcterms:W3CDTF">2025-01-15T07:02:02Z</dcterms:modified>
  <dc:title>杭州市市民卡扩大发卡工程</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F9581E86AAA448678ABCBB3768D54978_13</vt:lpwstr>
  </property>
  <property fmtid="{D5CDD505-2E9C-101B-9397-08002B2CF9AE}" pid="4" name="KSOTemplateDocerSaveRecord">
    <vt:lpwstr>eyJoZGlkIjoiNjkyMzdhNDdjMTFhNmRhZDI2MGY1OGU1NjgwNjZkYmMiLCJ1c2VySWQiOiI0MDY1NDE2MzkifQ==</vt:lpwstr>
  </property>
</Properties>
</file>