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E0693">
      <w:pPr>
        <w:snapToGrid w:val="0"/>
        <w:spacing w:before="120" w:line="360" w:lineRule="auto"/>
        <w:jc w:val="center"/>
        <w:rPr>
          <w:rFonts w:hint="eastAsia" w:cs="仿宋" w:asciiTheme="minorEastAsia" w:hAnsiTheme="minorEastAsia" w:eastAsiaTheme="minorEastAsia"/>
          <w:b/>
          <w:color w:val="auto"/>
          <w:sz w:val="40"/>
          <w:szCs w:val="44"/>
          <w:highlight w:val="none"/>
          <w:lang w:eastAsia="zh-CN"/>
        </w:rPr>
      </w:pPr>
      <w:r>
        <w:rPr>
          <w:rFonts w:hint="eastAsia" w:cs="仿宋" w:asciiTheme="minorEastAsia" w:hAnsiTheme="minorEastAsia" w:eastAsiaTheme="minorEastAsia"/>
          <w:b/>
          <w:color w:val="auto"/>
          <w:sz w:val="40"/>
          <w:szCs w:val="44"/>
          <w:highlight w:val="none"/>
        </w:rPr>
        <w:t>金华正达工程造价咨询有限公司关于</w:t>
      </w:r>
      <w:r>
        <w:rPr>
          <w:rFonts w:hint="eastAsia" w:cs="仿宋" w:asciiTheme="minorEastAsia" w:hAnsiTheme="minorEastAsia" w:eastAsiaTheme="minorEastAsia"/>
          <w:b/>
          <w:color w:val="auto"/>
          <w:sz w:val="40"/>
          <w:szCs w:val="44"/>
          <w:highlight w:val="none"/>
          <w:lang w:eastAsia="zh-CN"/>
        </w:rPr>
        <w:t>东阳市国有资产投资有限公司公司债券发行承销机构采购项目</w:t>
      </w:r>
    </w:p>
    <w:p w14:paraId="2C46D9A5">
      <w:pPr>
        <w:snapToGrid w:val="0"/>
        <w:spacing w:before="120"/>
        <w:rPr>
          <w:rFonts w:cs="仿宋" w:asciiTheme="minorEastAsia" w:hAnsiTheme="minorEastAsia" w:eastAsiaTheme="minorEastAsia"/>
          <w:b/>
          <w:bCs/>
          <w:color w:val="auto"/>
          <w:sz w:val="72"/>
          <w:highlight w:val="none"/>
        </w:rPr>
      </w:pPr>
    </w:p>
    <w:p w14:paraId="1E9E68BA">
      <w:pPr>
        <w:pStyle w:val="12"/>
        <w:ind w:left="0" w:leftChars="0" w:firstLine="0" w:firstLineChars="0"/>
        <w:rPr>
          <w:rFonts w:cs="仿宋" w:asciiTheme="minorEastAsia" w:hAnsiTheme="minorEastAsia" w:eastAsiaTheme="minorEastAsia"/>
          <w:b/>
          <w:bCs/>
          <w:color w:val="auto"/>
          <w:sz w:val="72"/>
          <w:highlight w:val="none"/>
        </w:rPr>
      </w:pPr>
    </w:p>
    <w:p w14:paraId="6CC69222">
      <w:pPr>
        <w:pStyle w:val="13"/>
        <w:rPr>
          <w:color w:val="auto"/>
          <w:highlight w:val="none"/>
        </w:rPr>
      </w:pPr>
    </w:p>
    <w:p w14:paraId="3552CEAD">
      <w:pPr>
        <w:pStyle w:val="13"/>
        <w:rPr>
          <w:color w:val="auto"/>
          <w:highlight w:val="none"/>
        </w:rPr>
      </w:pPr>
    </w:p>
    <w:p w14:paraId="684A5393">
      <w:pPr>
        <w:snapToGrid w:val="0"/>
        <w:spacing w:before="120"/>
        <w:jc w:val="center"/>
        <w:rPr>
          <w:rFonts w:cs="仿宋" w:asciiTheme="minorEastAsia" w:hAnsiTheme="minorEastAsia" w:eastAsiaTheme="minorEastAsia"/>
          <w:b/>
          <w:bCs/>
          <w:color w:val="auto"/>
          <w:sz w:val="48"/>
          <w:szCs w:val="52"/>
          <w:highlight w:val="none"/>
        </w:rPr>
      </w:pPr>
      <w:r>
        <w:rPr>
          <w:rFonts w:hint="eastAsia" w:cs="仿宋" w:asciiTheme="minorEastAsia" w:hAnsiTheme="minorEastAsia" w:eastAsiaTheme="minorEastAsia"/>
          <w:b/>
          <w:bCs/>
          <w:color w:val="auto"/>
          <w:sz w:val="48"/>
          <w:szCs w:val="52"/>
          <w:highlight w:val="none"/>
        </w:rPr>
        <w:t>公开招标采购文件</w:t>
      </w:r>
    </w:p>
    <w:p w14:paraId="0894C5CA">
      <w:pPr>
        <w:pStyle w:val="4"/>
        <w:ind w:left="0"/>
        <w:rPr>
          <w:rFonts w:cs="仿宋" w:asciiTheme="minorEastAsia" w:hAnsiTheme="minorEastAsia" w:eastAsiaTheme="minorEastAsia"/>
          <w:color w:val="auto"/>
          <w:highlight w:val="none"/>
        </w:rPr>
      </w:pPr>
    </w:p>
    <w:p w14:paraId="37AA4414">
      <w:pPr>
        <w:tabs>
          <w:tab w:val="left" w:pos="2175"/>
        </w:tabs>
        <w:snapToGrid w:val="0"/>
        <w:spacing w:before="120" w:after="120" w:line="360" w:lineRule="auto"/>
        <w:ind w:firstLine="904"/>
        <w:rPr>
          <w:rFonts w:cs="仿宋" w:asciiTheme="minorEastAsia" w:hAnsiTheme="minorEastAsia" w:eastAsiaTheme="minorEastAsia"/>
          <w:b/>
          <w:color w:val="auto"/>
          <w:sz w:val="30"/>
          <w:highlight w:val="none"/>
        </w:rPr>
      </w:pPr>
    </w:p>
    <w:p w14:paraId="11031721">
      <w:pPr>
        <w:pStyle w:val="21"/>
        <w:ind w:firstLine="344"/>
        <w:rPr>
          <w:rFonts w:asciiTheme="minorEastAsia" w:hAnsiTheme="minorEastAsia" w:eastAsiaTheme="minorEastAsia"/>
          <w:color w:val="auto"/>
          <w:highlight w:val="none"/>
        </w:rPr>
      </w:pPr>
    </w:p>
    <w:p w14:paraId="5E016923">
      <w:pPr>
        <w:rPr>
          <w:color w:val="auto"/>
          <w:highlight w:val="none"/>
        </w:rPr>
      </w:pPr>
    </w:p>
    <w:p w14:paraId="23525A1C">
      <w:pPr>
        <w:pStyle w:val="12"/>
        <w:rPr>
          <w:color w:val="auto"/>
          <w:highlight w:val="none"/>
        </w:rPr>
      </w:pPr>
    </w:p>
    <w:p w14:paraId="54F56718">
      <w:pPr>
        <w:tabs>
          <w:tab w:val="left" w:pos="2175"/>
        </w:tabs>
        <w:snapToGrid w:val="0"/>
        <w:spacing w:before="120" w:after="120" w:line="360" w:lineRule="auto"/>
        <w:ind w:firstLine="904"/>
        <w:rPr>
          <w:rFonts w:cs="仿宋" w:asciiTheme="minorEastAsia" w:hAnsiTheme="minorEastAsia" w:eastAsiaTheme="minorEastAsia"/>
          <w:b/>
          <w:color w:val="auto"/>
          <w:sz w:val="30"/>
          <w:highlight w:val="none"/>
        </w:rPr>
      </w:pPr>
    </w:p>
    <w:p w14:paraId="7C7FC601">
      <w:pPr>
        <w:tabs>
          <w:tab w:val="left" w:pos="2175"/>
        </w:tabs>
        <w:snapToGrid w:val="0"/>
        <w:spacing w:before="120" w:after="120" w:line="360" w:lineRule="auto"/>
        <w:ind w:firstLine="904"/>
        <w:rPr>
          <w:rFonts w:hint="eastAsia" w:cs="仿宋" w:asciiTheme="minorEastAsia" w:hAnsiTheme="minorEastAsia" w:eastAsiaTheme="minorEastAsia"/>
          <w:b/>
          <w:color w:val="auto"/>
          <w:sz w:val="30"/>
          <w:highlight w:val="none"/>
          <w:lang w:eastAsia="zh-CN"/>
        </w:rPr>
      </w:pPr>
      <w:r>
        <w:rPr>
          <w:rFonts w:hint="eastAsia" w:cs="仿宋" w:asciiTheme="minorEastAsia" w:hAnsiTheme="minorEastAsia" w:eastAsiaTheme="minorEastAsia"/>
          <w:b/>
          <w:color w:val="auto"/>
          <w:sz w:val="30"/>
          <w:highlight w:val="none"/>
        </w:rPr>
        <w:t>项目编号：</w:t>
      </w:r>
      <w:r>
        <w:rPr>
          <w:rFonts w:hint="eastAsia" w:cs="仿宋" w:asciiTheme="minorEastAsia" w:hAnsiTheme="minorEastAsia" w:eastAsiaTheme="minorEastAsia"/>
          <w:b/>
          <w:color w:val="auto"/>
          <w:sz w:val="30"/>
          <w:highlight w:val="none"/>
          <w:lang w:eastAsia="zh-CN"/>
        </w:rPr>
        <w:t>JHZD2024-025</w:t>
      </w:r>
    </w:p>
    <w:p w14:paraId="14A8E087">
      <w:pPr>
        <w:tabs>
          <w:tab w:val="left" w:pos="2175"/>
        </w:tabs>
        <w:snapToGrid w:val="0"/>
        <w:spacing w:before="120" w:after="120" w:line="360" w:lineRule="auto"/>
        <w:ind w:left="2406" w:leftChars="450" w:hanging="1506" w:hangingChars="500"/>
        <w:rPr>
          <w:rFonts w:hint="eastAsia" w:cs="仿宋" w:asciiTheme="minorEastAsia" w:hAnsiTheme="minorEastAsia" w:eastAsiaTheme="minorEastAsia"/>
          <w:b/>
          <w:color w:val="auto"/>
          <w:sz w:val="30"/>
          <w:highlight w:val="none"/>
          <w:lang w:eastAsia="zh-CN"/>
        </w:rPr>
      </w:pPr>
      <w:r>
        <w:rPr>
          <w:rFonts w:hint="eastAsia" w:cs="仿宋" w:asciiTheme="minorEastAsia" w:hAnsiTheme="minorEastAsia" w:eastAsiaTheme="minorEastAsia"/>
          <w:b/>
          <w:color w:val="auto"/>
          <w:sz w:val="30"/>
          <w:highlight w:val="none"/>
        </w:rPr>
        <w:t>项目名称：</w:t>
      </w:r>
      <w:r>
        <w:rPr>
          <w:rFonts w:hint="eastAsia" w:cs="仿宋" w:asciiTheme="minorEastAsia" w:hAnsiTheme="minorEastAsia" w:eastAsiaTheme="minorEastAsia"/>
          <w:b/>
          <w:color w:val="auto"/>
          <w:sz w:val="30"/>
          <w:highlight w:val="none"/>
          <w:lang w:eastAsia="zh-CN"/>
        </w:rPr>
        <w:t>东阳市国有资产投资有限公司公司债券发行承销机构采购项目</w:t>
      </w:r>
    </w:p>
    <w:p w14:paraId="1392B30D">
      <w:pPr>
        <w:tabs>
          <w:tab w:val="left" w:pos="2175"/>
        </w:tabs>
        <w:snapToGrid w:val="0"/>
        <w:spacing w:before="120" w:after="120" w:line="360" w:lineRule="auto"/>
        <w:ind w:firstLine="904"/>
        <w:rPr>
          <w:rFonts w:cs="仿宋" w:asciiTheme="minorEastAsia" w:hAnsiTheme="minorEastAsia" w:eastAsiaTheme="minorEastAsia"/>
          <w:b/>
          <w:color w:val="auto"/>
          <w:sz w:val="30"/>
          <w:highlight w:val="none"/>
        </w:rPr>
      </w:pPr>
      <w:r>
        <w:rPr>
          <w:rFonts w:hint="eastAsia" w:cs="仿宋" w:asciiTheme="minorEastAsia" w:hAnsiTheme="minorEastAsia" w:eastAsiaTheme="minorEastAsia"/>
          <w:b/>
          <w:color w:val="auto"/>
          <w:sz w:val="30"/>
          <w:highlight w:val="none"/>
        </w:rPr>
        <w:t>采购单位：东阳市国有资产投资有限公司</w:t>
      </w:r>
    </w:p>
    <w:p w14:paraId="1215011F">
      <w:pPr>
        <w:tabs>
          <w:tab w:val="left" w:pos="2175"/>
        </w:tabs>
        <w:snapToGrid w:val="0"/>
        <w:spacing w:before="120" w:after="120" w:line="360" w:lineRule="auto"/>
        <w:ind w:firstLine="904"/>
        <w:rPr>
          <w:rFonts w:cs="仿宋" w:asciiTheme="minorEastAsia" w:hAnsiTheme="minorEastAsia" w:eastAsiaTheme="minorEastAsia"/>
          <w:b/>
          <w:color w:val="auto"/>
          <w:sz w:val="30"/>
          <w:szCs w:val="22"/>
          <w:highlight w:val="none"/>
        </w:rPr>
      </w:pPr>
      <w:r>
        <w:rPr>
          <w:rFonts w:hint="eastAsia" w:cs="仿宋" w:asciiTheme="minorEastAsia" w:hAnsiTheme="minorEastAsia" w:eastAsiaTheme="minorEastAsia"/>
          <w:b/>
          <w:color w:val="auto"/>
          <w:sz w:val="30"/>
          <w:szCs w:val="22"/>
          <w:highlight w:val="none"/>
        </w:rPr>
        <w:t>代理机构：金华正达工程造价咨询有限公司</w:t>
      </w:r>
    </w:p>
    <w:p w14:paraId="6830F9C8">
      <w:pPr>
        <w:tabs>
          <w:tab w:val="left" w:pos="2175"/>
        </w:tabs>
        <w:snapToGrid w:val="0"/>
        <w:spacing w:before="120" w:after="120" w:line="360" w:lineRule="auto"/>
        <w:ind w:firstLine="904"/>
        <w:rPr>
          <w:rFonts w:hint="eastAsia" w:cs="仿宋" w:asciiTheme="minorEastAsia" w:hAnsiTheme="minorEastAsia" w:eastAsiaTheme="minorEastAsia"/>
          <w:b/>
          <w:color w:val="auto"/>
          <w:sz w:val="30"/>
          <w:highlight w:val="none"/>
        </w:rPr>
      </w:pPr>
      <w:r>
        <w:rPr>
          <w:rFonts w:hint="eastAsia" w:cs="仿宋" w:asciiTheme="minorEastAsia" w:hAnsiTheme="minorEastAsia" w:eastAsiaTheme="minorEastAsia"/>
          <w:b/>
          <w:color w:val="auto"/>
          <w:sz w:val="30"/>
          <w:szCs w:val="22"/>
          <w:highlight w:val="none"/>
        </w:rPr>
        <w:t>监督部门：东阳市人民政府国有资产监督管理</w:t>
      </w:r>
      <w:r>
        <w:rPr>
          <w:rFonts w:hint="eastAsia" w:cs="仿宋" w:asciiTheme="minorEastAsia" w:hAnsiTheme="minorEastAsia" w:eastAsiaTheme="minorEastAsia"/>
          <w:b/>
          <w:color w:val="auto"/>
          <w:sz w:val="30"/>
          <w:highlight w:val="none"/>
        </w:rPr>
        <w:t>办公室</w:t>
      </w:r>
    </w:p>
    <w:p w14:paraId="38496266">
      <w:pPr>
        <w:pStyle w:val="12"/>
        <w:rPr>
          <w:color w:val="auto"/>
          <w:highlight w:val="none"/>
        </w:rPr>
      </w:pPr>
    </w:p>
    <w:p w14:paraId="2845A395">
      <w:pPr>
        <w:tabs>
          <w:tab w:val="left" w:pos="2175"/>
        </w:tabs>
        <w:snapToGrid w:val="0"/>
        <w:spacing w:before="120" w:after="120" w:line="360" w:lineRule="auto"/>
        <w:ind w:firstLine="3313" w:firstLineChars="1100"/>
        <w:jc w:val="left"/>
        <w:rPr>
          <w:rFonts w:cs="仿宋" w:asciiTheme="minorEastAsia" w:hAnsiTheme="minorEastAsia" w:eastAsiaTheme="minorEastAsia"/>
          <w:b/>
          <w:color w:val="auto"/>
          <w:sz w:val="30"/>
          <w:highlight w:val="none"/>
        </w:rPr>
      </w:pPr>
      <w:r>
        <w:rPr>
          <w:rFonts w:hint="eastAsia" w:cs="仿宋" w:asciiTheme="minorEastAsia" w:hAnsiTheme="minorEastAsia" w:eastAsiaTheme="minorEastAsia"/>
          <w:b/>
          <w:color w:val="auto"/>
          <w:sz w:val="30"/>
          <w:highlight w:val="none"/>
        </w:rPr>
        <w:t>二○二四年</w:t>
      </w:r>
      <w:r>
        <w:rPr>
          <w:rFonts w:hint="eastAsia" w:cs="仿宋" w:asciiTheme="minorEastAsia" w:hAnsiTheme="minorEastAsia" w:eastAsiaTheme="minorEastAsia"/>
          <w:b/>
          <w:color w:val="auto"/>
          <w:sz w:val="30"/>
          <w:highlight w:val="none"/>
          <w:lang w:val="en-US" w:eastAsia="zh-CN"/>
        </w:rPr>
        <w:t>十二</w:t>
      </w:r>
      <w:r>
        <w:rPr>
          <w:rFonts w:hint="eastAsia" w:cs="仿宋" w:asciiTheme="minorEastAsia" w:hAnsiTheme="minorEastAsia" w:eastAsiaTheme="minorEastAsia"/>
          <w:b/>
          <w:color w:val="auto"/>
          <w:sz w:val="30"/>
          <w:highlight w:val="none"/>
        </w:rPr>
        <w:t>月</w:t>
      </w:r>
    </w:p>
    <w:p w14:paraId="44E780D4">
      <w:pPr>
        <w:pStyle w:val="21"/>
        <w:ind w:firstLine="344"/>
        <w:rPr>
          <w:rFonts w:asciiTheme="minorEastAsia" w:hAnsiTheme="minorEastAsia" w:eastAsiaTheme="minorEastAsia"/>
          <w:color w:val="auto"/>
          <w:highlight w:val="none"/>
        </w:rPr>
      </w:pPr>
    </w:p>
    <w:p w14:paraId="6B486FFF">
      <w:pPr>
        <w:tabs>
          <w:tab w:val="left" w:pos="2175"/>
        </w:tabs>
        <w:snapToGrid w:val="0"/>
        <w:spacing w:before="120" w:after="120" w:line="360" w:lineRule="auto"/>
        <w:jc w:val="center"/>
        <w:rPr>
          <w:rFonts w:cs="仿宋" w:asciiTheme="minorEastAsia" w:hAnsiTheme="minorEastAsia" w:eastAsiaTheme="minorEastAsia"/>
          <w:b/>
          <w:bCs/>
          <w:color w:val="auto"/>
          <w:sz w:val="44"/>
          <w:highlight w:val="none"/>
        </w:rPr>
        <w:sectPr>
          <w:headerReference r:id="rId3" w:type="default"/>
          <w:footerReference r:id="rId4" w:type="default"/>
          <w:pgSz w:w="11906" w:h="16838"/>
          <w:pgMar w:top="1440" w:right="1080" w:bottom="1440" w:left="1080" w:header="851" w:footer="851" w:gutter="0"/>
          <w:cols w:space="720" w:num="1"/>
          <w:docGrid w:linePitch="312" w:charSpace="0"/>
        </w:sectPr>
      </w:pPr>
    </w:p>
    <w:p w14:paraId="17771B2A">
      <w:pPr>
        <w:tabs>
          <w:tab w:val="left" w:pos="2175"/>
        </w:tabs>
        <w:snapToGrid w:val="0"/>
        <w:spacing w:before="120" w:after="120" w:line="360" w:lineRule="auto"/>
        <w:jc w:val="center"/>
        <w:rPr>
          <w:rFonts w:hint="eastAsia" w:cs="仿宋" w:asciiTheme="minorEastAsia" w:hAnsiTheme="minorEastAsia" w:eastAsiaTheme="minorEastAsia"/>
          <w:b/>
          <w:bCs/>
          <w:color w:val="auto"/>
          <w:sz w:val="44"/>
          <w:highlight w:val="none"/>
        </w:rPr>
      </w:pPr>
      <w:r>
        <w:rPr>
          <w:rFonts w:hint="eastAsia" w:cs="仿宋" w:asciiTheme="minorEastAsia" w:hAnsiTheme="minorEastAsia" w:eastAsiaTheme="minorEastAsia"/>
          <w:b/>
          <w:bCs/>
          <w:color w:val="auto"/>
          <w:sz w:val="44"/>
          <w:highlight w:val="none"/>
        </w:rPr>
        <w:t>目    录</w:t>
      </w:r>
    </w:p>
    <w:p w14:paraId="5BA22CEA">
      <w:pPr>
        <w:pStyle w:val="12"/>
        <w:rPr>
          <w:color w:val="auto"/>
          <w:highlight w:val="none"/>
        </w:rPr>
      </w:pPr>
    </w:p>
    <w:p w14:paraId="3C18265E">
      <w:pPr>
        <w:numPr>
          <w:ilvl w:val="0"/>
          <w:numId w:val="2"/>
        </w:numPr>
        <w:tabs>
          <w:tab w:val="left" w:pos="2175"/>
        </w:tabs>
        <w:snapToGrid w:val="0"/>
        <w:spacing w:before="120" w:line="480" w:lineRule="exact"/>
        <w:ind w:left="2175"/>
        <w:rPr>
          <w:rFonts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公开招标采购公告</w:t>
      </w:r>
    </w:p>
    <w:p w14:paraId="1AC67BFA">
      <w:pPr>
        <w:numPr>
          <w:ilvl w:val="0"/>
          <w:numId w:val="2"/>
        </w:numPr>
        <w:tabs>
          <w:tab w:val="left" w:pos="2175"/>
        </w:tabs>
        <w:snapToGrid w:val="0"/>
        <w:spacing w:before="120" w:line="480" w:lineRule="exact"/>
        <w:ind w:left="2175"/>
        <w:rPr>
          <w:rFonts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招标需求</w:t>
      </w:r>
    </w:p>
    <w:p w14:paraId="2404A6EC">
      <w:pPr>
        <w:numPr>
          <w:ilvl w:val="0"/>
          <w:numId w:val="2"/>
        </w:numPr>
        <w:tabs>
          <w:tab w:val="left" w:pos="2175"/>
        </w:tabs>
        <w:snapToGrid w:val="0"/>
        <w:spacing w:before="120" w:line="480" w:lineRule="exact"/>
        <w:ind w:left="2175"/>
        <w:rPr>
          <w:rFonts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主承销商须知</w:t>
      </w:r>
    </w:p>
    <w:p w14:paraId="43D83280">
      <w:pPr>
        <w:numPr>
          <w:ilvl w:val="0"/>
          <w:numId w:val="2"/>
        </w:numPr>
        <w:tabs>
          <w:tab w:val="left" w:pos="2175"/>
        </w:tabs>
        <w:snapToGrid w:val="0"/>
        <w:spacing w:before="120" w:line="480" w:lineRule="exact"/>
        <w:ind w:left="2175"/>
        <w:rPr>
          <w:rFonts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评标办法及评分标准</w:t>
      </w:r>
    </w:p>
    <w:p w14:paraId="4C5A6650">
      <w:pPr>
        <w:numPr>
          <w:ilvl w:val="0"/>
          <w:numId w:val="2"/>
        </w:numPr>
        <w:tabs>
          <w:tab w:val="left" w:pos="2175"/>
        </w:tabs>
        <w:snapToGrid w:val="0"/>
        <w:spacing w:before="120" w:line="480" w:lineRule="exact"/>
        <w:ind w:left="2175"/>
        <w:rPr>
          <w:rFonts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合同主要条款</w:t>
      </w:r>
    </w:p>
    <w:p w14:paraId="61BE6BC5">
      <w:pPr>
        <w:numPr>
          <w:ilvl w:val="0"/>
          <w:numId w:val="2"/>
        </w:numPr>
        <w:tabs>
          <w:tab w:val="left" w:pos="2175"/>
        </w:tabs>
        <w:snapToGrid w:val="0"/>
        <w:spacing w:before="120" w:line="480" w:lineRule="exact"/>
        <w:ind w:left="2175"/>
        <w:rPr>
          <w:rFonts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响应文件格式</w:t>
      </w:r>
    </w:p>
    <w:p w14:paraId="45196444">
      <w:pPr>
        <w:tabs>
          <w:tab w:val="left" w:pos="2175"/>
        </w:tabs>
        <w:snapToGrid w:val="0"/>
        <w:spacing w:before="120" w:after="120"/>
        <w:rPr>
          <w:rFonts w:asciiTheme="minorEastAsia" w:hAnsiTheme="minorEastAsia" w:eastAsiaTheme="minorEastAsia"/>
          <w:color w:val="auto"/>
          <w:sz w:val="30"/>
          <w:highlight w:val="none"/>
        </w:rPr>
      </w:pPr>
    </w:p>
    <w:p w14:paraId="587FD859">
      <w:pPr>
        <w:tabs>
          <w:tab w:val="left" w:pos="2175"/>
        </w:tabs>
        <w:snapToGrid w:val="0"/>
        <w:spacing w:before="120" w:after="120"/>
        <w:rPr>
          <w:rFonts w:asciiTheme="minorEastAsia" w:hAnsiTheme="minorEastAsia" w:eastAsiaTheme="minorEastAsia"/>
          <w:color w:val="auto"/>
          <w:sz w:val="30"/>
          <w:highlight w:val="none"/>
        </w:rPr>
      </w:pPr>
    </w:p>
    <w:p w14:paraId="6CD8D8B3">
      <w:pPr>
        <w:tabs>
          <w:tab w:val="left" w:pos="2175"/>
        </w:tabs>
        <w:snapToGrid w:val="0"/>
        <w:spacing w:before="120" w:after="120"/>
        <w:rPr>
          <w:rFonts w:asciiTheme="minorEastAsia" w:hAnsiTheme="minorEastAsia" w:eastAsiaTheme="minorEastAsia"/>
          <w:color w:val="auto"/>
          <w:sz w:val="30"/>
          <w:highlight w:val="none"/>
        </w:rPr>
      </w:pPr>
    </w:p>
    <w:p w14:paraId="6396D6CD">
      <w:pPr>
        <w:tabs>
          <w:tab w:val="left" w:pos="2175"/>
        </w:tabs>
        <w:snapToGrid w:val="0"/>
        <w:spacing w:before="120" w:after="120"/>
        <w:rPr>
          <w:rFonts w:asciiTheme="minorEastAsia" w:hAnsiTheme="minorEastAsia" w:eastAsiaTheme="minorEastAsia"/>
          <w:color w:val="auto"/>
          <w:sz w:val="30"/>
          <w:highlight w:val="none"/>
        </w:rPr>
      </w:pPr>
    </w:p>
    <w:p w14:paraId="50E8E1FD">
      <w:pPr>
        <w:tabs>
          <w:tab w:val="left" w:pos="2175"/>
        </w:tabs>
        <w:snapToGrid w:val="0"/>
        <w:spacing w:before="120" w:after="120"/>
        <w:rPr>
          <w:rFonts w:asciiTheme="minorEastAsia" w:hAnsiTheme="minorEastAsia" w:eastAsiaTheme="minorEastAsia"/>
          <w:color w:val="auto"/>
          <w:sz w:val="30"/>
          <w:highlight w:val="none"/>
        </w:rPr>
      </w:pPr>
    </w:p>
    <w:p w14:paraId="06AF8EDC">
      <w:pPr>
        <w:tabs>
          <w:tab w:val="left" w:pos="2175"/>
        </w:tabs>
        <w:snapToGrid w:val="0"/>
        <w:spacing w:before="120" w:after="120"/>
        <w:rPr>
          <w:rFonts w:asciiTheme="minorEastAsia" w:hAnsiTheme="minorEastAsia" w:eastAsiaTheme="minorEastAsia"/>
          <w:color w:val="auto"/>
          <w:sz w:val="30"/>
          <w:highlight w:val="none"/>
        </w:rPr>
      </w:pPr>
    </w:p>
    <w:p w14:paraId="1FE174D4">
      <w:pPr>
        <w:tabs>
          <w:tab w:val="left" w:pos="2175"/>
        </w:tabs>
        <w:snapToGrid w:val="0"/>
        <w:spacing w:before="120" w:after="120"/>
        <w:rPr>
          <w:rFonts w:asciiTheme="minorEastAsia" w:hAnsiTheme="minorEastAsia" w:eastAsiaTheme="minorEastAsia"/>
          <w:color w:val="auto"/>
          <w:sz w:val="30"/>
          <w:highlight w:val="none"/>
        </w:rPr>
      </w:pPr>
    </w:p>
    <w:p w14:paraId="61BEF20D">
      <w:pPr>
        <w:tabs>
          <w:tab w:val="left" w:pos="2175"/>
        </w:tabs>
        <w:snapToGrid w:val="0"/>
        <w:spacing w:before="120" w:after="120"/>
        <w:rPr>
          <w:rFonts w:asciiTheme="minorEastAsia" w:hAnsiTheme="minorEastAsia" w:eastAsiaTheme="minorEastAsia"/>
          <w:color w:val="auto"/>
          <w:sz w:val="30"/>
          <w:highlight w:val="none"/>
        </w:rPr>
      </w:pPr>
    </w:p>
    <w:p w14:paraId="24899414">
      <w:pPr>
        <w:tabs>
          <w:tab w:val="left" w:pos="2175"/>
        </w:tabs>
        <w:snapToGrid w:val="0"/>
        <w:spacing w:before="120" w:after="120"/>
        <w:rPr>
          <w:rFonts w:asciiTheme="minorEastAsia" w:hAnsiTheme="minorEastAsia" w:eastAsiaTheme="minorEastAsia"/>
          <w:color w:val="auto"/>
          <w:sz w:val="30"/>
          <w:highlight w:val="none"/>
        </w:rPr>
      </w:pPr>
    </w:p>
    <w:p w14:paraId="06374038">
      <w:pPr>
        <w:tabs>
          <w:tab w:val="left" w:pos="2175"/>
        </w:tabs>
        <w:snapToGrid w:val="0"/>
        <w:spacing w:before="120" w:after="120"/>
        <w:rPr>
          <w:rFonts w:asciiTheme="minorEastAsia" w:hAnsiTheme="minorEastAsia" w:eastAsiaTheme="minorEastAsia"/>
          <w:color w:val="auto"/>
          <w:sz w:val="30"/>
          <w:highlight w:val="none"/>
        </w:rPr>
      </w:pPr>
    </w:p>
    <w:p w14:paraId="11ADD7BA">
      <w:pPr>
        <w:tabs>
          <w:tab w:val="left" w:pos="2175"/>
        </w:tabs>
        <w:snapToGrid w:val="0"/>
        <w:spacing w:before="120" w:after="120"/>
        <w:rPr>
          <w:rFonts w:asciiTheme="minorEastAsia" w:hAnsiTheme="minorEastAsia" w:eastAsiaTheme="minorEastAsia"/>
          <w:color w:val="auto"/>
          <w:sz w:val="30"/>
          <w:highlight w:val="none"/>
        </w:rPr>
      </w:pPr>
    </w:p>
    <w:p w14:paraId="2A1078D8">
      <w:pPr>
        <w:snapToGrid w:val="0"/>
        <w:ind w:left="-178" w:right="-178" w:firstLine="178"/>
        <w:rPr>
          <w:rFonts w:asciiTheme="minorEastAsia" w:hAnsiTheme="minorEastAsia" w:eastAsiaTheme="minorEastAsia"/>
          <w:color w:val="auto"/>
          <w:sz w:val="21"/>
          <w:highlight w:val="none"/>
        </w:rPr>
      </w:pPr>
    </w:p>
    <w:p w14:paraId="2A1CAD0E">
      <w:pPr>
        <w:snapToGrid w:val="0"/>
        <w:ind w:left="-178" w:right="-178" w:firstLine="178"/>
        <w:rPr>
          <w:rFonts w:asciiTheme="minorEastAsia" w:hAnsiTheme="minorEastAsia" w:eastAsiaTheme="minorEastAsia"/>
          <w:color w:val="auto"/>
          <w:sz w:val="21"/>
          <w:highlight w:val="none"/>
        </w:rPr>
      </w:pPr>
    </w:p>
    <w:p w14:paraId="5370A783">
      <w:pPr>
        <w:pStyle w:val="21"/>
        <w:ind w:firstLine="586"/>
        <w:rPr>
          <w:rFonts w:asciiTheme="minorEastAsia" w:hAnsiTheme="minorEastAsia" w:eastAsiaTheme="minorEastAsia"/>
          <w:b/>
          <w:bCs/>
          <w:color w:val="auto"/>
          <w:sz w:val="30"/>
          <w:highlight w:val="none"/>
        </w:rPr>
        <w:sectPr>
          <w:footerReference r:id="rId5" w:type="default"/>
          <w:pgSz w:w="11906" w:h="16838"/>
          <w:pgMar w:top="1440" w:right="1080" w:bottom="1440" w:left="1080" w:header="851" w:footer="851" w:gutter="0"/>
          <w:pgNumType w:start="1"/>
          <w:cols w:space="720" w:num="1"/>
          <w:docGrid w:linePitch="312" w:charSpace="0"/>
        </w:sectPr>
      </w:pPr>
    </w:p>
    <w:p w14:paraId="1508522F">
      <w:pPr>
        <w:tabs>
          <w:tab w:val="left" w:pos="2175"/>
        </w:tabs>
        <w:snapToGrid w:val="0"/>
        <w:spacing w:before="120" w:after="120"/>
        <w:jc w:val="center"/>
        <w:rPr>
          <w:rFonts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第一章 公开招标采购公告</w:t>
      </w:r>
    </w:p>
    <w:p w14:paraId="318EA39B">
      <w:pPr>
        <w:widowControl/>
        <w:snapToGrid w:val="0"/>
        <w:spacing w:after="120" w:line="440" w:lineRule="exact"/>
        <w:ind w:firstLine="480"/>
        <w:contextualSpacing/>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根据《东阳市国有企业采购管理办法（2020年修订）》等有关法律规定，经东阳市人民政府国有资产监督管理办公室批准，金华正达工程造价咨询有限公司受</w:t>
      </w:r>
      <w:r>
        <w:rPr>
          <w:rFonts w:hint="eastAsia" w:cs="仿宋" w:asciiTheme="minorEastAsia" w:hAnsiTheme="minorEastAsia" w:eastAsiaTheme="minorEastAsia"/>
          <w:color w:val="auto"/>
          <w:sz w:val="24"/>
          <w:highlight w:val="none"/>
          <w:u w:val="single"/>
        </w:rPr>
        <w:t>东阳市国有资产投资有限公司</w:t>
      </w:r>
      <w:r>
        <w:rPr>
          <w:rFonts w:hint="eastAsia" w:cs="仿宋" w:asciiTheme="minorEastAsia" w:hAnsiTheme="minorEastAsia" w:eastAsiaTheme="minorEastAsia"/>
          <w:color w:val="auto"/>
          <w:sz w:val="24"/>
          <w:highlight w:val="none"/>
        </w:rPr>
        <w:t>委托，现就</w:t>
      </w:r>
      <w:r>
        <w:rPr>
          <w:rFonts w:hint="eastAsia" w:cs="仿宋" w:asciiTheme="minorEastAsia" w:hAnsiTheme="minorEastAsia" w:eastAsiaTheme="minorEastAsia"/>
          <w:color w:val="auto"/>
          <w:sz w:val="24"/>
          <w:highlight w:val="none"/>
          <w:u w:val="single"/>
          <w:lang w:eastAsia="zh-CN"/>
        </w:rPr>
        <w:t>东阳市国有资产投资有限公司公司债券发行承销机构采购项目</w:t>
      </w:r>
      <w:r>
        <w:rPr>
          <w:rFonts w:hint="eastAsia" w:cs="仿宋" w:asciiTheme="minorEastAsia" w:hAnsiTheme="minorEastAsia" w:eastAsiaTheme="minorEastAsia"/>
          <w:color w:val="auto"/>
          <w:sz w:val="24"/>
          <w:highlight w:val="none"/>
        </w:rPr>
        <w:t>进行公开招标采购，欢迎符合资格条件的、有能力提供本项目所需服务的合格供应商参加本项目的招标。</w:t>
      </w:r>
    </w:p>
    <w:p w14:paraId="4F48F7B5">
      <w:pPr>
        <w:snapToGrid w:val="0"/>
        <w:spacing w:line="440" w:lineRule="exact"/>
        <w:ind w:firstLine="482"/>
        <w:rPr>
          <w:rFonts w:hint="eastAsia" w:cs="仿宋" w:asciiTheme="minorEastAsia" w:hAnsiTheme="minorEastAsia" w:eastAsiaTheme="minorEastAsia"/>
          <w:b/>
          <w:color w:val="auto"/>
          <w:sz w:val="24"/>
          <w:highlight w:val="none"/>
          <w:lang w:eastAsia="zh-CN"/>
        </w:rPr>
      </w:pPr>
      <w:r>
        <w:rPr>
          <w:rFonts w:hint="eastAsia" w:cs="仿宋" w:asciiTheme="minorEastAsia" w:hAnsiTheme="minorEastAsia" w:eastAsiaTheme="minorEastAsia"/>
          <w:b/>
          <w:color w:val="auto"/>
          <w:sz w:val="24"/>
          <w:highlight w:val="none"/>
        </w:rPr>
        <w:t>一、项目编号：</w:t>
      </w:r>
      <w:r>
        <w:rPr>
          <w:rFonts w:hint="eastAsia" w:cs="仿宋" w:asciiTheme="minorEastAsia" w:hAnsiTheme="minorEastAsia" w:eastAsiaTheme="minorEastAsia"/>
          <w:b/>
          <w:color w:val="auto"/>
          <w:sz w:val="24"/>
          <w:highlight w:val="none"/>
          <w:lang w:eastAsia="zh-CN"/>
        </w:rPr>
        <w:t>JHZD2024-025</w:t>
      </w:r>
    </w:p>
    <w:p w14:paraId="327724C0">
      <w:pPr>
        <w:snapToGrid w:val="0"/>
        <w:spacing w:line="440" w:lineRule="exact"/>
        <w:ind w:firstLine="482"/>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二、采购组织类型：分散采购委托代理</w:t>
      </w:r>
    </w:p>
    <w:p w14:paraId="5BCC8C66">
      <w:pPr>
        <w:snapToGrid w:val="0"/>
        <w:spacing w:line="440" w:lineRule="exact"/>
        <w:ind w:firstLine="482"/>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三、采购方式：公开招标</w:t>
      </w:r>
    </w:p>
    <w:p w14:paraId="613DB627">
      <w:pPr>
        <w:snapToGrid w:val="0"/>
        <w:spacing w:line="440" w:lineRule="exact"/>
        <w:ind w:firstLine="482"/>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四、采购项目概况</w:t>
      </w:r>
    </w:p>
    <w:p w14:paraId="2C9AC1BD">
      <w:pPr>
        <w:snapToGrid w:val="0"/>
        <w:spacing w:line="440" w:lineRule="exact"/>
        <w:ind w:firstLine="480" w:firstLineChars="20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1、东阳市国有资产投资有限公司计划202</w:t>
      </w:r>
      <w:r>
        <w:rPr>
          <w:rFonts w:hint="eastAsia" w:cs="仿宋" w:asciiTheme="minorEastAsia" w:hAnsiTheme="minorEastAsia" w:eastAsiaTheme="minorEastAsia"/>
          <w:bCs/>
          <w:color w:val="auto"/>
          <w:sz w:val="24"/>
          <w:highlight w:val="none"/>
          <w:lang w:val="en-US" w:eastAsia="zh-CN"/>
        </w:rPr>
        <w:t>5</w:t>
      </w:r>
      <w:r>
        <w:rPr>
          <w:rFonts w:hint="eastAsia" w:cs="仿宋" w:asciiTheme="minorEastAsia" w:hAnsiTheme="minorEastAsia" w:eastAsiaTheme="minorEastAsia"/>
          <w:bCs/>
          <w:color w:val="auto"/>
          <w:sz w:val="24"/>
          <w:highlight w:val="none"/>
        </w:rPr>
        <w:t>年度向证券交易所申请不超过</w:t>
      </w:r>
      <w:r>
        <w:rPr>
          <w:rFonts w:hint="eastAsia" w:cs="仿宋" w:asciiTheme="minorEastAsia" w:hAnsiTheme="minorEastAsia" w:eastAsiaTheme="minorEastAsia"/>
          <w:bCs/>
          <w:color w:val="auto"/>
          <w:sz w:val="24"/>
          <w:highlight w:val="none"/>
          <w:lang w:val="en-US" w:eastAsia="zh-CN"/>
        </w:rPr>
        <w:t>2</w:t>
      </w:r>
      <w:r>
        <w:rPr>
          <w:rFonts w:hint="eastAsia" w:cs="仿宋" w:asciiTheme="minorEastAsia" w:hAnsiTheme="minorEastAsia" w:eastAsiaTheme="minorEastAsia"/>
          <w:bCs/>
          <w:color w:val="auto"/>
          <w:sz w:val="24"/>
          <w:highlight w:val="none"/>
        </w:rPr>
        <w:t>5亿元（含</w:t>
      </w:r>
      <w:r>
        <w:rPr>
          <w:rFonts w:hint="eastAsia" w:cs="仿宋" w:asciiTheme="minorEastAsia" w:hAnsiTheme="minorEastAsia" w:eastAsiaTheme="minorEastAsia"/>
          <w:bCs/>
          <w:color w:val="auto"/>
          <w:sz w:val="24"/>
          <w:highlight w:val="none"/>
          <w:lang w:val="en-US" w:eastAsia="zh-CN"/>
        </w:rPr>
        <w:t>2</w:t>
      </w:r>
      <w:r>
        <w:rPr>
          <w:rFonts w:hint="eastAsia" w:cs="仿宋" w:asciiTheme="minorEastAsia" w:hAnsiTheme="minorEastAsia" w:eastAsiaTheme="minorEastAsia"/>
          <w:bCs/>
          <w:color w:val="auto"/>
          <w:sz w:val="24"/>
          <w:highlight w:val="none"/>
        </w:rPr>
        <w:t>5亿元）人民币的</w:t>
      </w:r>
      <w:r>
        <w:rPr>
          <w:rFonts w:hint="eastAsia" w:cs="仿宋" w:asciiTheme="minorEastAsia" w:hAnsiTheme="minorEastAsia" w:eastAsiaTheme="minorEastAsia"/>
          <w:bCs/>
          <w:color w:val="auto"/>
          <w:sz w:val="24"/>
          <w:highlight w:val="none"/>
          <w:lang w:val="en-US" w:eastAsia="zh-CN"/>
        </w:rPr>
        <w:t>公司</w:t>
      </w:r>
      <w:r>
        <w:rPr>
          <w:rFonts w:hint="eastAsia" w:cs="仿宋" w:asciiTheme="minorEastAsia" w:hAnsiTheme="minorEastAsia" w:eastAsiaTheme="minorEastAsia"/>
          <w:bCs/>
          <w:color w:val="auto"/>
          <w:sz w:val="24"/>
          <w:highlight w:val="none"/>
        </w:rPr>
        <w:t>债券，期限为</w:t>
      </w:r>
      <w:r>
        <w:rPr>
          <w:rFonts w:hint="eastAsia" w:cs="仿宋" w:asciiTheme="minorEastAsia" w:hAnsiTheme="minorEastAsia" w:eastAsiaTheme="minorEastAsia"/>
          <w:bCs/>
          <w:color w:val="auto"/>
          <w:sz w:val="24"/>
          <w:highlight w:val="none"/>
          <w:lang w:val="en-US" w:eastAsia="zh-CN"/>
        </w:rPr>
        <w:t>不超过5</w:t>
      </w:r>
      <w:r>
        <w:rPr>
          <w:rFonts w:hint="eastAsia" w:cs="仿宋" w:asciiTheme="minorEastAsia" w:hAnsiTheme="minorEastAsia" w:eastAsiaTheme="minorEastAsia"/>
          <w:bCs/>
          <w:color w:val="auto"/>
          <w:sz w:val="24"/>
          <w:highlight w:val="none"/>
        </w:rPr>
        <w:t>年（含</w:t>
      </w:r>
      <w:r>
        <w:rPr>
          <w:rFonts w:hint="eastAsia" w:cs="仿宋" w:asciiTheme="minorEastAsia" w:hAnsiTheme="minorEastAsia" w:eastAsiaTheme="minorEastAsia"/>
          <w:bCs/>
          <w:color w:val="auto"/>
          <w:sz w:val="24"/>
          <w:highlight w:val="none"/>
          <w:lang w:val="en-US" w:eastAsia="zh-CN"/>
        </w:rPr>
        <w:t>5年</w:t>
      </w:r>
      <w:r>
        <w:rPr>
          <w:rFonts w:hint="eastAsia" w:cs="仿宋" w:asciiTheme="minorEastAsia" w:hAnsiTheme="minorEastAsia" w:eastAsiaTheme="minorEastAsia"/>
          <w:bCs/>
          <w:color w:val="auto"/>
          <w:sz w:val="24"/>
          <w:highlight w:val="none"/>
        </w:rPr>
        <w:t>）。拟通过公开招标方式确定</w:t>
      </w:r>
      <w:r>
        <w:rPr>
          <w:rFonts w:hint="eastAsia" w:cs="仿宋" w:asciiTheme="minorEastAsia" w:hAnsiTheme="minorEastAsia" w:eastAsiaTheme="minorEastAsia"/>
          <w:bCs/>
          <w:color w:val="auto"/>
          <w:sz w:val="24"/>
          <w:highlight w:val="none"/>
          <w:lang w:val="en-US" w:eastAsia="zh-CN"/>
        </w:rPr>
        <w:t>3</w:t>
      </w:r>
      <w:r>
        <w:rPr>
          <w:rFonts w:hint="eastAsia" w:cs="仿宋" w:asciiTheme="minorEastAsia" w:hAnsiTheme="minorEastAsia" w:eastAsiaTheme="minorEastAsia"/>
          <w:bCs/>
          <w:color w:val="auto"/>
          <w:sz w:val="24"/>
          <w:highlight w:val="none"/>
        </w:rPr>
        <w:t>家公司债券主承销商</w:t>
      </w:r>
      <w:r>
        <w:rPr>
          <w:rFonts w:hint="eastAsia" w:cs="仿宋" w:asciiTheme="minorEastAsia" w:hAnsiTheme="minorEastAsia" w:eastAsiaTheme="minorEastAsia"/>
          <w:bCs/>
          <w:color w:val="auto"/>
          <w:sz w:val="24"/>
          <w:highlight w:val="none"/>
          <w:lang w:eastAsia="zh-CN"/>
        </w:rPr>
        <w:t>（</w:t>
      </w:r>
      <w:r>
        <w:rPr>
          <w:rFonts w:hint="eastAsia" w:cs="仿宋" w:asciiTheme="minorEastAsia" w:hAnsiTheme="minorEastAsia" w:eastAsiaTheme="minorEastAsia"/>
          <w:bCs/>
          <w:color w:val="auto"/>
          <w:sz w:val="24"/>
          <w:highlight w:val="none"/>
        </w:rPr>
        <w:t>一组联合体为</w:t>
      </w:r>
      <w:r>
        <w:rPr>
          <w:rFonts w:hint="eastAsia" w:cs="仿宋" w:asciiTheme="minorEastAsia" w:hAnsiTheme="minorEastAsia" w:eastAsiaTheme="minorEastAsia"/>
          <w:bCs/>
          <w:color w:val="auto"/>
          <w:sz w:val="24"/>
          <w:highlight w:val="none"/>
          <w:lang w:val="en-US" w:eastAsia="zh-CN"/>
        </w:rPr>
        <w:t>1</w:t>
      </w:r>
      <w:r>
        <w:rPr>
          <w:rFonts w:hint="eastAsia" w:cs="仿宋" w:asciiTheme="minorEastAsia" w:hAnsiTheme="minorEastAsia" w:eastAsiaTheme="minorEastAsia"/>
          <w:bCs/>
          <w:color w:val="auto"/>
          <w:sz w:val="24"/>
          <w:highlight w:val="none"/>
        </w:rPr>
        <w:t>家中标人</w:t>
      </w:r>
      <w:r>
        <w:rPr>
          <w:rFonts w:hint="eastAsia" w:cs="仿宋" w:asciiTheme="minorEastAsia" w:hAnsiTheme="minorEastAsia" w:eastAsiaTheme="minorEastAsia"/>
          <w:bCs/>
          <w:color w:val="auto"/>
          <w:sz w:val="24"/>
          <w:highlight w:val="none"/>
          <w:lang w:eastAsia="zh-CN"/>
        </w:rPr>
        <w:t>）</w:t>
      </w:r>
      <w:r>
        <w:rPr>
          <w:rFonts w:hint="eastAsia" w:cs="仿宋" w:asciiTheme="minorEastAsia" w:hAnsiTheme="minorEastAsia" w:eastAsiaTheme="minorEastAsia"/>
          <w:bCs/>
          <w:color w:val="auto"/>
          <w:sz w:val="24"/>
          <w:highlight w:val="none"/>
        </w:rPr>
        <w:t>的中介服务机构。</w:t>
      </w:r>
    </w:p>
    <w:p w14:paraId="611601F7">
      <w:pPr>
        <w:snapToGrid w:val="0"/>
        <w:spacing w:line="440" w:lineRule="exact"/>
        <w:ind w:firstLine="480"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Cs/>
          <w:color w:val="auto"/>
          <w:sz w:val="24"/>
          <w:highlight w:val="none"/>
        </w:rPr>
        <w:t>2、募集资金用途说明：主要用于置换有息债务、项目建设投入、股权出资、基金出资及补充营运资金等符合国家相关政策的用途。</w:t>
      </w:r>
    </w:p>
    <w:p w14:paraId="069DBF6F">
      <w:pPr>
        <w:snapToGrid w:val="0"/>
        <w:spacing w:line="440" w:lineRule="exact"/>
        <w:ind w:firstLine="482"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五</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b/>
          <w:color w:val="auto"/>
          <w:sz w:val="24"/>
          <w:highlight w:val="none"/>
        </w:rPr>
        <w:t>合格投标人的资格要求</w:t>
      </w:r>
    </w:p>
    <w:p w14:paraId="69C13F98">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1、符合东阳市国有企业采购管理办法（2020年修订）二、采购当事人 第（三）条规定的投标人资格条件；</w:t>
      </w:r>
    </w:p>
    <w:p w14:paraId="44D5AF1E">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2、债券主承销商为具备行业监</w:t>
      </w:r>
      <w:bookmarkStart w:id="7" w:name="_GoBack"/>
      <w:bookmarkEnd w:id="7"/>
      <w:r>
        <w:rPr>
          <w:rFonts w:hint="eastAsia" w:cs="仿宋" w:asciiTheme="minorEastAsia" w:hAnsiTheme="minorEastAsia" w:eastAsiaTheme="minorEastAsia"/>
          <w:color w:val="auto"/>
          <w:sz w:val="24"/>
          <w:highlight w:val="none"/>
        </w:rPr>
        <w:t>管部门认定的债券承销业务的资格</w:t>
      </w:r>
      <w:r>
        <w:rPr>
          <w:rFonts w:hint="eastAsia" w:cs="仿宋" w:asciiTheme="minorEastAsia" w:hAnsiTheme="minorEastAsia" w:eastAsiaTheme="minorEastAsia"/>
          <w:color w:val="auto"/>
          <w:sz w:val="24"/>
          <w:highlight w:val="none"/>
          <w:lang w:eastAsia="zh-CN"/>
        </w:rPr>
        <w:t>；</w:t>
      </w:r>
    </w:p>
    <w:p w14:paraId="38D6DAC8">
      <w:pPr>
        <w:spacing w:line="360" w:lineRule="auto"/>
        <w:ind w:firstLine="480" w:firstLineChars="200"/>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val="en-US" w:eastAsia="zh-CN"/>
        </w:rPr>
        <w:t>3、近三年主承销商及高管人员没有因债券承销业务不良记录或处罚而被限制正常开展债券承销业务的情形。</w:t>
      </w:r>
    </w:p>
    <w:p w14:paraId="790E8CFB">
      <w:pPr>
        <w:snapToGrid w:val="0"/>
        <w:spacing w:line="360" w:lineRule="auto"/>
        <w:ind w:firstLine="482" w:firstLineChars="200"/>
        <w:rPr>
          <w:rFonts w:cs="仿宋" w:asciiTheme="minorEastAsia" w:hAnsiTheme="minorEastAsia" w:eastAsiaTheme="minorEastAsia"/>
          <w:color w:val="auto"/>
          <w:sz w:val="24"/>
          <w:highlight w:val="none"/>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、本项目接受联合体投标。若采用联合体方式，最多可由两家券商组成联合体，报名时需由主承销商提交联合体协议书。</w:t>
      </w:r>
    </w:p>
    <w:p w14:paraId="4F7A8F6E">
      <w:pPr>
        <w:pStyle w:val="15"/>
        <w:spacing w:before="158" w:after="158" w:line="360" w:lineRule="exact"/>
        <w:ind w:firstLine="482" w:firstLineChars="200"/>
        <w:rPr>
          <w:rFonts w:hint="eastAsia" w:ascii="宋体" w:hAnsi="宋体" w:eastAsia="宋体" w:cs="宋体"/>
          <w:b/>
          <w:color w:val="auto"/>
          <w:sz w:val="24"/>
          <w:szCs w:val="24"/>
          <w:highlight w:val="none"/>
        </w:rPr>
      </w:pPr>
      <w:r>
        <w:rPr>
          <w:rFonts w:hint="eastAsia" w:cs="仿宋" w:asciiTheme="minorEastAsia" w:hAnsiTheme="minorEastAsia" w:eastAsiaTheme="minorEastAsia"/>
          <w:b/>
          <w:color w:val="auto"/>
          <w:sz w:val="24"/>
          <w:szCs w:val="22"/>
          <w:highlight w:val="none"/>
        </w:rPr>
        <w:t>六、</w:t>
      </w:r>
      <w:r>
        <w:rPr>
          <w:rFonts w:hint="eastAsia" w:ascii="宋体" w:hAnsi="宋体" w:eastAsia="宋体" w:cs="宋体"/>
          <w:b/>
          <w:color w:val="auto"/>
          <w:sz w:val="24"/>
          <w:szCs w:val="24"/>
          <w:highlight w:val="none"/>
        </w:rPr>
        <w:t>获取采购文件</w:t>
      </w:r>
    </w:p>
    <w:p w14:paraId="1E553245">
      <w:pPr>
        <w:spacing w:before="158"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自公告发布之日起</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21</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w:t>
      </w:r>
      <w:r>
        <w:rPr>
          <w:rFonts w:hint="eastAsia" w:ascii="宋体" w:hAnsi="宋体" w:eastAsia="宋体" w:cs="宋体"/>
          <w:color w:val="auto"/>
          <w:sz w:val="24"/>
          <w:szCs w:val="24"/>
          <w:highlight w:val="none"/>
          <w:u w:val="single"/>
        </w:rPr>
        <w:t xml:space="preserve"> 00:00至12:00 </w:t>
      </w:r>
      <w:r>
        <w:rPr>
          <w:rFonts w:hint="eastAsia" w:ascii="宋体" w:hAnsi="宋体" w:eastAsia="宋体" w:cs="宋体"/>
          <w:color w:val="auto"/>
          <w:sz w:val="24"/>
          <w:szCs w:val="24"/>
          <w:highlight w:val="none"/>
        </w:rPr>
        <w:t>，下午</w:t>
      </w:r>
      <w:r>
        <w:rPr>
          <w:rFonts w:hint="eastAsia" w:ascii="宋体" w:hAnsi="宋体" w:eastAsia="宋体" w:cs="宋体"/>
          <w:color w:val="auto"/>
          <w:sz w:val="24"/>
          <w:szCs w:val="24"/>
          <w:highlight w:val="none"/>
          <w:u w:val="single"/>
        </w:rPr>
        <w:t xml:space="preserve"> 12:00至23:59 </w:t>
      </w:r>
      <w:r>
        <w:rPr>
          <w:rFonts w:hint="eastAsia" w:ascii="宋体" w:hAnsi="宋体" w:eastAsia="宋体" w:cs="宋体"/>
          <w:color w:val="auto"/>
          <w:sz w:val="24"/>
          <w:szCs w:val="24"/>
          <w:highlight w:val="none"/>
        </w:rPr>
        <w:t>（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2FD234D6">
      <w:pPr>
        <w:spacing w:before="158"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2.地点（网址）：</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"采购文件（7.9新版本）.doc" </w:instrText>
      </w:r>
      <w:r>
        <w:rPr>
          <w:rFonts w:hint="eastAsia" w:ascii="宋体" w:hAnsi="宋体" w:eastAsia="宋体" w:cs="宋体"/>
          <w:color w:val="auto"/>
          <w:sz w:val="24"/>
          <w:szCs w:val="24"/>
          <w:highlight w:val="none"/>
        </w:rPr>
        <w:fldChar w:fldCharType="separate"/>
      </w:r>
      <w:r>
        <w:rPr>
          <w:rStyle w:val="24"/>
          <w:rFonts w:hint="eastAsia" w:ascii="宋体" w:hAnsi="宋体" w:eastAsia="宋体" w:cs="宋体"/>
          <w:color w:val="auto"/>
          <w:sz w:val="24"/>
          <w:szCs w:val="24"/>
          <w:highlight w:val="none"/>
          <w:u w:val="none"/>
        </w:rPr>
        <w:t>https://www.lecaiyun.com/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5B298E44">
      <w:pPr>
        <w:spacing w:before="158"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3.方式：线上获取（供应商</w:t>
      </w:r>
      <w:r>
        <w:rPr>
          <w:rFonts w:hint="eastAsia" w:ascii="宋体" w:hAnsi="宋体" w:eastAsia="宋体" w:cs="宋体"/>
          <w:color w:val="auto"/>
          <w:sz w:val="24"/>
          <w:szCs w:val="24"/>
          <w:highlight w:val="none"/>
          <w:lang w:val="en-US" w:eastAsia="zh-CN"/>
        </w:rPr>
        <w:t>注册成为乐采云平台供应商后，登录平台-项目采购-获取采购文件）</w:t>
      </w:r>
    </w:p>
    <w:p w14:paraId="6CC94710">
      <w:pPr>
        <w:spacing w:before="158"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4.售价：免费。</w:t>
      </w:r>
    </w:p>
    <w:p w14:paraId="1C069FBC">
      <w:pPr>
        <w:spacing w:before="158"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5.供应商获取采购文件时须提交的文件资料：无。</w:t>
      </w:r>
    </w:p>
    <w:p w14:paraId="1F4737D7">
      <w:pPr>
        <w:spacing w:before="158"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6.提示：</w:t>
      </w:r>
    </w:p>
    <w:p w14:paraId="13D1ACCA">
      <w:pPr>
        <w:spacing w:before="158"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（1）采购人、采购代理机构依托</w:t>
      </w:r>
      <w:r>
        <w:rPr>
          <w:rFonts w:hint="eastAsia" w:ascii="宋体" w:hAnsi="宋体" w:eastAsia="宋体" w:cs="宋体"/>
          <w:color w:val="auto"/>
          <w:sz w:val="24"/>
          <w:szCs w:val="24"/>
          <w:highlight w:val="none"/>
          <w:lang w:val="en-US" w:eastAsia="zh-CN"/>
        </w:rPr>
        <w:t>乐采云平台</w:t>
      </w:r>
      <w:r>
        <w:rPr>
          <w:rFonts w:hint="eastAsia" w:ascii="宋体" w:hAnsi="宋体" w:eastAsia="宋体" w:cs="宋体"/>
          <w:color w:val="auto"/>
          <w:sz w:val="24"/>
          <w:szCs w:val="24"/>
          <w:highlight w:val="none"/>
        </w:rPr>
        <w:t>完成本项目的电子交易活动，平台不接受未按上述方式获取采购文件的供应商进行投标活动；</w:t>
      </w:r>
    </w:p>
    <w:p w14:paraId="28B7563A">
      <w:pPr>
        <w:spacing w:before="158"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（2）对未按上述方式获取采购文件的供应商对该文件提出的质疑，采购人或采购代理机构将不予处理；</w:t>
      </w:r>
    </w:p>
    <w:p w14:paraId="1B85B7B4">
      <w:pPr>
        <w:spacing w:before="158"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（3）采购人或者采购代理机构对已发出的采购文件等进行必要的澄清或者修改的，采购人或者采购代理机构将无法通过</w:t>
      </w:r>
      <w:r>
        <w:rPr>
          <w:rFonts w:hint="eastAsia" w:ascii="宋体" w:hAnsi="宋体" w:eastAsia="宋体" w:cs="宋体"/>
          <w:color w:val="auto"/>
          <w:sz w:val="24"/>
          <w:szCs w:val="24"/>
          <w:highlight w:val="none"/>
          <w:lang w:val="en-US" w:eastAsia="zh-CN"/>
        </w:rPr>
        <w:t>乐采云平台</w:t>
      </w:r>
      <w:r>
        <w:rPr>
          <w:rFonts w:hint="eastAsia" w:ascii="宋体" w:hAnsi="宋体" w:eastAsia="宋体" w:cs="宋体"/>
          <w:color w:val="auto"/>
          <w:sz w:val="24"/>
          <w:szCs w:val="24"/>
          <w:highlight w:val="none"/>
        </w:rPr>
        <w:t>通知未按上述方式获取采购文件的供应商；</w:t>
      </w:r>
    </w:p>
    <w:p w14:paraId="51F15BF0">
      <w:pPr>
        <w:spacing w:before="158"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（4）供应商只有在“</w:t>
      </w:r>
      <w:r>
        <w:rPr>
          <w:rFonts w:hint="eastAsia" w:ascii="宋体" w:hAnsi="宋体" w:eastAsia="宋体" w:cs="宋体"/>
          <w:color w:val="auto"/>
          <w:sz w:val="24"/>
          <w:szCs w:val="24"/>
          <w:highlight w:val="none"/>
          <w:lang w:val="en-US" w:eastAsia="zh-CN"/>
        </w:rPr>
        <w:t>乐采云平台</w:t>
      </w:r>
      <w:r>
        <w:rPr>
          <w:rFonts w:hint="eastAsia" w:ascii="宋体" w:hAnsi="宋体" w:eastAsia="宋体" w:cs="宋体"/>
          <w:color w:val="auto"/>
          <w:sz w:val="24"/>
          <w:szCs w:val="24"/>
          <w:highlight w:val="none"/>
        </w:rPr>
        <w:t>”完成获取采购文件申请并下载了采购文件后才被视为合法获取了采购文件，否则投标将被拒绝。（供应商获取采购文件时间以供应商完成获取采购文件申请后下载采购文件的时间为准）。</w:t>
      </w:r>
    </w:p>
    <w:p w14:paraId="336BC7E5">
      <w:pPr>
        <w:spacing w:before="158"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注：请供应商按上述要求获取采购文件，如未在“</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”系统内完成相关流程，引起的投标无效责任自负。</w:t>
      </w:r>
    </w:p>
    <w:p w14:paraId="7E5778D2">
      <w:pPr>
        <w:spacing w:before="158"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（5）不提供采购文件纸质版；</w:t>
      </w:r>
    </w:p>
    <w:p w14:paraId="29CB58B7">
      <w:pPr>
        <w:spacing w:before="158" w:line="360" w:lineRule="exact"/>
        <w:ind w:firstLine="480" w:firstLineChars="200"/>
        <w:rPr>
          <w:rFonts w:cs="仿宋"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647BD4B7">
      <w:pPr>
        <w:spacing w:before="158" w:line="360" w:lineRule="exact"/>
        <w:ind w:firstLine="482" w:firstLineChars="200"/>
        <w:rPr>
          <w:rFonts w:hint="eastAsia" w:ascii="宋体" w:hAnsi="宋体" w:eastAsia="宋体" w:cs="宋体"/>
          <w:b/>
          <w:color w:val="auto"/>
          <w:sz w:val="24"/>
          <w:szCs w:val="24"/>
          <w:highlight w:val="none"/>
        </w:rPr>
      </w:pPr>
      <w:r>
        <w:rPr>
          <w:rFonts w:hint="eastAsia" w:cs="仿宋" w:asciiTheme="minorEastAsia" w:hAnsiTheme="minorEastAsia" w:eastAsiaTheme="minorEastAsia"/>
          <w:b/>
          <w:bCs/>
          <w:color w:val="auto"/>
          <w:sz w:val="24"/>
          <w:highlight w:val="none"/>
        </w:rPr>
        <w:t>七、</w:t>
      </w:r>
      <w:r>
        <w:rPr>
          <w:rFonts w:hint="eastAsia" w:ascii="宋体" w:hAnsi="宋体" w:eastAsia="宋体" w:cs="宋体"/>
          <w:b/>
          <w:color w:val="auto"/>
          <w:sz w:val="24"/>
          <w:szCs w:val="24"/>
          <w:highlight w:val="none"/>
        </w:rPr>
        <w:t>电子招投标的说明：</w:t>
      </w:r>
    </w:p>
    <w:p w14:paraId="45F8B7A4">
      <w:pPr>
        <w:spacing w:before="158"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1.电子招投标：本项目以数据电文形式，依托“</w:t>
      </w:r>
      <w:r>
        <w:rPr>
          <w:rFonts w:hint="eastAsia" w:ascii="宋体" w:hAnsi="宋体" w:eastAsia="宋体" w:cs="宋体"/>
          <w:color w:val="auto"/>
          <w:sz w:val="24"/>
          <w:szCs w:val="24"/>
          <w:highlight w:val="none"/>
          <w:lang w:val="en-US" w:eastAsia="zh-CN"/>
        </w:rPr>
        <w:t>乐采</w:t>
      </w:r>
      <w:r>
        <w:rPr>
          <w:rFonts w:hint="eastAsia" w:ascii="宋体" w:hAnsi="宋体" w:eastAsia="宋体" w:cs="宋体"/>
          <w:color w:val="auto"/>
          <w:sz w:val="24"/>
          <w:szCs w:val="24"/>
          <w:highlight w:val="none"/>
        </w:rPr>
        <w:t>云平台（www.lecaiyun.com）”进行招投标活动，各投标人应按照本项目采购文件和</w:t>
      </w:r>
      <w:r>
        <w:rPr>
          <w:rFonts w:hint="eastAsia" w:ascii="宋体" w:hAnsi="宋体" w:eastAsia="宋体" w:cs="宋体"/>
          <w:color w:val="auto"/>
          <w:sz w:val="24"/>
          <w:szCs w:val="24"/>
          <w:highlight w:val="none"/>
          <w:lang w:val="en-US" w:eastAsia="zh-CN"/>
        </w:rPr>
        <w:t>乐</w:t>
      </w:r>
      <w:r>
        <w:rPr>
          <w:rFonts w:hint="eastAsia" w:ascii="宋体" w:hAnsi="宋体" w:eastAsia="宋体" w:cs="宋体"/>
          <w:color w:val="auto"/>
          <w:sz w:val="24"/>
          <w:szCs w:val="24"/>
          <w:highlight w:val="none"/>
        </w:rPr>
        <w:t>采云平台的要求编制、加密并递交投标文件，不接受纸质投标文件。</w:t>
      </w:r>
    </w:p>
    <w:p w14:paraId="2311BAD3">
      <w:pPr>
        <w:spacing w:before="158"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2.投标准备：</w:t>
      </w:r>
    </w:p>
    <w:p w14:paraId="6B69A12D">
      <w:pPr>
        <w:spacing w:before="158"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应为</w:t>
      </w:r>
      <w:r>
        <w:rPr>
          <w:rFonts w:hint="eastAsia" w:ascii="宋体" w:hAnsi="宋体" w:eastAsia="宋体" w:cs="宋体"/>
          <w:color w:val="auto"/>
          <w:sz w:val="24"/>
          <w:szCs w:val="24"/>
          <w:highlight w:val="none"/>
          <w:lang w:val="en-US" w:eastAsia="zh-CN"/>
        </w:rPr>
        <w:t>乐采云平台供应商，注册地址：乐采云平台-商家注册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注册地址：</w:t>
      </w:r>
      <w:r>
        <w:rPr>
          <w:rFonts w:hint="eastAsia" w:ascii="宋体" w:hAnsi="宋体" w:eastAsia="宋体" w:cs="宋体"/>
          <w:color w:val="auto"/>
          <w:sz w:val="24"/>
          <w:szCs w:val="24"/>
          <w:highlight w:val="none"/>
        </w:rPr>
        <w:t>https://middle-lcy.lecaiyun.com/v-settle-front/enter/accountNew?settleCategory=1&amp;entranceType=150&amp;utm=luban.luban-PC-55609.ct001.9.d37d2350548211ef93937d90641fa708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en-US" w:eastAsia="zh-CN"/>
        </w:rPr>
        <w:t>乐采云平台</w:t>
      </w:r>
      <w:r>
        <w:rPr>
          <w:rFonts w:hint="eastAsia" w:ascii="宋体" w:hAnsi="宋体" w:eastAsia="宋体" w:cs="宋体"/>
          <w:color w:val="auto"/>
          <w:sz w:val="24"/>
          <w:szCs w:val="24"/>
          <w:highlight w:val="none"/>
        </w:rPr>
        <w:t>供应商资料填写，通过</w:t>
      </w:r>
      <w:r>
        <w:rPr>
          <w:rFonts w:hint="eastAsia" w:ascii="宋体" w:hAnsi="宋体" w:eastAsia="宋体" w:cs="宋体"/>
          <w:color w:val="auto"/>
          <w:sz w:val="24"/>
          <w:szCs w:val="24"/>
          <w:highlight w:val="none"/>
          <w:lang w:val="en-US" w:eastAsia="zh-CN"/>
        </w:rPr>
        <w:t>平台审核后成为乐采云平台供应商</w:t>
      </w:r>
      <w:r>
        <w:rPr>
          <w:rFonts w:hint="eastAsia" w:ascii="宋体" w:hAnsi="宋体" w:eastAsia="宋体" w:cs="宋体"/>
          <w:color w:val="auto"/>
          <w:sz w:val="24"/>
          <w:szCs w:val="24"/>
          <w:highlight w:val="none"/>
        </w:rPr>
        <w:t>。</w:t>
      </w:r>
    </w:p>
    <w:p w14:paraId="671E64C4">
      <w:pPr>
        <w:spacing w:before="158"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（2）申领CA数字证书---申领流程详见“</w:t>
      </w:r>
      <w:r>
        <w:rPr>
          <w:rFonts w:hint="eastAsia" w:ascii="宋体" w:hAnsi="宋体" w:eastAsia="宋体" w:cs="宋体"/>
          <w:color w:val="auto"/>
          <w:sz w:val="24"/>
          <w:szCs w:val="24"/>
          <w:highlight w:val="none"/>
          <w:lang w:val="en-US" w:eastAsia="zh-CN"/>
        </w:rPr>
        <w:t>乐采云平台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服务中心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CA管理-申领CA证书</w:t>
      </w:r>
      <w:r>
        <w:rPr>
          <w:rFonts w:hint="eastAsia" w:ascii="宋体" w:hAnsi="宋体" w:eastAsia="宋体" w:cs="宋体"/>
          <w:color w:val="auto"/>
          <w:sz w:val="24"/>
          <w:szCs w:val="24"/>
          <w:highlight w:val="none"/>
        </w:rPr>
        <w:t>-CA驱动和申领流程”：投标人应在开标前完成CA数字证书办理，完成CA数字证书办理预计1-2周左右，各投标人应充分考虑办理时间等因素。</w:t>
      </w:r>
    </w:p>
    <w:p w14:paraId="6736BB60">
      <w:pPr>
        <w:spacing w:before="158"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办理流程详见:CA管理操作指南https://lecaiyun.com/helpcenter/document#/document/detail?siteCode=lecaiyun&amp;manualId=2185&amp;topicId=12851</w:t>
      </w:r>
    </w:p>
    <w:p w14:paraId="6FCD8180">
      <w:pPr>
        <w:spacing w:before="158"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（3）安装“</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电子交易客户端”----投标人通过</w:t>
      </w:r>
      <w:r>
        <w:rPr>
          <w:rFonts w:hint="eastAsia" w:ascii="宋体" w:hAnsi="宋体" w:eastAsia="宋体" w:cs="宋体"/>
          <w:color w:val="auto"/>
          <w:sz w:val="24"/>
          <w:szCs w:val="24"/>
          <w:highlight w:val="none"/>
          <w:lang w:eastAsia="zh-CN"/>
        </w:rPr>
        <w:t>乐采云平台</w:t>
      </w:r>
      <w:r>
        <w:rPr>
          <w:rFonts w:hint="eastAsia" w:ascii="宋体" w:hAnsi="宋体" w:eastAsia="宋体" w:cs="宋体"/>
          <w:color w:val="auto"/>
          <w:sz w:val="24"/>
          <w:szCs w:val="24"/>
          <w:highlight w:val="none"/>
        </w:rPr>
        <w:t>电子投标工具制作投标文件，前往“</w:t>
      </w:r>
      <w:r>
        <w:rPr>
          <w:rFonts w:hint="eastAsia" w:ascii="宋体" w:hAnsi="宋体" w:eastAsia="宋体" w:cs="宋体"/>
          <w:color w:val="auto"/>
          <w:sz w:val="24"/>
          <w:szCs w:val="24"/>
          <w:highlight w:val="none"/>
          <w:lang w:val="en-US" w:eastAsia="zh-CN"/>
        </w:rPr>
        <w:t>乐采云平台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服务中心</w:t>
      </w:r>
      <w:r>
        <w:rPr>
          <w:rFonts w:hint="eastAsia" w:ascii="宋体" w:hAnsi="宋体" w:eastAsia="宋体" w:cs="宋体"/>
          <w:color w:val="auto"/>
          <w:sz w:val="24"/>
          <w:szCs w:val="24"/>
          <w:highlight w:val="none"/>
        </w:rPr>
        <w:t>-电子交易客户端”进行下载并安装。</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电子交易客户端：https://sitecdn.zcycdn.com/zcy-client/bidding-client-new/official/lcy/LeCaiYunSetup.latest.exe</w:t>
      </w:r>
    </w:p>
    <w:p w14:paraId="25D04437">
      <w:pPr>
        <w:spacing w:before="158"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3.采购文件的获取：使用账号登录或者使用CA登录</w:t>
      </w:r>
      <w:r>
        <w:rPr>
          <w:rFonts w:hint="eastAsia" w:ascii="宋体" w:hAnsi="宋体" w:eastAsia="宋体" w:cs="宋体"/>
          <w:color w:val="auto"/>
          <w:sz w:val="24"/>
          <w:szCs w:val="24"/>
          <w:highlight w:val="none"/>
          <w:lang w:eastAsia="zh-CN"/>
        </w:rPr>
        <w:t>乐采云平台</w:t>
      </w:r>
      <w:r>
        <w:rPr>
          <w:rFonts w:hint="eastAsia" w:ascii="宋体" w:hAnsi="宋体" w:eastAsia="宋体" w:cs="宋体"/>
          <w:color w:val="auto"/>
          <w:sz w:val="24"/>
          <w:szCs w:val="24"/>
          <w:highlight w:val="none"/>
        </w:rPr>
        <w:t>；进入“项目采购”应用，在获取采购文件菜单中选择项目，获取采购文件。</w:t>
      </w:r>
    </w:p>
    <w:p w14:paraId="6D34A5D3">
      <w:pPr>
        <w:spacing w:before="158"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4.投标文件的制作：在“</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电子交易客户端”中完成“填写基本信息”、“导入投标文件”、“标书关联”、“标书检查”、“电子签名”、“生成电子标书”等操作。</w:t>
      </w:r>
    </w:p>
    <w:p w14:paraId="23A99F8D">
      <w:pPr>
        <w:spacing w:before="158"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5.投标文件的传输递交：投标人在投标截止时间前将加密的投标文件上传至政府采购云平台。</w:t>
      </w:r>
    </w:p>
    <w:p w14:paraId="44896255">
      <w:pPr>
        <w:spacing w:before="158"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6.投标文件的解密：投标人按照平台提示和采购文件的规定在开标时间起30分钟内完成在线解密。</w:t>
      </w:r>
    </w:p>
    <w:p w14:paraId="621F39DE">
      <w:pPr>
        <w:snapToGrid w:val="0"/>
        <w:spacing w:line="400" w:lineRule="exact"/>
        <w:ind w:firstLine="475" w:firstLineChars="198"/>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8.供应商在使用系统进行投标的过程中遇到涉及平台使用的任何问题，可致电</w:t>
      </w:r>
      <w:r>
        <w:rPr>
          <w:rFonts w:hint="eastAsia" w:ascii="宋体" w:hAnsi="宋体" w:eastAsia="宋体" w:cs="宋体"/>
          <w:color w:val="auto"/>
          <w:sz w:val="24"/>
          <w:szCs w:val="24"/>
          <w:highlight w:val="none"/>
          <w:lang w:eastAsia="zh-CN"/>
        </w:rPr>
        <w:t>乐采云平台</w:t>
      </w:r>
      <w:r>
        <w:rPr>
          <w:rFonts w:hint="eastAsia" w:ascii="宋体" w:hAnsi="宋体" w:eastAsia="宋体" w:cs="宋体"/>
          <w:color w:val="auto"/>
          <w:sz w:val="24"/>
          <w:szCs w:val="24"/>
          <w:highlight w:val="none"/>
        </w:rPr>
        <w:t>技术支持热线咨询，联系方式：</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w:t>
      </w:r>
    </w:p>
    <w:p w14:paraId="7C7C725F">
      <w:pPr>
        <w:snapToGrid w:val="0"/>
        <w:spacing w:line="400" w:lineRule="exact"/>
        <w:ind w:firstLine="477" w:firstLineChars="198"/>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八、投标保证金：本项目不收取投标保证金。</w:t>
      </w:r>
    </w:p>
    <w:p w14:paraId="5939C0DF">
      <w:pPr>
        <w:pStyle w:val="7"/>
        <w:spacing w:before="158" w:line="360" w:lineRule="exact"/>
        <w:ind w:firstLine="436" w:firstLineChars="181"/>
        <w:rPr>
          <w:rFonts w:hint="eastAsia" w:ascii="宋体" w:hAnsi="宋体" w:eastAsia="宋体" w:cs="宋体"/>
          <w:b/>
          <w:color w:val="auto"/>
          <w:sz w:val="24"/>
          <w:szCs w:val="24"/>
          <w:highlight w:val="none"/>
        </w:rPr>
      </w:pPr>
      <w:r>
        <w:rPr>
          <w:rFonts w:hint="eastAsia" w:cs="仿宋" w:asciiTheme="minorEastAsia" w:hAnsiTheme="minorEastAsia" w:eastAsiaTheme="minorEastAsia"/>
          <w:b/>
          <w:color w:val="auto"/>
          <w:sz w:val="24"/>
          <w:highlight w:val="none"/>
        </w:rPr>
        <w:t>九、</w:t>
      </w:r>
      <w:r>
        <w:rPr>
          <w:rFonts w:hint="eastAsia" w:ascii="宋体" w:hAnsi="宋体" w:eastAsia="宋体" w:cs="宋体"/>
          <w:b/>
          <w:color w:val="auto"/>
          <w:sz w:val="24"/>
          <w:szCs w:val="24"/>
          <w:highlight w:val="none"/>
        </w:rPr>
        <w:t>提交投标文件截止时间与地点：</w:t>
      </w:r>
    </w:p>
    <w:p w14:paraId="19776669">
      <w:pPr>
        <w:pStyle w:val="7"/>
        <w:spacing w:before="158" w:line="360" w:lineRule="exact"/>
        <w:ind w:firstLine="436" w:firstLineChars="18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提交投标文件截止时间：202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lang w:val="en-US" w:eastAsia="zh-CN"/>
        </w:rPr>
        <w:t xml:space="preserve"> 日09</w:t>
      </w:r>
      <w:r>
        <w:rPr>
          <w:rFonts w:hint="eastAsia" w:ascii="宋体" w:hAnsi="宋体" w:eastAsia="宋体" w:cs="宋体"/>
          <w:b/>
          <w:bCs/>
          <w:color w:val="auto"/>
          <w:sz w:val="24"/>
          <w:szCs w:val="24"/>
          <w:highlight w:val="none"/>
        </w:rPr>
        <w:t>时</w:t>
      </w:r>
      <w:r>
        <w:rPr>
          <w:rFonts w:hint="eastAsia" w:ascii="宋体" w:hAnsi="宋体" w:eastAsia="宋体" w:cs="宋体"/>
          <w:b/>
          <w:bCs/>
          <w:color w:val="auto"/>
          <w:sz w:val="24"/>
          <w:szCs w:val="24"/>
          <w:highlight w:val="none"/>
          <w:lang w:val="en-US" w:eastAsia="zh-CN"/>
        </w:rPr>
        <w:t>00</w:t>
      </w:r>
      <w:r>
        <w:rPr>
          <w:rFonts w:hint="eastAsia" w:ascii="宋体" w:hAnsi="宋体" w:eastAsia="宋体" w:cs="宋体"/>
          <w:b/>
          <w:bCs/>
          <w:color w:val="auto"/>
          <w:sz w:val="24"/>
          <w:szCs w:val="24"/>
          <w:highlight w:val="none"/>
        </w:rPr>
        <w:t>分（北京时间）；</w:t>
      </w:r>
    </w:p>
    <w:p w14:paraId="13581470">
      <w:pPr>
        <w:pStyle w:val="7"/>
        <w:spacing w:before="158" w:line="360" w:lineRule="exact"/>
        <w:ind w:firstLine="434" w:firstLineChars="1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19B6F743">
      <w:pPr>
        <w:spacing w:line="360" w:lineRule="auto"/>
        <w:ind w:firstLine="480" w:firstLineChars="200"/>
        <w:jc w:val="left"/>
        <w:textAlignment w:val="top"/>
        <w:rPr>
          <w:rFonts w:cs="仿宋" w:asciiTheme="minorEastAsia" w:hAnsiTheme="minorEastAsia" w:eastAsiaTheme="minorEastAsia"/>
          <w:color w:val="auto"/>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投标地点（网址）：本项目采用全流程电子化交易，无须参加现场开标会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"采购文件（7.9新版本）.doc" </w:instrText>
      </w:r>
      <w:r>
        <w:rPr>
          <w:rFonts w:hint="eastAsia" w:ascii="宋体" w:hAnsi="宋体" w:eastAsia="宋体" w:cs="宋体"/>
          <w:color w:val="auto"/>
          <w:sz w:val="24"/>
          <w:szCs w:val="24"/>
          <w:highlight w:val="none"/>
        </w:rPr>
        <w:fldChar w:fldCharType="separate"/>
      </w:r>
      <w:r>
        <w:rPr>
          <w:rStyle w:val="24"/>
          <w:rFonts w:hint="eastAsia" w:ascii="宋体" w:hAnsi="宋体" w:eastAsia="宋体" w:cs="宋体"/>
          <w:color w:val="auto"/>
          <w:sz w:val="24"/>
          <w:szCs w:val="24"/>
          <w:highlight w:val="none"/>
        </w:rPr>
        <w:t>https://www.lecaiyun.com/</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412DB626">
      <w:pPr>
        <w:snapToGrid w:val="0"/>
        <w:spacing w:line="360" w:lineRule="auto"/>
        <w:ind w:firstLine="482" w:firstLineChars="200"/>
        <w:jc w:val="left"/>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color w:val="auto"/>
          <w:sz w:val="24"/>
          <w:highlight w:val="none"/>
        </w:rPr>
        <w:t>十、</w:t>
      </w:r>
      <w:r>
        <w:rPr>
          <w:rFonts w:hint="eastAsia" w:cs="仿宋" w:asciiTheme="minorEastAsia" w:hAnsiTheme="minorEastAsia" w:eastAsiaTheme="minorEastAsia"/>
          <w:b/>
          <w:bCs/>
          <w:color w:val="auto"/>
          <w:sz w:val="24"/>
          <w:highlight w:val="none"/>
        </w:rPr>
        <w:t>开标时间</w:t>
      </w:r>
      <w:r>
        <w:rPr>
          <w:rFonts w:hint="eastAsia" w:cs="仿宋" w:asciiTheme="minorEastAsia" w:hAnsiTheme="minorEastAsia" w:eastAsiaTheme="minorEastAsia"/>
          <w:b/>
          <w:bCs/>
          <w:color w:val="auto"/>
          <w:sz w:val="24"/>
          <w:highlight w:val="none"/>
          <w:lang w:val="en-US" w:eastAsia="zh-CN"/>
        </w:rPr>
        <w:t>与</w:t>
      </w:r>
      <w:r>
        <w:rPr>
          <w:rFonts w:hint="eastAsia" w:cs="仿宋" w:asciiTheme="minorEastAsia" w:hAnsiTheme="minorEastAsia" w:eastAsiaTheme="minorEastAsia"/>
          <w:b/>
          <w:bCs/>
          <w:color w:val="auto"/>
          <w:sz w:val="24"/>
          <w:highlight w:val="none"/>
        </w:rPr>
        <w:t xml:space="preserve">地点： </w:t>
      </w:r>
    </w:p>
    <w:p w14:paraId="3455C87B">
      <w:pPr>
        <w:snapToGrid w:val="0"/>
        <w:spacing w:line="360" w:lineRule="auto"/>
        <w:jc w:val="left"/>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b/>
          <w:bCs/>
          <w:color w:val="auto"/>
          <w:sz w:val="24"/>
          <w:highlight w:val="none"/>
        </w:rPr>
        <w:t xml:space="preserve"> </w:t>
      </w:r>
      <w:r>
        <w:rPr>
          <w:rFonts w:hint="eastAsia" w:cs="仿宋" w:asciiTheme="minorEastAsia" w:hAnsiTheme="minorEastAsia" w:eastAsiaTheme="minorEastAsia"/>
          <w:b/>
          <w:bCs/>
          <w:color w:val="auto"/>
          <w:sz w:val="24"/>
          <w:highlight w:val="none"/>
          <w:lang w:val="en-US" w:eastAsia="zh-CN"/>
        </w:rPr>
        <w:t>1.</w:t>
      </w:r>
      <w:r>
        <w:rPr>
          <w:rFonts w:hint="eastAsia" w:cs="仿宋" w:asciiTheme="minorEastAsia" w:hAnsiTheme="minorEastAsia" w:eastAsiaTheme="minorEastAsia"/>
          <w:b/>
          <w:bCs/>
          <w:color w:val="auto"/>
          <w:sz w:val="24"/>
          <w:highlight w:val="none"/>
        </w:rPr>
        <w:t>开标时间</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b/>
          <w:bCs/>
          <w:color w:val="auto"/>
          <w:sz w:val="24"/>
          <w:highlight w:val="none"/>
          <w:u w:val="single"/>
        </w:rPr>
        <w:t>202</w:t>
      </w:r>
      <w:r>
        <w:rPr>
          <w:rFonts w:hint="eastAsia" w:cs="仿宋" w:asciiTheme="minorEastAsia" w:hAnsiTheme="minorEastAsia" w:eastAsiaTheme="minorEastAsia"/>
          <w:b/>
          <w:bCs/>
          <w:color w:val="auto"/>
          <w:sz w:val="24"/>
          <w:highlight w:val="none"/>
          <w:u w:val="single"/>
          <w:lang w:val="en-US" w:eastAsia="zh-CN"/>
        </w:rPr>
        <w:t>5</w:t>
      </w:r>
      <w:r>
        <w:rPr>
          <w:rFonts w:hint="eastAsia" w:cs="仿宋" w:asciiTheme="minorEastAsia" w:hAnsiTheme="minorEastAsia" w:eastAsiaTheme="minorEastAsia"/>
          <w:b/>
          <w:bCs/>
          <w:color w:val="auto"/>
          <w:sz w:val="24"/>
          <w:highlight w:val="none"/>
          <w:u w:val="single"/>
        </w:rPr>
        <w:t>年</w:t>
      </w:r>
      <w:r>
        <w:rPr>
          <w:rFonts w:hint="eastAsia" w:cs="仿宋" w:asciiTheme="minorEastAsia" w:hAnsiTheme="minorEastAsia" w:eastAsiaTheme="minorEastAsia"/>
          <w:b/>
          <w:bCs/>
          <w:color w:val="auto"/>
          <w:sz w:val="24"/>
          <w:highlight w:val="none"/>
          <w:u w:val="single"/>
          <w:lang w:val="en-US" w:eastAsia="zh-CN"/>
        </w:rPr>
        <w:t>1</w:t>
      </w:r>
      <w:r>
        <w:rPr>
          <w:rFonts w:hint="eastAsia" w:cs="仿宋" w:asciiTheme="minorEastAsia" w:hAnsiTheme="minorEastAsia" w:eastAsiaTheme="minorEastAsia"/>
          <w:b/>
          <w:bCs/>
          <w:color w:val="auto"/>
          <w:sz w:val="24"/>
          <w:highlight w:val="none"/>
          <w:u w:val="single"/>
        </w:rPr>
        <w:t>月</w:t>
      </w:r>
      <w:r>
        <w:rPr>
          <w:rFonts w:hint="eastAsia" w:cs="仿宋" w:asciiTheme="minorEastAsia" w:hAnsiTheme="minorEastAsia" w:eastAsiaTheme="minorEastAsia"/>
          <w:b/>
          <w:bCs/>
          <w:color w:val="auto"/>
          <w:sz w:val="24"/>
          <w:highlight w:val="none"/>
          <w:u w:val="single"/>
          <w:lang w:val="en-US" w:eastAsia="zh-CN"/>
        </w:rPr>
        <w:t>21</w:t>
      </w:r>
      <w:r>
        <w:rPr>
          <w:rFonts w:hint="eastAsia" w:cs="仿宋" w:asciiTheme="minorEastAsia" w:hAnsiTheme="minorEastAsia" w:eastAsiaTheme="minorEastAsia"/>
          <w:b/>
          <w:bCs/>
          <w:color w:val="auto"/>
          <w:sz w:val="24"/>
          <w:highlight w:val="none"/>
          <w:u w:val="single"/>
        </w:rPr>
        <w:t>日</w:t>
      </w:r>
      <w:r>
        <w:rPr>
          <w:rFonts w:hint="eastAsia" w:cs="仿宋" w:asciiTheme="minorEastAsia" w:hAnsiTheme="minorEastAsia" w:eastAsiaTheme="minorEastAsia"/>
          <w:b/>
          <w:bCs/>
          <w:color w:val="auto"/>
          <w:sz w:val="24"/>
          <w:highlight w:val="none"/>
          <w:u w:val="single"/>
          <w:lang w:val="en-US" w:eastAsia="zh-CN"/>
        </w:rPr>
        <w:t>09</w:t>
      </w:r>
      <w:r>
        <w:rPr>
          <w:rFonts w:hint="eastAsia" w:cs="仿宋" w:asciiTheme="minorEastAsia" w:hAnsiTheme="minorEastAsia" w:eastAsiaTheme="minorEastAsia"/>
          <w:b/>
          <w:bCs/>
          <w:color w:val="auto"/>
          <w:sz w:val="24"/>
          <w:highlight w:val="none"/>
          <w:u w:val="single"/>
        </w:rPr>
        <w:t>时00分</w:t>
      </w:r>
      <w:r>
        <w:rPr>
          <w:rFonts w:hint="eastAsia" w:cs="仿宋" w:asciiTheme="minorEastAsia" w:hAnsiTheme="minorEastAsia" w:eastAsiaTheme="minorEastAsia"/>
          <w:b/>
          <w:bCs/>
          <w:color w:val="auto"/>
          <w:sz w:val="24"/>
          <w:highlight w:val="none"/>
          <w:u w:val="single"/>
          <w:lang w:eastAsia="zh-CN"/>
        </w:rPr>
        <w:t>（</w:t>
      </w:r>
      <w:r>
        <w:rPr>
          <w:rFonts w:hint="eastAsia" w:cs="仿宋" w:asciiTheme="minorEastAsia" w:hAnsiTheme="minorEastAsia" w:eastAsiaTheme="minorEastAsia"/>
          <w:b/>
          <w:bCs/>
          <w:color w:val="auto"/>
          <w:sz w:val="24"/>
          <w:highlight w:val="none"/>
          <w:u w:val="single"/>
          <w:lang w:val="en-US" w:eastAsia="zh-CN"/>
        </w:rPr>
        <w:t>北京时间</w:t>
      </w:r>
      <w:r>
        <w:rPr>
          <w:rFonts w:hint="eastAsia" w:cs="仿宋" w:asciiTheme="minorEastAsia" w:hAnsiTheme="minorEastAsia" w:eastAsiaTheme="minorEastAsia"/>
          <w:b/>
          <w:bCs/>
          <w:color w:val="auto"/>
          <w:sz w:val="24"/>
          <w:highlight w:val="none"/>
          <w:u w:val="single"/>
          <w:lang w:eastAsia="zh-CN"/>
        </w:rPr>
        <w:t>）</w:t>
      </w:r>
      <w:r>
        <w:rPr>
          <w:rFonts w:hint="eastAsia" w:cs="仿宋" w:asciiTheme="minorEastAsia" w:hAnsiTheme="minorEastAsia" w:eastAsiaTheme="minorEastAsia"/>
          <w:b/>
          <w:bCs/>
          <w:color w:val="auto"/>
          <w:sz w:val="24"/>
          <w:highlight w:val="none"/>
          <w:u w:val="single"/>
        </w:rPr>
        <w:t>；</w:t>
      </w:r>
      <w:r>
        <w:rPr>
          <w:rFonts w:hint="eastAsia" w:cs="仿宋" w:asciiTheme="minorEastAsia" w:hAnsiTheme="minorEastAsia" w:eastAsiaTheme="minorEastAsia"/>
          <w:b/>
          <w:bCs/>
          <w:color w:val="auto"/>
          <w:sz w:val="24"/>
          <w:highlight w:val="none"/>
        </w:rPr>
        <w:t xml:space="preserve"> </w:t>
      </w:r>
    </w:p>
    <w:p w14:paraId="40A859B4">
      <w:pPr>
        <w:snapToGrid w:val="0"/>
        <w:spacing w:line="360" w:lineRule="auto"/>
        <w:ind w:firstLine="482" w:firstLineChars="200"/>
        <w:jc w:val="left"/>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lang w:val="en-US" w:eastAsia="zh-CN"/>
        </w:rPr>
        <w:t>2.</w:t>
      </w:r>
      <w:r>
        <w:rPr>
          <w:rFonts w:hint="eastAsia" w:cs="仿宋" w:asciiTheme="minorEastAsia" w:hAnsiTheme="minorEastAsia" w:eastAsiaTheme="minorEastAsia"/>
          <w:b/>
          <w:color w:val="auto"/>
          <w:sz w:val="24"/>
          <w:highlight w:val="none"/>
        </w:rPr>
        <w:t>开标地点</w:t>
      </w:r>
      <w:r>
        <w:rPr>
          <w:rFonts w:hint="eastAsia" w:cs="仿宋" w:asciiTheme="minorEastAsia" w:hAnsiTheme="minorEastAsia" w:eastAsiaTheme="minorEastAsia"/>
          <w:b/>
          <w:color w:val="auto"/>
          <w:sz w:val="24"/>
          <w:highlight w:val="none"/>
          <w:lang w:eastAsia="zh-CN"/>
        </w:rPr>
        <w:t>（</w:t>
      </w:r>
      <w:r>
        <w:rPr>
          <w:rFonts w:hint="eastAsia" w:cs="仿宋" w:asciiTheme="minorEastAsia" w:hAnsiTheme="minorEastAsia" w:eastAsiaTheme="minorEastAsia"/>
          <w:b/>
          <w:color w:val="auto"/>
          <w:sz w:val="24"/>
          <w:highlight w:val="none"/>
          <w:lang w:val="en-US" w:eastAsia="zh-CN"/>
        </w:rPr>
        <w:t>网址</w:t>
      </w:r>
      <w:r>
        <w:rPr>
          <w:rFonts w:hint="eastAsia" w:cs="仿宋" w:asciiTheme="minorEastAsia" w:hAnsiTheme="minorEastAsia" w:eastAsiaTheme="minorEastAsia"/>
          <w:b/>
          <w:color w:val="auto"/>
          <w:sz w:val="24"/>
          <w:highlight w:val="none"/>
          <w:lang w:eastAsia="zh-CN"/>
        </w:rPr>
        <w:t>）</w:t>
      </w:r>
      <w:r>
        <w:rPr>
          <w:rFonts w:hint="eastAsia" w:cs="仿宋" w:asciiTheme="minorEastAsia" w:hAnsiTheme="minorEastAsia" w:eastAsiaTheme="minorEastAsia"/>
          <w:b/>
          <w:color w:val="auto"/>
          <w:sz w:val="24"/>
          <w:highlight w:val="none"/>
        </w:rPr>
        <w:t>：金华市公共资源交易中心东阳分中心（艺海北路388号B幢西区）</w:t>
      </w:r>
      <w:r>
        <w:rPr>
          <w:rFonts w:hint="eastAsia" w:cs="仿宋" w:asciiTheme="minorEastAsia" w:hAnsiTheme="minorEastAsia" w:eastAsiaTheme="minorEastAsia"/>
          <w:b/>
          <w:color w:val="auto"/>
          <w:sz w:val="24"/>
          <w:highlight w:val="none"/>
          <w:lang w:val="en-US" w:eastAsia="zh-CN"/>
        </w:rPr>
        <w:t>10楼</w:t>
      </w:r>
      <w:r>
        <w:rPr>
          <w:rFonts w:hint="eastAsia" w:cs="仿宋" w:asciiTheme="minorEastAsia" w:hAnsiTheme="minorEastAsia" w:eastAsiaTheme="minorEastAsia"/>
          <w:b/>
          <w:color w:val="auto"/>
          <w:sz w:val="24"/>
          <w:highlight w:val="none"/>
        </w:rPr>
        <w:t>开标区开标室。</w:t>
      </w:r>
      <w:r>
        <w:rPr>
          <w:rFonts w:hint="eastAsia" w:cs="仿宋" w:asciiTheme="minorEastAsia" w:hAnsiTheme="minorEastAsia" w:eastAsiaTheme="minorEastAsia"/>
          <w:b/>
          <w:color w:val="auto"/>
          <w:sz w:val="24"/>
          <w:highlight w:val="none"/>
          <w:u w:val="none"/>
        </w:rPr>
        <w:t>（</w:t>
      </w:r>
      <w:r>
        <w:rPr>
          <w:rFonts w:hint="eastAsia" w:cs="仿宋" w:asciiTheme="minorEastAsia" w:hAnsiTheme="minorEastAsia" w:eastAsiaTheme="minorEastAsia"/>
          <w:b/>
          <w:color w:val="auto"/>
          <w:sz w:val="24"/>
          <w:highlight w:val="none"/>
          <w:u w:val="none"/>
        </w:rPr>
        <w:fldChar w:fldCharType="begin"/>
      </w:r>
      <w:r>
        <w:rPr>
          <w:rFonts w:hint="eastAsia" w:cs="仿宋" w:asciiTheme="minorEastAsia" w:hAnsiTheme="minorEastAsia" w:eastAsiaTheme="minorEastAsia"/>
          <w:b/>
          <w:color w:val="auto"/>
          <w:sz w:val="24"/>
          <w:highlight w:val="none"/>
          <w:u w:val="none"/>
        </w:rPr>
        <w:instrText xml:space="preserve"> HYPERLINK "采购文件（7.9新版本）.doc" </w:instrText>
      </w:r>
      <w:r>
        <w:rPr>
          <w:rFonts w:hint="eastAsia" w:cs="仿宋" w:asciiTheme="minorEastAsia" w:hAnsiTheme="minorEastAsia" w:eastAsiaTheme="minorEastAsia"/>
          <w:b/>
          <w:color w:val="auto"/>
          <w:sz w:val="24"/>
          <w:highlight w:val="none"/>
          <w:u w:val="none"/>
        </w:rPr>
        <w:fldChar w:fldCharType="separate"/>
      </w:r>
      <w:r>
        <w:rPr>
          <w:rFonts w:hint="eastAsia" w:cs="仿宋" w:asciiTheme="minorEastAsia" w:hAnsiTheme="minorEastAsia" w:eastAsiaTheme="minorEastAsia"/>
          <w:b/>
          <w:color w:val="auto"/>
          <w:sz w:val="24"/>
          <w:highlight w:val="none"/>
          <w:u w:val="none"/>
        </w:rPr>
        <w:t>https://www.lecaiyun.com/</w:t>
      </w:r>
      <w:r>
        <w:rPr>
          <w:rFonts w:hint="eastAsia" w:cs="仿宋" w:asciiTheme="minorEastAsia" w:hAnsiTheme="minorEastAsia" w:eastAsiaTheme="minorEastAsia"/>
          <w:b/>
          <w:color w:val="auto"/>
          <w:sz w:val="24"/>
          <w:highlight w:val="none"/>
          <w:u w:val="none"/>
        </w:rPr>
        <w:fldChar w:fldCharType="end"/>
      </w:r>
      <w:r>
        <w:rPr>
          <w:rFonts w:hint="eastAsia" w:cs="仿宋" w:asciiTheme="minorEastAsia" w:hAnsiTheme="minorEastAsia" w:eastAsiaTheme="minorEastAsia"/>
          <w:b/>
          <w:color w:val="auto"/>
          <w:sz w:val="24"/>
          <w:highlight w:val="none"/>
          <w:u w:val="none"/>
        </w:rPr>
        <w:t>）</w:t>
      </w:r>
    </w:p>
    <w:p w14:paraId="67FA5D4D">
      <w:pPr>
        <w:snapToGrid w:val="0"/>
        <w:spacing w:line="360" w:lineRule="auto"/>
        <w:ind w:firstLine="482" w:firstLineChars="200"/>
        <w:jc w:val="left"/>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十一、其他事项：</w:t>
      </w:r>
    </w:p>
    <w:p w14:paraId="3EB88F7C">
      <w:pPr>
        <w:snapToGrid w:val="0"/>
        <w:spacing w:line="360" w:lineRule="auto"/>
        <w:ind w:firstLine="480" w:firstLineChars="200"/>
        <w:jc w:val="left"/>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41613DCB">
      <w:pPr>
        <w:snapToGrid w:val="0"/>
        <w:spacing w:line="360" w:lineRule="auto"/>
        <w:ind w:firstLine="480" w:firstLineChars="200"/>
        <w:jc w:val="left"/>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市扫黑办：0579-86655381               市公安局：110、0579-86096000</w:t>
      </w:r>
    </w:p>
    <w:p w14:paraId="5F8309DB">
      <w:pPr>
        <w:snapToGrid w:val="0"/>
        <w:spacing w:line="360" w:lineRule="auto"/>
        <w:ind w:firstLine="480" w:firstLineChars="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市检察院: 0579-86642000               市 法 院：0579-86620148</w:t>
      </w:r>
    </w:p>
    <w:p w14:paraId="092218B4">
      <w:pPr>
        <w:snapToGrid w:val="0"/>
        <w:spacing w:line="360" w:lineRule="auto"/>
        <w:ind w:firstLine="480" w:firstLineChars="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市公共资源办:0579-86691835            市公共资源交易中心:0579-86691729</w:t>
      </w:r>
    </w:p>
    <w:p w14:paraId="750DEECF">
      <w:pPr>
        <w:snapToGrid w:val="0"/>
        <w:spacing w:line="360" w:lineRule="auto"/>
        <w:ind w:firstLine="482" w:firstLineChars="200"/>
        <w:jc w:val="left"/>
        <w:rPr>
          <w:rFonts w:cs="仿宋" w:asciiTheme="minorEastAsia" w:hAnsiTheme="minorEastAsia" w:eastAsiaTheme="minorEastAsia"/>
          <w:b/>
          <w:bCs w:val="0"/>
          <w:color w:val="auto"/>
          <w:sz w:val="24"/>
          <w:highlight w:val="none"/>
        </w:rPr>
      </w:pPr>
      <w:r>
        <w:rPr>
          <w:rFonts w:hint="eastAsia" w:cs="仿宋" w:asciiTheme="minorEastAsia" w:hAnsiTheme="minorEastAsia" w:eastAsiaTheme="minorEastAsia"/>
          <w:b/>
          <w:bCs w:val="0"/>
          <w:color w:val="auto"/>
          <w:sz w:val="24"/>
          <w:highlight w:val="none"/>
        </w:rPr>
        <w:t>2、公告期限：自本公告发布之日起5个工作日。</w:t>
      </w:r>
    </w:p>
    <w:p w14:paraId="531413DC">
      <w:pPr>
        <w:snapToGrid w:val="0"/>
        <w:spacing w:line="360" w:lineRule="auto"/>
        <w:ind w:firstLine="482" w:firstLineChars="200"/>
        <w:jc w:val="left"/>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color w:val="auto"/>
          <w:sz w:val="24"/>
          <w:highlight w:val="none"/>
        </w:rPr>
        <w:t>十</w:t>
      </w:r>
      <w:r>
        <w:rPr>
          <w:rFonts w:hint="eastAsia" w:cs="仿宋" w:asciiTheme="minorEastAsia" w:hAnsiTheme="minorEastAsia" w:eastAsiaTheme="minorEastAsia"/>
          <w:b/>
          <w:color w:val="auto"/>
          <w:sz w:val="24"/>
          <w:highlight w:val="none"/>
          <w:lang w:val="en-US" w:eastAsia="zh-CN"/>
        </w:rPr>
        <w:t>二</w:t>
      </w:r>
      <w:r>
        <w:rPr>
          <w:rFonts w:hint="eastAsia" w:cs="仿宋" w:asciiTheme="minorEastAsia" w:hAnsiTheme="minorEastAsia" w:eastAsiaTheme="minorEastAsia"/>
          <w:b/>
          <w:color w:val="auto"/>
          <w:sz w:val="24"/>
          <w:highlight w:val="none"/>
        </w:rPr>
        <w:t>、对本次招标提出询问、质疑、投诉，请按以下方式联系：</w:t>
      </w:r>
    </w:p>
    <w:p w14:paraId="52F95CD2">
      <w:pPr>
        <w:snapToGrid w:val="0"/>
        <w:spacing w:line="360" w:lineRule="auto"/>
        <w:ind w:left="480" w:leftChars="240"/>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1、采购人信息</w:t>
      </w:r>
    </w:p>
    <w:p w14:paraId="1A037A0D">
      <w:pPr>
        <w:snapToGrid w:val="0"/>
        <w:spacing w:line="360" w:lineRule="auto"/>
        <w:ind w:left="480" w:leftChars="24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名称：东阳市国有资产投资有限公司</w:t>
      </w:r>
    </w:p>
    <w:p w14:paraId="2DDFA86B">
      <w:pPr>
        <w:snapToGrid w:val="0"/>
        <w:spacing w:line="360" w:lineRule="auto"/>
        <w:ind w:left="480" w:leftChars="24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地址：东阳市人民北路8号</w:t>
      </w:r>
    </w:p>
    <w:p w14:paraId="788FBB08">
      <w:pPr>
        <w:snapToGrid w:val="0"/>
        <w:spacing w:line="360" w:lineRule="auto"/>
        <w:ind w:firstLine="480" w:firstLineChars="200"/>
        <w:jc w:val="left"/>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color w:val="auto"/>
          <w:sz w:val="24"/>
          <w:szCs w:val="24"/>
          <w:highlight w:val="none"/>
        </w:rPr>
        <w:t>项目联系人（询问）</w:t>
      </w:r>
      <w:r>
        <w:rPr>
          <w:rFonts w:hint="eastAsia" w:cs="仿宋" w:asciiTheme="minorEastAsia" w:hAnsiTheme="minorEastAsia" w:eastAsiaTheme="minorEastAsia"/>
          <w:bCs/>
          <w:color w:val="auto"/>
          <w:sz w:val="24"/>
          <w:highlight w:val="none"/>
        </w:rPr>
        <w:t>：蒋女士</w:t>
      </w:r>
    </w:p>
    <w:p w14:paraId="6BE3F948">
      <w:pPr>
        <w:snapToGrid w:val="0"/>
        <w:spacing w:line="360" w:lineRule="auto"/>
        <w:ind w:firstLine="480" w:firstLineChars="200"/>
        <w:jc w:val="left"/>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项目联系方式（询问）：0579-86447733</w:t>
      </w:r>
    </w:p>
    <w:p w14:paraId="57433CB5">
      <w:pPr>
        <w:snapToGrid w:val="0"/>
        <w:spacing w:line="360" w:lineRule="auto"/>
        <w:ind w:left="480" w:leftChars="240"/>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2、采购代理机构信息</w:t>
      </w:r>
    </w:p>
    <w:p w14:paraId="3E100843">
      <w:pPr>
        <w:snapToGrid w:val="0"/>
        <w:spacing w:line="360" w:lineRule="auto"/>
        <w:ind w:left="480" w:leftChars="24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名称：金华正达工程造价咨询有限公司</w:t>
      </w:r>
    </w:p>
    <w:p w14:paraId="587EAF1C">
      <w:pPr>
        <w:snapToGrid w:val="0"/>
        <w:spacing w:line="360" w:lineRule="auto"/>
        <w:ind w:firstLine="540" w:firstLineChars="225"/>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地址：浙江省东阳市江北街道艺海北路292-1号二楼 </w:t>
      </w:r>
    </w:p>
    <w:p w14:paraId="43850009">
      <w:pPr>
        <w:snapToGri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项目联系人</w:t>
      </w:r>
      <w:r>
        <w:rPr>
          <w:rFonts w:hint="eastAsia" w:cs="仿宋" w:asciiTheme="minorEastAsia" w:hAnsiTheme="minorEastAsia" w:eastAsiaTheme="minorEastAsia"/>
          <w:color w:val="auto"/>
          <w:sz w:val="24"/>
          <w:highlight w:val="none"/>
        </w:rPr>
        <w:t>（询问）</w:t>
      </w:r>
      <w:r>
        <w:rPr>
          <w:rFonts w:hint="eastAsia" w:cs="仿宋" w:asciiTheme="minorEastAsia" w:hAnsiTheme="minorEastAsia" w:eastAsiaTheme="minorEastAsia"/>
          <w:color w:val="auto"/>
          <w:sz w:val="24"/>
          <w:szCs w:val="24"/>
          <w:highlight w:val="none"/>
        </w:rPr>
        <w:t xml:space="preserve">：王燕飞     </w:t>
      </w:r>
      <w:r>
        <w:rPr>
          <w:rFonts w:hint="eastAsia" w:cs="仿宋" w:asciiTheme="minorEastAsia" w:hAnsiTheme="minorEastAsia" w:eastAsiaTheme="minorEastAsia"/>
          <w:color w:val="auto"/>
          <w:sz w:val="24"/>
          <w:highlight w:val="none"/>
        </w:rPr>
        <w:t xml:space="preserve"> </w:t>
      </w:r>
    </w:p>
    <w:p w14:paraId="4317F22F">
      <w:pPr>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highlight w:val="none"/>
        </w:rPr>
        <w:t>项目联系方式（询问）</w:t>
      </w:r>
      <w:r>
        <w:rPr>
          <w:rFonts w:hint="eastAsia" w:cs="仿宋" w:asciiTheme="minorEastAsia" w:hAnsiTheme="minorEastAsia" w:eastAsiaTheme="minorEastAsia"/>
          <w:color w:val="auto"/>
          <w:sz w:val="24"/>
          <w:szCs w:val="24"/>
          <w:highlight w:val="none"/>
        </w:rPr>
        <w:t xml:space="preserve">：13511255666     </w:t>
      </w:r>
    </w:p>
    <w:p w14:paraId="57A27A09">
      <w:pPr>
        <w:snapToGrid w:val="0"/>
        <w:spacing w:line="360" w:lineRule="auto"/>
        <w:ind w:firstLine="542" w:firstLineChars="225"/>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bCs/>
          <w:color w:val="auto"/>
          <w:sz w:val="24"/>
          <w:szCs w:val="24"/>
          <w:highlight w:val="none"/>
        </w:rPr>
        <w:t xml:space="preserve">3、国有企业采购行政监督部门：   </w:t>
      </w:r>
    </w:p>
    <w:p w14:paraId="2ECE2E1A">
      <w:pPr>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东阳市人民政府国有资产监督管理办公室   联系电话：0579-86662632</w:t>
      </w:r>
    </w:p>
    <w:p w14:paraId="73DC6820">
      <w:pPr>
        <w:pStyle w:val="21"/>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若对项目采购电子交易系统操作有疑问，可登录</w:t>
      </w:r>
      <w:r>
        <w:rPr>
          <w:rFonts w:hint="eastAsia" w:ascii="宋体" w:hAnsi="宋体" w:eastAsia="宋体" w:cs="宋体"/>
          <w:b/>
          <w:bCs/>
          <w:color w:val="auto"/>
          <w:sz w:val="24"/>
          <w:szCs w:val="24"/>
          <w:highlight w:val="none"/>
          <w:lang w:val="en-US" w:eastAsia="zh-CN"/>
        </w:rPr>
        <w:t>乐</w:t>
      </w:r>
      <w:r>
        <w:rPr>
          <w:rFonts w:hint="eastAsia" w:ascii="宋体" w:hAnsi="宋体" w:eastAsia="宋体" w:cs="宋体"/>
          <w:b/>
          <w:bCs/>
          <w:color w:val="auto"/>
          <w:sz w:val="24"/>
          <w:szCs w:val="24"/>
          <w:highlight w:val="none"/>
        </w:rPr>
        <w:t>采云（</w:t>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"采购文件（7.9新版本）.doc"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https://www.lecaiyun.com/</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t>），点击右侧咨询小采，获取采小蜜智能服务管家帮助，或拨打</w:t>
      </w:r>
      <w:r>
        <w:rPr>
          <w:rFonts w:hint="eastAsia" w:ascii="宋体" w:hAnsi="宋体" w:eastAsia="宋体" w:cs="宋体"/>
          <w:b/>
          <w:bCs/>
          <w:color w:val="auto"/>
          <w:sz w:val="24"/>
          <w:szCs w:val="24"/>
          <w:highlight w:val="none"/>
          <w:lang w:val="en-US" w:eastAsia="zh-CN"/>
        </w:rPr>
        <w:t>政</w:t>
      </w:r>
      <w:r>
        <w:rPr>
          <w:rFonts w:hint="eastAsia" w:ascii="宋体" w:hAnsi="宋体" w:eastAsia="宋体" w:cs="宋体"/>
          <w:b/>
          <w:bCs/>
          <w:color w:val="auto"/>
          <w:sz w:val="24"/>
          <w:szCs w:val="24"/>
          <w:highlight w:val="none"/>
          <w:lang w:eastAsia="zh-CN"/>
        </w:rPr>
        <w:t>采云</w:t>
      </w:r>
      <w:r>
        <w:rPr>
          <w:rFonts w:hint="eastAsia" w:ascii="宋体" w:hAnsi="宋体" w:eastAsia="宋体" w:cs="宋体"/>
          <w:b/>
          <w:bCs/>
          <w:color w:val="auto"/>
          <w:sz w:val="24"/>
          <w:szCs w:val="24"/>
          <w:highlight w:val="none"/>
          <w:lang w:val="en-US" w:eastAsia="zh-CN"/>
        </w:rPr>
        <w:t>有限公司</w:t>
      </w:r>
      <w:r>
        <w:rPr>
          <w:rFonts w:hint="eastAsia" w:ascii="宋体" w:hAnsi="宋体" w:eastAsia="宋体" w:cs="宋体"/>
          <w:b/>
          <w:bCs/>
          <w:color w:val="auto"/>
          <w:sz w:val="24"/>
          <w:szCs w:val="24"/>
          <w:highlight w:val="none"/>
        </w:rPr>
        <w:t>服务热线</w:t>
      </w:r>
      <w:r>
        <w:rPr>
          <w:rFonts w:hint="eastAsia" w:ascii="宋体" w:hAnsi="宋体" w:eastAsia="宋体" w:cs="宋体"/>
          <w:b/>
          <w:bCs/>
          <w:color w:val="auto"/>
          <w:sz w:val="24"/>
          <w:szCs w:val="24"/>
          <w:highlight w:val="none"/>
          <w:lang w:val="en-US" w:eastAsia="zh-CN"/>
        </w:rPr>
        <w:t>95763</w:t>
      </w:r>
      <w:r>
        <w:rPr>
          <w:rFonts w:hint="eastAsia" w:ascii="宋体" w:hAnsi="宋体" w:eastAsia="宋体" w:cs="宋体"/>
          <w:b/>
          <w:bCs/>
          <w:color w:val="auto"/>
          <w:sz w:val="24"/>
          <w:szCs w:val="24"/>
          <w:highlight w:val="none"/>
        </w:rPr>
        <w:t>获取热线服务帮助。</w:t>
      </w:r>
    </w:p>
    <w:p w14:paraId="4402522B">
      <w:pPr>
        <w:pStyle w:val="21"/>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CA问题联系电话（人工）：汇信CA 400-888-4636；天谷CA 400-087-8198。</w:t>
      </w:r>
    </w:p>
    <w:p w14:paraId="0E2FFF5F">
      <w:pPr>
        <w:pStyle w:val="21"/>
        <w:rPr>
          <w:color w:val="auto"/>
          <w:highlight w:val="none"/>
        </w:rPr>
      </w:pPr>
    </w:p>
    <w:p w14:paraId="4F04C86A">
      <w:pPr>
        <w:snapToGrid w:val="0"/>
        <w:spacing w:line="440" w:lineRule="exact"/>
        <w:ind w:firstLine="5608" w:firstLineChars="2337"/>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东阳市国有资产投资有限公司</w:t>
      </w:r>
    </w:p>
    <w:p w14:paraId="70FEA163">
      <w:pPr>
        <w:snapToGrid w:val="0"/>
        <w:spacing w:line="440" w:lineRule="exact"/>
        <w:ind w:firstLine="5760" w:firstLineChars="24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金华正达工程造价咨询有限公司  </w:t>
      </w:r>
    </w:p>
    <w:p w14:paraId="5D1F9303">
      <w:pPr>
        <w:snapToGrid w:val="0"/>
        <w:spacing w:line="440" w:lineRule="exact"/>
        <w:ind w:firstLine="6000" w:firstLineChars="2500"/>
        <w:rPr>
          <w:rFonts w:cs="黑体" w:asciiTheme="minorEastAsia" w:hAnsiTheme="minorEastAsia" w:eastAsiaTheme="minorEastAsia"/>
          <w:b/>
          <w:bCs/>
          <w:color w:val="auto"/>
          <w:sz w:val="30"/>
          <w:szCs w:val="30"/>
          <w:highlight w:val="none"/>
        </w:rPr>
      </w:pPr>
      <w:r>
        <w:rPr>
          <w:rFonts w:hint="eastAsia" w:cs="仿宋" w:asciiTheme="minorEastAsia" w:hAnsiTheme="minorEastAsia" w:eastAsiaTheme="minorEastAsia"/>
          <w:color w:val="auto"/>
          <w:sz w:val="24"/>
          <w:szCs w:val="24"/>
          <w:highlight w:val="none"/>
        </w:rPr>
        <w:t>2024年</w:t>
      </w:r>
      <w:r>
        <w:rPr>
          <w:rFonts w:hint="eastAsia" w:cs="仿宋" w:asciiTheme="minorEastAsia" w:hAnsiTheme="minorEastAsia" w:eastAsiaTheme="minorEastAsia"/>
          <w:color w:val="auto"/>
          <w:sz w:val="24"/>
          <w:szCs w:val="24"/>
          <w:highlight w:val="none"/>
          <w:lang w:val="en-US" w:eastAsia="zh-CN"/>
        </w:rPr>
        <w:t>12</w:t>
      </w:r>
      <w:r>
        <w:rPr>
          <w:rFonts w:hint="eastAsia" w:cs="仿宋" w:asciiTheme="minorEastAsia" w:hAnsiTheme="minorEastAsia" w:eastAsiaTheme="minorEastAsia"/>
          <w:color w:val="auto"/>
          <w:sz w:val="24"/>
          <w:szCs w:val="24"/>
          <w:highlight w:val="none"/>
        </w:rPr>
        <w:t>月</w:t>
      </w:r>
      <w:r>
        <w:rPr>
          <w:rFonts w:hint="eastAsia" w:cs="仿宋" w:asciiTheme="minorEastAsia" w:hAnsiTheme="minorEastAsia" w:eastAsiaTheme="minorEastAsia"/>
          <w:color w:val="auto"/>
          <w:sz w:val="24"/>
          <w:szCs w:val="24"/>
          <w:highlight w:val="none"/>
          <w:lang w:val="en-US" w:eastAsia="zh-CN"/>
        </w:rPr>
        <w:t>30</w:t>
      </w:r>
      <w:r>
        <w:rPr>
          <w:rFonts w:hint="eastAsia" w:cs="仿宋" w:asciiTheme="minorEastAsia" w:hAnsiTheme="minorEastAsia" w:eastAsiaTheme="minorEastAsia"/>
          <w:color w:val="auto"/>
          <w:sz w:val="24"/>
          <w:szCs w:val="24"/>
          <w:highlight w:val="none"/>
        </w:rPr>
        <w:t xml:space="preserve">日         </w:t>
      </w:r>
    </w:p>
    <w:p w14:paraId="0AE1D118">
      <w:pPr>
        <w:widowControl/>
        <w:jc w:val="left"/>
        <w:rPr>
          <w:rFonts w:cs="仿宋" w:asciiTheme="minorEastAsia" w:hAnsiTheme="minorEastAsia" w:eastAsiaTheme="minorEastAsia"/>
          <w:b/>
          <w:bCs/>
          <w:color w:val="auto"/>
          <w:sz w:val="30"/>
          <w:szCs w:val="30"/>
          <w:highlight w:val="none"/>
        </w:rPr>
      </w:pPr>
      <w:r>
        <w:rPr>
          <w:rFonts w:cs="仿宋" w:asciiTheme="minorEastAsia" w:hAnsiTheme="minorEastAsia" w:eastAsiaTheme="minorEastAsia"/>
          <w:b/>
          <w:bCs/>
          <w:color w:val="auto"/>
          <w:sz w:val="30"/>
          <w:szCs w:val="30"/>
          <w:highlight w:val="none"/>
        </w:rPr>
        <w:br w:type="page"/>
      </w:r>
    </w:p>
    <w:p w14:paraId="5FEC6DD6">
      <w:pPr>
        <w:snapToGrid w:val="0"/>
        <w:spacing w:line="360" w:lineRule="auto"/>
        <w:ind w:firstLine="3614" w:firstLineChars="1200"/>
        <w:rPr>
          <w:rFonts w:cs="仿宋" w:asciiTheme="minorEastAsia" w:hAnsiTheme="minorEastAsia" w:eastAsiaTheme="minorEastAsia"/>
          <w:b/>
          <w:bCs/>
          <w:color w:val="auto"/>
          <w:sz w:val="30"/>
          <w:szCs w:val="30"/>
          <w:highlight w:val="none"/>
        </w:rPr>
      </w:pPr>
      <w:r>
        <w:rPr>
          <w:rFonts w:hint="eastAsia" w:cs="仿宋" w:asciiTheme="minorEastAsia" w:hAnsiTheme="minorEastAsia" w:eastAsiaTheme="minorEastAsia"/>
          <w:b/>
          <w:bCs/>
          <w:color w:val="auto"/>
          <w:sz w:val="30"/>
          <w:szCs w:val="30"/>
          <w:highlight w:val="none"/>
        </w:rPr>
        <w:t>第二章   招标需求</w:t>
      </w:r>
    </w:p>
    <w:p w14:paraId="2BEC1860">
      <w:pPr>
        <w:snapToGrid w:val="0"/>
        <w:spacing w:line="360" w:lineRule="auto"/>
        <w:ind w:firstLine="241" w:firstLineChars="100"/>
        <w:jc w:val="left"/>
        <w:rPr>
          <w:rFonts w:hint="eastAsia" w:cs="仿宋" w:asciiTheme="minorEastAsia" w:hAnsiTheme="minorEastAsia" w:eastAsiaTheme="minorEastAsia"/>
          <w:b/>
          <w:bCs/>
          <w:color w:val="auto"/>
          <w:sz w:val="24"/>
          <w:szCs w:val="22"/>
          <w:highlight w:val="none"/>
          <w:lang w:eastAsia="zh-CN"/>
        </w:rPr>
      </w:pPr>
      <w:r>
        <w:rPr>
          <w:rFonts w:hint="eastAsia" w:cs="仿宋" w:asciiTheme="minorEastAsia" w:hAnsiTheme="minorEastAsia" w:eastAsiaTheme="minorEastAsia"/>
          <w:b/>
          <w:bCs/>
          <w:color w:val="auto"/>
          <w:sz w:val="24"/>
          <w:szCs w:val="22"/>
          <w:highlight w:val="none"/>
        </w:rPr>
        <w:t>一、项目名称：</w:t>
      </w:r>
      <w:r>
        <w:rPr>
          <w:rFonts w:hint="eastAsia" w:cs="仿宋" w:asciiTheme="minorEastAsia" w:hAnsiTheme="minorEastAsia" w:eastAsiaTheme="minorEastAsia"/>
          <w:b/>
          <w:bCs/>
          <w:color w:val="auto"/>
          <w:sz w:val="24"/>
          <w:szCs w:val="22"/>
          <w:highlight w:val="none"/>
          <w:lang w:eastAsia="zh-CN"/>
        </w:rPr>
        <w:t>东阳市国有资产投资有限公司公司债券发行承销机构采购项目</w:t>
      </w:r>
    </w:p>
    <w:p w14:paraId="64B9B578">
      <w:pPr>
        <w:snapToGrid w:val="0"/>
        <w:spacing w:line="360" w:lineRule="auto"/>
        <w:ind w:firstLine="241" w:firstLineChars="100"/>
        <w:jc w:val="left"/>
        <w:rPr>
          <w:rFonts w:hint="eastAsia" w:cs="仿宋" w:asciiTheme="minorEastAsia" w:hAnsiTheme="minorEastAsia" w:eastAsiaTheme="minorEastAsia"/>
          <w:b/>
          <w:bCs/>
          <w:color w:val="auto"/>
          <w:sz w:val="24"/>
          <w:szCs w:val="22"/>
          <w:highlight w:val="none"/>
          <w:lang w:eastAsia="zh-CN"/>
        </w:rPr>
      </w:pPr>
      <w:r>
        <w:rPr>
          <w:rFonts w:hint="eastAsia" w:cs="仿宋" w:asciiTheme="minorEastAsia" w:hAnsiTheme="minorEastAsia" w:eastAsiaTheme="minorEastAsia"/>
          <w:b/>
          <w:bCs/>
          <w:color w:val="auto"/>
          <w:sz w:val="24"/>
          <w:szCs w:val="22"/>
          <w:highlight w:val="none"/>
        </w:rPr>
        <w:t>二、项目编号：</w:t>
      </w:r>
      <w:r>
        <w:rPr>
          <w:rFonts w:hint="eastAsia" w:cs="仿宋" w:asciiTheme="minorEastAsia" w:hAnsiTheme="minorEastAsia" w:eastAsiaTheme="minorEastAsia"/>
          <w:b/>
          <w:bCs/>
          <w:color w:val="auto"/>
          <w:sz w:val="24"/>
          <w:szCs w:val="22"/>
          <w:highlight w:val="none"/>
          <w:lang w:eastAsia="zh-CN"/>
        </w:rPr>
        <w:t>JHZD2024-025</w:t>
      </w:r>
    </w:p>
    <w:p w14:paraId="603EB284">
      <w:pPr>
        <w:spacing w:line="360" w:lineRule="auto"/>
        <w:ind w:firstLine="241" w:firstLineChars="100"/>
        <w:jc w:val="left"/>
        <w:rPr>
          <w:rFonts w:hint="eastAsia" w:ascii="宋体" w:hAnsi="宋体" w:cs="宋体"/>
          <w:b/>
          <w:bCs/>
          <w:color w:val="auto"/>
          <w:sz w:val="24"/>
          <w:highlight w:val="none"/>
        </w:rPr>
      </w:pPr>
      <w:r>
        <w:rPr>
          <w:rFonts w:hint="eastAsia" w:ascii="宋体" w:hAnsi="宋体"/>
          <w:b/>
          <w:bCs/>
          <w:color w:val="auto"/>
          <w:sz w:val="24"/>
          <w:highlight w:val="none"/>
        </w:rPr>
        <w:t>三、主承销商服务要求、质量和标准</w:t>
      </w:r>
    </w:p>
    <w:p w14:paraId="60535DB3">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1.前期阶段</w:t>
      </w:r>
    </w:p>
    <w:p w14:paraId="793E7D82">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中标公示期结束后主承销商需与招标人签订承销协议，主承销商应按相关规定进行充分尽职调查，收集公司资料，设计详尽的公司债券发行方案，包括但不限于发行期限、保障措施、发行时间安排、募投项目设计、发行建议等，并负责协调各中介机构制定完善的公司债券申报材料。</w:t>
      </w:r>
    </w:p>
    <w:p w14:paraId="6D61CA20">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2.材料申报阶段</w:t>
      </w:r>
    </w:p>
    <w:p w14:paraId="5B942F06">
      <w:pPr>
        <w:spacing w:line="360"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主承销商负责制作债券的申报材料并上报、与主管部门的沟通、完成公司债的审核、获取交易所批复等工作。</w:t>
      </w:r>
    </w:p>
    <w:p w14:paraId="5EDCEDB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3.发行阶段</w:t>
      </w:r>
    </w:p>
    <w:p w14:paraId="5C978A72">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主承销商需按照规定的发行方案、发行额及发行条件，积极寻找合格投资者，在约定期限内完成当期债券销售工作。</w:t>
      </w:r>
    </w:p>
    <w:p w14:paraId="3CA72DE0">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4.发行完毕后，主承销商负责协助公司及时完成备案及后续管理工作。</w:t>
      </w:r>
    </w:p>
    <w:p w14:paraId="7497CAE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5.其他工作，与公司债券发行、发行后存续期内相关的其他专业服务。</w:t>
      </w:r>
    </w:p>
    <w:p w14:paraId="7E4F1824">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6.项目团队配置应不少于4人，职责分工明确、合理，团队人员应包含具有丰富的类似债券发行及销售经验的专业人员。</w:t>
      </w:r>
    </w:p>
    <w:p w14:paraId="3B5E0767">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7.时间要求</w:t>
      </w:r>
    </w:p>
    <w:p w14:paraId="214ECAA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主承销商应按照同招标人、相关中介机构确定的工作时间表时限要求，科学合理安排材料准备、材料申报事项，及时取得交易所批复，主承销商牵头各中介服务机构按照招标人的要求积极推进评级及债券申报工作。</w:t>
      </w:r>
    </w:p>
    <w:p w14:paraId="66C1CA33">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（2）根据招标人的需求及市场情况，及时启动债券发行和销售工作。</w:t>
      </w:r>
    </w:p>
    <w:p w14:paraId="3376FCB1">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四、主承销商服务内容</w:t>
      </w:r>
    </w:p>
    <w:p w14:paraId="76C8D6EF">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主承销商应完成本次债券发行须完成的全部工作，主要包括但不限于以下内容：</w:t>
      </w:r>
    </w:p>
    <w:p w14:paraId="11EA775A">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1.根据招标人提出的目标，设计融资方案并协调其他中介服务机构的相关工作；</w:t>
      </w:r>
    </w:p>
    <w:p w14:paraId="6AF17A28">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2.协助招标人完成全部债券发行申报文件及有关审批程序，包括但不限于主管机关要求申报的文件、债券销售推介材料以及交易流通申请材料；</w:t>
      </w:r>
    </w:p>
    <w:p w14:paraId="4CE82ECA">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3.通过询价工作促使招标人获得合理的发行利率；</w:t>
      </w:r>
    </w:p>
    <w:p w14:paraId="0257E8B5">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4.债券存续期内协助招标人完成信息披露和本息偿付工作。</w:t>
      </w:r>
    </w:p>
    <w:p w14:paraId="23D7CB71">
      <w:pPr>
        <w:spacing w:line="360" w:lineRule="auto"/>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五、项目采购要求</w:t>
      </w:r>
    </w:p>
    <w:p w14:paraId="09BCCE3D">
      <w:pPr>
        <w:spacing w:line="360" w:lineRule="auto"/>
        <w:ind w:firstLine="480" w:firstLineChars="200"/>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1.发行主体：东阳市国有资产投资有限公司；</w:t>
      </w:r>
    </w:p>
    <w:p w14:paraId="60D5C033">
      <w:pPr>
        <w:spacing w:line="360" w:lineRule="auto"/>
        <w:ind w:firstLine="480" w:firstLineChars="200"/>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2.债券品种：东阳市国有资产投资有限公司发行</w:t>
      </w:r>
      <w:r>
        <w:rPr>
          <w:rFonts w:hint="eastAsia" w:cs="仿宋" w:asciiTheme="minorEastAsia" w:hAnsiTheme="minorEastAsia" w:eastAsiaTheme="minorEastAsia"/>
          <w:bCs/>
          <w:color w:val="auto"/>
          <w:sz w:val="24"/>
          <w:szCs w:val="24"/>
          <w:highlight w:val="none"/>
          <w:lang w:val="en-US" w:eastAsia="zh-CN"/>
        </w:rPr>
        <w:t>公司</w:t>
      </w:r>
      <w:r>
        <w:rPr>
          <w:rFonts w:hint="eastAsia" w:cs="仿宋" w:asciiTheme="minorEastAsia" w:hAnsiTheme="minorEastAsia" w:eastAsiaTheme="minorEastAsia"/>
          <w:bCs/>
          <w:color w:val="auto"/>
          <w:sz w:val="24"/>
          <w:szCs w:val="24"/>
          <w:highlight w:val="none"/>
        </w:rPr>
        <w:t>债券；</w:t>
      </w:r>
    </w:p>
    <w:p w14:paraId="7F7F361E">
      <w:pPr>
        <w:spacing w:line="360" w:lineRule="auto"/>
        <w:ind w:firstLine="480" w:firstLineChars="200"/>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3.发行规模：不超过人民币</w:t>
      </w:r>
      <w:r>
        <w:rPr>
          <w:rFonts w:hint="eastAsia" w:cs="仿宋" w:asciiTheme="minorEastAsia" w:hAnsiTheme="minorEastAsia" w:eastAsiaTheme="minorEastAsia"/>
          <w:bCs/>
          <w:color w:val="auto"/>
          <w:sz w:val="24"/>
          <w:szCs w:val="24"/>
          <w:highlight w:val="none"/>
          <w:lang w:val="en-US" w:eastAsia="zh-CN"/>
        </w:rPr>
        <w:t>2</w:t>
      </w:r>
      <w:r>
        <w:rPr>
          <w:rFonts w:hint="eastAsia" w:cs="仿宋" w:asciiTheme="minorEastAsia" w:hAnsiTheme="minorEastAsia" w:eastAsiaTheme="minorEastAsia"/>
          <w:bCs/>
          <w:color w:val="auto"/>
          <w:sz w:val="24"/>
          <w:szCs w:val="24"/>
          <w:highlight w:val="none"/>
        </w:rPr>
        <w:t>5亿元（含</w:t>
      </w:r>
      <w:r>
        <w:rPr>
          <w:rFonts w:hint="eastAsia" w:cs="仿宋" w:asciiTheme="minorEastAsia" w:hAnsiTheme="minorEastAsia" w:eastAsiaTheme="minorEastAsia"/>
          <w:bCs/>
          <w:color w:val="auto"/>
          <w:sz w:val="24"/>
          <w:szCs w:val="24"/>
          <w:highlight w:val="none"/>
          <w:lang w:val="en-US" w:eastAsia="zh-CN"/>
        </w:rPr>
        <w:t>2</w:t>
      </w:r>
      <w:r>
        <w:rPr>
          <w:rFonts w:hint="eastAsia" w:cs="仿宋" w:asciiTheme="minorEastAsia" w:hAnsiTheme="minorEastAsia" w:eastAsiaTheme="minorEastAsia"/>
          <w:bCs/>
          <w:color w:val="auto"/>
          <w:sz w:val="24"/>
          <w:szCs w:val="24"/>
          <w:highlight w:val="none"/>
        </w:rPr>
        <w:t>5亿元），可分期发行；</w:t>
      </w:r>
    </w:p>
    <w:p w14:paraId="3D79A650">
      <w:pPr>
        <w:spacing w:line="360" w:lineRule="auto"/>
        <w:ind w:firstLine="480" w:firstLineChars="200"/>
        <w:jc w:val="left"/>
        <w:rPr>
          <w:rFonts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4.发行期限：</w:t>
      </w:r>
      <w:r>
        <w:rPr>
          <w:rFonts w:hint="eastAsia" w:cs="仿宋" w:asciiTheme="minorEastAsia" w:hAnsiTheme="minorEastAsia" w:eastAsiaTheme="minorEastAsia"/>
          <w:bCs/>
          <w:color w:val="auto"/>
          <w:sz w:val="24"/>
          <w:szCs w:val="24"/>
          <w:highlight w:val="none"/>
          <w:lang w:val="en-US" w:eastAsia="zh-CN"/>
        </w:rPr>
        <w:t>不超过5年</w:t>
      </w:r>
      <w:r>
        <w:rPr>
          <w:rFonts w:hint="eastAsia" w:cs="仿宋" w:asciiTheme="minorEastAsia" w:hAnsiTheme="minorEastAsia" w:eastAsiaTheme="minorEastAsia"/>
          <w:bCs/>
          <w:color w:val="auto"/>
          <w:sz w:val="24"/>
          <w:szCs w:val="24"/>
          <w:highlight w:val="none"/>
        </w:rPr>
        <w:t>（含</w:t>
      </w:r>
      <w:r>
        <w:rPr>
          <w:rFonts w:hint="eastAsia" w:cs="仿宋" w:asciiTheme="minorEastAsia" w:hAnsiTheme="minorEastAsia" w:eastAsiaTheme="minorEastAsia"/>
          <w:bCs/>
          <w:color w:val="auto"/>
          <w:sz w:val="24"/>
          <w:szCs w:val="24"/>
          <w:highlight w:val="none"/>
          <w:lang w:val="en-US" w:eastAsia="zh-CN"/>
        </w:rPr>
        <w:t>5年</w:t>
      </w:r>
      <w:r>
        <w:rPr>
          <w:rFonts w:hint="eastAsia" w:cs="仿宋" w:asciiTheme="minorEastAsia" w:hAnsiTheme="minorEastAsia" w:eastAsiaTheme="minorEastAsia"/>
          <w:bCs/>
          <w:color w:val="auto"/>
          <w:sz w:val="24"/>
          <w:szCs w:val="24"/>
          <w:highlight w:val="none"/>
        </w:rPr>
        <w:t>）；</w:t>
      </w:r>
    </w:p>
    <w:p w14:paraId="04C9CD6C">
      <w:pPr>
        <w:spacing w:line="360" w:lineRule="auto"/>
        <w:ind w:firstLine="480" w:firstLineChars="200"/>
        <w:jc w:val="left"/>
        <w:rPr>
          <w:rFonts w:hint="default" w:cs="仿宋" w:asciiTheme="minorEastAsia" w:hAnsiTheme="minorEastAsia" w:eastAsiaTheme="minorEastAsia"/>
          <w:bCs/>
          <w:color w:val="auto"/>
          <w:sz w:val="24"/>
          <w:szCs w:val="24"/>
          <w:highlight w:val="none"/>
          <w:lang w:val="en-US" w:eastAsia="zh-CN"/>
        </w:rPr>
      </w:pPr>
      <w:r>
        <w:rPr>
          <w:rFonts w:hint="eastAsia" w:cs="仿宋" w:asciiTheme="minorEastAsia" w:hAnsiTheme="minorEastAsia" w:eastAsiaTheme="minorEastAsia"/>
          <w:bCs/>
          <w:color w:val="auto"/>
          <w:sz w:val="24"/>
          <w:szCs w:val="24"/>
          <w:highlight w:val="none"/>
        </w:rPr>
        <w:t>5.募集资金用途：</w:t>
      </w:r>
      <w:r>
        <w:rPr>
          <w:rFonts w:hint="eastAsia" w:ascii="宋体" w:hAnsi="宋体"/>
          <w:color w:val="auto"/>
          <w:sz w:val="24"/>
          <w:highlight w:val="none"/>
        </w:rPr>
        <w:t>主要用于置换有息债务、项目建设投入、股权出资、基金出资及补充营运资金等符合国家相关政策的用途</w:t>
      </w:r>
      <w:r>
        <w:rPr>
          <w:rFonts w:hint="eastAsia" w:cs="仿宋" w:asciiTheme="minorEastAsia" w:hAnsiTheme="minorEastAsia" w:eastAsiaTheme="minorEastAsia"/>
          <w:color w:val="auto"/>
          <w:sz w:val="24"/>
          <w:szCs w:val="24"/>
          <w:highlight w:val="none"/>
        </w:rPr>
        <w:t>。</w:t>
      </w:r>
    </w:p>
    <w:p w14:paraId="245F9B64">
      <w:pPr>
        <w:pStyle w:val="12"/>
        <w:spacing w:line="360" w:lineRule="auto"/>
        <w:ind w:firstLine="480" w:firstLineChars="200"/>
        <w:jc w:val="left"/>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bCs/>
          <w:color w:val="auto"/>
          <w:sz w:val="24"/>
          <w:szCs w:val="24"/>
          <w:highlight w:val="none"/>
          <w:lang w:val="en-US" w:eastAsia="zh-CN"/>
        </w:rPr>
        <w:t>6.</w:t>
      </w:r>
      <w:r>
        <w:rPr>
          <w:rFonts w:hint="eastAsia" w:ascii="宋体" w:hAnsi="宋体"/>
          <w:color w:val="auto"/>
          <w:sz w:val="24"/>
          <w:highlight w:val="none"/>
        </w:rPr>
        <w:t>从确认中标主承销商启动债券项目开始至债券存续期满</w:t>
      </w:r>
      <w:r>
        <w:rPr>
          <w:rFonts w:hint="eastAsia" w:ascii="宋体" w:hAnsi="宋体"/>
          <w:color w:val="auto"/>
          <w:sz w:val="24"/>
          <w:highlight w:val="none"/>
          <w:lang w:eastAsia="zh-CN"/>
        </w:rPr>
        <w:t>。</w:t>
      </w:r>
    </w:p>
    <w:p w14:paraId="776B3D97">
      <w:pPr>
        <w:spacing w:line="360" w:lineRule="auto"/>
        <w:ind w:firstLine="482" w:firstLineChars="200"/>
        <w:jc w:val="left"/>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b/>
          <w:bCs/>
          <w:color w:val="auto"/>
          <w:sz w:val="24"/>
          <w:szCs w:val="24"/>
          <w:highlight w:val="none"/>
          <w:lang w:val="en-US" w:eastAsia="zh-CN"/>
        </w:rPr>
        <w:t>7</w:t>
      </w:r>
      <w:r>
        <w:rPr>
          <w:rFonts w:hint="eastAsia" w:cs="仿宋" w:asciiTheme="minorEastAsia" w:hAnsiTheme="minorEastAsia" w:eastAsiaTheme="minorEastAsia"/>
          <w:b/>
          <w:bCs/>
          <w:color w:val="auto"/>
          <w:sz w:val="24"/>
          <w:szCs w:val="24"/>
          <w:highlight w:val="none"/>
        </w:rPr>
        <w:t>.</w:t>
      </w:r>
      <w:r>
        <w:rPr>
          <w:rFonts w:hint="eastAsia" w:cs="仿宋" w:asciiTheme="minorEastAsia" w:hAnsiTheme="minorEastAsia" w:eastAsiaTheme="minorEastAsia"/>
          <w:b/>
          <w:bCs/>
          <w:color w:val="auto"/>
          <w:sz w:val="24"/>
          <w:szCs w:val="24"/>
          <w:highlight w:val="none"/>
          <w:lang w:val="en-US" w:eastAsia="zh-CN"/>
        </w:rPr>
        <w:t>本次</w:t>
      </w:r>
      <w:r>
        <w:rPr>
          <w:rFonts w:hint="eastAsia" w:ascii="宋体" w:hAnsi="宋体"/>
          <w:b/>
          <w:bCs/>
          <w:color w:val="auto"/>
          <w:sz w:val="24"/>
          <w:highlight w:val="none"/>
        </w:rPr>
        <w:t>拟选聘承销机构三家(联合体算一家候选人)，按照招标评分结果综合得分排名前三的机构为本债券项目承销机构。其中第一中标顺位的券商(若为联合体投标，则为该联合体的牵头主承销商)为本次债券牵头主承销商，其余各家中标券商为本次债券联席主承销商。牵头主承销商负责本次债券申报材料及后续分期发行所有资料的准备、申报、获批流程，牵头费用为承销费的 20%</w:t>
      </w:r>
      <w:r>
        <w:rPr>
          <w:rFonts w:hint="eastAsia" w:ascii="宋体" w:hAnsi="宋体"/>
          <w:b/>
          <w:bCs/>
          <w:color w:val="auto"/>
          <w:sz w:val="24"/>
          <w:highlight w:val="none"/>
          <w:lang w:eastAsia="zh-CN"/>
        </w:rPr>
        <w:t>；</w:t>
      </w:r>
      <w:r>
        <w:rPr>
          <w:rFonts w:hint="eastAsia" w:ascii="宋体" w:hAnsi="宋体"/>
          <w:b/>
          <w:bCs/>
          <w:color w:val="auto"/>
          <w:sz w:val="24"/>
          <w:highlight w:val="none"/>
        </w:rPr>
        <w:t>第</w:t>
      </w:r>
      <w:r>
        <w:rPr>
          <w:rFonts w:hint="eastAsia" w:ascii="宋体" w:hAnsi="宋体"/>
          <w:b/>
          <w:bCs/>
          <w:color w:val="auto"/>
          <w:sz w:val="24"/>
          <w:highlight w:val="none"/>
          <w:lang w:val="en-US" w:eastAsia="zh-CN"/>
        </w:rPr>
        <w:t>二</w:t>
      </w:r>
      <w:r>
        <w:rPr>
          <w:rFonts w:hint="eastAsia" w:ascii="宋体" w:hAnsi="宋体"/>
          <w:b/>
          <w:bCs/>
          <w:color w:val="auto"/>
          <w:sz w:val="24"/>
          <w:highlight w:val="none"/>
        </w:rPr>
        <w:t>顺位中标的券商(若为联合体投标，则为该联合体的牵头主承销商)负责协助牵头主承销商完成本次债券申报材料及后续分期发行所有资料的准备、申报、获批流程，协助费用为承销费的5%</w:t>
      </w:r>
      <w:r>
        <w:rPr>
          <w:rFonts w:hint="eastAsia" w:ascii="宋体" w:hAnsi="宋体"/>
          <w:b/>
          <w:bCs/>
          <w:color w:val="auto"/>
          <w:sz w:val="24"/>
          <w:highlight w:val="none"/>
          <w:lang w:eastAsia="zh-CN"/>
        </w:rPr>
        <w:t>；</w:t>
      </w:r>
      <w:r>
        <w:rPr>
          <w:rFonts w:hint="eastAsia" w:ascii="宋体" w:hAnsi="宋体"/>
          <w:b/>
          <w:bCs/>
          <w:color w:val="auto"/>
          <w:sz w:val="24"/>
          <w:highlight w:val="none"/>
        </w:rPr>
        <w:t>第三顺位中标的券商(若为联合体投标，则关该联合体的牵头主承销商)配合完成本次债券项下的各期发行。除上述已经分配的牵头费用和协助费用外，承销费剩余部分拟采取竞争性销售方式，按中标券商各自最终承销份额分配承销费。</w:t>
      </w:r>
      <w:r>
        <w:rPr>
          <w:rFonts w:hint="eastAsia" w:asciiTheme="minorEastAsia" w:hAnsiTheme="minorEastAsia" w:eastAsiaTheme="minorEastAsia" w:cstheme="minorEastAsia"/>
          <w:b/>
          <w:bCs/>
          <w:color w:val="auto"/>
          <w:spacing w:val="-6"/>
          <w:sz w:val="24"/>
          <w:szCs w:val="21"/>
          <w:highlight w:val="none"/>
        </w:rPr>
        <w:t>合同承销费率按</w:t>
      </w:r>
      <w:r>
        <w:rPr>
          <w:rFonts w:hint="eastAsia" w:asciiTheme="minorEastAsia" w:hAnsiTheme="minorEastAsia" w:eastAsiaTheme="minorEastAsia" w:cstheme="minorEastAsia"/>
          <w:b/>
          <w:bCs/>
          <w:color w:val="auto"/>
          <w:spacing w:val="-6"/>
          <w:sz w:val="24"/>
          <w:szCs w:val="21"/>
          <w:highlight w:val="none"/>
          <w:lang w:val="en-US" w:eastAsia="zh-CN"/>
        </w:rPr>
        <w:t>三</w:t>
      </w:r>
      <w:r>
        <w:rPr>
          <w:rFonts w:hint="eastAsia" w:asciiTheme="minorEastAsia" w:hAnsiTheme="minorEastAsia" w:eastAsiaTheme="minorEastAsia" w:cstheme="minorEastAsia"/>
          <w:b/>
          <w:bCs/>
          <w:color w:val="auto"/>
          <w:spacing w:val="-6"/>
          <w:sz w:val="24"/>
          <w:szCs w:val="21"/>
          <w:highlight w:val="none"/>
        </w:rPr>
        <w:t>家中标人报价的最低值确定</w:t>
      </w:r>
      <w:r>
        <w:rPr>
          <w:rFonts w:hint="eastAsia" w:asciiTheme="minorEastAsia" w:hAnsiTheme="minorEastAsia" w:eastAsiaTheme="minorEastAsia" w:cstheme="minorEastAsia"/>
          <w:b/>
          <w:bCs/>
          <w:color w:val="auto"/>
          <w:spacing w:val="-6"/>
          <w:sz w:val="24"/>
          <w:szCs w:val="21"/>
          <w:highlight w:val="none"/>
          <w:lang w:eastAsia="zh-CN"/>
        </w:rPr>
        <w:t>。</w:t>
      </w:r>
    </w:p>
    <w:p w14:paraId="7C451B95">
      <w:pPr>
        <w:spacing w:line="360" w:lineRule="auto"/>
        <w:jc w:val="left"/>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Cs/>
          <w:color w:val="auto"/>
          <w:sz w:val="24"/>
          <w:szCs w:val="24"/>
          <w:highlight w:val="none"/>
          <w:lang w:val="zh-CN"/>
        </w:rPr>
        <w:t xml:space="preserve">   </w:t>
      </w:r>
      <w:r>
        <w:rPr>
          <w:rFonts w:hint="eastAsia" w:cs="仿宋" w:asciiTheme="minorEastAsia" w:hAnsiTheme="minorEastAsia" w:eastAsiaTheme="minorEastAsia"/>
          <w:bCs/>
          <w:color w:val="auto"/>
          <w:sz w:val="24"/>
          <w:szCs w:val="24"/>
          <w:highlight w:val="none"/>
          <w:lang w:val="en-US" w:eastAsia="zh-CN"/>
        </w:rPr>
        <w:t>8</w:t>
      </w:r>
      <w:r>
        <w:rPr>
          <w:rFonts w:hint="eastAsia" w:cs="仿宋" w:asciiTheme="minorEastAsia" w:hAnsiTheme="minorEastAsia" w:eastAsiaTheme="minorEastAsia"/>
          <w:bCs/>
          <w:color w:val="auto"/>
          <w:sz w:val="24"/>
          <w:szCs w:val="24"/>
          <w:highlight w:val="none"/>
        </w:rPr>
        <w:t>.</w:t>
      </w:r>
      <w:r>
        <w:rPr>
          <w:rFonts w:hint="eastAsia" w:cs="仿宋" w:asciiTheme="minorEastAsia" w:hAnsiTheme="minorEastAsia" w:eastAsiaTheme="minorEastAsia"/>
          <w:color w:val="auto"/>
          <w:sz w:val="24"/>
          <w:szCs w:val="24"/>
          <w:highlight w:val="none"/>
        </w:rPr>
        <w:t>报价要求（报价不在此范围内的投标作无效标处理）详见下表：</w:t>
      </w:r>
    </w:p>
    <w:tbl>
      <w:tblPr>
        <w:tblStyle w:val="22"/>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88"/>
        <w:gridCol w:w="1744"/>
        <w:gridCol w:w="2565"/>
        <w:gridCol w:w="3630"/>
      </w:tblGrid>
      <w:tr w14:paraId="2292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988" w:type="dxa"/>
            <w:vAlign w:val="center"/>
          </w:tcPr>
          <w:p w14:paraId="0F728A12">
            <w:pPr>
              <w:spacing w:line="360" w:lineRule="auto"/>
              <w:jc w:val="center"/>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序号</w:t>
            </w:r>
          </w:p>
        </w:tc>
        <w:tc>
          <w:tcPr>
            <w:tcW w:w="1744" w:type="dxa"/>
            <w:vAlign w:val="center"/>
          </w:tcPr>
          <w:p w14:paraId="7BBD43A4">
            <w:pPr>
              <w:spacing w:line="360" w:lineRule="auto"/>
              <w:jc w:val="center"/>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费用名称</w:t>
            </w:r>
          </w:p>
        </w:tc>
        <w:tc>
          <w:tcPr>
            <w:tcW w:w="2565" w:type="dxa"/>
            <w:vAlign w:val="center"/>
          </w:tcPr>
          <w:p w14:paraId="0F7CE854">
            <w:pPr>
              <w:spacing w:line="360" w:lineRule="auto"/>
              <w:jc w:val="center"/>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最高限价</w:t>
            </w:r>
          </w:p>
        </w:tc>
        <w:tc>
          <w:tcPr>
            <w:tcW w:w="3630" w:type="dxa"/>
            <w:vAlign w:val="center"/>
          </w:tcPr>
          <w:p w14:paraId="7EC87DE1">
            <w:pPr>
              <w:spacing w:line="360" w:lineRule="auto"/>
              <w:jc w:val="center"/>
              <w:rPr>
                <w:rFonts w:hint="eastAsia" w:cs="仿宋" w:asciiTheme="minorEastAsia" w:hAnsiTheme="minorEastAsia" w:eastAsiaTheme="minorEastAsia"/>
                <w:b/>
                <w:bCs/>
                <w:color w:val="auto"/>
                <w:sz w:val="24"/>
                <w:szCs w:val="24"/>
                <w:highlight w:val="none"/>
                <w:lang w:val="en-US" w:eastAsia="zh-CN"/>
              </w:rPr>
            </w:pPr>
            <w:r>
              <w:rPr>
                <w:rFonts w:hint="eastAsia" w:cs="仿宋" w:asciiTheme="minorEastAsia" w:hAnsiTheme="minorEastAsia" w:eastAsiaTheme="minorEastAsia"/>
                <w:b/>
                <w:bCs/>
                <w:color w:val="auto"/>
                <w:sz w:val="24"/>
                <w:szCs w:val="24"/>
                <w:highlight w:val="none"/>
                <w:lang w:val="en-US" w:eastAsia="zh-CN"/>
              </w:rPr>
              <w:t>备注</w:t>
            </w:r>
          </w:p>
        </w:tc>
      </w:tr>
      <w:tr w14:paraId="6DB2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988" w:type="dxa"/>
            <w:vAlign w:val="center"/>
          </w:tcPr>
          <w:p w14:paraId="19E37D3A">
            <w:pPr>
              <w:spacing w:line="360" w:lineRule="auto"/>
              <w:jc w:val="center"/>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1</w:t>
            </w:r>
          </w:p>
        </w:tc>
        <w:tc>
          <w:tcPr>
            <w:tcW w:w="1744" w:type="dxa"/>
            <w:vAlign w:val="center"/>
          </w:tcPr>
          <w:p w14:paraId="245BBDDF">
            <w:pPr>
              <w:spacing w:line="360" w:lineRule="auto"/>
              <w:jc w:val="center"/>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承销费用</w:t>
            </w:r>
          </w:p>
        </w:tc>
        <w:tc>
          <w:tcPr>
            <w:tcW w:w="2565" w:type="dxa"/>
            <w:vAlign w:val="center"/>
          </w:tcPr>
          <w:p w14:paraId="63AEDB88">
            <w:pPr>
              <w:spacing w:line="360" w:lineRule="auto"/>
              <w:jc w:val="center"/>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发行债券总额的</w:t>
            </w:r>
            <w:r>
              <w:rPr>
                <w:rFonts w:hint="eastAsia" w:cs="仿宋" w:asciiTheme="minorEastAsia" w:hAnsiTheme="minorEastAsia" w:eastAsiaTheme="minorEastAsia"/>
                <w:b/>
                <w:bCs/>
                <w:color w:val="auto"/>
                <w:sz w:val="24"/>
                <w:szCs w:val="24"/>
                <w:highlight w:val="none"/>
                <w:lang w:val="en-US" w:eastAsia="zh-CN"/>
              </w:rPr>
              <w:t>3.8</w:t>
            </w:r>
            <w:r>
              <w:rPr>
                <w:rFonts w:hint="eastAsia" w:cs="仿宋" w:asciiTheme="minorEastAsia" w:hAnsiTheme="minorEastAsia" w:eastAsiaTheme="minorEastAsia"/>
                <w:b/>
                <w:bCs/>
                <w:color w:val="auto"/>
                <w:sz w:val="24"/>
                <w:szCs w:val="24"/>
                <w:highlight w:val="none"/>
              </w:rPr>
              <w:t>‰（含）</w:t>
            </w:r>
          </w:p>
        </w:tc>
        <w:tc>
          <w:tcPr>
            <w:tcW w:w="3630" w:type="dxa"/>
            <w:vAlign w:val="center"/>
          </w:tcPr>
          <w:p w14:paraId="7AFA423C">
            <w:pPr>
              <w:spacing w:line="360" w:lineRule="auto"/>
              <w:jc w:val="center"/>
              <w:rPr>
                <w:rFonts w:hint="default" w:cs="仿宋" w:asciiTheme="minorEastAsia" w:hAnsiTheme="minorEastAsia" w:eastAsiaTheme="minorEastAsia"/>
                <w:b/>
                <w:bCs/>
                <w:color w:val="auto"/>
                <w:sz w:val="24"/>
                <w:szCs w:val="24"/>
                <w:highlight w:val="none"/>
                <w:lang w:val="en-US" w:eastAsia="zh-CN"/>
              </w:rPr>
            </w:pPr>
            <w:r>
              <w:rPr>
                <w:rFonts w:hint="eastAsia" w:cs="仿宋" w:asciiTheme="minorEastAsia" w:hAnsiTheme="minorEastAsia" w:eastAsiaTheme="minorEastAsia"/>
                <w:b/>
                <w:bCs/>
                <w:color w:val="auto"/>
                <w:sz w:val="24"/>
                <w:szCs w:val="24"/>
                <w:highlight w:val="none"/>
                <w:lang w:val="en-US" w:eastAsia="zh-CN"/>
              </w:rPr>
              <w:t>若发行期为5年，则按中标价</w:t>
            </w:r>
            <w:r>
              <w:rPr>
                <w:rFonts w:hint="eastAsia" w:ascii="宋体" w:hAnsi="宋体" w:cs="宋体"/>
                <w:b/>
                <w:bCs/>
                <w:color w:val="auto"/>
                <w:sz w:val="24"/>
                <w:highlight w:val="none"/>
              </w:rPr>
              <w:t>乘以发行额</w:t>
            </w:r>
            <w:r>
              <w:rPr>
                <w:rFonts w:hint="eastAsia" w:cs="仿宋" w:asciiTheme="minorEastAsia" w:hAnsiTheme="minorEastAsia" w:eastAsiaTheme="minorEastAsia"/>
                <w:b/>
                <w:bCs/>
                <w:color w:val="auto"/>
                <w:sz w:val="24"/>
                <w:szCs w:val="24"/>
                <w:highlight w:val="none"/>
                <w:lang w:val="en-US" w:eastAsia="zh-CN"/>
              </w:rPr>
              <w:t>支付承销费用；若发行期为3年，则按中标价的60%</w:t>
            </w:r>
            <w:r>
              <w:rPr>
                <w:rFonts w:hint="eastAsia" w:ascii="宋体" w:hAnsi="宋体" w:cs="宋体"/>
                <w:b/>
                <w:bCs/>
                <w:color w:val="auto"/>
                <w:sz w:val="24"/>
                <w:highlight w:val="none"/>
              </w:rPr>
              <w:t>乘以发行额</w:t>
            </w:r>
            <w:r>
              <w:rPr>
                <w:rFonts w:hint="eastAsia" w:cs="仿宋" w:asciiTheme="minorEastAsia" w:hAnsiTheme="minorEastAsia" w:eastAsiaTheme="minorEastAsia"/>
                <w:b/>
                <w:bCs/>
                <w:color w:val="auto"/>
                <w:sz w:val="24"/>
                <w:szCs w:val="24"/>
                <w:highlight w:val="none"/>
                <w:lang w:val="en-US" w:eastAsia="zh-CN"/>
              </w:rPr>
              <w:t>支付承销费用。</w:t>
            </w:r>
          </w:p>
        </w:tc>
      </w:tr>
    </w:tbl>
    <w:p w14:paraId="46836881">
      <w:pPr>
        <w:spacing w:line="360" w:lineRule="auto"/>
        <w:ind w:firstLine="241" w:firstLineChars="100"/>
        <w:rPr>
          <w:rFonts w:hint="eastAsia" w:cs="仿宋" w:asciiTheme="minorEastAsia" w:hAnsiTheme="minorEastAsia" w:eastAsiaTheme="minorEastAsia"/>
          <w:b/>
          <w:color w:val="auto"/>
          <w:sz w:val="24"/>
          <w:szCs w:val="24"/>
          <w:highlight w:val="none"/>
        </w:rPr>
      </w:pPr>
    </w:p>
    <w:p w14:paraId="6A1389A8">
      <w:pPr>
        <w:spacing w:line="360" w:lineRule="auto"/>
        <w:ind w:firstLine="241" w:firstLineChars="100"/>
        <w:rPr>
          <w:rFonts w:hint="eastAsia" w:cs="仿宋" w:asciiTheme="minorEastAsia" w:hAnsiTheme="minorEastAsia" w:eastAsiaTheme="minorEastAsia"/>
          <w:b/>
          <w:color w:val="auto"/>
          <w:sz w:val="24"/>
          <w:szCs w:val="24"/>
          <w:highlight w:val="none"/>
        </w:rPr>
      </w:pPr>
    </w:p>
    <w:p w14:paraId="36CD94A0">
      <w:pPr>
        <w:rPr>
          <w:rFonts w:hint="eastAsia"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br w:type="page"/>
      </w:r>
    </w:p>
    <w:p w14:paraId="1BC63459">
      <w:pPr>
        <w:spacing w:line="360" w:lineRule="auto"/>
        <w:ind w:firstLine="241" w:firstLineChars="10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9、具体商务需求内容（详见下表）</w:t>
      </w:r>
    </w:p>
    <w:tbl>
      <w:tblPr>
        <w:tblStyle w:val="22"/>
        <w:tblW w:w="4998" w:type="pct"/>
        <w:jc w:val="center"/>
        <w:tblLayout w:type="autofit"/>
        <w:tblCellMar>
          <w:top w:w="15" w:type="dxa"/>
          <w:left w:w="15" w:type="dxa"/>
          <w:bottom w:w="15" w:type="dxa"/>
          <w:right w:w="15" w:type="dxa"/>
        </w:tblCellMar>
      </w:tblPr>
      <w:tblGrid>
        <w:gridCol w:w="680"/>
        <w:gridCol w:w="1829"/>
        <w:gridCol w:w="7263"/>
      </w:tblGrid>
      <w:tr w14:paraId="0DC0DA8D">
        <w:tblPrEx>
          <w:tblCellMar>
            <w:top w:w="15" w:type="dxa"/>
            <w:left w:w="15" w:type="dxa"/>
            <w:bottom w:w="15" w:type="dxa"/>
            <w:right w:w="15" w:type="dxa"/>
          </w:tblCellMar>
        </w:tblPrEx>
        <w:trPr>
          <w:trHeight w:val="476"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7D5ABFC0">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936" w:type="pct"/>
            <w:tcBorders>
              <w:top w:val="single" w:color="000000" w:sz="4" w:space="0"/>
              <w:left w:val="single" w:color="000000" w:sz="4" w:space="0"/>
              <w:bottom w:val="single" w:color="000000" w:sz="4" w:space="0"/>
              <w:right w:val="single" w:color="000000" w:sz="4" w:space="0"/>
            </w:tcBorders>
            <w:vAlign w:val="center"/>
          </w:tcPr>
          <w:p w14:paraId="1D7B207D">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3716" w:type="pct"/>
            <w:tcBorders>
              <w:top w:val="single" w:color="000000" w:sz="4" w:space="0"/>
              <w:left w:val="single" w:color="000000" w:sz="4" w:space="0"/>
              <w:bottom w:val="single" w:color="000000" w:sz="4" w:space="0"/>
              <w:right w:val="single" w:color="000000" w:sz="4" w:space="0"/>
            </w:tcBorders>
            <w:vAlign w:val="center"/>
          </w:tcPr>
          <w:p w14:paraId="179A1914">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项目承销内容</w:t>
            </w:r>
          </w:p>
        </w:tc>
      </w:tr>
      <w:tr w14:paraId="1187FC70">
        <w:tblPrEx>
          <w:tblCellMar>
            <w:top w:w="15" w:type="dxa"/>
            <w:left w:w="15" w:type="dxa"/>
            <w:bottom w:w="15" w:type="dxa"/>
            <w:right w:w="15" w:type="dxa"/>
          </w:tblCellMar>
        </w:tblPrEx>
        <w:trPr>
          <w:trHeight w:val="1577"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3A8D153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36" w:type="pct"/>
            <w:tcBorders>
              <w:top w:val="single" w:color="000000" w:sz="4" w:space="0"/>
              <w:left w:val="single" w:color="000000" w:sz="4" w:space="0"/>
              <w:bottom w:val="single" w:color="000000" w:sz="4" w:space="0"/>
              <w:right w:val="single" w:color="000000" w:sz="4" w:space="0"/>
            </w:tcBorders>
            <w:vAlign w:val="center"/>
          </w:tcPr>
          <w:p w14:paraId="5174799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对主承销商及包销需求</w:t>
            </w:r>
          </w:p>
        </w:tc>
        <w:tc>
          <w:tcPr>
            <w:tcW w:w="3716" w:type="pct"/>
            <w:tcBorders>
              <w:top w:val="single" w:color="000000" w:sz="4" w:space="0"/>
              <w:left w:val="single" w:color="000000" w:sz="4" w:space="0"/>
              <w:bottom w:val="single" w:color="000000" w:sz="4" w:space="0"/>
              <w:right w:val="single" w:color="000000" w:sz="4" w:space="0"/>
            </w:tcBorders>
            <w:vAlign w:val="center"/>
          </w:tcPr>
          <w:p w14:paraId="7C6A35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全面负责东阳市国有资产投资有限公司债券的申报发行，协助本次债券发行方案报监管部门。最终发行规模以监管部门正式批复文件为准。</w:t>
            </w:r>
          </w:p>
        </w:tc>
      </w:tr>
      <w:tr w14:paraId="198CA295">
        <w:tblPrEx>
          <w:tblCellMar>
            <w:top w:w="15" w:type="dxa"/>
            <w:left w:w="15" w:type="dxa"/>
            <w:bottom w:w="15" w:type="dxa"/>
            <w:right w:w="15" w:type="dxa"/>
          </w:tblCellMar>
        </w:tblPrEx>
        <w:trPr>
          <w:trHeight w:val="1134"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28EC019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36" w:type="pct"/>
            <w:tcBorders>
              <w:top w:val="single" w:color="000000" w:sz="4" w:space="0"/>
              <w:left w:val="single" w:color="000000" w:sz="4" w:space="0"/>
              <w:bottom w:val="single" w:color="000000" w:sz="4" w:space="0"/>
              <w:right w:val="single" w:color="000000" w:sz="4" w:space="0"/>
            </w:tcBorders>
            <w:vAlign w:val="center"/>
          </w:tcPr>
          <w:p w14:paraId="0105105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主承销商的承销费用及支付要求</w:t>
            </w:r>
          </w:p>
        </w:tc>
        <w:tc>
          <w:tcPr>
            <w:tcW w:w="3716" w:type="pct"/>
            <w:tcBorders>
              <w:top w:val="single" w:color="000000" w:sz="4" w:space="0"/>
              <w:left w:val="single" w:color="000000" w:sz="4" w:space="0"/>
              <w:bottom w:val="single" w:color="000000" w:sz="4" w:space="0"/>
              <w:right w:val="single" w:color="000000" w:sz="4" w:space="0"/>
            </w:tcBorders>
            <w:vAlign w:val="center"/>
          </w:tcPr>
          <w:p w14:paraId="3A4F917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债券发行成功后，采购人支付承销佣金，若发行不成功承销费用不支付。</w:t>
            </w:r>
            <w:r>
              <w:rPr>
                <w:rFonts w:hint="eastAsia" w:ascii="宋体" w:hAnsi="宋体" w:cs="宋体"/>
                <w:b/>
                <w:bCs/>
                <w:color w:val="auto"/>
                <w:sz w:val="24"/>
                <w:highlight w:val="none"/>
              </w:rPr>
              <w:t>最终的承销佣金结算以实际发行额乘以中标费率为准。</w:t>
            </w:r>
          </w:p>
        </w:tc>
      </w:tr>
      <w:tr w14:paraId="6FA1C7D0">
        <w:tblPrEx>
          <w:tblCellMar>
            <w:top w:w="15" w:type="dxa"/>
            <w:left w:w="15" w:type="dxa"/>
            <w:bottom w:w="15" w:type="dxa"/>
            <w:right w:w="15" w:type="dxa"/>
          </w:tblCellMar>
        </w:tblPrEx>
        <w:trPr>
          <w:trHeight w:val="1181" w:hRule="atLeast"/>
          <w:jc w:val="center"/>
        </w:trPr>
        <w:tc>
          <w:tcPr>
            <w:tcW w:w="348" w:type="pct"/>
            <w:tcBorders>
              <w:top w:val="single" w:color="000000" w:sz="4" w:space="0"/>
              <w:left w:val="single" w:color="000000" w:sz="4" w:space="0"/>
              <w:bottom w:val="single" w:color="000000" w:sz="4" w:space="0"/>
              <w:right w:val="single" w:color="000000" w:sz="4" w:space="0"/>
            </w:tcBorders>
            <w:vAlign w:val="center"/>
          </w:tcPr>
          <w:p w14:paraId="4345E1F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936" w:type="pct"/>
            <w:tcBorders>
              <w:top w:val="single" w:color="000000" w:sz="4" w:space="0"/>
              <w:left w:val="single" w:color="000000" w:sz="4" w:space="0"/>
              <w:bottom w:val="single" w:color="000000" w:sz="4" w:space="0"/>
              <w:right w:val="single" w:color="000000" w:sz="4" w:space="0"/>
            </w:tcBorders>
            <w:vAlign w:val="center"/>
          </w:tcPr>
          <w:p w14:paraId="6AFB285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对发行债券的存续期要求</w:t>
            </w:r>
          </w:p>
        </w:tc>
        <w:tc>
          <w:tcPr>
            <w:tcW w:w="3716" w:type="pct"/>
            <w:tcBorders>
              <w:top w:val="single" w:color="000000" w:sz="4" w:space="0"/>
              <w:left w:val="single" w:color="000000" w:sz="4" w:space="0"/>
              <w:bottom w:val="single" w:color="000000" w:sz="4" w:space="0"/>
              <w:right w:val="single" w:color="000000" w:sz="4" w:space="0"/>
            </w:tcBorders>
            <w:vAlign w:val="center"/>
          </w:tcPr>
          <w:p w14:paraId="40473007">
            <w:pPr>
              <w:spacing w:line="360" w:lineRule="auto"/>
              <w:rPr>
                <w:rFonts w:hint="eastAsia" w:ascii="宋体" w:hAnsi="宋体" w:cs="宋体"/>
                <w:color w:val="auto"/>
                <w:sz w:val="24"/>
                <w:highlight w:val="none"/>
              </w:rPr>
            </w:pPr>
            <w:r>
              <w:rPr>
                <w:rFonts w:hint="eastAsia" w:ascii="宋体" w:hAnsi="宋体" w:cs="宋体"/>
                <w:color w:val="auto"/>
                <w:sz w:val="24"/>
                <w:highlight w:val="none"/>
              </w:rPr>
              <w:t>1.主承销商应协助</w:t>
            </w:r>
            <w:r>
              <w:rPr>
                <w:rFonts w:hint="eastAsia" w:ascii="宋体" w:hAnsi="宋体" w:cs="宋体"/>
                <w:bCs/>
                <w:color w:val="auto"/>
                <w:sz w:val="24"/>
                <w:highlight w:val="none"/>
              </w:rPr>
              <w:t>招标人</w:t>
            </w:r>
            <w:r>
              <w:rPr>
                <w:rFonts w:hint="eastAsia" w:ascii="宋体" w:hAnsi="宋体" w:cs="宋体"/>
                <w:color w:val="auto"/>
                <w:sz w:val="24"/>
                <w:highlight w:val="none"/>
              </w:rPr>
              <w:t>做好兑付债券本息手续。</w:t>
            </w:r>
          </w:p>
          <w:p w14:paraId="060A4CCC">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2.主承销商存续期做好债券管理及信息披露工作。</w:t>
            </w:r>
          </w:p>
          <w:p w14:paraId="5430CF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3.存续期服务承诺以及协助</w:t>
            </w:r>
            <w:r>
              <w:rPr>
                <w:rFonts w:hint="eastAsia" w:ascii="宋体" w:hAnsi="宋体" w:cs="宋体"/>
                <w:bCs/>
                <w:color w:val="auto"/>
                <w:sz w:val="24"/>
                <w:highlight w:val="none"/>
              </w:rPr>
              <w:t>招标人</w:t>
            </w:r>
            <w:r>
              <w:rPr>
                <w:rFonts w:hint="eastAsia" w:ascii="宋体" w:hAnsi="宋体" w:cs="宋体"/>
                <w:color w:val="auto"/>
                <w:sz w:val="24"/>
                <w:highlight w:val="none"/>
              </w:rPr>
              <w:t>做好意外风险应变、备选方案。</w:t>
            </w:r>
          </w:p>
        </w:tc>
      </w:tr>
    </w:tbl>
    <w:p w14:paraId="1FF4303E">
      <w:pPr>
        <w:snapToGrid w:val="0"/>
        <w:spacing w:line="440" w:lineRule="exact"/>
        <w:ind w:firstLine="3012" w:firstLineChars="1000"/>
        <w:rPr>
          <w:rFonts w:asciiTheme="minorEastAsia" w:hAnsiTheme="minorEastAsia" w:eastAsiaTheme="minorEastAsia"/>
          <w:b/>
          <w:bCs/>
          <w:color w:val="auto"/>
          <w:sz w:val="30"/>
          <w:highlight w:val="none"/>
        </w:rPr>
      </w:pPr>
    </w:p>
    <w:p w14:paraId="566DBFB0">
      <w:pPr>
        <w:snapToGrid w:val="0"/>
        <w:spacing w:line="440" w:lineRule="exact"/>
        <w:ind w:firstLine="3012" w:firstLineChars="1000"/>
        <w:rPr>
          <w:rFonts w:asciiTheme="minorEastAsia" w:hAnsiTheme="minorEastAsia" w:eastAsiaTheme="minorEastAsia"/>
          <w:b/>
          <w:bCs/>
          <w:color w:val="auto"/>
          <w:sz w:val="30"/>
          <w:highlight w:val="none"/>
        </w:rPr>
      </w:pPr>
    </w:p>
    <w:p w14:paraId="573CB160">
      <w:pPr>
        <w:pStyle w:val="21"/>
        <w:ind w:firstLine="586"/>
        <w:rPr>
          <w:rFonts w:asciiTheme="minorEastAsia" w:hAnsiTheme="minorEastAsia" w:eastAsiaTheme="minorEastAsia"/>
          <w:b/>
          <w:bCs/>
          <w:color w:val="auto"/>
          <w:sz w:val="30"/>
          <w:highlight w:val="none"/>
        </w:rPr>
      </w:pPr>
    </w:p>
    <w:p w14:paraId="250E081C">
      <w:pPr>
        <w:rPr>
          <w:rFonts w:asciiTheme="minorEastAsia" w:hAnsiTheme="minorEastAsia" w:eastAsiaTheme="minorEastAsia"/>
          <w:b/>
          <w:bCs/>
          <w:color w:val="auto"/>
          <w:sz w:val="30"/>
          <w:highlight w:val="none"/>
        </w:rPr>
      </w:pPr>
    </w:p>
    <w:p w14:paraId="64F4ABFE">
      <w:pPr>
        <w:pStyle w:val="21"/>
        <w:ind w:firstLine="586"/>
        <w:rPr>
          <w:rFonts w:asciiTheme="minorEastAsia" w:hAnsiTheme="minorEastAsia" w:eastAsiaTheme="minorEastAsia"/>
          <w:b/>
          <w:bCs/>
          <w:color w:val="auto"/>
          <w:sz w:val="30"/>
          <w:highlight w:val="none"/>
        </w:rPr>
      </w:pPr>
    </w:p>
    <w:p w14:paraId="2A8581BA">
      <w:pPr>
        <w:pStyle w:val="21"/>
        <w:ind w:left="0" w:leftChars="0" w:firstLine="0" w:firstLineChars="0"/>
        <w:rPr>
          <w:rFonts w:asciiTheme="minorEastAsia" w:hAnsiTheme="minorEastAsia" w:eastAsiaTheme="minorEastAsia"/>
          <w:color w:val="auto"/>
          <w:highlight w:val="none"/>
        </w:rPr>
      </w:pPr>
    </w:p>
    <w:p w14:paraId="73EADB8F">
      <w:pPr>
        <w:widowControl/>
        <w:jc w:val="left"/>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3E3F1585">
      <w:pPr>
        <w:numPr>
          <w:ilvl w:val="0"/>
          <w:numId w:val="3"/>
        </w:numPr>
        <w:snapToGrid w:val="0"/>
        <w:spacing w:line="440" w:lineRule="exact"/>
        <w:ind w:firstLine="3012" w:firstLineChars="1000"/>
        <w:rPr>
          <w:rFonts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 xml:space="preserve"> 主承销商须知</w:t>
      </w:r>
    </w:p>
    <w:p w14:paraId="59758ECF">
      <w:pPr>
        <w:snapToGrid w:val="0"/>
        <w:spacing w:line="440" w:lineRule="exact"/>
        <w:ind w:firstLine="4216" w:firstLineChars="1400"/>
        <w:rPr>
          <w:rFonts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须知前附表</w:t>
      </w:r>
    </w:p>
    <w:tbl>
      <w:tblPr>
        <w:tblStyle w:val="22"/>
        <w:tblW w:w="10162" w:type="dxa"/>
        <w:tblInd w:w="-106" w:type="dxa"/>
        <w:tblLayout w:type="fixed"/>
        <w:tblCellMar>
          <w:top w:w="0" w:type="dxa"/>
          <w:left w:w="0" w:type="dxa"/>
          <w:bottom w:w="0" w:type="dxa"/>
          <w:right w:w="0" w:type="dxa"/>
        </w:tblCellMar>
      </w:tblPr>
      <w:tblGrid>
        <w:gridCol w:w="762"/>
        <w:gridCol w:w="9400"/>
      </w:tblGrid>
      <w:tr w14:paraId="29FBF844">
        <w:tblPrEx>
          <w:tblCellMar>
            <w:top w:w="0" w:type="dxa"/>
            <w:left w:w="0" w:type="dxa"/>
            <w:bottom w:w="0" w:type="dxa"/>
            <w:right w:w="0" w:type="dxa"/>
          </w:tblCellMar>
        </w:tblPrEx>
        <w:trPr>
          <w:trHeight w:val="476"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295ADC">
            <w:pPr>
              <w:snapToGrid w:val="0"/>
              <w:spacing w:line="440" w:lineRule="exact"/>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E2E140">
            <w:pPr>
              <w:snapToGrid w:val="0"/>
              <w:spacing w:line="440" w:lineRule="exact"/>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内容、要求</w:t>
            </w:r>
          </w:p>
        </w:tc>
      </w:tr>
      <w:tr w14:paraId="100F2039">
        <w:tblPrEx>
          <w:tblCellMar>
            <w:top w:w="0" w:type="dxa"/>
            <w:left w:w="0" w:type="dxa"/>
            <w:bottom w:w="0" w:type="dxa"/>
            <w:right w:w="0" w:type="dxa"/>
          </w:tblCellMar>
        </w:tblPrEx>
        <w:trPr>
          <w:trHeight w:val="515"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E1E756">
            <w:pPr>
              <w:snapToGrid w:val="0"/>
              <w:spacing w:line="44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7A9EF0">
            <w:pPr>
              <w:snapToGrid w:val="0"/>
              <w:spacing w:line="440" w:lineRule="exact"/>
              <w:jc w:val="left"/>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项目名称：</w:t>
            </w:r>
            <w:r>
              <w:rPr>
                <w:rFonts w:hint="eastAsia" w:cs="仿宋" w:asciiTheme="minorEastAsia" w:hAnsiTheme="minorEastAsia" w:eastAsiaTheme="minorEastAsia"/>
                <w:color w:val="auto"/>
                <w:sz w:val="24"/>
                <w:highlight w:val="none"/>
                <w:lang w:eastAsia="zh-CN"/>
              </w:rPr>
              <w:t>东阳市国有资产投资有限公司公司债券发行承销机构采购项目</w:t>
            </w:r>
          </w:p>
        </w:tc>
      </w:tr>
      <w:tr w14:paraId="2DBB12A0">
        <w:tblPrEx>
          <w:tblCellMar>
            <w:top w:w="0" w:type="dxa"/>
            <w:left w:w="0" w:type="dxa"/>
            <w:bottom w:w="0" w:type="dxa"/>
            <w:right w:w="0" w:type="dxa"/>
          </w:tblCellMar>
        </w:tblPrEx>
        <w:trPr>
          <w:trHeight w:val="713"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16F7FA">
            <w:pPr>
              <w:snapToGrid w:val="0"/>
              <w:spacing w:line="44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A623D4">
            <w:pPr>
              <w:snapToGrid w:val="0"/>
              <w:spacing w:line="44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投标报价及费用：1、本项目投标应以费率报价；2、不论投标结果如何，投标人均应自行承担所有与投标有关的全部费用；3、本项目代理服务费按前附表第17条标准，向中标单位收取代理服务费。</w:t>
            </w:r>
          </w:p>
        </w:tc>
      </w:tr>
      <w:tr w14:paraId="7DA0F384">
        <w:tblPrEx>
          <w:tblCellMar>
            <w:top w:w="0" w:type="dxa"/>
            <w:left w:w="0" w:type="dxa"/>
            <w:bottom w:w="0" w:type="dxa"/>
            <w:right w:w="0" w:type="dxa"/>
          </w:tblCellMar>
        </w:tblPrEx>
        <w:trPr>
          <w:trHeight w:val="9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319E83">
            <w:pPr>
              <w:snapToGrid w:val="0"/>
              <w:spacing w:line="44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773417">
            <w:pPr>
              <w:snapToGrid w:val="0"/>
              <w:spacing w:line="44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现场踏勘：本项目不组织踏勘。</w:t>
            </w:r>
          </w:p>
        </w:tc>
      </w:tr>
      <w:tr w14:paraId="12313A38">
        <w:tblPrEx>
          <w:tblCellMar>
            <w:top w:w="0" w:type="dxa"/>
            <w:left w:w="0" w:type="dxa"/>
            <w:bottom w:w="0" w:type="dxa"/>
            <w:right w:w="0" w:type="dxa"/>
          </w:tblCellMar>
        </w:tblPrEx>
        <w:trPr>
          <w:trHeight w:val="84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F64252">
            <w:pPr>
              <w:snapToGrid w:val="0"/>
              <w:spacing w:line="44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267C5A">
            <w:pPr>
              <w:snapToGrid w:val="0"/>
              <w:spacing w:line="44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答疑与澄清：</w:t>
            </w:r>
            <w:r>
              <w:rPr>
                <w:rFonts w:hint="eastAsia" w:ascii="宋体" w:hAnsi="宋体"/>
                <w:color w:val="auto"/>
                <w:sz w:val="24"/>
                <w:highlight w:val="none"/>
              </w:rPr>
              <w:t>投标人如认为招标文件表述不清晰、存在歧视性、排他性或者其他违法内容的，应当</w:t>
            </w:r>
            <w:r>
              <w:rPr>
                <w:rFonts w:hint="eastAsia" w:ascii="宋体" w:hAnsi="宋体"/>
                <w:color w:val="auto"/>
                <w:sz w:val="24"/>
                <w:highlight w:val="none"/>
                <w:shd w:val="clear" w:color="auto" w:fill="FFFFFF"/>
              </w:rPr>
              <w:t>于</w:t>
            </w:r>
            <w:r>
              <w:rPr>
                <w:rFonts w:hint="eastAsia" w:ascii="宋体" w:hAnsi="宋体"/>
                <w:b/>
                <w:bCs/>
                <w:color w:val="auto"/>
                <w:sz w:val="24"/>
                <w:highlight w:val="none"/>
                <w:u w:val="single"/>
                <w:shd w:val="clear" w:color="auto" w:fill="FFFFFF"/>
              </w:rPr>
              <w:t>质疑期限届满之日</w:t>
            </w:r>
            <w:r>
              <w:rPr>
                <w:rFonts w:hint="eastAsia" w:ascii="宋体" w:hAnsi="宋体"/>
                <w:color w:val="auto"/>
                <w:sz w:val="24"/>
                <w:highlight w:val="none"/>
                <w:shd w:val="clear" w:color="auto" w:fill="FFFFFF"/>
              </w:rPr>
              <w:t>前，</w:t>
            </w:r>
            <w:r>
              <w:rPr>
                <w:rFonts w:hint="eastAsia" w:ascii="宋体" w:hAnsi="宋体"/>
                <w:color w:val="auto"/>
                <w:sz w:val="24"/>
                <w:highlight w:val="none"/>
              </w:rPr>
              <w:t>以书面形式要求招标采购单位作出书面解释、澄清或者向招标采购单位提出书面质疑（</w:t>
            </w:r>
            <w:r>
              <w:rPr>
                <w:rFonts w:hint="eastAsia" w:ascii="宋体" w:hAnsi="宋体"/>
                <w:b/>
                <w:color w:val="auto"/>
                <w:sz w:val="24"/>
                <w:highlight w:val="none"/>
              </w:rPr>
              <w:t>超过此规定时间的质疑函将不予受理）</w:t>
            </w:r>
            <w:r>
              <w:rPr>
                <w:rFonts w:hint="eastAsia" w:ascii="宋体" w:hAnsi="宋体"/>
                <w:color w:val="auto"/>
                <w:sz w:val="24"/>
                <w:highlight w:val="none"/>
              </w:rPr>
              <w:t>；招标采购单位将于</w:t>
            </w:r>
            <w:r>
              <w:rPr>
                <w:rFonts w:hint="eastAsia" w:ascii="宋体" w:hAnsi="宋体"/>
                <w:b/>
                <w:bCs/>
                <w:color w:val="auto"/>
                <w:sz w:val="24"/>
                <w:highlight w:val="none"/>
                <w:u w:val="single"/>
                <w:shd w:val="clear" w:color="auto" w:fill="FFFFFF"/>
              </w:rPr>
              <w:t>答疑期限届满之日</w:t>
            </w:r>
            <w:r>
              <w:rPr>
                <w:rFonts w:hint="eastAsia" w:ascii="宋体" w:hAnsi="宋体"/>
                <w:b/>
                <w:bCs/>
                <w:color w:val="auto"/>
                <w:sz w:val="24"/>
                <w:highlight w:val="none"/>
                <w:shd w:val="clear" w:color="auto" w:fill="FFFFFF"/>
              </w:rPr>
              <w:t>前</w:t>
            </w:r>
            <w:r>
              <w:rPr>
                <w:rFonts w:hint="eastAsia" w:ascii="宋体" w:hAnsi="宋体"/>
                <w:color w:val="auto"/>
                <w:sz w:val="24"/>
                <w:highlight w:val="none"/>
                <w:shd w:val="clear" w:color="auto" w:fill="FFFFFF"/>
              </w:rPr>
              <w:t>将答疑内容以传真或网上发布公告的形式通知所有已报名的投标人；答疑内容是招标</w:t>
            </w:r>
            <w:r>
              <w:rPr>
                <w:rFonts w:hint="eastAsia" w:ascii="宋体" w:hAnsi="宋体"/>
                <w:color w:val="auto"/>
                <w:sz w:val="24"/>
                <w:highlight w:val="none"/>
              </w:rPr>
              <w:t>文件的组成部分；因其他紧急情况影响本项目正常招标活动的，招标采购单位将于投标截止日期</w:t>
            </w:r>
            <w:r>
              <w:rPr>
                <w:rFonts w:ascii="宋体" w:hAnsi="宋体"/>
                <w:color w:val="auto"/>
                <w:sz w:val="24"/>
                <w:highlight w:val="none"/>
              </w:rPr>
              <w:t>5</w:t>
            </w:r>
            <w:r>
              <w:rPr>
                <w:rFonts w:hint="eastAsia" w:ascii="宋体" w:hAnsi="宋体"/>
                <w:color w:val="auto"/>
                <w:sz w:val="24"/>
                <w:highlight w:val="none"/>
              </w:rPr>
              <w:t>天前书面通知所有已报名的投标人。</w:t>
            </w:r>
          </w:p>
        </w:tc>
      </w:tr>
      <w:tr w14:paraId="0CB4762E">
        <w:tblPrEx>
          <w:tblCellMar>
            <w:top w:w="0" w:type="dxa"/>
            <w:left w:w="0" w:type="dxa"/>
            <w:bottom w:w="0" w:type="dxa"/>
            <w:right w:w="0" w:type="dxa"/>
          </w:tblCellMar>
        </w:tblPrEx>
        <w:trPr>
          <w:trHeight w:val="586"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A75B0F">
            <w:pPr>
              <w:snapToGrid w:val="0"/>
              <w:spacing w:line="44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744998">
            <w:pPr>
              <w:autoSpaceDE w:val="0"/>
              <w:autoSpaceDN w:val="0"/>
              <w:snapToGrid w:val="0"/>
              <w:spacing w:line="440" w:lineRule="exact"/>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投标文件组成：▲1、本项目实行“网上投标、电子评标”，投标人应于投标截止时间前在“</w:t>
            </w:r>
            <w:r>
              <w:rPr>
                <w:rFonts w:hint="eastAsia" w:cs="仿宋" w:asciiTheme="minorEastAsia" w:hAnsiTheme="minorEastAsia" w:eastAsiaTheme="minorEastAsia"/>
                <w:b/>
                <w:bCs/>
                <w:color w:val="auto"/>
                <w:sz w:val="24"/>
                <w:highlight w:val="none"/>
                <w:lang w:val="en-US" w:eastAsia="zh-CN"/>
              </w:rPr>
              <w:t>乐</w:t>
            </w:r>
            <w:r>
              <w:rPr>
                <w:rFonts w:hint="eastAsia" w:cs="仿宋" w:asciiTheme="minorEastAsia" w:hAnsiTheme="minorEastAsia" w:eastAsiaTheme="minorEastAsia"/>
                <w:b/>
                <w:bCs/>
                <w:color w:val="auto"/>
                <w:sz w:val="24"/>
                <w:highlight w:val="none"/>
              </w:rPr>
              <w:t>采云”（电子交易平台）上传输、递交电子版投标文件（包括资格响应文件、商务技术响应文件和报价响应文件）；</w:t>
            </w:r>
          </w:p>
          <w:p w14:paraId="490D0136">
            <w:pPr>
              <w:autoSpaceDE w:val="0"/>
              <w:autoSpaceDN w:val="0"/>
              <w:snapToGrid w:val="0"/>
              <w:spacing w:line="440" w:lineRule="exact"/>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为了避免由于电子交易平台无法正常运行等技术、安全故障原因造成投标文件无法解密或解密失败，导致投标无效的情况，投标人可以在投标截止时间前将电子备份投标文件（经</w:t>
            </w:r>
            <w:r>
              <w:rPr>
                <w:rFonts w:hint="eastAsia" w:cs="仿宋" w:asciiTheme="minorEastAsia" w:hAnsiTheme="minorEastAsia" w:eastAsiaTheme="minorEastAsia"/>
                <w:b/>
                <w:bCs/>
                <w:color w:val="auto"/>
                <w:sz w:val="24"/>
                <w:highlight w:val="none"/>
                <w:lang w:val="en-US" w:eastAsia="zh-CN"/>
              </w:rPr>
              <w:t>乐</w:t>
            </w:r>
            <w:r>
              <w:rPr>
                <w:rFonts w:hint="eastAsia" w:cs="仿宋" w:asciiTheme="minorEastAsia" w:hAnsiTheme="minorEastAsia" w:eastAsiaTheme="minorEastAsia"/>
                <w:b/>
                <w:bCs/>
                <w:color w:val="auto"/>
                <w:sz w:val="24"/>
                <w:highlight w:val="none"/>
              </w:rPr>
              <w:t>采云电子交易客户端和CA驱动制作出的后缀名为“bfbs”的加密电子备份投标文件）发送至金华正达工程造价咨询有限公司邮箱：342981454@qq.com，逾期发送或发错后缀名的备份投标文件将被视为无效；</w:t>
            </w:r>
          </w:p>
          <w:p w14:paraId="6603D1A6">
            <w:pPr>
              <w:autoSpaceDE w:val="0"/>
              <w:autoSpaceDN w:val="0"/>
              <w:snapToGrid w:val="0"/>
              <w:spacing w:line="440" w:lineRule="exact"/>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3、投标人仅提交电子备份投标文件的，投标无效；</w:t>
            </w:r>
          </w:p>
          <w:p w14:paraId="175570F2">
            <w:pPr>
              <w:autoSpaceDE w:val="0"/>
              <w:autoSpaceDN w:val="0"/>
              <w:snapToGrid w:val="0"/>
              <w:spacing w:line="44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bCs/>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29577091">
        <w:tblPrEx>
          <w:tblCellMar>
            <w:top w:w="0" w:type="dxa"/>
            <w:left w:w="0" w:type="dxa"/>
            <w:bottom w:w="0" w:type="dxa"/>
            <w:right w:w="0" w:type="dxa"/>
          </w:tblCellMar>
        </w:tblPrEx>
        <w:trPr>
          <w:trHeight w:val="586"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D20E70">
            <w:pPr>
              <w:snapToGrid w:val="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D67AA5">
            <w:pPr>
              <w:snapToGrid w:val="0"/>
              <w:spacing w:line="390" w:lineRule="exact"/>
              <w:jc w:val="left"/>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color w:val="auto"/>
                <w:sz w:val="24"/>
                <w:highlight w:val="none"/>
              </w:rPr>
              <w:t>各招标供应商报价超出限价范围的，其投标文件作无效标处理。（</w:t>
            </w:r>
            <w:r>
              <w:rPr>
                <w:rFonts w:hint="eastAsia" w:cs="仿宋" w:asciiTheme="minorEastAsia" w:hAnsiTheme="minorEastAsia" w:eastAsiaTheme="minorEastAsia"/>
                <w:b/>
                <w:color w:val="auto"/>
                <w:sz w:val="24"/>
                <w:highlight w:val="none"/>
              </w:rPr>
              <w:t>注意：供应商应根据合理市场水平进行报价，如评标委员会一致认为某投标人报价明显不合理，有降低质量、不能诚信履约的可能时，且该投标人未在规定期限内作出解释，或所作解释不合理的，将作无效标处理</w:t>
            </w:r>
            <w:r>
              <w:rPr>
                <w:rFonts w:hint="eastAsia" w:cs="仿宋" w:asciiTheme="minorEastAsia" w:hAnsiTheme="minorEastAsia" w:eastAsiaTheme="minorEastAsia"/>
                <w:color w:val="auto"/>
                <w:sz w:val="24"/>
                <w:highlight w:val="none"/>
              </w:rPr>
              <w:t>）</w:t>
            </w:r>
          </w:p>
        </w:tc>
      </w:tr>
      <w:tr w14:paraId="50BE4144">
        <w:tblPrEx>
          <w:tblCellMar>
            <w:top w:w="0" w:type="dxa"/>
            <w:left w:w="0" w:type="dxa"/>
            <w:bottom w:w="0" w:type="dxa"/>
            <w:right w:w="0" w:type="dxa"/>
          </w:tblCellMar>
        </w:tblPrEx>
        <w:trPr>
          <w:trHeight w:val="336"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E35EA5">
            <w:pPr>
              <w:snapToGrid w:val="0"/>
              <w:spacing w:line="44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7</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2E39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投标截止时间及地点：</w:t>
            </w:r>
          </w:p>
          <w:p w14:paraId="1F48D68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1、投标人应当在</w:t>
            </w:r>
            <w:r>
              <w:rPr>
                <w:rFonts w:hint="eastAsia" w:ascii="宋体" w:hAnsi="宋体" w:cs="宋体"/>
                <w:b/>
                <w:bCs/>
                <w:color w:val="auto"/>
                <w:sz w:val="24"/>
                <w:highlight w:val="none"/>
              </w:rPr>
              <w:t>202</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21</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09</w:t>
            </w:r>
            <w:r>
              <w:rPr>
                <w:rFonts w:hint="eastAsia" w:ascii="宋体" w:hAnsi="宋体" w:cs="宋体"/>
                <w:b/>
                <w:bCs/>
                <w:color w:val="auto"/>
                <w:sz w:val="24"/>
                <w:highlight w:val="none"/>
              </w:rPr>
              <w:t>时00分</w:t>
            </w:r>
            <w:r>
              <w:rPr>
                <w:rFonts w:hint="eastAsia" w:ascii="宋体" w:hAnsi="宋体" w:cs="宋体"/>
                <w:color w:val="auto"/>
                <w:sz w:val="24"/>
                <w:highlight w:val="none"/>
              </w:rPr>
              <w:t>前在“</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采云”（电子交易平台）上自行上传加密的电子投标文件。投标截止时间后递交的电子投标文件，将被</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采云平台拒收。</w:t>
            </w:r>
          </w:p>
          <w:p w14:paraId="68D7984D">
            <w:pPr>
              <w:spacing w:line="276" w:lineRule="auto"/>
              <w:ind w:firstLine="480" w:firstLineChars="200"/>
              <w:textAlignment w:val="top"/>
              <w:rPr>
                <w:rFonts w:cs="仿宋" w:asciiTheme="minorEastAsia" w:hAnsiTheme="minorEastAsia" w:eastAsiaTheme="minorEastAsia"/>
                <w:b/>
                <w:color w:val="auto"/>
                <w:sz w:val="24"/>
                <w:highlight w:val="none"/>
              </w:rPr>
            </w:pPr>
            <w:r>
              <w:rPr>
                <w:rFonts w:hint="eastAsia" w:ascii="宋体" w:hAnsi="宋体" w:cs="宋体"/>
                <w:color w:val="auto"/>
                <w:sz w:val="24"/>
                <w:highlight w:val="none"/>
              </w:rPr>
              <w:t>2、电子备份投标文件的递交时间：投标人应当在</w:t>
            </w:r>
            <w:r>
              <w:rPr>
                <w:rFonts w:hint="eastAsia" w:ascii="宋体" w:hAnsi="宋体" w:cs="宋体"/>
                <w:b/>
                <w:bCs/>
                <w:color w:val="auto"/>
                <w:sz w:val="24"/>
                <w:highlight w:val="none"/>
              </w:rPr>
              <w:t>202</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年</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21</w:t>
            </w:r>
            <w:r>
              <w:rPr>
                <w:rFonts w:hint="default" w:ascii="宋体" w:hAnsi="宋体" w:cs="宋体"/>
                <w:b/>
                <w:bCs/>
                <w:color w:val="auto"/>
                <w:sz w:val="24"/>
                <w:highlight w:val="none"/>
                <w:lang w:val="en-US"/>
              </w:rPr>
              <w:t xml:space="preserve"> </w:t>
            </w:r>
            <w:r>
              <w:rPr>
                <w:rFonts w:hint="eastAsia" w:ascii="宋体" w:hAnsi="宋体" w:cs="宋体"/>
                <w:b/>
                <w:bCs/>
                <w:color w:val="auto"/>
                <w:sz w:val="24"/>
                <w:highlight w:val="none"/>
              </w:rPr>
              <w:t>日</w:t>
            </w:r>
            <w:r>
              <w:rPr>
                <w:rFonts w:hint="eastAsia" w:ascii="宋体" w:hAnsi="宋体" w:cs="宋体"/>
                <w:b/>
                <w:bCs/>
                <w:color w:val="auto"/>
                <w:sz w:val="24"/>
                <w:highlight w:val="none"/>
                <w:lang w:val="en-US" w:eastAsia="zh-CN"/>
              </w:rPr>
              <w:t>09</w:t>
            </w:r>
            <w:r>
              <w:rPr>
                <w:rFonts w:hint="eastAsia" w:ascii="宋体" w:hAnsi="宋体" w:cs="宋体"/>
                <w:b/>
                <w:bCs/>
                <w:color w:val="auto"/>
                <w:sz w:val="24"/>
                <w:highlight w:val="none"/>
              </w:rPr>
              <w:t>时00分</w:t>
            </w:r>
            <w:r>
              <w:rPr>
                <w:rFonts w:hint="eastAsia" w:ascii="宋体" w:hAnsi="宋体" w:cs="宋体"/>
                <w:color w:val="auto"/>
                <w:sz w:val="24"/>
                <w:highlight w:val="none"/>
              </w:rPr>
              <w:t>前，逾期未递交的视为自动放弃。</w:t>
            </w:r>
          </w:p>
        </w:tc>
      </w:tr>
      <w:tr w14:paraId="68F2A7E1">
        <w:tblPrEx>
          <w:tblCellMar>
            <w:top w:w="0" w:type="dxa"/>
            <w:left w:w="0" w:type="dxa"/>
            <w:bottom w:w="0" w:type="dxa"/>
            <w:right w:w="0" w:type="dxa"/>
          </w:tblCellMar>
        </w:tblPrEx>
        <w:trPr>
          <w:trHeight w:val="645"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403F55">
            <w:pPr>
              <w:snapToGrid w:val="0"/>
              <w:spacing w:line="44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8</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6895D9">
            <w:pPr>
              <w:spacing w:line="520" w:lineRule="exact"/>
              <w:jc w:val="left"/>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开标时间：</w:t>
            </w:r>
            <w:r>
              <w:rPr>
                <w:rFonts w:hint="eastAsia" w:cs="仿宋" w:asciiTheme="minorEastAsia" w:hAnsiTheme="minorEastAsia" w:eastAsiaTheme="minorEastAsia"/>
                <w:b/>
                <w:color w:val="auto"/>
                <w:sz w:val="24"/>
                <w:highlight w:val="none"/>
                <w:u w:val="single"/>
              </w:rPr>
              <w:t>202</w:t>
            </w:r>
            <w:r>
              <w:rPr>
                <w:rFonts w:hint="eastAsia" w:cs="仿宋" w:asciiTheme="minorEastAsia" w:hAnsiTheme="minorEastAsia" w:eastAsiaTheme="minorEastAsia"/>
                <w:b/>
                <w:color w:val="auto"/>
                <w:sz w:val="24"/>
                <w:highlight w:val="none"/>
                <w:u w:val="single"/>
                <w:lang w:val="en-US" w:eastAsia="zh-CN"/>
              </w:rPr>
              <w:t>5</w:t>
            </w:r>
            <w:r>
              <w:rPr>
                <w:rFonts w:hint="eastAsia" w:cs="仿宋" w:asciiTheme="minorEastAsia" w:hAnsiTheme="minorEastAsia" w:eastAsiaTheme="minorEastAsia"/>
                <w:b/>
                <w:color w:val="auto"/>
                <w:sz w:val="24"/>
                <w:highlight w:val="none"/>
                <w:u w:val="single"/>
              </w:rPr>
              <w:t>年</w:t>
            </w:r>
            <w:r>
              <w:rPr>
                <w:rFonts w:hint="eastAsia" w:cs="仿宋" w:asciiTheme="minorEastAsia" w:hAnsiTheme="minorEastAsia" w:eastAsiaTheme="minorEastAsia"/>
                <w:b/>
                <w:color w:val="auto"/>
                <w:sz w:val="24"/>
                <w:highlight w:val="none"/>
                <w:u w:val="single"/>
                <w:lang w:val="en-US" w:eastAsia="zh-CN"/>
              </w:rPr>
              <w:t xml:space="preserve"> 1</w:t>
            </w:r>
            <w:r>
              <w:rPr>
                <w:rFonts w:hint="eastAsia" w:cs="仿宋" w:asciiTheme="minorEastAsia" w:hAnsiTheme="minorEastAsia" w:eastAsiaTheme="minorEastAsia"/>
                <w:b/>
                <w:color w:val="auto"/>
                <w:sz w:val="24"/>
                <w:highlight w:val="none"/>
                <w:u w:val="single"/>
              </w:rPr>
              <w:t>月</w:t>
            </w:r>
            <w:r>
              <w:rPr>
                <w:rFonts w:hint="eastAsia" w:cs="仿宋" w:asciiTheme="minorEastAsia" w:hAnsiTheme="minorEastAsia" w:eastAsiaTheme="minorEastAsia"/>
                <w:b/>
                <w:color w:val="auto"/>
                <w:sz w:val="24"/>
                <w:highlight w:val="none"/>
                <w:u w:val="single"/>
                <w:lang w:val="en-US" w:eastAsia="zh-CN"/>
              </w:rPr>
              <w:t xml:space="preserve"> 21</w:t>
            </w:r>
            <w:r>
              <w:rPr>
                <w:rFonts w:hint="eastAsia" w:cs="仿宋" w:asciiTheme="minorEastAsia" w:hAnsiTheme="minorEastAsia" w:eastAsiaTheme="minorEastAsia"/>
                <w:b/>
                <w:color w:val="auto"/>
                <w:sz w:val="24"/>
                <w:highlight w:val="none"/>
                <w:u w:val="single"/>
              </w:rPr>
              <w:t>日</w:t>
            </w:r>
            <w:r>
              <w:rPr>
                <w:rFonts w:hint="eastAsia" w:cs="仿宋" w:asciiTheme="minorEastAsia" w:hAnsiTheme="minorEastAsia" w:eastAsiaTheme="minorEastAsia"/>
                <w:b/>
                <w:bCs/>
                <w:color w:val="auto"/>
                <w:sz w:val="24"/>
                <w:szCs w:val="24"/>
                <w:highlight w:val="none"/>
                <w:u w:val="single"/>
                <w:lang w:val="en-US" w:eastAsia="zh-CN"/>
              </w:rPr>
              <w:t>09</w:t>
            </w:r>
            <w:r>
              <w:rPr>
                <w:rFonts w:hint="eastAsia" w:cs="仿宋" w:asciiTheme="minorEastAsia" w:hAnsiTheme="minorEastAsia" w:eastAsiaTheme="minorEastAsia"/>
                <w:b/>
                <w:bCs/>
                <w:color w:val="auto"/>
                <w:sz w:val="24"/>
                <w:szCs w:val="24"/>
                <w:highlight w:val="none"/>
                <w:u w:val="single"/>
              </w:rPr>
              <w:t>时00分</w:t>
            </w:r>
          </w:p>
          <w:p w14:paraId="2C39DA95">
            <w:pPr>
              <w:snapToGrid w:val="0"/>
              <w:spacing w:line="440" w:lineRule="exact"/>
              <w:ind w:firstLine="482"/>
              <w:rPr>
                <w:rFonts w:cs="仿宋" w:asciiTheme="minorEastAsia" w:hAnsiTheme="minorEastAsia" w:eastAsiaTheme="minorEastAsia"/>
                <w:b/>
                <w:color w:val="auto"/>
                <w:highlight w:val="none"/>
              </w:rPr>
            </w:pPr>
            <w:r>
              <w:rPr>
                <w:rFonts w:hint="eastAsia" w:cs="仿宋" w:asciiTheme="minorEastAsia" w:hAnsiTheme="minorEastAsia" w:eastAsiaTheme="minorEastAsia"/>
                <w:b w:val="0"/>
                <w:bCs/>
                <w:color w:val="auto"/>
                <w:sz w:val="24"/>
                <w:szCs w:val="24"/>
                <w:highlight w:val="none"/>
              </w:rPr>
              <w:t>截止开标时间，</w:t>
            </w:r>
            <w:r>
              <w:rPr>
                <w:rFonts w:hint="eastAsia" w:cs="仿宋" w:asciiTheme="minorEastAsia" w:hAnsiTheme="minorEastAsia" w:eastAsiaTheme="minorEastAsia"/>
                <w:b w:val="0"/>
                <w:bCs/>
                <w:color w:val="auto"/>
                <w:sz w:val="24"/>
                <w:szCs w:val="24"/>
                <w:highlight w:val="none"/>
                <w:lang w:val="en-US" w:eastAsia="zh-CN"/>
              </w:rPr>
              <w:t>乐</w:t>
            </w:r>
            <w:r>
              <w:rPr>
                <w:rFonts w:hint="eastAsia" w:cs="仿宋" w:asciiTheme="minorEastAsia" w:hAnsiTheme="minorEastAsia" w:eastAsiaTheme="minorEastAsia"/>
                <w:b w:val="0"/>
                <w:bCs/>
                <w:color w:val="auto"/>
                <w:sz w:val="24"/>
                <w:szCs w:val="24"/>
                <w:highlight w:val="none"/>
              </w:rPr>
              <w:t>采云（电子交易平台）自动提取所有投标文件，投标人须在开标时间截止后</w:t>
            </w:r>
            <w:r>
              <w:rPr>
                <w:rFonts w:hint="eastAsia" w:cs="仿宋" w:asciiTheme="minorEastAsia" w:hAnsiTheme="minorEastAsia" w:eastAsiaTheme="minorEastAsia"/>
                <w:b w:val="0"/>
                <w:bCs/>
                <w:color w:val="auto"/>
                <w:sz w:val="24"/>
                <w:szCs w:val="24"/>
                <w:highlight w:val="none"/>
                <w:lang w:val="en-US" w:eastAsia="zh-CN"/>
              </w:rPr>
              <w:t>30</w:t>
            </w:r>
            <w:r>
              <w:rPr>
                <w:rFonts w:hint="eastAsia" w:cs="仿宋" w:asciiTheme="minorEastAsia" w:hAnsiTheme="minorEastAsia" w:eastAsiaTheme="minorEastAsia"/>
                <w:b w:val="0"/>
                <w:bCs/>
                <w:color w:val="auto"/>
                <w:sz w:val="24"/>
                <w:szCs w:val="24"/>
                <w:highlight w:val="none"/>
              </w:rPr>
              <w:t>分钟内对上传</w:t>
            </w:r>
            <w:r>
              <w:rPr>
                <w:rFonts w:hint="eastAsia" w:cs="仿宋" w:asciiTheme="minorEastAsia" w:hAnsiTheme="minorEastAsia" w:eastAsiaTheme="minorEastAsia"/>
                <w:b w:val="0"/>
                <w:bCs/>
                <w:color w:val="auto"/>
                <w:sz w:val="24"/>
                <w:szCs w:val="24"/>
                <w:highlight w:val="none"/>
                <w:lang w:val="en-US" w:eastAsia="zh-CN"/>
              </w:rPr>
              <w:t>乐</w:t>
            </w:r>
            <w:r>
              <w:rPr>
                <w:rFonts w:hint="eastAsia" w:cs="仿宋" w:asciiTheme="minorEastAsia" w:hAnsiTheme="minorEastAsia" w:eastAsiaTheme="minorEastAsia"/>
                <w:b w:val="0"/>
                <w:bCs/>
                <w:color w:val="auto"/>
                <w:sz w:val="24"/>
                <w:szCs w:val="24"/>
                <w:highlight w:val="none"/>
              </w:rPr>
              <w:t>采云的投标文件进行解密，所有投标人在规定的解密时限内解密完成或解密时限到后，采购代理机构开启投标文件；投标人超过解密时限的，系统默认自动放弃。</w:t>
            </w:r>
          </w:p>
        </w:tc>
      </w:tr>
      <w:tr w14:paraId="2099F629">
        <w:tblPrEx>
          <w:tblCellMar>
            <w:top w:w="0" w:type="dxa"/>
            <w:left w:w="0" w:type="dxa"/>
            <w:bottom w:w="0" w:type="dxa"/>
            <w:right w:w="0" w:type="dxa"/>
          </w:tblCellMar>
        </w:tblPrEx>
        <w:trPr>
          <w:trHeight w:val="699"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F9C1E7">
            <w:pPr>
              <w:snapToGrid w:val="0"/>
              <w:spacing w:line="44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9</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0C5390">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招标截止时间：详见招标公告</w:t>
            </w:r>
          </w:p>
          <w:p w14:paraId="72D6A09A">
            <w:pPr>
              <w:autoSpaceDE w:val="0"/>
              <w:autoSpaceDN w:val="0"/>
              <w:snapToGrid w:val="0"/>
              <w:textAlignment w:val="bottom"/>
              <w:rPr>
                <w:rFonts w:cs="仿宋"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招标响应文件递交地点： 详见招标公告</w:t>
            </w:r>
          </w:p>
        </w:tc>
      </w:tr>
      <w:tr w14:paraId="538A455E">
        <w:tblPrEx>
          <w:tblCellMar>
            <w:top w:w="0" w:type="dxa"/>
            <w:left w:w="0" w:type="dxa"/>
            <w:bottom w:w="0" w:type="dxa"/>
            <w:right w:w="0" w:type="dxa"/>
          </w:tblCellMar>
        </w:tblPrEx>
        <w:trPr>
          <w:trHeight w:val="762"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D4A4E4">
            <w:pPr>
              <w:snapToGrid w:val="0"/>
              <w:spacing w:line="44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10</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5D31A7">
            <w:pPr>
              <w:autoSpaceDE w:val="0"/>
              <w:autoSpaceDN w:val="0"/>
              <w:snapToGrid w:val="0"/>
              <w:textAlignment w:val="bottom"/>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招标时间：详见招标公告</w:t>
            </w:r>
          </w:p>
          <w:p w14:paraId="3DCC1951">
            <w:pPr>
              <w:autoSpaceDE w:val="0"/>
              <w:autoSpaceDN w:val="0"/>
              <w:snapToGrid w:val="0"/>
              <w:textAlignment w:val="bottom"/>
              <w:rPr>
                <w:rFonts w:cs="仿宋"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招标地点：详见招标公告</w:t>
            </w:r>
          </w:p>
        </w:tc>
      </w:tr>
      <w:tr w14:paraId="184CA182">
        <w:tblPrEx>
          <w:tblCellMar>
            <w:top w:w="0" w:type="dxa"/>
            <w:left w:w="0" w:type="dxa"/>
            <w:bottom w:w="0" w:type="dxa"/>
            <w:right w:w="0" w:type="dxa"/>
          </w:tblCellMar>
        </w:tblPrEx>
        <w:trPr>
          <w:trHeight w:val="552"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5F2FCF">
            <w:pPr>
              <w:snapToGrid w:val="0"/>
              <w:spacing w:line="44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8771A9">
            <w:pPr>
              <w:autoSpaceDE w:val="0"/>
              <w:autoSpaceDN w:val="0"/>
              <w:snapToGrid w:val="0"/>
              <w:textAlignment w:val="bottom"/>
              <w:rPr>
                <w:rFonts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评标办法及评分标准：综合评分法，具体标准见第四章内容。</w:t>
            </w:r>
          </w:p>
        </w:tc>
      </w:tr>
      <w:tr w14:paraId="01F1E5BB">
        <w:tblPrEx>
          <w:tblCellMar>
            <w:top w:w="0" w:type="dxa"/>
            <w:left w:w="0" w:type="dxa"/>
            <w:bottom w:w="0" w:type="dxa"/>
            <w:right w:w="0" w:type="dxa"/>
          </w:tblCellMar>
        </w:tblPrEx>
        <w:trPr>
          <w:trHeight w:val="9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E7143B">
            <w:pPr>
              <w:snapToGrid w:val="0"/>
              <w:spacing w:line="44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12</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22B7DC">
            <w:pPr>
              <w:snapToGrid w:val="0"/>
              <w:spacing w:line="44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中标结果公告：自中标人确定之日起2个工作日内，中标结果公告于</w:t>
            </w:r>
            <w:r>
              <w:rPr>
                <w:rFonts w:hint="eastAsia" w:ascii="宋体" w:hAnsi="宋体" w:cs="Arial"/>
                <w:b w:val="0"/>
                <w:bCs w:val="0"/>
                <w:color w:val="auto"/>
                <w:sz w:val="24"/>
                <w:highlight w:val="none"/>
              </w:rPr>
              <w:t>乐采云</w:t>
            </w:r>
            <w:r>
              <w:rPr>
                <w:rFonts w:hint="eastAsia" w:ascii="宋体" w:hAnsi="宋体" w:cs="Arial"/>
                <w:b w:val="0"/>
                <w:bCs w:val="0"/>
                <w:color w:val="auto"/>
                <w:sz w:val="24"/>
                <w:highlight w:val="none"/>
                <w:lang w:val="en-US" w:eastAsia="zh-CN"/>
              </w:rPr>
              <w:t>-政企采购开放平台</w:t>
            </w:r>
            <w:r>
              <w:rPr>
                <w:rFonts w:hint="eastAsia" w:ascii="宋体" w:hAnsi="宋体" w:eastAsia="宋体" w:cs="Arial"/>
                <w:b w:val="0"/>
                <w:bCs w:val="0"/>
                <w:color w:val="auto"/>
                <w:sz w:val="24"/>
                <w:highlight w:val="none"/>
              </w:rPr>
              <w:t>(</w:t>
            </w:r>
            <w:r>
              <w:rPr>
                <w:rFonts w:hint="eastAsia" w:ascii="宋体" w:hAnsi="宋体" w:cs="Arial"/>
                <w:b w:val="0"/>
                <w:bCs w:val="0"/>
                <w:color w:val="auto"/>
                <w:sz w:val="24"/>
                <w:highlight w:val="none"/>
              </w:rPr>
              <w:t>https://www.lecaiyun.com/</w:t>
            </w:r>
            <w:r>
              <w:rPr>
                <w:rFonts w:hint="eastAsia" w:ascii="宋体" w:hAnsi="宋体" w:eastAsia="宋体" w:cs="Arial"/>
                <w:b w:val="0"/>
                <w:bCs w:val="0"/>
                <w:color w:val="auto"/>
                <w:sz w:val="24"/>
                <w:highlight w:val="none"/>
              </w:rPr>
              <w:t>)</w:t>
            </w:r>
            <w:r>
              <w:rPr>
                <w:rFonts w:hint="eastAsia" w:cs="仿宋" w:asciiTheme="minorEastAsia" w:hAnsiTheme="minorEastAsia" w:eastAsiaTheme="minorEastAsia"/>
                <w:color w:val="auto"/>
                <w:sz w:val="24"/>
                <w:highlight w:val="none"/>
              </w:rPr>
              <w:t>、</w:t>
            </w:r>
            <w:r>
              <w:rPr>
                <w:rFonts w:hint="eastAsia" w:ascii="宋体" w:hAnsi="宋体" w:cs="宋体"/>
                <w:color w:val="auto"/>
                <w:sz w:val="24"/>
                <w:highlight w:val="none"/>
              </w:rPr>
              <w:t>金华市公共资源交易网(</w:t>
            </w:r>
            <w:r>
              <w:rPr>
                <w:color w:val="auto"/>
                <w:highlight w:val="none"/>
              </w:rPr>
              <w:fldChar w:fldCharType="begin"/>
            </w:r>
            <w:r>
              <w:rPr>
                <w:color w:val="auto"/>
                <w:highlight w:val="none"/>
              </w:rPr>
              <w:instrText xml:space="preserve"> HYPERLINK "http://ggzyjy.jinhua.gov.cn/" </w:instrText>
            </w:r>
            <w:r>
              <w:rPr>
                <w:color w:val="auto"/>
                <w:highlight w:val="none"/>
              </w:rPr>
              <w:fldChar w:fldCharType="separate"/>
            </w:r>
            <w:r>
              <w:rPr>
                <w:rStyle w:val="24"/>
                <w:rFonts w:asciiTheme="minorEastAsia" w:hAnsiTheme="minorEastAsia" w:eastAsiaTheme="minorEastAsia"/>
                <w:color w:val="auto"/>
                <w:sz w:val="24"/>
                <w:highlight w:val="none"/>
              </w:rPr>
              <w:t>http://ggzyjy.jinhua.gov.cn/</w:t>
            </w:r>
            <w:r>
              <w:rPr>
                <w:rStyle w:val="24"/>
                <w:rFonts w:asciiTheme="minorEastAsia" w:hAnsiTheme="minorEastAsia" w:eastAsiaTheme="minorEastAsia"/>
                <w:color w:val="auto"/>
                <w:sz w:val="24"/>
                <w:highlight w:val="none"/>
              </w:rPr>
              <w:fldChar w:fldCharType="end"/>
            </w:r>
            <w:r>
              <w:rPr>
                <w:rFonts w:hint="eastAsia" w:ascii="宋体" w:hAnsi="宋体" w:cs="宋体"/>
                <w:color w:val="auto"/>
                <w:sz w:val="24"/>
                <w:highlight w:val="none"/>
              </w:rPr>
              <w:t>)</w:t>
            </w:r>
            <w:r>
              <w:rPr>
                <w:rFonts w:hint="eastAsia" w:cs="仿宋" w:asciiTheme="minorEastAsia" w:hAnsiTheme="minorEastAsia" w:eastAsiaTheme="minorEastAsia"/>
                <w:color w:val="auto"/>
                <w:sz w:val="24"/>
                <w:highlight w:val="none"/>
              </w:rPr>
              <w:t>，公告3个工作日。</w:t>
            </w:r>
          </w:p>
        </w:tc>
      </w:tr>
      <w:tr w14:paraId="1CEB5EF4">
        <w:tblPrEx>
          <w:tblCellMar>
            <w:top w:w="0" w:type="dxa"/>
            <w:left w:w="0" w:type="dxa"/>
            <w:bottom w:w="0" w:type="dxa"/>
            <w:right w:w="0" w:type="dxa"/>
          </w:tblCellMar>
        </w:tblPrEx>
        <w:trPr>
          <w:trHeight w:val="536"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FB9727">
            <w:pPr>
              <w:snapToGrid w:val="0"/>
              <w:spacing w:line="44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13</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37E972">
            <w:pPr>
              <w:autoSpaceDE w:val="0"/>
              <w:autoSpaceDN w:val="0"/>
              <w:snapToGrid w:val="0"/>
              <w:spacing w:line="44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中标通知书：确定中标人后，中标人应在三个工作日内，向招标人领取《中标通知书》，否则按放弃中标资格处理。</w:t>
            </w:r>
          </w:p>
        </w:tc>
      </w:tr>
      <w:tr w14:paraId="7E1B8E24">
        <w:tblPrEx>
          <w:tblCellMar>
            <w:top w:w="0" w:type="dxa"/>
            <w:left w:w="0" w:type="dxa"/>
            <w:bottom w:w="0" w:type="dxa"/>
            <w:right w:w="0" w:type="dxa"/>
          </w:tblCellMar>
        </w:tblPrEx>
        <w:trPr>
          <w:trHeight w:val="582"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EC475B">
            <w:pPr>
              <w:snapToGrid w:val="0"/>
              <w:spacing w:line="44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14</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44F2B5">
            <w:pPr>
              <w:autoSpaceDE w:val="0"/>
              <w:autoSpaceDN w:val="0"/>
              <w:snapToGrid w:val="0"/>
              <w:spacing w:line="44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签订合同时间：中标通知书发出后</w:t>
            </w:r>
            <w:r>
              <w:rPr>
                <w:rFonts w:hint="eastAsia" w:cs="仿宋" w:asciiTheme="minorEastAsia" w:hAnsiTheme="minorEastAsia" w:eastAsiaTheme="minorEastAsia"/>
                <w:color w:val="auto"/>
                <w:sz w:val="24"/>
                <w:highlight w:val="none"/>
                <w:u w:val="single"/>
              </w:rPr>
              <w:t xml:space="preserve"> 30 </w:t>
            </w:r>
            <w:r>
              <w:rPr>
                <w:rFonts w:hint="eastAsia" w:cs="仿宋" w:asciiTheme="minorEastAsia" w:hAnsiTheme="minorEastAsia" w:eastAsiaTheme="minorEastAsia"/>
                <w:color w:val="auto"/>
                <w:sz w:val="24"/>
                <w:highlight w:val="none"/>
              </w:rPr>
              <w:t>日内。</w:t>
            </w:r>
          </w:p>
        </w:tc>
      </w:tr>
      <w:tr w14:paraId="2AB926B4">
        <w:tblPrEx>
          <w:tblCellMar>
            <w:top w:w="0" w:type="dxa"/>
            <w:left w:w="0" w:type="dxa"/>
            <w:bottom w:w="0" w:type="dxa"/>
            <w:right w:w="0" w:type="dxa"/>
          </w:tblCellMar>
        </w:tblPrEx>
        <w:trPr>
          <w:trHeight w:val="516"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79FCBE">
            <w:pPr>
              <w:snapToGrid w:val="0"/>
              <w:spacing w:line="44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15</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8CA1E0">
            <w:pPr>
              <w:snapToGrid w:val="0"/>
              <w:spacing w:line="44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投标文件有效期：</w:t>
            </w:r>
            <w:r>
              <w:rPr>
                <w:rFonts w:hint="eastAsia" w:cs="仿宋" w:asciiTheme="minorEastAsia" w:hAnsiTheme="minorEastAsia" w:eastAsiaTheme="minorEastAsia"/>
                <w:color w:val="auto"/>
                <w:sz w:val="24"/>
                <w:highlight w:val="none"/>
                <w:u w:val="single"/>
              </w:rPr>
              <w:t>90天</w:t>
            </w:r>
          </w:p>
        </w:tc>
      </w:tr>
      <w:tr w14:paraId="06126D93">
        <w:tblPrEx>
          <w:tblCellMar>
            <w:top w:w="0" w:type="dxa"/>
            <w:left w:w="0" w:type="dxa"/>
            <w:bottom w:w="0" w:type="dxa"/>
            <w:right w:w="0" w:type="dxa"/>
          </w:tblCellMar>
        </w:tblPrEx>
        <w:trPr>
          <w:trHeight w:val="508"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9848B8">
            <w:pPr>
              <w:snapToGrid w:val="0"/>
              <w:spacing w:line="440" w:lineRule="exact"/>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16</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B8A163">
            <w:pPr>
              <w:snapToGrid w:val="0"/>
              <w:spacing w:line="440" w:lineRule="exac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解释：本招标文件的解释权属于招标采购单位。</w:t>
            </w:r>
          </w:p>
        </w:tc>
      </w:tr>
      <w:tr w14:paraId="784BDB2F">
        <w:tblPrEx>
          <w:tblCellMar>
            <w:top w:w="0" w:type="dxa"/>
            <w:left w:w="0" w:type="dxa"/>
            <w:bottom w:w="0" w:type="dxa"/>
            <w:right w:w="0" w:type="dxa"/>
          </w:tblCellMar>
        </w:tblPrEx>
        <w:trPr>
          <w:trHeight w:val="943"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B7F67E">
            <w:pPr>
              <w:snapToGrid w:val="0"/>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17</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7CDA44">
            <w:pPr>
              <w:snapToGrid w:val="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投标费用：</w:t>
            </w:r>
          </w:p>
          <w:p w14:paraId="5AA52C50">
            <w:pPr>
              <w:snapToGrid w:val="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1.不论投标结果如何，投标人均应自行承担所有与投标有关的全部费用（招标文件有相关规定除外）。</w:t>
            </w:r>
          </w:p>
          <w:p w14:paraId="4373B8A7">
            <w:pPr>
              <w:snapToGrid w:val="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本次采购，中标单位在领取中标通知书前应向金华正达工程造价咨询有限公司东阳分公司支付中标服务费，以中标金额为基准，按差额定率累进法计算后的金额进行下浮（详见本条下列表格收费标准），在中标结果公示结束之日起3天内（在领取中标通知书前）交纳，可用现金、汇票、电汇付款方式。</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2746"/>
              <w:gridCol w:w="2679"/>
            </w:tblGrid>
            <w:tr w14:paraId="12E7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12" w:type="dxa"/>
                  <w:tcBorders>
                    <w:top w:val="single" w:color="auto" w:sz="4" w:space="0"/>
                    <w:left w:val="single" w:color="auto" w:sz="4" w:space="0"/>
                    <w:bottom w:val="single" w:color="auto" w:sz="4" w:space="0"/>
                    <w:right w:val="single" w:color="auto" w:sz="4" w:space="0"/>
                  </w:tcBorders>
                  <w:vAlign w:val="center"/>
                </w:tcPr>
                <w:p w14:paraId="207BCFA4">
                  <w:pPr>
                    <w:tabs>
                      <w:tab w:val="left" w:pos="762"/>
                      <w:tab w:val="center" w:pos="2007"/>
                    </w:tabs>
                    <w:spacing w:line="400" w:lineRule="exact"/>
                    <w:jc w:val="center"/>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收费标准（万元）</w:t>
                  </w:r>
                </w:p>
              </w:tc>
              <w:tc>
                <w:tcPr>
                  <w:tcW w:w="5425" w:type="dxa"/>
                  <w:gridSpan w:val="2"/>
                  <w:tcBorders>
                    <w:top w:val="single" w:color="auto" w:sz="4" w:space="0"/>
                    <w:left w:val="single" w:color="auto" w:sz="4" w:space="0"/>
                    <w:bottom w:val="single" w:color="auto" w:sz="4" w:space="0"/>
                    <w:right w:val="single" w:color="auto" w:sz="4" w:space="0"/>
                  </w:tcBorders>
                  <w:vAlign w:val="center"/>
                </w:tcPr>
                <w:p w14:paraId="6EDAAF9B">
                  <w:pPr>
                    <w:tabs>
                      <w:tab w:val="left" w:pos="762"/>
                      <w:tab w:val="center" w:pos="2007"/>
                    </w:tabs>
                    <w:spacing w:line="400" w:lineRule="exact"/>
                    <w:jc w:val="center"/>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服务招标</w:t>
                  </w:r>
                </w:p>
              </w:tc>
            </w:tr>
            <w:tr w14:paraId="152C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2" w:type="dxa"/>
                  <w:tcBorders>
                    <w:top w:val="single" w:color="auto" w:sz="4" w:space="0"/>
                    <w:left w:val="single" w:color="auto" w:sz="4" w:space="0"/>
                    <w:bottom w:val="single" w:color="auto" w:sz="4" w:space="0"/>
                    <w:right w:val="single" w:color="auto" w:sz="4" w:space="0"/>
                  </w:tcBorders>
                </w:tcPr>
                <w:p w14:paraId="37735F88">
                  <w:pPr>
                    <w:spacing w:line="400" w:lineRule="exact"/>
                    <w:jc w:val="center"/>
                    <w:rPr>
                      <w:rFonts w:hint="eastAsia" w:cs="仿宋" w:asciiTheme="minorEastAsia" w:hAnsiTheme="minorEastAsia" w:eastAsiaTheme="minorEastAsia"/>
                      <w:bCs/>
                      <w:color w:val="auto"/>
                      <w:sz w:val="24"/>
                      <w:highlight w:val="none"/>
                      <w:lang w:eastAsia="zh-CN"/>
                    </w:rPr>
                  </w:pPr>
                  <w:r>
                    <w:rPr>
                      <w:rFonts w:hint="eastAsia" w:cs="仿宋" w:asciiTheme="minorEastAsia" w:hAnsiTheme="minorEastAsia" w:eastAsiaTheme="minorEastAsia"/>
                      <w:bCs/>
                      <w:color w:val="auto"/>
                      <w:sz w:val="24"/>
                      <w:highlight w:val="none"/>
                    </w:rPr>
                    <w:t>100</w:t>
                  </w:r>
                  <w:r>
                    <w:rPr>
                      <w:rFonts w:hint="eastAsia" w:cs="仿宋" w:asciiTheme="minorEastAsia" w:hAnsiTheme="minorEastAsia" w:eastAsiaTheme="minorEastAsia"/>
                      <w:bCs/>
                      <w:color w:val="auto"/>
                      <w:sz w:val="24"/>
                      <w:highlight w:val="none"/>
                      <w:lang w:eastAsia="zh-CN"/>
                    </w:rPr>
                    <w:t>（</w:t>
                  </w:r>
                  <w:r>
                    <w:rPr>
                      <w:rFonts w:hint="eastAsia" w:cs="仿宋" w:asciiTheme="minorEastAsia" w:hAnsiTheme="minorEastAsia" w:eastAsiaTheme="minorEastAsia"/>
                      <w:bCs/>
                      <w:color w:val="auto"/>
                      <w:sz w:val="24"/>
                      <w:highlight w:val="none"/>
                      <w:lang w:val="en-US" w:eastAsia="zh-CN"/>
                    </w:rPr>
                    <w:t>不含</w:t>
                  </w:r>
                  <w:r>
                    <w:rPr>
                      <w:rFonts w:hint="eastAsia" w:cs="仿宋" w:asciiTheme="minorEastAsia" w:hAnsiTheme="minorEastAsia" w:eastAsiaTheme="minorEastAsia"/>
                      <w:bCs/>
                      <w:color w:val="auto"/>
                      <w:sz w:val="24"/>
                      <w:highlight w:val="none"/>
                      <w:lang w:eastAsia="zh-CN"/>
                    </w:rPr>
                    <w:t>）</w:t>
                  </w:r>
                </w:p>
              </w:tc>
              <w:tc>
                <w:tcPr>
                  <w:tcW w:w="2746" w:type="dxa"/>
                  <w:tcBorders>
                    <w:top w:val="single" w:color="auto" w:sz="4" w:space="0"/>
                    <w:left w:val="single" w:color="auto" w:sz="4" w:space="0"/>
                    <w:bottom w:val="single" w:color="auto" w:sz="4" w:space="0"/>
                    <w:right w:val="single" w:color="auto" w:sz="4" w:space="0"/>
                  </w:tcBorders>
                </w:tcPr>
                <w:p w14:paraId="6E292194">
                  <w:pPr>
                    <w:spacing w:line="400" w:lineRule="exact"/>
                    <w:jc w:val="center"/>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1.5%</w:t>
                  </w:r>
                </w:p>
              </w:tc>
              <w:tc>
                <w:tcPr>
                  <w:tcW w:w="2679" w:type="dxa"/>
                  <w:tcBorders>
                    <w:top w:val="single" w:color="auto" w:sz="4" w:space="0"/>
                    <w:left w:val="single" w:color="auto" w:sz="4" w:space="0"/>
                    <w:bottom w:val="single" w:color="auto" w:sz="4" w:space="0"/>
                    <w:right w:val="single" w:color="auto" w:sz="4" w:space="0"/>
                  </w:tcBorders>
                </w:tcPr>
                <w:p w14:paraId="327ABDB1">
                  <w:pPr>
                    <w:spacing w:line="400" w:lineRule="exact"/>
                    <w:jc w:val="center"/>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下浮10%</w:t>
                  </w:r>
                </w:p>
              </w:tc>
            </w:tr>
            <w:tr w14:paraId="4A7C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2" w:type="dxa"/>
                  <w:tcBorders>
                    <w:top w:val="single" w:color="auto" w:sz="4" w:space="0"/>
                    <w:left w:val="single" w:color="auto" w:sz="4" w:space="0"/>
                    <w:bottom w:val="single" w:color="auto" w:sz="4" w:space="0"/>
                    <w:right w:val="single" w:color="auto" w:sz="4" w:space="0"/>
                  </w:tcBorders>
                </w:tcPr>
                <w:p w14:paraId="3199C479">
                  <w:pPr>
                    <w:spacing w:line="400" w:lineRule="exact"/>
                    <w:jc w:val="center"/>
                    <w:rPr>
                      <w:rFonts w:hint="eastAsia" w:cs="仿宋" w:asciiTheme="minorEastAsia" w:hAnsiTheme="minorEastAsia" w:eastAsiaTheme="minorEastAsia"/>
                      <w:bCs/>
                      <w:color w:val="auto"/>
                      <w:sz w:val="24"/>
                      <w:highlight w:val="none"/>
                      <w:lang w:eastAsia="zh-CN"/>
                    </w:rPr>
                  </w:pPr>
                  <w:r>
                    <w:rPr>
                      <w:rFonts w:hint="eastAsia" w:cs="仿宋" w:asciiTheme="minorEastAsia" w:hAnsiTheme="minorEastAsia" w:eastAsiaTheme="minorEastAsia"/>
                      <w:bCs/>
                      <w:color w:val="auto"/>
                      <w:sz w:val="24"/>
                      <w:highlight w:val="none"/>
                    </w:rPr>
                    <w:t>100-500</w:t>
                  </w:r>
                  <w:r>
                    <w:rPr>
                      <w:rFonts w:hint="eastAsia" w:cs="仿宋" w:asciiTheme="minorEastAsia" w:hAnsiTheme="minorEastAsia" w:eastAsiaTheme="minorEastAsia"/>
                      <w:bCs/>
                      <w:color w:val="auto"/>
                      <w:sz w:val="24"/>
                      <w:highlight w:val="none"/>
                      <w:lang w:eastAsia="zh-CN"/>
                    </w:rPr>
                    <w:t>（</w:t>
                  </w:r>
                  <w:r>
                    <w:rPr>
                      <w:rFonts w:hint="eastAsia" w:cs="仿宋" w:asciiTheme="minorEastAsia" w:hAnsiTheme="minorEastAsia" w:eastAsiaTheme="minorEastAsia"/>
                      <w:bCs/>
                      <w:color w:val="auto"/>
                      <w:sz w:val="24"/>
                      <w:highlight w:val="none"/>
                      <w:lang w:val="en-US" w:eastAsia="zh-CN"/>
                    </w:rPr>
                    <w:t>不含</w:t>
                  </w:r>
                  <w:r>
                    <w:rPr>
                      <w:rFonts w:hint="eastAsia" w:cs="仿宋" w:asciiTheme="minorEastAsia" w:hAnsiTheme="minorEastAsia" w:eastAsiaTheme="minorEastAsia"/>
                      <w:bCs/>
                      <w:color w:val="auto"/>
                      <w:sz w:val="24"/>
                      <w:highlight w:val="none"/>
                      <w:lang w:eastAsia="zh-CN"/>
                    </w:rPr>
                    <w:t>）</w:t>
                  </w:r>
                </w:p>
              </w:tc>
              <w:tc>
                <w:tcPr>
                  <w:tcW w:w="2746" w:type="dxa"/>
                  <w:tcBorders>
                    <w:top w:val="single" w:color="auto" w:sz="4" w:space="0"/>
                    <w:left w:val="single" w:color="auto" w:sz="4" w:space="0"/>
                    <w:bottom w:val="single" w:color="auto" w:sz="4" w:space="0"/>
                    <w:right w:val="single" w:color="auto" w:sz="4" w:space="0"/>
                  </w:tcBorders>
                </w:tcPr>
                <w:p w14:paraId="541CB884">
                  <w:pPr>
                    <w:spacing w:line="400" w:lineRule="exact"/>
                    <w:jc w:val="center"/>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0.8%</w:t>
                  </w:r>
                </w:p>
              </w:tc>
              <w:tc>
                <w:tcPr>
                  <w:tcW w:w="2679" w:type="dxa"/>
                  <w:tcBorders>
                    <w:top w:val="single" w:color="auto" w:sz="4" w:space="0"/>
                    <w:left w:val="single" w:color="auto" w:sz="4" w:space="0"/>
                    <w:bottom w:val="single" w:color="auto" w:sz="4" w:space="0"/>
                    <w:right w:val="single" w:color="auto" w:sz="4" w:space="0"/>
                  </w:tcBorders>
                </w:tcPr>
                <w:p w14:paraId="5E11FC81">
                  <w:pPr>
                    <w:spacing w:line="400" w:lineRule="exact"/>
                    <w:jc w:val="center"/>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下浮30%</w:t>
                  </w:r>
                </w:p>
              </w:tc>
            </w:tr>
            <w:tr w14:paraId="0943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12" w:type="dxa"/>
                  <w:tcBorders>
                    <w:top w:val="single" w:color="auto" w:sz="4" w:space="0"/>
                    <w:left w:val="single" w:color="auto" w:sz="4" w:space="0"/>
                    <w:bottom w:val="single" w:color="auto" w:sz="4" w:space="0"/>
                    <w:right w:val="single" w:color="auto" w:sz="4" w:space="0"/>
                  </w:tcBorders>
                </w:tcPr>
                <w:p w14:paraId="20800E24">
                  <w:pPr>
                    <w:spacing w:line="400" w:lineRule="exact"/>
                    <w:jc w:val="center"/>
                    <w:rPr>
                      <w:rFonts w:hint="default" w:cs="仿宋" w:asciiTheme="minorEastAsia" w:hAnsiTheme="minorEastAsia" w:eastAsiaTheme="minorEastAsia"/>
                      <w:bCs/>
                      <w:color w:val="auto"/>
                      <w:sz w:val="24"/>
                      <w:highlight w:val="none"/>
                      <w:lang w:val="en-US" w:eastAsia="zh-CN"/>
                    </w:rPr>
                  </w:pPr>
                  <w:r>
                    <w:rPr>
                      <w:rFonts w:hint="eastAsia" w:cs="仿宋" w:asciiTheme="minorEastAsia" w:hAnsiTheme="minorEastAsia" w:eastAsiaTheme="minorEastAsia"/>
                      <w:bCs/>
                      <w:color w:val="auto"/>
                      <w:sz w:val="24"/>
                      <w:highlight w:val="none"/>
                      <w:lang w:val="en-US" w:eastAsia="zh-CN"/>
                    </w:rPr>
                    <w:t>500-1000（不含）</w:t>
                  </w:r>
                </w:p>
              </w:tc>
              <w:tc>
                <w:tcPr>
                  <w:tcW w:w="2746" w:type="dxa"/>
                  <w:tcBorders>
                    <w:top w:val="single" w:color="auto" w:sz="4" w:space="0"/>
                    <w:left w:val="single" w:color="auto" w:sz="4" w:space="0"/>
                    <w:bottom w:val="single" w:color="auto" w:sz="4" w:space="0"/>
                    <w:right w:val="single" w:color="auto" w:sz="4" w:space="0"/>
                  </w:tcBorders>
                </w:tcPr>
                <w:p w14:paraId="5C66314D">
                  <w:pPr>
                    <w:spacing w:line="400" w:lineRule="exact"/>
                    <w:jc w:val="center"/>
                    <w:rPr>
                      <w:rFonts w:hint="default" w:cs="仿宋" w:asciiTheme="minorEastAsia" w:hAnsiTheme="minorEastAsia" w:eastAsiaTheme="minorEastAsia"/>
                      <w:bCs/>
                      <w:color w:val="auto"/>
                      <w:sz w:val="24"/>
                      <w:highlight w:val="none"/>
                      <w:lang w:val="en-US" w:eastAsia="zh-CN"/>
                    </w:rPr>
                  </w:pPr>
                  <w:r>
                    <w:rPr>
                      <w:rFonts w:hint="eastAsia" w:cs="仿宋" w:asciiTheme="minorEastAsia" w:hAnsiTheme="minorEastAsia" w:eastAsiaTheme="minorEastAsia"/>
                      <w:bCs/>
                      <w:color w:val="auto"/>
                      <w:sz w:val="24"/>
                      <w:highlight w:val="none"/>
                      <w:lang w:val="en-US" w:eastAsia="zh-CN"/>
                    </w:rPr>
                    <w:t>0.45%</w:t>
                  </w:r>
                </w:p>
              </w:tc>
              <w:tc>
                <w:tcPr>
                  <w:tcW w:w="2679" w:type="dxa"/>
                  <w:tcBorders>
                    <w:top w:val="single" w:color="auto" w:sz="4" w:space="0"/>
                    <w:left w:val="single" w:color="auto" w:sz="4" w:space="0"/>
                    <w:bottom w:val="single" w:color="auto" w:sz="4" w:space="0"/>
                    <w:right w:val="single" w:color="auto" w:sz="4" w:space="0"/>
                  </w:tcBorders>
                </w:tcPr>
                <w:p w14:paraId="3E9A1E2B">
                  <w:pPr>
                    <w:spacing w:line="400" w:lineRule="exact"/>
                    <w:jc w:val="center"/>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下浮</w:t>
                  </w:r>
                  <w:r>
                    <w:rPr>
                      <w:rFonts w:hint="eastAsia" w:cs="仿宋" w:asciiTheme="minorEastAsia" w:hAnsiTheme="minorEastAsia" w:eastAsiaTheme="minorEastAsia"/>
                      <w:bCs/>
                      <w:color w:val="auto"/>
                      <w:sz w:val="24"/>
                      <w:highlight w:val="none"/>
                      <w:lang w:val="en-US" w:eastAsia="zh-CN"/>
                    </w:rPr>
                    <w:t>4</w:t>
                  </w:r>
                  <w:r>
                    <w:rPr>
                      <w:rFonts w:hint="eastAsia" w:cs="仿宋" w:asciiTheme="minorEastAsia" w:hAnsiTheme="minorEastAsia" w:eastAsiaTheme="minorEastAsia"/>
                      <w:bCs/>
                      <w:color w:val="auto"/>
                      <w:sz w:val="24"/>
                      <w:highlight w:val="none"/>
                    </w:rPr>
                    <w:t>0%</w:t>
                  </w:r>
                </w:p>
              </w:tc>
            </w:tr>
          </w:tbl>
          <w:p w14:paraId="58A41DCC">
            <w:pPr>
              <w:snapToGrid w:val="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中标服务费汇款账户名称：金华正达工程造价咨询有限公司东阳分公司</w:t>
            </w:r>
          </w:p>
          <w:p w14:paraId="1EBC2C92">
            <w:pPr>
              <w:snapToGrid w:val="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银行账号：201000270851026</w:t>
            </w:r>
          </w:p>
          <w:p w14:paraId="5EE1F82D">
            <w:pPr>
              <w:snapToGrid w:val="0"/>
              <w:rPr>
                <w:rFonts w:asciiTheme="minorEastAsia" w:hAnsiTheme="minorEastAsia" w:eastAsiaTheme="minorEastAsia"/>
                <w:color w:val="auto"/>
                <w:highlight w:val="none"/>
              </w:rPr>
            </w:pPr>
            <w:r>
              <w:rPr>
                <w:rFonts w:hint="eastAsia" w:cs="仿宋" w:asciiTheme="minorEastAsia" w:hAnsiTheme="minorEastAsia" w:eastAsiaTheme="minorEastAsia"/>
                <w:color w:val="auto"/>
                <w:sz w:val="24"/>
                <w:szCs w:val="24"/>
                <w:highlight w:val="none"/>
              </w:rPr>
              <w:t>开户银行：浙江农村商业银行股份有限公司东阳吴宁支行</w:t>
            </w:r>
          </w:p>
        </w:tc>
      </w:tr>
    </w:tbl>
    <w:p w14:paraId="070C6D68">
      <w:pPr>
        <w:pStyle w:val="15"/>
        <w:snapToGrid w:val="0"/>
        <w:spacing w:before="120" w:after="120" w:line="440" w:lineRule="exact"/>
        <w:rPr>
          <w:rFonts w:cs="仿宋" w:asciiTheme="minorEastAsia" w:hAnsiTheme="minorEastAsia" w:eastAsiaTheme="minorEastAsia"/>
          <w:b/>
          <w:color w:val="auto"/>
          <w:sz w:val="28"/>
          <w:highlight w:val="none"/>
        </w:rPr>
      </w:pPr>
      <w:r>
        <w:rPr>
          <w:rFonts w:hint="eastAsia" w:cs="仿宋" w:asciiTheme="minorEastAsia" w:hAnsiTheme="minorEastAsia" w:eastAsiaTheme="minorEastAsia"/>
          <w:b/>
          <w:color w:val="auto"/>
          <w:highlight w:val="none"/>
        </w:rPr>
        <w:t>注：如本招标文件后面的条款与本表有矛盾的以本表的内容为准。</w:t>
      </w:r>
    </w:p>
    <w:p w14:paraId="097E96ED">
      <w:pPr>
        <w:autoSpaceDE w:val="0"/>
        <w:autoSpaceDN w:val="0"/>
        <w:adjustRightInd w:val="0"/>
        <w:spacing w:line="360" w:lineRule="auto"/>
        <w:rPr>
          <w:rFonts w:asciiTheme="minorEastAsia" w:hAnsiTheme="minorEastAsia" w:eastAsiaTheme="minorEastAsia"/>
          <w:b/>
          <w:color w:val="auto"/>
          <w:sz w:val="24"/>
          <w:highlight w:val="none"/>
          <w:lang w:val="zh-CN"/>
        </w:rPr>
      </w:pPr>
    </w:p>
    <w:p w14:paraId="2A731D2D">
      <w:pPr>
        <w:autoSpaceDE w:val="0"/>
        <w:autoSpaceDN w:val="0"/>
        <w:adjustRightInd w:val="0"/>
        <w:spacing w:line="360" w:lineRule="auto"/>
        <w:rPr>
          <w:rFonts w:asciiTheme="minorEastAsia" w:hAnsiTheme="minorEastAsia" w:eastAsiaTheme="minorEastAsia"/>
          <w:b/>
          <w:color w:val="auto"/>
          <w:sz w:val="24"/>
          <w:highlight w:val="none"/>
          <w:lang w:val="zh-CN"/>
        </w:rPr>
      </w:pPr>
      <w:r>
        <w:rPr>
          <w:rFonts w:hint="eastAsia" w:asciiTheme="minorEastAsia" w:hAnsiTheme="minorEastAsia" w:eastAsiaTheme="minorEastAsia"/>
          <w:b/>
          <w:color w:val="auto"/>
          <w:sz w:val="24"/>
          <w:highlight w:val="none"/>
          <w:lang w:val="zh-CN"/>
        </w:rPr>
        <w:t>一、说明</w:t>
      </w:r>
    </w:p>
    <w:p w14:paraId="49C96846">
      <w:pPr>
        <w:spacing w:line="360" w:lineRule="auto"/>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（一）总则</w:t>
      </w:r>
    </w:p>
    <w:p w14:paraId="29EB7853">
      <w:pPr>
        <w:autoSpaceDE w:val="0"/>
        <w:autoSpaceDN w:val="0"/>
        <w:adjustRightIn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1.本次招标工作是参照《东阳市国有企业采购管理办法（2020年修订）》等相关规定组织和实施。</w:t>
      </w:r>
    </w:p>
    <w:p w14:paraId="3F0F4490">
      <w:pPr>
        <w:autoSpaceDE w:val="0"/>
        <w:autoSpaceDN w:val="0"/>
        <w:adjustRightIn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2.无论招标过程中的做法和结果如何，投标人自行承担招标活动中所发生的全部费用。</w:t>
      </w:r>
    </w:p>
    <w:p w14:paraId="03819554">
      <w:pPr>
        <w:spacing w:line="360" w:lineRule="auto"/>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（二）合格承销商</w:t>
      </w:r>
    </w:p>
    <w:p w14:paraId="22C5F127">
      <w:pPr>
        <w:autoSpaceDE w:val="0"/>
        <w:autoSpaceDN w:val="0"/>
        <w:adjustRightIn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1.符合东阳市国有企业采购管理办法（2020年修订）第（三）条规定的投标人资格条件。</w:t>
      </w:r>
    </w:p>
    <w:p w14:paraId="57398C5A">
      <w:pPr>
        <w:autoSpaceDE w:val="0"/>
        <w:autoSpaceDN w:val="0"/>
        <w:adjustRightIn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2.▲投标人的特定条件：详见招标公告。</w:t>
      </w:r>
    </w:p>
    <w:p w14:paraId="455DA260">
      <w:pPr>
        <w:spacing w:line="360" w:lineRule="auto"/>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（三）定义</w:t>
      </w:r>
    </w:p>
    <w:p w14:paraId="1D22D22D">
      <w:pPr>
        <w:autoSpaceDE w:val="0"/>
        <w:autoSpaceDN w:val="0"/>
        <w:adjustRightIn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1.“采购单位”系指东阳市国有资产投资有限公司。</w:t>
      </w:r>
    </w:p>
    <w:p w14:paraId="2BEB79A4">
      <w:pPr>
        <w:autoSpaceDE w:val="0"/>
        <w:autoSpaceDN w:val="0"/>
        <w:adjustRightIn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2.“招标代理机构”系指受采购单位委托组织招标的金华正达工程造价咨询有限公司。</w:t>
      </w:r>
    </w:p>
    <w:p w14:paraId="6CB70B1D">
      <w:pPr>
        <w:autoSpaceDE w:val="0"/>
        <w:autoSpaceDN w:val="0"/>
        <w:adjustRightIn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3.“供应商”是指向采购单位提供招标响应文件所叙述的合格竞标单位，同 “投标人”。</w:t>
      </w:r>
    </w:p>
    <w:p w14:paraId="4DBD4C9D">
      <w:pPr>
        <w:autoSpaceDE w:val="0"/>
        <w:autoSpaceDN w:val="0"/>
        <w:adjustRightInd w:val="0"/>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4.“▲”系指实质性要求条款，投标人必须做出实质性响应。</w:t>
      </w:r>
    </w:p>
    <w:p w14:paraId="326BD47A">
      <w:pPr>
        <w:autoSpaceDE w:val="0"/>
        <w:autoSpaceDN w:val="0"/>
        <w:adjustRightInd w:val="0"/>
        <w:spacing w:line="360" w:lineRule="auto"/>
        <w:rPr>
          <w:rFonts w:cs="仿宋" w:asciiTheme="minorEastAsia" w:hAnsiTheme="minorEastAsia" w:eastAsiaTheme="minorEastAsia"/>
          <w:b/>
          <w:color w:val="auto"/>
          <w:sz w:val="24"/>
          <w:highlight w:val="none"/>
          <w:lang w:val="zh-CN"/>
        </w:rPr>
      </w:pPr>
      <w:r>
        <w:rPr>
          <w:rFonts w:hint="eastAsia" w:cs="仿宋" w:asciiTheme="minorEastAsia" w:hAnsiTheme="minorEastAsia" w:eastAsiaTheme="minorEastAsia"/>
          <w:b/>
          <w:color w:val="auto"/>
          <w:sz w:val="24"/>
          <w:highlight w:val="none"/>
          <w:lang w:val="zh-CN"/>
        </w:rPr>
        <w:t>二、响应文件</w:t>
      </w:r>
    </w:p>
    <w:p w14:paraId="3F260111">
      <w:pPr>
        <w:spacing w:line="360" w:lineRule="auto"/>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（一） 响应文件的要求</w:t>
      </w:r>
    </w:p>
    <w:p w14:paraId="6069BBC1">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1.主承销商应当按照招标文件的要求编制响应文件，并对其提交的响应文件的真实性、合法性承担法律责任。</w:t>
      </w:r>
    </w:p>
    <w:p w14:paraId="09B589B9">
      <w:pPr>
        <w:spacing w:line="360" w:lineRule="auto"/>
        <w:ind w:firstLine="480" w:firstLineChars="20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2</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bCs/>
          <w:color w:val="auto"/>
          <w:sz w:val="24"/>
          <w:highlight w:val="none"/>
        </w:rPr>
        <w:t>响应文件的语言及度量衡单位</w:t>
      </w:r>
    </w:p>
    <w:p w14:paraId="644ECA39">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 主承销商提交的响应文件以及主承销商与采购人就有关招标的所有来往通知、函件和文件均应使用简体中文。</w:t>
      </w:r>
    </w:p>
    <w:p w14:paraId="5FA7FD9E">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（2）除技术性能另有规定外，响应文件所使用的度量衡单位，均须采用国家法定计量单位。</w:t>
      </w:r>
    </w:p>
    <w:p w14:paraId="13ED0D68">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3.不按招标文件的要求提供的招标响应文件将被拒绝。</w:t>
      </w:r>
    </w:p>
    <w:p w14:paraId="62B399C6">
      <w:pPr>
        <w:spacing w:line="360" w:lineRule="auto"/>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（二）响应文件的构成</w:t>
      </w:r>
    </w:p>
    <w:p w14:paraId="523E247A">
      <w:pPr>
        <w:spacing w:line="360" w:lineRule="auto"/>
        <w:ind w:firstLine="600" w:firstLineChars="25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zh-CN"/>
        </w:rPr>
        <w:t>招标</w:t>
      </w:r>
      <w:r>
        <w:rPr>
          <w:rFonts w:hint="eastAsia" w:cs="仿宋" w:asciiTheme="minorEastAsia" w:hAnsiTheme="minorEastAsia" w:eastAsiaTheme="minorEastAsia"/>
          <w:color w:val="auto"/>
          <w:sz w:val="24"/>
          <w:highlight w:val="none"/>
        </w:rPr>
        <w:t>文件组成</w:t>
      </w:r>
    </w:p>
    <w:p w14:paraId="052876F7">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zh-CN"/>
        </w:rPr>
        <w:t>招标</w:t>
      </w:r>
      <w:r>
        <w:rPr>
          <w:rFonts w:hint="eastAsia" w:cs="仿宋" w:asciiTheme="minorEastAsia" w:hAnsiTheme="minorEastAsia" w:eastAsiaTheme="minorEastAsia"/>
          <w:color w:val="auto"/>
          <w:sz w:val="24"/>
          <w:highlight w:val="none"/>
        </w:rPr>
        <w:t>文件由</w:t>
      </w:r>
      <w:r>
        <w:rPr>
          <w:rFonts w:hint="eastAsia" w:cs="仿宋" w:asciiTheme="minorEastAsia" w:hAnsiTheme="minorEastAsia" w:eastAsiaTheme="minorEastAsia"/>
          <w:color w:val="auto"/>
          <w:sz w:val="24"/>
          <w:highlight w:val="none"/>
          <w:lang w:val="zh-CN"/>
        </w:rPr>
        <w:t>总目录所列内容组成。</w:t>
      </w:r>
    </w:p>
    <w:p w14:paraId="16279EAC">
      <w:pPr>
        <w:spacing w:line="360" w:lineRule="auto"/>
        <w:ind w:firstLine="600" w:firstLineChars="25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2.招标文件的澄清</w:t>
      </w:r>
    </w:p>
    <w:p w14:paraId="3DB78AF4">
      <w:pPr>
        <w:autoSpaceDE w:val="0"/>
        <w:autoSpaceDN w:val="0"/>
        <w:adjustRightInd w:val="0"/>
        <w:spacing w:line="360" w:lineRule="auto"/>
        <w:ind w:firstLine="480" w:firstLineChars="200"/>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供应商如发现招标文件中内容存在含糊不清、相互矛盾、多种含义以及歧视性不公正条款或违法、违规等有疑点要求澄清的，</w:t>
      </w:r>
      <w:r>
        <w:rPr>
          <w:rFonts w:hint="eastAsia" w:cs="仿宋" w:asciiTheme="minorEastAsia" w:hAnsiTheme="minorEastAsia" w:eastAsiaTheme="minorEastAsia"/>
          <w:bCs/>
          <w:color w:val="auto"/>
          <w:sz w:val="24"/>
          <w:highlight w:val="none"/>
          <w:lang w:val="zh-CN"/>
        </w:rPr>
        <w:t>请在</w:t>
      </w:r>
      <w:r>
        <w:rPr>
          <w:rFonts w:hint="eastAsia" w:cs="仿宋" w:asciiTheme="minorEastAsia" w:hAnsiTheme="minorEastAsia" w:eastAsiaTheme="minorEastAsia"/>
          <w:bCs/>
          <w:color w:val="auto"/>
          <w:sz w:val="24"/>
          <w:highlight w:val="none"/>
        </w:rPr>
        <w:t>“招标须知”规定的时间内</w:t>
      </w:r>
      <w:r>
        <w:rPr>
          <w:rFonts w:hint="eastAsia" w:cs="仿宋" w:asciiTheme="minorEastAsia" w:hAnsiTheme="minorEastAsia" w:eastAsiaTheme="minorEastAsia"/>
          <w:bCs/>
          <w:color w:val="auto"/>
          <w:sz w:val="24"/>
          <w:highlight w:val="none"/>
          <w:lang w:val="zh-CN"/>
        </w:rPr>
        <w:t>把所需答疑的问题</w:t>
      </w:r>
      <w:r>
        <w:rPr>
          <w:rFonts w:hint="eastAsia" w:cs="仿宋" w:asciiTheme="minorEastAsia" w:hAnsiTheme="minorEastAsia" w:eastAsiaTheme="minorEastAsia"/>
          <w:b/>
          <w:bCs/>
          <w:color w:val="auto"/>
          <w:sz w:val="24"/>
          <w:highlight w:val="none"/>
          <w:lang w:val="zh-CN"/>
        </w:rPr>
        <w:t>以书面形式（盖单位公章）提交至招标代理机构，逾期不得再对招标文件的条款提出疑问</w:t>
      </w:r>
      <w:r>
        <w:rPr>
          <w:rFonts w:hint="eastAsia" w:cs="仿宋" w:asciiTheme="minorEastAsia" w:hAnsiTheme="minorEastAsia" w:eastAsiaTheme="minorEastAsia"/>
          <w:color w:val="auto"/>
          <w:sz w:val="24"/>
          <w:highlight w:val="none"/>
          <w:lang w:val="zh-CN"/>
        </w:rPr>
        <w:t>，由此而导致供应商不成交或成交后产生不利因素的，责任由供应商自负。</w:t>
      </w:r>
    </w:p>
    <w:p w14:paraId="6E761F2F">
      <w:pPr>
        <w:spacing w:line="360" w:lineRule="auto"/>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（三）招标文件的修改</w:t>
      </w:r>
    </w:p>
    <w:p w14:paraId="0DEB3347">
      <w:pPr>
        <w:autoSpaceDE w:val="0"/>
        <w:autoSpaceDN w:val="0"/>
        <w:adjustRightInd w:val="0"/>
        <w:spacing w:line="360" w:lineRule="auto"/>
        <w:ind w:firstLine="480" w:firstLineChars="200"/>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1</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zh-CN"/>
        </w:rPr>
        <w:t>在招标文件提交截止时间前，招标采购单位有权修改招标文件，并以书面形式通知所有参加招标的供应商。修改文件作为招标文件的补充和组成部分，对所有供应商均有约束力。</w:t>
      </w:r>
    </w:p>
    <w:p w14:paraId="003892B0">
      <w:pPr>
        <w:autoSpaceDE w:val="0"/>
        <w:autoSpaceDN w:val="0"/>
        <w:adjustRightInd w:val="0"/>
        <w:spacing w:line="360" w:lineRule="auto"/>
        <w:ind w:firstLine="480"/>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2</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zh-CN"/>
        </w:rPr>
        <w:t>为使供应商有足够的时间按修改文件要求修正供应商招标响应文件，招标采购单位可视情推迟供应商招标文件提交截止时间和招标时间，并将此变更通知各供应商。</w:t>
      </w:r>
    </w:p>
    <w:p w14:paraId="3E361BA7">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zh-CN"/>
        </w:rPr>
        <w:t>3</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zh-CN"/>
        </w:rPr>
        <w:t>招标</w:t>
      </w:r>
      <w:r>
        <w:rPr>
          <w:rFonts w:hint="eastAsia" w:cs="仿宋" w:asciiTheme="minorEastAsia" w:hAnsiTheme="minorEastAsia" w:eastAsiaTheme="minorEastAsia"/>
          <w:color w:val="auto"/>
          <w:sz w:val="24"/>
          <w:highlight w:val="none"/>
        </w:rPr>
        <w:t>文件的澄清、修改、补充等内容均以书面明确的内容为准。当</w:t>
      </w:r>
      <w:r>
        <w:rPr>
          <w:rFonts w:hint="eastAsia" w:cs="仿宋" w:asciiTheme="minorEastAsia" w:hAnsiTheme="minorEastAsia" w:eastAsiaTheme="minorEastAsia"/>
          <w:color w:val="auto"/>
          <w:sz w:val="24"/>
          <w:highlight w:val="none"/>
          <w:lang w:val="zh-CN"/>
        </w:rPr>
        <w:t>招标</w:t>
      </w:r>
      <w:r>
        <w:rPr>
          <w:rFonts w:hint="eastAsia" w:cs="仿宋" w:asciiTheme="minorEastAsia" w:hAnsiTheme="minorEastAsia" w:eastAsiaTheme="minorEastAsia"/>
          <w:color w:val="auto"/>
          <w:sz w:val="24"/>
          <w:highlight w:val="none"/>
        </w:rPr>
        <w:t>文件与</w:t>
      </w:r>
      <w:r>
        <w:rPr>
          <w:rFonts w:hint="eastAsia" w:cs="仿宋" w:asciiTheme="minorEastAsia" w:hAnsiTheme="minorEastAsia" w:eastAsiaTheme="minorEastAsia"/>
          <w:color w:val="auto"/>
          <w:sz w:val="24"/>
          <w:highlight w:val="none"/>
          <w:lang w:val="zh-CN"/>
        </w:rPr>
        <w:t>招标</w:t>
      </w:r>
      <w:r>
        <w:rPr>
          <w:rFonts w:hint="eastAsia" w:cs="仿宋" w:asciiTheme="minorEastAsia" w:hAnsiTheme="minorEastAsia" w:eastAsiaTheme="minorEastAsia"/>
          <w:color w:val="auto"/>
          <w:sz w:val="24"/>
          <w:highlight w:val="none"/>
        </w:rPr>
        <w:t>文件的澄清、修改、补充等在同一内容的表述上不一致时，以最后发出的书面文件为准。</w:t>
      </w:r>
    </w:p>
    <w:p w14:paraId="1314F2C4">
      <w:pPr>
        <w:autoSpaceDE w:val="0"/>
        <w:autoSpaceDN w:val="0"/>
        <w:adjustRightInd w:val="0"/>
        <w:spacing w:line="360" w:lineRule="auto"/>
        <w:rPr>
          <w:rFonts w:cs="仿宋" w:asciiTheme="minorEastAsia" w:hAnsiTheme="minorEastAsia" w:eastAsiaTheme="minorEastAsia"/>
          <w:b/>
          <w:color w:val="auto"/>
          <w:sz w:val="24"/>
          <w:highlight w:val="none"/>
          <w:lang w:val="zh-CN"/>
        </w:rPr>
      </w:pPr>
      <w:bookmarkStart w:id="0" w:name="_Toc182125820"/>
      <w:bookmarkStart w:id="1" w:name="_Toc172338036"/>
      <w:bookmarkStart w:id="2" w:name="_Toc182125897"/>
      <w:bookmarkStart w:id="3" w:name="_Toc174767470"/>
      <w:bookmarkStart w:id="4" w:name="_Toc172337886"/>
      <w:bookmarkStart w:id="5" w:name="_Toc269397670"/>
      <w:r>
        <w:rPr>
          <w:rFonts w:hint="eastAsia" w:cs="仿宋" w:asciiTheme="minorEastAsia" w:hAnsiTheme="minorEastAsia" w:eastAsiaTheme="minorEastAsia"/>
          <w:b/>
          <w:color w:val="auto"/>
          <w:sz w:val="24"/>
          <w:highlight w:val="none"/>
          <w:lang w:val="zh-CN"/>
        </w:rPr>
        <w:t>三、</w:t>
      </w:r>
      <w:bookmarkEnd w:id="0"/>
      <w:bookmarkEnd w:id="1"/>
      <w:bookmarkEnd w:id="2"/>
      <w:bookmarkEnd w:id="3"/>
      <w:bookmarkEnd w:id="4"/>
      <w:r>
        <w:rPr>
          <w:rFonts w:hint="eastAsia" w:cs="仿宋" w:asciiTheme="minorEastAsia" w:hAnsiTheme="minorEastAsia" w:eastAsiaTheme="minorEastAsia"/>
          <w:b/>
          <w:color w:val="auto"/>
          <w:sz w:val="24"/>
          <w:highlight w:val="none"/>
          <w:lang w:val="zh-CN"/>
        </w:rPr>
        <w:t>供应商招标响应文件的编制</w:t>
      </w:r>
      <w:bookmarkEnd w:id="5"/>
    </w:p>
    <w:p w14:paraId="0695D397">
      <w:pPr>
        <w:spacing w:line="360" w:lineRule="auto"/>
        <w:ind w:firstLine="482" w:firstLineChars="200"/>
        <w:rPr>
          <w:rFonts w:hint="eastAsia" w:cs="仿宋" w:asciiTheme="minorEastAsia" w:hAnsiTheme="minorEastAsia" w:eastAsiaTheme="minorEastAsia"/>
          <w:b/>
          <w:bCs/>
          <w:color w:val="auto"/>
          <w:sz w:val="24"/>
          <w:highlight w:val="none"/>
          <w:lang w:eastAsia="zh-CN"/>
        </w:rPr>
      </w:pPr>
      <w:r>
        <w:rPr>
          <w:rFonts w:hint="eastAsia" w:cs="仿宋" w:asciiTheme="minorEastAsia" w:hAnsiTheme="minorEastAsia" w:eastAsiaTheme="minorEastAsia"/>
          <w:b/>
          <w:bCs/>
          <w:color w:val="auto"/>
          <w:sz w:val="24"/>
          <w:highlight w:val="none"/>
        </w:rPr>
        <w:t>（一）供应商招标响应文件</w:t>
      </w:r>
      <w:r>
        <w:rPr>
          <w:rFonts w:hint="eastAsia" w:cs="仿宋" w:asciiTheme="minorEastAsia" w:hAnsiTheme="minorEastAsia" w:eastAsiaTheme="minorEastAsia"/>
          <w:b/>
          <w:bCs/>
          <w:color w:val="auto"/>
          <w:sz w:val="24"/>
          <w:highlight w:val="none"/>
          <w:lang w:val="en-US" w:eastAsia="zh-CN"/>
        </w:rPr>
        <w:t>组成</w:t>
      </w:r>
    </w:p>
    <w:p w14:paraId="6C20DFC9">
      <w:pPr>
        <w:spacing w:line="360" w:lineRule="auto"/>
        <w:ind w:firstLine="482" w:firstLineChars="200"/>
        <w:rPr>
          <w:rFonts w:ascii="宋体"/>
          <w:b/>
          <w:color w:val="auto"/>
          <w:sz w:val="24"/>
          <w:highlight w:val="none"/>
        </w:rPr>
      </w:pPr>
      <w:r>
        <w:rPr>
          <w:rFonts w:hint="eastAsia" w:ascii="宋体" w:hAnsi="宋体"/>
          <w:b/>
          <w:color w:val="auto"/>
          <w:sz w:val="24"/>
          <w:highlight w:val="none"/>
        </w:rPr>
        <w:t>投标文件</w:t>
      </w:r>
      <w:r>
        <w:rPr>
          <w:rFonts w:hint="eastAsia" w:ascii="宋体" w:hAnsi="宋体"/>
          <w:color w:val="auto"/>
          <w:sz w:val="24"/>
          <w:highlight w:val="none"/>
        </w:rPr>
        <w:t>（</w:t>
      </w:r>
      <w:r>
        <w:rPr>
          <w:rFonts w:hint="eastAsia" w:ascii="宋体" w:hAnsi="宋体"/>
          <w:b/>
          <w:color w:val="auto"/>
          <w:sz w:val="24"/>
          <w:highlight w:val="none"/>
        </w:rPr>
        <w:t>包含电子投标文件和电子备份投标文件</w:t>
      </w:r>
      <w:r>
        <w:rPr>
          <w:rFonts w:hint="eastAsia" w:ascii="宋体" w:hAnsi="宋体"/>
          <w:color w:val="auto"/>
          <w:sz w:val="24"/>
          <w:highlight w:val="none"/>
        </w:rPr>
        <w:t>）</w:t>
      </w:r>
      <w:r>
        <w:rPr>
          <w:rFonts w:hint="eastAsia" w:ascii="宋体" w:hAnsi="宋体"/>
          <w:b/>
          <w:color w:val="auto"/>
          <w:sz w:val="24"/>
          <w:highlight w:val="none"/>
        </w:rPr>
        <w:t>由资格响应文件、商务技术响应文件、报价响应文件三部份组成。其中电子投标文件中所须加盖公章</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盖章、盖单位章</w:t>
      </w:r>
      <w:r>
        <w:rPr>
          <w:rFonts w:hint="eastAsia" w:ascii="宋体" w:hAnsi="宋体"/>
          <w:b/>
          <w:color w:val="auto"/>
          <w:sz w:val="24"/>
          <w:highlight w:val="none"/>
        </w:rPr>
        <w:t>部分均采用CA签章。</w:t>
      </w:r>
    </w:p>
    <w:p w14:paraId="2802E644">
      <w:pPr>
        <w:spacing w:line="360" w:lineRule="auto"/>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（二）投标承销商应当按照以下内容及顺序要求制作投标响应文件：</w:t>
      </w:r>
    </w:p>
    <w:p w14:paraId="3ED2902D">
      <w:pPr>
        <w:spacing w:line="360" w:lineRule="auto"/>
        <w:ind w:firstLine="482"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1.资格审查文件</w:t>
      </w:r>
    </w:p>
    <w:p w14:paraId="55E155C7">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（1）营业执照复印件；</w:t>
      </w:r>
    </w:p>
    <w:p w14:paraId="4A8465F5">
      <w:pPr>
        <w:spacing w:line="360" w:lineRule="auto"/>
        <w:ind w:left="480" w:leftChars="24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（2）法定代表人（或法定负责人）授权书及授权代表有效身份证复印件（格式见附件）；（3）投标人情况简介（包括机构规模、主要财务数据、在行业内的综合排名、分支机构</w:t>
      </w:r>
    </w:p>
    <w:p w14:paraId="306A0F54">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数量、从业人员数量、人员资历等）；</w:t>
      </w:r>
    </w:p>
    <w:p w14:paraId="4AD8934E">
      <w:pPr>
        <w:numPr>
          <w:ilvl w:val="0"/>
          <w:numId w:val="4"/>
        </w:num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债券主承销商为具备行业监管部门认定的债券承销业务的资格；</w:t>
      </w:r>
    </w:p>
    <w:p w14:paraId="6AB3EB9D">
      <w:pPr>
        <w:numPr>
          <w:ilvl w:val="0"/>
          <w:numId w:val="0"/>
        </w:num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w:t>
      </w:r>
      <w:r>
        <w:rPr>
          <w:rFonts w:hint="eastAsia" w:cs="仿宋" w:asciiTheme="minorEastAsia" w:hAnsiTheme="minorEastAsia" w:eastAsiaTheme="minorEastAsia"/>
          <w:color w:val="auto"/>
          <w:sz w:val="24"/>
          <w:highlight w:val="none"/>
          <w:lang w:val="en-US" w:eastAsia="zh-CN"/>
        </w:rPr>
        <w:t>近三年主承销商及高管人员没有因债券承销业务不良记录或处罚而被限制正常开展债券承销业务的情形</w:t>
      </w:r>
      <w:r>
        <w:rPr>
          <w:rFonts w:hint="eastAsia" w:cs="仿宋" w:asciiTheme="minorEastAsia" w:hAnsiTheme="minorEastAsia" w:eastAsiaTheme="minorEastAsia"/>
          <w:color w:val="auto"/>
          <w:sz w:val="24"/>
          <w:highlight w:val="none"/>
        </w:rPr>
        <w:t>；</w:t>
      </w:r>
    </w:p>
    <w:p w14:paraId="68AB8FD6">
      <w:pPr>
        <w:numPr>
          <w:ilvl w:val="0"/>
          <w:numId w:val="0"/>
        </w:numPr>
        <w:spacing w:line="360" w:lineRule="auto"/>
        <w:ind w:firstLine="400" w:firstLineChars="200"/>
        <w:rPr>
          <w:rFonts w:cs="仿宋" w:asciiTheme="minorEastAsia" w:hAnsiTheme="minorEastAsia" w:eastAsiaTheme="minorEastAsia"/>
          <w:color w:val="auto"/>
          <w:sz w:val="24"/>
          <w:highlight w:val="none"/>
        </w:rPr>
      </w:pPr>
      <w:r>
        <w:rPr>
          <w:rFonts w:hint="eastAsia"/>
          <w:color w:val="auto"/>
          <w:highlight w:val="none"/>
        </w:rPr>
        <w:t xml:space="preserve"> </w:t>
      </w:r>
      <w:r>
        <w:rPr>
          <w:rFonts w:hint="eastAsia" w:cs="仿宋" w:asciiTheme="minorEastAsia" w:hAnsiTheme="minorEastAsia" w:eastAsiaTheme="minorEastAsia"/>
          <w:color w:val="auto"/>
          <w:sz w:val="24"/>
          <w:highlight w:val="none"/>
        </w:rPr>
        <w:t>（6）近三年内经营活动无重大违法违纪记录、未发生金融风险及重大违约事件的承诺；</w:t>
      </w:r>
    </w:p>
    <w:p w14:paraId="249AD253">
      <w:pPr>
        <w:pStyle w:val="12"/>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7</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联合体协议（如有）（格式见附件）。</w:t>
      </w:r>
    </w:p>
    <w:p w14:paraId="6D542A09">
      <w:pPr>
        <w:spacing w:line="360" w:lineRule="auto"/>
        <w:ind w:firstLine="482"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2、技术、资信及商务文件</w:t>
      </w:r>
    </w:p>
    <w:p w14:paraId="1702F80E">
      <w:pPr>
        <w:spacing w:line="360" w:lineRule="auto"/>
        <w:ind w:firstLine="480" w:firstLineChars="20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（1）投标人资信商务、技术自评得分表（格式见附件）；</w:t>
      </w:r>
    </w:p>
    <w:p w14:paraId="42A9ECCC">
      <w:pPr>
        <w:spacing w:line="360" w:lineRule="auto"/>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（2）商务响应表（格式见附件）；</w:t>
      </w:r>
    </w:p>
    <w:p w14:paraId="118DBCDB">
      <w:pPr>
        <w:spacing w:line="360" w:lineRule="auto"/>
        <w:ind w:firstLine="480" w:firstLineChars="200"/>
        <w:rPr>
          <w:rFonts w:hint="eastAsia" w:cs="仿宋" w:asciiTheme="minorEastAsia" w:hAnsiTheme="minorEastAsia" w:eastAsiaTheme="minorEastAsia"/>
          <w:bCs/>
          <w:color w:val="auto"/>
          <w:sz w:val="24"/>
          <w:highlight w:val="none"/>
          <w:lang w:val="en-US"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3</w:t>
      </w:r>
      <w:r>
        <w:rPr>
          <w:rFonts w:hint="eastAsia" w:cs="仿宋" w:asciiTheme="minorEastAsia" w:hAnsiTheme="minorEastAsia" w:eastAsiaTheme="minorEastAsia"/>
          <w:bCs/>
          <w:color w:val="auto"/>
          <w:sz w:val="24"/>
          <w:highlight w:val="none"/>
        </w:rPr>
        <w:t>）综合实力</w:t>
      </w:r>
      <w:r>
        <w:rPr>
          <w:rFonts w:hint="eastAsia" w:cs="仿宋" w:asciiTheme="minorEastAsia" w:hAnsiTheme="minorEastAsia" w:eastAsiaTheme="minorEastAsia"/>
          <w:bCs/>
          <w:color w:val="auto"/>
          <w:sz w:val="24"/>
          <w:highlight w:val="none"/>
          <w:lang w:eastAsia="zh-CN"/>
        </w:rPr>
        <w:t>；</w:t>
      </w:r>
    </w:p>
    <w:p w14:paraId="30773E7D">
      <w:pPr>
        <w:spacing w:line="360" w:lineRule="auto"/>
        <w:ind w:firstLine="480" w:firstLineChars="200"/>
        <w:rPr>
          <w:rFonts w:hint="eastAsia" w:cs="仿宋" w:asciiTheme="minorEastAsia" w:hAnsiTheme="minorEastAsia" w:eastAsiaTheme="minorEastAsia"/>
          <w:bCs/>
          <w:color w:val="auto"/>
          <w:sz w:val="24"/>
          <w:highlight w:val="none"/>
          <w:lang w:val="en-US"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4</w:t>
      </w:r>
      <w:r>
        <w:rPr>
          <w:rFonts w:hint="eastAsia" w:cs="仿宋" w:asciiTheme="minorEastAsia" w:hAnsiTheme="minorEastAsia" w:eastAsiaTheme="minorEastAsia"/>
          <w:bCs/>
          <w:color w:val="auto"/>
          <w:sz w:val="24"/>
          <w:highlight w:val="none"/>
        </w:rPr>
        <w:t>）执业质量</w:t>
      </w:r>
      <w:r>
        <w:rPr>
          <w:rFonts w:hint="eastAsia" w:cs="仿宋" w:asciiTheme="minorEastAsia" w:hAnsiTheme="minorEastAsia" w:eastAsiaTheme="minorEastAsia"/>
          <w:bCs/>
          <w:color w:val="auto"/>
          <w:sz w:val="24"/>
          <w:highlight w:val="none"/>
          <w:lang w:eastAsia="zh-CN"/>
        </w:rPr>
        <w:t>；</w:t>
      </w:r>
    </w:p>
    <w:p w14:paraId="49A98FA5">
      <w:pPr>
        <w:spacing w:line="360" w:lineRule="auto"/>
        <w:ind w:firstLine="480" w:firstLineChars="200"/>
        <w:rPr>
          <w:rFonts w:hint="eastAsia" w:cs="仿宋" w:asciiTheme="minorEastAsia" w:hAnsiTheme="minorEastAsia" w:eastAsiaTheme="minorEastAsia"/>
          <w:bCs/>
          <w:color w:val="auto"/>
          <w:sz w:val="24"/>
          <w:highlight w:val="none"/>
          <w:lang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5</w:t>
      </w:r>
      <w:r>
        <w:rPr>
          <w:rFonts w:hint="eastAsia" w:cs="仿宋" w:asciiTheme="minorEastAsia" w:hAnsiTheme="minorEastAsia" w:eastAsiaTheme="minorEastAsia"/>
          <w:bCs/>
          <w:color w:val="auto"/>
          <w:sz w:val="24"/>
          <w:highlight w:val="none"/>
        </w:rPr>
        <w:t>）2023年1月1日至2024年</w:t>
      </w:r>
      <w:r>
        <w:rPr>
          <w:rFonts w:hint="eastAsia" w:cs="仿宋" w:asciiTheme="minorEastAsia" w:hAnsiTheme="minorEastAsia" w:eastAsiaTheme="minorEastAsia"/>
          <w:bCs/>
          <w:color w:val="auto"/>
          <w:sz w:val="24"/>
          <w:highlight w:val="none"/>
          <w:lang w:val="en-US" w:eastAsia="zh-CN"/>
        </w:rPr>
        <w:t>6</w:t>
      </w:r>
      <w:r>
        <w:rPr>
          <w:rFonts w:hint="eastAsia" w:cs="仿宋" w:asciiTheme="minorEastAsia" w:hAnsiTheme="minorEastAsia" w:eastAsiaTheme="minorEastAsia"/>
          <w:bCs/>
          <w:color w:val="auto"/>
          <w:sz w:val="24"/>
          <w:highlight w:val="none"/>
        </w:rPr>
        <w:t>月30 日全国公司债主承销金额排名统计表，提供Wind资讯截图并加盖供应商公章编入投标文件中</w:t>
      </w:r>
      <w:r>
        <w:rPr>
          <w:rFonts w:hint="eastAsia" w:cs="仿宋" w:asciiTheme="minorEastAsia" w:hAnsiTheme="minorEastAsia" w:eastAsiaTheme="minorEastAsia"/>
          <w:bCs/>
          <w:color w:val="auto"/>
          <w:sz w:val="24"/>
          <w:highlight w:val="none"/>
          <w:lang w:eastAsia="zh-CN"/>
        </w:rPr>
        <w:t>；</w:t>
      </w:r>
    </w:p>
    <w:p w14:paraId="6F0E2E98">
      <w:pPr>
        <w:spacing w:line="360" w:lineRule="auto"/>
        <w:ind w:firstLine="480" w:firstLineChars="200"/>
        <w:rPr>
          <w:rFonts w:hint="eastAsia" w:cs="仿宋" w:asciiTheme="minorEastAsia" w:hAnsiTheme="minorEastAsia" w:eastAsiaTheme="minorEastAsia"/>
          <w:bCs/>
          <w:color w:val="auto"/>
          <w:sz w:val="24"/>
          <w:highlight w:val="none"/>
          <w:lang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6</w:t>
      </w:r>
      <w:r>
        <w:rPr>
          <w:rFonts w:hint="eastAsia" w:cs="仿宋" w:asciiTheme="minorEastAsia" w:hAnsiTheme="minorEastAsia" w:eastAsiaTheme="minorEastAsia"/>
          <w:bCs/>
          <w:color w:val="auto"/>
          <w:sz w:val="24"/>
          <w:highlight w:val="none"/>
        </w:rPr>
        <w:t>）余额包销承诺</w:t>
      </w:r>
      <w:r>
        <w:rPr>
          <w:rFonts w:hint="eastAsia" w:cs="仿宋" w:asciiTheme="minorEastAsia" w:hAnsiTheme="minorEastAsia" w:eastAsiaTheme="minorEastAsia"/>
          <w:bCs/>
          <w:color w:val="auto"/>
          <w:sz w:val="24"/>
          <w:highlight w:val="none"/>
          <w:lang w:eastAsia="zh-CN"/>
        </w:rPr>
        <w:t>；</w:t>
      </w:r>
    </w:p>
    <w:p w14:paraId="65AE4352">
      <w:pPr>
        <w:spacing w:line="360" w:lineRule="auto"/>
        <w:ind w:firstLine="480" w:firstLineChars="200"/>
        <w:rPr>
          <w:rFonts w:hint="eastAsia" w:cs="仿宋" w:asciiTheme="minorEastAsia" w:hAnsiTheme="minorEastAsia" w:eastAsiaTheme="minorEastAsia"/>
          <w:bCs/>
          <w:color w:val="auto"/>
          <w:sz w:val="24"/>
          <w:highlight w:val="none"/>
          <w:lang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7</w:t>
      </w:r>
      <w:r>
        <w:rPr>
          <w:rFonts w:hint="eastAsia" w:cs="仿宋" w:asciiTheme="minorEastAsia" w:hAnsiTheme="minorEastAsia" w:eastAsiaTheme="minorEastAsia"/>
          <w:bCs/>
          <w:color w:val="auto"/>
          <w:sz w:val="24"/>
          <w:highlight w:val="none"/>
        </w:rPr>
        <w:t>）销售定价能力</w:t>
      </w:r>
      <w:r>
        <w:rPr>
          <w:rFonts w:hint="eastAsia" w:cs="仿宋" w:asciiTheme="minorEastAsia" w:hAnsiTheme="minorEastAsia" w:eastAsiaTheme="minorEastAsia"/>
          <w:bCs/>
          <w:color w:val="auto"/>
          <w:sz w:val="24"/>
          <w:highlight w:val="none"/>
          <w:lang w:eastAsia="zh-CN"/>
        </w:rPr>
        <w:t>；</w:t>
      </w:r>
    </w:p>
    <w:p w14:paraId="671C370F">
      <w:pPr>
        <w:spacing w:line="360" w:lineRule="auto"/>
        <w:ind w:firstLine="480" w:firstLineChars="200"/>
        <w:rPr>
          <w:rFonts w:hint="eastAsia" w:cs="仿宋" w:asciiTheme="minorEastAsia" w:hAnsiTheme="minorEastAsia" w:eastAsiaTheme="minorEastAsia"/>
          <w:bCs/>
          <w:color w:val="auto"/>
          <w:sz w:val="24"/>
          <w:highlight w:val="none"/>
          <w:lang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8</w:t>
      </w:r>
      <w:r>
        <w:rPr>
          <w:rFonts w:hint="eastAsia" w:cs="仿宋" w:asciiTheme="minorEastAsia" w:hAnsiTheme="minorEastAsia" w:eastAsiaTheme="minorEastAsia"/>
          <w:bCs/>
          <w:color w:val="auto"/>
          <w:sz w:val="24"/>
          <w:highlight w:val="none"/>
        </w:rPr>
        <w:t>）项目方案设计</w:t>
      </w:r>
      <w:r>
        <w:rPr>
          <w:rFonts w:hint="eastAsia" w:cs="仿宋" w:asciiTheme="minorEastAsia" w:hAnsiTheme="minorEastAsia" w:eastAsiaTheme="minorEastAsia"/>
          <w:bCs/>
          <w:color w:val="auto"/>
          <w:sz w:val="24"/>
          <w:highlight w:val="none"/>
          <w:lang w:eastAsia="zh-CN"/>
        </w:rPr>
        <w:t>；</w:t>
      </w:r>
    </w:p>
    <w:p w14:paraId="393ACC38">
      <w:pPr>
        <w:spacing w:line="360" w:lineRule="auto"/>
        <w:ind w:firstLine="480" w:firstLineChars="200"/>
        <w:rPr>
          <w:rFonts w:hint="eastAsia" w:cs="仿宋" w:asciiTheme="minorEastAsia" w:hAnsiTheme="minorEastAsia" w:eastAsiaTheme="minorEastAsia"/>
          <w:bCs/>
          <w:color w:val="auto"/>
          <w:sz w:val="24"/>
          <w:highlight w:val="none"/>
          <w:lang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9</w:t>
      </w:r>
      <w:r>
        <w:rPr>
          <w:rFonts w:hint="eastAsia" w:cs="仿宋" w:asciiTheme="minorEastAsia" w:hAnsiTheme="minorEastAsia" w:eastAsiaTheme="minorEastAsia"/>
          <w:bCs/>
          <w:color w:val="auto"/>
          <w:sz w:val="24"/>
          <w:highlight w:val="none"/>
        </w:rPr>
        <w:t>）销售渠道安排及与主管部门的沟通能力</w:t>
      </w:r>
      <w:r>
        <w:rPr>
          <w:rFonts w:hint="eastAsia" w:cs="仿宋" w:asciiTheme="minorEastAsia" w:hAnsiTheme="minorEastAsia" w:eastAsiaTheme="minorEastAsia"/>
          <w:bCs/>
          <w:color w:val="auto"/>
          <w:sz w:val="24"/>
          <w:highlight w:val="none"/>
          <w:lang w:eastAsia="zh-CN"/>
        </w:rPr>
        <w:t>；</w:t>
      </w:r>
    </w:p>
    <w:p w14:paraId="27C7DA84">
      <w:pPr>
        <w:spacing w:line="360" w:lineRule="auto"/>
        <w:ind w:firstLine="480" w:firstLineChars="200"/>
        <w:rPr>
          <w:rFonts w:hint="eastAsia" w:cs="仿宋" w:asciiTheme="minorEastAsia" w:hAnsiTheme="minorEastAsia" w:eastAsiaTheme="minorEastAsia"/>
          <w:bCs/>
          <w:color w:val="auto"/>
          <w:sz w:val="24"/>
          <w:highlight w:val="none"/>
          <w:lang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10</w:t>
      </w:r>
      <w:r>
        <w:rPr>
          <w:rFonts w:hint="eastAsia" w:cs="仿宋" w:asciiTheme="minorEastAsia" w:hAnsiTheme="minorEastAsia" w:eastAsiaTheme="minorEastAsia"/>
          <w:bCs/>
          <w:color w:val="auto"/>
          <w:sz w:val="24"/>
          <w:highlight w:val="none"/>
        </w:rPr>
        <w:t>）专业服务团队人员配置及人员能力（格式见附件）</w:t>
      </w:r>
      <w:r>
        <w:rPr>
          <w:rFonts w:hint="eastAsia" w:cs="仿宋" w:asciiTheme="minorEastAsia" w:hAnsiTheme="minorEastAsia" w:eastAsiaTheme="minorEastAsia"/>
          <w:bCs/>
          <w:color w:val="auto"/>
          <w:sz w:val="24"/>
          <w:highlight w:val="none"/>
          <w:lang w:val="en-US" w:eastAsia="zh-CN"/>
        </w:rPr>
        <w:t>;</w:t>
      </w:r>
    </w:p>
    <w:p w14:paraId="757DBE3C">
      <w:pPr>
        <w:spacing w:line="360" w:lineRule="auto"/>
        <w:ind w:firstLine="480" w:firstLineChars="200"/>
        <w:rPr>
          <w:rFonts w:hint="eastAsia" w:cs="仿宋" w:asciiTheme="minorEastAsia" w:hAnsiTheme="minorEastAsia" w:eastAsiaTheme="minorEastAsia"/>
          <w:bCs/>
          <w:color w:val="auto"/>
          <w:sz w:val="24"/>
          <w:highlight w:val="none"/>
          <w:lang w:val="en-US"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11</w:t>
      </w:r>
      <w:r>
        <w:rPr>
          <w:rFonts w:hint="eastAsia" w:cs="仿宋" w:asciiTheme="minorEastAsia" w:hAnsiTheme="minorEastAsia" w:eastAsiaTheme="minorEastAsia"/>
          <w:bCs/>
          <w:color w:val="auto"/>
          <w:sz w:val="24"/>
          <w:highlight w:val="none"/>
        </w:rPr>
        <w:t>）技术响应表（格式见附件）；</w:t>
      </w:r>
    </w:p>
    <w:p w14:paraId="20EA4B9C">
      <w:pPr>
        <w:spacing w:line="360" w:lineRule="auto"/>
        <w:ind w:firstLine="480"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12</w:t>
      </w:r>
      <w:r>
        <w:rPr>
          <w:rFonts w:hint="eastAsia" w:cs="仿宋" w:asciiTheme="minorEastAsia" w:hAnsiTheme="minorEastAsia" w:eastAsiaTheme="minorEastAsia"/>
          <w:bCs/>
          <w:color w:val="auto"/>
          <w:sz w:val="24"/>
          <w:highlight w:val="none"/>
        </w:rPr>
        <w:t>）投标人认为有必要提供的其它文件。</w:t>
      </w:r>
    </w:p>
    <w:p w14:paraId="6CB1E0AB">
      <w:pPr>
        <w:spacing w:line="360" w:lineRule="auto"/>
        <w:ind w:firstLine="482"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3、报价文件</w:t>
      </w:r>
    </w:p>
    <w:p w14:paraId="569A0A9D">
      <w:pPr>
        <w:spacing w:line="360" w:lineRule="auto"/>
        <w:ind w:firstLine="480" w:firstLineChars="20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 xml:space="preserve">（1）投标函（格式见附件）； </w:t>
      </w:r>
    </w:p>
    <w:p w14:paraId="08B7BE9A">
      <w:pPr>
        <w:spacing w:line="360" w:lineRule="auto"/>
        <w:ind w:firstLine="480" w:firstLineChars="20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 xml:space="preserve">（2）报价函（格式见附件）； </w:t>
      </w:r>
    </w:p>
    <w:p w14:paraId="1CD87C97">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bCs/>
          <w:color w:val="auto"/>
          <w:sz w:val="24"/>
          <w:highlight w:val="none"/>
        </w:rPr>
        <w:t>（3）投标人针对报价需要说明的其他文件和说明（格式自拟）。</w:t>
      </w:r>
    </w:p>
    <w:p w14:paraId="6B53639E">
      <w:pPr>
        <w:spacing w:line="360" w:lineRule="auto"/>
        <w:ind w:firstLine="482" w:firstLineChars="200"/>
        <w:rPr>
          <w:rFonts w:hint="eastAsia" w:cs="仿宋" w:asciiTheme="minorEastAsia" w:hAnsiTheme="minorEastAsia" w:eastAsiaTheme="minorEastAsia"/>
          <w:b/>
          <w:bCs/>
          <w:color w:val="auto"/>
          <w:sz w:val="24"/>
          <w:highlight w:val="none"/>
          <w:lang w:eastAsia="zh-CN"/>
        </w:rPr>
      </w:pPr>
      <w:r>
        <w:rPr>
          <w:rFonts w:hint="eastAsia" w:cs="仿宋" w:asciiTheme="minorEastAsia" w:hAnsiTheme="minorEastAsia" w:eastAsiaTheme="minorEastAsia"/>
          <w:b/>
          <w:bCs/>
          <w:color w:val="auto"/>
          <w:sz w:val="24"/>
          <w:highlight w:val="none"/>
        </w:rPr>
        <w:t>（三）响应文件</w:t>
      </w:r>
      <w:r>
        <w:rPr>
          <w:rFonts w:hint="eastAsia" w:cs="仿宋" w:asciiTheme="minorEastAsia" w:hAnsiTheme="minorEastAsia" w:eastAsiaTheme="minorEastAsia"/>
          <w:b/>
          <w:bCs/>
          <w:color w:val="auto"/>
          <w:sz w:val="24"/>
          <w:highlight w:val="none"/>
          <w:lang w:val="en-US" w:eastAsia="zh-CN"/>
        </w:rPr>
        <w:t>的有效期</w:t>
      </w:r>
    </w:p>
    <w:p w14:paraId="319D887C">
      <w:pPr>
        <w:spacing w:line="360" w:lineRule="auto"/>
        <w:ind w:firstLine="480" w:firstLineChars="200"/>
        <w:rPr>
          <w:rFonts w:hint="eastAsia" w:cs="仿宋" w:asciiTheme="minorEastAsia" w:hAnsiTheme="minorEastAsia" w:eastAsiaTheme="minorEastAsia"/>
          <w:b w:val="0"/>
          <w:bCs w:val="0"/>
          <w:color w:val="auto"/>
          <w:sz w:val="24"/>
          <w:highlight w:val="none"/>
        </w:rPr>
      </w:pPr>
      <w:r>
        <w:rPr>
          <w:rFonts w:hint="eastAsia" w:cs="仿宋" w:asciiTheme="minorEastAsia" w:hAnsiTheme="minorEastAsia" w:eastAsiaTheme="minorEastAsia"/>
          <w:b w:val="0"/>
          <w:bCs w:val="0"/>
          <w:color w:val="auto"/>
          <w:sz w:val="24"/>
          <w:highlight w:val="none"/>
        </w:rPr>
        <w:t>▲1.自投标截止日起</w:t>
      </w:r>
      <w:r>
        <w:rPr>
          <w:rFonts w:hint="eastAsia" w:cs="仿宋" w:asciiTheme="minorEastAsia" w:hAnsiTheme="minorEastAsia" w:eastAsiaTheme="minorEastAsia"/>
          <w:b w:val="0"/>
          <w:bCs w:val="0"/>
          <w:color w:val="auto"/>
          <w:sz w:val="24"/>
          <w:highlight w:val="none"/>
          <w:lang w:val="en-US" w:eastAsia="zh-CN"/>
        </w:rPr>
        <w:t>90</w:t>
      </w:r>
      <w:r>
        <w:rPr>
          <w:rFonts w:hint="eastAsia" w:cs="仿宋" w:asciiTheme="minorEastAsia" w:hAnsiTheme="minorEastAsia" w:eastAsiaTheme="minorEastAsia"/>
          <w:b w:val="0"/>
          <w:bCs w:val="0"/>
          <w:color w:val="auto"/>
          <w:sz w:val="24"/>
          <w:highlight w:val="none"/>
        </w:rPr>
        <w:t>天投标文件应保持有效。有效期不足的投标文件将被拒绝。</w:t>
      </w:r>
    </w:p>
    <w:p w14:paraId="0613503E">
      <w:pPr>
        <w:spacing w:line="360" w:lineRule="auto"/>
        <w:ind w:firstLine="480" w:firstLineChars="200"/>
        <w:rPr>
          <w:rFonts w:hint="eastAsia" w:cs="仿宋" w:asciiTheme="minorEastAsia" w:hAnsiTheme="minorEastAsia" w:eastAsiaTheme="minorEastAsia"/>
          <w:b w:val="0"/>
          <w:bCs w:val="0"/>
          <w:color w:val="auto"/>
          <w:sz w:val="24"/>
          <w:highlight w:val="none"/>
        </w:rPr>
      </w:pPr>
      <w:r>
        <w:rPr>
          <w:rFonts w:hint="eastAsia" w:cs="仿宋" w:asciiTheme="minorEastAsia" w:hAnsiTheme="minorEastAsia" w:eastAsiaTheme="minorEastAsia"/>
          <w:b w:val="0"/>
          <w:bCs w:val="0"/>
          <w:color w:val="auto"/>
          <w:sz w:val="24"/>
          <w:highlight w:val="none"/>
        </w:rPr>
        <w:t>2.在特殊情况下，招标人可与投标人协商延长投标书的有效期，这种要求和答复均以书面形式进行。</w:t>
      </w:r>
    </w:p>
    <w:p w14:paraId="30922946">
      <w:pPr>
        <w:spacing w:line="360" w:lineRule="auto"/>
        <w:ind w:firstLine="480" w:firstLineChars="200"/>
        <w:rPr>
          <w:rFonts w:hint="eastAsia" w:cs="仿宋" w:asciiTheme="minorEastAsia" w:hAnsiTheme="minorEastAsia" w:eastAsiaTheme="minorEastAsia"/>
          <w:b w:val="0"/>
          <w:bCs w:val="0"/>
          <w:color w:val="auto"/>
          <w:sz w:val="24"/>
          <w:highlight w:val="none"/>
        </w:rPr>
      </w:pPr>
      <w:r>
        <w:rPr>
          <w:rFonts w:hint="eastAsia" w:cs="仿宋" w:asciiTheme="minorEastAsia" w:hAnsiTheme="minorEastAsia" w:eastAsiaTheme="minorEastAsia"/>
          <w:b w:val="0"/>
          <w:bCs w:val="0"/>
          <w:color w:val="auto"/>
          <w:sz w:val="24"/>
          <w:highlight w:val="none"/>
        </w:rPr>
        <w:t>3.中标人的投标文件自开标之日起至合同履行完毕止均应保持有效。</w:t>
      </w:r>
    </w:p>
    <w:p w14:paraId="536D69B1">
      <w:pPr>
        <w:spacing w:line="360" w:lineRule="auto"/>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（四）响应文件份数和签署</w:t>
      </w:r>
    </w:p>
    <w:p w14:paraId="054213D9">
      <w:pPr>
        <w:snapToGrid w:val="0"/>
        <w:spacing w:line="312" w:lineRule="auto"/>
        <w:ind w:firstLine="480" w:firstLineChars="200"/>
        <w:jc w:val="left"/>
        <w:rPr>
          <w:rFonts w:hint="eastAsia" w:ascii="宋体" w:hAnsi="宋体"/>
          <w:b/>
          <w:bCs/>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.投标人应认真阅读招标文件所有内容，按</w:t>
      </w:r>
      <w:r>
        <w:rPr>
          <w:rFonts w:ascii="宋体" w:hAnsi="宋体"/>
          <w:color w:val="auto"/>
          <w:sz w:val="24"/>
          <w:highlight w:val="none"/>
        </w:rPr>
        <w:t>本招标文件规定的</w:t>
      </w:r>
      <w:r>
        <w:rPr>
          <w:rFonts w:hint="eastAsia" w:ascii="宋体" w:hAnsi="宋体"/>
          <w:color w:val="auto"/>
          <w:sz w:val="24"/>
          <w:highlight w:val="none"/>
        </w:rPr>
        <w:t>要求、编制</w:t>
      </w:r>
      <w:r>
        <w:rPr>
          <w:rFonts w:ascii="宋体" w:hAnsi="宋体"/>
          <w:color w:val="auto"/>
          <w:sz w:val="24"/>
          <w:highlight w:val="none"/>
        </w:rPr>
        <w:t>顺序</w:t>
      </w:r>
      <w:r>
        <w:rPr>
          <w:rFonts w:hint="eastAsia" w:ascii="宋体" w:hAnsi="宋体"/>
          <w:color w:val="auto"/>
          <w:sz w:val="24"/>
          <w:highlight w:val="none"/>
        </w:rPr>
        <w:t>和统一</w:t>
      </w:r>
      <w:r>
        <w:rPr>
          <w:rFonts w:ascii="宋体" w:hAnsi="宋体"/>
          <w:color w:val="auto"/>
          <w:sz w:val="24"/>
          <w:highlight w:val="none"/>
        </w:rPr>
        <w:t>格式编制投标文件</w:t>
      </w:r>
      <w:r>
        <w:rPr>
          <w:rFonts w:hint="eastAsia" w:ascii="宋体" w:hAnsi="宋体"/>
          <w:color w:val="auto"/>
          <w:sz w:val="24"/>
          <w:highlight w:val="none"/>
        </w:rPr>
        <w:t>并标注页码</w:t>
      </w:r>
      <w:r>
        <w:rPr>
          <w:rFonts w:ascii="宋体" w:hAnsi="宋体"/>
          <w:color w:val="auto"/>
          <w:sz w:val="24"/>
          <w:highlight w:val="none"/>
        </w:rPr>
        <w:t>，</w:t>
      </w:r>
      <w:r>
        <w:rPr>
          <w:rFonts w:hint="eastAsia" w:ascii="宋体" w:hAnsi="宋体"/>
          <w:b/>
          <w:bCs/>
          <w:color w:val="auto"/>
          <w:sz w:val="24"/>
          <w:highlight w:val="none"/>
        </w:rPr>
        <w:t>电子投标文件须进行关联定位。</w:t>
      </w:r>
      <w:r>
        <w:rPr>
          <w:rFonts w:ascii="宋体" w:hAnsi="宋体"/>
          <w:color w:val="auto"/>
          <w:sz w:val="24"/>
          <w:highlight w:val="none"/>
        </w:rPr>
        <w:t>投标文件</w:t>
      </w:r>
      <w:r>
        <w:rPr>
          <w:rFonts w:hint="eastAsia" w:ascii="宋体" w:hAnsi="宋体"/>
          <w:color w:val="auto"/>
          <w:sz w:val="24"/>
          <w:highlight w:val="none"/>
        </w:rPr>
        <w:t>因</w:t>
      </w:r>
      <w:r>
        <w:rPr>
          <w:rFonts w:ascii="宋体" w:hAnsi="宋体"/>
          <w:color w:val="auto"/>
          <w:sz w:val="24"/>
          <w:highlight w:val="none"/>
        </w:rPr>
        <w:t>内容不完整、编排混乱</w:t>
      </w:r>
      <w:r>
        <w:rPr>
          <w:rFonts w:hint="eastAsia" w:ascii="宋体" w:hAnsi="宋体"/>
          <w:color w:val="auto"/>
          <w:sz w:val="24"/>
          <w:highlight w:val="none"/>
        </w:rPr>
        <w:t>，</w:t>
      </w:r>
      <w:r>
        <w:rPr>
          <w:rFonts w:hint="eastAsia" w:ascii="宋体" w:hAnsi="宋体"/>
          <w:b/>
          <w:bCs/>
          <w:color w:val="auto"/>
          <w:sz w:val="24"/>
          <w:highlight w:val="none"/>
        </w:rPr>
        <w:t>或者电子投标文件未进行关联定位或者关联定位不准确，</w:t>
      </w:r>
      <w:r>
        <w:rPr>
          <w:rFonts w:ascii="宋体" w:hAnsi="宋体"/>
          <w:color w:val="auto"/>
          <w:sz w:val="24"/>
          <w:highlight w:val="none"/>
        </w:rPr>
        <w:t>导致投标文件被误读、漏读或者查找不到相关内容的，是投标人的责任。</w:t>
      </w:r>
      <w:r>
        <w:rPr>
          <w:rFonts w:hint="eastAsia" w:ascii="宋体" w:hAnsi="宋体"/>
          <w:b/>
          <w:bCs/>
          <w:color w:val="auto"/>
          <w:sz w:val="24"/>
          <w:highlight w:val="none"/>
        </w:rPr>
        <w:t>投标文件的制作：在“</w:t>
      </w:r>
      <w:r>
        <w:rPr>
          <w:rFonts w:hint="eastAsia" w:ascii="宋体" w:hAnsi="宋体"/>
          <w:b/>
          <w:bCs/>
          <w:color w:val="auto"/>
          <w:sz w:val="24"/>
          <w:highlight w:val="none"/>
          <w:lang w:val="en-US" w:eastAsia="zh-CN"/>
        </w:rPr>
        <w:t>乐采云</w:t>
      </w:r>
      <w:r>
        <w:rPr>
          <w:rFonts w:hint="eastAsia" w:ascii="宋体" w:hAnsi="宋体"/>
          <w:b/>
          <w:bCs/>
          <w:color w:val="auto"/>
          <w:sz w:val="24"/>
          <w:highlight w:val="none"/>
        </w:rPr>
        <w:t>电子交易客户端”中完成“填写基本信息”、“导入投标文件”、“标书关联”、“标书检查”、“电子签名”、“生成电子标书”等操作。</w:t>
      </w:r>
    </w:p>
    <w:p w14:paraId="2E30D821">
      <w:pPr>
        <w:snapToGrid w:val="0"/>
        <w:spacing w:line="312"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2.电子投标文件（包括资格审查文件、商务技术文件和报价文件）中招标文件要求加盖公章</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盖章、盖单位章</w:t>
      </w:r>
      <w:r>
        <w:rPr>
          <w:rFonts w:hint="eastAsia" w:ascii="宋体" w:hAnsi="宋体"/>
          <w:b/>
          <w:bCs/>
          <w:color w:val="auto"/>
          <w:sz w:val="24"/>
          <w:highlight w:val="none"/>
        </w:rPr>
        <w:t>的部分均采用CA签章。电子投标文件的封面格式详见</w:t>
      </w:r>
      <w:r>
        <w:rPr>
          <w:rFonts w:hint="eastAsia" w:ascii="宋体" w:hAnsi="宋体"/>
          <w:b/>
          <w:bCs/>
          <w:color w:val="auto"/>
          <w:sz w:val="24"/>
          <w:highlight w:val="none"/>
          <w:lang w:val="en-US" w:eastAsia="zh-CN"/>
        </w:rPr>
        <w:t>投标文件格式</w:t>
      </w:r>
      <w:r>
        <w:rPr>
          <w:rFonts w:hint="eastAsia" w:ascii="宋体" w:hAnsi="宋体"/>
          <w:b/>
          <w:bCs/>
          <w:color w:val="auto"/>
          <w:sz w:val="24"/>
          <w:highlight w:val="none"/>
        </w:rPr>
        <w:t>。</w:t>
      </w:r>
    </w:p>
    <w:p w14:paraId="621B8640">
      <w:pPr>
        <w:snapToGrid w:val="0"/>
        <w:spacing w:before="156" w:beforeLines="50" w:line="360" w:lineRule="auto"/>
        <w:ind w:firstLine="482" w:firstLineChars="200"/>
        <w:jc w:val="left"/>
        <w:rPr>
          <w:rFonts w:ascii="宋体" w:hAnsi="宋体"/>
          <w:b/>
          <w:color w:val="auto"/>
          <w:sz w:val="24"/>
          <w:highlight w:val="none"/>
        </w:rPr>
      </w:pPr>
      <w:r>
        <w:rPr>
          <w:rFonts w:hint="eastAsia" w:ascii="宋体" w:hAnsi="宋体"/>
          <w:b/>
          <w:bCs/>
          <w:color w:val="auto"/>
          <w:sz w:val="24"/>
          <w:highlight w:val="none"/>
        </w:rPr>
        <w:t>3.</w:t>
      </w:r>
      <w:r>
        <w:rPr>
          <w:rFonts w:hint="eastAsia" w:cs="宋体" w:asciiTheme="majorEastAsia" w:hAnsiTheme="majorEastAsia" w:eastAsiaTheme="majorEastAsia"/>
          <w:b/>
          <w:color w:val="auto"/>
          <w:sz w:val="24"/>
          <w:highlight w:val="none"/>
        </w:rPr>
        <w:t>招标文件对签字、盖章有特别要求的地方，必须由投标人法定代表人或法定代表人的授权委托人签署并加盖单位公章。</w:t>
      </w:r>
      <w:r>
        <w:rPr>
          <w:rFonts w:hint="eastAsia" w:cs="宋体" w:asciiTheme="majorEastAsia" w:hAnsiTheme="majorEastAsia" w:eastAsiaTheme="majorEastAsia"/>
          <w:b/>
          <w:bCs/>
          <w:color w:val="auto"/>
          <w:sz w:val="24"/>
          <w:highlight w:val="none"/>
        </w:rPr>
        <w:t>电子投标文件中有签字要求的部分，投标人可以将签字后的扫描件上传至</w:t>
      </w:r>
      <w:r>
        <w:rPr>
          <w:rFonts w:hint="eastAsia" w:cs="宋体" w:asciiTheme="majorEastAsia" w:hAnsiTheme="majorEastAsia" w:eastAsiaTheme="majorEastAsia"/>
          <w:b/>
          <w:bCs/>
          <w:color w:val="auto"/>
          <w:sz w:val="24"/>
          <w:highlight w:val="none"/>
          <w:lang w:val="en-US" w:eastAsia="zh-CN"/>
        </w:rPr>
        <w:t>乐</w:t>
      </w:r>
      <w:r>
        <w:rPr>
          <w:rFonts w:hint="eastAsia" w:cs="宋体" w:asciiTheme="majorEastAsia" w:hAnsiTheme="majorEastAsia" w:eastAsiaTheme="majorEastAsia"/>
          <w:b/>
          <w:bCs/>
          <w:color w:val="auto"/>
          <w:sz w:val="24"/>
          <w:highlight w:val="none"/>
        </w:rPr>
        <w:t>采云系统，有</w:t>
      </w:r>
      <w:r>
        <w:rPr>
          <w:rFonts w:hint="eastAsia" w:cs="宋体" w:asciiTheme="majorEastAsia" w:hAnsiTheme="majorEastAsia" w:eastAsiaTheme="majorEastAsia"/>
          <w:b/>
          <w:color w:val="auto"/>
          <w:sz w:val="24"/>
          <w:highlight w:val="none"/>
        </w:rPr>
        <w:t>盖章要求的部分，</w:t>
      </w:r>
      <w:r>
        <w:rPr>
          <w:rFonts w:hint="eastAsia" w:cs="宋体" w:asciiTheme="majorEastAsia" w:hAnsiTheme="majorEastAsia" w:eastAsiaTheme="majorEastAsia"/>
          <w:b/>
          <w:bCs/>
          <w:color w:val="auto"/>
          <w:sz w:val="24"/>
          <w:highlight w:val="none"/>
        </w:rPr>
        <w:t>要求采用CA签章。</w:t>
      </w:r>
      <w:r>
        <w:rPr>
          <w:rFonts w:hint="eastAsia" w:cs="宋体" w:asciiTheme="majorEastAsia" w:hAnsiTheme="majorEastAsia" w:eastAsiaTheme="majorEastAsia"/>
          <w:b/>
          <w:color w:val="auto"/>
          <w:sz w:val="24"/>
          <w:highlight w:val="none"/>
        </w:rPr>
        <w:t>投标人应写全称。</w:t>
      </w:r>
    </w:p>
    <w:p w14:paraId="033EB291">
      <w:pPr>
        <w:snapToGrid w:val="0"/>
        <w:spacing w:line="360" w:lineRule="auto"/>
        <w:ind w:firstLine="354" w:firstLineChars="147"/>
        <w:jc w:val="left"/>
        <w:rPr>
          <w:rFonts w:ascii="宋体"/>
          <w:b/>
          <w:color w:val="auto"/>
          <w:sz w:val="24"/>
          <w:highlight w:val="none"/>
        </w:rPr>
      </w:pPr>
      <w:r>
        <w:rPr>
          <w:rFonts w:hint="eastAsia" w:cs="仿宋" w:asciiTheme="minorEastAsia" w:hAnsiTheme="minorEastAsia" w:eastAsiaTheme="minorEastAsia"/>
          <w:b/>
          <w:bCs/>
          <w:color w:val="auto"/>
          <w:sz w:val="24"/>
          <w:highlight w:val="none"/>
        </w:rPr>
        <w:t>（五）</w:t>
      </w:r>
      <w:r>
        <w:rPr>
          <w:rFonts w:hint="eastAsia" w:ascii="宋体" w:hAnsi="宋体"/>
          <w:b/>
          <w:color w:val="auto"/>
          <w:sz w:val="24"/>
          <w:highlight w:val="none"/>
        </w:rPr>
        <w:t>投标文件的上传、递交、修改和撤回</w:t>
      </w:r>
    </w:p>
    <w:p w14:paraId="411CFB97">
      <w:pPr>
        <w:spacing w:line="360" w:lineRule="auto"/>
        <w:ind w:firstLine="495"/>
        <w:rPr>
          <w:rFonts w:ascii="宋体" w:hAnsi="宋体"/>
          <w:color w:val="auto"/>
          <w:sz w:val="24"/>
          <w:highlight w:val="none"/>
        </w:rPr>
      </w:pPr>
      <w:r>
        <w:rPr>
          <w:rFonts w:hint="eastAsia" w:ascii="宋体" w:hAnsi="宋体"/>
          <w:color w:val="auto"/>
          <w:sz w:val="24"/>
          <w:highlight w:val="none"/>
        </w:rPr>
        <w:t>1.投标人应当在投标截止时间前在“</w:t>
      </w:r>
      <w:r>
        <w:rPr>
          <w:rFonts w:hint="eastAsia" w:ascii="宋体" w:hAnsi="宋体"/>
          <w:color w:val="auto"/>
          <w:sz w:val="24"/>
          <w:highlight w:val="none"/>
          <w:lang w:val="en-US" w:eastAsia="zh-CN"/>
        </w:rPr>
        <w:t>乐</w:t>
      </w:r>
      <w:r>
        <w:rPr>
          <w:rFonts w:hint="eastAsia" w:ascii="宋体" w:hAnsi="宋体"/>
          <w:color w:val="auto"/>
          <w:sz w:val="24"/>
          <w:highlight w:val="none"/>
        </w:rPr>
        <w:t>采云”（电子交易平台）上自行上传加密的电子投标文件。</w:t>
      </w:r>
    </w:p>
    <w:p w14:paraId="53D77AC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2.未按规定上传的投标文件将被拒绝，由此造成投标文件解密失败或被误投的风险由投标人承担。</w:t>
      </w:r>
    </w:p>
    <w:p w14:paraId="616E323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3.投标人未在“</w:t>
      </w:r>
      <w:r>
        <w:rPr>
          <w:rFonts w:hint="eastAsia" w:ascii="宋体" w:hAnsi="宋体"/>
          <w:color w:val="auto"/>
          <w:sz w:val="24"/>
          <w:highlight w:val="none"/>
          <w:lang w:val="en-US" w:eastAsia="zh-CN"/>
        </w:rPr>
        <w:t>乐</w:t>
      </w:r>
      <w:r>
        <w:rPr>
          <w:rFonts w:hint="eastAsia" w:ascii="宋体" w:hAnsi="宋体"/>
          <w:color w:val="auto"/>
          <w:sz w:val="24"/>
          <w:highlight w:val="none"/>
        </w:rPr>
        <w:t>采云”（电子交易平台）上自行上传加密的电子投标文件，仅提交电子备份投标文件的，投标无效。</w:t>
      </w:r>
    </w:p>
    <w:p w14:paraId="56AC91A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w:t>
      </w:r>
      <w:r>
        <w:rPr>
          <w:rFonts w:hint="eastAsia" w:ascii="宋体" w:hAnsi="宋体"/>
          <w:color w:val="auto"/>
          <w:sz w:val="24"/>
          <w:highlight w:val="none"/>
          <w:lang w:val="en-US" w:eastAsia="zh-CN"/>
        </w:rPr>
        <w:t>乐</w:t>
      </w:r>
      <w:r>
        <w:rPr>
          <w:rFonts w:hint="eastAsia" w:ascii="宋体" w:hAnsi="宋体"/>
          <w:color w:val="auto"/>
          <w:sz w:val="24"/>
          <w:highlight w:val="none"/>
        </w:rPr>
        <w:t>采云平台拒收。</w:t>
      </w:r>
    </w:p>
    <w:p w14:paraId="74D42CC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076DDBE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5.截止开标时间，</w:t>
      </w:r>
      <w:r>
        <w:rPr>
          <w:rFonts w:hint="eastAsia" w:ascii="宋体" w:hAnsi="宋体"/>
          <w:color w:val="auto"/>
          <w:sz w:val="24"/>
          <w:highlight w:val="none"/>
          <w:lang w:val="en-US" w:eastAsia="zh-CN"/>
        </w:rPr>
        <w:t>乐</w:t>
      </w:r>
      <w:r>
        <w:rPr>
          <w:rFonts w:hint="eastAsia" w:ascii="宋体" w:hAnsi="宋体"/>
          <w:color w:val="auto"/>
          <w:sz w:val="24"/>
          <w:highlight w:val="none"/>
        </w:rPr>
        <w:t>采云（电子交易平台）自动提取所有投标文件，投标人须在开标时间截止后</w:t>
      </w:r>
      <w:r>
        <w:rPr>
          <w:rFonts w:hint="eastAsia" w:ascii="宋体" w:hAnsi="宋体"/>
          <w:color w:val="auto"/>
          <w:sz w:val="24"/>
          <w:highlight w:val="none"/>
          <w:lang w:val="en-US" w:eastAsia="zh-CN"/>
        </w:rPr>
        <w:t>30</w:t>
      </w:r>
      <w:r>
        <w:rPr>
          <w:rFonts w:hint="eastAsia" w:ascii="宋体" w:hAnsi="宋体"/>
          <w:color w:val="auto"/>
          <w:sz w:val="24"/>
          <w:highlight w:val="none"/>
        </w:rPr>
        <w:t>分钟内对上传</w:t>
      </w:r>
      <w:r>
        <w:rPr>
          <w:rFonts w:hint="eastAsia" w:ascii="宋体" w:hAnsi="宋体"/>
          <w:color w:val="auto"/>
          <w:sz w:val="24"/>
          <w:highlight w:val="none"/>
          <w:lang w:val="en-US" w:eastAsia="zh-CN"/>
        </w:rPr>
        <w:t>乐</w:t>
      </w:r>
      <w:r>
        <w:rPr>
          <w:rFonts w:hint="eastAsia" w:ascii="宋体" w:hAnsi="宋体"/>
          <w:color w:val="auto"/>
          <w:sz w:val="24"/>
          <w:highlight w:val="none"/>
        </w:rPr>
        <w:t>采云的投标文件进行解密，所有投标人在规定的解密时限内解密完成或解密时限到后，采购代理机构开启投标文件；投标人超过解密时限的，系统默认自动放弃。</w:t>
      </w:r>
    </w:p>
    <w:p w14:paraId="6246DBE7">
      <w:pPr>
        <w:spacing w:line="360" w:lineRule="auto"/>
        <w:ind w:firstLine="480" w:firstLineChars="200"/>
        <w:rPr>
          <w:rFonts w:cs="仿宋" w:asciiTheme="minorEastAsia" w:hAnsiTheme="minorEastAsia" w:eastAsiaTheme="minorEastAsia"/>
          <w:color w:val="auto"/>
          <w:sz w:val="24"/>
          <w:highlight w:val="none"/>
        </w:rPr>
      </w:pPr>
      <w:r>
        <w:rPr>
          <w:rFonts w:hint="eastAsia" w:ascii="宋体" w:hAnsi="宋体"/>
          <w:color w:val="auto"/>
          <w:sz w:val="24"/>
          <w:highlight w:val="none"/>
        </w:rPr>
        <w:t>6.电子投标文件无法解密或解密失败时，投标人提供了电子备份投标文件的，以电子备份投标文件作为评审依据，否则视为投标文件撤回。投标文件已按时解密的，电子备份投标文件自动失效。</w:t>
      </w:r>
    </w:p>
    <w:p w14:paraId="7DE21D2C">
      <w:pPr>
        <w:autoSpaceDE w:val="0"/>
        <w:autoSpaceDN w:val="0"/>
        <w:adjustRightInd w:val="0"/>
        <w:spacing w:line="360" w:lineRule="auto"/>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color w:val="auto"/>
          <w:sz w:val="24"/>
          <w:highlight w:val="none"/>
          <w:lang w:val="zh-CN"/>
        </w:rPr>
        <w:t>四、响应无效及招标终止条款</w:t>
      </w:r>
    </w:p>
    <w:p w14:paraId="11E8C6DC">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b/>
          <w:bCs/>
          <w:color w:val="auto"/>
          <w:sz w:val="24"/>
          <w:highlight w:val="none"/>
        </w:rPr>
        <w:t>一）响应无效条款：</w:t>
      </w:r>
    </w:p>
    <w:p w14:paraId="28982A11">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1.主承销商不具备招标文件中规定资格条件的；</w:t>
      </w:r>
    </w:p>
    <w:p w14:paraId="62F19C8C">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2.招标代表人未能出具有效身份证明或与法定代表人（或法定负责人）授权委托人身份不符的；</w:t>
      </w:r>
    </w:p>
    <w:p w14:paraId="2BE0F9E3">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评标委员会认为主承销商的报价明显低于其他通过符合性审查主承销商的报价，有可能影响服务质量和不能诚信履约的，可以要求其在招标现场合理的时间内提出书面说明，必要时提交相关证明材料；主承销商不能证明其报价合理性的，评标委员会可以认定该主承销商响应无效;</w:t>
      </w:r>
    </w:p>
    <w:p w14:paraId="088133B7">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4.响应报价高于市场平均价格，评标委员会认为有背《中华人民共和国政府采购法》第十七条的；</w:t>
      </w:r>
    </w:p>
    <w:p w14:paraId="04E85F21">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5.商务需求不响应的；</w:t>
      </w:r>
    </w:p>
    <w:p w14:paraId="7A5513B3">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6.响应文件提供虚假材料的； </w:t>
      </w:r>
    </w:p>
    <w:p w14:paraId="32A1670A">
      <w:pPr>
        <w:spacing w:line="360" w:lineRule="auto"/>
        <w:ind w:firstLine="480" w:firstLineChars="200"/>
        <w:rPr>
          <w:rFonts w:cs="仿宋" w:asciiTheme="minorEastAsia" w:hAnsiTheme="minorEastAsia" w:eastAsiaTheme="minorEastAsia"/>
          <w:strike/>
          <w:dstrike w:val="0"/>
          <w:color w:val="auto"/>
          <w:sz w:val="24"/>
          <w:highlight w:val="none"/>
        </w:rPr>
      </w:pPr>
      <w:r>
        <w:rPr>
          <w:rFonts w:hint="eastAsia" w:cs="仿宋" w:asciiTheme="minorEastAsia" w:hAnsiTheme="minorEastAsia" w:eastAsiaTheme="minorEastAsia"/>
          <w:strike w:val="0"/>
          <w:dstrike w:val="0"/>
          <w:color w:val="auto"/>
          <w:sz w:val="24"/>
          <w:highlight w:val="none"/>
        </w:rPr>
        <w:t>7.电子投标文件未按规定要求提供电子签章的。</w:t>
      </w:r>
    </w:p>
    <w:p w14:paraId="6B84D672">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8.本招标文件规定的属响应无效的情形。</w:t>
      </w:r>
    </w:p>
    <w:p w14:paraId="138936D7">
      <w:pPr>
        <w:spacing w:line="360" w:lineRule="auto"/>
        <w:ind w:firstLine="482"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bCs/>
          <w:color w:val="auto"/>
          <w:sz w:val="24"/>
          <w:highlight w:val="none"/>
        </w:rPr>
        <w:t>（二）招标终止条款</w:t>
      </w:r>
      <w:r>
        <w:rPr>
          <w:rFonts w:hint="eastAsia" w:cs="仿宋" w:asciiTheme="minorEastAsia" w:hAnsiTheme="minorEastAsia" w:eastAsiaTheme="minorEastAsia"/>
          <w:color w:val="auto"/>
          <w:sz w:val="24"/>
          <w:highlight w:val="none"/>
        </w:rPr>
        <w:t>：</w:t>
      </w:r>
    </w:p>
    <w:p w14:paraId="5EA4F191">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1.因情况变化，不再符合规定的招标采购方式适用情形的；</w:t>
      </w:r>
    </w:p>
    <w:p w14:paraId="06C47763">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2.出现影响采购公正的违法、违规行为的；</w:t>
      </w:r>
    </w:p>
    <w:p w14:paraId="142CEA52">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3.因重大变故，采购任务取消的。</w:t>
      </w:r>
    </w:p>
    <w:p w14:paraId="5B0AAFCF">
      <w:pPr>
        <w:autoSpaceDE w:val="0"/>
        <w:autoSpaceDN w:val="0"/>
        <w:adjustRightInd w:val="0"/>
        <w:spacing w:line="360" w:lineRule="auto"/>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color w:val="auto"/>
          <w:sz w:val="24"/>
          <w:highlight w:val="none"/>
          <w:lang w:val="zh-CN"/>
        </w:rPr>
        <w:t>五、</w:t>
      </w:r>
      <w:r>
        <w:rPr>
          <w:rFonts w:hint="eastAsia" w:cs="仿宋" w:asciiTheme="minorEastAsia" w:hAnsiTheme="minorEastAsia" w:eastAsiaTheme="minorEastAsia"/>
          <w:b/>
          <w:color w:val="auto"/>
          <w:sz w:val="24"/>
          <w:highlight w:val="none"/>
        </w:rPr>
        <w:t>开标</w:t>
      </w:r>
      <w:r>
        <w:rPr>
          <w:rFonts w:hint="eastAsia" w:cs="仿宋" w:asciiTheme="minorEastAsia" w:hAnsiTheme="minorEastAsia" w:eastAsiaTheme="minorEastAsia"/>
          <w:b/>
          <w:color w:val="auto"/>
          <w:sz w:val="24"/>
          <w:highlight w:val="none"/>
          <w:lang w:val="zh-CN"/>
        </w:rPr>
        <w:t>、</w:t>
      </w:r>
      <w:r>
        <w:rPr>
          <w:rFonts w:hint="eastAsia" w:cs="仿宋" w:asciiTheme="minorEastAsia" w:hAnsiTheme="minorEastAsia" w:eastAsiaTheme="minorEastAsia"/>
          <w:b/>
          <w:color w:val="auto"/>
          <w:sz w:val="24"/>
          <w:highlight w:val="none"/>
        </w:rPr>
        <w:t>无效标、评标</w:t>
      </w:r>
    </w:p>
    <w:p w14:paraId="72865D4A">
      <w:pPr>
        <w:pStyle w:val="15"/>
        <w:snapToGrid w:val="0"/>
        <w:spacing w:beforeLines="0" w:afterLines="0" w:line="360" w:lineRule="auto"/>
        <w:ind w:firstLine="472" w:firstLineChars="196"/>
        <w:rPr>
          <w:rFonts w:hAnsi="宋体"/>
          <w:b/>
          <w:color w:val="auto"/>
          <w:highlight w:val="none"/>
        </w:rPr>
      </w:pPr>
      <w:r>
        <w:rPr>
          <w:rFonts w:hint="eastAsia" w:hAnsi="宋体"/>
          <w:b/>
          <w:color w:val="auto"/>
          <w:highlight w:val="none"/>
        </w:rPr>
        <w:t>（一）开标准备</w:t>
      </w:r>
    </w:p>
    <w:p w14:paraId="6FFFDAAC">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13FAF112">
      <w:pPr>
        <w:pStyle w:val="15"/>
        <w:snapToGrid w:val="0"/>
        <w:spacing w:beforeLines="0" w:afterLines="0" w:line="360" w:lineRule="auto"/>
        <w:ind w:firstLine="472" w:firstLineChars="196"/>
        <w:rPr>
          <w:rFonts w:hAnsi="宋体"/>
          <w:b/>
          <w:bCs/>
          <w:color w:val="auto"/>
          <w:highlight w:val="none"/>
        </w:rPr>
      </w:pPr>
      <w:r>
        <w:rPr>
          <w:rFonts w:hint="eastAsia" w:hAnsi="宋体"/>
          <w:b/>
          <w:bCs/>
          <w:color w:val="auto"/>
          <w:highlight w:val="none"/>
        </w:rPr>
        <w:t>（二）开标程序：</w:t>
      </w:r>
    </w:p>
    <w:p w14:paraId="582A625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投标截止时间后，投标人须登录</w:t>
      </w:r>
      <w:r>
        <w:rPr>
          <w:rFonts w:hint="eastAsia" w:ascii="宋体" w:hAnsi="宋体"/>
          <w:color w:val="auto"/>
          <w:sz w:val="24"/>
          <w:highlight w:val="none"/>
          <w:lang w:eastAsia="zh-CN"/>
        </w:rPr>
        <w:t>乐采云</w:t>
      </w:r>
      <w:r>
        <w:rPr>
          <w:rFonts w:hint="eastAsia" w:ascii="宋体" w:hAnsi="宋体"/>
          <w:color w:val="auto"/>
          <w:sz w:val="24"/>
          <w:highlight w:val="none"/>
        </w:rPr>
        <w:t>平台，用“项目采购-开标评标”功能对电子投标文件进行在线解密。在线解密电子投标文件时间为投标截止时间起半个小时内。</w:t>
      </w:r>
    </w:p>
    <w:p w14:paraId="6E6F99B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由采购人代表对资格审查文件进行评审，评标委员会对商务技术响应文件进行评审；</w:t>
      </w:r>
    </w:p>
    <w:p w14:paraId="4729FCA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在系统上公开资格审查和技术商务评审结果；</w:t>
      </w:r>
    </w:p>
    <w:p w14:paraId="476181A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在系统上公开报价开标情况；</w:t>
      </w:r>
    </w:p>
    <w:p w14:paraId="7754E7D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评标委员会对报价情况进行评审；</w:t>
      </w:r>
    </w:p>
    <w:p w14:paraId="11643A7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在系统上公布评审结果。</w:t>
      </w:r>
    </w:p>
    <w:p w14:paraId="06BE82EE">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特别说明：</w:t>
      </w:r>
      <w:r>
        <w:rPr>
          <w:rFonts w:hint="eastAsia" w:ascii="宋体" w:hAnsi="宋体"/>
          <w:b/>
          <w:bCs/>
          <w:color w:val="auto"/>
          <w:sz w:val="24"/>
          <w:highlight w:val="none"/>
          <w:lang w:eastAsia="zh-CN"/>
        </w:rPr>
        <w:t>乐采云</w:t>
      </w:r>
      <w:r>
        <w:rPr>
          <w:rFonts w:hint="eastAsia" w:ascii="宋体" w:hAnsi="宋体"/>
          <w:b/>
          <w:bCs/>
          <w:color w:val="auto"/>
          <w:sz w:val="24"/>
          <w:highlight w:val="none"/>
        </w:rPr>
        <w:t>公司如对电子化开标及评审程序有调整的，按调整后的程序操作。</w:t>
      </w:r>
    </w:p>
    <w:p w14:paraId="4FAE610D">
      <w:pPr>
        <w:spacing w:line="360" w:lineRule="auto"/>
        <w:ind w:firstLine="480" w:firstLineChars="200"/>
        <w:rPr>
          <w:rFonts w:ascii="宋体" w:hAnsi="宋体"/>
          <w:color w:val="auto"/>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.本项目采用</w:t>
      </w:r>
      <w:r>
        <w:rPr>
          <w:rFonts w:hint="eastAsia" w:ascii="宋体" w:hAnsi="宋体"/>
          <w:color w:val="auto"/>
          <w:sz w:val="24"/>
          <w:highlight w:val="none"/>
          <w:lang w:eastAsia="zh-CN"/>
        </w:rPr>
        <w:t>乐采云</w:t>
      </w:r>
      <w:r>
        <w:rPr>
          <w:rFonts w:hint="eastAsia" w:ascii="宋体" w:hAnsi="宋体"/>
          <w:color w:val="auto"/>
          <w:sz w:val="24"/>
          <w:highlight w:val="none"/>
        </w:rPr>
        <w:t>电子招投标开标及评审程序，开评标时出现电子投标文件无法解密或解密失败等情况时，采购代理机构可上传投标人的电子备份投标文件继续评审。</w:t>
      </w:r>
    </w:p>
    <w:p w14:paraId="4268B693">
      <w:pPr>
        <w:spacing w:line="360" w:lineRule="auto"/>
        <w:ind w:firstLine="484" w:firstLineChars="201"/>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（二）无效标情形</w:t>
      </w:r>
    </w:p>
    <w:p w14:paraId="7353C3AD">
      <w:pPr>
        <w:snapToGrid w:val="0"/>
        <w:spacing w:line="360" w:lineRule="auto"/>
        <w:ind w:firstLine="420"/>
        <w:jc w:val="left"/>
        <w:rPr>
          <w:rFonts w:ascii="宋体"/>
          <w:color w:val="auto"/>
          <w:sz w:val="24"/>
          <w:highlight w:val="none"/>
        </w:rPr>
      </w:pPr>
      <w:r>
        <w:rPr>
          <w:rFonts w:hint="eastAsia" w:ascii="宋体" w:hAnsi="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6EC2F6B4">
      <w:pPr>
        <w:snapToGrid w:val="0"/>
        <w:spacing w:line="360" w:lineRule="auto"/>
        <w:ind w:firstLine="472" w:firstLineChars="196"/>
        <w:rPr>
          <w:rFonts w:ascii="宋体"/>
          <w:b/>
          <w:bCs/>
          <w:color w:val="auto"/>
          <w:sz w:val="24"/>
          <w:highlight w:val="none"/>
        </w:rPr>
      </w:pPr>
      <w:r>
        <w:rPr>
          <w:rFonts w:ascii="宋体" w:hAnsi="宋体"/>
          <w:b/>
          <w:bCs/>
          <w:color w:val="auto"/>
          <w:sz w:val="24"/>
          <w:highlight w:val="none"/>
        </w:rPr>
        <w:t>1</w:t>
      </w:r>
      <w:r>
        <w:rPr>
          <w:rFonts w:ascii="宋体"/>
          <w:b/>
          <w:bCs/>
          <w:color w:val="auto"/>
          <w:sz w:val="24"/>
          <w:highlight w:val="none"/>
        </w:rPr>
        <w:t>.</w:t>
      </w:r>
      <w:r>
        <w:rPr>
          <w:rFonts w:hint="eastAsia" w:ascii="宋体" w:hAnsi="宋体"/>
          <w:b/>
          <w:bCs/>
          <w:color w:val="auto"/>
          <w:sz w:val="24"/>
          <w:highlight w:val="none"/>
        </w:rPr>
        <w:t>在符合性审查和商务评审时，如发现下列情形之一的，投标文件将被视为无效：</w:t>
      </w:r>
    </w:p>
    <w:p w14:paraId="3B528AA1">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14:paraId="4CD680ED">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（2）在开评标时出现电子投标文件无法解密或解密失败等情况，投标人未提供电子备份投标文件，无法对投标人继续进行评审的；</w:t>
      </w:r>
    </w:p>
    <w:p w14:paraId="624327BC">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14:paraId="3E651D8A">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（4）资信及商务标内有商务报价出现的；</w:t>
      </w:r>
    </w:p>
    <w:p w14:paraId="2CBFCA9B">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（5）网上下载的证明文件，不能通过真实性验证的（发现提供虚假资料的，按照提供虚假资料处理）； </w:t>
      </w:r>
    </w:p>
    <w:p w14:paraId="25A623B5">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（6）资格证明文件不全的，或者不符合招标文件标明的资格要求的；</w:t>
      </w:r>
    </w:p>
    <w:p w14:paraId="259D2DAF">
      <w:pPr>
        <w:snapToGrid w:val="0"/>
        <w:spacing w:line="440" w:lineRule="exact"/>
        <w:ind w:firstLine="240" w:firstLineChars="100"/>
        <w:rPr>
          <w:rFonts w:ascii="宋体" w:hAnsi="宋体" w:cs="宋体"/>
          <w:bCs/>
          <w:color w:val="auto"/>
          <w:sz w:val="24"/>
          <w:highlight w:val="none"/>
        </w:rPr>
      </w:pPr>
      <w:r>
        <w:rPr>
          <w:rFonts w:hint="eastAsia" w:ascii="宋体" w:hAnsi="宋体" w:cs="宋体"/>
          <w:color w:val="auto"/>
          <w:sz w:val="24"/>
          <w:highlight w:val="none"/>
        </w:rPr>
        <w:t>（7）投标文件无法定代表人签字,或未</w:t>
      </w:r>
      <w:r>
        <w:rPr>
          <w:rFonts w:hint="eastAsia" w:ascii="宋体" w:hAnsi="宋体" w:cs="宋体"/>
          <w:bCs/>
          <w:color w:val="auto"/>
          <w:sz w:val="24"/>
          <w:highlight w:val="none"/>
        </w:rPr>
        <w:t>提供法定代表人授权委托书、投标声明书或者填写项目不齐全的；</w:t>
      </w:r>
    </w:p>
    <w:p w14:paraId="6D307040">
      <w:pPr>
        <w:snapToGrid w:val="0"/>
        <w:spacing w:line="440" w:lineRule="exact"/>
        <w:ind w:firstLine="240" w:firstLineChars="100"/>
        <w:rPr>
          <w:rFonts w:ascii="宋体" w:hAnsi="宋体" w:cs="宋体"/>
          <w:snapToGrid w:val="0"/>
          <w:color w:val="auto"/>
          <w:sz w:val="24"/>
          <w:highlight w:val="none"/>
        </w:rPr>
      </w:pPr>
      <w:r>
        <w:rPr>
          <w:rFonts w:hint="eastAsia" w:ascii="宋体" w:hAnsi="宋体" w:cs="宋体"/>
          <w:color w:val="auto"/>
          <w:sz w:val="24"/>
          <w:highlight w:val="none"/>
        </w:rPr>
        <w:t>（8</w:t>
      </w:r>
      <w:r>
        <w:rPr>
          <w:rFonts w:hint="eastAsia" w:ascii="宋体" w:hAnsi="宋体" w:cs="宋体"/>
          <w:snapToGrid w:val="0"/>
          <w:color w:val="auto"/>
          <w:sz w:val="24"/>
          <w:highlight w:val="none"/>
        </w:rPr>
        <w:t>）</w:t>
      </w:r>
      <w:r>
        <w:rPr>
          <w:rFonts w:hint="eastAsia" w:ascii="宋体" w:hAnsi="宋体" w:cs="宋体"/>
          <w:color w:val="auto"/>
          <w:sz w:val="24"/>
          <w:highlight w:val="none"/>
        </w:rPr>
        <w:t>投标文件格式未按本招标文件的要求提交或者内容虚假的；</w:t>
      </w:r>
    </w:p>
    <w:p w14:paraId="14759C1B">
      <w:pPr>
        <w:snapToGrid w:val="0"/>
        <w:spacing w:line="440" w:lineRule="exact"/>
        <w:ind w:firstLine="240" w:firstLineChars="100"/>
        <w:rPr>
          <w:rFonts w:ascii="宋体" w:hAnsi="宋体" w:cs="宋体"/>
          <w:snapToGrid w:val="0"/>
          <w:color w:val="auto"/>
          <w:sz w:val="24"/>
          <w:highlight w:val="none"/>
        </w:rPr>
      </w:pPr>
      <w:r>
        <w:rPr>
          <w:rFonts w:hint="eastAsia" w:ascii="宋体" w:hAnsi="宋体" w:cs="宋体"/>
          <w:color w:val="auto"/>
          <w:sz w:val="24"/>
          <w:highlight w:val="none"/>
        </w:rPr>
        <w:t>（9）投标文件的实质性内容未使用中文表述、意思表述不明确、前后矛盾或者使用计量单位不符合招标文件要求的（经评标委员会鉴定并允许其当场更正的笔误除外）；</w:t>
      </w:r>
    </w:p>
    <w:p w14:paraId="7FD92DB8">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（10）投标有效期、服务时间、质保期等商务条款不能满足招标文件要求的；</w:t>
      </w:r>
    </w:p>
    <w:p w14:paraId="7E21C34D">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（11）未实质性响应招标文件中标有“▲”条款要求的；</w:t>
      </w:r>
    </w:p>
    <w:p w14:paraId="4B23B2E0">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（12）未提交本招标文件资信及商务文件中第（2）、（1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）条资料的；</w:t>
      </w:r>
    </w:p>
    <w:p w14:paraId="3F0CB64C">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（13）有下列情形之一的，视为投标人串通投标，其投标无效:</w:t>
      </w:r>
    </w:p>
    <w:p w14:paraId="406A2FE1">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A.不同投标人的投标文件由同一单位或者个人编制；</w:t>
      </w:r>
    </w:p>
    <w:p w14:paraId="02AEC326">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B.不同投标人委托同一单位或者个人办理投标事宜；</w:t>
      </w:r>
    </w:p>
    <w:p w14:paraId="2D434F3C">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C.不同投标人的投标文件载明的项目管理成员或者联系人员为同一人；</w:t>
      </w:r>
    </w:p>
    <w:p w14:paraId="59484B32">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D.不同投标人的投标文件异常一致或者投标报价呈规律性差异；</w:t>
      </w:r>
    </w:p>
    <w:p w14:paraId="7BAABB05">
      <w:pPr>
        <w:snapToGrid w:val="0"/>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E.不同投标人的投标文件相互混装；</w:t>
      </w:r>
    </w:p>
    <w:p w14:paraId="381A1ED6">
      <w:pPr>
        <w:spacing w:line="400" w:lineRule="atLeast"/>
        <w:rPr>
          <w:rFonts w:ascii="宋体" w:hAnsi="宋体" w:cs="宋体"/>
          <w:color w:val="auto"/>
          <w:sz w:val="24"/>
          <w:highlight w:val="none"/>
        </w:rPr>
      </w:pPr>
      <w:r>
        <w:rPr>
          <w:rFonts w:hint="eastAsia" w:ascii="宋体" w:hAnsi="宋体" w:cs="宋体"/>
          <w:color w:val="auto"/>
          <w:sz w:val="24"/>
          <w:highlight w:val="none"/>
        </w:rPr>
        <w:t>（14）不同供应商制作电子投标（响应）文件的计算机网卡MAC地址相同的；</w:t>
      </w:r>
    </w:p>
    <w:p w14:paraId="013B31F9">
      <w:pPr>
        <w:spacing w:line="400" w:lineRule="atLeas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）不同供应商制作电子投标（响应）文件的计算机硬盘序列号相同的；</w:t>
      </w:r>
    </w:p>
    <w:p w14:paraId="41483235">
      <w:pPr>
        <w:spacing w:line="400" w:lineRule="atLeas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）不同供应商的投标（响应）文件的内容存在两处以上细节错误一致，且无法合理解释的；</w:t>
      </w:r>
    </w:p>
    <w:p w14:paraId="04CFE62F">
      <w:pPr>
        <w:spacing w:line="400" w:lineRule="atLeas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17</w:t>
      </w:r>
      <w:r>
        <w:rPr>
          <w:rFonts w:hint="eastAsia" w:ascii="宋体" w:hAnsi="宋体" w:cs="宋体"/>
          <w:color w:val="auto"/>
          <w:sz w:val="24"/>
          <w:highlight w:val="none"/>
          <w:lang w:eastAsia="zh-CN"/>
        </w:rPr>
        <w:t>）</w:t>
      </w:r>
      <w:r>
        <w:rPr>
          <w:rFonts w:hint="eastAsia" w:ascii="宋体" w:hAnsi="宋体" w:cs="宋体"/>
          <w:color w:val="auto"/>
          <w:sz w:val="24"/>
          <w:highlight w:val="none"/>
        </w:rPr>
        <w:t>未实质性响应招标文件要求或者投标文件有招标方不能接受的附加条件的；</w:t>
      </w:r>
    </w:p>
    <w:p w14:paraId="4CA0D407">
      <w:pPr>
        <w:spacing w:line="400" w:lineRule="atLeas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）招标文件规定的其它投标无效的情况；</w:t>
      </w:r>
    </w:p>
    <w:p w14:paraId="37C02B81">
      <w:pPr>
        <w:tabs>
          <w:tab w:val="left" w:pos="401"/>
        </w:tabs>
        <w:spacing w:line="400" w:lineRule="atLeas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）法律、法规规定的其它投标无效情况。</w:t>
      </w:r>
    </w:p>
    <w:p w14:paraId="1B24BB60">
      <w:pPr>
        <w:pStyle w:val="14"/>
        <w:snapToGrid w:val="0"/>
        <w:spacing w:line="360" w:lineRule="auto"/>
        <w:ind w:firstLine="457" w:firstLineChars="196"/>
        <w:rPr>
          <w:rFonts w:hAnsi="宋体"/>
          <w:b/>
          <w:bCs/>
          <w:color w:val="auto"/>
          <w:sz w:val="24"/>
          <w:szCs w:val="24"/>
          <w:highlight w:val="none"/>
        </w:rPr>
      </w:pPr>
      <w:r>
        <w:rPr>
          <w:rFonts w:hAnsi="宋体"/>
          <w:b/>
          <w:bCs/>
          <w:color w:val="auto"/>
          <w:sz w:val="24"/>
          <w:szCs w:val="24"/>
          <w:highlight w:val="none"/>
        </w:rPr>
        <w:t>2.</w:t>
      </w:r>
      <w:r>
        <w:rPr>
          <w:rFonts w:hint="eastAsia" w:hAnsi="宋体"/>
          <w:b/>
          <w:bCs/>
          <w:color w:val="auto"/>
          <w:sz w:val="24"/>
          <w:szCs w:val="24"/>
          <w:highlight w:val="none"/>
        </w:rPr>
        <w:t>在技术评审时，如发现下列情形之一的，投标文件将被视为无效：</w:t>
      </w:r>
    </w:p>
    <w:p w14:paraId="144790FF">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7892BCDE">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（2）技术标内有商务报价出现的；</w:t>
      </w:r>
    </w:p>
    <w:p w14:paraId="77996F4F">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（3）未提供或未如实提供，或者投标文件标明的响应或偏离与事实不符或虚假投标的；</w:t>
      </w:r>
    </w:p>
    <w:p w14:paraId="58C06A86">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（4）明显不符合招标文件要求的服务、质量标准，或者与招标文件中标有“▲”、的技术指标、主要功能项目发生实质性偏离的；</w:t>
      </w:r>
    </w:p>
    <w:p w14:paraId="37C2A6F8">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（5）投标技术方案不明确，存在一个或一个以上备选（替代）投标方案的；</w:t>
      </w:r>
    </w:p>
    <w:p w14:paraId="54DDFAA4">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（6）与其他参加本次投标投标人的投标文件（技术文件）的文字表述内容相同连续20行以上或者差错相同2处以上的。</w:t>
      </w:r>
    </w:p>
    <w:p w14:paraId="437878E5">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（7）招标文件规定的其它投标无效的情况；</w:t>
      </w:r>
    </w:p>
    <w:p w14:paraId="1E68129B">
      <w:pPr>
        <w:snapToGrid w:val="0"/>
        <w:spacing w:line="44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（8）法律、法规规定的其它投标无效情况。</w:t>
      </w:r>
    </w:p>
    <w:p w14:paraId="312F562E">
      <w:pPr>
        <w:pStyle w:val="14"/>
        <w:snapToGrid w:val="0"/>
        <w:spacing w:line="360" w:lineRule="auto"/>
        <w:ind w:firstLine="457" w:firstLineChars="196"/>
        <w:rPr>
          <w:rFonts w:hAnsi="宋体"/>
          <w:b/>
          <w:bCs/>
          <w:color w:val="auto"/>
          <w:sz w:val="24"/>
          <w:szCs w:val="24"/>
          <w:highlight w:val="none"/>
        </w:rPr>
      </w:pPr>
      <w:r>
        <w:rPr>
          <w:rFonts w:hAnsi="宋体"/>
          <w:b/>
          <w:bCs/>
          <w:color w:val="auto"/>
          <w:sz w:val="24"/>
          <w:szCs w:val="24"/>
          <w:highlight w:val="none"/>
        </w:rPr>
        <w:t>3.</w:t>
      </w:r>
      <w:r>
        <w:rPr>
          <w:rFonts w:hint="eastAsia" w:hAnsi="宋体"/>
          <w:b/>
          <w:bCs/>
          <w:color w:val="auto"/>
          <w:sz w:val="24"/>
          <w:szCs w:val="24"/>
          <w:highlight w:val="none"/>
        </w:rPr>
        <w:t>在报价评审时，如发现下列情形之一的，投标文件将被视为无效：</w:t>
      </w:r>
    </w:p>
    <w:p w14:paraId="49CE8C77">
      <w:pPr>
        <w:pStyle w:val="7"/>
        <w:spacing w:line="36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（1）投标人未在规定的时间内对电子询标函进行澄清回复、拒绝澄清回复或者澄清回复的内容改变了投标文件的实质性内容的；</w:t>
      </w:r>
    </w:p>
    <w:p w14:paraId="01F7EC74">
      <w:pPr>
        <w:pStyle w:val="7"/>
        <w:spacing w:line="36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（2）未填写投标报价或未采用人民币报价或者未按照招标文件标明的币种报价的；</w:t>
      </w:r>
    </w:p>
    <w:p w14:paraId="39EAAC17">
      <w:pPr>
        <w:pStyle w:val="7"/>
        <w:spacing w:line="36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（3）投标报价具有选择性的，或者开标价格与投标文件承诺的优惠（折扣）价格不一致的；</w:t>
      </w:r>
    </w:p>
    <w:p w14:paraId="2E0024FA">
      <w:pPr>
        <w:pStyle w:val="7"/>
        <w:spacing w:line="36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（4）报价高于用户设定的最高限价或预算金额的；</w:t>
      </w:r>
    </w:p>
    <w:p w14:paraId="565EE090">
      <w:pPr>
        <w:pStyle w:val="7"/>
        <w:spacing w:line="36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（5）招标文件规定的其它投标无效的情况；</w:t>
      </w:r>
    </w:p>
    <w:p w14:paraId="07AD9777">
      <w:pPr>
        <w:pStyle w:val="7"/>
        <w:spacing w:line="360" w:lineRule="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（6）法律、法规规定的其它投标无效情况。</w:t>
      </w:r>
    </w:p>
    <w:p w14:paraId="6068274B">
      <w:pPr>
        <w:pStyle w:val="7"/>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62468C">
      <w:pPr>
        <w:pStyle w:val="7"/>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电子投标文件未按规定要求提供电子签章的。</w:t>
      </w:r>
    </w:p>
    <w:p w14:paraId="3AACFBC9">
      <w:pPr>
        <w:pStyle w:val="14"/>
        <w:snapToGrid w:val="0"/>
        <w:spacing w:line="440" w:lineRule="exact"/>
        <w:ind w:left="400"/>
        <w:rPr>
          <w:rFonts w:ascii="宋体" w:hAnsi="宋体" w:cs="宋体"/>
          <w:b/>
          <w:bCs/>
          <w:color w:val="auto"/>
          <w:sz w:val="24"/>
          <w:szCs w:val="24"/>
          <w:highlight w:val="none"/>
        </w:rPr>
      </w:pPr>
      <w:r>
        <w:rPr>
          <w:rFonts w:hint="eastAsia" w:ascii="宋体" w:hAnsi="宋体" w:cs="宋体"/>
          <w:b/>
          <w:bCs/>
          <w:color w:val="auto"/>
          <w:sz w:val="24"/>
          <w:szCs w:val="24"/>
          <w:highlight w:val="none"/>
        </w:rPr>
        <w:t>4.被拒绝的投标文件为无效。</w:t>
      </w:r>
    </w:p>
    <w:p w14:paraId="1F721980">
      <w:pPr>
        <w:pStyle w:val="14"/>
        <w:snapToGrid w:val="0"/>
        <w:spacing w:line="440" w:lineRule="exact"/>
        <w:ind w:left="400"/>
        <w:rPr>
          <w:rFonts w:ascii="宋体" w:hAnsi="宋体" w:cs="宋体"/>
          <w:b/>
          <w:bCs/>
          <w:color w:val="auto"/>
          <w:sz w:val="24"/>
          <w:szCs w:val="24"/>
          <w:highlight w:val="none"/>
        </w:rPr>
      </w:pPr>
      <w:r>
        <w:rPr>
          <w:rFonts w:hint="eastAsia" w:ascii="宋体" w:hAnsi="宋体" w:cs="宋体"/>
          <w:b/>
          <w:bCs/>
          <w:color w:val="auto"/>
          <w:sz w:val="24"/>
          <w:szCs w:val="24"/>
          <w:highlight w:val="none"/>
        </w:rPr>
        <w:t>5.根据有关法律、法规规定为无效、废标的，按法律、法规规定执行。</w:t>
      </w:r>
    </w:p>
    <w:p w14:paraId="685FBD6F">
      <w:pPr>
        <w:spacing w:line="360" w:lineRule="auto"/>
        <w:ind w:firstLine="484" w:firstLineChars="201"/>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（三） 评标小组与评标原则</w:t>
      </w:r>
    </w:p>
    <w:p w14:paraId="54116996">
      <w:pPr>
        <w:tabs>
          <w:tab w:val="left" w:pos="720"/>
        </w:tabs>
        <w:spacing w:line="360" w:lineRule="auto"/>
        <w:ind w:firstLine="616" w:firstLineChars="257"/>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本项目评标委员会由</w:t>
      </w:r>
      <w:r>
        <w:rPr>
          <w:rFonts w:hint="eastAsia" w:cs="仿宋" w:asciiTheme="minorEastAsia" w:hAnsiTheme="minorEastAsia" w:eastAsiaTheme="minorEastAsia"/>
          <w:color w:val="auto"/>
          <w:sz w:val="24"/>
          <w:highlight w:val="none"/>
          <w:u w:val="single"/>
        </w:rPr>
        <w:t>评审专家4人</w:t>
      </w:r>
      <w:r>
        <w:rPr>
          <w:rFonts w:hint="eastAsia" w:cs="仿宋" w:asciiTheme="minorEastAsia" w:hAnsiTheme="minorEastAsia" w:eastAsiaTheme="minorEastAsia"/>
          <w:color w:val="auto"/>
          <w:sz w:val="24"/>
          <w:highlight w:val="none"/>
        </w:rPr>
        <w:t>和</w:t>
      </w:r>
      <w:r>
        <w:rPr>
          <w:rFonts w:hint="eastAsia" w:cs="仿宋" w:asciiTheme="minorEastAsia" w:hAnsiTheme="minorEastAsia" w:eastAsiaTheme="minorEastAsia"/>
          <w:color w:val="auto"/>
          <w:sz w:val="24"/>
          <w:highlight w:val="none"/>
          <w:u w:val="single"/>
        </w:rPr>
        <w:t>采购人代表 1 人</w:t>
      </w:r>
      <w:r>
        <w:rPr>
          <w:rFonts w:hint="eastAsia" w:cs="仿宋" w:asciiTheme="minorEastAsia" w:hAnsiTheme="minorEastAsia" w:eastAsiaTheme="minorEastAsia"/>
          <w:color w:val="auto"/>
          <w:sz w:val="24"/>
          <w:highlight w:val="none"/>
        </w:rPr>
        <w:t>，共</w:t>
      </w:r>
      <w:r>
        <w:rPr>
          <w:rFonts w:hint="eastAsia" w:cs="仿宋" w:asciiTheme="minorEastAsia" w:hAnsiTheme="minorEastAsia" w:eastAsiaTheme="minorEastAsia"/>
          <w:color w:val="auto"/>
          <w:sz w:val="24"/>
          <w:highlight w:val="none"/>
          <w:u w:val="single"/>
        </w:rPr>
        <w:t>5人</w:t>
      </w:r>
      <w:r>
        <w:rPr>
          <w:rFonts w:hint="eastAsia" w:cs="仿宋" w:asciiTheme="minorEastAsia" w:hAnsiTheme="minorEastAsia" w:eastAsiaTheme="minorEastAsia"/>
          <w:color w:val="auto"/>
          <w:sz w:val="24"/>
          <w:highlight w:val="none"/>
        </w:rPr>
        <w:t>组成，从东阳市国资办专家库中抽取。评标小组遵循公开、公平、公正、科学合理，竞争择优的原则。（允许采购人不推荐采购人代表参加，如采购人不推荐采购人代表参加评审时，评标委员会（5人）都从评标专家库中抽取）。</w:t>
      </w:r>
    </w:p>
    <w:p w14:paraId="0E9D4B98">
      <w:pPr>
        <w:spacing w:line="360" w:lineRule="auto"/>
        <w:ind w:firstLine="484" w:firstLineChars="201"/>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（四）评标过程的保密</w:t>
      </w:r>
    </w:p>
    <w:p w14:paraId="7884E89F">
      <w:pPr>
        <w:tabs>
          <w:tab w:val="left" w:pos="720"/>
        </w:tabs>
        <w:spacing w:line="360" w:lineRule="auto"/>
        <w:ind w:firstLine="616" w:firstLineChars="257"/>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1.评标会开始后，直至授予成交承销商合同为止，凡属于对投标响应文件的审查、澄清、评判和比较的有关资料、中标候选人的推荐情况及与招标有关的其他任何情况均依法严格保密。</w:t>
      </w:r>
    </w:p>
    <w:p w14:paraId="7AC48907">
      <w:pPr>
        <w:tabs>
          <w:tab w:val="left" w:pos="720"/>
        </w:tabs>
        <w:spacing w:line="360" w:lineRule="auto"/>
        <w:ind w:firstLine="616" w:firstLineChars="257"/>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2.在投标响应文件的评判和比较、中标候选人推荐以及授予合同的过程中，</w:t>
      </w:r>
      <w:r>
        <w:rPr>
          <w:rFonts w:hint="eastAsia" w:cs="仿宋" w:asciiTheme="minorEastAsia" w:hAnsiTheme="minorEastAsia" w:eastAsiaTheme="minorEastAsia"/>
          <w:color w:val="auto"/>
          <w:sz w:val="24"/>
          <w:highlight w:val="none"/>
          <w:lang w:val="zh-CN"/>
        </w:rPr>
        <w:t>承销商</w:t>
      </w:r>
      <w:r>
        <w:rPr>
          <w:rFonts w:hint="eastAsia" w:cs="仿宋" w:asciiTheme="minorEastAsia" w:hAnsiTheme="minorEastAsia" w:eastAsiaTheme="minorEastAsia"/>
          <w:color w:val="auto"/>
          <w:sz w:val="24"/>
          <w:highlight w:val="none"/>
        </w:rPr>
        <w:t>向招标采购单位和评标小组施加影响的任何行为，都将会导致其招标被拒绝。</w:t>
      </w:r>
    </w:p>
    <w:p w14:paraId="161CBE31">
      <w:pPr>
        <w:tabs>
          <w:tab w:val="left" w:pos="720"/>
        </w:tabs>
        <w:spacing w:line="360" w:lineRule="auto"/>
        <w:ind w:firstLine="616" w:firstLineChars="257"/>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 评标小组分别各</w:t>
      </w:r>
      <w:r>
        <w:rPr>
          <w:rFonts w:hint="eastAsia" w:cs="仿宋" w:asciiTheme="minorEastAsia" w:hAnsiTheme="minorEastAsia" w:eastAsiaTheme="minorEastAsia"/>
          <w:color w:val="auto"/>
          <w:sz w:val="24"/>
          <w:highlight w:val="none"/>
          <w:lang w:val="zh-CN"/>
        </w:rPr>
        <w:t>投标人</w:t>
      </w:r>
      <w:r>
        <w:rPr>
          <w:rFonts w:hint="eastAsia" w:cs="仿宋" w:asciiTheme="minorEastAsia" w:hAnsiTheme="minorEastAsia" w:eastAsiaTheme="minorEastAsia"/>
          <w:color w:val="auto"/>
          <w:sz w:val="24"/>
          <w:highlight w:val="none"/>
        </w:rPr>
        <w:t>提交的响应文件进行资信商务、技术及价格内容评审，在招标过程中，评标小组成员不得透露其他</w:t>
      </w:r>
      <w:r>
        <w:rPr>
          <w:rFonts w:hint="eastAsia" w:cs="仿宋" w:asciiTheme="minorEastAsia" w:hAnsiTheme="minorEastAsia" w:eastAsiaTheme="minorEastAsia"/>
          <w:color w:val="auto"/>
          <w:sz w:val="24"/>
          <w:highlight w:val="none"/>
          <w:lang w:val="zh-CN"/>
        </w:rPr>
        <w:t>承销商</w:t>
      </w:r>
      <w:r>
        <w:rPr>
          <w:rFonts w:hint="eastAsia" w:cs="仿宋" w:asciiTheme="minorEastAsia" w:hAnsiTheme="minorEastAsia" w:eastAsiaTheme="minorEastAsia"/>
          <w:color w:val="auto"/>
          <w:sz w:val="24"/>
          <w:highlight w:val="none"/>
        </w:rPr>
        <w:t>的投标信息，严守商业秘密。</w:t>
      </w:r>
    </w:p>
    <w:p w14:paraId="4D19BAAC">
      <w:pPr>
        <w:spacing w:line="360" w:lineRule="auto"/>
        <w:ind w:firstLine="484" w:firstLineChars="201"/>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（五）投标响应文件的澄清</w:t>
      </w:r>
    </w:p>
    <w:p w14:paraId="00289B6B">
      <w:pPr>
        <w:tabs>
          <w:tab w:val="left" w:pos="720"/>
        </w:tabs>
        <w:spacing w:line="360" w:lineRule="auto"/>
        <w:ind w:firstLine="616" w:firstLineChars="257"/>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为有助于投标响应文件的审查、评判和比较，评标小组可以书面形式要求</w:t>
      </w:r>
      <w:r>
        <w:rPr>
          <w:rFonts w:hint="eastAsia" w:cs="仿宋" w:asciiTheme="minorEastAsia" w:hAnsiTheme="minorEastAsia" w:eastAsiaTheme="minorEastAsia"/>
          <w:color w:val="auto"/>
          <w:sz w:val="24"/>
          <w:highlight w:val="none"/>
          <w:lang w:val="zh-CN"/>
        </w:rPr>
        <w:t>承销商</w:t>
      </w:r>
      <w:r>
        <w:rPr>
          <w:rFonts w:hint="eastAsia" w:cs="仿宋" w:asciiTheme="minorEastAsia" w:hAnsiTheme="minorEastAsia" w:eastAsiaTheme="minorEastAsia"/>
          <w:color w:val="auto"/>
          <w:sz w:val="24"/>
          <w:highlight w:val="none"/>
        </w:rPr>
        <w:t>对投标响应文件含义不明确的内容作必要的澄清或说明，</w:t>
      </w:r>
      <w:r>
        <w:rPr>
          <w:rFonts w:hint="eastAsia" w:cs="仿宋" w:asciiTheme="minorEastAsia" w:hAnsiTheme="minorEastAsia" w:eastAsiaTheme="minorEastAsia"/>
          <w:color w:val="auto"/>
          <w:sz w:val="24"/>
          <w:highlight w:val="none"/>
          <w:lang w:val="zh-CN"/>
        </w:rPr>
        <w:t>承销商</w:t>
      </w:r>
      <w:r>
        <w:rPr>
          <w:rFonts w:hint="eastAsia" w:cs="仿宋" w:asciiTheme="minorEastAsia" w:hAnsiTheme="minorEastAsia" w:eastAsiaTheme="minorEastAsia"/>
          <w:color w:val="auto"/>
          <w:sz w:val="24"/>
          <w:highlight w:val="none"/>
        </w:rPr>
        <w:t>应采用书面形式进行澄清、说明或承诺。</w:t>
      </w:r>
    </w:p>
    <w:p w14:paraId="609BCCE1">
      <w:pPr>
        <w:tabs>
          <w:tab w:val="left" w:pos="720"/>
        </w:tabs>
        <w:spacing w:line="360" w:lineRule="auto"/>
        <w:ind w:firstLine="482" w:firstLineChars="20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（六）评标原则</w:t>
      </w:r>
    </w:p>
    <w:p w14:paraId="31297F26">
      <w:pPr>
        <w:tabs>
          <w:tab w:val="left" w:pos="720"/>
        </w:tabs>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1.评标小组必须公平、公正、客观，不带任何倾向性和启发性；按照招标文件的要求和条件进行评标；客观、公正地对待所有投标人，对所有投标评审，均采用相同的程序和标准。</w:t>
      </w:r>
    </w:p>
    <w:p w14:paraId="2C901104">
      <w:pPr>
        <w:tabs>
          <w:tab w:val="left" w:pos="720"/>
        </w:tabs>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评标小组要审查每份投标响应文件是否实质上响应了招标文件的要求。实质上响应的投标文件应该是与招标文件要求的全部条款、条件相符，没有重大偏离的投标。评标小组决定投标的响应性只根据响应文件的内容，而不寻求外部的证据。投标人不得通过修改或撤消不合要求的偏离或保留从而使其投标成为实质上响应的投标</w:t>
      </w:r>
    </w:p>
    <w:p w14:paraId="6CA270D4">
      <w:pPr>
        <w:tabs>
          <w:tab w:val="left" w:pos="720"/>
        </w:tabs>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3.在评标过程中，评标小组及有关工作人员不得私下与投标人接触，在招标工作结束后，凡与评标情况有</w:t>
      </w:r>
    </w:p>
    <w:p w14:paraId="4C661A32">
      <w:pPr>
        <w:tabs>
          <w:tab w:val="left" w:pos="720"/>
        </w:tabs>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接触的人不得向外界透露任何与评标有关的内容。招标代理机构不向落标方解释落标原因。</w:t>
      </w:r>
    </w:p>
    <w:p w14:paraId="43827983">
      <w:pPr>
        <w:tabs>
          <w:tab w:val="left" w:pos="720"/>
        </w:tabs>
        <w:spacing w:line="360" w:lineRule="auto"/>
        <w:ind w:firstLine="480" w:firstLineChars="200"/>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color w:val="auto"/>
          <w:sz w:val="24"/>
          <w:szCs w:val="24"/>
          <w:highlight w:val="none"/>
        </w:rPr>
        <w:t>4.在开标、评标期间，任何单位和个人不得干扰、影响评标的正常进行，投标人不得向评标小组成员询问评标情况，不得进行旨在影响评标结果的活动，否则将废除其投标资格。</w:t>
      </w:r>
    </w:p>
    <w:p w14:paraId="039F2E21">
      <w:pPr>
        <w:spacing w:line="360" w:lineRule="auto"/>
        <w:ind w:firstLine="484" w:firstLineChars="201"/>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（七）评标程序</w:t>
      </w:r>
    </w:p>
    <w:p w14:paraId="364DEB18">
      <w:pPr>
        <w:spacing w:line="460" w:lineRule="exact"/>
        <w:ind w:firstLine="480" w:firstLineChars="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本项目评标一般将按以下程序进行：投标响应文件符合性检查、投标响应文件的澄清（如有）、实质审查与比较、推荐中标候选人和编写评标报告等。</w:t>
      </w:r>
    </w:p>
    <w:p w14:paraId="28D94985">
      <w:pPr>
        <w:spacing w:line="460" w:lineRule="exact"/>
        <w:ind w:firstLine="480" w:firstLineChars="200"/>
        <w:jc w:val="left"/>
        <w:rPr>
          <w:rFonts w:cs="仿宋" w:asciiTheme="minorEastAsia" w:hAnsiTheme="minorEastAsia" w:eastAsiaTheme="minorEastAsia"/>
          <w:b/>
          <w:bCs/>
          <w:color w:val="auto"/>
          <w:highlight w:val="none"/>
          <w:u w:val="double"/>
        </w:rPr>
      </w:pPr>
      <w:r>
        <w:rPr>
          <w:rFonts w:hint="eastAsia" w:cs="仿宋" w:asciiTheme="minorEastAsia" w:hAnsiTheme="minorEastAsia" w:eastAsiaTheme="minorEastAsia"/>
          <w:color w:val="auto"/>
          <w:sz w:val="24"/>
          <w:highlight w:val="none"/>
        </w:rPr>
        <w:t>1.投标响应文件符合性检查</w:t>
      </w:r>
    </w:p>
    <w:p w14:paraId="0EF2AA87">
      <w:pPr>
        <w:spacing w:line="460" w:lineRule="exact"/>
        <w:ind w:firstLine="480" w:firstLineChars="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依据招标文件的规定，从投标响应文件的有效性、完整性和对招标文件的响应程度进行审查、比较和评估，以确定是否对招标文件的实质性要求作出响应。符合性检查不合格的投标人，投标文件判定为不合格。</w:t>
      </w:r>
    </w:p>
    <w:p w14:paraId="78C6AEB2">
      <w:pPr>
        <w:spacing w:line="460" w:lineRule="exact"/>
        <w:ind w:firstLine="480" w:firstLineChars="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投标响应文件的澄清。对投标响应文件中含义不明确、同类问题表述不一致或者有明显文字和计算错误的内容，评标小组可要求投标人以书面形式作出必要的澄清、说明或者纠正。并不得超出投标响应文件的范围或者改变响应文件的实质性内容。</w:t>
      </w:r>
    </w:p>
    <w:p w14:paraId="4DD0E294">
      <w:pPr>
        <w:spacing w:line="460" w:lineRule="exact"/>
        <w:ind w:firstLine="480" w:firstLineChars="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3.实质审查和比较。按招标文件中规定的评标方法和标准，对符合性检查合格的投标响应文件进行评估，综合比较与评价。</w:t>
      </w:r>
    </w:p>
    <w:p w14:paraId="790240B0">
      <w:pPr>
        <w:spacing w:line="460" w:lineRule="exact"/>
        <w:ind w:firstLine="480" w:firstLineChars="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4.推荐中标候选人。评标小组完成评标后,评标小组按评标原则、标准和方法推荐中标候选人同时起草评标报告。</w:t>
      </w:r>
    </w:p>
    <w:p w14:paraId="5AF207A4">
      <w:pPr>
        <w:spacing w:line="460" w:lineRule="exact"/>
        <w:ind w:firstLine="480" w:firstLineChars="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5.投标人拒绝澄清或者澄清的内容改变了投标响应文件的实质性内容的，评标小组有权对该投标响应文件作出不利于投标人的评判。</w:t>
      </w:r>
    </w:p>
    <w:p w14:paraId="122A6AA1">
      <w:pPr>
        <w:spacing w:line="460" w:lineRule="exact"/>
        <w:ind w:firstLine="480" w:firstLineChars="200"/>
        <w:jc w:val="left"/>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▲6.经澄清后，若偏差仍存在，且不可接受，该投标投标人则被认为是“没有实质性响应招标文件要求”，其响应文件不进入下一步评审。</w:t>
      </w:r>
    </w:p>
    <w:p w14:paraId="3C8FF93F">
      <w:pPr>
        <w:tabs>
          <w:tab w:val="left" w:pos="720"/>
        </w:tabs>
        <w:spacing w:line="360" w:lineRule="auto"/>
        <w:ind w:firstLine="487" w:firstLineChars="202"/>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（八）错误修正原则</w:t>
      </w:r>
    </w:p>
    <w:p w14:paraId="52226D10">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（1）投标响应文件中报价函的内容与分项明细报价内容不一致的，以报价函为准；</w:t>
      </w:r>
    </w:p>
    <w:p w14:paraId="1986D6F6">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（2）投标响应文件的大写金额和小写金额不一致的，以大写金额为准；</w:t>
      </w:r>
    </w:p>
    <w:p w14:paraId="0A3456F4">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（3）总价金额与按单价汇总金额不一致的，以单价金额计算结果为准;</w:t>
      </w:r>
    </w:p>
    <w:p w14:paraId="5AAADA2B">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（4）单价金额小数点有明显错位的，应以总价为准，并修改单价；</w:t>
      </w:r>
    </w:p>
    <w:p w14:paraId="74B1353B">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（5）对不同文字文本投标响应文件的解释发生异议的，以中文文本为准。</w:t>
      </w:r>
    </w:p>
    <w:p w14:paraId="2ACF535B">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（6）投标人应根据市场平均水平进行报价，如评标小组一致认为某投标人报价明显不合理，有降低质量、不能诚信履约的可能时，且该投标人未在规定期限内作出解释，或所作解释不合理的，将作无效标处理。</w:t>
      </w:r>
    </w:p>
    <w:p w14:paraId="58C4C4F2">
      <w:pPr>
        <w:tabs>
          <w:tab w:val="left" w:pos="720"/>
        </w:tabs>
        <w:spacing w:line="360" w:lineRule="auto"/>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六、废标</w:t>
      </w:r>
    </w:p>
    <w:p w14:paraId="5DCC5B57">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在招标中，出现下列情形之一的，应予废标：</w:t>
      </w:r>
    </w:p>
    <w:p w14:paraId="4E4D5833">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（1）出现影响采购公正的违法、违规行为的；</w:t>
      </w:r>
    </w:p>
    <w:p w14:paraId="51E44379">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（2）因重大变故，采购任务取消的；</w:t>
      </w:r>
    </w:p>
    <w:p w14:paraId="48CF3AED">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（3）法律、法规、规章等规定的其他情形除外。</w:t>
      </w:r>
    </w:p>
    <w:p w14:paraId="6698ABBA">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废标后，招标采购单位将废标理由通知所有</w:t>
      </w:r>
      <w:r>
        <w:rPr>
          <w:rFonts w:hint="eastAsia" w:cs="仿宋" w:asciiTheme="minorEastAsia" w:hAnsiTheme="minorEastAsia" w:eastAsiaTheme="minorEastAsia"/>
          <w:color w:val="auto"/>
          <w:sz w:val="24"/>
          <w:highlight w:val="none"/>
          <w:lang w:val="zh-CN"/>
        </w:rPr>
        <w:t>投标人</w:t>
      </w:r>
      <w:r>
        <w:rPr>
          <w:rFonts w:hint="eastAsia" w:cs="仿宋" w:asciiTheme="minorEastAsia" w:hAnsiTheme="minorEastAsia" w:eastAsiaTheme="minorEastAsia"/>
          <w:color w:val="auto"/>
          <w:sz w:val="24"/>
          <w:highlight w:val="none"/>
        </w:rPr>
        <w:t>。</w:t>
      </w:r>
    </w:p>
    <w:p w14:paraId="20AD0F23">
      <w:pPr>
        <w:numPr>
          <w:ilvl w:val="0"/>
          <w:numId w:val="5"/>
        </w:numPr>
        <w:tabs>
          <w:tab w:val="left" w:pos="720"/>
        </w:tabs>
        <w:spacing w:line="360" w:lineRule="auto"/>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定标</w:t>
      </w:r>
    </w:p>
    <w:p w14:paraId="75FF57A2">
      <w:pPr>
        <w:tabs>
          <w:tab w:val="left" w:pos="720"/>
        </w:tabs>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在最大限度地满足招标文件实质性要求前提下，评审专家小组按照招标文件中规定的各项因素进行综合评审后，以评审总得分由高到低来进行排名，总得分相同时，按照报价得分由高到低的顺序确定排名。总得分且报价得分均相同的，按照资信技术部分得分由高到低确定排名。总得分、报价得分、资信技术部分得分均相同的，由评标委员会抽签确定排名。</w:t>
      </w:r>
    </w:p>
    <w:p w14:paraId="316E63D6">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（2）采购代理机构应当在招标结束后二个工作日内将招标评审报告送采购人确认。</w:t>
      </w:r>
    </w:p>
    <w:p w14:paraId="0350417A">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（3）采购人应当在收到招标评审报告后五个工作日内，按照招标评审报告中推荐的排列顺序依法确定承销商。</w:t>
      </w:r>
    </w:p>
    <w:p w14:paraId="4ECCD57A">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（4）替补候选人的设定与使用：中标候选人放弃中标或者因不可抗力提出不能履行合同，采购人可以按照评分高低递补确定候补中标候选人为中标人。</w:t>
      </w:r>
    </w:p>
    <w:p w14:paraId="424F1C85">
      <w:pPr>
        <w:tabs>
          <w:tab w:val="left" w:pos="720"/>
        </w:tabs>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（5）在中标公示期满后，由采购人向中标人发出中标通知书并同时通知落标人；</w:t>
      </w:r>
    </w:p>
    <w:p w14:paraId="0E1CB7A5">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（6）中标通知书为双方签订合同的依据；</w:t>
      </w:r>
    </w:p>
    <w:p w14:paraId="027E868C">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（7）中标人应根据中标通知书中规定的时间内，由法定代表人（或法定负责人）或其授权代理人与采购人签订合同。</w:t>
      </w:r>
    </w:p>
    <w:p w14:paraId="3A185330">
      <w:pPr>
        <w:tabs>
          <w:tab w:val="left" w:pos="720"/>
        </w:tabs>
        <w:spacing w:line="360" w:lineRule="auto"/>
        <w:rPr>
          <w:rFonts w:cs="仿宋" w:asciiTheme="minorEastAsia" w:hAnsiTheme="minorEastAsia" w:eastAsiaTheme="minorEastAsia"/>
          <w:b/>
          <w:bCs/>
          <w:color w:val="auto"/>
          <w:sz w:val="24"/>
          <w:highlight w:val="none"/>
        </w:rPr>
      </w:pPr>
      <w:bookmarkStart w:id="6" w:name="_Toc410379357"/>
      <w:r>
        <w:rPr>
          <w:rFonts w:hint="eastAsia" w:cs="仿宋" w:asciiTheme="minorEastAsia" w:hAnsiTheme="minorEastAsia" w:eastAsiaTheme="minorEastAsia"/>
          <w:b/>
          <w:bCs/>
          <w:color w:val="auto"/>
          <w:sz w:val="24"/>
          <w:highlight w:val="none"/>
        </w:rPr>
        <w:t>八、授予合同</w:t>
      </w:r>
      <w:bookmarkEnd w:id="6"/>
    </w:p>
    <w:p w14:paraId="04CAAD05">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1.授予合同的依据</w:t>
      </w:r>
    </w:p>
    <w:p w14:paraId="0B8617E3">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（1）招标采购单位签发的中标通知书；</w:t>
      </w:r>
    </w:p>
    <w:p w14:paraId="3A96F3F7">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（2）招标文件、招标文件的修改及补充通知（函）；</w:t>
      </w:r>
    </w:p>
    <w:p w14:paraId="500382EE">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 投标文件和投标时</w:t>
      </w:r>
      <w:r>
        <w:rPr>
          <w:rFonts w:hint="eastAsia" w:cs="仿宋" w:asciiTheme="minorEastAsia" w:hAnsiTheme="minorEastAsia" w:eastAsiaTheme="minorEastAsia"/>
          <w:color w:val="auto"/>
          <w:sz w:val="24"/>
          <w:highlight w:val="none"/>
          <w:lang w:val="zh-CN"/>
        </w:rPr>
        <w:t>承销商</w:t>
      </w:r>
      <w:r>
        <w:rPr>
          <w:rFonts w:hint="eastAsia" w:cs="仿宋" w:asciiTheme="minorEastAsia" w:hAnsiTheme="minorEastAsia" w:eastAsiaTheme="minorEastAsia"/>
          <w:color w:val="auto"/>
          <w:sz w:val="24"/>
          <w:highlight w:val="none"/>
        </w:rPr>
        <w:t>作出的书面澄清、说明、纠正、承诺等。</w:t>
      </w:r>
    </w:p>
    <w:p w14:paraId="06A4FE5A">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2.合同签订</w:t>
      </w:r>
    </w:p>
    <w:p w14:paraId="65242A46">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（1）成交承销商与采购人应按中标通知书中规定的时间、地点签订合同，否则应承担相应的法律责任。</w:t>
      </w:r>
    </w:p>
    <w:p w14:paraId="5AAB1E83">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（2）招标文件、成交承销商的投标响应文件及招标过程中有关澄清文件和承诺均为合同附件。</w:t>
      </w:r>
    </w:p>
    <w:p w14:paraId="0C08ABBA">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（3）采购人与成交承销商将根据《中华人民共和国合同法》的规定，依据招标文件和成交承销商的投标响应文件签订书面合同。</w:t>
      </w:r>
    </w:p>
    <w:p w14:paraId="11CF381B">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 采购人如不与成交承销商订立合同，或者采购人、成交承销商订立背离合同实质性内容的协议，由政府有关部门责令改正，同时依法承担相应法律责任；</w:t>
      </w:r>
    </w:p>
    <w:p w14:paraId="3CD218B3">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（5）成交承销商应当按照合同约定履行义务，完成成交项目各项工作，不得将成交项目违法转让（转包）给他人。</w:t>
      </w:r>
    </w:p>
    <w:p w14:paraId="37F87D4F">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（6）招标文件中的合同文本仅做采购人和中标人参考，实际合同文本由双方另行商定。</w:t>
      </w:r>
    </w:p>
    <w:p w14:paraId="0BA24E72">
      <w:pPr>
        <w:spacing w:line="360" w:lineRule="auto"/>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九、履约保证金</w:t>
      </w:r>
    </w:p>
    <w:p w14:paraId="33918C05">
      <w:pPr>
        <w:tabs>
          <w:tab w:val="left" w:pos="720"/>
        </w:tabs>
        <w:spacing w:line="360" w:lineRule="auto"/>
        <w:ind w:firstLine="484" w:firstLineChars="202"/>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1、本项目免收履约保证金；</w:t>
      </w:r>
    </w:p>
    <w:p w14:paraId="5124F0F9">
      <w:pPr>
        <w:snapToGrid w:val="0"/>
        <w:spacing w:line="360" w:lineRule="auto"/>
        <w:ind w:firstLine="480" w:firstLineChars="200"/>
        <w:rPr>
          <w:rFonts w:hint="eastAsia" w:ascii="宋体" w:hAnsi="宋体" w:cs="Arial"/>
          <w:color w:val="auto"/>
          <w:sz w:val="24"/>
          <w:highlight w:val="none"/>
        </w:rPr>
      </w:pPr>
      <w:r>
        <w:rPr>
          <w:rFonts w:hint="eastAsia" w:cs="仿宋" w:asciiTheme="minorEastAsia" w:hAnsiTheme="minorEastAsia" w:eastAsiaTheme="minorEastAsia"/>
          <w:color w:val="auto"/>
          <w:sz w:val="24"/>
          <w:highlight w:val="none"/>
        </w:rPr>
        <w:t>2、</w:t>
      </w:r>
      <w:r>
        <w:rPr>
          <w:rFonts w:hint="eastAsia" w:ascii="宋体" w:hAnsi="宋体" w:cs="Arial"/>
          <w:color w:val="auto"/>
          <w:sz w:val="24"/>
          <w:highlight w:val="none"/>
        </w:rPr>
        <w:t>本项目承销费最高限价为发行债券</w:t>
      </w:r>
      <w:r>
        <w:rPr>
          <w:rFonts w:hint="eastAsia" w:ascii="宋体" w:hAnsi="宋体" w:cs="Arial"/>
          <w:color w:val="auto"/>
          <w:sz w:val="24"/>
          <w:highlight w:val="none"/>
          <w:lang w:val="en-US" w:eastAsia="zh-CN"/>
        </w:rPr>
        <w:t>总额</w:t>
      </w:r>
      <w:r>
        <w:rPr>
          <w:rFonts w:hint="eastAsia" w:ascii="宋体" w:hAnsi="宋体" w:cs="Arial"/>
          <w:color w:val="auto"/>
          <w:sz w:val="24"/>
          <w:highlight w:val="none"/>
        </w:rPr>
        <w:t>的</w:t>
      </w:r>
      <w:r>
        <w:rPr>
          <w:rFonts w:hint="eastAsia" w:ascii="宋体" w:hAnsi="宋体" w:cs="Arial"/>
          <w:color w:val="auto"/>
          <w:sz w:val="24"/>
          <w:highlight w:val="none"/>
          <w:lang w:val="en-US" w:eastAsia="zh-CN"/>
        </w:rPr>
        <w:t>3.8</w:t>
      </w:r>
      <w:r>
        <w:rPr>
          <w:rFonts w:hint="eastAsia" w:ascii="宋体" w:hAnsi="宋体" w:cs="Arial"/>
          <w:color w:val="auto"/>
          <w:sz w:val="24"/>
          <w:highlight w:val="none"/>
        </w:rPr>
        <w:t>‰（含），任何超过</w:t>
      </w:r>
      <w:r>
        <w:rPr>
          <w:rFonts w:hint="eastAsia" w:ascii="宋体" w:hAnsi="宋体" w:cs="Arial"/>
          <w:color w:val="auto"/>
          <w:sz w:val="24"/>
          <w:highlight w:val="none"/>
          <w:lang w:val="en-US" w:eastAsia="zh-CN"/>
        </w:rPr>
        <w:t>3.8</w:t>
      </w:r>
      <w:r>
        <w:rPr>
          <w:rFonts w:hint="eastAsia" w:ascii="宋体" w:hAnsi="宋体" w:cs="Arial"/>
          <w:color w:val="auto"/>
          <w:sz w:val="24"/>
          <w:highlight w:val="none"/>
        </w:rPr>
        <w:t>‰（含）的报价按无效报价处理。为保证服务质量，本项目服务费率风险控制价为发行债券总额的</w:t>
      </w:r>
      <w:r>
        <w:rPr>
          <w:rFonts w:hint="eastAsia" w:ascii="宋体" w:hAnsi="宋体" w:cs="Arial"/>
          <w:color w:val="auto"/>
          <w:sz w:val="24"/>
          <w:highlight w:val="none"/>
          <w:lang w:val="en-US" w:eastAsia="zh-CN"/>
        </w:rPr>
        <w:t>3.3</w:t>
      </w:r>
      <w:r>
        <w:rPr>
          <w:rFonts w:hint="eastAsia" w:ascii="宋体" w:hAnsi="宋体" w:cs="Arial"/>
          <w:color w:val="auto"/>
          <w:sz w:val="24"/>
          <w:highlight w:val="none"/>
        </w:rPr>
        <w:t>‰（含）的，应提供服务质量风险金，在领取中标通知书（成交通知书）后30天内或签订合同前打入采购人指定的账户。中标人不能按投标人要求提供服务质量风险金的，视为放弃中标。采购人签订合同后，如中标人不按双方合同约定履约，则没收其全部服务质量风险金，服务质量风险金不足以赔偿损失的，按实际损失赔偿。在改为公司债券发行成功后，通过网银等方式退还服务质量风险金（不计息）。若因中标人原因，未发行成功的，没收全额服务质量风险金，服务质量风险金不足以赔偿损失的，按实际损失赔偿。</w:t>
      </w:r>
    </w:p>
    <w:p w14:paraId="113D6AC9">
      <w:pPr>
        <w:snapToGrid w:val="0"/>
        <w:spacing w:line="360" w:lineRule="auto"/>
        <w:ind w:firstLine="200"/>
        <w:rPr>
          <w:rFonts w:hint="eastAsia" w:ascii="宋体" w:hAnsi="宋体" w:cs="Arial"/>
          <w:color w:val="auto"/>
          <w:sz w:val="24"/>
          <w:highlight w:val="none"/>
        </w:rPr>
      </w:pPr>
      <w:r>
        <w:rPr>
          <w:rFonts w:hint="eastAsia" w:ascii="宋体" w:hAnsi="宋体" w:cs="Arial"/>
          <w:color w:val="auto"/>
          <w:sz w:val="24"/>
          <w:highlight w:val="none"/>
        </w:rPr>
        <w:t>服务质量风险金计算方式：（</w:t>
      </w:r>
      <w:r>
        <w:rPr>
          <w:rFonts w:hint="eastAsia" w:ascii="宋体" w:hAnsi="宋体" w:cs="Arial"/>
          <w:color w:val="auto"/>
          <w:sz w:val="24"/>
          <w:highlight w:val="none"/>
          <w:lang w:val="en-US" w:eastAsia="zh-CN"/>
        </w:rPr>
        <w:t>3.3</w:t>
      </w:r>
      <w:r>
        <w:rPr>
          <w:rFonts w:hint="eastAsia" w:ascii="宋体" w:hAnsi="宋体" w:cs="Arial"/>
          <w:color w:val="auto"/>
          <w:sz w:val="24"/>
          <w:highlight w:val="none"/>
        </w:rPr>
        <w:t>‰-中标人的中标费率）×发行规模。</w:t>
      </w:r>
    </w:p>
    <w:p w14:paraId="3D19F101">
      <w:pPr>
        <w:tabs>
          <w:tab w:val="left" w:pos="720"/>
        </w:tabs>
        <w:spacing w:line="360" w:lineRule="auto"/>
        <w:ind w:firstLine="484" w:firstLineChars="202"/>
        <w:rPr>
          <w:rFonts w:asciiTheme="minorEastAsia" w:hAnsiTheme="minorEastAsia" w:eastAsiaTheme="minorEastAsia"/>
          <w:color w:val="auto"/>
          <w:sz w:val="24"/>
          <w:highlight w:val="none"/>
        </w:rPr>
      </w:pPr>
    </w:p>
    <w:p w14:paraId="12DF5C7F">
      <w:pPr>
        <w:widowControl/>
        <w:jc w:val="left"/>
        <w:rPr>
          <w:rFonts w:cs="仿宋" w:asciiTheme="minorEastAsia" w:hAnsiTheme="minorEastAsia" w:eastAsiaTheme="minorEastAsia"/>
          <w:b/>
          <w:bCs/>
          <w:color w:val="auto"/>
          <w:sz w:val="30"/>
          <w:highlight w:val="none"/>
        </w:rPr>
      </w:pPr>
      <w:r>
        <w:rPr>
          <w:rFonts w:cs="仿宋" w:asciiTheme="minorEastAsia" w:hAnsiTheme="minorEastAsia" w:eastAsiaTheme="minorEastAsia"/>
          <w:b/>
          <w:bCs/>
          <w:color w:val="auto"/>
          <w:sz w:val="30"/>
          <w:highlight w:val="none"/>
        </w:rPr>
        <w:br w:type="page"/>
      </w:r>
    </w:p>
    <w:p w14:paraId="0C12DA15">
      <w:pPr>
        <w:tabs>
          <w:tab w:val="left" w:pos="2175"/>
        </w:tabs>
        <w:snapToGrid w:val="0"/>
        <w:spacing w:before="120" w:after="120" w:line="440" w:lineRule="exact"/>
        <w:ind w:firstLine="2711" w:firstLineChars="900"/>
        <w:rPr>
          <w:rFonts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第四章   评标办法及评分标准</w:t>
      </w:r>
    </w:p>
    <w:p w14:paraId="7AD3324D">
      <w:pPr>
        <w:snapToGrid w:val="0"/>
        <w:spacing w:before="120" w:after="120" w:line="440" w:lineRule="exact"/>
        <w:ind w:firstLine="42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为公正、公平、科学地选择中标人，根据《东阳市国有企业采购管理办法（2020年修订）》等有关法律法规的规定，并结合本项目的实际，制定本办法。</w:t>
      </w:r>
    </w:p>
    <w:p w14:paraId="2D3357BA">
      <w:pPr>
        <w:snapToGrid w:val="0"/>
        <w:spacing w:before="120" w:after="120" w:line="440" w:lineRule="exact"/>
        <w:ind w:firstLine="420"/>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本办法适用于</w:t>
      </w:r>
      <w:r>
        <w:rPr>
          <w:rFonts w:hint="eastAsia" w:cs="仿宋" w:asciiTheme="minorEastAsia" w:hAnsiTheme="minorEastAsia" w:eastAsiaTheme="minorEastAsia"/>
          <w:color w:val="auto"/>
          <w:sz w:val="24"/>
          <w:highlight w:val="none"/>
          <w:lang w:eastAsia="zh-CN"/>
        </w:rPr>
        <w:t>东阳市国有资产投资有限公司公司债券发行承销机构采购项目</w:t>
      </w:r>
      <w:r>
        <w:rPr>
          <w:rFonts w:hint="eastAsia" w:cs="仿宋" w:asciiTheme="minorEastAsia" w:hAnsiTheme="minorEastAsia" w:eastAsiaTheme="minorEastAsia"/>
          <w:color w:val="auto"/>
          <w:sz w:val="24"/>
          <w:highlight w:val="none"/>
        </w:rPr>
        <w:t>的评标。</w:t>
      </w:r>
      <w:r>
        <w:rPr>
          <w:rFonts w:hint="eastAsia" w:cs="宋体" w:asciiTheme="minorEastAsia" w:hAnsiTheme="minorEastAsia" w:eastAsiaTheme="minorEastAsia"/>
          <w:color w:val="auto"/>
          <w:sz w:val="24"/>
          <w:highlight w:val="none"/>
        </w:rPr>
        <w:t xml:space="preserve"> </w:t>
      </w:r>
    </w:p>
    <w:p w14:paraId="7C73A751">
      <w:pPr>
        <w:snapToGrid w:val="0"/>
        <w:spacing w:before="120" w:after="120" w:line="440" w:lineRule="exact"/>
        <w:ind w:firstLine="4146" w:firstLineChars="1475"/>
        <w:rPr>
          <w:rFonts w:cs="仿宋" w:asciiTheme="minorEastAsia" w:hAnsiTheme="minorEastAsia" w:eastAsiaTheme="minorEastAsia"/>
          <w:b/>
          <w:color w:val="auto"/>
          <w:sz w:val="28"/>
          <w:highlight w:val="none"/>
        </w:rPr>
      </w:pPr>
      <w:r>
        <w:rPr>
          <w:rFonts w:hint="eastAsia" w:cs="仿宋" w:asciiTheme="minorEastAsia" w:hAnsiTheme="minorEastAsia" w:eastAsiaTheme="minorEastAsia"/>
          <w:b/>
          <w:color w:val="auto"/>
          <w:sz w:val="28"/>
          <w:highlight w:val="none"/>
        </w:rPr>
        <w:t>一、总 则</w:t>
      </w:r>
    </w:p>
    <w:p w14:paraId="4669A6B4">
      <w:pPr>
        <w:snapToGrid w:val="0"/>
        <w:spacing w:before="120" w:after="120" w:line="440" w:lineRule="exact"/>
        <w:ind w:firstLine="48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次评标采用综合评分法，总分为100分，其中技术、资信及商务分80分、报价分20分。合格投标人的评标得分为各项目汇总得分，中标候选资格按评标得分由高到低顺序排列，得分相同的，按投标报价由低到高顺序排列；得分且投标报价相同的，按技术、资信及商务得分由高到低顺序排列。排名第一</w:t>
      </w:r>
      <w:r>
        <w:rPr>
          <w:rFonts w:hint="eastAsia" w:cs="仿宋" w:asciiTheme="minorEastAsia" w:hAnsiTheme="minorEastAsia" w:eastAsiaTheme="minorEastAsia"/>
          <w:color w:val="auto"/>
          <w:sz w:val="24"/>
          <w:highlight w:val="none"/>
          <w:lang w:val="en-US" w:eastAsia="zh-CN"/>
        </w:rPr>
        <w:t>至第三</w:t>
      </w:r>
      <w:r>
        <w:rPr>
          <w:rFonts w:hint="eastAsia" w:cs="仿宋" w:asciiTheme="minorEastAsia" w:hAnsiTheme="minorEastAsia" w:eastAsiaTheme="minorEastAsia"/>
          <w:color w:val="auto"/>
          <w:sz w:val="24"/>
          <w:highlight w:val="none"/>
        </w:rPr>
        <w:t>的投标人为中标候选人,排名第</w:t>
      </w:r>
      <w:r>
        <w:rPr>
          <w:rFonts w:hint="eastAsia" w:cs="仿宋" w:asciiTheme="minorEastAsia" w:hAnsiTheme="minorEastAsia" w:eastAsiaTheme="minorEastAsia"/>
          <w:color w:val="auto"/>
          <w:sz w:val="24"/>
          <w:highlight w:val="none"/>
          <w:lang w:val="en-US" w:eastAsia="zh-CN"/>
        </w:rPr>
        <w:t>四至第六</w:t>
      </w:r>
      <w:r>
        <w:rPr>
          <w:rFonts w:hint="eastAsia" w:cs="仿宋" w:asciiTheme="minorEastAsia" w:hAnsiTheme="minorEastAsia" w:eastAsiaTheme="minorEastAsia"/>
          <w:color w:val="auto"/>
          <w:sz w:val="24"/>
          <w:highlight w:val="none"/>
        </w:rPr>
        <w:t>的投标人为候补中标候选人……其他投标人中标候选资格依此类推。评分过程中采用四舍五入法，并保留小数2位。</w:t>
      </w:r>
    </w:p>
    <w:p w14:paraId="08476230">
      <w:pPr>
        <w:snapToGrid w:val="0"/>
        <w:spacing w:before="120" w:after="120" w:line="440" w:lineRule="exact"/>
        <w:ind w:firstLine="48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投标人评标综合得分=技术和资信商务分+报价分</w:t>
      </w:r>
    </w:p>
    <w:p w14:paraId="2FAAA310">
      <w:pPr>
        <w:numPr>
          <w:ilvl w:val="0"/>
          <w:numId w:val="6"/>
        </w:numPr>
        <w:snapToGrid w:val="0"/>
        <w:spacing w:before="120" w:after="120" w:line="440" w:lineRule="exact"/>
        <w:ind w:firstLine="3598" w:firstLineChars="1280"/>
        <w:rPr>
          <w:rFonts w:cs="仿宋" w:asciiTheme="minorEastAsia" w:hAnsiTheme="minorEastAsia" w:eastAsiaTheme="minorEastAsia"/>
          <w:b/>
          <w:color w:val="auto"/>
          <w:sz w:val="28"/>
          <w:highlight w:val="none"/>
        </w:rPr>
      </w:pPr>
      <w:r>
        <w:rPr>
          <w:rFonts w:hint="eastAsia" w:cs="仿宋" w:asciiTheme="minorEastAsia" w:hAnsiTheme="minorEastAsia" w:eastAsiaTheme="minorEastAsia"/>
          <w:b/>
          <w:color w:val="auto"/>
          <w:sz w:val="28"/>
          <w:highlight w:val="none"/>
        </w:rPr>
        <w:t>评标内容及标准</w:t>
      </w:r>
    </w:p>
    <w:p w14:paraId="2A01F270">
      <w:pPr>
        <w:pStyle w:val="36"/>
        <w:numPr>
          <w:ilvl w:val="0"/>
          <w:numId w:val="6"/>
        </w:numPr>
        <w:spacing w:before="120" w:beforeLines="50" w:after="120" w:afterLines="50" w:line="520" w:lineRule="exact"/>
        <w:ind w:firstLineChars="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color w:val="auto"/>
          <w:sz w:val="24"/>
          <w:szCs w:val="24"/>
          <w:highlight w:val="none"/>
        </w:rPr>
        <w:t>（一）技术、商务、资信及其他分评分标准80分</w:t>
      </w:r>
    </w:p>
    <w:tbl>
      <w:tblPr>
        <w:tblStyle w:val="22"/>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
        <w:gridCol w:w="1144"/>
        <w:gridCol w:w="575"/>
        <w:gridCol w:w="7323"/>
      </w:tblGrid>
      <w:tr w14:paraId="2587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939" w:type="dxa"/>
            <w:tcMar>
              <w:top w:w="15" w:type="dxa"/>
              <w:left w:w="15" w:type="dxa"/>
              <w:right w:w="15" w:type="dxa"/>
            </w:tcMar>
            <w:vAlign w:val="center"/>
          </w:tcPr>
          <w:p w14:paraId="38D5A5A0">
            <w:pPr>
              <w:widowControl/>
              <w:jc w:val="center"/>
              <w:textAlignment w:val="center"/>
              <w:rPr>
                <w:b/>
                <w:color w:val="auto"/>
                <w:sz w:val="21"/>
                <w:szCs w:val="21"/>
                <w:highlight w:val="none"/>
              </w:rPr>
            </w:pPr>
            <w:r>
              <w:rPr>
                <w:b/>
                <w:color w:val="auto"/>
                <w:sz w:val="21"/>
                <w:szCs w:val="21"/>
                <w:highlight w:val="none"/>
                <w:lang w:bidi="ar"/>
              </w:rPr>
              <w:t>评分要素</w:t>
            </w:r>
          </w:p>
        </w:tc>
        <w:tc>
          <w:tcPr>
            <w:tcW w:w="1144" w:type="dxa"/>
            <w:tcMar>
              <w:top w:w="15" w:type="dxa"/>
              <w:left w:w="15" w:type="dxa"/>
              <w:right w:w="15" w:type="dxa"/>
            </w:tcMar>
            <w:vAlign w:val="center"/>
          </w:tcPr>
          <w:p w14:paraId="7918708C">
            <w:pPr>
              <w:widowControl/>
              <w:jc w:val="center"/>
              <w:textAlignment w:val="center"/>
              <w:rPr>
                <w:b/>
                <w:color w:val="auto"/>
                <w:sz w:val="21"/>
                <w:szCs w:val="21"/>
                <w:highlight w:val="none"/>
                <w:lang w:bidi="ar"/>
              </w:rPr>
            </w:pPr>
            <w:r>
              <w:rPr>
                <w:b/>
                <w:color w:val="auto"/>
                <w:sz w:val="21"/>
                <w:szCs w:val="21"/>
                <w:highlight w:val="none"/>
                <w:lang w:bidi="ar"/>
              </w:rPr>
              <w:t>评审内容</w:t>
            </w:r>
          </w:p>
        </w:tc>
        <w:tc>
          <w:tcPr>
            <w:tcW w:w="575" w:type="dxa"/>
            <w:tcMar>
              <w:top w:w="15" w:type="dxa"/>
              <w:left w:w="15" w:type="dxa"/>
              <w:right w:w="15" w:type="dxa"/>
            </w:tcMar>
            <w:vAlign w:val="center"/>
          </w:tcPr>
          <w:p w14:paraId="3CD15C99">
            <w:pPr>
              <w:widowControl/>
              <w:jc w:val="center"/>
              <w:textAlignment w:val="center"/>
              <w:rPr>
                <w:b/>
                <w:color w:val="auto"/>
                <w:sz w:val="21"/>
                <w:szCs w:val="21"/>
                <w:highlight w:val="none"/>
              </w:rPr>
            </w:pPr>
            <w:r>
              <w:rPr>
                <w:b/>
                <w:color w:val="auto"/>
                <w:sz w:val="21"/>
                <w:szCs w:val="21"/>
                <w:highlight w:val="none"/>
                <w:lang w:bidi="ar"/>
              </w:rPr>
              <w:t>分值</w:t>
            </w:r>
          </w:p>
        </w:tc>
        <w:tc>
          <w:tcPr>
            <w:tcW w:w="7323" w:type="dxa"/>
            <w:tcMar>
              <w:top w:w="15" w:type="dxa"/>
              <w:left w:w="15" w:type="dxa"/>
              <w:right w:w="15" w:type="dxa"/>
            </w:tcMar>
            <w:vAlign w:val="center"/>
          </w:tcPr>
          <w:p w14:paraId="5589A4B7">
            <w:pPr>
              <w:widowControl/>
              <w:jc w:val="center"/>
              <w:textAlignment w:val="center"/>
              <w:rPr>
                <w:b/>
                <w:color w:val="auto"/>
                <w:sz w:val="21"/>
                <w:szCs w:val="21"/>
                <w:highlight w:val="none"/>
              </w:rPr>
            </w:pPr>
            <w:r>
              <w:rPr>
                <w:b/>
                <w:color w:val="auto"/>
                <w:sz w:val="21"/>
                <w:szCs w:val="21"/>
                <w:highlight w:val="none"/>
                <w:lang w:bidi="ar"/>
              </w:rPr>
              <w:t>评分标准</w:t>
            </w:r>
          </w:p>
        </w:tc>
      </w:tr>
      <w:tr w14:paraId="7B76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 w:hRule="atLeast"/>
          <w:jc w:val="center"/>
        </w:trPr>
        <w:tc>
          <w:tcPr>
            <w:tcW w:w="939" w:type="dxa"/>
            <w:vMerge w:val="restart"/>
            <w:tcMar>
              <w:top w:w="15" w:type="dxa"/>
              <w:left w:w="15" w:type="dxa"/>
              <w:right w:w="15" w:type="dxa"/>
            </w:tcMar>
            <w:vAlign w:val="center"/>
          </w:tcPr>
          <w:p w14:paraId="11D65DC0">
            <w:pPr>
              <w:widowControl/>
              <w:spacing w:line="320" w:lineRule="exact"/>
              <w:jc w:val="center"/>
              <w:rPr>
                <w:color w:val="auto"/>
                <w:sz w:val="21"/>
                <w:szCs w:val="21"/>
                <w:highlight w:val="none"/>
              </w:rPr>
            </w:pPr>
            <w:r>
              <w:rPr>
                <w:color w:val="auto"/>
                <w:sz w:val="21"/>
                <w:szCs w:val="21"/>
                <w:highlight w:val="none"/>
                <w:lang w:bidi="ar"/>
              </w:rPr>
              <w:t>资信部分（</w:t>
            </w:r>
            <w:r>
              <w:rPr>
                <w:rFonts w:hint="eastAsia"/>
                <w:color w:val="auto"/>
                <w:sz w:val="21"/>
                <w:szCs w:val="21"/>
                <w:highlight w:val="none"/>
                <w:lang w:bidi="ar"/>
              </w:rPr>
              <w:t>50</w:t>
            </w:r>
            <w:r>
              <w:rPr>
                <w:color w:val="auto"/>
                <w:sz w:val="21"/>
                <w:szCs w:val="21"/>
                <w:highlight w:val="none"/>
                <w:lang w:bidi="ar"/>
              </w:rPr>
              <w:t>）</w:t>
            </w:r>
          </w:p>
        </w:tc>
        <w:tc>
          <w:tcPr>
            <w:tcW w:w="1144" w:type="dxa"/>
            <w:tcMar>
              <w:top w:w="15" w:type="dxa"/>
              <w:left w:w="15" w:type="dxa"/>
              <w:right w:w="15" w:type="dxa"/>
            </w:tcMar>
            <w:vAlign w:val="center"/>
          </w:tcPr>
          <w:p w14:paraId="63A44C0C">
            <w:pPr>
              <w:widowControl/>
              <w:jc w:val="center"/>
              <w:rPr>
                <w:color w:val="auto"/>
                <w:sz w:val="21"/>
                <w:szCs w:val="21"/>
                <w:highlight w:val="none"/>
              </w:rPr>
            </w:pPr>
            <w:r>
              <w:rPr>
                <w:color w:val="auto"/>
                <w:sz w:val="21"/>
                <w:szCs w:val="21"/>
                <w:highlight w:val="none"/>
              </w:rPr>
              <w:t>（1）</w:t>
            </w:r>
            <w:r>
              <w:rPr>
                <w:rFonts w:hint="eastAsia"/>
                <w:color w:val="auto"/>
                <w:sz w:val="21"/>
                <w:szCs w:val="21"/>
                <w:highlight w:val="none"/>
              </w:rPr>
              <w:t>综合实力</w:t>
            </w:r>
          </w:p>
        </w:tc>
        <w:tc>
          <w:tcPr>
            <w:tcW w:w="575" w:type="dxa"/>
            <w:tcMar>
              <w:top w:w="15" w:type="dxa"/>
              <w:left w:w="15" w:type="dxa"/>
              <w:right w:w="15" w:type="dxa"/>
            </w:tcMar>
            <w:vAlign w:val="center"/>
          </w:tcPr>
          <w:p w14:paraId="68AD28AF">
            <w:pPr>
              <w:jc w:val="center"/>
              <w:rPr>
                <w:color w:val="auto"/>
                <w:sz w:val="21"/>
                <w:szCs w:val="21"/>
                <w:highlight w:val="none"/>
              </w:rPr>
            </w:pPr>
            <w:r>
              <w:rPr>
                <w:rFonts w:hint="eastAsia"/>
                <w:color w:val="auto"/>
                <w:sz w:val="21"/>
                <w:szCs w:val="21"/>
                <w:highlight w:val="none"/>
              </w:rPr>
              <w:t>5</w:t>
            </w:r>
          </w:p>
        </w:tc>
        <w:tc>
          <w:tcPr>
            <w:tcW w:w="7323" w:type="dxa"/>
            <w:tcMar>
              <w:top w:w="15" w:type="dxa"/>
              <w:left w:w="15" w:type="dxa"/>
              <w:right w:w="15" w:type="dxa"/>
            </w:tcMar>
            <w:vAlign w:val="center"/>
          </w:tcPr>
          <w:p w14:paraId="35F34BCB">
            <w:pPr>
              <w:widowControl/>
              <w:rPr>
                <w:color w:val="auto"/>
                <w:sz w:val="21"/>
                <w:szCs w:val="21"/>
                <w:highlight w:val="none"/>
              </w:rPr>
            </w:pPr>
            <w:r>
              <w:rPr>
                <w:rFonts w:hint="eastAsia"/>
                <w:color w:val="auto"/>
                <w:sz w:val="21"/>
                <w:szCs w:val="21"/>
                <w:highlight w:val="none"/>
              </w:rPr>
              <w:t>投标人的2023年-2024年证监会券商分类评级情况，投标人的证监会近两年分类评级均为A级及以上的得5分，仅一年为A级及以上的得3分，其他情况不得分。</w:t>
            </w:r>
          </w:p>
          <w:p w14:paraId="4546BB23">
            <w:pPr>
              <w:widowControl/>
              <w:rPr>
                <w:color w:val="auto"/>
                <w:sz w:val="21"/>
                <w:szCs w:val="21"/>
                <w:highlight w:val="none"/>
              </w:rPr>
            </w:pPr>
            <w:r>
              <w:rPr>
                <w:rFonts w:hint="eastAsia"/>
                <w:color w:val="auto"/>
                <w:sz w:val="21"/>
                <w:szCs w:val="21"/>
                <w:highlight w:val="none"/>
              </w:rPr>
              <w:t>（需提供中国证券监督管理委员会关于分类结果的函或提供相关说明文件并盖公章）</w:t>
            </w:r>
          </w:p>
        </w:tc>
      </w:tr>
      <w:tr w14:paraId="0B55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 w:hRule="atLeast"/>
          <w:jc w:val="center"/>
        </w:trPr>
        <w:tc>
          <w:tcPr>
            <w:tcW w:w="939" w:type="dxa"/>
            <w:vMerge w:val="continue"/>
            <w:tcMar>
              <w:top w:w="15" w:type="dxa"/>
              <w:left w:w="15" w:type="dxa"/>
              <w:right w:w="15" w:type="dxa"/>
            </w:tcMar>
            <w:vAlign w:val="center"/>
          </w:tcPr>
          <w:p w14:paraId="2914795A">
            <w:pPr>
              <w:widowControl/>
              <w:spacing w:line="320" w:lineRule="exact"/>
              <w:jc w:val="center"/>
              <w:rPr>
                <w:color w:val="auto"/>
                <w:sz w:val="21"/>
                <w:szCs w:val="21"/>
                <w:highlight w:val="none"/>
                <w:lang w:bidi="ar"/>
              </w:rPr>
            </w:pPr>
          </w:p>
        </w:tc>
        <w:tc>
          <w:tcPr>
            <w:tcW w:w="1144" w:type="dxa"/>
            <w:tcMar>
              <w:top w:w="15" w:type="dxa"/>
              <w:left w:w="15" w:type="dxa"/>
              <w:right w:w="15" w:type="dxa"/>
            </w:tcMar>
            <w:vAlign w:val="center"/>
          </w:tcPr>
          <w:p w14:paraId="29044508">
            <w:pPr>
              <w:widowControl/>
              <w:jc w:val="center"/>
              <w:rPr>
                <w:color w:val="auto"/>
                <w:sz w:val="21"/>
                <w:szCs w:val="21"/>
                <w:highlight w:val="none"/>
              </w:rPr>
            </w:pPr>
            <w:r>
              <w:rPr>
                <w:color w:val="auto"/>
                <w:sz w:val="21"/>
                <w:szCs w:val="21"/>
                <w:highlight w:val="none"/>
              </w:rPr>
              <w:t>（</w:t>
            </w:r>
            <w:r>
              <w:rPr>
                <w:rFonts w:hint="eastAsia"/>
                <w:color w:val="auto"/>
                <w:sz w:val="21"/>
                <w:szCs w:val="21"/>
                <w:highlight w:val="none"/>
              </w:rPr>
              <w:t>2</w:t>
            </w:r>
            <w:r>
              <w:rPr>
                <w:color w:val="auto"/>
                <w:sz w:val="21"/>
                <w:szCs w:val="21"/>
                <w:highlight w:val="none"/>
              </w:rPr>
              <w:t>）</w:t>
            </w:r>
            <w:r>
              <w:rPr>
                <w:rFonts w:hint="eastAsia"/>
                <w:color w:val="auto"/>
                <w:sz w:val="21"/>
                <w:szCs w:val="21"/>
                <w:highlight w:val="none"/>
              </w:rPr>
              <w:t>执业质量</w:t>
            </w:r>
          </w:p>
        </w:tc>
        <w:tc>
          <w:tcPr>
            <w:tcW w:w="575" w:type="dxa"/>
            <w:tcMar>
              <w:top w:w="15" w:type="dxa"/>
              <w:left w:w="15" w:type="dxa"/>
              <w:right w:w="15" w:type="dxa"/>
            </w:tcMar>
            <w:vAlign w:val="center"/>
          </w:tcPr>
          <w:p w14:paraId="0C00163A">
            <w:pPr>
              <w:jc w:val="center"/>
              <w:rPr>
                <w:color w:val="auto"/>
                <w:sz w:val="21"/>
                <w:szCs w:val="21"/>
                <w:highlight w:val="none"/>
              </w:rPr>
            </w:pPr>
            <w:r>
              <w:rPr>
                <w:rFonts w:hint="eastAsia"/>
                <w:color w:val="auto"/>
                <w:sz w:val="21"/>
                <w:szCs w:val="21"/>
                <w:highlight w:val="none"/>
              </w:rPr>
              <w:t>10</w:t>
            </w:r>
          </w:p>
        </w:tc>
        <w:tc>
          <w:tcPr>
            <w:tcW w:w="7323" w:type="dxa"/>
            <w:tcMar>
              <w:top w:w="15" w:type="dxa"/>
              <w:left w:w="15" w:type="dxa"/>
              <w:right w:w="15" w:type="dxa"/>
            </w:tcMar>
            <w:vAlign w:val="center"/>
          </w:tcPr>
          <w:p w14:paraId="49C2B36E">
            <w:pPr>
              <w:rPr>
                <w:rFonts w:hint="eastAsia"/>
                <w:color w:val="auto"/>
                <w:sz w:val="21"/>
                <w:szCs w:val="21"/>
                <w:highlight w:val="none"/>
              </w:rPr>
            </w:pPr>
            <w:r>
              <w:rPr>
                <w:rFonts w:hint="eastAsia"/>
                <w:color w:val="auto"/>
                <w:sz w:val="21"/>
                <w:szCs w:val="21"/>
                <w:highlight w:val="none"/>
              </w:rPr>
              <w:t>2023年1月1日至2024年6月30日期间(联合体投标的，以牵头人为准)是否被中国证监会实行监管措施(不包含证监会派驻机构出具的监管措施)，未被实施监管措施得10分，每增加1项扣2分，扣完为止。</w:t>
            </w:r>
          </w:p>
          <w:p w14:paraId="2E738B73">
            <w:pPr>
              <w:rPr>
                <w:color w:val="auto"/>
                <w:sz w:val="21"/>
                <w:szCs w:val="21"/>
                <w:highlight w:val="none"/>
              </w:rPr>
            </w:pPr>
            <w:r>
              <w:rPr>
                <w:rFonts w:hint="eastAsia"/>
                <w:color w:val="auto"/>
                <w:sz w:val="21"/>
                <w:szCs w:val="21"/>
                <w:highlight w:val="none"/>
              </w:rPr>
              <w:t>查询路径: http://www.csrc.gov.cn/csrc/index.shtml中国证券监督管理委员会-政府信息公开-主动公开目录-按主题查看-行政执法-搜索券商名字（包括公司全称、惯用简称）。</w:t>
            </w:r>
          </w:p>
        </w:tc>
      </w:tr>
      <w:tr w14:paraId="45A8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 w:hRule="atLeast"/>
          <w:jc w:val="center"/>
        </w:trPr>
        <w:tc>
          <w:tcPr>
            <w:tcW w:w="939" w:type="dxa"/>
            <w:vMerge w:val="continue"/>
            <w:tcMar>
              <w:top w:w="15" w:type="dxa"/>
              <w:left w:w="15" w:type="dxa"/>
              <w:right w:w="15" w:type="dxa"/>
            </w:tcMar>
            <w:vAlign w:val="center"/>
          </w:tcPr>
          <w:p w14:paraId="24254218">
            <w:pPr>
              <w:widowControl/>
              <w:spacing w:line="320" w:lineRule="exact"/>
              <w:jc w:val="center"/>
              <w:rPr>
                <w:color w:val="auto"/>
                <w:sz w:val="21"/>
                <w:szCs w:val="21"/>
                <w:highlight w:val="none"/>
                <w:lang w:bidi="ar"/>
              </w:rPr>
            </w:pPr>
          </w:p>
        </w:tc>
        <w:tc>
          <w:tcPr>
            <w:tcW w:w="1144" w:type="dxa"/>
            <w:tcMar>
              <w:top w:w="15" w:type="dxa"/>
              <w:left w:w="15" w:type="dxa"/>
              <w:right w:w="15" w:type="dxa"/>
            </w:tcMar>
            <w:vAlign w:val="center"/>
          </w:tcPr>
          <w:p w14:paraId="574C53D8">
            <w:pPr>
              <w:widowControl/>
              <w:jc w:val="center"/>
              <w:rPr>
                <w:color w:val="auto"/>
                <w:sz w:val="21"/>
                <w:szCs w:val="21"/>
                <w:highlight w:val="none"/>
              </w:rPr>
            </w:pPr>
            <w:r>
              <w:rPr>
                <w:color w:val="auto"/>
                <w:sz w:val="21"/>
                <w:szCs w:val="21"/>
                <w:highlight w:val="none"/>
              </w:rPr>
              <w:t>（</w:t>
            </w:r>
            <w:r>
              <w:rPr>
                <w:rFonts w:hint="eastAsia"/>
                <w:color w:val="auto"/>
                <w:sz w:val="21"/>
                <w:szCs w:val="21"/>
                <w:highlight w:val="none"/>
              </w:rPr>
              <w:t>3</w:t>
            </w:r>
            <w:r>
              <w:rPr>
                <w:color w:val="auto"/>
                <w:sz w:val="21"/>
                <w:szCs w:val="21"/>
                <w:highlight w:val="none"/>
              </w:rPr>
              <w:t>）全国公司债主承销金额排名</w:t>
            </w:r>
          </w:p>
        </w:tc>
        <w:tc>
          <w:tcPr>
            <w:tcW w:w="575" w:type="dxa"/>
            <w:tcMar>
              <w:top w:w="15" w:type="dxa"/>
              <w:left w:w="15" w:type="dxa"/>
              <w:right w:w="15" w:type="dxa"/>
            </w:tcMar>
            <w:vAlign w:val="center"/>
          </w:tcPr>
          <w:p w14:paraId="0B279FBF">
            <w:pPr>
              <w:jc w:val="center"/>
              <w:rPr>
                <w:color w:val="auto"/>
                <w:sz w:val="21"/>
                <w:szCs w:val="21"/>
                <w:highlight w:val="none"/>
              </w:rPr>
            </w:pPr>
            <w:r>
              <w:rPr>
                <w:rFonts w:hint="eastAsia"/>
                <w:color w:val="auto"/>
                <w:sz w:val="21"/>
                <w:szCs w:val="21"/>
                <w:highlight w:val="none"/>
              </w:rPr>
              <w:t>15</w:t>
            </w:r>
          </w:p>
        </w:tc>
        <w:tc>
          <w:tcPr>
            <w:tcW w:w="7323" w:type="dxa"/>
            <w:tcMar>
              <w:top w:w="15" w:type="dxa"/>
              <w:left w:w="15" w:type="dxa"/>
              <w:right w:w="15" w:type="dxa"/>
            </w:tcMar>
            <w:vAlign w:val="center"/>
          </w:tcPr>
          <w:p w14:paraId="1996390E">
            <w:pPr>
              <w:rPr>
                <w:color w:val="auto"/>
                <w:sz w:val="21"/>
                <w:szCs w:val="21"/>
                <w:highlight w:val="none"/>
              </w:rPr>
            </w:pPr>
            <w:r>
              <w:rPr>
                <w:rFonts w:hint="eastAsia"/>
                <w:color w:val="auto"/>
                <w:sz w:val="21"/>
                <w:szCs w:val="21"/>
                <w:highlight w:val="none"/>
              </w:rPr>
              <w:t>考核券商(联合体以牵头人为准)2023年1月1日至2024年6月30 日作为主承销商承销发行人主体评级为AA+的公司债券（包括一般公司债和私募债）实际承销金额(按合并数统计)从高到低排名，所有参与投标的主承销商中排名第1的，得15分，每降低一个名次扣1分，排名第2名的，得14分，以此类推，扣完为止(证明材料以 Wind资讯(万得资讯)公开数据为准:债券--级市场-承销统计-债券承销排名(Wind口径)-任意区间:2023年1月1日至2024年6月 30日-机构类型:证券-债券分类（Wind）-公司债-主体评级：AA+-联主实际比例-合并母子公司;若出现并列第1名，则均得15分，第2名得13分，以此类推)。</w:t>
            </w:r>
            <w:r>
              <w:rPr>
                <w:rFonts w:hint="eastAsia"/>
                <w:color w:val="auto"/>
                <w:sz w:val="21"/>
                <w:szCs w:val="21"/>
                <w:highlight w:val="none"/>
              </w:rPr>
              <w:br w:type="textWrapping"/>
            </w:r>
            <w:r>
              <w:rPr>
                <w:rFonts w:hint="eastAsia"/>
                <w:color w:val="auto"/>
                <w:sz w:val="21"/>
                <w:szCs w:val="21"/>
                <w:highlight w:val="none"/>
              </w:rPr>
              <w:t>注:1、投标文件中需提供相关Wind数据查询清单截图等资料。</w:t>
            </w:r>
            <w:r>
              <w:rPr>
                <w:rFonts w:hint="eastAsia"/>
                <w:color w:val="auto"/>
                <w:sz w:val="21"/>
                <w:szCs w:val="21"/>
                <w:highlight w:val="none"/>
              </w:rPr>
              <w:br w:type="textWrapping"/>
            </w:r>
            <w:r>
              <w:rPr>
                <w:rFonts w:hint="eastAsia"/>
                <w:color w:val="auto"/>
                <w:sz w:val="21"/>
                <w:szCs w:val="21"/>
                <w:highlight w:val="none"/>
              </w:rPr>
              <w:t>2、若是联合体投标的，须提供该项目牵头单位的相关资料。</w:t>
            </w:r>
          </w:p>
        </w:tc>
      </w:tr>
      <w:tr w14:paraId="5CA2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9" w:type="dxa"/>
            <w:vMerge w:val="continue"/>
            <w:tcMar>
              <w:top w:w="15" w:type="dxa"/>
              <w:left w:w="15" w:type="dxa"/>
              <w:right w:w="15" w:type="dxa"/>
            </w:tcMar>
            <w:vAlign w:val="center"/>
          </w:tcPr>
          <w:p w14:paraId="08D73901">
            <w:pPr>
              <w:jc w:val="center"/>
              <w:rPr>
                <w:color w:val="auto"/>
                <w:sz w:val="21"/>
                <w:szCs w:val="21"/>
                <w:highlight w:val="none"/>
              </w:rPr>
            </w:pPr>
          </w:p>
        </w:tc>
        <w:tc>
          <w:tcPr>
            <w:tcW w:w="1144" w:type="dxa"/>
            <w:tcMar>
              <w:top w:w="15" w:type="dxa"/>
              <w:left w:w="15" w:type="dxa"/>
              <w:right w:w="15" w:type="dxa"/>
            </w:tcMar>
            <w:vAlign w:val="center"/>
          </w:tcPr>
          <w:p w14:paraId="442210B2">
            <w:pPr>
              <w:jc w:val="center"/>
              <w:rPr>
                <w:color w:val="auto"/>
                <w:sz w:val="21"/>
                <w:szCs w:val="21"/>
                <w:highlight w:val="none"/>
              </w:rPr>
            </w:pPr>
            <w:r>
              <w:rPr>
                <w:rFonts w:hint="eastAsia"/>
                <w:color w:val="auto"/>
                <w:sz w:val="21"/>
                <w:szCs w:val="21"/>
                <w:highlight w:val="none"/>
              </w:rPr>
              <w:t>（4）余额包销承诺</w:t>
            </w:r>
          </w:p>
        </w:tc>
        <w:tc>
          <w:tcPr>
            <w:tcW w:w="575" w:type="dxa"/>
            <w:tcMar>
              <w:top w:w="15" w:type="dxa"/>
              <w:left w:w="15" w:type="dxa"/>
              <w:right w:w="15" w:type="dxa"/>
            </w:tcMar>
            <w:vAlign w:val="center"/>
          </w:tcPr>
          <w:p w14:paraId="77B98970">
            <w:pPr>
              <w:jc w:val="center"/>
              <w:rPr>
                <w:color w:val="auto"/>
                <w:sz w:val="21"/>
                <w:szCs w:val="21"/>
                <w:highlight w:val="none"/>
              </w:rPr>
            </w:pPr>
            <w:r>
              <w:rPr>
                <w:rFonts w:hint="eastAsia"/>
                <w:color w:val="auto"/>
                <w:sz w:val="21"/>
                <w:szCs w:val="21"/>
                <w:highlight w:val="none"/>
              </w:rPr>
              <w:t>5</w:t>
            </w:r>
          </w:p>
        </w:tc>
        <w:tc>
          <w:tcPr>
            <w:tcW w:w="7323" w:type="dxa"/>
            <w:tcMar>
              <w:top w:w="15" w:type="dxa"/>
              <w:left w:w="15" w:type="dxa"/>
              <w:right w:w="15" w:type="dxa"/>
            </w:tcMar>
            <w:vAlign w:val="center"/>
          </w:tcPr>
          <w:p w14:paraId="69EF4AD3">
            <w:pPr>
              <w:rPr>
                <w:color w:val="auto"/>
                <w:sz w:val="21"/>
                <w:szCs w:val="21"/>
                <w:highlight w:val="none"/>
              </w:rPr>
            </w:pPr>
            <w:r>
              <w:rPr>
                <w:color w:val="auto"/>
                <w:sz w:val="21"/>
                <w:szCs w:val="21"/>
                <w:highlight w:val="none"/>
              </w:rPr>
              <w:t>参选券商</w:t>
            </w:r>
            <w:r>
              <w:rPr>
                <w:rFonts w:hint="eastAsia"/>
                <w:color w:val="auto"/>
                <w:sz w:val="21"/>
                <w:szCs w:val="21"/>
                <w:highlight w:val="none"/>
              </w:rPr>
              <w:t>承诺余额包销的，得5分；不承诺的，不得分。</w:t>
            </w:r>
          </w:p>
        </w:tc>
      </w:tr>
      <w:tr w14:paraId="2BBA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9" w:type="dxa"/>
            <w:vMerge w:val="continue"/>
            <w:tcMar>
              <w:top w:w="15" w:type="dxa"/>
              <w:left w:w="15" w:type="dxa"/>
              <w:right w:w="15" w:type="dxa"/>
            </w:tcMar>
            <w:vAlign w:val="center"/>
          </w:tcPr>
          <w:p w14:paraId="3427AFB3">
            <w:pPr>
              <w:jc w:val="center"/>
              <w:rPr>
                <w:color w:val="auto"/>
                <w:sz w:val="21"/>
                <w:szCs w:val="21"/>
                <w:highlight w:val="none"/>
              </w:rPr>
            </w:pPr>
          </w:p>
        </w:tc>
        <w:tc>
          <w:tcPr>
            <w:tcW w:w="1144" w:type="dxa"/>
            <w:tcMar>
              <w:top w:w="15" w:type="dxa"/>
              <w:left w:w="15" w:type="dxa"/>
              <w:right w:w="15" w:type="dxa"/>
            </w:tcMar>
            <w:vAlign w:val="center"/>
          </w:tcPr>
          <w:p w14:paraId="0124E4FE">
            <w:pPr>
              <w:jc w:val="center"/>
              <w:rPr>
                <w:color w:val="auto"/>
                <w:sz w:val="21"/>
                <w:szCs w:val="21"/>
                <w:highlight w:val="none"/>
              </w:rPr>
            </w:pPr>
            <w:r>
              <w:rPr>
                <w:color w:val="auto"/>
                <w:sz w:val="21"/>
                <w:szCs w:val="21"/>
                <w:highlight w:val="none"/>
              </w:rPr>
              <w:t>（</w:t>
            </w:r>
            <w:r>
              <w:rPr>
                <w:rFonts w:hint="eastAsia"/>
                <w:color w:val="auto"/>
                <w:sz w:val="21"/>
                <w:szCs w:val="21"/>
                <w:highlight w:val="none"/>
              </w:rPr>
              <w:t>5</w:t>
            </w:r>
            <w:r>
              <w:rPr>
                <w:color w:val="auto"/>
                <w:sz w:val="21"/>
                <w:szCs w:val="21"/>
                <w:highlight w:val="none"/>
              </w:rPr>
              <w:t>）销售定价能力</w:t>
            </w:r>
          </w:p>
        </w:tc>
        <w:tc>
          <w:tcPr>
            <w:tcW w:w="575" w:type="dxa"/>
            <w:tcMar>
              <w:top w:w="15" w:type="dxa"/>
              <w:left w:w="15" w:type="dxa"/>
              <w:right w:w="15" w:type="dxa"/>
            </w:tcMar>
            <w:vAlign w:val="center"/>
          </w:tcPr>
          <w:p w14:paraId="55D70A2B">
            <w:pPr>
              <w:jc w:val="center"/>
              <w:rPr>
                <w:color w:val="auto"/>
                <w:sz w:val="21"/>
                <w:szCs w:val="21"/>
                <w:highlight w:val="none"/>
              </w:rPr>
            </w:pPr>
            <w:r>
              <w:rPr>
                <w:color w:val="auto"/>
                <w:sz w:val="21"/>
                <w:szCs w:val="21"/>
                <w:highlight w:val="none"/>
              </w:rPr>
              <w:t>1</w:t>
            </w:r>
            <w:r>
              <w:rPr>
                <w:rFonts w:hint="eastAsia"/>
                <w:color w:val="auto"/>
                <w:sz w:val="21"/>
                <w:szCs w:val="21"/>
                <w:highlight w:val="none"/>
              </w:rPr>
              <w:t>5</w:t>
            </w:r>
          </w:p>
        </w:tc>
        <w:tc>
          <w:tcPr>
            <w:tcW w:w="7323" w:type="dxa"/>
            <w:tcMar>
              <w:top w:w="15" w:type="dxa"/>
              <w:left w:w="15" w:type="dxa"/>
              <w:right w:w="15" w:type="dxa"/>
            </w:tcMar>
            <w:vAlign w:val="center"/>
          </w:tcPr>
          <w:p w14:paraId="061D026E">
            <w:pPr>
              <w:rPr>
                <w:color w:val="auto"/>
                <w:sz w:val="21"/>
                <w:szCs w:val="21"/>
                <w:highlight w:val="none"/>
              </w:rPr>
            </w:pPr>
            <w:r>
              <w:rPr>
                <w:rFonts w:hint="eastAsia"/>
                <w:color w:val="auto"/>
                <w:sz w:val="21"/>
                <w:szCs w:val="21"/>
                <w:highlight w:val="none"/>
              </w:rPr>
              <w:t>考核参选券商(联合体以牵头人为准)2023年1月1日至2024年6月30日作为主承销商承销全国范围内主体评级AA+、</w:t>
            </w:r>
            <w:r>
              <w:rPr>
                <w:rFonts w:hint="eastAsia"/>
                <w:color w:val="auto"/>
                <w:sz w:val="21"/>
                <w:szCs w:val="21"/>
                <w:highlight w:val="none"/>
                <w:lang w:val="en-US" w:eastAsia="zh-CN"/>
              </w:rPr>
              <w:t>发行</w:t>
            </w:r>
            <w:r>
              <w:rPr>
                <w:rFonts w:hint="eastAsia"/>
                <w:color w:val="auto"/>
                <w:sz w:val="21"/>
                <w:szCs w:val="21"/>
                <w:highlight w:val="none"/>
              </w:rPr>
              <w:t>规模为5亿元及以上公司债最低利率，各参选券商提供最低利率成功发行的案例2个，计算平均值(保留三位小数)，由低到高排序，所有参与投标的供应商中利率最低的得满分(15分)，每降低一个名次扣2分，以此类推，扣完为止，若出现并列第1名，则均得15分，第2名得11分，以此类推。</w:t>
            </w:r>
          </w:p>
          <w:p w14:paraId="33109AB8">
            <w:pPr>
              <w:rPr>
                <w:color w:val="auto"/>
                <w:sz w:val="21"/>
                <w:szCs w:val="21"/>
                <w:highlight w:val="none"/>
              </w:rPr>
            </w:pPr>
            <w:r>
              <w:rPr>
                <w:rFonts w:hint="eastAsia"/>
                <w:color w:val="auto"/>
                <w:sz w:val="21"/>
                <w:szCs w:val="21"/>
                <w:highlight w:val="none"/>
              </w:rPr>
              <w:t>注:1、投标文件中需提供 Wind债券基本条款界面截图，没有案例的不得分。</w:t>
            </w:r>
          </w:p>
          <w:p w14:paraId="727720CF">
            <w:pPr>
              <w:rPr>
                <w:color w:val="auto"/>
                <w:sz w:val="21"/>
                <w:szCs w:val="21"/>
                <w:highlight w:val="none"/>
              </w:rPr>
            </w:pPr>
            <w:r>
              <w:rPr>
                <w:rFonts w:hint="eastAsia"/>
                <w:color w:val="auto"/>
                <w:sz w:val="21"/>
                <w:szCs w:val="21"/>
                <w:highlight w:val="none"/>
              </w:rPr>
              <w:t>2、若是联合体投标的，须提供该项目牵头单位的相关资料。</w:t>
            </w:r>
          </w:p>
          <w:p w14:paraId="5A59DB4B">
            <w:pPr>
              <w:rPr>
                <w:color w:val="auto"/>
                <w:sz w:val="21"/>
                <w:szCs w:val="21"/>
                <w:highlight w:val="none"/>
              </w:rPr>
            </w:pPr>
            <w:r>
              <w:rPr>
                <w:rFonts w:hint="eastAsia"/>
                <w:color w:val="auto"/>
                <w:sz w:val="21"/>
                <w:szCs w:val="21"/>
                <w:highlight w:val="none"/>
              </w:rPr>
              <w:t>3、不包括非公开发行的可转换债券、可交换债、资产支持证券和可分离债券等类型</w:t>
            </w:r>
          </w:p>
        </w:tc>
      </w:tr>
      <w:tr w14:paraId="04AA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5" w:hRule="atLeast"/>
          <w:jc w:val="center"/>
        </w:trPr>
        <w:tc>
          <w:tcPr>
            <w:tcW w:w="939" w:type="dxa"/>
            <w:vMerge w:val="restart"/>
            <w:tcMar>
              <w:top w:w="15" w:type="dxa"/>
              <w:left w:w="15" w:type="dxa"/>
              <w:right w:w="15" w:type="dxa"/>
            </w:tcMar>
            <w:vAlign w:val="center"/>
          </w:tcPr>
          <w:p w14:paraId="66660E93">
            <w:pPr>
              <w:widowControl/>
              <w:spacing w:line="320" w:lineRule="exact"/>
              <w:jc w:val="center"/>
              <w:rPr>
                <w:color w:val="auto"/>
                <w:sz w:val="21"/>
                <w:szCs w:val="21"/>
                <w:highlight w:val="none"/>
              </w:rPr>
            </w:pPr>
            <w:r>
              <w:rPr>
                <w:color w:val="auto"/>
                <w:sz w:val="21"/>
                <w:szCs w:val="21"/>
                <w:highlight w:val="none"/>
                <w:lang w:bidi="ar"/>
              </w:rPr>
              <w:t>技术部分（3</w:t>
            </w:r>
            <w:r>
              <w:rPr>
                <w:rFonts w:hint="eastAsia"/>
                <w:color w:val="auto"/>
                <w:sz w:val="21"/>
                <w:szCs w:val="21"/>
                <w:highlight w:val="none"/>
                <w:lang w:bidi="ar"/>
              </w:rPr>
              <w:t>0</w:t>
            </w:r>
            <w:r>
              <w:rPr>
                <w:color w:val="auto"/>
                <w:sz w:val="21"/>
                <w:szCs w:val="21"/>
                <w:highlight w:val="none"/>
                <w:lang w:bidi="ar"/>
              </w:rPr>
              <w:t>分）</w:t>
            </w:r>
          </w:p>
        </w:tc>
        <w:tc>
          <w:tcPr>
            <w:tcW w:w="1144" w:type="dxa"/>
            <w:tcMar>
              <w:top w:w="15" w:type="dxa"/>
              <w:left w:w="15" w:type="dxa"/>
              <w:right w:w="15" w:type="dxa"/>
            </w:tcMar>
            <w:vAlign w:val="center"/>
          </w:tcPr>
          <w:p w14:paraId="4AFE7A62">
            <w:pPr>
              <w:widowControl/>
              <w:spacing w:line="320" w:lineRule="exact"/>
              <w:rPr>
                <w:color w:val="auto"/>
                <w:sz w:val="21"/>
                <w:szCs w:val="21"/>
                <w:highlight w:val="none"/>
                <w:lang w:bidi="ar"/>
              </w:rPr>
            </w:pPr>
            <w:r>
              <w:rPr>
                <w:color w:val="auto"/>
                <w:sz w:val="21"/>
                <w:szCs w:val="21"/>
                <w:highlight w:val="none"/>
                <w:lang w:bidi="ar"/>
              </w:rPr>
              <w:t>（1）项目方案设计</w:t>
            </w:r>
          </w:p>
        </w:tc>
        <w:tc>
          <w:tcPr>
            <w:tcW w:w="575" w:type="dxa"/>
            <w:tcMar>
              <w:top w:w="15" w:type="dxa"/>
              <w:left w:w="15" w:type="dxa"/>
              <w:right w:w="15" w:type="dxa"/>
            </w:tcMar>
            <w:vAlign w:val="center"/>
          </w:tcPr>
          <w:p w14:paraId="04D0530E">
            <w:pPr>
              <w:widowControl/>
              <w:spacing w:line="320" w:lineRule="exact"/>
              <w:jc w:val="center"/>
              <w:rPr>
                <w:color w:val="auto"/>
                <w:sz w:val="21"/>
                <w:szCs w:val="21"/>
                <w:highlight w:val="none"/>
                <w:lang w:bidi="ar"/>
              </w:rPr>
            </w:pPr>
            <w:r>
              <w:rPr>
                <w:rFonts w:hint="eastAsia"/>
                <w:color w:val="auto"/>
                <w:sz w:val="21"/>
                <w:szCs w:val="21"/>
                <w:highlight w:val="none"/>
                <w:lang w:bidi="ar"/>
              </w:rPr>
              <w:t>10</w:t>
            </w:r>
          </w:p>
        </w:tc>
        <w:tc>
          <w:tcPr>
            <w:tcW w:w="7323" w:type="dxa"/>
            <w:tcMar>
              <w:top w:w="15" w:type="dxa"/>
              <w:left w:w="15" w:type="dxa"/>
              <w:right w:w="15" w:type="dxa"/>
            </w:tcMar>
            <w:vAlign w:val="center"/>
          </w:tcPr>
          <w:p w14:paraId="10E4AB4E">
            <w:pPr>
              <w:widowControl/>
              <w:spacing w:line="320" w:lineRule="exact"/>
              <w:rPr>
                <w:color w:val="auto"/>
                <w:sz w:val="21"/>
                <w:szCs w:val="21"/>
                <w:highlight w:val="none"/>
              </w:rPr>
            </w:pPr>
            <w:r>
              <w:rPr>
                <w:color w:val="auto"/>
                <w:sz w:val="21"/>
                <w:szCs w:val="21"/>
                <w:highlight w:val="none"/>
              </w:rPr>
              <w:t>结合本项目的特点制定项目方案，内容包括但不仅限于：</w:t>
            </w:r>
          </w:p>
          <w:p w14:paraId="7458EB01">
            <w:pPr>
              <w:widowControl/>
              <w:numPr>
                <w:ilvl w:val="0"/>
                <w:numId w:val="7"/>
              </w:numPr>
              <w:spacing w:line="320" w:lineRule="exact"/>
              <w:rPr>
                <w:color w:val="auto"/>
                <w:sz w:val="21"/>
                <w:szCs w:val="21"/>
                <w:highlight w:val="none"/>
              </w:rPr>
            </w:pPr>
            <w:r>
              <w:rPr>
                <w:color w:val="auto"/>
                <w:sz w:val="21"/>
                <w:szCs w:val="21"/>
                <w:highlight w:val="none"/>
              </w:rPr>
              <w:t>发行方案：根据投标人提供的项目申报及发行方案（包括发行规模、募集资金使用、债券期限、余额包销等发行要素）内容是否详实、可实施性强</w:t>
            </w:r>
            <w:r>
              <w:rPr>
                <w:rFonts w:hint="eastAsia"/>
                <w:color w:val="auto"/>
                <w:sz w:val="21"/>
                <w:szCs w:val="21"/>
                <w:highlight w:val="none"/>
                <w:lang w:val="en-US" w:eastAsia="zh-CN"/>
              </w:rPr>
              <w:t>弱、</w:t>
            </w:r>
            <w:r>
              <w:rPr>
                <w:color w:val="auto"/>
                <w:sz w:val="21"/>
                <w:szCs w:val="21"/>
                <w:highlight w:val="none"/>
              </w:rPr>
              <w:t>针对性等方面综合评议，满分</w:t>
            </w:r>
            <w:r>
              <w:rPr>
                <w:rFonts w:hint="eastAsia"/>
                <w:color w:val="auto"/>
                <w:sz w:val="21"/>
                <w:szCs w:val="21"/>
                <w:highlight w:val="none"/>
              </w:rPr>
              <w:t>5</w:t>
            </w:r>
            <w:r>
              <w:rPr>
                <w:color w:val="auto"/>
                <w:sz w:val="21"/>
                <w:szCs w:val="21"/>
                <w:highlight w:val="none"/>
              </w:rPr>
              <w:t>分。</w:t>
            </w:r>
          </w:p>
          <w:p w14:paraId="13D58116">
            <w:pPr>
              <w:widowControl/>
              <w:numPr>
                <w:ilvl w:val="0"/>
                <w:numId w:val="7"/>
              </w:numPr>
              <w:spacing w:line="320" w:lineRule="exact"/>
              <w:rPr>
                <w:color w:val="auto"/>
                <w:sz w:val="21"/>
                <w:szCs w:val="21"/>
                <w:highlight w:val="none"/>
              </w:rPr>
            </w:pPr>
            <w:r>
              <w:rPr>
                <w:color w:val="auto"/>
                <w:sz w:val="21"/>
                <w:szCs w:val="21"/>
                <w:highlight w:val="none"/>
              </w:rPr>
              <w:t>时间安排：根据投标人对本次债券承销总体时间安排，申报流程时间安排和重要的时间节点把控措施等方面综合评议，满分</w:t>
            </w:r>
            <w:r>
              <w:rPr>
                <w:rFonts w:hint="eastAsia"/>
                <w:color w:val="auto"/>
                <w:sz w:val="21"/>
                <w:szCs w:val="21"/>
                <w:highlight w:val="none"/>
              </w:rPr>
              <w:t>3</w:t>
            </w:r>
            <w:r>
              <w:rPr>
                <w:color w:val="auto"/>
                <w:sz w:val="21"/>
                <w:szCs w:val="21"/>
                <w:highlight w:val="none"/>
              </w:rPr>
              <w:t>分。</w:t>
            </w:r>
          </w:p>
          <w:p w14:paraId="5EECA24D">
            <w:pPr>
              <w:widowControl/>
              <w:numPr>
                <w:ilvl w:val="0"/>
                <w:numId w:val="7"/>
              </w:numPr>
              <w:spacing w:line="320" w:lineRule="exact"/>
              <w:rPr>
                <w:color w:val="auto"/>
                <w:sz w:val="21"/>
                <w:szCs w:val="21"/>
                <w:highlight w:val="none"/>
              </w:rPr>
            </w:pPr>
            <w:r>
              <w:rPr>
                <w:color w:val="auto"/>
                <w:sz w:val="21"/>
                <w:szCs w:val="21"/>
                <w:highlight w:val="none"/>
              </w:rPr>
              <w:t>后续服务计划：根据投标人的后续服务工作计划安排内容是否完善、详细，可行性高</w:t>
            </w:r>
            <w:r>
              <w:rPr>
                <w:rFonts w:hint="eastAsia"/>
                <w:color w:val="auto"/>
                <w:sz w:val="21"/>
                <w:szCs w:val="21"/>
                <w:highlight w:val="none"/>
                <w:lang w:val="en-US" w:eastAsia="zh-CN"/>
              </w:rPr>
              <w:t>低</w:t>
            </w:r>
            <w:r>
              <w:rPr>
                <w:color w:val="auto"/>
                <w:sz w:val="21"/>
                <w:szCs w:val="21"/>
                <w:highlight w:val="none"/>
              </w:rPr>
              <w:t>、符合招标人实际要求等方面综合评议，满分</w:t>
            </w:r>
            <w:r>
              <w:rPr>
                <w:rFonts w:hint="eastAsia"/>
                <w:color w:val="auto"/>
                <w:sz w:val="21"/>
                <w:szCs w:val="21"/>
                <w:highlight w:val="none"/>
              </w:rPr>
              <w:t>2</w:t>
            </w:r>
            <w:r>
              <w:rPr>
                <w:color w:val="auto"/>
                <w:sz w:val="21"/>
                <w:szCs w:val="21"/>
                <w:highlight w:val="none"/>
              </w:rPr>
              <w:t>分。</w:t>
            </w:r>
          </w:p>
        </w:tc>
      </w:tr>
      <w:tr w14:paraId="173D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2" w:hRule="atLeast"/>
          <w:jc w:val="center"/>
        </w:trPr>
        <w:tc>
          <w:tcPr>
            <w:tcW w:w="939" w:type="dxa"/>
            <w:vMerge w:val="continue"/>
            <w:tcMar>
              <w:top w:w="15" w:type="dxa"/>
              <w:left w:w="15" w:type="dxa"/>
              <w:right w:w="15" w:type="dxa"/>
            </w:tcMar>
            <w:vAlign w:val="center"/>
          </w:tcPr>
          <w:p w14:paraId="65CF55F2">
            <w:pPr>
              <w:jc w:val="center"/>
              <w:rPr>
                <w:color w:val="auto"/>
                <w:sz w:val="21"/>
                <w:szCs w:val="21"/>
                <w:highlight w:val="none"/>
              </w:rPr>
            </w:pPr>
          </w:p>
        </w:tc>
        <w:tc>
          <w:tcPr>
            <w:tcW w:w="1144" w:type="dxa"/>
            <w:tcMar>
              <w:top w:w="15" w:type="dxa"/>
              <w:left w:w="15" w:type="dxa"/>
              <w:right w:w="15" w:type="dxa"/>
            </w:tcMar>
            <w:vAlign w:val="center"/>
          </w:tcPr>
          <w:p w14:paraId="7464BD9E">
            <w:pPr>
              <w:widowControl/>
              <w:spacing w:line="320" w:lineRule="exact"/>
              <w:jc w:val="center"/>
              <w:rPr>
                <w:color w:val="auto"/>
                <w:sz w:val="21"/>
                <w:szCs w:val="21"/>
                <w:highlight w:val="none"/>
                <w:lang w:bidi="ar"/>
              </w:rPr>
            </w:pPr>
            <w:r>
              <w:rPr>
                <w:color w:val="auto"/>
                <w:sz w:val="21"/>
                <w:szCs w:val="21"/>
                <w:highlight w:val="none"/>
                <w:lang w:bidi="ar"/>
              </w:rPr>
              <w:t>（2）销售渠道安排及与主管部门的沟通能力</w:t>
            </w:r>
          </w:p>
        </w:tc>
        <w:tc>
          <w:tcPr>
            <w:tcW w:w="575" w:type="dxa"/>
            <w:tcMar>
              <w:top w:w="15" w:type="dxa"/>
              <w:left w:w="15" w:type="dxa"/>
              <w:right w:w="15" w:type="dxa"/>
            </w:tcMar>
            <w:vAlign w:val="center"/>
          </w:tcPr>
          <w:p w14:paraId="086E4442">
            <w:pPr>
              <w:widowControl/>
              <w:spacing w:line="320" w:lineRule="exact"/>
              <w:jc w:val="center"/>
              <w:rPr>
                <w:color w:val="auto"/>
                <w:sz w:val="21"/>
                <w:szCs w:val="21"/>
                <w:highlight w:val="none"/>
                <w:lang w:bidi="ar"/>
              </w:rPr>
            </w:pPr>
            <w:r>
              <w:rPr>
                <w:color w:val="auto"/>
                <w:sz w:val="21"/>
                <w:szCs w:val="21"/>
                <w:highlight w:val="none"/>
                <w:lang w:bidi="ar"/>
              </w:rPr>
              <w:t>10</w:t>
            </w:r>
          </w:p>
        </w:tc>
        <w:tc>
          <w:tcPr>
            <w:tcW w:w="7323" w:type="dxa"/>
            <w:tcMar>
              <w:top w:w="15" w:type="dxa"/>
              <w:left w:w="15" w:type="dxa"/>
              <w:right w:w="15" w:type="dxa"/>
            </w:tcMar>
            <w:vAlign w:val="center"/>
          </w:tcPr>
          <w:p w14:paraId="29AE8923">
            <w:pPr>
              <w:widowControl/>
              <w:spacing w:line="400" w:lineRule="exact"/>
              <w:rPr>
                <w:color w:val="auto"/>
                <w:sz w:val="21"/>
                <w:szCs w:val="21"/>
                <w:highlight w:val="none"/>
              </w:rPr>
            </w:pPr>
            <w:r>
              <w:rPr>
                <w:color w:val="auto"/>
                <w:sz w:val="21"/>
                <w:szCs w:val="21"/>
                <w:highlight w:val="none"/>
              </w:rPr>
              <w:t>1、销售方案：根据投标人的销售方案是否完善，各流程考虑是否充分，是否满足招标文件要求和招标人实际需求等方面综合评议，满分5分。</w:t>
            </w:r>
          </w:p>
          <w:p w14:paraId="20DD3A34">
            <w:pPr>
              <w:widowControl/>
              <w:spacing w:line="400" w:lineRule="exact"/>
              <w:rPr>
                <w:color w:val="auto"/>
                <w:sz w:val="21"/>
                <w:szCs w:val="21"/>
                <w:highlight w:val="none"/>
                <w:lang w:bidi="ar"/>
              </w:rPr>
            </w:pPr>
            <w:r>
              <w:rPr>
                <w:color w:val="auto"/>
                <w:sz w:val="21"/>
                <w:szCs w:val="21"/>
                <w:highlight w:val="none"/>
              </w:rPr>
              <w:t>2、沟通能力：与主管部门的沟通协调能力、债券销售渠道及部门设置情况等综合评议，满分5分。</w:t>
            </w:r>
          </w:p>
        </w:tc>
      </w:tr>
      <w:tr w14:paraId="209E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9" w:type="dxa"/>
            <w:vMerge w:val="continue"/>
            <w:tcMar>
              <w:top w:w="15" w:type="dxa"/>
              <w:left w:w="15" w:type="dxa"/>
              <w:right w:w="15" w:type="dxa"/>
            </w:tcMar>
            <w:vAlign w:val="center"/>
          </w:tcPr>
          <w:p w14:paraId="1304BEA9">
            <w:pPr>
              <w:jc w:val="center"/>
              <w:rPr>
                <w:color w:val="auto"/>
                <w:sz w:val="21"/>
                <w:szCs w:val="21"/>
                <w:highlight w:val="none"/>
              </w:rPr>
            </w:pPr>
          </w:p>
        </w:tc>
        <w:tc>
          <w:tcPr>
            <w:tcW w:w="1144" w:type="dxa"/>
            <w:tcMar>
              <w:top w:w="15" w:type="dxa"/>
              <w:left w:w="15" w:type="dxa"/>
              <w:right w:w="15" w:type="dxa"/>
            </w:tcMar>
            <w:vAlign w:val="center"/>
          </w:tcPr>
          <w:p w14:paraId="633A4F05">
            <w:pPr>
              <w:widowControl/>
              <w:spacing w:line="320" w:lineRule="exact"/>
              <w:jc w:val="center"/>
              <w:rPr>
                <w:color w:val="auto"/>
                <w:sz w:val="21"/>
                <w:szCs w:val="21"/>
                <w:highlight w:val="none"/>
                <w:lang w:bidi="ar"/>
              </w:rPr>
            </w:pPr>
            <w:r>
              <w:rPr>
                <w:color w:val="auto"/>
                <w:sz w:val="21"/>
                <w:szCs w:val="21"/>
                <w:highlight w:val="none"/>
              </w:rPr>
              <w:t>（3）专业服务团队人员配置及人员能力</w:t>
            </w:r>
          </w:p>
        </w:tc>
        <w:tc>
          <w:tcPr>
            <w:tcW w:w="575" w:type="dxa"/>
            <w:tcMar>
              <w:top w:w="15" w:type="dxa"/>
              <w:left w:w="15" w:type="dxa"/>
              <w:right w:w="15" w:type="dxa"/>
            </w:tcMar>
            <w:vAlign w:val="center"/>
          </w:tcPr>
          <w:p w14:paraId="62229531">
            <w:pPr>
              <w:widowControl/>
              <w:spacing w:line="320" w:lineRule="exact"/>
              <w:jc w:val="center"/>
              <w:rPr>
                <w:color w:val="auto"/>
                <w:sz w:val="21"/>
                <w:szCs w:val="21"/>
                <w:highlight w:val="none"/>
                <w:lang w:bidi="ar"/>
              </w:rPr>
            </w:pPr>
            <w:r>
              <w:rPr>
                <w:color w:val="auto"/>
                <w:sz w:val="21"/>
                <w:szCs w:val="21"/>
                <w:highlight w:val="none"/>
                <w:lang w:bidi="ar"/>
              </w:rPr>
              <w:t>10</w:t>
            </w:r>
          </w:p>
        </w:tc>
        <w:tc>
          <w:tcPr>
            <w:tcW w:w="7323" w:type="dxa"/>
            <w:tcMar>
              <w:top w:w="15" w:type="dxa"/>
              <w:left w:w="15" w:type="dxa"/>
              <w:right w:w="15" w:type="dxa"/>
            </w:tcMar>
            <w:vAlign w:val="center"/>
          </w:tcPr>
          <w:p w14:paraId="0CCA3CDB">
            <w:pPr>
              <w:widowControl/>
              <w:numPr>
                <w:ilvl w:val="0"/>
                <w:numId w:val="8"/>
              </w:numPr>
              <w:spacing w:line="400" w:lineRule="exact"/>
              <w:rPr>
                <w:color w:val="auto"/>
                <w:sz w:val="21"/>
                <w:szCs w:val="21"/>
                <w:highlight w:val="none"/>
              </w:rPr>
            </w:pPr>
            <w:r>
              <w:rPr>
                <w:color w:val="auto"/>
                <w:sz w:val="21"/>
                <w:szCs w:val="21"/>
                <w:highlight w:val="none"/>
              </w:rPr>
              <w:t>项目团队综合实力情况（项目团队负责人及其他人员情况及业绩情况、从业经验、专业资质）、公司重视情况、项目管理能力、沟通协调能力。项目组人员合理配置情况，团队人员稳定性情况，是否能够全面涵盖债券申报、销售、存续期管理全过程等方面综合评议，满分4分。</w:t>
            </w:r>
          </w:p>
          <w:p w14:paraId="795F218F">
            <w:pPr>
              <w:spacing w:line="400" w:lineRule="exact"/>
              <w:rPr>
                <w:color w:val="auto"/>
                <w:sz w:val="21"/>
                <w:szCs w:val="21"/>
                <w:highlight w:val="none"/>
              </w:rPr>
            </w:pPr>
            <w:r>
              <w:rPr>
                <w:color w:val="auto"/>
                <w:sz w:val="21"/>
                <w:szCs w:val="21"/>
                <w:highlight w:val="none"/>
              </w:rPr>
              <w:t>2、项目负责人实力情况：项目负责人从业时间超过5年的，得3分，项目负责人从业3-5年的，得1分，项目负责人从业3年以下的不得分。（以证券业协会登记时间为准）</w:t>
            </w:r>
          </w:p>
          <w:p w14:paraId="62B183D4">
            <w:pPr>
              <w:spacing w:line="400" w:lineRule="exact"/>
              <w:rPr>
                <w:color w:val="auto"/>
                <w:spacing w:val="-4"/>
                <w:sz w:val="21"/>
                <w:szCs w:val="21"/>
                <w:highlight w:val="none"/>
              </w:rPr>
            </w:pPr>
            <w:r>
              <w:rPr>
                <w:color w:val="auto"/>
                <w:sz w:val="21"/>
                <w:szCs w:val="21"/>
                <w:highlight w:val="none"/>
              </w:rPr>
              <w:t>3、项目组人员具有注册会计师资质的（提供注册证书）；具有法律职业资格证书的，拥有（准）保荐代表人资格的，每个得1分，满分3分。（提供相关证明材料)</w:t>
            </w:r>
          </w:p>
        </w:tc>
      </w:tr>
    </w:tbl>
    <w:p w14:paraId="20D69C06">
      <w:pPr>
        <w:snapToGrid w:val="0"/>
        <w:spacing w:before="120" w:after="120" w:line="440" w:lineRule="exac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技术、资信及商务分按照评标委员会成员的独立评分结果，汇总数的算术平均分计算，计算公式为：</w:t>
      </w:r>
    </w:p>
    <w:p w14:paraId="45A8ED43">
      <w:pPr>
        <w:tabs>
          <w:tab w:val="left" w:pos="1154"/>
        </w:tabs>
        <w:snapToGrid w:val="0"/>
        <w:spacing w:line="440" w:lineRule="exact"/>
        <w:ind w:left="240" w:leftChars="12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color w:val="auto"/>
          <w:sz w:val="24"/>
          <w:highlight w:val="none"/>
        </w:rPr>
        <w:t>技术、资信及商务分=（评标委员会所有成员有效评分合计数）/（评标委员会组成人员数）</w:t>
      </w:r>
      <w:r>
        <w:rPr>
          <w:rFonts w:hint="eastAsia" w:cs="仿宋" w:asciiTheme="minorEastAsia" w:hAnsiTheme="minorEastAsia" w:eastAsiaTheme="minorEastAsia"/>
          <w:b/>
          <w:color w:val="auto"/>
          <w:sz w:val="24"/>
          <w:highlight w:val="none"/>
        </w:rPr>
        <w:t>（二）报价分(20分）</w:t>
      </w:r>
    </w:p>
    <w:p w14:paraId="779FCBE4">
      <w:pPr>
        <w:tabs>
          <w:tab w:val="left" w:pos="1154"/>
        </w:tabs>
        <w:snapToGrid w:val="0"/>
        <w:spacing w:line="440" w:lineRule="exact"/>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价格分采用低价优先法计算，取所有技术和资信商务得分入围投标人中，满足要求且价格最低的报价为评标基准价，以各投标人为本次项目发行所报的承销费率（注：含管理费，以百分比为单位，小数点后保留两位）为评分依据，承销费率不得高于</w:t>
      </w:r>
      <w:r>
        <w:rPr>
          <w:rFonts w:hint="eastAsia" w:cs="仿宋" w:asciiTheme="minorEastAsia" w:hAnsiTheme="minorEastAsia" w:eastAsiaTheme="minorEastAsia"/>
          <w:b/>
          <w:bCs/>
          <w:color w:val="auto"/>
          <w:sz w:val="24"/>
          <w:highlight w:val="none"/>
          <w:lang w:val="en-US" w:eastAsia="zh-CN"/>
        </w:rPr>
        <w:t>3.8</w:t>
      </w:r>
      <w:r>
        <w:rPr>
          <w:rFonts w:hint="eastAsia" w:cs="仿宋" w:asciiTheme="minorEastAsia" w:hAnsiTheme="minorEastAsia" w:eastAsiaTheme="minorEastAsia"/>
          <w:b/>
          <w:bCs/>
          <w:color w:val="auto"/>
          <w:sz w:val="24"/>
          <w:highlight w:val="none"/>
        </w:rPr>
        <w:t>‰，报价不得超过最高限价的承销费率，否则按无效标处理。价格分按照下列公式计算：</w:t>
      </w:r>
    </w:p>
    <w:p w14:paraId="04E385B4">
      <w:pPr>
        <w:tabs>
          <w:tab w:val="left" w:pos="1154"/>
        </w:tabs>
        <w:snapToGrid w:val="0"/>
        <w:spacing w:line="440" w:lineRule="exact"/>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报价得分=评标基准价/投标人报价×20</w:t>
      </w:r>
    </w:p>
    <w:p w14:paraId="48D8595E">
      <w:pPr>
        <w:tabs>
          <w:tab w:val="left" w:pos="1154"/>
        </w:tabs>
        <w:snapToGrid w:val="0"/>
        <w:spacing w:line="440" w:lineRule="exact"/>
        <w:ind w:firstLine="482" w:firstLineChars="200"/>
        <w:rPr>
          <w:rFonts w:asciiTheme="minorEastAsia" w:hAnsiTheme="minorEastAsia" w:eastAsiaTheme="minorEastAsia"/>
          <w:b/>
          <w:bCs/>
          <w:color w:val="auto"/>
          <w:highlight w:val="none"/>
        </w:rPr>
      </w:pPr>
      <w:r>
        <w:rPr>
          <w:rFonts w:hint="eastAsia" w:cs="仿宋" w:asciiTheme="minorEastAsia" w:hAnsiTheme="minorEastAsia" w:eastAsiaTheme="minorEastAsia"/>
          <w:b/>
          <w:bCs/>
          <w:color w:val="auto"/>
          <w:sz w:val="24"/>
          <w:highlight w:val="none"/>
        </w:rPr>
        <w:t>评标委员会认为主承销商的报价明显低于其他通过符合性审查主承销商的报价，有可能影响服务质量和不能诚信履约的，可以要求其在招标现场合理的时间内提出书面说明，必要时提交相关证明材料；主承销商不能证明其报价合理性的，评标委员会可以认定该主承销商响应无效。</w:t>
      </w:r>
    </w:p>
    <w:p w14:paraId="0D8D10D7">
      <w:pPr>
        <w:tabs>
          <w:tab w:val="left" w:pos="1154"/>
        </w:tabs>
        <w:snapToGrid w:val="0"/>
        <w:spacing w:line="440" w:lineRule="exact"/>
        <w:ind w:firstLine="48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（三）招标方不保证最低报价者为中标方。</w:t>
      </w:r>
    </w:p>
    <w:p w14:paraId="05A99379">
      <w:pPr>
        <w:tabs>
          <w:tab w:val="left" w:pos="1154"/>
        </w:tabs>
        <w:snapToGrid w:val="0"/>
        <w:spacing w:line="440" w:lineRule="exact"/>
        <w:ind w:firstLine="480"/>
        <w:rPr>
          <w:rFonts w:cs="仿宋" w:asciiTheme="minorEastAsia" w:hAnsiTheme="minorEastAsia" w:eastAsiaTheme="minorEastAsia"/>
          <w:b/>
          <w:bCs/>
          <w:color w:val="auto"/>
          <w:sz w:val="24"/>
          <w:highlight w:val="none"/>
        </w:rPr>
        <w:sectPr>
          <w:footerReference r:id="rId6" w:type="default"/>
          <w:pgSz w:w="11906" w:h="16838"/>
          <w:pgMar w:top="1440" w:right="1080" w:bottom="1440" w:left="1080" w:header="851" w:footer="851" w:gutter="0"/>
          <w:pgNumType w:start="1"/>
          <w:cols w:space="720" w:num="1"/>
          <w:docGrid w:linePitch="312" w:charSpace="0"/>
        </w:sectPr>
      </w:pPr>
      <w:r>
        <w:rPr>
          <w:rFonts w:hint="eastAsia" w:cs="仿宋" w:asciiTheme="minorEastAsia" w:hAnsiTheme="minorEastAsia" w:eastAsiaTheme="minorEastAsia"/>
          <w:b/>
          <w:bCs/>
          <w:color w:val="auto"/>
          <w:sz w:val="24"/>
          <w:highlight w:val="none"/>
        </w:rPr>
        <w:t>（四）招标人不对落标原因作任何解释。</w:t>
      </w:r>
    </w:p>
    <w:p w14:paraId="190216E2">
      <w:pPr>
        <w:snapToGrid w:val="0"/>
        <w:spacing w:line="440" w:lineRule="exact"/>
        <w:ind w:firstLine="3313" w:firstLineChars="1100"/>
        <w:rPr>
          <w:rFonts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 xml:space="preserve">第五章  合同主要条款    </w:t>
      </w:r>
    </w:p>
    <w:p w14:paraId="0BF5EC16">
      <w:pPr>
        <w:snapToGrid w:val="0"/>
        <w:spacing w:line="440" w:lineRule="exact"/>
        <w:ind w:firstLine="3012" w:firstLineChars="1000"/>
        <w:rPr>
          <w:rFonts w:cs="仿宋" w:asciiTheme="minorEastAsia" w:hAnsiTheme="minorEastAsia" w:eastAsiaTheme="minorEastAsia"/>
          <w:color w:val="auto"/>
          <w:sz w:val="30"/>
          <w:highlight w:val="none"/>
        </w:rPr>
      </w:pPr>
      <w:r>
        <w:rPr>
          <w:rFonts w:hint="eastAsia" w:cs="仿宋" w:asciiTheme="minorEastAsia" w:hAnsiTheme="minorEastAsia" w:eastAsiaTheme="minorEastAsia"/>
          <w:b/>
          <w:bCs/>
          <w:color w:val="auto"/>
          <w:sz w:val="30"/>
          <w:highlight w:val="none"/>
        </w:rPr>
        <w:t>债券承销合同（协议样本）</w:t>
      </w:r>
      <w:r>
        <w:rPr>
          <w:rFonts w:hint="eastAsia" w:cs="仿宋" w:asciiTheme="minorEastAsia" w:hAnsiTheme="minorEastAsia" w:eastAsiaTheme="minorEastAsia"/>
          <w:b/>
          <w:bCs/>
          <w:color w:val="auto"/>
          <w:sz w:val="48"/>
          <w:highlight w:val="none"/>
        </w:rPr>
        <w:t xml:space="preserve"> </w:t>
      </w:r>
    </w:p>
    <w:p w14:paraId="3E2C6433">
      <w:pPr>
        <w:autoSpaceDE w:val="0"/>
        <w:autoSpaceDN w:val="0"/>
        <w:snapToGrid w:val="0"/>
        <w:spacing w:line="440" w:lineRule="exact"/>
        <w:ind w:firstLine="360"/>
        <w:jc w:val="left"/>
        <w:rPr>
          <w:rFonts w:cs="仿宋" w:asciiTheme="minorEastAsia" w:hAnsiTheme="minorEastAsia" w:eastAsiaTheme="minorEastAsia"/>
          <w:color w:val="auto"/>
          <w:sz w:val="28"/>
          <w:highlight w:val="none"/>
        </w:rPr>
      </w:pPr>
      <w:r>
        <w:rPr>
          <w:rFonts w:hint="eastAsia" w:cs="仿宋" w:asciiTheme="minorEastAsia" w:hAnsiTheme="minorEastAsia" w:eastAsiaTheme="minorEastAsia"/>
          <w:color w:val="auto"/>
          <w:sz w:val="24"/>
          <w:highlight w:val="none"/>
        </w:rPr>
        <w:t>注：本合同仅为合同的参考文本，合同签订双方可根据项目的具体要求进行修订。</w:t>
      </w:r>
    </w:p>
    <w:p w14:paraId="5E208133">
      <w:pPr>
        <w:snapToGrid w:val="0"/>
        <w:spacing w:before="120" w:after="120" w:line="440" w:lineRule="exac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项目名称：                   项目编号：               合同号：</w:t>
      </w:r>
    </w:p>
    <w:p w14:paraId="0EA56CF7">
      <w:pPr>
        <w:snapToGrid w:val="0"/>
        <w:spacing w:before="120" w:after="120" w:line="440" w:lineRule="exac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甲方（买方）：</w:t>
      </w:r>
    </w:p>
    <w:p w14:paraId="1B0C570F">
      <w:pPr>
        <w:snapToGrid w:val="0"/>
        <w:spacing w:before="120" w:after="120" w:line="440" w:lineRule="exac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乙方（卖方）：</w:t>
      </w:r>
    </w:p>
    <w:p w14:paraId="5A8DF177">
      <w:pPr>
        <w:snapToGrid w:val="0"/>
        <w:spacing w:line="440" w:lineRule="atLeas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根据 </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 xml:space="preserve"> 项目的采购结果，按照《东阳市国有企业采购管理办法（2020年修订）》、《中华人民共和国民法典》的规定，经双方协商，本着平等互利和诚实信用的原则，一致同意签订本合同如下。</w:t>
      </w:r>
    </w:p>
    <w:p w14:paraId="345F3575">
      <w:pPr>
        <w:snapToGrid w:val="0"/>
        <w:spacing w:line="440" w:lineRule="atLeast"/>
        <w:ind w:firstLine="420" w:firstLineChars="200"/>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b/>
          <w:bCs/>
          <w:color w:val="auto"/>
          <w:sz w:val="24"/>
          <w:highlight w:val="none"/>
        </w:rPr>
        <w:t>一、合同文件：</w:t>
      </w:r>
      <w:r>
        <w:rPr>
          <w:rFonts w:hint="eastAsia" w:cs="仿宋" w:asciiTheme="minorEastAsia" w:hAnsiTheme="minorEastAsia" w:eastAsiaTheme="minorEastAsia"/>
          <w:color w:val="auto"/>
          <w:sz w:val="24"/>
          <w:highlight w:val="none"/>
        </w:rPr>
        <w:t>招标文件、投标文件、技术澄清及询标答复的所有内容是构成合同不可分割的部分，与本合同具有同等法律效力，当文件之间、文件与本合同之间有相互矛盾之处，以有利于甲方之解释为准。</w:t>
      </w:r>
    </w:p>
    <w:p w14:paraId="79347428">
      <w:pPr>
        <w:snapToGrid w:val="0"/>
        <w:spacing w:line="440" w:lineRule="atLeast"/>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二、</w:t>
      </w:r>
      <w:r>
        <w:rPr>
          <w:rFonts w:hint="eastAsia" w:cs="仿宋" w:asciiTheme="minorEastAsia" w:hAnsiTheme="minorEastAsia" w:eastAsiaTheme="minorEastAsia"/>
          <w:b/>
          <w:color w:val="auto"/>
          <w:sz w:val="24"/>
          <w:highlight w:val="none"/>
        </w:rPr>
        <w:t>服务内容及服务标准：</w:t>
      </w:r>
    </w:p>
    <w:p w14:paraId="2532D877">
      <w:pPr>
        <w:autoSpaceDE w:val="0"/>
        <w:autoSpaceDN w:val="0"/>
        <w:snapToGrid w:val="0"/>
        <w:spacing w:line="440" w:lineRule="exact"/>
        <w:jc w:val="left"/>
        <w:rPr>
          <w:rFonts w:asciiTheme="minorEastAsia" w:hAnsiTheme="minorEastAsia" w:eastAsiaTheme="minorEastAsia"/>
          <w:b/>
          <w:color w:val="auto"/>
          <w:sz w:val="24"/>
          <w:highlight w:val="none"/>
        </w:rPr>
      </w:pPr>
    </w:p>
    <w:p w14:paraId="6E71FD83">
      <w:pPr>
        <w:autoSpaceDE w:val="0"/>
        <w:autoSpaceDN w:val="0"/>
        <w:snapToGrid w:val="0"/>
        <w:spacing w:line="440" w:lineRule="exact"/>
        <w:jc w:val="left"/>
        <w:rPr>
          <w:rFonts w:asciiTheme="minorEastAsia" w:hAnsiTheme="minorEastAsia" w:eastAsiaTheme="minorEastAsia"/>
          <w:b/>
          <w:color w:val="auto"/>
          <w:sz w:val="24"/>
          <w:highlight w:val="none"/>
        </w:rPr>
      </w:pPr>
    </w:p>
    <w:p w14:paraId="2129530E">
      <w:pPr>
        <w:snapToGrid w:val="0"/>
        <w:spacing w:line="440" w:lineRule="atLeast"/>
        <w:ind w:firstLine="482"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三、合同金额</w:t>
      </w:r>
    </w:p>
    <w:p w14:paraId="4E4B3F6C">
      <w:pPr>
        <w:snapToGrid w:val="0"/>
        <w:spacing w:line="440" w:lineRule="atLeast"/>
        <w:ind w:firstLine="482" w:firstLineChars="200"/>
        <w:rPr>
          <w:rFonts w:cs="仿宋" w:asciiTheme="minorEastAsia" w:hAnsiTheme="minorEastAsia" w:eastAsiaTheme="minorEastAsia"/>
          <w:b/>
          <w:color w:val="auto"/>
          <w:sz w:val="24"/>
          <w:highlight w:val="none"/>
        </w:rPr>
      </w:pPr>
    </w:p>
    <w:p w14:paraId="24953933">
      <w:pPr>
        <w:snapToGrid w:val="0"/>
        <w:spacing w:line="440" w:lineRule="atLeast"/>
        <w:ind w:firstLine="482" w:firstLineChars="200"/>
        <w:rPr>
          <w:rFonts w:cs="仿宋" w:asciiTheme="minorEastAsia" w:hAnsiTheme="minorEastAsia" w:eastAsiaTheme="minorEastAsia"/>
          <w:b/>
          <w:color w:val="auto"/>
          <w:sz w:val="24"/>
          <w:highlight w:val="none"/>
        </w:rPr>
      </w:pPr>
    </w:p>
    <w:p w14:paraId="14540089">
      <w:pPr>
        <w:snapToGrid w:val="0"/>
        <w:spacing w:line="440" w:lineRule="atLeast"/>
        <w:ind w:firstLine="482"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四、甲乙双方责任</w:t>
      </w:r>
    </w:p>
    <w:p w14:paraId="4575BFF6">
      <w:pPr>
        <w:snapToGrid w:val="0"/>
        <w:spacing w:line="440" w:lineRule="atLeast"/>
        <w:ind w:firstLine="482"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（一）甲方责任</w:t>
      </w:r>
    </w:p>
    <w:p w14:paraId="77664787">
      <w:pPr>
        <w:snapToGrid w:val="0"/>
        <w:spacing w:line="440" w:lineRule="atLeast"/>
        <w:ind w:firstLine="482"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（根据招标结果确定）</w:t>
      </w:r>
    </w:p>
    <w:p w14:paraId="77B766F9">
      <w:pPr>
        <w:snapToGrid w:val="0"/>
        <w:spacing w:line="440" w:lineRule="atLeast"/>
        <w:ind w:firstLine="482"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（二）乙方责任</w:t>
      </w:r>
    </w:p>
    <w:p w14:paraId="3C0DAB03">
      <w:pPr>
        <w:snapToGrid w:val="0"/>
        <w:spacing w:line="440" w:lineRule="atLeast"/>
        <w:ind w:firstLine="482"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（根据招标结果确定）</w:t>
      </w:r>
    </w:p>
    <w:p w14:paraId="2FE51532">
      <w:pPr>
        <w:snapToGrid w:val="0"/>
        <w:spacing w:line="440" w:lineRule="atLeast"/>
        <w:ind w:firstLine="482" w:firstLineChars="200"/>
        <w:rPr>
          <w:rFonts w:cs="宋体" w:asciiTheme="minorEastAsia" w:hAnsiTheme="minorEastAsia" w:eastAsiaTheme="minorEastAsia"/>
          <w:b/>
          <w:color w:val="auto"/>
          <w:sz w:val="24"/>
          <w:highlight w:val="none"/>
        </w:rPr>
      </w:pPr>
    </w:p>
    <w:p w14:paraId="70ACEC9E">
      <w:pPr>
        <w:snapToGrid w:val="0"/>
        <w:spacing w:line="440" w:lineRule="atLeast"/>
        <w:ind w:firstLine="482"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四、技术资料</w:t>
      </w:r>
    </w:p>
    <w:p w14:paraId="4A1EBD22">
      <w:pPr>
        <w:snapToGrid w:val="0"/>
        <w:spacing w:line="440" w:lineRule="atLeas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1、乙方应按招标文件规定的时间向甲方提供有关技术资料。</w:t>
      </w:r>
    </w:p>
    <w:p w14:paraId="1CDC2C4C">
      <w:pPr>
        <w:snapToGrid w:val="0"/>
        <w:spacing w:line="440" w:lineRule="atLeas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070E3E5">
      <w:pPr>
        <w:snapToGrid w:val="0"/>
        <w:spacing w:line="440" w:lineRule="atLeast"/>
        <w:ind w:firstLine="482"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bCs/>
          <w:color w:val="auto"/>
          <w:sz w:val="24"/>
          <w:highlight w:val="none"/>
        </w:rPr>
        <w:t>五</w:t>
      </w:r>
      <w:r>
        <w:rPr>
          <w:rFonts w:hint="eastAsia" w:cs="仿宋" w:asciiTheme="minorEastAsia" w:hAnsiTheme="minorEastAsia" w:eastAsiaTheme="minorEastAsia"/>
          <w:b/>
          <w:color w:val="auto"/>
          <w:sz w:val="24"/>
          <w:highlight w:val="none"/>
        </w:rPr>
        <w:t>、知识产权</w:t>
      </w:r>
    </w:p>
    <w:p w14:paraId="25A16679">
      <w:pPr>
        <w:snapToGrid w:val="0"/>
        <w:spacing w:line="440" w:lineRule="atLeast"/>
        <w:ind w:firstLine="480"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color w:val="auto"/>
          <w:sz w:val="24"/>
          <w:highlight w:val="none"/>
        </w:rPr>
        <w:t>乙方应保证提供服务过程中不会侵犯任何第三方的</w:t>
      </w:r>
      <w:r>
        <w:rPr>
          <w:rFonts w:hint="eastAsia" w:cs="仿宋" w:asciiTheme="minorEastAsia" w:hAnsiTheme="minorEastAsia" w:eastAsiaTheme="minorEastAsia"/>
          <w:b/>
          <w:color w:val="auto"/>
          <w:sz w:val="24"/>
          <w:highlight w:val="none"/>
        </w:rPr>
        <w:t>知识产权</w:t>
      </w:r>
      <w:r>
        <w:rPr>
          <w:rFonts w:hint="eastAsia" w:cs="仿宋" w:asciiTheme="minorEastAsia" w:hAnsiTheme="minorEastAsia" w:eastAsiaTheme="minorEastAsia"/>
          <w:b/>
          <w:bCs/>
          <w:color w:val="auto"/>
          <w:sz w:val="24"/>
          <w:highlight w:val="none"/>
        </w:rPr>
        <w:t>。</w:t>
      </w:r>
    </w:p>
    <w:p w14:paraId="7DFA6B60">
      <w:pPr>
        <w:snapToGrid w:val="0"/>
        <w:spacing w:line="440" w:lineRule="atLeast"/>
        <w:ind w:firstLine="482"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六、转包或分包</w:t>
      </w:r>
    </w:p>
    <w:p w14:paraId="7EC44C30">
      <w:pPr>
        <w:snapToGrid w:val="0"/>
        <w:spacing w:line="440" w:lineRule="atLeas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1、本合同范围的服务，应由乙方直接供应，不得转让他人供应；</w:t>
      </w:r>
    </w:p>
    <w:p w14:paraId="4BD6CDE7">
      <w:pPr>
        <w:snapToGrid w:val="0"/>
        <w:spacing w:line="440" w:lineRule="atLeast"/>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2、如有转让和分包行为，甲方有权解除合同，并追究乙方的违约责任。</w:t>
      </w:r>
    </w:p>
    <w:p w14:paraId="58B72872">
      <w:pPr>
        <w:snapToGrid w:val="0"/>
        <w:spacing w:line="440" w:lineRule="atLeast"/>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七、履约保证金</w:t>
      </w:r>
    </w:p>
    <w:p w14:paraId="6DF6E0F3">
      <w:pPr>
        <w:snapToGrid w:val="0"/>
        <w:spacing w:line="440" w:lineRule="atLeast"/>
        <w:ind w:firstLine="482" w:firstLineChars="200"/>
        <w:rPr>
          <w:rFonts w:cs="仿宋" w:asciiTheme="minorEastAsia" w:hAnsiTheme="minorEastAsia" w:eastAsiaTheme="minorEastAsia"/>
          <w:b/>
          <w:bCs/>
          <w:color w:val="auto"/>
          <w:sz w:val="24"/>
          <w:highlight w:val="none"/>
        </w:rPr>
      </w:pPr>
    </w:p>
    <w:p w14:paraId="1631FE01">
      <w:pPr>
        <w:snapToGrid w:val="0"/>
        <w:spacing w:line="440" w:lineRule="atLeast"/>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八、款项支付</w:t>
      </w:r>
    </w:p>
    <w:p w14:paraId="2F898AD9">
      <w:pPr>
        <w:snapToGrid w:val="0"/>
        <w:spacing w:line="276" w:lineRule="auto"/>
        <w:ind w:firstLine="482" w:firstLineChars="200"/>
        <w:rPr>
          <w:rFonts w:cs="仿宋" w:asciiTheme="minorEastAsia" w:hAnsiTheme="minorEastAsia" w:eastAsiaTheme="minorEastAsia"/>
          <w:b/>
          <w:bCs/>
          <w:color w:val="auto"/>
          <w:sz w:val="24"/>
          <w:highlight w:val="none"/>
        </w:rPr>
      </w:pPr>
    </w:p>
    <w:p w14:paraId="665985F6">
      <w:pPr>
        <w:snapToGrid w:val="0"/>
        <w:spacing w:line="276" w:lineRule="auto"/>
        <w:ind w:firstLine="482" w:firstLineChars="200"/>
        <w:rPr>
          <w:rFonts w:cs="仿宋" w:asciiTheme="minorEastAsia" w:hAnsiTheme="minorEastAsia" w:eastAsiaTheme="minorEastAsia"/>
          <w:b/>
          <w:bCs/>
          <w:color w:val="auto"/>
          <w:sz w:val="24"/>
          <w:highlight w:val="none"/>
        </w:rPr>
      </w:pPr>
    </w:p>
    <w:p w14:paraId="003A5A11">
      <w:pPr>
        <w:spacing w:line="360" w:lineRule="auto"/>
        <w:ind w:firstLine="482" w:firstLineChars="200"/>
        <w:rPr>
          <w:rFonts w:cs="仿宋_GB2312"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九、</w:t>
      </w:r>
      <w:r>
        <w:rPr>
          <w:rFonts w:hint="eastAsia" w:cs="仿宋_GB2312" w:asciiTheme="minorEastAsia" w:hAnsiTheme="minorEastAsia" w:eastAsiaTheme="minorEastAsia"/>
          <w:b/>
          <w:bCs/>
          <w:color w:val="auto"/>
          <w:sz w:val="24"/>
          <w:highlight w:val="none"/>
        </w:rPr>
        <w:t>合同履行时间、履行方式及履行地点</w:t>
      </w:r>
    </w:p>
    <w:p w14:paraId="0480717F">
      <w:pPr>
        <w:snapToGrid w:val="0"/>
        <w:spacing w:line="276" w:lineRule="auto"/>
        <w:ind w:firstLine="482" w:firstLineChars="200"/>
        <w:rPr>
          <w:rFonts w:cs="仿宋" w:asciiTheme="minorEastAsia" w:hAnsiTheme="minorEastAsia" w:eastAsiaTheme="minorEastAsia"/>
          <w:b/>
          <w:bCs/>
          <w:color w:val="auto"/>
          <w:sz w:val="24"/>
          <w:highlight w:val="none"/>
        </w:rPr>
      </w:pPr>
    </w:p>
    <w:p w14:paraId="636833C6">
      <w:pPr>
        <w:snapToGrid w:val="0"/>
        <w:spacing w:line="276" w:lineRule="auto"/>
        <w:ind w:firstLine="482" w:firstLineChars="20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十、税费</w:t>
      </w:r>
    </w:p>
    <w:p w14:paraId="54CE15F9">
      <w:pPr>
        <w:snapToGrid w:val="0"/>
        <w:ind w:firstLine="480" w:firstLineChars="20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本合同执行中相关的一切税费均由乙方负担。</w:t>
      </w:r>
    </w:p>
    <w:p w14:paraId="6ABF07DF">
      <w:pPr>
        <w:spacing w:line="360" w:lineRule="auto"/>
        <w:ind w:firstLine="482" w:firstLineChars="200"/>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十一、质量保证及后续服务</w:t>
      </w:r>
    </w:p>
    <w:p w14:paraId="58DC98A4">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 乙方应按招标文件规定向甲方提供服务。</w:t>
      </w:r>
    </w:p>
    <w:p w14:paraId="4A4F381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 乙方提供的服务成果在服务期内发生债券发行不成功的情况，甲方按双方约定不予支付承销费用,乙方应负责免费提供后续服务。对达不到要求者，根据实际情况，甲方有权选择按以下办法处理：</w:t>
      </w:r>
    </w:p>
    <w:p w14:paraId="7A7E9DF0">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⑴重做：由乙方承担所发生的全部费用。</w:t>
      </w:r>
    </w:p>
    <w:p w14:paraId="3694B91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⑵解除合同。</w:t>
      </w:r>
    </w:p>
    <w:p w14:paraId="4F3A29FA">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3．在服务期内，乙方应对出现的质量问题负责处理解决并承担一切费用。</w:t>
      </w:r>
    </w:p>
    <w:p w14:paraId="63CE7A9D">
      <w:pPr>
        <w:autoSpaceDE w:val="0"/>
        <w:autoSpaceDN w:val="0"/>
        <w:snapToGrid w:val="0"/>
        <w:spacing w:line="440" w:lineRule="atLeast"/>
        <w:ind w:firstLine="482" w:firstLineChars="200"/>
        <w:jc w:val="left"/>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十二、违约责任</w:t>
      </w:r>
    </w:p>
    <w:p w14:paraId="005D4BB9">
      <w:pPr>
        <w:pStyle w:val="15"/>
        <w:snapToGrid w:val="0"/>
        <w:spacing w:before="0" w:beforeLines="0" w:after="0" w:afterLines="0" w:line="440" w:lineRule="atLeast"/>
        <w:ind w:firstLine="48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1、甲方无正当理由拒收接受服务的，甲方向乙方偿付合同款项百分之五作为违约金。</w:t>
      </w:r>
    </w:p>
    <w:p w14:paraId="7B3885CB">
      <w:pPr>
        <w:pStyle w:val="15"/>
        <w:snapToGrid w:val="0"/>
        <w:spacing w:before="0" w:beforeLines="0" w:after="0" w:afterLines="0" w:line="440" w:lineRule="atLeast"/>
        <w:ind w:firstLine="48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2、甲方无故逾期验收和办理款项支付手续的,甲方应按逾期付款总额每日万分之五向乙方支付违约金。</w:t>
      </w:r>
    </w:p>
    <w:p w14:paraId="013A6664">
      <w:pPr>
        <w:pStyle w:val="15"/>
        <w:snapToGrid w:val="0"/>
        <w:spacing w:before="0" w:beforeLines="0" w:after="0" w:afterLines="0" w:line="440" w:lineRule="atLeast"/>
        <w:ind w:firstLine="480" w:firstLineChars="200"/>
        <w:rPr>
          <w:rFonts w:cs="仿宋" w:asciiTheme="minorEastAsia" w:hAnsiTheme="minorEastAsia" w:eastAsiaTheme="minorEastAsia"/>
          <w:color w:val="auto"/>
          <w:highlight w:val="none"/>
        </w:rPr>
      </w:pPr>
      <w:r>
        <w:rPr>
          <w:rFonts w:hint="eastAsia" w:cs="仿宋" w:asciiTheme="minorEastAsia" w:hAnsiTheme="minorEastAsia" w:eastAsiaTheme="minorEastAsia"/>
          <w:color w:val="auto"/>
          <w:highlight w:val="none"/>
        </w:rPr>
        <w:t xml:space="preserve">3、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3CA5DC7">
      <w:pPr>
        <w:autoSpaceDE w:val="0"/>
        <w:autoSpaceDN w:val="0"/>
        <w:snapToGrid w:val="0"/>
        <w:spacing w:line="440" w:lineRule="atLeast"/>
        <w:ind w:firstLine="482" w:firstLineChars="200"/>
        <w:jc w:val="left"/>
        <w:rPr>
          <w:rFonts w:cs="仿宋" w:asciiTheme="minorEastAsia" w:hAnsiTheme="minorEastAsia" w:eastAsiaTheme="minorEastAsia"/>
          <w:b/>
          <w:color w:val="auto"/>
          <w:sz w:val="24"/>
          <w:szCs w:val="22"/>
          <w:highlight w:val="none"/>
        </w:rPr>
      </w:pPr>
      <w:r>
        <w:rPr>
          <w:rFonts w:hint="eastAsia" w:cs="仿宋" w:asciiTheme="minorEastAsia" w:hAnsiTheme="minorEastAsia" w:eastAsiaTheme="minorEastAsia"/>
          <w:b/>
          <w:color w:val="auto"/>
          <w:sz w:val="24"/>
          <w:szCs w:val="22"/>
          <w:highlight w:val="none"/>
        </w:rPr>
        <w:t>十三、不可抗力事件处理</w:t>
      </w:r>
    </w:p>
    <w:p w14:paraId="200955DF">
      <w:pPr>
        <w:autoSpaceDE w:val="0"/>
        <w:autoSpaceDN w:val="0"/>
        <w:snapToGrid w:val="0"/>
        <w:spacing w:line="440" w:lineRule="atLeast"/>
        <w:ind w:firstLine="480" w:firstLineChars="200"/>
        <w:jc w:val="left"/>
        <w:rPr>
          <w:rFonts w:cs="仿宋" w:asciiTheme="minorEastAsia" w:hAnsiTheme="minorEastAsia" w:eastAsiaTheme="minorEastAsia"/>
          <w:color w:val="auto"/>
          <w:sz w:val="24"/>
          <w:szCs w:val="22"/>
          <w:highlight w:val="none"/>
        </w:rPr>
      </w:pPr>
      <w:r>
        <w:rPr>
          <w:rFonts w:hint="eastAsia" w:cs="仿宋" w:asciiTheme="minorEastAsia" w:hAnsiTheme="minorEastAsia" w:eastAsiaTheme="minorEastAsia"/>
          <w:color w:val="auto"/>
          <w:sz w:val="24"/>
          <w:szCs w:val="22"/>
          <w:highlight w:val="none"/>
        </w:rPr>
        <w:t>1、在合同有效期内，任何一方因不可抗力事件导致不能履行合同，则合同履行期可延长，其延长期与不可抗力影响期相同。</w:t>
      </w:r>
    </w:p>
    <w:p w14:paraId="18ADAEDE">
      <w:pPr>
        <w:autoSpaceDE w:val="0"/>
        <w:autoSpaceDN w:val="0"/>
        <w:snapToGrid w:val="0"/>
        <w:spacing w:line="440" w:lineRule="atLeast"/>
        <w:ind w:firstLine="480" w:firstLineChars="200"/>
        <w:jc w:val="left"/>
        <w:rPr>
          <w:rFonts w:cs="仿宋" w:asciiTheme="minorEastAsia" w:hAnsiTheme="minorEastAsia" w:eastAsiaTheme="minorEastAsia"/>
          <w:color w:val="auto"/>
          <w:sz w:val="24"/>
          <w:szCs w:val="22"/>
          <w:highlight w:val="none"/>
        </w:rPr>
      </w:pPr>
      <w:r>
        <w:rPr>
          <w:rFonts w:hint="eastAsia" w:cs="仿宋" w:asciiTheme="minorEastAsia" w:hAnsiTheme="minorEastAsia" w:eastAsiaTheme="minorEastAsia"/>
          <w:color w:val="auto"/>
          <w:sz w:val="24"/>
          <w:szCs w:val="22"/>
          <w:highlight w:val="none"/>
        </w:rPr>
        <w:t>2、不可抗力事件发生后，应立即通知对方，并寄送有关权威机构出具的证明。</w:t>
      </w:r>
    </w:p>
    <w:p w14:paraId="7A30787E">
      <w:pPr>
        <w:autoSpaceDE w:val="0"/>
        <w:autoSpaceDN w:val="0"/>
        <w:snapToGrid w:val="0"/>
        <w:spacing w:line="440" w:lineRule="atLeast"/>
        <w:ind w:firstLine="480" w:firstLineChars="200"/>
        <w:jc w:val="left"/>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color w:val="auto"/>
          <w:sz w:val="24"/>
          <w:szCs w:val="22"/>
          <w:highlight w:val="none"/>
        </w:rPr>
        <w:t>3、不可抗力事件延续120天以上，双方应通过友好协商，确定是否继续履行合同。</w:t>
      </w:r>
    </w:p>
    <w:p w14:paraId="6D4C3E82">
      <w:pPr>
        <w:snapToGrid w:val="0"/>
        <w:spacing w:line="440" w:lineRule="atLeast"/>
        <w:ind w:firstLine="482" w:firstLineChars="200"/>
        <w:contextualSpacing/>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十四、诉讼</w:t>
      </w:r>
      <w:r>
        <w:rPr>
          <w:rFonts w:hint="eastAsia" w:cs="仿宋" w:asciiTheme="minorEastAsia" w:hAnsiTheme="minorEastAsia" w:eastAsiaTheme="minorEastAsia"/>
          <w:color w:val="auto"/>
          <w:sz w:val="24"/>
          <w:highlight w:val="none"/>
        </w:rPr>
        <w:t xml:space="preserve">             </w:t>
      </w:r>
    </w:p>
    <w:p w14:paraId="4D776EF5">
      <w:pPr>
        <w:autoSpaceDE w:val="0"/>
        <w:autoSpaceDN w:val="0"/>
        <w:snapToGrid w:val="0"/>
        <w:spacing w:line="440" w:lineRule="atLeast"/>
        <w:ind w:firstLine="482" w:firstLineChars="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本合同在履行期间发生的争议，由双方协商解决，协商不成可依法向东阳市人民法院提起诉讼。</w:t>
      </w:r>
    </w:p>
    <w:p w14:paraId="25E3C0BD">
      <w:pPr>
        <w:autoSpaceDE w:val="0"/>
        <w:autoSpaceDN w:val="0"/>
        <w:snapToGrid w:val="0"/>
        <w:spacing w:line="440" w:lineRule="atLeast"/>
        <w:ind w:firstLine="482" w:firstLineChars="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十五、合同生效及其它</w:t>
      </w:r>
      <w:r>
        <w:rPr>
          <w:rFonts w:hint="eastAsia" w:cs="仿宋" w:asciiTheme="minorEastAsia" w:hAnsiTheme="minorEastAsia" w:eastAsiaTheme="minorEastAsia"/>
          <w:color w:val="auto"/>
          <w:sz w:val="24"/>
          <w:highlight w:val="none"/>
        </w:rPr>
        <w:t xml:space="preserve"> </w:t>
      </w:r>
    </w:p>
    <w:p w14:paraId="1D287D0F">
      <w:pPr>
        <w:autoSpaceDE w:val="0"/>
        <w:autoSpaceDN w:val="0"/>
        <w:snapToGrid w:val="0"/>
        <w:spacing w:line="440" w:lineRule="atLeast"/>
        <w:ind w:firstLine="480" w:firstLineChars="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1、合同经双方法定代表人或授权代表签字并加盖单位公章后生效。</w:t>
      </w:r>
    </w:p>
    <w:p w14:paraId="55671505">
      <w:pPr>
        <w:autoSpaceDE w:val="0"/>
        <w:autoSpaceDN w:val="0"/>
        <w:snapToGrid w:val="0"/>
        <w:spacing w:line="440" w:lineRule="atLeast"/>
        <w:ind w:firstLine="480" w:firstLineChars="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2、合同执行中涉及采购资金和采购内容修改或补充的，须经国资部门审批，并签书面补充协议报国资办监督管理部门备案，方可作为主合同不可分割的一部分。</w:t>
      </w:r>
    </w:p>
    <w:p w14:paraId="4C90BD12">
      <w:pPr>
        <w:autoSpaceDE w:val="0"/>
        <w:autoSpaceDN w:val="0"/>
        <w:snapToGrid w:val="0"/>
        <w:spacing w:line="440" w:lineRule="atLeast"/>
        <w:ind w:firstLine="480" w:firstLineChars="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3、本合同未尽事宜，遵照《中华人民共和国民法典》有关条文执行。</w:t>
      </w:r>
    </w:p>
    <w:p w14:paraId="2B6DABD1">
      <w:pPr>
        <w:autoSpaceDE w:val="0"/>
        <w:autoSpaceDN w:val="0"/>
        <w:snapToGrid w:val="0"/>
        <w:spacing w:line="440" w:lineRule="atLeast"/>
        <w:ind w:firstLine="480" w:firstLineChars="2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4、本合同正本一式六份，具有同等法律效力，甲乙双方各执二份；国资办、代理机构各执一份，具有同等法律效力。  </w:t>
      </w:r>
    </w:p>
    <w:p w14:paraId="20C67CAF">
      <w:pPr>
        <w:autoSpaceDE w:val="0"/>
        <w:autoSpaceDN w:val="0"/>
        <w:snapToGrid w:val="0"/>
        <w:spacing w:line="360" w:lineRule="auto"/>
        <w:ind w:left="239"/>
        <w:jc w:val="left"/>
        <w:rPr>
          <w:rFonts w:cs="宋体" w:asciiTheme="minorEastAsia" w:hAnsiTheme="minorEastAsia" w:eastAsiaTheme="minorEastAsia"/>
          <w:color w:val="auto"/>
          <w:sz w:val="24"/>
          <w:highlight w:val="none"/>
        </w:rPr>
      </w:pPr>
    </w:p>
    <w:p w14:paraId="67A091B3">
      <w:pPr>
        <w:autoSpaceDE w:val="0"/>
        <w:autoSpaceDN w:val="0"/>
        <w:snapToGrid w:val="0"/>
        <w:spacing w:line="360" w:lineRule="auto"/>
        <w:ind w:left="239"/>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甲方（盖章）：                             乙方（盖章）： </w:t>
      </w:r>
    </w:p>
    <w:p w14:paraId="26C5A288">
      <w:pPr>
        <w:autoSpaceDE w:val="0"/>
        <w:autoSpaceDN w:val="0"/>
        <w:snapToGrid w:val="0"/>
        <w:spacing w:line="360" w:lineRule="auto"/>
        <w:ind w:firstLine="240" w:firstLineChars="1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法定代表人或授权委托人：                   法定代表人或授权委托人：   </w:t>
      </w:r>
    </w:p>
    <w:p w14:paraId="31998D56">
      <w:pPr>
        <w:autoSpaceDE w:val="0"/>
        <w:autoSpaceDN w:val="0"/>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（签字）                                  （签字）                         </w:t>
      </w:r>
    </w:p>
    <w:p w14:paraId="1733F385">
      <w:pPr>
        <w:autoSpaceDE w:val="0"/>
        <w:autoSpaceDN w:val="0"/>
        <w:snapToGrid w:val="0"/>
        <w:spacing w:line="360" w:lineRule="auto"/>
        <w:ind w:firstLine="240" w:firstLineChars="1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联系地址：                                  联系地址：</w:t>
      </w:r>
    </w:p>
    <w:p w14:paraId="4359BB58">
      <w:pPr>
        <w:autoSpaceDE w:val="0"/>
        <w:autoSpaceDN w:val="0"/>
        <w:snapToGrid w:val="0"/>
        <w:spacing w:line="360" w:lineRule="auto"/>
        <w:ind w:firstLine="240" w:firstLineChars="1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联系电话：                                  联系电话：</w:t>
      </w:r>
    </w:p>
    <w:p w14:paraId="17C13294">
      <w:pPr>
        <w:autoSpaceDE w:val="0"/>
        <w:autoSpaceDN w:val="0"/>
        <w:snapToGrid w:val="0"/>
        <w:spacing w:line="360" w:lineRule="auto"/>
        <w:ind w:firstLine="5520" w:firstLineChars="2300"/>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开户名称：</w:t>
      </w:r>
    </w:p>
    <w:p w14:paraId="4A0496BC">
      <w:pPr>
        <w:autoSpaceDE w:val="0"/>
        <w:autoSpaceDN w:val="0"/>
        <w:snapToGrid w:val="0"/>
        <w:spacing w:line="360" w:lineRule="auto"/>
        <w:ind w:left="239"/>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开 户 行：</w:t>
      </w:r>
    </w:p>
    <w:p w14:paraId="55B8115B">
      <w:pPr>
        <w:tabs>
          <w:tab w:val="left" w:pos="2175"/>
        </w:tabs>
        <w:snapToGrid w:val="0"/>
        <w:spacing w:before="120" w:after="120" w:line="360" w:lineRule="auto"/>
        <w:ind w:firstLine="24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银行帐号：</w:t>
      </w:r>
    </w:p>
    <w:p w14:paraId="0153E96F">
      <w:pPr>
        <w:autoSpaceDE w:val="0"/>
        <w:autoSpaceDN w:val="0"/>
        <w:snapToGrid w:val="0"/>
        <w:spacing w:line="360" w:lineRule="auto"/>
        <w:ind w:left="239"/>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签定地点：                                  签定日期：    年    月    日</w:t>
      </w:r>
    </w:p>
    <w:p w14:paraId="7061D3AD">
      <w:pPr>
        <w:tabs>
          <w:tab w:val="left" w:pos="2175"/>
        </w:tabs>
        <w:snapToGrid w:val="0"/>
        <w:spacing w:before="156" w:after="156"/>
        <w:ind w:firstLine="240"/>
        <w:rPr>
          <w:rFonts w:cs="仿宋" w:asciiTheme="minorEastAsia" w:hAnsiTheme="minorEastAsia" w:eastAsiaTheme="minorEastAsia"/>
          <w:color w:val="auto"/>
          <w:sz w:val="24"/>
          <w:highlight w:val="none"/>
        </w:rPr>
      </w:pPr>
    </w:p>
    <w:p w14:paraId="5E3F5433">
      <w:pPr>
        <w:tabs>
          <w:tab w:val="left" w:pos="2175"/>
        </w:tabs>
        <w:snapToGrid w:val="0"/>
        <w:spacing w:before="156" w:after="156"/>
        <w:ind w:firstLine="24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鉴证方:</w:t>
      </w:r>
    </w:p>
    <w:p w14:paraId="0904CA88">
      <w:pPr>
        <w:tabs>
          <w:tab w:val="left" w:pos="2175"/>
        </w:tabs>
        <w:snapToGrid w:val="0"/>
        <w:spacing w:before="156" w:after="156"/>
        <w:ind w:firstLine="24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法定代表人或主要负责人:</w:t>
      </w:r>
    </w:p>
    <w:p w14:paraId="72333FD2">
      <w:pPr>
        <w:widowControl/>
        <w:jc w:val="left"/>
        <w:rPr>
          <w:rFonts w:asciiTheme="minorEastAsia" w:hAnsiTheme="minorEastAsia" w:eastAsiaTheme="minorEastAsia"/>
          <w:b/>
          <w:bCs/>
          <w:color w:val="auto"/>
          <w:kern w:val="44"/>
          <w:sz w:val="44"/>
          <w:szCs w:val="44"/>
          <w:highlight w:val="none"/>
        </w:rPr>
      </w:pPr>
      <w:r>
        <w:rPr>
          <w:rFonts w:asciiTheme="minorEastAsia" w:hAnsiTheme="minorEastAsia" w:eastAsiaTheme="minorEastAsia"/>
          <w:b/>
          <w:bCs/>
          <w:color w:val="auto"/>
          <w:kern w:val="44"/>
          <w:sz w:val="44"/>
          <w:szCs w:val="44"/>
          <w:highlight w:val="none"/>
        </w:rPr>
        <w:br w:type="page"/>
      </w:r>
    </w:p>
    <w:p w14:paraId="5E79204C">
      <w:pPr>
        <w:tabs>
          <w:tab w:val="left" w:pos="2175"/>
          <w:tab w:val="left" w:pos="2472"/>
        </w:tabs>
        <w:snapToGrid w:val="0"/>
        <w:rPr>
          <w:rFonts w:asciiTheme="minorEastAsia" w:hAnsiTheme="minorEastAsia" w:eastAsiaTheme="minorEastAsia"/>
          <w:color w:val="auto"/>
          <w:sz w:val="30"/>
          <w:highlight w:val="none"/>
        </w:rPr>
      </w:pPr>
    </w:p>
    <w:p w14:paraId="4CCC2C8D">
      <w:pPr>
        <w:snapToGrid w:val="0"/>
        <w:spacing w:before="120" w:after="50"/>
        <w:ind w:firstLine="3012" w:firstLineChars="1000"/>
        <w:rPr>
          <w:rFonts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第六章 响应文件格式范例</w:t>
      </w:r>
    </w:p>
    <w:p w14:paraId="7741DF7B">
      <w:pPr>
        <w:rPr>
          <w:rFonts w:cs="仿宋_GB2312" w:asciiTheme="minorEastAsia" w:hAnsiTheme="minorEastAsia" w:eastAsiaTheme="minorEastAsia"/>
          <w:color w:val="auto"/>
          <w:sz w:val="32"/>
          <w:szCs w:val="32"/>
          <w:highlight w:val="none"/>
        </w:rPr>
      </w:pPr>
    </w:p>
    <w:p w14:paraId="2358784F">
      <w:pPr>
        <w:jc w:val="right"/>
        <w:rPr>
          <w:rFonts w:cs="仿宋_GB2312" w:asciiTheme="minorEastAsia" w:hAnsiTheme="minorEastAsia" w:eastAsiaTheme="minorEastAsia"/>
          <w:color w:val="auto"/>
          <w:sz w:val="32"/>
          <w:szCs w:val="32"/>
          <w:highlight w:val="none"/>
        </w:rPr>
      </w:pPr>
    </w:p>
    <w:p w14:paraId="70B74F01">
      <w:pPr>
        <w:jc w:val="center"/>
        <w:rPr>
          <w:rFonts w:cs="仿宋_GB2312" w:asciiTheme="minorEastAsia" w:hAnsiTheme="minorEastAsia" w:eastAsiaTheme="minorEastAsia"/>
          <w:color w:val="auto"/>
          <w:sz w:val="32"/>
          <w:szCs w:val="32"/>
          <w:highlight w:val="none"/>
        </w:rPr>
      </w:pPr>
    </w:p>
    <w:p w14:paraId="3A2F9423">
      <w:pPr>
        <w:jc w:val="center"/>
        <w:rPr>
          <w:rFonts w:cs="仿宋_GB2312" w:asciiTheme="minorEastAsia" w:hAnsiTheme="minorEastAsia" w:eastAsiaTheme="minorEastAsia"/>
          <w:b/>
          <w:bCs/>
          <w:color w:val="auto"/>
          <w:sz w:val="52"/>
          <w:szCs w:val="52"/>
          <w:highlight w:val="none"/>
        </w:rPr>
      </w:pPr>
      <w:r>
        <w:rPr>
          <w:rFonts w:hint="eastAsia" w:cs="仿宋_GB2312" w:asciiTheme="minorEastAsia" w:hAnsiTheme="minorEastAsia" w:eastAsiaTheme="minorEastAsia"/>
          <w:b/>
          <w:bCs/>
          <w:color w:val="auto"/>
          <w:sz w:val="52"/>
          <w:szCs w:val="52"/>
          <w:highlight w:val="none"/>
        </w:rPr>
        <w:t>响</w:t>
      </w:r>
    </w:p>
    <w:p w14:paraId="4494F087">
      <w:pPr>
        <w:jc w:val="center"/>
        <w:rPr>
          <w:rFonts w:cs="仿宋_GB2312" w:asciiTheme="minorEastAsia" w:hAnsiTheme="minorEastAsia" w:eastAsiaTheme="minorEastAsia"/>
          <w:b/>
          <w:bCs/>
          <w:color w:val="auto"/>
          <w:sz w:val="52"/>
          <w:szCs w:val="52"/>
          <w:highlight w:val="none"/>
        </w:rPr>
      </w:pPr>
    </w:p>
    <w:p w14:paraId="678598A7">
      <w:pPr>
        <w:jc w:val="center"/>
        <w:rPr>
          <w:rFonts w:cs="仿宋_GB2312" w:asciiTheme="minorEastAsia" w:hAnsiTheme="minorEastAsia" w:eastAsiaTheme="minorEastAsia"/>
          <w:b/>
          <w:bCs/>
          <w:color w:val="auto"/>
          <w:sz w:val="52"/>
          <w:szCs w:val="52"/>
          <w:highlight w:val="none"/>
        </w:rPr>
      </w:pPr>
      <w:r>
        <w:rPr>
          <w:rFonts w:hint="eastAsia" w:cs="仿宋_GB2312" w:asciiTheme="minorEastAsia" w:hAnsiTheme="minorEastAsia" w:eastAsiaTheme="minorEastAsia"/>
          <w:b/>
          <w:bCs/>
          <w:color w:val="auto"/>
          <w:sz w:val="52"/>
          <w:szCs w:val="52"/>
          <w:highlight w:val="none"/>
        </w:rPr>
        <w:t>应</w:t>
      </w:r>
    </w:p>
    <w:p w14:paraId="1564E6D6">
      <w:pPr>
        <w:jc w:val="center"/>
        <w:rPr>
          <w:rFonts w:cs="仿宋_GB2312" w:asciiTheme="minorEastAsia" w:hAnsiTheme="minorEastAsia" w:eastAsiaTheme="minorEastAsia"/>
          <w:b/>
          <w:bCs/>
          <w:color w:val="auto"/>
          <w:sz w:val="52"/>
          <w:szCs w:val="52"/>
          <w:highlight w:val="none"/>
        </w:rPr>
      </w:pPr>
    </w:p>
    <w:p w14:paraId="183BCECA">
      <w:pPr>
        <w:jc w:val="center"/>
        <w:rPr>
          <w:rFonts w:cs="仿宋_GB2312" w:asciiTheme="minorEastAsia" w:hAnsiTheme="minorEastAsia" w:eastAsiaTheme="minorEastAsia"/>
          <w:b/>
          <w:bCs/>
          <w:color w:val="auto"/>
          <w:sz w:val="52"/>
          <w:szCs w:val="52"/>
          <w:highlight w:val="none"/>
        </w:rPr>
      </w:pPr>
      <w:r>
        <w:rPr>
          <w:rFonts w:hint="eastAsia" w:cs="仿宋_GB2312" w:asciiTheme="minorEastAsia" w:hAnsiTheme="minorEastAsia" w:eastAsiaTheme="minorEastAsia"/>
          <w:b/>
          <w:bCs/>
          <w:color w:val="auto"/>
          <w:sz w:val="52"/>
          <w:szCs w:val="52"/>
          <w:highlight w:val="none"/>
        </w:rPr>
        <w:t>文</w:t>
      </w:r>
    </w:p>
    <w:p w14:paraId="35B25C22">
      <w:pPr>
        <w:jc w:val="center"/>
        <w:rPr>
          <w:rFonts w:cs="仿宋_GB2312" w:asciiTheme="minorEastAsia" w:hAnsiTheme="minorEastAsia" w:eastAsiaTheme="minorEastAsia"/>
          <w:b/>
          <w:bCs/>
          <w:color w:val="auto"/>
          <w:sz w:val="52"/>
          <w:szCs w:val="52"/>
          <w:highlight w:val="none"/>
        </w:rPr>
      </w:pPr>
    </w:p>
    <w:p w14:paraId="16DE15D9">
      <w:pPr>
        <w:jc w:val="center"/>
        <w:rPr>
          <w:rFonts w:cs="仿宋_GB2312" w:asciiTheme="minorEastAsia" w:hAnsiTheme="minorEastAsia" w:eastAsiaTheme="minorEastAsia"/>
          <w:b/>
          <w:bCs/>
          <w:color w:val="auto"/>
          <w:sz w:val="52"/>
          <w:szCs w:val="52"/>
          <w:highlight w:val="none"/>
        </w:rPr>
      </w:pPr>
      <w:r>
        <w:rPr>
          <w:rFonts w:hint="eastAsia" w:cs="仿宋_GB2312" w:asciiTheme="minorEastAsia" w:hAnsiTheme="minorEastAsia" w:eastAsiaTheme="minorEastAsia"/>
          <w:b/>
          <w:bCs/>
          <w:color w:val="auto"/>
          <w:sz w:val="52"/>
          <w:szCs w:val="52"/>
          <w:highlight w:val="none"/>
        </w:rPr>
        <w:t>件</w:t>
      </w:r>
    </w:p>
    <w:p w14:paraId="3180DC01">
      <w:pPr>
        <w:jc w:val="center"/>
        <w:rPr>
          <w:rFonts w:cs="仿宋_GB2312" w:asciiTheme="minorEastAsia" w:hAnsiTheme="minorEastAsia" w:eastAsiaTheme="minorEastAsia"/>
          <w:color w:val="auto"/>
          <w:sz w:val="32"/>
          <w:szCs w:val="32"/>
          <w:highlight w:val="none"/>
        </w:rPr>
      </w:pPr>
    </w:p>
    <w:p w14:paraId="33C06383">
      <w:pPr>
        <w:spacing w:line="360" w:lineRule="auto"/>
        <w:rPr>
          <w:rFonts w:cs="仿宋_GB2312" w:asciiTheme="minorEastAsia" w:hAnsiTheme="minorEastAsia" w:eastAsiaTheme="minorEastAsia"/>
          <w:color w:val="auto"/>
          <w:sz w:val="32"/>
          <w:szCs w:val="32"/>
          <w:highlight w:val="none"/>
        </w:rPr>
      </w:pPr>
    </w:p>
    <w:p w14:paraId="39A689B4">
      <w:pPr>
        <w:spacing w:line="360" w:lineRule="auto"/>
        <w:rPr>
          <w:rFonts w:cs="仿宋_GB2312" w:asciiTheme="minorEastAsia" w:hAnsiTheme="minorEastAsia" w:eastAsiaTheme="minorEastAsia"/>
          <w:color w:val="auto"/>
          <w:sz w:val="32"/>
          <w:szCs w:val="32"/>
          <w:highlight w:val="none"/>
        </w:rPr>
      </w:pPr>
    </w:p>
    <w:p w14:paraId="0D64A52F">
      <w:pPr>
        <w:spacing w:line="360" w:lineRule="auto"/>
        <w:rPr>
          <w:rFonts w:cs="仿宋_GB2312" w:asciiTheme="minorEastAsia" w:hAnsiTheme="minorEastAsia" w:eastAsiaTheme="minorEastAsia"/>
          <w:color w:val="auto"/>
          <w:sz w:val="30"/>
          <w:szCs w:val="30"/>
          <w:highlight w:val="none"/>
          <w:u w:val="single"/>
        </w:rPr>
      </w:pPr>
      <w:r>
        <w:rPr>
          <w:rFonts w:hint="eastAsia" w:cs="仿宋_GB2312" w:asciiTheme="minorEastAsia" w:hAnsiTheme="minorEastAsia" w:eastAsiaTheme="minorEastAsia"/>
          <w:color w:val="auto"/>
          <w:sz w:val="30"/>
          <w:szCs w:val="30"/>
          <w:highlight w:val="none"/>
        </w:rPr>
        <w:t>项目名称：</w:t>
      </w:r>
    </w:p>
    <w:p w14:paraId="04E0D725">
      <w:pPr>
        <w:spacing w:line="360" w:lineRule="auto"/>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项目编号：</w:t>
      </w:r>
    </w:p>
    <w:p w14:paraId="78D87256">
      <w:pPr>
        <w:pStyle w:val="11"/>
        <w:spacing w:line="360" w:lineRule="auto"/>
        <w:rPr>
          <w:rFonts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文件名称：资格审查文件/技术、资信及商务文件/报价文件（按需选择）</w:t>
      </w:r>
    </w:p>
    <w:p w14:paraId="074C2A20">
      <w:pPr>
        <w:spacing w:line="360" w:lineRule="auto"/>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主承销商全称（公章）：</w:t>
      </w:r>
    </w:p>
    <w:p w14:paraId="7D32F510">
      <w:pPr>
        <w:spacing w:line="360" w:lineRule="auto"/>
        <w:rPr>
          <w:rFonts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地    址：</w:t>
      </w:r>
    </w:p>
    <w:p w14:paraId="737CAC9C">
      <w:pPr>
        <w:spacing w:line="360" w:lineRule="auto"/>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时    间：</w:t>
      </w:r>
    </w:p>
    <w:p w14:paraId="696F39E1">
      <w:pPr>
        <w:snapToGrid w:val="0"/>
        <w:jc w:val="left"/>
        <w:rPr>
          <w:rFonts w:cs="宋体" w:asciiTheme="minorEastAsia" w:hAnsiTheme="minorEastAsia" w:eastAsiaTheme="minorEastAsia"/>
          <w:b/>
          <w:color w:val="auto"/>
          <w:sz w:val="24"/>
          <w:highlight w:val="none"/>
        </w:rPr>
      </w:pPr>
    </w:p>
    <w:p w14:paraId="296FC252">
      <w:pPr>
        <w:snapToGrid w:val="0"/>
        <w:jc w:val="left"/>
        <w:rPr>
          <w:rFonts w:cs="宋体" w:asciiTheme="minorEastAsia" w:hAnsiTheme="minorEastAsia" w:eastAsiaTheme="minorEastAsia"/>
          <w:b/>
          <w:color w:val="auto"/>
          <w:sz w:val="24"/>
          <w:highlight w:val="none"/>
        </w:rPr>
      </w:pPr>
    </w:p>
    <w:p w14:paraId="08619229">
      <w:pPr>
        <w:snapToGrid w:val="0"/>
        <w:jc w:val="left"/>
        <w:rPr>
          <w:rFonts w:cs="宋体" w:asciiTheme="minorEastAsia" w:hAnsiTheme="minorEastAsia" w:eastAsiaTheme="minorEastAsia"/>
          <w:b/>
          <w:color w:val="auto"/>
          <w:sz w:val="24"/>
          <w:highlight w:val="none"/>
        </w:rPr>
      </w:pPr>
    </w:p>
    <w:p w14:paraId="11DBF3C5">
      <w:pPr>
        <w:snapToGrid w:val="0"/>
        <w:jc w:val="left"/>
        <w:rPr>
          <w:rFonts w:cs="宋体" w:asciiTheme="minorEastAsia" w:hAnsiTheme="minorEastAsia" w:eastAsiaTheme="minorEastAsia"/>
          <w:b/>
          <w:color w:val="auto"/>
          <w:sz w:val="24"/>
          <w:highlight w:val="none"/>
        </w:rPr>
      </w:pPr>
    </w:p>
    <w:p w14:paraId="540EFAE7">
      <w:pPr>
        <w:pStyle w:val="13"/>
        <w:ind w:left="0" w:leftChars="0"/>
        <w:rPr>
          <w:rFonts w:cs="宋体" w:asciiTheme="minorEastAsia" w:hAnsiTheme="minorEastAsia" w:eastAsiaTheme="minorEastAsia"/>
          <w:b/>
          <w:color w:val="auto"/>
          <w:sz w:val="24"/>
          <w:highlight w:val="none"/>
        </w:rPr>
      </w:pPr>
    </w:p>
    <w:p w14:paraId="510E254B">
      <w:pPr>
        <w:spacing w:line="360" w:lineRule="auto"/>
        <w:ind w:firstLine="482" w:firstLineChars="200"/>
        <w:rPr>
          <w:rFonts w:hint="eastAsia" w:cs="仿宋" w:asciiTheme="minorEastAsia" w:hAnsiTheme="minorEastAsia" w:eastAsiaTheme="minorEastAsia"/>
          <w:b/>
          <w:color w:val="auto"/>
          <w:sz w:val="24"/>
          <w:highlight w:val="none"/>
        </w:rPr>
      </w:pPr>
    </w:p>
    <w:p w14:paraId="4198E2C5">
      <w:pPr>
        <w:spacing w:line="360" w:lineRule="auto"/>
        <w:ind w:firstLine="482"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1.资格审查文件</w:t>
      </w:r>
    </w:p>
    <w:p w14:paraId="237B230D">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（1）营业执照复印件；</w:t>
      </w:r>
    </w:p>
    <w:p w14:paraId="1479DAF1">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（2）法定代表人（或法定负责人）授权书及授权代表有效身份证复印件</w:t>
      </w:r>
      <w:r>
        <w:rPr>
          <w:rFonts w:hint="eastAsia" w:cs="仿宋" w:asciiTheme="minorEastAsia" w:hAnsiTheme="minorEastAsia" w:eastAsiaTheme="minorEastAsia"/>
          <w:bCs/>
          <w:color w:val="auto"/>
          <w:sz w:val="24"/>
          <w:highlight w:val="none"/>
        </w:rPr>
        <w:t>（格式见附件）</w:t>
      </w:r>
      <w:r>
        <w:rPr>
          <w:rFonts w:hint="eastAsia" w:cs="仿宋" w:asciiTheme="minorEastAsia" w:hAnsiTheme="minorEastAsia" w:eastAsiaTheme="minorEastAsia"/>
          <w:color w:val="auto"/>
          <w:sz w:val="24"/>
          <w:highlight w:val="none"/>
        </w:rPr>
        <w:t>；</w:t>
      </w:r>
    </w:p>
    <w:p w14:paraId="1D8C13B1">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（3）投标人情况简介（包括机构规模、主要财务数据、在行业内的综合排名、分支机构数量、从业人员数量、人员资历等）；</w:t>
      </w:r>
    </w:p>
    <w:p w14:paraId="0C9A6919">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（4）债券主承销商为具备行业监管部门认定的债券承销业务的资格；</w:t>
      </w:r>
    </w:p>
    <w:p w14:paraId="14E87FFD">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w:t>
      </w:r>
      <w:r>
        <w:rPr>
          <w:rFonts w:hint="eastAsia" w:cs="仿宋" w:asciiTheme="minorEastAsia" w:hAnsiTheme="minorEastAsia" w:eastAsiaTheme="minorEastAsia"/>
          <w:color w:val="auto"/>
          <w:sz w:val="24"/>
          <w:highlight w:val="none"/>
          <w:lang w:val="en-US" w:eastAsia="zh-CN"/>
        </w:rPr>
        <w:t>近三年主承销商及高管人员没有因债券承销业务不良记录或处罚而被限制正常开展债券承销业务的情形</w:t>
      </w:r>
      <w:r>
        <w:rPr>
          <w:rFonts w:hint="eastAsia" w:cs="仿宋" w:asciiTheme="minorEastAsia" w:hAnsiTheme="minorEastAsia" w:eastAsiaTheme="minorEastAsia"/>
          <w:color w:val="auto"/>
          <w:sz w:val="24"/>
          <w:highlight w:val="none"/>
        </w:rPr>
        <w:t>；</w:t>
      </w:r>
    </w:p>
    <w:p w14:paraId="67B05DC4">
      <w:pPr>
        <w:spacing w:line="360" w:lineRule="auto"/>
        <w:ind w:left="480" w:leftChars="240" w:firstLine="0" w:firstLineChars="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近三年内经营活动无重大违法违纪记录、未发生金融风险及重大违约事件的承诺；（</w:t>
      </w:r>
      <w:r>
        <w:rPr>
          <w:rFonts w:hint="eastAsia" w:cs="仿宋" w:asciiTheme="minorEastAsia" w:hAnsiTheme="minorEastAsia" w:eastAsiaTheme="minorEastAsia"/>
          <w:color w:val="auto"/>
          <w:sz w:val="24"/>
          <w:highlight w:val="none"/>
          <w:lang w:val="en-US" w:eastAsia="zh-CN"/>
        </w:rPr>
        <w:t>7</w:t>
      </w:r>
      <w:r>
        <w:rPr>
          <w:rFonts w:hint="eastAsia" w:cs="仿宋" w:asciiTheme="minorEastAsia" w:hAnsiTheme="minorEastAsia" w:eastAsiaTheme="minorEastAsia"/>
          <w:color w:val="auto"/>
          <w:sz w:val="24"/>
          <w:highlight w:val="none"/>
        </w:rPr>
        <w:t>）联合体协议（如有）（格式见附件）。</w:t>
      </w:r>
    </w:p>
    <w:p w14:paraId="4A315C9B">
      <w:pPr>
        <w:spacing w:line="360" w:lineRule="auto"/>
        <w:ind w:firstLine="482"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2、技术、资信及商务文件</w:t>
      </w:r>
    </w:p>
    <w:p w14:paraId="24A8F977">
      <w:pPr>
        <w:spacing w:line="360" w:lineRule="auto"/>
        <w:ind w:firstLine="480" w:firstLineChars="200"/>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（1）投标人资信商务、技术自评得分表（格式见附件）；</w:t>
      </w:r>
    </w:p>
    <w:p w14:paraId="2B0035DF">
      <w:pPr>
        <w:spacing w:line="360" w:lineRule="auto"/>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（2）商务响应表（格式见附件）；</w:t>
      </w:r>
    </w:p>
    <w:p w14:paraId="093C5876">
      <w:pPr>
        <w:spacing w:line="360" w:lineRule="auto"/>
        <w:ind w:firstLine="480" w:firstLineChars="200"/>
        <w:rPr>
          <w:rFonts w:hint="eastAsia" w:cs="仿宋" w:asciiTheme="minorEastAsia" w:hAnsiTheme="minorEastAsia" w:eastAsiaTheme="minorEastAsia"/>
          <w:bCs/>
          <w:color w:val="auto"/>
          <w:sz w:val="24"/>
          <w:highlight w:val="none"/>
          <w:lang w:val="en-US"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3</w:t>
      </w:r>
      <w:r>
        <w:rPr>
          <w:rFonts w:hint="eastAsia" w:cs="仿宋" w:asciiTheme="minorEastAsia" w:hAnsiTheme="minorEastAsia" w:eastAsiaTheme="minorEastAsia"/>
          <w:bCs/>
          <w:color w:val="auto"/>
          <w:sz w:val="24"/>
          <w:highlight w:val="none"/>
        </w:rPr>
        <w:t>）综合实力</w:t>
      </w:r>
      <w:r>
        <w:rPr>
          <w:rFonts w:hint="eastAsia" w:cs="仿宋" w:asciiTheme="minorEastAsia" w:hAnsiTheme="minorEastAsia" w:eastAsiaTheme="minorEastAsia"/>
          <w:bCs/>
          <w:color w:val="auto"/>
          <w:sz w:val="24"/>
          <w:highlight w:val="none"/>
          <w:lang w:eastAsia="zh-CN"/>
        </w:rPr>
        <w:t>；</w:t>
      </w:r>
    </w:p>
    <w:p w14:paraId="379D01CC">
      <w:pPr>
        <w:spacing w:line="360" w:lineRule="auto"/>
        <w:ind w:firstLine="480" w:firstLineChars="200"/>
        <w:rPr>
          <w:rFonts w:hint="eastAsia" w:cs="仿宋" w:asciiTheme="minorEastAsia" w:hAnsiTheme="minorEastAsia" w:eastAsiaTheme="minorEastAsia"/>
          <w:bCs/>
          <w:color w:val="auto"/>
          <w:sz w:val="24"/>
          <w:highlight w:val="none"/>
          <w:lang w:val="en-US"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4</w:t>
      </w:r>
      <w:r>
        <w:rPr>
          <w:rFonts w:hint="eastAsia" w:cs="仿宋" w:asciiTheme="minorEastAsia" w:hAnsiTheme="minorEastAsia" w:eastAsiaTheme="minorEastAsia"/>
          <w:bCs/>
          <w:color w:val="auto"/>
          <w:sz w:val="24"/>
          <w:highlight w:val="none"/>
        </w:rPr>
        <w:t>）执业质量</w:t>
      </w:r>
      <w:r>
        <w:rPr>
          <w:rFonts w:hint="eastAsia" w:cs="仿宋" w:asciiTheme="minorEastAsia" w:hAnsiTheme="minorEastAsia" w:eastAsiaTheme="minorEastAsia"/>
          <w:bCs/>
          <w:color w:val="auto"/>
          <w:sz w:val="24"/>
          <w:highlight w:val="none"/>
          <w:lang w:eastAsia="zh-CN"/>
        </w:rPr>
        <w:t>；</w:t>
      </w:r>
    </w:p>
    <w:p w14:paraId="2744B682">
      <w:pPr>
        <w:spacing w:line="360" w:lineRule="auto"/>
        <w:ind w:firstLine="480" w:firstLineChars="200"/>
        <w:rPr>
          <w:rFonts w:hint="eastAsia" w:cs="仿宋" w:asciiTheme="minorEastAsia" w:hAnsiTheme="minorEastAsia" w:eastAsiaTheme="minorEastAsia"/>
          <w:bCs/>
          <w:color w:val="auto"/>
          <w:sz w:val="24"/>
          <w:highlight w:val="none"/>
          <w:lang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5</w:t>
      </w:r>
      <w:r>
        <w:rPr>
          <w:rFonts w:hint="eastAsia" w:cs="仿宋" w:asciiTheme="minorEastAsia" w:hAnsiTheme="minorEastAsia" w:eastAsiaTheme="minorEastAsia"/>
          <w:bCs/>
          <w:color w:val="auto"/>
          <w:sz w:val="24"/>
          <w:highlight w:val="none"/>
        </w:rPr>
        <w:t>）2023年1月1日至2024年</w:t>
      </w:r>
      <w:r>
        <w:rPr>
          <w:rFonts w:hint="eastAsia" w:cs="仿宋" w:asciiTheme="minorEastAsia" w:hAnsiTheme="minorEastAsia" w:eastAsiaTheme="minorEastAsia"/>
          <w:bCs/>
          <w:color w:val="auto"/>
          <w:sz w:val="24"/>
          <w:highlight w:val="none"/>
          <w:lang w:val="en-US" w:eastAsia="zh-CN"/>
        </w:rPr>
        <w:t>6</w:t>
      </w:r>
      <w:r>
        <w:rPr>
          <w:rFonts w:hint="eastAsia" w:cs="仿宋" w:asciiTheme="minorEastAsia" w:hAnsiTheme="minorEastAsia" w:eastAsiaTheme="minorEastAsia"/>
          <w:bCs/>
          <w:color w:val="auto"/>
          <w:sz w:val="24"/>
          <w:highlight w:val="none"/>
        </w:rPr>
        <w:t>月30 日全国公司债主承销金额排名统计表，提供Wind资讯截图并加盖供应商公章编入投标文件中</w:t>
      </w:r>
      <w:r>
        <w:rPr>
          <w:rFonts w:hint="eastAsia" w:cs="仿宋" w:asciiTheme="minorEastAsia" w:hAnsiTheme="minorEastAsia" w:eastAsiaTheme="minorEastAsia"/>
          <w:bCs/>
          <w:color w:val="auto"/>
          <w:sz w:val="24"/>
          <w:highlight w:val="none"/>
          <w:lang w:eastAsia="zh-CN"/>
        </w:rPr>
        <w:t>；</w:t>
      </w:r>
    </w:p>
    <w:p w14:paraId="31B4D7D6">
      <w:pPr>
        <w:spacing w:line="360" w:lineRule="auto"/>
        <w:ind w:firstLine="480" w:firstLineChars="200"/>
        <w:rPr>
          <w:rFonts w:hint="eastAsia" w:cs="仿宋" w:asciiTheme="minorEastAsia" w:hAnsiTheme="minorEastAsia" w:eastAsiaTheme="minorEastAsia"/>
          <w:bCs/>
          <w:color w:val="auto"/>
          <w:sz w:val="24"/>
          <w:highlight w:val="none"/>
          <w:lang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6</w:t>
      </w:r>
      <w:r>
        <w:rPr>
          <w:rFonts w:hint="eastAsia" w:cs="仿宋" w:asciiTheme="minorEastAsia" w:hAnsiTheme="minorEastAsia" w:eastAsiaTheme="minorEastAsia"/>
          <w:bCs/>
          <w:color w:val="auto"/>
          <w:sz w:val="24"/>
          <w:highlight w:val="none"/>
        </w:rPr>
        <w:t>）余额包销承诺</w:t>
      </w:r>
      <w:r>
        <w:rPr>
          <w:rFonts w:hint="eastAsia" w:cs="仿宋" w:asciiTheme="minorEastAsia" w:hAnsiTheme="minorEastAsia" w:eastAsiaTheme="minorEastAsia"/>
          <w:bCs/>
          <w:color w:val="auto"/>
          <w:sz w:val="24"/>
          <w:highlight w:val="none"/>
          <w:lang w:eastAsia="zh-CN"/>
        </w:rPr>
        <w:t>；</w:t>
      </w:r>
    </w:p>
    <w:p w14:paraId="565408F4">
      <w:pPr>
        <w:spacing w:line="360" w:lineRule="auto"/>
        <w:ind w:firstLine="480" w:firstLineChars="200"/>
        <w:rPr>
          <w:rFonts w:hint="eastAsia" w:cs="仿宋" w:asciiTheme="minorEastAsia" w:hAnsiTheme="minorEastAsia" w:eastAsiaTheme="minorEastAsia"/>
          <w:bCs/>
          <w:color w:val="auto"/>
          <w:sz w:val="24"/>
          <w:highlight w:val="none"/>
          <w:lang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7</w:t>
      </w:r>
      <w:r>
        <w:rPr>
          <w:rFonts w:hint="eastAsia" w:cs="仿宋" w:asciiTheme="minorEastAsia" w:hAnsiTheme="minorEastAsia" w:eastAsiaTheme="minorEastAsia"/>
          <w:bCs/>
          <w:color w:val="auto"/>
          <w:sz w:val="24"/>
          <w:highlight w:val="none"/>
        </w:rPr>
        <w:t>）销售定价能力</w:t>
      </w:r>
      <w:r>
        <w:rPr>
          <w:rFonts w:hint="eastAsia" w:cs="仿宋" w:asciiTheme="minorEastAsia" w:hAnsiTheme="minorEastAsia" w:eastAsiaTheme="minorEastAsia"/>
          <w:bCs/>
          <w:color w:val="auto"/>
          <w:sz w:val="24"/>
          <w:highlight w:val="none"/>
          <w:lang w:eastAsia="zh-CN"/>
        </w:rPr>
        <w:t>；</w:t>
      </w:r>
    </w:p>
    <w:p w14:paraId="33540694">
      <w:pPr>
        <w:spacing w:line="360" w:lineRule="auto"/>
        <w:ind w:firstLine="480" w:firstLineChars="200"/>
        <w:rPr>
          <w:rFonts w:hint="eastAsia" w:cs="仿宋" w:asciiTheme="minorEastAsia" w:hAnsiTheme="minorEastAsia" w:eastAsiaTheme="minorEastAsia"/>
          <w:bCs/>
          <w:color w:val="auto"/>
          <w:sz w:val="24"/>
          <w:highlight w:val="none"/>
          <w:lang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8</w:t>
      </w:r>
      <w:r>
        <w:rPr>
          <w:rFonts w:hint="eastAsia" w:cs="仿宋" w:asciiTheme="minorEastAsia" w:hAnsiTheme="minorEastAsia" w:eastAsiaTheme="minorEastAsia"/>
          <w:bCs/>
          <w:color w:val="auto"/>
          <w:sz w:val="24"/>
          <w:highlight w:val="none"/>
        </w:rPr>
        <w:t>）项目方案设计</w:t>
      </w:r>
      <w:r>
        <w:rPr>
          <w:rFonts w:hint="eastAsia" w:cs="仿宋" w:asciiTheme="minorEastAsia" w:hAnsiTheme="minorEastAsia" w:eastAsiaTheme="minorEastAsia"/>
          <w:bCs/>
          <w:color w:val="auto"/>
          <w:sz w:val="24"/>
          <w:highlight w:val="none"/>
          <w:lang w:eastAsia="zh-CN"/>
        </w:rPr>
        <w:t>；</w:t>
      </w:r>
    </w:p>
    <w:p w14:paraId="646DBABD">
      <w:pPr>
        <w:spacing w:line="360" w:lineRule="auto"/>
        <w:ind w:firstLine="480" w:firstLineChars="200"/>
        <w:rPr>
          <w:rFonts w:hint="eastAsia" w:cs="仿宋" w:asciiTheme="minorEastAsia" w:hAnsiTheme="minorEastAsia" w:eastAsiaTheme="minorEastAsia"/>
          <w:bCs/>
          <w:color w:val="auto"/>
          <w:sz w:val="24"/>
          <w:highlight w:val="none"/>
          <w:lang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9</w:t>
      </w:r>
      <w:r>
        <w:rPr>
          <w:rFonts w:hint="eastAsia" w:cs="仿宋" w:asciiTheme="minorEastAsia" w:hAnsiTheme="minorEastAsia" w:eastAsiaTheme="minorEastAsia"/>
          <w:bCs/>
          <w:color w:val="auto"/>
          <w:sz w:val="24"/>
          <w:highlight w:val="none"/>
        </w:rPr>
        <w:t>）销售渠道安排及与主管部门的沟通能力</w:t>
      </w:r>
      <w:r>
        <w:rPr>
          <w:rFonts w:hint="eastAsia" w:cs="仿宋" w:asciiTheme="minorEastAsia" w:hAnsiTheme="minorEastAsia" w:eastAsiaTheme="minorEastAsia"/>
          <w:bCs/>
          <w:color w:val="auto"/>
          <w:sz w:val="24"/>
          <w:highlight w:val="none"/>
          <w:lang w:eastAsia="zh-CN"/>
        </w:rPr>
        <w:t>；</w:t>
      </w:r>
    </w:p>
    <w:p w14:paraId="1587C888">
      <w:pPr>
        <w:spacing w:line="360" w:lineRule="auto"/>
        <w:ind w:firstLine="480" w:firstLineChars="200"/>
        <w:rPr>
          <w:rFonts w:hint="eastAsia" w:cs="仿宋" w:asciiTheme="minorEastAsia" w:hAnsiTheme="minorEastAsia" w:eastAsiaTheme="minorEastAsia"/>
          <w:bCs/>
          <w:color w:val="auto"/>
          <w:sz w:val="24"/>
          <w:highlight w:val="none"/>
          <w:lang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10</w:t>
      </w:r>
      <w:r>
        <w:rPr>
          <w:rFonts w:hint="eastAsia" w:cs="仿宋" w:asciiTheme="minorEastAsia" w:hAnsiTheme="minorEastAsia" w:eastAsiaTheme="minorEastAsia"/>
          <w:bCs/>
          <w:color w:val="auto"/>
          <w:sz w:val="24"/>
          <w:highlight w:val="none"/>
        </w:rPr>
        <w:t>）专业服务团队人员配置及人员能力（格式见附件）</w:t>
      </w:r>
      <w:r>
        <w:rPr>
          <w:rFonts w:hint="eastAsia" w:cs="仿宋" w:asciiTheme="minorEastAsia" w:hAnsiTheme="minorEastAsia" w:eastAsiaTheme="minorEastAsia"/>
          <w:bCs/>
          <w:color w:val="auto"/>
          <w:sz w:val="24"/>
          <w:highlight w:val="none"/>
          <w:lang w:val="en-US" w:eastAsia="zh-CN"/>
        </w:rPr>
        <w:t>;</w:t>
      </w:r>
    </w:p>
    <w:p w14:paraId="5D96B188">
      <w:pPr>
        <w:spacing w:line="360" w:lineRule="auto"/>
        <w:ind w:firstLine="480" w:firstLineChars="200"/>
        <w:rPr>
          <w:rFonts w:hint="eastAsia" w:cs="仿宋" w:asciiTheme="minorEastAsia" w:hAnsiTheme="minorEastAsia" w:eastAsiaTheme="minorEastAsia"/>
          <w:bCs/>
          <w:color w:val="auto"/>
          <w:sz w:val="24"/>
          <w:highlight w:val="none"/>
          <w:lang w:val="en-US" w:eastAsia="zh-CN"/>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11</w:t>
      </w:r>
      <w:r>
        <w:rPr>
          <w:rFonts w:hint="eastAsia" w:cs="仿宋" w:asciiTheme="minorEastAsia" w:hAnsiTheme="minorEastAsia" w:eastAsiaTheme="minorEastAsia"/>
          <w:bCs/>
          <w:color w:val="auto"/>
          <w:sz w:val="24"/>
          <w:highlight w:val="none"/>
        </w:rPr>
        <w:t>）技术响应表（格式见附件）；</w:t>
      </w:r>
    </w:p>
    <w:p w14:paraId="5E3EDFD4">
      <w:pPr>
        <w:spacing w:line="360" w:lineRule="auto"/>
        <w:ind w:firstLine="480" w:firstLineChars="20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Cs/>
          <w:color w:val="auto"/>
          <w:sz w:val="24"/>
          <w:highlight w:val="none"/>
        </w:rPr>
        <w:t>（</w:t>
      </w:r>
      <w:r>
        <w:rPr>
          <w:rFonts w:hint="eastAsia" w:cs="仿宋" w:asciiTheme="minorEastAsia" w:hAnsiTheme="minorEastAsia" w:eastAsiaTheme="minorEastAsia"/>
          <w:bCs/>
          <w:color w:val="auto"/>
          <w:sz w:val="24"/>
          <w:highlight w:val="none"/>
          <w:lang w:val="en-US" w:eastAsia="zh-CN"/>
        </w:rPr>
        <w:t>12</w:t>
      </w:r>
      <w:r>
        <w:rPr>
          <w:rFonts w:hint="eastAsia" w:cs="仿宋" w:asciiTheme="minorEastAsia" w:hAnsiTheme="minorEastAsia" w:eastAsiaTheme="minorEastAsia"/>
          <w:bCs/>
          <w:color w:val="auto"/>
          <w:sz w:val="24"/>
          <w:highlight w:val="none"/>
        </w:rPr>
        <w:t>）投标人认为有必要提供的其它文件。</w:t>
      </w:r>
    </w:p>
    <w:p w14:paraId="28CDF3B3">
      <w:pPr>
        <w:rPr>
          <w:rFonts w:asciiTheme="minorEastAsia" w:hAnsiTheme="minorEastAsia" w:eastAsiaTheme="minorEastAsia"/>
          <w:color w:val="auto"/>
          <w:highlight w:val="none"/>
        </w:rPr>
      </w:pPr>
    </w:p>
    <w:p w14:paraId="24671CBC">
      <w:pPr>
        <w:rPr>
          <w:rFonts w:cs="宋体" w:asciiTheme="minorEastAsia" w:hAnsiTheme="minorEastAsia" w:eastAsiaTheme="minorEastAsia"/>
          <w:b/>
          <w:color w:val="auto"/>
          <w:sz w:val="24"/>
          <w:highlight w:val="none"/>
        </w:rPr>
      </w:pPr>
    </w:p>
    <w:p w14:paraId="540F5089">
      <w:pPr>
        <w:pStyle w:val="11"/>
        <w:rPr>
          <w:rFonts w:cs="宋体" w:asciiTheme="minorEastAsia" w:hAnsiTheme="minorEastAsia" w:eastAsiaTheme="minorEastAsia"/>
          <w:b/>
          <w:color w:val="auto"/>
          <w:sz w:val="24"/>
          <w:highlight w:val="none"/>
        </w:rPr>
      </w:pPr>
    </w:p>
    <w:p w14:paraId="3CD6653E">
      <w:pPr>
        <w:widowControl/>
        <w:jc w:val="left"/>
        <w:rPr>
          <w:rFonts w:cs="仿宋" w:asciiTheme="minorEastAsia" w:hAnsiTheme="minorEastAsia" w:eastAsiaTheme="minorEastAsia"/>
          <w:b/>
          <w:color w:val="auto"/>
          <w:sz w:val="24"/>
          <w:highlight w:val="none"/>
        </w:rPr>
      </w:pPr>
      <w:r>
        <w:rPr>
          <w:rFonts w:cs="仿宋" w:asciiTheme="minorEastAsia" w:hAnsiTheme="minorEastAsia" w:eastAsiaTheme="minorEastAsia"/>
          <w:b/>
          <w:color w:val="auto"/>
          <w:sz w:val="24"/>
          <w:highlight w:val="none"/>
        </w:rPr>
        <w:br w:type="page"/>
      </w:r>
    </w:p>
    <w:p w14:paraId="359B003D">
      <w:pPr>
        <w:pStyle w:val="4"/>
        <w:pageBreakBefore/>
        <w:spacing w:line="360" w:lineRule="auto"/>
        <w:ind w:left="0"/>
        <w:rPr>
          <w:rFonts w:ascii="宋体" w:hAnsi="宋体" w:cs="宋体"/>
          <w:b/>
          <w:color w:val="auto"/>
          <w:szCs w:val="24"/>
          <w:highlight w:val="none"/>
        </w:rPr>
      </w:pPr>
      <w:r>
        <w:rPr>
          <w:rFonts w:hint="eastAsia" w:ascii="宋体" w:hAnsi="宋体" w:eastAsia="宋体" w:cs="宋体"/>
          <w:b/>
          <w:color w:val="auto"/>
          <w:szCs w:val="24"/>
          <w:highlight w:val="none"/>
        </w:rPr>
        <w:t>附件1：</w:t>
      </w:r>
      <w:r>
        <w:rPr>
          <w:rFonts w:ascii="宋体" w:hAnsi="宋体" w:cs="宋体"/>
          <w:b/>
          <w:color w:val="auto"/>
          <w:szCs w:val="24"/>
          <w:highlight w:val="none"/>
        </w:rPr>
        <w:t xml:space="preserve"> </w:t>
      </w:r>
    </w:p>
    <w:p w14:paraId="2BDF23CC">
      <w:pPr>
        <w:jc w:val="center"/>
        <w:rPr>
          <w:b/>
          <w:bCs/>
          <w:color w:val="auto"/>
          <w:sz w:val="32"/>
          <w:szCs w:val="32"/>
          <w:highlight w:val="none"/>
        </w:rPr>
      </w:pPr>
      <w:r>
        <w:rPr>
          <w:rFonts w:hint="eastAsia"/>
          <w:b/>
          <w:bCs/>
          <w:color w:val="auto"/>
          <w:sz w:val="32"/>
          <w:szCs w:val="32"/>
          <w:highlight w:val="none"/>
        </w:rPr>
        <w:t>联合体协议</w:t>
      </w:r>
    </w:p>
    <w:p w14:paraId="2FCB990A">
      <w:pPr>
        <w:jc w:val="center"/>
        <w:rPr>
          <w:b/>
          <w:color w:val="auto"/>
          <w:sz w:val="24"/>
          <w:szCs w:val="18"/>
          <w:highlight w:val="none"/>
        </w:rPr>
      </w:pPr>
    </w:p>
    <w:p w14:paraId="726AF736">
      <w:pPr>
        <w:spacing w:line="560" w:lineRule="exact"/>
        <w:ind w:firstLine="480" w:firstLineChars="200"/>
        <w:rPr>
          <w:color w:val="auto"/>
          <w:sz w:val="24"/>
          <w:szCs w:val="18"/>
          <w:highlight w:val="none"/>
        </w:rPr>
      </w:pPr>
      <w:r>
        <w:rPr>
          <w:rFonts w:hint="eastAsia"/>
          <w:color w:val="auto"/>
          <w:sz w:val="24"/>
          <w:szCs w:val="18"/>
          <w:highlight w:val="none"/>
        </w:rPr>
        <w:t>___________（所有成员单位名称）自愿组成____________（联合体名称）联合体，共同参加________________（项目名称）投标。现就联合体投标事宜订立如下协议。</w:t>
      </w:r>
    </w:p>
    <w:p w14:paraId="640678E4">
      <w:pPr>
        <w:spacing w:line="560" w:lineRule="exact"/>
        <w:ind w:firstLine="480" w:firstLineChars="200"/>
        <w:rPr>
          <w:color w:val="auto"/>
          <w:sz w:val="24"/>
          <w:szCs w:val="18"/>
          <w:highlight w:val="none"/>
        </w:rPr>
      </w:pPr>
      <w:r>
        <w:rPr>
          <w:rFonts w:hint="eastAsia"/>
          <w:color w:val="auto"/>
          <w:sz w:val="24"/>
          <w:szCs w:val="18"/>
          <w:highlight w:val="none"/>
        </w:rPr>
        <w:t>1、__________（某成员单位名称）为___________（联合体名称）牵头人。</w:t>
      </w:r>
    </w:p>
    <w:p w14:paraId="63D012A6">
      <w:pPr>
        <w:spacing w:line="560" w:lineRule="exact"/>
        <w:ind w:firstLine="480" w:firstLineChars="200"/>
        <w:rPr>
          <w:color w:val="auto"/>
          <w:sz w:val="24"/>
          <w:szCs w:val="18"/>
          <w:highlight w:val="none"/>
        </w:rPr>
      </w:pPr>
      <w:r>
        <w:rPr>
          <w:rFonts w:hint="eastAsia"/>
          <w:color w:val="auto"/>
          <w:sz w:val="24"/>
          <w:szCs w:val="18"/>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8C775B2">
      <w:pPr>
        <w:spacing w:line="560" w:lineRule="exact"/>
        <w:ind w:firstLine="480" w:firstLineChars="200"/>
        <w:rPr>
          <w:color w:val="auto"/>
          <w:sz w:val="24"/>
          <w:szCs w:val="18"/>
          <w:highlight w:val="none"/>
        </w:rPr>
      </w:pPr>
      <w:r>
        <w:rPr>
          <w:rFonts w:hint="eastAsia"/>
          <w:color w:val="auto"/>
          <w:sz w:val="24"/>
          <w:szCs w:val="18"/>
          <w:highlight w:val="none"/>
        </w:rPr>
        <w:t>3、联合体将严格按照招标文件的各项要求，递交投标文件，履行合同，并对外承担连带责任。</w:t>
      </w:r>
    </w:p>
    <w:p w14:paraId="72F9EAF2">
      <w:pPr>
        <w:spacing w:line="560" w:lineRule="exact"/>
        <w:ind w:firstLine="480" w:firstLineChars="200"/>
        <w:rPr>
          <w:color w:val="auto"/>
          <w:sz w:val="24"/>
          <w:szCs w:val="18"/>
          <w:highlight w:val="none"/>
        </w:rPr>
      </w:pPr>
      <w:r>
        <w:rPr>
          <w:rFonts w:hint="eastAsia"/>
          <w:color w:val="auto"/>
          <w:sz w:val="24"/>
          <w:szCs w:val="18"/>
          <w:highlight w:val="none"/>
        </w:rPr>
        <w:t>4、联合体各成员单位内部的职责分工如下：_______________。</w:t>
      </w:r>
    </w:p>
    <w:p w14:paraId="0D04145F">
      <w:pPr>
        <w:spacing w:line="560" w:lineRule="exact"/>
        <w:ind w:firstLine="480" w:firstLineChars="200"/>
        <w:rPr>
          <w:color w:val="auto"/>
          <w:sz w:val="24"/>
          <w:szCs w:val="18"/>
          <w:highlight w:val="none"/>
        </w:rPr>
      </w:pPr>
      <w:r>
        <w:rPr>
          <w:rFonts w:hint="eastAsia"/>
          <w:color w:val="auto"/>
          <w:sz w:val="24"/>
          <w:szCs w:val="18"/>
          <w:highlight w:val="none"/>
        </w:rPr>
        <w:t>5、本协议书自签署之日起生效，合同履行完毕后自动失效。</w:t>
      </w:r>
    </w:p>
    <w:p w14:paraId="17B6AE7D">
      <w:pPr>
        <w:spacing w:line="560" w:lineRule="exact"/>
        <w:ind w:firstLine="480" w:firstLineChars="200"/>
        <w:rPr>
          <w:color w:val="auto"/>
          <w:sz w:val="24"/>
          <w:szCs w:val="18"/>
          <w:highlight w:val="none"/>
        </w:rPr>
      </w:pPr>
      <w:r>
        <w:rPr>
          <w:rFonts w:hint="eastAsia"/>
          <w:color w:val="auto"/>
          <w:sz w:val="24"/>
          <w:szCs w:val="18"/>
          <w:highlight w:val="none"/>
        </w:rPr>
        <w:t>6、本协议书一式____份，联合体成员和招标人各执一份。</w:t>
      </w:r>
    </w:p>
    <w:p w14:paraId="7935081A">
      <w:pPr>
        <w:spacing w:line="560" w:lineRule="exact"/>
        <w:rPr>
          <w:color w:val="auto"/>
          <w:sz w:val="24"/>
          <w:szCs w:val="18"/>
          <w:highlight w:val="none"/>
        </w:rPr>
      </w:pPr>
      <w:r>
        <w:rPr>
          <w:rFonts w:hint="eastAsia"/>
          <w:color w:val="auto"/>
          <w:sz w:val="24"/>
          <w:szCs w:val="18"/>
          <w:highlight w:val="none"/>
        </w:rPr>
        <w:t>注：本协议书由委托代理人签字的，应附法定代表人签字的授权委托书。</w:t>
      </w:r>
    </w:p>
    <w:p w14:paraId="73551920">
      <w:pPr>
        <w:pStyle w:val="20"/>
        <w:rPr>
          <w:color w:val="auto"/>
          <w:highlight w:val="none"/>
        </w:rPr>
      </w:pPr>
    </w:p>
    <w:p w14:paraId="5D24D377">
      <w:pPr>
        <w:spacing w:line="560" w:lineRule="exact"/>
        <w:rPr>
          <w:color w:val="auto"/>
          <w:sz w:val="24"/>
          <w:szCs w:val="18"/>
          <w:highlight w:val="none"/>
        </w:rPr>
      </w:pPr>
      <w:r>
        <w:rPr>
          <w:rFonts w:hint="eastAsia"/>
          <w:color w:val="auto"/>
          <w:sz w:val="24"/>
          <w:szCs w:val="18"/>
          <w:highlight w:val="none"/>
        </w:rPr>
        <w:t>牵头人名称：___________________________________（盖单位章）</w:t>
      </w:r>
    </w:p>
    <w:p w14:paraId="52FDDE53">
      <w:pPr>
        <w:spacing w:line="560" w:lineRule="exact"/>
        <w:rPr>
          <w:color w:val="auto"/>
          <w:sz w:val="24"/>
          <w:szCs w:val="18"/>
          <w:highlight w:val="none"/>
        </w:rPr>
      </w:pPr>
      <w:r>
        <w:rPr>
          <w:rFonts w:hint="eastAsia"/>
          <w:color w:val="auto"/>
          <w:sz w:val="24"/>
          <w:szCs w:val="18"/>
          <w:highlight w:val="none"/>
        </w:rPr>
        <w:t>法定代表人或其委托代理人：__________________________（签字）</w:t>
      </w:r>
    </w:p>
    <w:p w14:paraId="2819CDF5">
      <w:pPr>
        <w:spacing w:line="560" w:lineRule="exact"/>
        <w:rPr>
          <w:color w:val="auto"/>
          <w:sz w:val="24"/>
          <w:szCs w:val="18"/>
          <w:highlight w:val="none"/>
        </w:rPr>
      </w:pPr>
      <w:r>
        <w:rPr>
          <w:rFonts w:hint="eastAsia"/>
          <w:color w:val="auto"/>
          <w:sz w:val="24"/>
          <w:szCs w:val="18"/>
          <w:highlight w:val="none"/>
        </w:rPr>
        <w:t>成员一名称：____________________________________（盖单位章）</w:t>
      </w:r>
    </w:p>
    <w:p w14:paraId="2C88D403">
      <w:pPr>
        <w:spacing w:line="560" w:lineRule="exact"/>
        <w:rPr>
          <w:color w:val="auto"/>
          <w:sz w:val="24"/>
          <w:szCs w:val="18"/>
          <w:highlight w:val="none"/>
        </w:rPr>
      </w:pPr>
      <w:r>
        <w:rPr>
          <w:rFonts w:hint="eastAsia"/>
          <w:color w:val="auto"/>
          <w:sz w:val="24"/>
          <w:szCs w:val="18"/>
          <w:highlight w:val="none"/>
        </w:rPr>
        <w:t>法定代表人或其委托代理人：__________________________（签字）</w:t>
      </w:r>
    </w:p>
    <w:p w14:paraId="66026993">
      <w:pPr>
        <w:spacing w:line="560" w:lineRule="exact"/>
        <w:rPr>
          <w:color w:val="auto"/>
          <w:sz w:val="24"/>
          <w:szCs w:val="18"/>
          <w:highlight w:val="none"/>
        </w:rPr>
      </w:pPr>
      <w:r>
        <w:rPr>
          <w:rFonts w:hint="eastAsia"/>
          <w:color w:val="auto"/>
          <w:sz w:val="24"/>
          <w:szCs w:val="18"/>
          <w:highlight w:val="none"/>
        </w:rPr>
        <w:t>成员二名称：____________________________________（盖单位章）</w:t>
      </w:r>
    </w:p>
    <w:p w14:paraId="1AE70496">
      <w:pPr>
        <w:spacing w:line="560" w:lineRule="exact"/>
        <w:rPr>
          <w:color w:val="auto"/>
          <w:sz w:val="24"/>
          <w:szCs w:val="18"/>
          <w:highlight w:val="none"/>
        </w:rPr>
      </w:pPr>
      <w:r>
        <w:rPr>
          <w:rFonts w:hint="eastAsia"/>
          <w:color w:val="auto"/>
          <w:sz w:val="24"/>
          <w:szCs w:val="18"/>
          <w:highlight w:val="none"/>
        </w:rPr>
        <w:t>法定代表人或其委托代理人：__________________________（签字）</w:t>
      </w:r>
    </w:p>
    <w:p w14:paraId="7FDCECB8">
      <w:pPr>
        <w:pStyle w:val="35"/>
        <w:ind w:firstLine="720"/>
        <w:rPr>
          <w:color w:val="auto"/>
          <w:szCs w:val="18"/>
          <w:highlight w:val="none"/>
        </w:rPr>
      </w:pPr>
      <w:r>
        <w:rPr>
          <w:rFonts w:hint="eastAsia"/>
          <w:color w:val="auto"/>
          <w:sz w:val="36"/>
          <w:highlight w:val="none"/>
        </w:rPr>
        <w:t>....</w:t>
      </w:r>
    </w:p>
    <w:p w14:paraId="300D28F3">
      <w:pPr>
        <w:spacing w:line="460" w:lineRule="exact"/>
        <w:ind w:firstLine="432"/>
        <w:jc w:val="center"/>
        <w:rPr>
          <w:color w:val="auto"/>
          <w:sz w:val="24"/>
          <w:szCs w:val="18"/>
          <w:highlight w:val="none"/>
        </w:rPr>
      </w:pPr>
      <w:r>
        <w:rPr>
          <w:rFonts w:hint="eastAsia"/>
          <w:color w:val="auto"/>
          <w:sz w:val="24"/>
          <w:szCs w:val="18"/>
          <w:highlight w:val="none"/>
          <w:u w:val="single"/>
        </w:rPr>
        <w:t xml:space="preserve">       </w:t>
      </w:r>
      <w:r>
        <w:rPr>
          <w:rFonts w:hint="eastAsia"/>
          <w:color w:val="auto"/>
          <w:sz w:val="24"/>
          <w:szCs w:val="18"/>
          <w:highlight w:val="none"/>
        </w:rPr>
        <w:t>年_______月_______日</w:t>
      </w:r>
    </w:p>
    <w:p w14:paraId="2D796A84">
      <w:pPr>
        <w:widowControl/>
        <w:jc w:val="left"/>
        <w:rPr>
          <w:rFonts w:cs="仿宋" w:asciiTheme="minorEastAsia" w:hAnsiTheme="minorEastAsia" w:eastAsiaTheme="minorEastAsia"/>
          <w:b/>
          <w:color w:val="auto"/>
          <w:sz w:val="24"/>
          <w:highlight w:val="none"/>
        </w:rPr>
      </w:pPr>
      <w:r>
        <w:rPr>
          <w:rFonts w:cs="仿宋" w:asciiTheme="minorEastAsia" w:hAnsiTheme="minorEastAsia" w:eastAsiaTheme="minorEastAsia"/>
          <w:b/>
          <w:color w:val="auto"/>
          <w:sz w:val="24"/>
          <w:highlight w:val="none"/>
        </w:rPr>
        <w:br w:type="page"/>
      </w:r>
    </w:p>
    <w:p w14:paraId="1BDB94D8">
      <w:pPr>
        <w:spacing w:line="460" w:lineRule="exact"/>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附件2：</w:t>
      </w:r>
    </w:p>
    <w:p w14:paraId="0916C90E">
      <w:pPr>
        <w:snapToGrid w:val="0"/>
        <w:spacing w:line="460" w:lineRule="exact"/>
        <w:jc w:val="center"/>
        <w:rPr>
          <w:rFonts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 xml:space="preserve"> 技术、资信及商务自评得分表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156"/>
        <w:gridCol w:w="1365"/>
        <w:gridCol w:w="1185"/>
        <w:gridCol w:w="2590"/>
      </w:tblGrid>
      <w:tr w14:paraId="6E72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61" w:type="dxa"/>
            <w:vAlign w:val="center"/>
          </w:tcPr>
          <w:p w14:paraId="0B351A60">
            <w:pPr>
              <w:spacing w:line="360" w:lineRule="exact"/>
              <w:jc w:val="center"/>
              <w:rPr>
                <w:rFonts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rPr>
              <w:t>序号</w:t>
            </w:r>
          </w:p>
        </w:tc>
        <w:tc>
          <w:tcPr>
            <w:tcW w:w="3156" w:type="dxa"/>
            <w:vAlign w:val="center"/>
          </w:tcPr>
          <w:p w14:paraId="6E3A287C">
            <w:pPr>
              <w:spacing w:line="360" w:lineRule="exact"/>
              <w:jc w:val="center"/>
              <w:rPr>
                <w:rFonts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rPr>
              <w:t>评分标准</w:t>
            </w:r>
          </w:p>
        </w:tc>
        <w:tc>
          <w:tcPr>
            <w:tcW w:w="1365" w:type="dxa"/>
            <w:vAlign w:val="center"/>
          </w:tcPr>
          <w:p w14:paraId="738C7C60">
            <w:pPr>
              <w:spacing w:line="360" w:lineRule="exact"/>
              <w:jc w:val="center"/>
              <w:rPr>
                <w:rFonts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rPr>
              <w:t>得分内容</w:t>
            </w:r>
          </w:p>
        </w:tc>
        <w:tc>
          <w:tcPr>
            <w:tcW w:w="1185" w:type="dxa"/>
            <w:vAlign w:val="center"/>
          </w:tcPr>
          <w:p w14:paraId="4C1CF966">
            <w:pPr>
              <w:spacing w:line="360" w:lineRule="exact"/>
              <w:jc w:val="center"/>
              <w:rPr>
                <w:rFonts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rPr>
              <w:t>自评得分</w:t>
            </w:r>
          </w:p>
        </w:tc>
        <w:tc>
          <w:tcPr>
            <w:tcW w:w="2590" w:type="dxa"/>
            <w:vAlign w:val="center"/>
          </w:tcPr>
          <w:p w14:paraId="254A76EB">
            <w:pPr>
              <w:spacing w:line="360" w:lineRule="exact"/>
              <w:jc w:val="center"/>
              <w:rPr>
                <w:rFonts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rPr>
              <w:t>对应页码</w:t>
            </w:r>
          </w:p>
        </w:tc>
      </w:tr>
      <w:tr w14:paraId="6CA0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1" w:type="dxa"/>
            <w:vAlign w:val="center"/>
          </w:tcPr>
          <w:p w14:paraId="04396674">
            <w:pPr>
              <w:spacing w:line="290" w:lineRule="exact"/>
              <w:jc w:val="center"/>
              <w:rPr>
                <w:rFonts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1</w:t>
            </w:r>
          </w:p>
        </w:tc>
        <w:tc>
          <w:tcPr>
            <w:tcW w:w="3156" w:type="dxa"/>
            <w:vAlign w:val="center"/>
          </w:tcPr>
          <w:p w14:paraId="31F1D601">
            <w:pPr>
              <w:spacing w:line="290" w:lineRule="exact"/>
              <w:jc w:val="center"/>
              <w:rPr>
                <w:rFonts w:cs="仿宋" w:asciiTheme="minorEastAsia" w:hAnsiTheme="minorEastAsia" w:eastAsiaTheme="minorEastAsia"/>
                <w:b/>
                <w:color w:val="auto"/>
                <w:szCs w:val="21"/>
                <w:highlight w:val="none"/>
              </w:rPr>
            </w:pPr>
          </w:p>
        </w:tc>
        <w:tc>
          <w:tcPr>
            <w:tcW w:w="1365" w:type="dxa"/>
            <w:vAlign w:val="center"/>
          </w:tcPr>
          <w:p w14:paraId="3324BDC5">
            <w:pPr>
              <w:adjustRightInd w:val="0"/>
              <w:snapToGrid w:val="0"/>
              <w:spacing w:line="360" w:lineRule="exact"/>
              <w:jc w:val="center"/>
              <w:rPr>
                <w:rFonts w:cs="仿宋" w:asciiTheme="minorEastAsia" w:hAnsiTheme="minorEastAsia" w:eastAsiaTheme="minorEastAsia"/>
                <w:color w:val="auto"/>
                <w:szCs w:val="21"/>
                <w:highlight w:val="none"/>
              </w:rPr>
            </w:pPr>
          </w:p>
        </w:tc>
        <w:tc>
          <w:tcPr>
            <w:tcW w:w="1185" w:type="dxa"/>
            <w:vAlign w:val="center"/>
          </w:tcPr>
          <w:p w14:paraId="7B8CBE7A">
            <w:pPr>
              <w:adjustRightInd w:val="0"/>
              <w:snapToGrid w:val="0"/>
              <w:spacing w:line="360" w:lineRule="exact"/>
              <w:jc w:val="center"/>
              <w:rPr>
                <w:rFonts w:cs="仿宋" w:asciiTheme="minorEastAsia" w:hAnsiTheme="minorEastAsia" w:eastAsiaTheme="minorEastAsia"/>
                <w:color w:val="auto"/>
                <w:szCs w:val="21"/>
                <w:highlight w:val="none"/>
              </w:rPr>
            </w:pPr>
          </w:p>
        </w:tc>
        <w:tc>
          <w:tcPr>
            <w:tcW w:w="2590" w:type="dxa"/>
            <w:vAlign w:val="center"/>
          </w:tcPr>
          <w:p w14:paraId="359796DA">
            <w:pPr>
              <w:spacing w:line="360" w:lineRule="exact"/>
              <w:rPr>
                <w:rFonts w:cs="仿宋" w:asciiTheme="minorEastAsia" w:hAnsiTheme="minorEastAsia" w:eastAsiaTheme="minorEastAsia"/>
                <w:color w:val="auto"/>
                <w:szCs w:val="21"/>
                <w:highlight w:val="none"/>
              </w:rPr>
            </w:pPr>
          </w:p>
        </w:tc>
      </w:tr>
      <w:tr w14:paraId="15A4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61" w:type="dxa"/>
            <w:vAlign w:val="center"/>
          </w:tcPr>
          <w:p w14:paraId="2E85C3DD">
            <w:pPr>
              <w:spacing w:line="290" w:lineRule="exact"/>
              <w:jc w:val="center"/>
              <w:rPr>
                <w:rFonts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2</w:t>
            </w:r>
          </w:p>
        </w:tc>
        <w:tc>
          <w:tcPr>
            <w:tcW w:w="3156" w:type="dxa"/>
            <w:vAlign w:val="center"/>
          </w:tcPr>
          <w:p w14:paraId="59647169">
            <w:pPr>
              <w:spacing w:line="290" w:lineRule="exact"/>
              <w:jc w:val="center"/>
              <w:rPr>
                <w:rFonts w:cs="仿宋" w:asciiTheme="minorEastAsia" w:hAnsiTheme="minorEastAsia" w:eastAsiaTheme="minorEastAsia"/>
                <w:b/>
                <w:color w:val="auto"/>
                <w:szCs w:val="21"/>
                <w:highlight w:val="none"/>
              </w:rPr>
            </w:pPr>
          </w:p>
        </w:tc>
        <w:tc>
          <w:tcPr>
            <w:tcW w:w="1365" w:type="dxa"/>
            <w:vAlign w:val="center"/>
          </w:tcPr>
          <w:p w14:paraId="032BBBA6">
            <w:pPr>
              <w:adjustRightInd w:val="0"/>
              <w:snapToGrid w:val="0"/>
              <w:spacing w:line="360" w:lineRule="exact"/>
              <w:jc w:val="center"/>
              <w:rPr>
                <w:rFonts w:cs="仿宋" w:asciiTheme="minorEastAsia" w:hAnsiTheme="minorEastAsia" w:eastAsiaTheme="minorEastAsia"/>
                <w:color w:val="auto"/>
                <w:szCs w:val="21"/>
                <w:highlight w:val="none"/>
              </w:rPr>
            </w:pPr>
          </w:p>
        </w:tc>
        <w:tc>
          <w:tcPr>
            <w:tcW w:w="1185" w:type="dxa"/>
            <w:vAlign w:val="center"/>
          </w:tcPr>
          <w:p w14:paraId="7738460C">
            <w:pPr>
              <w:adjustRightInd w:val="0"/>
              <w:snapToGrid w:val="0"/>
              <w:spacing w:line="360" w:lineRule="exact"/>
              <w:jc w:val="center"/>
              <w:rPr>
                <w:rFonts w:cs="仿宋" w:asciiTheme="minorEastAsia" w:hAnsiTheme="minorEastAsia" w:eastAsiaTheme="minorEastAsia"/>
                <w:color w:val="auto"/>
                <w:szCs w:val="21"/>
                <w:highlight w:val="none"/>
              </w:rPr>
            </w:pPr>
          </w:p>
        </w:tc>
        <w:tc>
          <w:tcPr>
            <w:tcW w:w="2590" w:type="dxa"/>
            <w:vAlign w:val="center"/>
          </w:tcPr>
          <w:p w14:paraId="0F600F78">
            <w:pPr>
              <w:spacing w:line="360" w:lineRule="exact"/>
              <w:rPr>
                <w:rFonts w:cs="仿宋" w:asciiTheme="minorEastAsia" w:hAnsiTheme="minorEastAsia" w:eastAsiaTheme="minorEastAsia"/>
                <w:color w:val="auto"/>
                <w:szCs w:val="21"/>
                <w:highlight w:val="none"/>
              </w:rPr>
            </w:pPr>
          </w:p>
        </w:tc>
      </w:tr>
      <w:tr w14:paraId="4A45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1" w:type="dxa"/>
            <w:vAlign w:val="center"/>
          </w:tcPr>
          <w:p w14:paraId="400BA620">
            <w:pPr>
              <w:spacing w:line="290" w:lineRule="exact"/>
              <w:jc w:val="center"/>
              <w:rPr>
                <w:rFonts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3</w:t>
            </w:r>
          </w:p>
        </w:tc>
        <w:tc>
          <w:tcPr>
            <w:tcW w:w="3156" w:type="dxa"/>
            <w:vAlign w:val="center"/>
          </w:tcPr>
          <w:p w14:paraId="13EF6409">
            <w:pPr>
              <w:spacing w:line="290" w:lineRule="exact"/>
              <w:jc w:val="center"/>
              <w:rPr>
                <w:rFonts w:cs="仿宋" w:asciiTheme="minorEastAsia" w:hAnsiTheme="minorEastAsia" w:eastAsiaTheme="minorEastAsia"/>
                <w:b/>
                <w:color w:val="auto"/>
                <w:szCs w:val="21"/>
                <w:highlight w:val="none"/>
              </w:rPr>
            </w:pPr>
          </w:p>
        </w:tc>
        <w:tc>
          <w:tcPr>
            <w:tcW w:w="1365" w:type="dxa"/>
            <w:vAlign w:val="center"/>
          </w:tcPr>
          <w:p w14:paraId="40EB504E">
            <w:pPr>
              <w:adjustRightInd w:val="0"/>
              <w:snapToGrid w:val="0"/>
              <w:spacing w:line="360" w:lineRule="exact"/>
              <w:jc w:val="center"/>
              <w:rPr>
                <w:rFonts w:cs="仿宋" w:asciiTheme="minorEastAsia" w:hAnsiTheme="minorEastAsia" w:eastAsiaTheme="minorEastAsia"/>
                <w:color w:val="auto"/>
                <w:szCs w:val="21"/>
                <w:highlight w:val="none"/>
              </w:rPr>
            </w:pPr>
          </w:p>
        </w:tc>
        <w:tc>
          <w:tcPr>
            <w:tcW w:w="1185" w:type="dxa"/>
            <w:vAlign w:val="center"/>
          </w:tcPr>
          <w:p w14:paraId="2815F66F">
            <w:pPr>
              <w:adjustRightInd w:val="0"/>
              <w:snapToGrid w:val="0"/>
              <w:spacing w:line="360" w:lineRule="exact"/>
              <w:jc w:val="center"/>
              <w:rPr>
                <w:rFonts w:cs="仿宋" w:asciiTheme="minorEastAsia" w:hAnsiTheme="minorEastAsia" w:eastAsiaTheme="minorEastAsia"/>
                <w:color w:val="auto"/>
                <w:szCs w:val="21"/>
                <w:highlight w:val="none"/>
              </w:rPr>
            </w:pPr>
          </w:p>
        </w:tc>
        <w:tc>
          <w:tcPr>
            <w:tcW w:w="2590" w:type="dxa"/>
            <w:vAlign w:val="center"/>
          </w:tcPr>
          <w:p w14:paraId="79E635E9">
            <w:pPr>
              <w:spacing w:line="360" w:lineRule="exact"/>
              <w:rPr>
                <w:rFonts w:cs="仿宋" w:asciiTheme="minorEastAsia" w:hAnsiTheme="minorEastAsia" w:eastAsiaTheme="minorEastAsia"/>
                <w:color w:val="auto"/>
                <w:szCs w:val="21"/>
                <w:highlight w:val="none"/>
              </w:rPr>
            </w:pPr>
          </w:p>
        </w:tc>
      </w:tr>
      <w:tr w14:paraId="0C25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61" w:type="dxa"/>
            <w:vAlign w:val="center"/>
          </w:tcPr>
          <w:p w14:paraId="2AECE34E">
            <w:pPr>
              <w:spacing w:line="290" w:lineRule="exact"/>
              <w:jc w:val="center"/>
              <w:rPr>
                <w:rFonts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4</w:t>
            </w:r>
          </w:p>
        </w:tc>
        <w:tc>
          <w:tcPr>
            <w:tcW w:w="3156" w:type="dxa"/>
            <w:vAlign w:val="center"/>
          </w:tcPr>
          <w:p w14:paraId="23E458B8">
            <w:pPr>
              <w:spacing w:line="290" w:lineRule="exact"/>
              <w:jc w:val="center"/>
              <w:rPr>
                <w:rFonts w:cs="仿宋" w:asciiTheme="minorEastAsia" w:hAnsiTheme="minorEastAsia" w:eastAsiaTheme="minorEastAsia"/>
                <w:b/>
                <w:color w:val="auto"/>
                <w:szCs w:val="21"/>
                <w:highlight w:val="none"/>
              </w:rPr>
            </w:pPr>
          </w:p>
        </w:tc>
        <w:tc>
          <w:tcPr>
            <w:tcW w:w="1365" w:type="dxa"/>
            <w:vAlign w:val="center"/>
          </w:tcPr>
          <w:p w14:paraId="50160070">
            <w:pPr>
              <w:adjustRightInd w:val="0"/>
              <w:snapToGrid w:val="0"/>
              <w:spacing w:line="360" w:lineRule="exact"/>
              <w:jc w:val="center"/>
              <w:rPr>
                <w:rFonts w:cs="仿宋" w:asciiTheme="minorEastAsia" w:hAnsiTheme="minorEastAsia" w:eastAsiaTheme="minorEastAsia"/>
                <w:color w:val="auto"/>
                <w:szCs w:val="21"/>
                <w:highlight w:val="none"/>
              </w:rPr>
            </w:pPr>
          </w:p>
        </w:tc>
        <w:tc>
          <w:tcPr>
            <w:tcW w:w="1185" w:type="dxa"/>
            <w:vAlign w:val="center"/>
          </w:tcPr>
          <w:p w14:paraId="58616999">
            <w:pPr>
              <w:adjustRightInd w:val="0"/>
              <w:snapToGrid w:val="0"/>
              <w:spacing w:line="360" w:lineRule="exact"/>
              <w:jc w:val="center"/>
              <w:rPr>
                <w:rFonts w:cs="仿宋" w:asciiTheme="minorEastAsia" w:hAnsiTheme="minorEastAsia" w:eastAsiaTheme="minorEastAsia"/>
                <w:color w:val="auto"/>
                <w:szCs w:val="21"/>
                <w:highlight w:val="none"/>
              </w:rPr>
            </w:pPr>
          </w:p>
        </w:tc>
        <w:tc>
          <w:tcPr>
            <w:tcW w:w="2590" w:type="dxa"/>
            <w:vAlign w:val="center"/>
          </w:tcPr>
          <w:p w14:paraId="219A48A1">
            <w:pPr>
              <w:spacing w:line="360" w:lineRule="exact"/>
              <w:rPr>
                <w:rFonts w:cs="仿宋" w:asciiTheme="minorEastAsia" w:hAnsiTheme="minorEastAsia" w:eastAsiaTheme="minorEastAsia"/>
                <w:color w:val="auto"/>
                <w:szCs w:val="21"/>
                <w:highlight w:val="none"/>
              </w:rPr>
            </w:pPr>
          </w:p>
        </w:tc>
      </w:tr>
      <w:tr w14:paraId="6CF7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61" w:type="dxa"/>
            <w:vAlign w:val="center"/>
          </w:tcPr>
          <w:p w14:paraId="18A39990">
            <w:pPr>
              <w:spacing w:line="290" w:lineRule="exact"/>
              <w:jc w:val="center"/>
              <w:rPr>
                <w:rFonts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5</w:t>
            </w:r>
          </w:p>
        </w:tc>
        <w:tc>
          <w:tcPr>
            <w:tcW w:w="3156" w:type="dxa"/>
            <w:vAlign w:val="center"/>
          </w:tcPr>
          <w:p w14:paraId="63A6797D">
            <w:pPr>
              <w:spacing w:line="290" w:lineRule="exact"/>
              <w:jc w:val="center"/>
              <w:rPr>
                <w:rFonts w:cs="仿宋" w:asciiTheme="minorEastAsia" w:hAnsiTheme="minorEastAsia" w:eastAsiaTheme="minorEastAsia"/>
                <w:b/>
                <w:color w:val="auto"/>
                <w:highlight w:val="none"/>
              </w:rPr>
            </w:pPr>
          </w:p>
        </w:tc>
        <w:tc>
          <w:tcPr>
            <w:tcW w:w="1365" w:type="dxa"/>
            <w:vAlign w:val="center"/>
          </w:tcPr>
          <w:p w14:paraId="33BC7C96">
            <w:pPr>
              <w:adjustRightInd w:val="0"/>
              <w:snapToGrid w:val="0"/>
              <w:spacing w:line="360" w:lineRule="exact"/>
              <w:jc w:val="center"/>
              <w:rPr>
                <w:rFonts w:cs="仿宋" w:asciiTheme="minorEastAsia" w:hAnsiTheme="minorEastAsia" w:eastAsiaTheme="minorEastAsia"/>
                <w:color w:val="auto"/>
                <w:szCs w:val="21"/>
                <w:highlight w:val="none"/>
              </w:rPr>
            </w:pPr>
          </w:p>
        </w:tc>
        <w:tc>
          <w:tcPr>
            <w:tcW w:w="1185" w:type="dxa"/>
            <w:vAlign w:val="center"/>
          </w:tcPr>
          <w:p w14:paraId="1E3D9A93">
            <w:pPr>
              <w:adjustRightInd w:val="0"/>
              <w:snapToGrid w:val="0"/>
              <w:spacing w:line="360" w:lineRule="exact"/>
              <w:jc w:val="center"/>
              <w:rPr>
                <w:rFonts w:cs="仿宋" w:asciiTheme="minorEastAsia" w:hAnsiTheme="minorEastAsia" w:eastAsiaTheme="minorEastAsia"/>
                <w:color w:val="auto"/>
                <w:szCs w:val="21"/>
                <w:highlight w:val="none"/>
              </w:rPr>
            </w:pPr>
          </w:p>
        </w:tc>
        <w:tc>
          <w:tcPr>
            <w:tcW w:w="2590" w:type="dxa"/>
            <w:vAlign w:val="center"/>
          </w:tcPr>
          <w:p w14:paraId="282EB4BE">
            <w:pPr>
              <w:spacing w:line="360" w:lineRule="exact"/>
              <w:rPr>
                <w:rFonts w:cs="仿宋" w:asciiTheme="minorEastAsia" w:hAnsiTheme="minorEastAsia" w:eastAsiaTheme="minorEastAsia"/>
                <w:color w:val="auto"/>
                <w:szCs w:val="21"/>
                <w:highlight w:val="none"/>
              </w:rPr>
            </w:pPr>
          </w:p>
        </w:tc>
      </w:tr>
      <w:tr w14:paraId="21D9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61" w:type="dxa"/>
            <w:vAlign w:val="center"/>
          </w:tcPr>
          <w:p w14:paraId="07ED02C9">
            <w:pPr>
              <w:spacing w:line="290" w:lineRule="exact"/>
              <w:jc w:val="center"/>
              <w:rPr>
                <w:rFonts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6</w:t>
            </w:r>
          </w:p>
        </w:tc>
        <w:tc>
          <w:tcPr>
            <w:tcW w:w="3156" w:type="dxa"/>
            <w:vAlign w:val="center"/>
          </w:tcPr>
          <w:p w14:paraId="32E65642">
            <w:pPr>
              <w:spacing w:line="290" w:lineRule="exact"/>
              <w:jc w:val="center"/>
              <w:rPr>
                <w:rFonts w:cs="仿宋" w:asciiTheme="minorEastAsia" w:hAnsiTheme="minorEastAsia" w:eastAsiaTheme="minorEastAsia"/>
                <w:b/>
                <w:color w:val="auto"/>
                <w:highlight w:val="none"/>
              </w:rPr>
            </w:pPr>
          </w:p>
        </w:tc>
        <w:tc>
          <w:tcPr>
            <w:tcW w:w="1365" w:type="dxa"/>
            <w:vAlign w:val="center"/>
          </w:tcPr>
          <w:p w14:paraId="62CFF529">
            <w:pPr>
              <w:adjustRightInd w:val="0"/>
              <w:snapToGrid w:val="0"/>
              <w:spacing w:line="360" w:lineRule="exact"/>
              <w:jc w:val="center"/>
              <w:rPr>
                <w:rFonts w:cs="仿宋" w:asciiTheme="minorEastAsia" w:hAnsiTheme="minorEastAsia" w:eastAsiaTheme="minorEastAsia"/>
                <w:color w:val="auto"/>
                <w:szCs w:val="21"/>
                <w:highlight w:val="none"/>
              </w:rPr>
            </w:pPr>
          </w:p>
        </w:tc>
        <w:tc>
          <w:tcPr>
            <w:tcW w:w="1185" w:type="dxa"/>
            <w:vAlign w:val="center"/>
          </w:tcPr>
          <w:p w14:paraId="23AAFFAC">
            <w:pPr>
              <w:adjustRightInd w:val="0"/>
              <w:snapToGrid w:val="0"/>
              <w:spacing w:line="360" w:lineRule="exact"/>
              <w:jc w:val="center"/>
              <w:rPr>
                <w:rFonts w:cs="仿宋" w:asciiTheme="minorEastAsia" w:hAnsiTheme="minorEastAsia" w:eastAsiaTheme="minorEastAsia"/>
                <w:color w:val="auto"/>
                <w:szCs w:val="21"/>
                <w:highlight w:val="none"/>
              </w:rPr>
            </w:pPr>
          </w:p>
        </w:tc>
        <w:tc>
          <w:tcPr>
            <w:tcW w:w="2590" w:type="dxa"/>
            <w:vAlign w:val="center"/>
          </w:tcPr>
          <w:p w14:paraId="770BB7E7">
            <w:pPr>
              <w:spacing w:line="360" w:lineRule="exact"/>
              <w:rPr>
                <w:rFonts w:cs="仿宋" w:asciiTheme="minorEastAsia" w:hAnsiTheme="minorEastAsia" w:eastAsiaTheme="minorEastAsia"/>
                <w:color w:val="auto"/>
                <w:szCs w:val="21"/>
                <w:highlight w:val="none"/>
              </w:rPr>
            </w:pPr>
          </w:p>
        </w:tc>
      </w:tr>
      <w:tr w14:paraId="14DB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61" w:type="dxa"/>
            <w:vAlign w:val="center"/>
          </w:tcPr>
          <w:p w14:paraId="20005661">
            <w:pPr>
              <w:spacing w:line="290" w:lineRule="exact"/>
              <w:jc w:val="center"/>
              <w:rPr>
                <w:rFonts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7</w:t>
            </w:r>
          </w:p>
        </w:tc>
        <w:tc>
          <w:tcPr>
            <w:tcW w:w="3156" w:type="dxa"/>
            <w:vAlign w:val="center"/>
          </w:tcPr>
          <w:p w14:paraId="4502A9C1">
            <w:pPr>
              <w:spacing w:line="290" w:lineRule="exact"/>
              <w:jc w:val="center"/>
              <w:rPr>
                <w:rFonts w:cs="仿宋" w:asciiTheme="minorEastAsia" w:hAnsiTheme="minorEastAsia" w:eastAsiaTheme="minorEastAsia"/>
                <w:b/>
                <w:snapToGrid w:val="0"/>
                <w:color w:val="auto"/>
                <w:szCs w:val="21"/>
                <w:highlight w:val="none"/>
              </w:rPr>
            </w:pPr>
          </w:p>
        </w:tc>
        <w:tc>
          <w:tcPr>
            <w:tcW w:w="1365" w:type="dxa"/>
            <w:vAlign w:val="center"/>
          </w:tcPr>
          <w:p w14:paraId="7FC176D4">
            <w:pPr>
              <w:adjustRightInd w:val="0"/>
              <w:snapToGrid w:val="0"/>
              <w:spacing w:line="360" w:lineRule="exact"/>
              <w:jc w:val="center"/>
              <w:rPr>
                <w:rFonts w:cs="仿宋" w:asciiTheme="minorEastAsia" w:hAnsiTheme="minorEastAsia" w:eastAsiaTheme="minorEastAsia"/>
                <w:snapToGrid w:val="0"/>
                <w:color w:val="auto"/>
                <w:szCs w:val="21"/>
                <w:highlight w:val="none"/>
              </w:rPr>
            </w:pPr>
          </w:p>
        </w:tc>
        <w:tc>
          <w:tcPr>
            <w:tcW w:w="1185" w:type="dxa"/>
            <w:vAlign w:val="center"/>
          </w:tcPr>
          <w:p w14:paraId="0D30F168">
            <w:pPr>
              <w:adjustRightInd w:val="0"/>
              <w:snapToGrid w:val="0"/>
              <w:spacing w:line="360" w:lineRule="exact"/>
              <w:jc w:val="center"/>
              <w:rPr>
                <w:rFonts w:cs="仿宋" w:asciiTheme="minorEastAsia" w:hAnsiTheme="minorEastAsia" w:eastAsiaTheme="minorEastAsia"/>
                <w:snapToGrid w:val="0"/>
                <w:color w:val="auto"/>
                <w:szCs w:val="21"/>
                <w:highlight w:val="none"/>
              </w:rPr>
            </w:pPr>
          </w:p>
        </w:tc>
        <w:tc>
          <w:tcPr>
            <w:tcW w:w="2590" w:type="dxa"/>
            <w:vAlign w:val="center"/>
          </w:tcPr>
          <w:p w14:paraId="1E5834AF">
            <w:pPr>
              <w:spacing w:line="360" w:lineRule="exact"/>
              <w:rPr>
                <w:rFonts w:cs="仿宋" w:asciiTheme="minorEastAsia" w:hAnsiTheme="minorEastAsia" w:eastAsiaTheme="minorEastAsia"/>
                <w:color w:val="auto"/>
                <w:szCs w:val="21"/>
                <w:highlight w:val="none"/>
              </w:rPr>
            </w:pPr>
          </w:p>
        </w:tc>
      </w:tr>
      <w:tr w14:paraId="2DFC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661" w:type="dxa"/>
            <w:vAlign w:val="center"/>
          </w:tcPr>
          <w:p w14:paraId="78FF907C">
            <w:pPr>
              <w:spacing w:line="290" w:lineRule="exact"/>
              <w:jc w:val="center"/>
              <w:rPr>
                <w:rFonts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8</w:t>
            </w:r>
          </w:p>
        </w:tc>
        <w:tc>
          <w:tcPr>
            <w:tcW w:w="3156" w:type="dxa"/>
            <w:vAlign w:val="center"/>
          </w:tcPr>
          <w:p w14:paraId="39B277EB">
            <w:pPr>
              <w:spacing w:line="290" w:lineRule="exact"/>
              <w:jc w:val="center"/>
              <w:rPr>
                <w:rFonts w:cs="仿宋" w:asciiTheme="minorEastAsia" w:hAnsiTheme="minorEastAsia" w:eastAsiaTheme="minorEastAsia"/>
                <w:b/>
                <w:color w:val="auto"/>
                <w:szCs w:val="21"/>
                <w:highlight w:val="none"/>
              </w:rPr>
            </w:pPr>
          </w:p>
        </w:tc>
        <w:tc>
          <w:tcPr>
            <w:tcW w:w="1365" w:type="dxa"/>
            <w:vAlign w:val="center"/>
          </w:tcPr>
          <w:p w14:paraId="5F58BC07">
            <w:pPr>
              <w:adjustRightInd w:val="0"/>
              <w:snapToGrid w:val="0"/>
              <w:spacing w:line="360" w:lineRule="exact"/>
              <w:jc w:val="center"/>
              <w:rPr>
                <w:rFonts w:cs="仿宋" w:asciiTheme="minorEastAsia" w:hAnsiTheme="minorEastAsia" w:eastAsiaTheme="minorEastAsia"/>
                <w:color w:val="auto"/>
                <w:szCs w:val="21"/>
                <w:highlight w:val="none"/>
              </w:rPr>
            </w:pPr>
          </w:p>
        </w:tc>
        <w:tc>
          <w:tcPr>
            <w:tcW w:w="1185" w:type="dxa"/>
            <w:vAlign w:val="center"/>
          </w:tcPr>
          <w:p w14:paraId="6A84A687">
            <w:pPr>
              <w:adjustRightInd w:val="0"/>
              <w:snapToGrid w:val="0"/>
              <w:spacing w:line="360" w:lineRule="exact"/>
              <w:jc w:val="center"/>
              <w:rPr>
                <w:rFonts w:cs="仿宋" w:asciiTheme="minorEastAsia" w:hAnsiTheme="minorEastAsia" w:eastAsiaTheme="minorEastAsia"/>
                <w:color w:val="auto"/>
                <w:szCs w:val="21"/>
                <w:highlight w:val="none"/>
              </w:rPr>
            </w:pPr>
          </w:p>
        </w:tc>
        <w:tc>
          <w:tcPr>
            <w:tcW w:w="2590" w:type="dxa"/>
            <w:vAlign w:val="center"/>
          </w:tcPr>
          <w:p w14:paraId="47ACD51D">
            <w:pPr>
              <w:spacing w:line="360" w:lineRule="exact"/>
              <w:rPr>
                <w:rFonts w:cs="仿宋" w:asciiTheme="minorEastAsia" w:hAnsiTheme="minorEastAsia" w:eastAsiaTheme="minorEastAsia"/>
                <w:color w:val="auto"/>
                <w:szCs w:val="21"/>
                <w:highlight w:val="none"/>
              </w:rPr>
            </w:pPr>
          </w:p>
        </w:tc>
      </w:tr>
      <w:tr w14:paraId="6218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61" w:type="dxa"/>
            <w:vAlign w:val="center"/>
          </w:tcPr>
          <w:p w14:paraId="3B4B33F8">
            <w:pPr>
              <w:spacing w:line="290" w:lineRule="exact"/>
              <w:jc w:val="center"/>
              <w:rPr>
                <w:rFonts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9</w:t>
            </w:r>
          </w:p>
        </w:tc>
        <w:tc>
          <w:tcPr>
            <w:tcW w:w="3156" w:type="dxa"/>
            <w:vAlign w:val="center"/>
          </w:tcPr>
          <w:p w14:paraId="3C2AD368">
            <w:pPr>
              <w:spacing w:line="290" w:lineRule="exact"/>
              <w:jc w:val="center"/>
              <w:rPr>
                <w:rFonts w:cs="仿宋" w:asciiTheme="minorEastAsia" w:hAnsiTheme="minorEastAsia" w:eastAsiaTheme="minorEastAsia"/>
                <w:b/>
                <w:snapToGrid w:val="0"/>
                <w:color w:val="auto"/>
                <w:szCs w:val="21"/>
                <w:highlight w:val="none"/>
              </w:rPr>
            </w:pPr>
          </w:p>
        </w:tc>
        <w:tc>
          <w:tcPr>
            <w:tcW w:w="1365" w:type="dxa"/>
            <w:vAlign w:val="center"/>
          </w:tcPr>
          <w:p w14:paraId="04F85D4D">
            <w:pPr>
              <w:adjustRightInd w:val="0"/>
              <w:snapToGrid w:val="0"/>
              <w:spacing w:line="360" w:lineRule="exact"/>
              <w:jc w:val="center"/>
              <w:rPr>
                <w:rFonts w:cs="仿宋" w:asciiTheme="minorEastAsia" w:hAnsiTheme="minorEastAsia" w:eastAsiaTheme="minorEastAsia"/>
                <w:color w:val="auto"/>
                <w:szCs w:val="21"/>
                <w:highlight w:val="none"/>
              </w:rPr>
            </w:pPr>
          </w:p>
        </w:tc>
        <w:tc>
          <w:tcPr>
            <w:tcW w:w="1185" w:type="dxa"/>
            <w:vAlign w:val="center"/>
          </w:tcPr>
          <w:p w14:paraId="4598294A">
            <w:pPr>
              <w:adjustRightInd w:val="0"/>
              <w:snapToGrid w:val="0"/>
              <w:spacing w:line="360" w:lineRule="exact"/>
              <w:jc w:val="center"/>
              <w:rPr>
                <w:rFonts w:cs="仿宋" w:asciiTheme="minorEastAsia" w:hAnsiTheme="minorEastAsia" w:eastAsiaTheme="minorEastAsia"/>
                <w:color w:val="auto"/>
                <w:szCs w:val="21"/>
                <w:highlight w:val="none"/>
              </w:rPr>
            </w:pPr>
          </w:p>
        </w:tc>
        <w:tc>
          <w:tcPr>
            <w:tcW w:w="2590" w:type="dxa"/>
            <w:vAlign w:val="center"/>
          </w:tcPr>
          <w:p w14:paraId="7A8DCD81">
            <w:pPr>
              <w:spacing w:line="360" w:lineRule="exact"/>
              <w:rPr>
                <w:rFonts w:cs="仿宋" w:asciiTheme="minorEastAsia" w:hAnsiTheme="minorEastAsia" w:eastAsiaTheme="minorEastAsia"/>
                <w:color w:val="auto"/>
                <w:szCs w:val="21"/>
                <w:highlight w:val="none"/>
              </w:rPr>
            </w:pPr>
          </w:p>
        </w:tc>
      </w:tr>
      <w:tr w14:paraId="7EAE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61" w:type="dxa"/>
            <w:vAlign w:val="center"/>
          </w:tcPr>
          <w:p w14:paraId="3FE1E0E1">
            <w:pPr>
              <w:spacing w:line="290" w:lineRule="exact"/>
              <w:jc w:val="center"/>
              <w:rPr>
                <w:rFonts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10</w:t>
            </w:r>
          </w:p>
        </w:tc>
        <w:tc>
          <w:tcPr>
            <w:tcW w:w="3156" w:type="dxa"/>
            <w:vAlign w:val="center"/>
          </w:tcPr>
          <w:p w14:paraId="04A628F6">
            <w:pPr>
              <w:spacing w:line="290" w:lineRule="exact"/>
              <w:jc w:val="center"/>
              <w:rPr>
                <w:rFonts w:cs="仿宋" w:asciiTheme="minorEastAsia" w:hAnsiTheme="minorEastAsia" w:eastAsiaTheme="minorEastAsia"/>
                <w:b/>
                <w:color w:val="auto"/>
                <w:szCs w:val="21"/>
                <w:highlight w:val="none"/>
              </w:rPr>
            </w:pPr>
          </w:p>
        </w:tc>
        <w:tc>
          <w:tcPr>
            <w:tcW w:w="1365" w:type="dxa"/>
            <w:vAlign w:val="center"/>
          </w:tcPr>
          <w:p w14:paraId="7C6D115C">
            <w:pPr>
              <w:adjustRightInd w:val="0"/>
              <w:snapToGrid w:val="0"/>
              <w:spacing w:line="360" w:lineRule="exact"/>
              <w:jc w:val="center"/>
              <w:rPr>
                <w:rFonts w:cs="仿宋" w:asciiTheme="minorEastAsia" w:hAnsiTheme="minorEastAsia" w:eastAsiaTheme="minorEastAsia"/>
                <w:snapToGrid w:val="0"/>
                <w:color w:val="auto"/>
                <w:szCs w:val="21"/>
                <w:highlight w:val="none"/>
              </w:rPr>
            </w:pPr>
          </w:p>
        </w:tc>
        <w:tc>
          <w:tcPr>
            <w:tcW w:w="1185" w:type="dxa"/>
            <w:vAlign w:val="center"/>
          </w:tcPr>
          <w:p w14:paraId="15A28B26">
            <w:pPr>
              <w:adjustRightInd w:val="0"/>
              <w:snapToGrid w:val="0"/>
              <w:spacing w:line="360" w:lineRule="exact"/>
              <w:jc w:val="center"/>
              <w:rPr>
                <w:rFonts w:cs="仿宋" w:asciiTheme="minorEastAsia" w:hAnsiTheme="minorEastAsia" w:eastAsiaTheme="minorEastAsia"/>
                <w:snapToGrid w:val="0"/>
                <w:color w:val="auto"/>
                <w:szCs w:val="21"/>
                <w:highlight w:val="none"/>
              </w:rPr>
            </w:pPr>
          </w:p>
        </w:tc>
        <w:tc>
          <w:tcPr>
            <w:tcW w:w="2590" w:type="dxa"/>
            <w:vAlign w:val="center"/>
          </w:tcPr>
          <w:p w14:paraId="517D2003">
            <w:pPr>
              <w:spacing w:line="360" w:lineRule="exact"/>
              <w:rPr>
                <w:rFonts w:cs="仿宋" w:asciiTheme="minorEastAsia" w:hAnsiTheme="minorEastAsia" w:eastAsiaTheme="minorEastAsia"/>
                <w:color w:val="auto"/>
                <w:szCs w:val="21"/>
                <w:highlight w:val="none"/>
              </w:rPr>
            </w:pPr>
          </w:p>
        </w:tc>
      </w:tr>
      <w:tr w14:paraId="4FBA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61" w:type="dxa"/>
            <w:vAlign w:val="center"/>
          </w:tcPr>
          <w:p w14:paraId="333C357D">
            <w:pPr>
              <w:spacing w:line="290" w:lineRule="exact"/>
              <w:jc w:val="center"/>
              <w:rPr>
                <w:rFonts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11</w:t>
            </w:r>
          </w:p>
        </w:tc>
        <w:tc>
          <w:tcPr>
            <w:tcW w:w="3156" w:type="dxa"/>
            <w:vAlign w:val="center"/>
          </w:tcPr>
          <w:p w14:paraId="708E465D">
            <w:pPr>
              <w:spacing w:line="290" w:lineRule="exact"/>
              <w:jc w:val="center"/>
              <w:rPr>
                <w:rFonts w:cs="仿宋" w:asciiTheme="minorEastAsia" w:hAnsiTheme="minorEastAsia" w:eastAsiaTheme="minorEastAsia"/>
                <w:b/>
                <w:snapToGrid w:val="0"/>
                <w:color w:val="auto"/>
                <w:szCs w:val="21"/>
                <w:highlight w:val="none"/>
              </w:rPr>
            </w:pPr>
          </w:p>
        </w:tc>
        <w:tc>
          <w:tcPr>
            <w:tcW w:w="1365" w:type="dxa"/>
            <w:vAlign w:val="center"/>
          </w:tcPr>
          <w:p w14:paraId="413C659E">
            <w:pPr>
              <w:adjustRightInd w:val="0"/>
              <w:snapToGrid w:val="0"/>
              <w:spacing w:line="360" w:lineRule="exact"/>
              <w:jc w:val="center"/>
              <w:rPr>
                <w:rFonts w:cs="仿宋" w:asciiTheme="minorEastAsia" w:hAnsiTheme="minorEastAsia" w:eastAsiaTheme="minorEastAsia"/>
                <w:snapToGrid w:val="0"/>
                <w:color w:val="auto"/>
                <w:szCs w:val="21"/>
                <w:highlight w:val="none"/>
              </w:rPr>
            </w:pPr>
          </w:p>
        </w:tc>
        <w:tc>
          <w:tcPr>
            <w:tcW w:w="1185" w:type="dxa"/>
            <w:vAlign w:val="center"/>
          </w:tcPr>
          <w:p w14:paraId="1AA445E3">
            <w:pPr>
              <w:adjustRightInd w:val="0"/>
              <w:snapToGrid w:val="0"/>
              <w:spacing w:line="360" w:lineRule="exact"/>
              <w:jc w:val="center"/>
              <w:rPr>
                <w:rFonts w:cs="仿宋" w:asciiTheme="minorEastAsia" w:hAnsiTheme="minorEastAsia" w:eastAsiaTheme="minorEastAsia"/>
                <w:snapToGrid w:val="0"/>
                <w:color w:val="auto"/>
                <w:szCs w:val="21"/>
                <w:highlight w:val="none"/>
              </w:rPr>
            </w:pPr>
          </w:p>
        </w:tc>
        <w:tc>
          <w:tcPr>
            <w:tcW w:w="2590" w:type="dxa"/>
            <w:vAlign w:val="center"/>
          </w:tcPr>
          <w:p w14:paraId="7CFCB230">
            <w:pPr>
              <w:spacing w:line="360" w:lineRule="exact"/>
              <w:rPr>
                <w:rFonts w:cs="仿宋" w:asciiTheme="minorEastAsia" w:hAnsiTheme="minorEastAsia" w:eastAsiaTheme="minorEastAsia"/>
                <w:color w:val="auto"/>
                <w:szCs w:val="21"/>
                <w:highlight w:val="none"/>
              </w:rPr>
            </w:pPr>
          </w:p>
        </w:tc>
      </w:tr>
      <w:tr w14:paraId="6D74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61" w:type="dxa"/>
            <w:vAlign w:val="center"/>
          </w:tcPr>
          <w:p w14:paraId="68FBD852">
            <w:pPr>
              <w:spacing w:line="290" w:lineRule="exact"/>
              <w:jc w:val="center"/>
              <w:rPr>
                <w:rFonts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12</w:t>
            </w:r>
          </w:p>
        </w:tc>
        <w:tc>
          <w:tcPr>
            <w:tcW w:w="3156" w:type="dxa"/>
            <w:vAlign w:val="center"/>
          </w:tcPr>
          <w:p w14:paraId="342B8C9C">
            <w:pPr>
              <w:spacing w:line="290" w:lineRule="exact"/>
              <w:jc w:val="center"/>
              <w:rPr>
                <w:rFonts w:cs="仿宋" w:asciiTheme="minorEastAsia" w:hAnsiTheme="minorEastAsia" w:eastAsiaTheme="minorEastAsia"/>
                <w:b/>
                <w:color w:val="auto"/>
                <w:szCs w:val="21"/>
                <w:highlight w:val="none"/>
              </w:rPr>
            </w:pPr>
          </w:p>
        </w:tc>
        <w:tc>
          <w:tcPr>
            <w:tcW w:w="1365" w:type="dxa"/>
            <w:vAlign w:val="center"/>
          </w:tcPr>
          <w:p w14:paraId="3F5C1A69">
            <w:pPr>
              <w:adjustRightInd w:val="0"/>
              <w:snapToGrid w:val="0"/>
              <w:spacing w:line="360" w:lineRule="exact"/>
              <w:jc w:val="center"/>
              <w:rPr>
                <w:rFonts w:cs="仿宋" w:asciiTheme="minorEastAsia" w:hAnsiTheme="minorEastAsia" w:eastAsiaTheme="minorEastAsia"/>
                <w:color w:val="auto"/>
                <w:szCs w:val="21"/>
                <w:highlight w:val="none"/>
              </w:rPr>
            </w:pPr>
          </w:p>
        </w:tc>
        <w:tc>
          <w:tcPr>
            <w:tcW w:w="1185" w:type="dxa"/>
            <w:vAlign w:val="center"/>
          </w:tcPr>
          <w:p w14:paraId="73A5F34A">
            <w:pPr>
              <w:adjustRightInd w:val="0"/>
              <w:snapToGrid w:val="0"/>
              <w:spacing w:line="360" w:lineRule="exact"/>
              <w:jc w:val="center"/>
              <w:rPr>
                <w:rFonts w:cs="仿宋" w:asciiTheme="minorEastAsia" w:hAnsiTheme="minorEastAsia" w:eastAsiaTheme="minorEastAsia"/>
                <w:color w:val="auto"/>
                <w:szCs w:val="21"/>
                <w:highlight w:val="none"/>
              </w:rPr>
            </w:pPr>
          </w:p>
        </w:tc>
        <w:tc>
          <w:tcPr>
            <w:tcW w:w="2590" w:type="dxa"/>
            <w:vAlign w:val="center"/>
          </w:tcPr>
          <w:p w14:paraId="07255D95">
            <w:pPr>
              <w:spacing w:line="360" w:lineRule="exact"/>
              <w:rPr>
                <w:rFonts w:cs="仿宋" w:asciiTheme="minorEastAsia" w:hAnsiTheme="minorEastAsia" w:eastAsiaTheme="minorEastAsia"/>
                <w:color w:val="auto"/>
                <w:szCs w:val="21"/>
                <w:highlight w:val="none"/>
              </w:rPr>
            </w:pPr>
          </w:p>
        </w:tc>
      </w:tr>
      <w:tr w14:paraId="224B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61" w:type="dxa"/>
            <w:vAlign w:val="center"/>
          </w:tcPr>
          <w:p w14:paraId="6E3137CF">
            <w:pPr>
              <w:spacing w:line="290" w:lineRule="exact"/>
              <w:jc w:val="center"/>
              <w:rPr>
                <w:rFonts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13</w:t>
            </w:r>
          </w:p>
        </w:tc>
        <w:tc>
          <w:tcPr>
            <w:tcW w:w="3156" w:type="dxa"/>
            <w:vAlign w:val="center"/>
          </w:tcPr>
          <w:p w14:paraId="357006E5">
            <w:pPr>
              <w:spacing w:line="290" w:lineRule="exact"/>
              <w:jc w:val="center"/>
              <w:rPr>
                <w:rFonts w:cs="仿宋" w:asciiTheme="minorEastAsia" w:hAnsiTheme="minorEastAsia" w:eastAsiaTheme="minorEastAsia"/>
                <w:b/>
                <w:color w:val="auto"/>
                <w:szCs w:val="18"/>
                <w:highlight w:val="none"/>
              </w:rPr>
            </w:pPr>
          </w:p>
        </w:tc>
        <w:tc>
          <w:tcPr>
            <w:tcW w:w="1365" w:type="dxa"/>
            <w:vAlign w:val="center"/>
          </w:tcPr>
          <w:p w14:paraId="7ED1059D">
            <w:pPr>
              <w:adjustRightInd w:val="0"/>
              <w:snapToGrid w:val="0"/>
              <w:spacing w:line="360" w:lineRule="exact"/>
              <w:jc w:val="center"/>
              <w:rPr>
                <w:rFonts w:cs="仿宋" w:asciiTheme="minorEastAsia" w:hAnsiTheme="minorEastAsia" w:eastAsiaTheme="minorEastAsia"/>
                <w:color w:val="auto"/>
                <w:szCs w:val="21"/>
                <w:highlight w:val="none"/>
              </w:rPr>
            </w:pPr>
          </w:p>
        </w:tc>
        <w:tc>
          <w:tcPr>
            <w:tcW w:w="1185" w:type="dxa"/>
            <w:vAlign w:val="center"/>
          </w:tcPr>
          <w:p w14:paraId="24786FE8">
            <w:pPr>
              <w:adjustRightInd w:val="0"/>
              <w:snapToGrid w:val="0"/>
              <w:spacing w:line="360" w:lineRule="exact"/>
              <w:jc w:val="center"/>
              <w:rPr>
                <w:rFonts w:cs="仿宋" w:asciiTheme="minorEastAsia" w:hAnsiTheme="minorEastAsia" w:eastAsiaTheme="minorEastAsia"/>
                <w:color w:val="auto"/>
                <w:szCs w:val="21"/>
                <w:highlight w:val="none"/>
              </w:rPr>
            </w:pPr>
          </w:p>
        </w:tc>
        <w:tc>
          <w:tcPr>
            <w:tcW w:w="2590" w:type="dxa"/>
            <w:vAlign w:val="center"/>
          </w:tcPr>
          <w:p w14:paraId="0E9D9F50">
            <w:pPr>
              <w:spacing w:line="360" w:lineRule="exact"/>
              <w:rPr>
                <w:rFonts w:cs="仿宋" w:asciiTheme="minorEastAsia" w:hAnsiTheme="minorEastAsia" w:eastAsiaTheme="minorEastAsia"/>
                <w:color w:val="auto"/>
                <w:szCs w:val="21"/>
                <w:highlight w:val="none"/>
              </w:rPr>
            </w:pPr>
          </w:p>
        </w:tc>
      </w:tr>
      <w:tr w14:paraId="17C1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61" w:type="dxa"/>
            <w:vAlign w:val="center"/>
          </w:tcPr>
          <w:p w14:paraId="6371CA73">
            <w:pPr>
              <w:spacing w:line="290" w:lineRule="exact"/>
              <w:jc w:val="center"/>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w:t>
            </w:r>
          </w:p>
        </w:tc>
        <w:tc>
          <w:tcPr>
            <w:tcW w:w="3156" w:type="dxa"/>
            <w:vAlign w:val="center"/>
          </w:tcPr>
          <w:p w14:paraId="2062130F">
            <w:pPr>
              <w:spacing w:line="290" w:lineRule="exact"/>
              <w:jc w:val="center"/>
              <w:rPr>
                <w:rFonts w:cs="仿宋" w:asciiTheme="minorEastAsia" w:hAnsiTheme="minorEastAsia" w:eastAsiaTheme="minorEastAsia"/>
                <w:b/>
                <w:color w:val="auto"/>
                <w:szCs w:val="21"/>
                <w:highlight w:val="none"/>
              </w:rPr>
            </w:pPr>
          </w:p>
        </w:tc>
        <w:tc>
          <w:tcPr>
            <w:tcW w:w="1365" w:type="dxa"/>
            <w:vAlign w:val="center"/>
          </w:tcPr>
          <w:p w14:paraId="3D90B6A7">
            <w:pPr>
              <w:adjustRightInd w:val="0"/>
              <w:snapToGrid w:val="0"/>
              <w:spacing w:line="360" w:lineRule="exact"/>
              <w:jc w:val="center"/>
              <w:rPr>
                <w:rFonts w:cs="仿宋" w:asciiTheme="minorEastAsia" w:hAnsiTheme="minorEastAsia" w:eastAsiaTheme="minorEastAsia"/>
                <w:color w:val="auto"/>
                <w:szCs w:val="21"/>
                <w:highlight w:val="none"/>
              </w:rPr>
            </w:pPr>
          </w:p>
        </w:tc>
        <w:tc>
          <w:tcPr>
            <w:tcW w:w="1185" w:type="dxa"/>
            <w:vAlign w:val="center"/>
          </w:tcPr>
          <w:p w14:paraId="1AD983C4">
            <w:pPr>
              <w:adjustRightInd w:val="0"/>
              <w:snapToGrid w:val="0"/>
              <w:spacing w:line="360" w:lineRule="exact"/>
              <w:jc w:val="center"/>
              <w:rPr>
                <w:rFonts w:cs="仿宋" w:asciiTheme="minorEastAsia" w:hAnsiTheme="minorEastAsia" w:eastAsiaTheme="minorEastAsia"/>
                <w:color w:val="auto"/>
                <w:szCs w:val="21"/>
                <w:highlight w:val="none"/>
              </w:rPr>
            </w:pPr>
          </w:p>
        </w:tc>
        <w:tc>
          <w:tcPr>
            <w:tcW w:w="2590" w:type="dxa"/>
            <w:vAlign w:val="center"/>
          </w:tcPr>
          <w:p w14:paraId="403FDC88">
            <w:pPr>
              <w:spacing w:line="360" w:lineRule="exact"/>
              <w:rPr>
                <w:rFonts w:cs="仿宋" w:asciiTheme="minorEastAsia" w:hAnsiTheme="minorEastAsia" w:eastAsiaTheme="minorEastAsia"/>
                <w:color w:val="auto"/>
                <w:szCs w:val="21"/>
                <w:highlight w:val="none"/>
              </w:rPr>
            </w:pPr>
          </w:p>
        </w:tc>
      </w:tr>
    </w:tbl>
    <w:p w14:paraId="140632CE">
      <w:pPr>
        <w:snapToGrid w:val="0"/>
        <w:spacing w:line="460" w:lineRule="exact"/>
        <w:ind w:firstLine="240" w:firstLineChars="100"/>
        <w:jc w:val="left"/>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注：1、“技术、资信及商务自评得分表”装订在响应文件中技术、资信及商务文件的首页。投标人应结合本招标文件评分标准认真填制相关内容，以及在响应文件中所对应的页码，如未提供，评委有权认为不具备或不符合，有可能影响投标人的得分。</w:t>
      </w:r>
    </w:p>
    <w:p w14:paraId="0999E4A5">
      <w:pPr>
        <w:snapToGrid w:val="0"/>
        <w:spacing w:line="460" w:lineRule="exact"/>
        <w:jc w:val="left"/>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   2、如本表格不适合投标人的实际情况，可根据本表格式自行制表填写。</w:t>
      </w:r>
    </w:p>
    <w:p w14:paraId="1A027076">
      <w:pPr>
        <w:snapToGrid w:val="0"/>
        <w:spacing w:line="460" w:lineRule="exact"/>
        <w:jc w:val="center"/>
        <w:rPr>
          <w:rFonts w:cs="仿宋_GB2312" w:asciiTheme="minorEastAsia" w:hAnsiTheme="minorEastAsia" w:eastAsiaTheme="minorEastAsia"/>
          <w:color w:val="auto"/>
          <w:sz w:val="28"/>
          <w:szCs w:val="28"/>
          <w:highlight w:val="none"/>
        </w:rPr>
      </w:pPr>
    </w:p>
    <w:p w14:paraId="527F9EAF">
      <w:pPr>
        <w:snapToGrid w:val="0"/>
        <w:spacing w:line="460" w:lineRule="exact"/>
        <w:jc w:val="center"/>
        <w:rPr>
          <w:rFonts w:cs="仿宋_GB2312" w:asciiTheme="minorEastAsia" w:hAnsiTheme="minorEastAsia" w:eastAsiaTheme="minorEastAsia"/>
          <w:color w:val="auto"/>
          <w:sz w:val="28"/>
          <w:szCs w:val="28"/>
          <w:highlight w:val="none"/>
          <w:lang w:val="zh-CN"/>
        </w:rPr>
      </w:pPr>
      <w:r>
        <w:rPr>
          <w:rFonts w:hint="eastAsia" w:cs="仿宋_GB2312" w:asciiTheme="minorEastAsia" w:hAnsiTheme="minorEastAsia" w:eastAsiaTheme="minorEastAsia"/>
          <w:color w:val="auto"/>
          <w:sz w:val="28"/>
          <w:szCs w:val="28"/>
          <w:highlight w:val="none"/>
        </w:rPr>
        <w:t xml:space="preserve">                                   投标承销商全称</w:t>
      </w:r>
      <w:r>
        <w:rPr>
          <w:rFonts w:hint="eastAsia" w:cs="仿宋_GB2312" w:asciiTheme="minorEastAsia" w:hAnsiTheme="minorEastAsia" w:eastAsiaTheme="minorEastAsia"/>
          <w:color w:val="auto"/>
          <w:sz w:val="28"/>
          <w:szCs w:val="28"/>
          <w:highlight w:val="none"/>
          <w:lang w:val="zh-CN"/>
        </w:rPr>
        <w:t xml:space="preserve">（盖章）： </w:t>
      </w:r>
      <w:r>
        <w:rPr>
          <w:rFonts w:hint="eastAsia" w:asciiTheme="minorEastAsia" w:hAnsiTheme="minorEastAsia" w:eastAsiaTheme="minorEastAsia"/>
          <w:color w:val="auto"/>
          <w:sz w:val="24"/>
          <w:highlight w:val="none"/>
          <w:lang w:val="zh-CN"/>
        </w:rPr>
        <w:t xml:space="preserve">            </w:t>
      </w:r>
    </w:p>
    <w:p w14:paraId="296AD096">
      <w:pPr>
        <w:snapToGrid w:val="0"/>
        <w:spacing w:line="460" w:lineRule="exact"/>
        <w:jc w:val="center"/>
        <w:rPr>
          <w:rFonts w:cs="仿宋_GB2312" w:asciiTheme="minorEastAsia" w:hAnsiTheme="minorEastAsia" w:eastAsiaTheme="minorEastAsia"/>
          <w:color w:val="auto"/>
          <w:sz w:val="28"/>
          <w:szCs w:val="28"/>
          <w:highlight w:val="none"/>
          <w:lang w:val="zh-CN"/>
        </w:rPr>
      </w:pPr>
      <w:r>
        <w:rPr>
          <w:rFonts w:hint="eastAsia" w:cs="仿宋_GB2312" w:asciiTheme="minorEastAsia" w:hAnsiTheme="minorEastAsia" w:eastAsiaTheme="minorEastAsia"/>
          <w:color w:val="auto"/>
          <w:sz w:val="28"/>
          <w:szCs w:val="28"/>
          <w:highlight w:val="none"/>
          <w:lang w:val="zh-CN"/>
        </w:rPr>
        <w:t xml:space="preserve">                                   日期：    年    月   日</w:t>
      </w:r>
    </w:p>
    <w:p w14:paraId="106F3629">
      <w:pPr>
        <w:snapToGrid w:val="0"/>
        <w:spacing w:before="120" w:after="50"/>
        <w:rPr>
          <w:rFonts w:cs="宋体" w:asciiTheme="minorEastAsia" w:hAnsiTheme="minorEastAsia" w:eastAsiaTheme="minorEastAsia"/>
          <w:b/>
          <w:color w:val="auto"/>
          <w:sz w:val="24"/>
          <w:highlight w:val="none"/>
        </w:rPr>
      </w:pPr>
    </w:p>
    <w:p w14:paraId="458D3C99">
      <w:pPr>
        <w:snapToGrid w:val="0"/>
        <w:spacing w:before="120" w:after="50"/>
        <w:jc w:val="center"/>
        <w:rPr>
          <w:rFonts w:asciiTheme="minorEastAsia" w:hAnsiTheme="minorEastAsia" w:eastAsiaTheme="minorEastAsia"/>
          <w:b/>
          <w:bCs/>
          <w:color w:val="auto"/>
          <w:sz w:val="30"/>
          <w:highlight w:val="none"/>
        </w:rPr>
      </w:pPr>
    </w:p>
    <w:p w14:paraId="34FC1EF1">
      <w:pPr>
        <w:widowControl/>
        <w:jc w:val="left"/>
        <w:rPr>
          <w:rFonts w:cs="仿宋" w:asciiTheme="minorEastAsia" w:hAnsiTheme="minorEastAsia" w:eastAsiaTheme="minorEastAsia"/>
          <w:b/>
          <w:bCs/>
          <w:color w:val="auto"/>
          <w:sz w:val="24"/>
          <w:szCs w:val="24"/>
          <w:highlight w:val="none"/>
        </w:rPr>
      </w:pPr>
    </w:p>
    <w:p w14:paraId="08AFE58D">
      <w:pPr>
        <w:snapToGrid w:val="0"/>
        <w:spacing w:before="120" w:after="50"/>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附件3：</w:t>
      </w:r>
    </w:p>
    <w:p w14:paraId="369B5AF7">
      <w:pPr>
        <w:jc w:val="center"/>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b/>
          <w:bCs/>
          <w:color w:val="auto"/>
          <w:sz w:val="36"/>
          <w:szCs w:val="36"/>
          <w:highlight w:val="none"/>
        </w:rPr>
        <w:t>法定代表人（或法定负责人）授权书</w:t>
      </w:r>
    </w:p>
    <w:p w14:paraId="64A7CF2D">
      <w:pPr>
        <w:ind w:firstLine="280" w:firstLineChars="100"/>
        <w:rPr>
          <w:rFonts w:cs="仿宋_GB2312" w:asciiTheme="minorEastAsia" w:hAnsiTheme="minorEastAsia" w:eastAsiaTheme="minorEastAsia"/>
          <w:color w:val="auto"/>
          <w:sz w:val="28"/>
          <w:szCs w:val="28"/>
          <w:highlight w:val="none"/>
          <w:u w:val="single"/>
        </w:rPr>
      </w:pPr>
    </w:p>
    <w:p w14:paraId="2C83C503">
      <w:pPr>
        <w:spacing w:line="360" w:lineRule="auto"/>
        <w:ind w:firstLine="280" w:firstLineChars="100"/>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u w:val="single"/>
        </w:rPr>
        <w:t xml:space="preserve">                   （采购单位）</w:t>
      </w:r>
      <w:r>
        <w:rPr>
          <w:rFonts w:hint="eastAsia" w:cs="仿宋_GB2312" w:asciiTheme="minorEastAsia" w:hAnsiTheme="minorEastAsia" w:eastAsiaTheme="minorEastAsia"/>
          <w:color w:val="auto"/>
          <w:sz w:val="28"/>
          <w:szCs w:val="28"/>
          <w:highlight w:val="none"/>
        </w:rPr>
        <w:t>：</w:t>
      </w:r>
    </w:p>
    <w:p w14:paraId="0BBDBE36">
      <w:pPr>
        <w:spacing w:line="360" w:lineRule="auto"/>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本人</w:t>
      </w:r>
      <w:r>
        <w:rPr>
          <w:rFonts w:hint="eastAsia" w:cs="仿宋_GB2312" w:asciiTheme="minorEastAsia" w:hAnsiTheme="minorEastAsia" w:eastAsiaTheme="minorEastAsia"/>
          <w:color w:val="auto"/>
          <w:sz w:val="28"/>
          <w:szCs w:val="28"/>
          <w:highlight w:val="none"/>
          <w:u w:val="single"/>
        </w:rPr>
        <w:t xml:space="preserve">        </w:t>
      </w:r>
      <w:r>
        <w:rPr>
          <w:rFonts w:hint="eastAsia" w:cs="仿宋_GB2312" w:asciiTheme="minorEastAsia" w:hAnsiTheme="minorEastAsia" w:eastAsiaTheme="minorEastAsia"/>
          <w:color w:val="auto"/>
          <w:sz w:val="28"/>
          <w:szCs w:val="28"/>
          <w:highlight w:val="none"/>
        </w:rPr>
        <w:t xml:space="preserve">（姓名）系 </w:t>
      </w:r>
      <w:r>
        <w:rPr>
          <w:rFonts w:hint="eastAsia" w:cs="仿宋_GB2312" w:asciiTheme="minorEastAsia" w:hAnsiTheme="minorEastAsia" w:eastAsiaTheme="minorEastAsia"/>
          <w:color w:val="auto"/>
          <w:sz w:val="28"/>
          <w:szCs w:val="28"/>
          <w:highlight w:val="none"/>
          <w:u w:val="single"/>
        </w:rPr>
        <w:t xml:space="preserve">                         </w:t>
      </w:r>
      <w:r>
        <w:rPr>
          <w:rFonts w:hint="eastAsia" w:cs="仿宋_GB2312" w:asciiTheme="minorEastAsia" w:hAnsiTheme="minorEastAsia" w:eastAsiaTheme="minorEastAsia"/>
          <w:color w:val="auto"/>
          <w:sz w:val="28"/>
          <w:szCs w:val="28"/>
          <w:highlight w:val="none"/>
        </w:rPr>
        <w:t>（承销商全称）法定代表人（或法定负责人），现授权委托</w:t>
      </w:r>
      <w:r>
        <w:rPr>
          <w:rFonts w:hint="eastAsia" w:cs="仿宋_GB2312" w:asciiTheme="minorEastAsia" w:hAnsiTheme="minorEastAsia" w:eastAsiaTheme="minorEastAsia"/>
          <w:color w:val="auto"/>
          <w:sz w:val="28"/>
          <w:szCs w:val="28"/>
          <w:highlight w:val="none"/>
          <w:u w:val="single"/>
        </w:rPr>
        <w:t xml:space="preserve">                   </w:t>
      </w:r>
      <w:r>
        <w:rPr>
          <w:rFonts w:hint="eastAsia" w:cs="仿宋_GB2312" w:asciiTheme="minorEastAsia" w:hAnsiTheme="minorEastAsia" w:eastAsiaTheme="minorEastAsia"/>
          <w:color w:val="auto"/>
          <w:sz w:val="28"/>
          <w:szCs w:val="28"/>
          <w:highlight w:val="none"/>
        </w:rPr>
        <w:t>（投标承销商代表姓名）为全权代表（身份证号码：</w:t>
      </w:r>
      <w:r>
        <w:rPr>
          <w:rFonts w:hint="eastAsia" w:cs="仿宋_GB2312" w:asciiTheme="minorEastAsia" w:hAnsiTheme="minorEastAsia" w:eastAsiaTheme="minorEastAsia"/>
          <w:color w:val="auto"/>
          <w:sz w:val="28"/>
          <w:szCs w:val="28"/>
          <w:highlight w:val="none"/>
          <w:u w:val="single"/>
        </w:rPr>
        <w:t xml:space="preserve">      </w:t>
      </w:r>
      <w:r>
        <w:rPr>
          <w:rFonts w:hint="eastAsia" w:cs="仿宋_GB2312" w:asciiTheme="minorEastAsia" w:hAnsiTheme="minorEastAsia" w:eastAsiaTheme="minorEastAsia"/>
          <w:color w:val="auto"/>
          <w:sz w:val="28"/>
          <w:szCs w:val="28"/>
          <w:highlight w:val="none"/>
        </w:rPr>
        <w:t>），参加贵单位组织的</w:t>
      </w:r>
      <w:r>
        <w:rPr>
          <w:rFonts w:hint="eastAsia" w:cs="仿宋_GB2312" w:asciiTheme="minorEastAsia" w:hAnsiTheme="minorEastAsia" w:eastAsiaTheme="minorEastAsia"/>
          <w:color w:val="auto"/>
          <w:sz w:val="28"/>
          <w:szCs w:val="28"/>
          <w:highlight w:val="none"/>
          <w:u w:val="single"/>
        </w:rPr>
        <w:t xml:space="preserve">                               </w:t>
      </w:r>
      <w:r>
        <w:rPr>
          <w:rFonts w:hint="eastAsia" w:cs="仿宋_GB2312" w:asciiTheme="minorEastAsia" w:hAnsiTheme="minorEastAsia" w:eastAsiaTheme="minorEastAsia"/>
          <w:color w:val="auto"/>
          <w:sz w:val="28"/>
          <w:szCs w:val="28"/>
          <w:highlight w:val="none"/>
        </w:rPr>
        <w:t xml:space="preserve"> 项目（</w:t>
      </w:r>
      <w:r>
        <w:rPr>
          <w:rFonts w:hint="eastAsia" w:cs="仿宋_GB2312" w:asciiTheme="minorEastAsia" w:hAnsiTheme="minorEastAsia" w:eastAsiaTheme="minorEastAsia"/>
          <w:color w:val="auto"/>
          <w:sz w:val="28"/>
          <w:szCs w:val="28"/>
          <w:highlight w:val="none"/>
          <w:u w:val="single"/>
        </w:rPr>
        <w:t xml:space="preserve">   括号内填写投标项目名称   </w:t>
      </w:r>
      <w:r>
        <w:rPr>
          <w:rFonts w:hint="eastAsia" w:cs="仿宋_GB2312" w:asciiTheme="minorEastAsia" w:hAnsiTheme="minorEastAsia" w:eastAsiaTheme="minorEastAsia"/>
          <w:color w:val="auto"/>
          <w:sz w:val="28"/>
          <w:szCs w:val="28"/>
          <w:highlight w:val="none"/>
        </w:rPr>
        <w:t>）招标活动，并代表我公司全权办理针对上述项目的招标全程各事项、投标文件签署、合同签订及项目实施等涉及的一切事宜，我公司对被授权人的签名等行为均予以承认，由此所产生的一切法律后果和法律责任，均由我公司承担。同时宣布承诺如下：</w:t>
      </w:r>
    </w:p>
    <w:p w14:paraId="58CC1060">
      <w:pPr>
        <w:spacing w:line="360" w:lineRule="auto"/>
        <w:ind w:firstLine="560" w:firstLineChars="200"/>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我公司已详细阅读全部招标文件（含补充修改文件），并理解其实质性内容，同意承担招标文件规定的全部义务和相关责任。</w:t>
      </w:r>
    </w:p>
    <w:p w14:paraId="334B05AA">
      <w:pPr>
        <w:spacing w:line="360" w:lineRule="auto"/>
        <w:ind w:firstLine="560" w:firstLineChars="200"/>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我公司同意提供可能要求的与其招标有关的一切数据或资料。</w:t>
      </w:r>
    </w:p>
    <w:p w14:paraId="6EA8777B">
      <w:pPr>
        <w:spacing w:line="360" w:lineRule="auto"/>
        <w:ind w:firstLine="560" w:firstLineChars="200"/>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我公司所提交的一切投标资料均为合法且真实有效。</w:t>
      </w:r>
    </w:p>
    <w:p w14:paraId="08FFE8E3">
      <w:pPr>
        <w:spacing w:line="360" w:lineRule="auto"/>
        <w:rPr>
          <w:rFonts w:cs="仿宋_GB2312" w:asciiTheme="minorEastAsia" w:hAnsiTheme="minorEastAsia" w:eastAsiaTheme="minorEastAsia"/>
          <w:color w:val="auto"/>
          <w:sz w:val="28"/>
          <w:szCs w:val="28"/>
          <w:highlight w:val="none"/>
        </w:rPr>
      </w:pPr>
    </w:p>
    <w:p w14:paraId="4E8BD333">
      <w:pPr>
        <w:spacing w:line="480" w:lineRule="auto"/>
        <w:ind w:firstLine="560" w:firstLineChars="200"/>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法定代表人（或法定负责人）签字：</w:t>
      </w:r>
    </w:p>
    <w:p w14:paraId="78CC8F2E">
      <w:pPr>
        <w:spacing w:line="480" w:lineRule="auto"/>
        <w:ind w:firstLine="560" w:firstLineChars="200"/>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 xml:space="preserve">投标承销商全称（公章）：   </w:t>
      </w:r>
    </w:p>
    <w:p w14:paraId="42220895">
      <w:pPr>
        <w:spacing w:line="480" w:lineRule="auto"/>
        <w:ind w:firstLine="560" w:firstLineChars="200"/>
        <w:jc w:val="left"/>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日 期：</w:t>
      </w:r>
    </w:p>
    <w:p w14:paraId="3DE11FBA">
      <w:pPr>
        <w:widowControl/>
        <w:jc w:val="left"/>
        <w:rPr>
          <w:rFonts w:cs="仿宋" w:asciiTheme="minorEastAsia" w:hAnsiTheme="minorEastAsia" w:eastAsiaTheme="minorEastAsia"/>
          <w:b/>
          <w:bCs/>
          <w:color w:val="auto"/>
          <w:sz w:val="24"/>
          <w:szCs w:val="24"/>
          <w:highlight w:val="none"/>
        </w:rPr>
      </w:pPr>
      <w:r>
        <w:rPr>
          <w:rFonts w:cs="仿宋" w:asciiTheme="minorEastAsia" w:hAnsiTheme="minorEastAsia" w:eastAsiaTheme="minorEastAsia"/>
          <w:b/>
          <w:bCs/>
          <w:color w:val="auto"/>
          <w:sz w:val="24"/>
          <w:szCs w:val="24"/>
          <w:highlight w:val="none"/>
        </w:rPr>
        <w:br w:type="page"/>
      </w:r>
    </w:p>
    <w:p w14:paraId="28CB5DC4">
      <w:pP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bCs/>
          <w:color w:val="auto"/>
          <w:sz w:val="24"/>
          <w:szCs w:val="24"/>
          <w:highlight w:val="none"/>
        </w:rPr>
        <w:t>附件4：</w:t>
      </w:r>
      <w:r>
        <w:rPr>
          <w:rFonts w:hint="eastAsia" w:cs="仿宋" w:asciiTheme="minorEastAsia" w:hAnsiTheme="minorEastAsia" w:eastAsiaTheme="minorEastAsia"/>
          <w:color w:val="auto"/>
          <w:sz w:val="24"/>
          <w:szCs w:val="24"/>
          <w:highlight w:val="none"/>
        </w:rPr>
        <w:t xml:space="preserve">      </w:t>
      </w:r>
    </w:p>
    <w:p w14:paraId="38A327CB">
      <w:pPr>
        <w:snapToGrid w:val="0"/>
        <w:spacing w:before="50" w:after="120" w:afterLines="50"/>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商务响应表</w:t>
      </w:r>
    </w:p>
    <w:p w14:paraId="65BAFE50">
      <w:pPr>
        <w:snapToGrid w:val="0"/>
        <w:spacing w:before="50" w:after="120" w:afterLines="50"/>
        <w:jc w:val="left"/>
        <w:rPr>
          <w:rFonts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u w:val="single"/>
        </w:rPr>
        <w:t>项目编号：</w:t>
      </w:r>
    </w:p>
    <w:tbl>
      <w:tblPr>
        <w:tblStyle w:val="22"/>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2510"/>
        <w:gridCol w:w="1377"/>
        <w:gridCol w:w="3560"/>
      </w:tblGrid>
      <w:tr w14:paraId="7E86F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172CA6B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w:t>
            </w:r>
          </w:p>
        </w:tc>
        <w:tc>
          <w:tcPr>
            <w:tcW w:w="2510" w:type="dxa"/>
            <w:tcBorders>
              <w:top w:val="single" w:color="auto" w:sz="4" w:space="0"/>
              <w:left w:val="nil"/>
              <w:bottom w:val="single" w:color="auto" w:sz="4" w:space="0"/>
              <w:right w:val="single" w:color="auto" w:sz="4" w:space="0"/>
            </w:tcBorders>
            <w:vAlign w:val="center"/>
          </w:tcPr>
          <w:p w14:paraId="6F77B75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招标文件要求</w:t>
            </w:r>
          </w:p>
        </w:tc>
        <w:tc>
          <w:tcPr>
            <w:tcW w:w="1377" w:type="dxa"/>
            <w:tcBorders>
              <w:top w:val="single" w:color="auto" w:sz="4" w:space="0"/>
              <w:left w:val="nil"/>
              <w:bottom w:val="single" w:color="auto" w:sz="4" w:space="0"/>
              <w:right w:val="single" w:color="auto" w:sz="4" w:space="0"/>
            </w:tcBorders>
            <w:vAlign w:val="center"/>
          </w:tcPr>
          <w:p w14:paraId="357D4FC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响应及偏离情况</w:t>
            </w:r>
          </w:p>
        </w:tc>
        <w:tc>
          <w:tcPr>
            <w:tcW w:w="3560" w:type="dxa"/>
            <w:tcBorders>
              <w:top w:val="single" w:color="auto" w:sz="4" w:space="0"/>
              <w:left w:val="nil"/>
              <w:bottom w:val="single" w:color="auto" w:sz="4" w:space="0"/>
              <w:right w:val="single" w:color="auto" w:sz="4" w:space="0"/>
            </w:tcBorders>
            <w:vAlign w:val="center"/>
          </w:tcPr>
          <w:p w14:paraId="5FB60B7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投标人的承诺或说明</w:t>
            </w:r>
          </w:p>
        </w:tc>
      </w:tr>
      <w:tr w14:paraId="3A02D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0B7D9D53">
            <w:pPr>
              <w:rPr>
                <w:rFonts w:asciiTheme="minorEastAsia" w:hAnsiTheme="minorEastAsia" w:eastAsiaTheme="minorEastAsia"/>
                <w:color w:val="auto"/>
                <w:szCs w:val="21"/>
                <w:highlight w:val="none"/>
              </w:rPr>
            </w:pPr>
          </w:p>
        </w:tc>
        <w:tc>
          <w:tcPr>
            <w:tcW w:w="2510" w:type="dxa"/>
            <w:tcBorders>
              <w:top w:val="single" w:color="auto" w:sz="4" w:space="0"/>
              <w:left w:val="nil"/>
              <w:bottom w:val="single" w:color="auto" w:sz="4" w:space="0"/>
              <w:right w:val="single" w:color="auto" w:sz="4" w:space="0"/>
            </w:tcBorders>
          </w:tcPr>
          <w:p w14:paraId="2907DD65">
            <w:pPr>
              <w:rPr>
                <w:rFonts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03B50BF1">
            <w:pPr>
              <w:rPr>
                <w:rFonts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238BE0F1">
            <w:pPr>
              <w:rPr>
                <w:rFonts w:asciiTheme="minorEastAsia" w:hAnsiTheme="minorEastAsia" w:eastAsiaTheme="minorEastAsia"/>
                <w:color w:val="auto"/>
                <w:sz w:val="24"/>
                <w:highlight w:val="none"/>
              </w:rPr>
            </w:pPr>
          </w:p>
        </w:tc>
      </w:tr>
      <w:tr w14:paraId="5EF61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255F5309">
            <w:pPr>
              <w:rPr>
                <w:rFonts w:asciiTheme="minorEastAsia" w:hAnsiTheme="minorEastAsia" w:eastAsiaTheme="minorEastAsia"/>
                <w:color w:val="auto"/>
                <w:szCs w:val="21"/>
                <w:highlight w:val="none"/>
              </w:rPr>
            </w:pPr>
          </w:p>
        </w:tc>
        <w:tc>
          <w:tcPr>
            <w:tcW w:w="2510" w:type="dxa"/>
            <w:tcBorders>
              <w:top w:val="single" w:color="auto" w:sz="4" w:space="0"/>
              <w:left w:val="nil"/>
              <w:bottom w:val="single" w:color="auto" w:sz="4" w:space="0"/>
              <w:right w:val="single" w:color="auto" w:sz="4" w:space="0"/>
            </w:tcBorders>
          </w:tcPr>
          <w:p w14:paraId="48CCEDB6">
            <w:pPr>
              <w:rPr>
                <w:rFonts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07DA50B1">
            <w:pPr>
              <w:rPr>
                <w:rFonts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0BFB0E24">
            <w:pPr>
              <w:rPr>
                <w:rFonts w:asciiTheme="minorEastAsia" w:hAnsiTheme="minorEastAsia" w:eastAsiaTheme="minorEastAsia"/>
                <w:color w:val="auto"/>
                <w:sz w:val="24"/>
                <w:highlight w:val="none"/>
              </w:rPr>
            </w:pPr>
          </w:p>
        </w:tc>
      </w:tr>
      <w:tr w14:paraId="0EFAE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130FAC6B">
            <w:pPr>
              <w:rPr>
                <w:rFonts w:asciiTheme="minorEastAsia" w:hAnsiTheme="minorEastAsia" w:eastAsiaTheme="minorEastAsia"/>
                <w:color w:val="auto"/>
                <w:szCs w:val="21"/>
                <w:highlight w:val="none"/>
              </w:rPr>
            </w:pPr>
          </w:p>
        </w:tc>
        <w:tc>
          <w:tcPr>
            <w:tcW w:w="2510" w:type="dxa"/>
            <w:tcBorders>
              <w:top w:val="single" w:color="auto" w:sz="4" w:space="0"/>
              <w:left w:val="nil"/>
              <w:bottom w:val="single" w:color="auto" w:sz="4" w:space="0"/>
              <w:right w:val="single" w:color="auto" w:sz="4" w:space="0"/>
            </w:tcBorders>
          </w:tcPr>
          <w:p w14:paraId="0893D0DD">
            <w:pPr>
              <w:rPr>
                <w:rFonts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69B7D07D">
            <w:pPr>
              <w:rPr>
                <w:rFonts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1D50B6D4">
            <w:pPr>
              <w:rPr>
                <w:rFonts w:asciiTheme="minorEastAsia" w:hAnsiTheme="minorEastAsia" w:eastAsiaTheme="minorEastAsia"/>
                <w:color w:val="auto"/>
                <w:sz w:val="24"/>
                <w:highlight w:val="none"/>
              </w:rPr>
            </w:pPr>
          </w:p>
        </w:tc>
      </w:tr>
      <w:tr w14:paraId="01C6C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54C139B4">
            <w:pPr>
              <w:rPr>
                <w:rFonts w:asciiTheme="minorEastAsia" w:hAnsiTheme="minorEastAsia" w:eastAsiaTheme="minorEastAsia"/>
                <w:color w:val="auto"/>
                <w:szCs w:val="21"/>
                <w:highlight w:val="none"/>
              </w:rPr>
            </w:pPr>
          </w:p>
        </w:tc>
        <w:tc>
          <w:tcPr>
            <w:tcW w:w="2510" w:type="dxa"/>
            <w:tcBorders>
              <w:top w:val="single" w:color="auto" w:sz="4" w:space="0"/>
              <w:left w:val="nil"/>
              <w:bottom w:val="single" w:color="auto" w:sz="4" w:space="0"/>
              <w:right w:val="single" w:color="auto" w:sz="4" w:space="0"/>
            </w:tcBorders>
          </w:tcPr>
          <w:p w14:paraId="308E7B6A">
            <w:pPr>
              <w:rPr>
                <w:rFonts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1D951BB4">
            <w:pPr>
              <w:rPr>
                <w:rFonts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09CE0827">
            <w:pPr>
              <w:rPr>
                <w:rFonts w:asciiTheme="minorEastAsia" w:hAnsiTheme="minorEastAsia" w:eastAsiaTheme="minorEastAsia"/>
                <w:color w:val="auto"/>
                <w:sz w:val="24"/>
                <w:highlight w:val="none"/>
              </w:rPr>
            </w:pPr>
          </w:p>
        </w:tc>
      </w:tr>
      <w:tr w14:paraId="0005C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39BBB40F">
            <w:pPr>
              <w:rPr>
                <w:rFonts w:asciiTheme="minorEastAsia" w:hAnsiTheme="minorEastAsia" w:eastAsiaTheme="minorEastAsia"/>
                <w:color w:val="auto"/>
                <w:szCs w:val="21"/>
                <w:highlight w:val="none"/>
              </w:rPr>
            </w:pPr>
          </w:p>
        </w:tc>
        <w:tc>
          <w:tcPr>
            <w:tcW w:w="2510" w:type="dxa"/>
            <w:tcBorders>
              <w:top w:val="single" w:color="auto" w:sz="4" w:space="0"/>
              <w:left w:val="nil"/>
              <w:bottom w:val="single" w:color="auto" w:sz="4" w:space="0"/>
              <w:right w:val="single" w:color="auto" w:sz="4" w:space="0"/>
            </w:tcBorders>
          </w:tcPr>
          <w:p w14:paraId="723DBAE8">
            <w:pPr>
              <w:rPr>
                <w:rFonts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47A1C5D4">
            <w:pPr>
              <w:rPr>
                <w:rFonts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52E3AE02">
            <w:pPr>
              <w:rPr>
                <w:rFonts w:asciiTheme="minorEastAsia" w:hAnsiTheme="minorEastAsia" w:eastAsiaTheme="minorEastAsia"/>
                <w:color w:val="auto"/>
                <w:sz w:val="24"/>
                <w:highlight w:val="none"/>
              </w:rPr>
            </w:pPr>
          </w:p>
        </w:tc>
      </w:tr>
      <w:tr w14:paraId="2F360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7AF3E6B1">
            <w:pPr>
              <w:rPr>
                <w:rFonts w:asciiTheme="minorEastAsia" w:hAnsiTheme="minorEastAsia" w:eastAsiaTheme="minorEastAsia"/>
                <w:color w:val="auto"/>
                <w:szCs w:val="21"/>
                <w:highlight w:val="none"/>
              </w:rPr>
            </w:pPr>
          </w:p>
        </w:tc>
        <w:tc>
          <w:tcPr>
            <w:tcW w:w="2510" w:type="dxa"/>
            <w:tcBorders>
              <w:top w:val="single" w:color="auto" w:sz="4" w:space="0"/>
              <w:left w:val="nil"/>
              <w:bottom w:val="single" w:color="auto" w:sz="4" w:space="0"/>
              <w:right w:val="single" w:color="auto" w:sz="4" w:space="0"/>
            </w:tcBorders>
          </w:tcPr>
          <w:p w14:paraId="0E89C2B2">
            <w:pPr>
              <w:rPr>
                <w:rFonts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42C35448">
            <w:pPr>
              <w:rPr>
                <w:rFonts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61F28830">
            <w:pPr>
              <w:rPr>
                <w:rFonts w:asciiTheme="minorEastAsia" w:hAnsiTheme="minorEastAsia" w:eastAsiaTheme="minorEastAsia"/>
                <w:color w:val="auto"/>
                <w:sz w:val="24"/>
                <w:highlight w:val="none"/>
              </w:rPr>
            </w:pPr>
          </w:p>
        </w:tc>
      </w:tr>
      <w:tr w14:paraId="276F8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4F6309C8">
            <w:pPr>
              <w:rPr>
                <w:rFonts w:asciiTheme="minorEastAsia" w:hAnsiTheme="minorEastAsia" w:eastAsiaTheme="minorEastAsia"/>
                <w:color w:val="auto"/>
                <w:szCs w:val="21"/>
                <w:highlight w:val="none"/>
              </w:rPr>
            </w:pPr>
          </w:p>
        </w:tc>
        <w:tc>
          <w:tcPr>
            <w:tcW w:w="2510" w:type="dxa"/>
            <w:tcBorders>
              <w:top w:val="single" w:color="auto" w:sz="4" w:space="0"/>
              <w:left w:val="nil"/>
              <w:bottom w:val="single" w:color="auto" w:sz="4" w:space="0"/>
              <w:right w:val="single" w:color="auto" w:sz="4" w:space="0"/>
            </w:tcBorders>
          </w:tcPr>
          <w:p w14:paraId="7E4D5055">
            <w:pPr>
              <w:rPr>
                <w:rFonts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000C39C2">
            <w:pPr>
              <w:rPr>
                <w:rFonts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1377059B">
            <w:pPr>
              <w:rPr>
                <w:rFonts w:asciiTheme="minorEastAsia" w:hAnsiTheme="minorEastAsia" w:eastAsiaTheme="minorEastAsia"/>
                <w:color w:val="auto"/>
                <w:sz w:val="24"/>
                <w:highlight w:val="none"/>
              </w:rPr>
            </w:pPr>
          </w:p>
        </w:tc>
      </w:tr>
      <w:tr w14:paraId="22532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1836769B">
            <w:pPr>
              <w:rPr>
                <w:rFonts w:asciiTheme="minorEastAsia" w:hAnsiTheme="minorEastAsia" w:eastAsiaTheme="minorEastAsia"/>
                <w:color w:val="auto"/>
                <w:szCs w:val="21"/>
                <w:highlight w:val="none"/>
              </w:rPr>
            </w:pPr>
          </w:p>
        </w:tc>
        <w:tc>
          <w:tcPr>
            <w:tcW w:w="2510" w:type="dxa"/>
            <w:tcBorders>
              <w:top w:val="single" w:color="auto" w:sz="4" w:space="0"/>
              <w:left w:val="nil"/>
              <w:bottom w:val="single" w:color="auto" w:sz="4" w:space="0"/>
              <w:right w:val="single" w:color="auto" w:sz="4" w:space="0"/>
            </w:tcBorders>
          </w:tcPr>
          <w:p w14:paraId="3B5CAD7A">
            <w:pPr>
              <w:rPr>
                <w:rFonts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33FF3CDE">
            <w:pPr>
              <w:rPr>
                <w:rFonts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2BEFF0A9">
            <w:pPr>
              <w:rPr>
                <w:rFonts w:asciiTheme="minorEastAsia" w:hAnsiTheme="minorEastAsia" w:eastAsiaTheme="minorEastAsia"/>
                <w:color w:val="auto"/>
                <w:sz w:val="24"/>
                <w:highlight w:val="none"/>
              </w:rPr>
            </w:pPr>
          </w:p>
        </w:tc>
      </w:tr>
      <w:tr w14:paraId="799B7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0760C5C2">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w:t>
            </w:r>
          </w:p>
        </w:tc>
        <w:tc>
          <w:tcPr>
            <w:tcW w:w="2510" w:type="dxa"/>
            <w:tcBorders>
              <w:top w:val="single" w:color="auto" w:sz="4" w:space="0"/>
              <w:left w:val="nil"/>
              <w:bottom w:val="single" w:color="auto" w:sz="4" w:space="0"/>
              <w:right w:val="single" w:color="auto" w:sz="4" w:space="0"/>
            </w:tcBorders>
          </w:tcPr>
          <w:p w14:paraId="0186936A">
            <w:pPr>
              <w:rPr>
                <w:rFonts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2D6213AE">
            <w:pPr>
              <w:rPr>
                <w:rFonts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704D2455">
            <w:pPr>
              <w:rPr>
                <w:rFonts w:asciiTheme="minorEastAsia" w:hAnsiTheme="minorEastAsia" w:eastAsiaTheme="minorEastAsia"/>
                <w:color w:val="auto"/>
                <w:sz w:val="24"/>
                <w:highlight w:val="none"/>
              </w:rPr>
            </w:pPr>
          </w:p>
        </w:tc>
      </w:tr>
    </w:tbl>
    <w:p w14:paraId="035AC4EA">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3DBD8EF8">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注：投标人应根据业绩能力等商务指标、对照招标文件要求在“偏离情况”栏注明“正偏离”、“负偏离”或“无偏离”。</w:t>
      </w:r>
    </w:p>
    <w:p w14:paraId="098EEC11">
      <w:pPr>
        <w:spacing w:line="360" w:lineRule="auto"/>
        <w:rPr>
          <w:rFonts w:asciiTheme="minorEastAsia" w:hAnsiTheme="minorEastAsia" w:eastAsiaTheme="minorEastAsia"/>
          <w:color w:val="auto"/>
          <w:sz w:val="24"/>
          <w:highlight w:val="none"/>
        </w:rPr>
      </w:pPr>
    </w:p>
    <w:p w14:paraId="79486C21">
      <w:pPr>
        <w:spacing w:line="360" w:lineRule="auto"/>
        <w:rPr>
          <w:rFonts w:asciiTheme="minorEastAsia" w:hAnsiTheme="minorEastAsia" w:eastAsiaTheme="minorEastAsia"/>
          <w:color w:val="auto"/>
          <w:spacing w:val="20"/>
          <w:sz w:val="24"/>
          <w:highlight w:val="none"/>
          <w:u w:val="single"/>
        </w:rPr>
      </w:pPr>
      <w:r>
        <w:rPr>
          <w:rFonts w:hint="eastAsia" w:asciiTheme="minorEastAsia" w:hAnsiTheme="minorEastAsia" w:eastAsiaTheme="minorEastAsia"/>
          <w:color w:val="auto"/>
          <w:sz w:val="24"/>
          <w:highlight w:val="none"/>
        </w:rPr>
        <w:t>法定代表人或委托代理人签字</w:t>
      </w:r>
      <w:r>
        <w:rPr>
          <w:rFonts w:hint="eastAsia" w:asciiTheme="minorEastAsia" w:hAnsiTheme="minorEastAsia" w:eastAsiaTheme="minorEastAsia"/>
          <w:color w:val="auto"/>
          <w:spacing w:val="20"/>
          <w:sz w:val="24"/>
          <w:highlight w:val="none"/>
        </w:rPr>
        <w:t>：</w:t>
      </w:r>
      <w:r>
        <w:rPr>
          <w:rFonts w:hint="eastAsia" w:asciiTheme="minorEastAsia" w:hAnsiTheme="minorEastAsia" w:eastAsiaTheme="minorEastAsia"/>
          <w:color w:val="auto"/>
          <w:spacing w:val="20"/>
          <w:sz w:val="24"/>
          <w:highlight w:val="none"/>
          <w:u w:val="single"/>
        </w:rPr>
        <w:t xml:space="preserve">        </w:t>
      </w:r>
    </w:p>
    <w:p w14:paraId="53240322">
      <w:pPr>
        <w:snapToGrid w:val="0"/>
        <w:spacing w:before="50" w:after="120"/>
        <w:jc w:val="left"/>
        <w:rPr>
          <w:rFonts w:asciiTheme="minorEastAsia" w:hAnsiTheme="minorEastAsia" w:eastAsiaTheme="minorEastAsia"/>
          <w:color w:val="auto"/>
          <w:sz w:val="21"/>
          <w:highlight w:val="none"/>
        </w:rPr>
      </w:pPr>
      <w:r>
        <w:rPr>
          <w:rFonts w:hint="eastAsia" w:asciiTheme="minorEastAsia" w:hAnsiTheme="minorEastAsia" w:eastAsiaTheme="minorEastAsia"/>
          <w:color w:val="auto"/>
          <w:spacing w:val="20"/>
          <w:sz w:val="24"/>
          <w:highlight w:val="none"/>
        </w:rPr>
        <w:t>投标承销商全称（公章）：</w:t>
      </w:r>
      <w:r>
        <w:rPr>
          <w:rFonts w:hint="eastAsia" w:asciiTheme="minorEastAsia" w:hAnsiTheme="minorEastAsia" w:eastAsiaTheme="minorEastAsia"/>
          <w:color w:val="auto"/>
          <w:spacing w:val="20"/>
          <w:sz w:val="24"/>
          <w:highlight w:val="none"/>
          <w:u w:val="single"/>
        </w:rPr>
        <w:t xml:space="preserve">            </w:t>
      </w:r>
      <w:r>
        <w:rPr>
          <w:rFonts w:hint="eastAsia" w:asciiTheme="minorEastAsia" w:hAnsiTheme="minorEastAsia" w:eastAsiaTheme="minorEastAsia"/>
          <w:color w:val="auto"/>
          <w:spacing w:val="20"/>
          <w:sz w:val="24"/>
          <w:highlight w:val="none"/>
        </w:rPr>
        <w:t xml:space="preserve">              日 期：</w:t>
      </w:r>
      <w:r>
        <w:rPr>
          <w:rFonts w:hint="eastAsia" w:asciiTheme="minorEastAsia" w:hAnsiTheme="minorEastAsia" w:eastAsiaTheme="minorEastAsia"/>
          <w:color w:val="auto"/>
          <w:spacing w:val="20"/>
          <w:sz w:val="24"/>
          <w:highlight w:val="none"/>
          <w:u w:val="single"/>
        </w:rPr>
        <w:t xml:space="preserve">         </w:t>
      </w:r>
    </w:p>
    <w:p w14:paraId="7E10C9F4">
      <w:pPr>
        <w:snapToGrid w:val="0"/>
        <w:spacing w:before="50" w:after="120"/>
        <w:jc w:val="left"/>
        <w:rPr>
          <w:rFonts w:asciiTheme="minorEastAsia" w:hAnsiTheme="minorEastAsia" w:eastAsiaTheme="minorEastAsia"/>
          <w:color w:val="auto"/>
          <w:sz w:val="21"/>
          <w:highlight w:val="none"/>
        </w:rPr>
      </w:pPr>
    </w:p>
    <w:p w14:paraId="430985CC">
      <w:pPr>
        <w:snapToGrid w:val="0"/>
        <w:spacing w:before="120" w:beforeLines="50" w:after="50" w:line="276" w:lineRule="auto"/>
        <w:rPr>
          <w:rFonts w:asciiTheme="minorEastAsia" w:hAnsiTheme="minorEastAsia" w:eastAsiaTheme="minorEastAsia"/>
          <w:b/>
          <w:color w:val="auto"/>
          <w:sz w:val="24"/>
          <w:highlight w:val="none"/>
        </w:rPr>
      </w:pPr>
    </w:p>
    <w:p w14:paraId="79573B01">
      <w:pPr>
        <w:snapToGrid w:val="0"/>
        <w:spacing w:before="120" w:beforeLines="50" w:after="50" w:line="276" w:lineRule="auto"/>
        <w:rPr>
          <w:rFonts w:asciiTheme="minorEastAsia" w:hAnsiTheme="minorEastAsia" w:eastAsiaTheme="minorEastAsia"/>
          <w:b/>
          <w:color w:val="auto"/>
          <w:sz w:val="24"/>
          <w:highlight w:val="none"/>
        </w:rPr>
      </w:pPr>
    </w:p>
    <w:p w14:paraId="50FF1DE6">
      <w:pPr>
        <w:snapToGrid w:val="0"/>
        <w:spacing w:before="120" w:beforeLines="50" w:after="50" w:line="276" w:lineRule="auto"/>
        <w:rPr>
          <w:rFonts w:asciiTheme="minorEastAsia" w:hAnsiTheme="minorEastAsia" w:eastAsiaTheme="minorEastAsia"/>
          <w:b/>
          <w:color w:val="auto"/>
          <w:sz w:val="24"/>
          <w:highlight w:val="none"/>
        </w:rPr>
      </w:pPr>
    </w:p>
    <w:p w14:paraId="11613CE8">
      <w:pPr>
        <w:snapToGrid w:val="0"/>
        <w:spacing w:before="120" w:beforeLines="50" w:after="50" w:line="276" w:lineRule="auto"/>
        <w:rPr>
          <w:rFonts w:asciiTheme="minorEastAsia" w:hAnsiTheme="minorEastAsia" w:eastAsiaTheme="minorEastAsia"/>
          <w:b/>
          <w:color w:val="auto"/>
          <w:sz w:val="24"/>
          <w:highlight w:val="none"/>
        </w:rPr>
      </w:pPr>
    </w:p>
    <w:p w14:paraId="3E927429">
      <w:pP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bCs/>
          <w:color w:val="auto"/>
          <w:sz w:val="24"/>
          <w:szCs w:val="24"/>
          <w:highlight w:val="none"/>
        </w:rPr>
        <w:t>附件5：</w:t>
      </w:r>
      <w:r>
        <w:rPr>
          <w:rFonts w:hint="eastAsia" w:cs="仿宋" w:asciiTheme="minorEastAsia" w:hAnsiTheme="minorEastAsia" w:eastAsiaTheme="minorEastAsia"/>
          <w:color w:val="auto"/>
          <w:sz w:val="24"/>
          <w:szCs w:val="24"/>
          <w:highlight w:val="none"/>
        </w:rPr>
        <w:t xml:space="preserve">          </w:t>
      </w:r>
    </w:p>
    <w:p w14:paraId="60A539EE">
      <w:pPr>
        <w:snapToGrid w:val="0"/>
        <w:spacing w:before="50" w:after="120" w:afterLines="50"/>
        <w:jc w:val="center"/>
        <w:rPr>
          <w:rFonts w:asciiTheme="minorEastAsia" w:hAnsiTheme="minorEastAsia" w:eastAsiaTheme="minorEastAsia"/>
          <w:color w:val="auto"/>
          <w:sz w:val="36"/>
          <w:szCs w:val="36"/>
          <w:highlight w:val="none"/>
          <w:u w:val="single"/>
        </w:rPr>
      </w:pPr>
      <w:r>
        <w:rPr>
          <w:rFonts w:hint="eastAsia" w:asciiTheme="minorEastAsia" w:hAnsiTheme="minorEastAsia" w:eastAsiaTheme="minorEastAsia"/>
          <w:b/>
          <w:color w:val="auto"/>
          <w:sz w:val="32"/>
          <w:szCs w:val="32"/>
          <w:highlight w:val="none"/>
        </w:rPr>
        <w:t>技术响应表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861"/>
        <w:gridCol w:w="1962"/>
        <w:gridCol w:w="1625"/>
        <w:gridCol w:w="2334"/>
      </w:tblGrid>
      <w:tr w14:paraId="0A56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172985D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861" w:type="dxa"/>
            <w:tcBorders>
              <w:top w:val="single" w:color="auto" w:sz="4" w:space="0"/>
              <w:left w:val="nil"/>
              <w:bottom w:val="single" w:color="auto" w:sz="4" w:space="0"/>
              <w:right w:val="single" w:color="auto" w:sz="4" w:space="0"/>
            </w:tcBorders>
            <w:vAlign w:val="center"/>
          </w:tcPr>
          <w:p w14:paraId="0694CD7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  容</w:t>
            </w:r>
          </w:p>
        </w:tc>
        <w:tc>
          <w:tcPr>
            <w:tcW w:w="1962" w:type="dxa"/>
            <w:tcBorders>
              <w:top w:val="single" w:color="auto" w:sz="4" w:space="0"/>
              <w:left w:val="nil"/>
              <w:bottom w:val="single" w:color="auto" w:sz="4" w:space="0"/>
              <w:right w:val="single" w:color="auto" w:sz="4" w:space="0"/>
            </w:tcBorders>
            <w:vAlign w:val="center"/>
          </w:tcPr>
          <w:p w14:paraId="521CAE7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招标文件</w:t>
            </w:r>
          </w:p>
          <w:p w14:paraId="22956C3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规范要求</w:t>
            </w:r>
          </w:p>
        </w:tc>
        <w:tc>
          <w:tcPr>
            <w:tcW w:w="1625" w:type="dxa"/>
            <w:tcBorders>
              <w:top w:val="single" w:color="auto" w:sz="4" w:space="0"/>
              <w:left w:val="nil"/>
              <w:bottom w:val="single" w:color="auto" w:sz="4" w:space="0"/>
              <w:right w:val="single" w:color="auto" w:sz="4" w:space="0"/>
            </w:tcBorders>
            <w:vAlign w:val="center"/>
          </w:tcPr>
          <w:p w14:paraId="644A021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w:t>
            </w:r>
          </w:p>
          <w:p w14:paraId="5DE4E999">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对应规范</w:t>
            </w:r>
          </w:p>
        </w:tc>
        <w:tc>
          <w:tcPr>
            <w:tcW w:w="2334" w:type="dxa"/>
            <w:tcBorders>
              <w:top w:val="single" w:color="auto" w:sz="4" w:space="0"/>
              <w:left w:val="nil"/>
              <w:bottom w:val="single" w:color="auto" w:sz="4" w:space="0"/>
              <w:right w:val="single" w:color="auto" w:sz="4" w:space="0"/>
            </w:tcBorders>
            <w:vAlign w:val="center"/>
          </w:tcPr>
          <w:p w14:paraId="72C2420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偏离情况</w:t>
            </w:r>
          </w:p>
          <w:p w14:paraId="5677B0F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（注明正偏离、负偏离或无偏离）</w:t>
            </w:r>
          </w:p>
        </w:tc>
      </w:tr>
      <w:tr w14:paraId="2D04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tcPr>
          <w:p w14:paraId="54C4FFB9">
            <w:pPr>
              <w:jc w:val="center"/>
              <w:rPr>
                <w:rFonts w:asciiTheme="minorEastAsia" w:hAnsiTheme="minorEastAsia" w:eastAsiaTheme="minorEastAsia"/>
                <w:color w:val="auto"/>
                <w:sz w:val="24"/>
                <w:highlight w:val="none"/>
              </w:rPr>
            </w:pPr>
          </w:p>
          <w:p w14:paraId="4A3A5119">
            <w:pPr>
              <w:jc w:val="center"/>
              <w:rPr>
                <w:rFonts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74FC9A68">
            <w:pPr>
              <w:rPr>
                <w:rFonts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308B21EA">
            <w:pPr>
              <w:rPr>
                <w:rFonts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706DD76C">
            <w:pPr>
              <w:rPr>
                <w:rFonts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17A86F52">
            <w:pPr>
              <w:rPr>
                <w:rFonts w:asciiTheme="minorEastAsia" w:hAnsiTheme="minorEastAsia" w:eastAsiaTheme="minorEastAsia"/>
                <w:color w:val="auto"/>
                <w:sz w:val="24"/>
                <w:highlight w:val="none"/>
              </w:rPr>
            </w:pPr>
          </w:p>
        </w:tc>
      </w:tr>
      <w:tr w14:paraId="2C52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tcPr>
          <w:p w14:paraId="5C1BC407">
            <w:pPr>
              <w:rPr>
                <w:rFonts w:asciiTheme="minorEastAsia" w:hAnsiTheme="minorEastAsia" w:eastAsiaTheme="minorEastAsia"/>
                <w:color w:val="auto"/>
                <w:sz w:val="24"/>
                <w:highlight w:val="none"/>
              </w:rPr>
            </w:pPr>
          </w:p>
          <w:p w14:paraId="2E82814E">
            <w:pPr>
              <w:rPr>
                <w:rFonts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03BE90D0">
            <w:pPr>
              <w:rPr>
                <w:rFonts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205FAD30">
            <w:pPr>
              <w:rPr>
                <w:rFonts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0FBBF506">
            <w:pPr>
              <w:rPr>
                <w:rFonts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4E8DBE2E">
            <w:pPr>
              <w:rPr>
                <w:rFonts w:asciiTheme="minorEastAsia" w:hAnsiTheme="minorEastAsia" w:eastAsiaTheme="minorEastAsia"/>
                <w:color w:val="auto"/>
                <w:sz w:val="24"/>
                <w:highlight w:val="none"/>
              </w:rPr>
            </w:pPr>
          </w:p>
        </w:tc>
      </w:tr>
      <w:tr w14:paraId="59D1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tcPr>
          <w:p w14:paraId="3982FD41">
            <w:pPr>
              <w:rPr>
                <w:rFonts w:asciiTheme="minorEastAsia" w:hAnsiTheme="minorEastAsia" w:eastAsiaTheme="minorEastAsia"/>
                <w:color w:val="auto"/>
                <w:sz w:val="24"/>
                <w:highlight w:val="none"/>
              </w:rPr>
            </w:pPr>
          </w:p>
          <w:p w14:paraId="66E7079A">
            <w:pPr>
              <w:rPr>
                <w:rFonts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35F5DB32">
            <w:pPr>
              <w:rPr>
                <w:rFonts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67B04197">
            <w:pPr>
              <w:rPr>
                <w:rFonts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400BFFB0">
            <w:pPr>
              <w:rPr>
                <w:rFonts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65A3BA65">
            <w:pPr>
              <w:rPr>
                <w:rFonts w:asciiTheme="minorEastAsia" w:hAnsiTheme="minorEastAsia" w:eastAsiaTheme="minorEastAsia"/>
                <w:color w:val="auto"/>
                <w:sz w:val="24"/>
                <w:highlight w:val="none"/>
              </w:rPr>
            </w:pPr>
          </w:p>
        </w:tc>
      </w:tr>
      <w:tr w14:paraId="4DB8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881" w:type="dxa"/>
            <w:tcBorders>
              <w:top w:val="single" w:color="auto" w:sz="4" w:space="0"/>
              <w:left w:val="single" w:color="auto" w:sz="4" w:space="0"/>
              <w:bottom w:val="single" w:color="auto" w:sz="4" w:space="0"/>
              <w:right w:val="single" w:color="auto" w:sz="4" w:space="0"/>
            </w:tcBorders>
          </w:tcPr>
          <w:p w14:paraId="10C4C808">
            <w:pPr>
              <w:rPr>
                <w:rFonts w:asciiTheme="minorEastAsia" w:hAnsiTheme="minorEastAsia" w:eastAsiaTheme="minorEastAsia"/>
                <w:color w:val="auto"/>
                <w:sz w:val="24"/>
                <w:highlight w:val="none"/>
              </w:rPr>
            </w:pPr>
          </w:p>
          <w:p w14:paraId="4333AA90">
            <w:pPr>
              <w:rPr>
                <w:rFonts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0CC197A1">
            <w:pPr>
              <w:rPr>
                <w:rFonts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1781A96E">
            <w:pPr>
              <w:rPr>
                <w:rFonts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3D59E50E">
            <w:pPr>
              <w:rPr>
                <w:rFonts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584356DE">
            <w:pPr>
              <w:rPr>
                <w:rFonts w:asciiTheme="minorEastAsia" w:hAnsiTheme="minorEastAsia" w:eastAsiaTheme="minorEastAsia"/>
                <w:color w:val="auto"/>
                <w:sz w:val="24"/>
                <w:highlight w:val="none"/>
              </w:rPr>
            </w:pPr>
          </w:p>
        </w:tc>
      </w:tr>
      <w:tr w14:paraId="5CC1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tcPr>
          <w:p w14:paraId="5D5F8F61">
            <w:pPr>
              <w:rPr>
                <w:rFonts w:asciiTheme="minorEastAsia" w:hAnsiTheme="minorEastAsia" w:eastAsiaTheme="minorEastAsia"/>
                <w:color w:val="auto"/>
                <w:sz w:val="24"/>
                <w:highlight w:val="none"/>
              </w:rPr>
            </w:pPr>
          </w:p>
          <w:p w14:paraId="200708CE">
            <w:pPr>
              <w:rPr>
                <w:rFonts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4133B356">
            <w:pPr>
              <w:rPr>
                <w:rFonts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2C12F0A3">
            <w:pPr>
              <w:rPr>
                <w:rFonts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1884DB58">
            <w:pPr>
              <w:rPr>
                <w:rFonts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6D7D0D78">
            <w:pPr>
              <w:rPr>
                <w:rFonts w:asciiTheme="minorEastAsia" w:hAnsiTheme="minorEastAsia" w:eastAsiaTheme="minorEastAsia"/>
                <w:color w:val="auto"/>
                <w:sz w:val="24"/>
                <w:highlight w:val="none"/>
              </w:rPr>
            </w:pPr>
          </w:p>
        </w:tc>
      </w:tr>
      <w:tr w14:paraId="7E36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tcPr>
          <w:p w14:paraId="16B168C5">
            <w:pPr>
              <w:rPr>
                <w:rFonts w:asciiTheme="minorEastAsia" w:hAnsiTheme="minorEastAsia" w:eastAsiaTheme="minorEastAsia"/>
                <w:color w:val="auto"/>
                <w:sz w:val="24"/>
                <w:highlight w:val="none"/>
              </w:rPr>
            </w:pPr>
          </w:p>
          <w:p w14:paraId="27715DB5">
            <w:pPr>
              <w:rPr>
                <w:rFonts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689988BF">
            <w:pPr>
              <w:rPr>
                <w:rFonts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784445E9">
            <w:pPr>
              <w:rPr>
                <w:rFonts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683D615E">
            <w:pPr>
              <w:rPr>
                <w:rFonts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14069083">
            <w:pPr>
              <w:rPr>
                <w:rFonts w:asciiTheme="minorEastAsia" w:hAnsiTheme="minorEastAsia" w:eastAsiaTheme="minorEastAsia"/>
                <w:color w:val="auto"/>
                <w:sz w:val="24"/>
                <w:highlight w:val="none"/>
              </w:rPr>
            </w:pPr>
          </w:p>
        </w:tc>
      </w:tr>
      <w:tr w14:paraId="3261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tcPr>
          <w:p w14:paraId="73F89D57">
            <w:pPr>
              <w:rPr>
                <w:rFonts w:asciiTheme="minorEastAsia" w:hAnsiTheme="minorEastAsia" w:eastAsiaTheme="minorEastAsia"/>
                <w:color w:val="auto"/>
                <w:sz w:val="24"/>
                <w:highlight w:val="none"/>
              </w:rPr>
            </w:pPr>
          </w:p>
          <w:p w14:paraId="6F43945D">
            <w:pPr>
              <w:rPr>
                <w:rFonts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7791CF33">
            <w:pPr>
              <w:rPr>
                <w:rFonts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778C836A">
            <w:pPr>
              <w:rPr>
                <w:rFonts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42C2D5D6">
            <w:pPr>
              <w:rPr>
                <w:rFonts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15E106EA">
            <w:pPr>
              <w:rPr>
                <w:rFonts w:asciiTheme="minorEastAsia" w:hAnsiTheme="minorEastAsia" w:eastAsiaTheme="minorEastAsia"/>
                <w:color w:val="auto"/>
                <w:sz w:val="24"/>
                <w:highlight w:val="none"/>
              </w:rPr>
            </w:pPr>
          </w:p>
        </w:tc>
      </w:tr>
      <w:tr w14:paraId="3FFD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tcPr>
          <w:p w14:paraId="30126488">
            <w:pPr>
              <w:rPr>
                <w:rFonts w:asciiTheme="minorEastAsia" w:hAnsiTheme="minorEastAsia" w:eastAsiaTheme="minorEastAsia"/>
                <w:color w:val="auto"/>
                <w:sz w:val="24"/>
                <w:highlight w:val="none"/>
              </w:rPr>
            </w:pPr>
          </w:p>
          <w:p w14:paraId="1B24AC2E">
            <w:pPr>
              <w:rPr>
                <w:rFonts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43EFB05A">
            <w:pPr>
              <w:rPr>
                <w:rFonts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7158659F">
            <w:pPr>
              <w:rPr>
                <w:rFonts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44280049">
            <w:pPr>
              <w:rPr>
                <w:rFonts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0E70265C">
            <w:pPr>
              <w:rPr>
                <w:rFonts w:asciiTheme="minorEastAsia" w:hAnsiTheme="minorEastAsia" w:eastAsiaTheme="minorEastAsia"/>
                <w:color w:val="auto"/>
                <w:sz w:val="24"/>
                <w:highlight w:val="none"/>
              </w:rPr>
            </w:pPr>
          </w:p>
        </w:tc>
      </w:tr>
      <w:tr w14:paraId="24CC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tcPr>
          <w:p w14:paraId="52225E29">
            <w:pPr>
              <w:rPr>
                <w:rFonts w:asciiTheme="minorEastAsia" w:hAnsiTheme="minorEastAsia" w:eastAsiaTheme="minorEastAsia"/>
                <w:color w:val="auto"/>
                <w:sz w:val="24"/>
                <w:highlight w:val="none"/>
              </w:rPr>
            </w:pPr>
          </w:p>
          <w:p w14:paraId="6F87D15C">
            <w:pPr>
              <w:rPr>
                <w:rFonts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0AA837E8">
            <w:pPr>
              <w:rPr>
                <w:rFonts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5552D878">
            <w:pPr>
              <w:rPr>
                <w:rFonts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1491CBFC">
            <w:pPr>
              <w:rPr>
                <w:rFonts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3B323719">
            <w:pPr>
              <w:rPr>
                <w:rFonts w:asciiTheme="minorEastAsia" w:hAnsiTheme="minorEastAsia" w:eastAsiaTheme="minorEastAsia"/>
                <w:color w:val="auto"/>
                <w:sz w:val="24"/>
                <w:highlight w:val="none"/>
              </w:rPr>
            </w:pPr>
          </w:p>
        </w:tc>
      </w:tr>
    </w:tbl>
    <w:p w14:paraId="689A75BD">
      <w:pPr>
        <w:snapToGrid w:val="0"/>
        <w:spacing w:before="50" w:after="5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38801B9D">
      <w:pPr>
        <w:snapToGrid w:val="0"/>
        <w:spacing w:before="50" w:after="50" w:line="360" w:lineRule="auto"/>
        <w:rPr>
          <w:rFonts w:asciiTheme="minorEastAsia" w:hAnsiTheme="minorEastAsia" w:eastAsiaTheme="minorEastAsia"/>
          <w:b/>
          <w:bCs/>
          <w:color w:val="auto"/>
          <w:spacing w:val="20"/>
          <w:sz w:val="24"/>
          <w:highlight w:val="none"/>
        </w:rPr>
      </w:pPr>
      <w:r>
        <w:rPr>
          <w:rFonts w:hint="eastAsia" w:asciiTheme="minorEastAsia" w:hAnsiTheme="minorEastAsia" w:eastAsiaTheme="minorEastAsia"/>
          <w:b/>
          <w:bCs/>
          <w:color w:val="auto"/>
          <w:sz w:val="24"/>
          <w:highlight w:val="none"/>
        </w:rPr>
        <w:t>注：投标人应根据发行方案等技术指标、对照招标文件要求在“偏离情况”栏注明“正偏离”、“负偏离”或“无偏离”。</w:t>
      </w:r>
    </w:p>
    <w:p w14:paraId="615013D2">
      <w:pPr>
        <w:snapToGrid w:val="0"/>
        <w:spacing w:before="50" w:after="50" w:line="360" w:lineRule="auto"/>
        <w:rPr>
          <w:rFonts w:asciiTheme="minorEastAsia" w:hAnsiTheme="minorEastAsia" w:eastAsiaTheme="minorEastAsia"/>
          <w:color w:val="auto"/>
          <w:spacing w:val="20"/>
          <w:sz w:val="24"/>
          <w:highlight w:val="none"/>
        </w:rPr>
      </w:pPr>
      <w:r>
        <w:rPr>
          <w:rFonts w:hint="eastAsia" w:asciiTheme="minorEastAsia" w:hAnsiTheme="minorEastAsia" w:eastAsiaTheme="minorEastAsia"/>
          <w:color w:val="auto"/>
          <w:spacing w:val="20"/>
          <w:sz w:val="24"/>
          <w:highlight w:val="none"/>
        </w:rPr>
        <w:t xml:space="preserve"> </w:t>
      </w:r>
    </w:p>
    <w:p w14:paraId="2E6E12B9">
      <w:pPr>
        <w:snapToGrid w:val="0"/>
        <w:spacing w:before="50" w:after="50" w:line="360" w:lineRule="auto"/>
        <w:rPr>
          <w:rFonts w:asciiTheme="minorEastAsia" w:hAnsiTheme="minorEastAsia" w:eastAsiaTheme="minorEastAsia"/>
          <w:color w:val="auto"/>
          <w:spacing w:val="20"/>
          <w:sz w:val="24"/>
          <w:highlight w:val="none"/>
          <w:u w:val="single"/>
        </w:rPr>
      </w:pPr>
      <w:r>
        <w:rPr>
          <w:rFonts w:hint="eastAsia" w:asciiTheme="minorEastAsia" w:hAnsiTheme="minorEastAsia" w:eastAsiaTheme="minorEastAsia"/>
          <w:color w:val="auto"/>
          <w:sz w:val="24"/>
          <w:highlight w:val="none"/>
        </w:rPr>
        <w:t>法定代表人或委托代理人签字</w:t>
      </w:r>
      <w:r>
        <w:rPr>
          <w:rFonts w:hint="eastAsia" w:asciiTheme="minorEastAsia" w:hAnsiTheme="minorEastAsia" w:eastAsiaTheme="minorEastAsia"/>
          <w:color w:val="auto"/>
          <w:spacing w:val="20"/>
          <w:sz w:val="24"/>
          <w:highlight w:val="none"/>
        </w:rPr>
        <w:t>：</w:t>
      </w:r>
      <w:r>
        <w:rPr>
          <w:rFonts w:hint="eastAsia" w:asciiTheme="minorEastAsia" w:hAnsiTheme="minorEastAsia" w:eastAsiaTheme="minorEastAsia"/>
          <w:color w:val="auto"/>
          <w:spacing w:val="20"/>
          <w:sz w:val="24"/>
          <w:highlight w:val="none"/>
          <w:u w:val="single"/>
        </w:rPr>
        <w:t xml:space="preserve">        </w:t>
      </w:r>
    </w:p>
    <w:p w14:paraId="27FAD6EE">
      <w:pPr>
        <w:snapToGrid w:val="0"/>
        <w:spacing w:before="50" w:after="50" w:line="360" w:lineRule="auto"/>
        <w:rPr>
          <w:rFonts w:asciiTheme="minorEastAsia" w:hAnsiTheme="minorEastAsia" w:eastAsiaTheme="minorEastAsia"/>
          <w:color w:val="auto"/>
          <w:spacing w:val="20"/>
          <w:sz w:val="24"/>
          <w:highlight w:val="none"/>
        </w:rPr>
      </w:pPr>
      <w:r>
        <w:rPr>
          <w:rFonts w:hint="eastAsia" w:asciiTheme="minorEastAsia" w:hAnsiTheme="minorEastAsia" w:eastAsiaTheme="minorEastAsia"/>
          <w:color w:val="auto"/>
          <w:spacing w:val="20"/>
          <w:sz w:val="24"/>
          <w:highlight w:val="none"/>
        </w:rPr>
        <w:t>投标承销商全称（公章）：：</w:t>
      </w:r>
      <w:r>
        <w:rPr>
          <w:rFonts w:hint="eastAsia" w:asciiTheme="minorEastAsia" w:hAnsiTheme="minorEastAsia" w:eastAsiaTheme="minorEastAsia"/>
          <w:color w:val="auto"/>
          <w:spacing w:val="20"/>
          <w:sz w:val="24"/>
          <w:highlight w:val="none"/>
          <w:u w:val="single"/>
        </w:rPr>
        <w:t xml:space="preserve">            </w:t>
      </w:r>
      <w:r>
        <w:rPr>
          <w:rFonts w:hint="eastAsia" w:asciiTheme="minorEastAsia" w:hAnsiTheme="minorEastAsia" w:eastAsiaTheme="minorEastAsia"/>
          <w:color w:val="auto"/>
          <w:spacing w:val="20"/>
          <w:sz w:val="24"/>
          <w:highlight w:val="none"/>
        </w:rPr>
        <w:t xml:space="preserve">              </w:t>
      </w:r>
    </w:p>
    <w:p w14:paraId="7EB975B5">
      <w:pPr>
        <w:snapToGrid w:val="0"/>
        <w:spacing w:before="50" w:after="50"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20"/>
          <w:sz w:val="24"/>
          <w:highlight w:val="none"/>
        </w:rPr>
        <w:t>日 期：</w:t>
      </w:r>
      <w:r>
        <w:rPr>
          <w:rFonts w:hint="eastAsia" w:asciiTheme="minorEastAsia" w:hAnsiTheme="minorEastAsia" w:eastAsiaTheme="minorEastAsia"/>
          <w:color w:val="auto"/>
          <w:spacing w:val="20"/>
          <w:sz w:val="24"/>
          <w:highlight w:val="none"/>
          <w:u w:val="single"/>
        </w:rPr>
        <w:t xml:space="preserve">            </w:t>
      </w:r>
    </w:p>
    <w:p w14:paraId="03083A12">
      <w:pPr>
        <w:snapToGrid w:val="0"/>
        <w:spacing w:before="50" w:after="120" w:afterLines="50"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3E5C9EDE">
      <w:pPr>
        <w:snapToGrid w:val="0"/>
        <w:spacing w:before="120" w:beforeLines="50" w:after="50" w:line="276" w:lineRule="auto"/>
        <w:rPr>
          <w:rFonts w:asciiTheme="minorEastAsia" w:hAnsiTheme="minorEastAsia" w:eastAsiaTheme="minorEastAsia"/>
          <w:b/>
          <w:color w:val="auto"/>
          <w:sz w:val="24"/>
          <w:highlight w:val="none"/>
        </w:rPr>
      </w:pPr>
    </w:p>
    <w:p w14:paraId="01387CD1">
      <w:pPr>
        <w:snapToGrid w:val="0"/>
        <w:spacing w:before="120" w:beforeLines="50" w:after="50" w:line="276" w:lineRule="auto"/>
        <w:rPr>
          <w:rFonts w:asciiTheme="minorEastAsia" w:hAnsiTheme="minorEastAsia" w:eastAsiaTheme="minorEastAsia"/>
          <w:b/>
          <w:color w:val="auto"/>
          <w:sz w:val="24"/>
          <w:highlight w:val="none"/>
        </w:rPr>
      </w:pPr>
    </w:p>
    <w:p w14:paraId="2549B11D">
      <w:pPr>
        <w:snapToGrid w:val="0"/>
        <w:spacing w:before="120" w:beforeLines="50" w:after="50" w:line="276" w:lineRule="auto"/>
        <w:rPr>
          <w:rFonts w:asciiTheme="minorEastAsia" w:hAnsiTheme="minorEastAsia" w:eastAsiaTheme="minorEastAsia"/>
          <w:b/>
          <w:color w:val="auto"/>
          <w:sz w:val="24"/>
          <w:highlight w:val="none"/>
        </w:rPr>
      </w:pPr>
    </w:p>
    <w:p w14:paraId="6BB5E91D">
      <w:pPr>
        <w:snapToGrid w:val="0"/>
        <w:spacing w:before="120" w:beforeLines="50" w:after="50" w:line="276" w:lineRule="auto"/>
        <w:rPr>
          <w:rFonts w:asciiTheme="minorEastAsia" w:hAnsiTheme="minorEastAsia" w:eastAsiaTheme="minorEastAsia"/>
          <w:b/>
          <w:color w:val="auto"/>
          <w:sz w:val="24"/>
          <w:highlight w:val="none"/>
        </w:rPr>
      </w:pPr>
    </w:p>
    <w:p w14:paraId="046EE9D4">
      <w:pPr>
        <w:pStyle w:val="21"/>
        <w:ind w:firstLine="0" w:firstLineChars="0"/>
        <w:rPr>
          <w:rFonts w:asciiTheme="minorEastAsia" w:hAnsiTheme="minorEastAsia" w:eastAsiaTheme="minorEastAsia"/>
          <w:b/>
          <w:color w:val="auto"/>
          <w:sz w:val="24"/>
          <w:highlight w:val="none"/>
        </w:rPr>
      </w:pPr>
    </w:p>
    <w:p w14:paraId="7694302B">
      <w:pPr>
        <w:spacing w:line="360" w:lineRule="auto"/>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附件6：项目成员一览表</w:t>
      </w:r>
    </w:p>
    <w:p w14:paraId="07EF2AE9">
      <w:pPr>
        <w:ind w:firstLine="3373" w:firstLineChars="1200"/>
        <w:rPr>
          <w:rFonts w:cs="仿宋" w:asciiTheme="minorEastAsia" w:hAnsiTheme="minorEastAsia" w:eastAsiaTheme="minorEastAsia"/>
          <w:b/>
          <w:bCs/>
          <w:snapToGrid w:val="0"/>
          <w:color w:val="auto"/>
          <w:sz w:val="28"/>
          <w:szCs w:val="28"/>
          <w:highlight w:val="none"/>
        </w:rPr>
      </w:pPr>
      <w:r>
        <w:rPr>
          <w:rFonts w:hint="eastAsia" w:cs="仿宋" w:asciiTheme="minorEastAsia" w:hAnsiTheme="minorEastAsia" w:eastAsiaTheme="minorEastAsia"/>
          <w:b/>
          <w:bCs/>
          <w:snapToGrid w:val="0"/>
          <w:color w:val="auto"/>
          <w:sz w:val="28"/>
          <w:szCs w:val="28"/>
          <w:highlight w:val="none"/>
        </w:rPr>
        <w:t>拟投入项目成员概况一览表</w:t>
      </w:r>
    </w:p>
    <w:p w14:paraId="46D431E7">
      <w:pPr>
        <w:pStyle w:val="21"/>
        <w:ind w:firstLine="0" w:firstLineChars="0"/>
        <w:rPr>
          <w:rFonts w:cs="仿宋" w:asciiTheme="minorEastAsia" w:hAnsiTheme="minorEastAsia" w:eastAsiaTheme="minorEastAsia"/>
          <w:color w:val="auto"/>
          <w:highlight w:val="none"/>
        </w:rPr>
      </w:pPr>
    </w:p>
    <w:tbl>
      <w:tblPr>
        <w:tblStyle w:val="22"/>
        <w:tblW w:w="88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494"/>
        <w:gridCol w:w="1653"/>
        <w:gridCol w:w="1240"/>
        <w:gridCol w:w="1343"/>
        <w:gridCol w:w="3115"/>
      </w:tblGrid>
      <w:tr w14:paraId="6F8A2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6973F663">
            <w:pPr>
              <w:jc w:val="center"/>
              <w:rPr>
                <w:rFonts w:cs="仿宋" w:asciiTheme="minorEastAsia" w:hAnsiTheme="minorEastAsia" w:eastAsiaTheme="minorEastAsia"/>
                <w:snapToGrid w:val="0"/>
                <w:color w:val="auto"/>
                <w:highlight w:val="none"/>
              </w:rPr>
            </w:pPr>
            <w:r>
              <w:rPr>
                <w:rFonts w:hint="eastAsia" w:cs="仿宋" w:asciiTheme="minorEastAsia" w:hAnsiTheme="minorEastAsia" w:eastAsiaTheme="minorEastAsia"/>
                <w:snapToGrid w:val="0"/>
                <w:color w:val="auto"/>
                <w:highlight w:val="none"/>
              </w:rPr>
              <w:t>姓名</w:t>
            </w:r>
          </w:p>
        </w:tc>
        <w:tc>
          <w:tcPr>
            <w:tcW w:w="1653" w:type="dxa"/>
            <w:vAlign w:val="center"/>
          </w:tcPr>
          <w:p w14:paraId="64A58C77">
            <w:pPr>
              <w:jc w:val="center"/>
              <w:rPr>
                <w:rFonts w:cs="仿宋" w:asciiTheme="minorEastAsia" w:hAnsiTheme="minorEastAsia" w:eastAsiaTheme="minorEastAsia"/>
                <w:snapToGrid w:val="0"/>
                <w:color w:val="auto"/>
                <w:highlight w:val="none"/>
              </w:rPr>
            </w:pPr>
            <w:r>
              <w:rPr>
                <w:rFonts w:hint="eastAsia" w:cs="仿宋" w:asciiTheme="minorEastAsia" w:hAnsiTheme="minorEastAsia" w:eastAsiaTheme="minorEastAsia"/>
                <w:snapToGrid w:val="0"/>
                <w:color w:val="auto"/>
                <w:highlight w:val="none"/>
              </w:rPr>
              <w:t>年  龄</w:t>
            </w:r>
          </w:p>
        </w:tc>
        <w:tc>
          <w:tcPr>
            <w:tcW w:w="1240" w:type="dxa"/>
            <w:vAlign w:val="center"/>
          </w:tcPr>
          <w:p w14:paraId="56864165">
            <w:pPr>
              <w:jc w:val="center"/>
              <w:rPr>
                <w:rFonts w:cs="仿宋" w:asciiTheme="minorEastAsia" w:hAnsiTheme="minorEastAsia" w:eastAsiaTheme="minorEastAsia"/>
                <w:snapToGrid w:val="0"/>
                <w:color w:val="auto"/>
                <w:highlight w:val="none"/>
              </w:rPr>
            </w:pPr>
            <w:r>
              <w:rPr>
                <w:rFonts w:hint="eastAsia" w:cs="仿宋" w:asciiTheme="minorEastAsia" w:hAnsiTheme="minorEastAsia" w:eastAsiaTheme="minorEastAsia"/>
                <w:snapToGrid w:val="0"/>
                <w:color w:val="auto"/>
                <w:highlight w:val="none"/>
              </w:rPr>
              <w:t>职务</w:t>
            </w:r>
          </w:p>
        </w:tc>
        <w:tc>
          <w:tcPr>
            <w:tcW w:w="1343" w:type="dxa"/>
            <w:vAlign w:val="center"/>
          </w:tcPr>
          <w:p w14:paraId="7132BA1D">
            <w:pPr>
              <w:jc w:val="center"/>
              <w:rPr>
                <w:rFonts w:cs="仿宋" w:asciiTheme="minorEastAsia" w:hAnsiTheme="minorEastAsia" w:eastAsiaTheme="minorEastAsia"/>
                <w:snapToGrid w:val="0"/>
                <w:color w:val="auto"/>
                <w:highlight w:val="none"/>
              </w:rPr>
            </w:pPr>
            <w:r>
              <w:rPr>
                <w:rFonts w:hint="eastAsia" w:cs="仿宋" w:asciiTheme="minorEastAsia" w:hAnsiTheme="minorEastAsia" w:eastAsiaTheme="minorEastAsia"/>
                <w:snapToGrid w:val="0"/>
                <w:color w:val="auto"/>
                <w:highlight w:val="none"/>
              </w:rPr>
              <w:t>参加本单位</w:t>
            </w:r>
          </w:p>
          <w:p w14:paraId="011DF009">
            <w:pPr>
              <w:jc w:val="center"/>
              <w:rPr>
                <w:rFonts w:cs="仿宋" w:asciiTheme="minorEastAsia" w:hAnsiTheme="minorEastAsia" w:eastAsiaTheme="minorEastAsia"/>
                <w:snapToGrid w:val="0"/>
                <w:color w:val="auto"/>
                <w:highlight w:val="none"/>
              </w:rPr>
            </w:pPr>
            <w:r>
              <w:rPr>
                <w:rFonts w:hint="eastAsia" w:cs="仿宋" w:asciiTheme="minorEastAsia" w:hAnsiTheme="minorEastAsia" w:eastAsiaTheme="minorEastAsia"/>
                <w:snapToGrid w:val="0"/>
                <w:color w:val="auto"/>
                <w:highlight w:val="none"/>
              </w:rPr>
              <w:t>工作时间</w:t>
            </w:r>
          </w:p>
        </w:tc>
        <w:tc>
          <w:tcPr>
            <w:tcW w:w="3115" w:type="dxa"/>
            <w:vAlign w:val="center"/>
          </w:tcPr>
          <w:p w14:paraId="19D976DE">
            <w:pPr>
              <w:jc w:val="center"/>
              <w:rPr>
                <w:rFonts w:cs="仿宋" w:asciiTheme="minorEastAsia" w:hAnsiTheme="minorEastAsia" w:eastAsiaTheme="minorEastAsia"/>
                <w:snapToGrid w:val="0"/>
                <w:color w:val="auto"/>
                <w:highlight w:val="none"/>
              </w:rPr>
            </w:pPr>
            <w:r>
              <w:rPr>
                <w:rFonts w:hint="eastAsia" w:cs="仿宋" w:asciiTheme="minorEastAsia" w:hAnsiTheme="minorEastAsia" w:eastAsiaTheme="minorEastAsia"/>
                <w:snapToGrid w:val="0"/>
                <w:color w:val="auto"/>
                <w:highlight w:val="none"/>
              </w:rPr>
              <w:t>发债工作经历</w:t>
            </w:r>
          </w:p>
        </w:tc>
      </w:tr>
      <w:tr w14:paraId="7DEBB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6D22BE44">
            <w:pPr>
              <w:jc w:val="center"/>
              <w:rPr>
                <w:rFonts w:asciiTheme="minorEastAsia" w:hAnsiTheme="minorEastAsia" w:eastAsiaTheme="minorEastAsia"/>
                <w:snapToGrid w:val="0"/>
                <w:color w:val="auto"/>
                <w:highlight w:val="none"/>
              </w:rPr>
            </w:pPr>
          </w:p>
        </w:tc>
        <w:tc>
          <w:tcPr>
            <w:tcW w:w="1653" w:type="dxa"/>
            <w:vAlign w:val="center"/>
          </w:tcPr>
          <w:p w14:paraId="49B74B09">
            <w:pPr>
              <w:jc w:val="center"/>
              <w:rPr>
                <w:rFonts w:asciiTheme="minorEastAsia" w:hAnsiTheme="minorEastAsia" w:eastAsiaTheme="minorEastAsia"/>
                <w:snapToGrid w:val="0"/>
                <w:color w:val="auto"/>
                <w:highlight w:val="none"/>
              </w:rPr>
            </w:pPr>
          </w:p>
        </w:tc>
        <w:tc>
          <w:tcPr>
            <w:tcW w:w="1240" w:type="dxa"/>
            <w:vAlign w:val="center"/>
          </w:tcPr>
          <w:p w14:paraId="35CCF973">
            <w:pPr>
              <w:jc w:val="center"/>
              <w:rPr>
                <w:rFonts w:asciiTheme="minorEastAsia" w:hAnsiTheme="minorEastAsia" w:eastAsiaTheme="minorEastAsia"/>
                <w:snapToGrid w:val="0"/>
                <w:color w:val="auto"/>
                <w:highlight w:val="none"/>
              </w:rPr>
            </w:pPr>
          </w:p>
        </w:tc>
        <w:tc>
          <w:tcPr>
            <w:tcW w:w="1343" w:type="dxa"/>
            <w:vAlign w:val="center"/>
          </w:tcPr>
          <w:p w14:paraId="34E03EA3">
            <w:pPr>
              <w:jc w:val="center"/>
              <w:rPr>
                <w:rFonts w:asciiTheme="minorEastAsia" w:hAnsiTheme="minorEastAsia" w:eastAsiaTheme="minorEastAsia"/>
                <w:snapToGrid w:val="0"/>
                <w:color w:val="auto"/>
                <w:highlight w:val="none"/>
              </w:rPr>
            </w:pPr>
          </w:p>
        </w:tc>
        <w:tc>
          <w:tcPr>
            <w:tcW w:w="3115" w:type="dxa"/>
            <w:vAlign w:val="center"/>
          </w:tcPr>
          <w:p w14:paraId="65C45BFB">
            <w:pPr>
              <w:jc w:val="center"/>
              <w:rPr>
                <w:rFonts w:asciiTheme="minorEastAsia" w:hAnsiTheme="minorEastAsia" w:eastAsiaTheme="minorEastAsia"/>
                <w:snapToGrid w:val="0"/>
                <w:color w:val="auto"/>
                <w:highlight w:val="none"/>
              </w:rPr>
            </w:pPr>
          </w:p>
        </w:tc>
      </w:tr>
      <w:tr w14:paraId="03F27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25ABA637">
            <w:pPr>
              <w:jc w:val="center"/>
              <w:rPr>
                <w:rFonts w:asciiTheme="minorEastAsia" w:hAnsiTheme="minorEastAsia" w:eastAsiaTheme="minorEastAsia"/>
                <w:snapToGrid w:val="0"/>
                <w:color w:val="auto"/>
                <w:highlight w:val="none"/>
              </w:rPr>
            </w:pPr>
          </w:p>
        </w:tc>
        <w:tc>
          <w:tcPr>
            <w:tcW w:w="1653" w:type="dxa"/>
            <w:vAlign w:val="center"/>
          </w:tcPr>
          <w:p w14:paraId="3EE5BC99">
            <w:pPr>
              <w:jc w:val="center"/>
              <w:rPr>
                <w:rFonts w:asciiTheme="minorEastAsia" w:hAnsiTheme="minorEastAsia" w:eastAsiaTheme="minorEastAsia"/>
                <w:snapToGrid w:val="0"/>
                <w:color w:val="auto"/>
                <w:highlight w:val="none"/>
              </w:rPr>
            </w:pPr>
          </w:p>
        </w:tc>
        <w:tc>
          <w:tcPr>
            <w:tcW w:w="1240" w:type="dxa"/>
            <w:vAlign w:val="center"/>
          </w:tcPr>
          <w:p w14:paraId="2EF5D7BA">
            <w:pPr>
              <w:jc w:val="center"/>
              <w:rPr>
                <w:rFonts w:asciiTheme="minorEastAsia" w:hAnsiTheme="minorEastAsia" w:eastAsiaTheme="minorEastAsia"/>
                <w:snapToGrid w:val="0"/>
                <w:color w:val="auto"/>
                <w:highlight w:val="none"/>
              </w:rPr>
            </w:pPr>
          </w:p>
        </w:tc>
        <w:tc>
          <w:tcPr>
            <w:tcW w:w="1343" w:type="dxa"/>
            <w:vAlign w:val="center"/>
          </w:tcPr>
          <w:p w14:paraId="578F3AA3">
            <w:pPr>
              <w:jc w:val="center"/>
              <w:rPr>
                <w:rFonts w:asciiTheme="minorEastAsia" w:hAnsiTheme="minorEastAsia" w:eastAsiaTheme="minorEastAsia"/>
                <w:snapToGrid w:val="0"/>
                <w:color w:val="auto"/>
                <w:highlight w:val="none"/>
              </w:rPr>
            </w:pPr>
          </w:p>
        </w:tc>
        <w:tc>
          <w:tcPr>
            <w:tcW w:w="3115" w:type="dxa"/>
            <w:vAlign w:val="center"/>
          </w:tcPr>
          <w:p w14:paraId="5AE5B4B9">
            <w:pPr>
              <w:jc w:val="center"/>
              <w:rPr>
                <w:rFonts w:asciiTheme="minorEastAsia" w:hAnsiTheme="minorEastAsia" w:eastAsiaTheme="minorEastAsia"/>
                <w:snapToGrid w:val="0"/>
                <w:color w:val="auto"/>
                <w:highlight w:val="none"/>
              </w:rPr>
            </w:pPr>
          </w:p>
        </w:tc>
      </w:tr>
      <w:tr w14:paraId="02EB6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4FF571EE">
            <w:pPr>
              <w:jc w:val="center"/>
              <w:rPr>
                <w:rFonts w:asciiTheme="minorEastAsia" w:hAnsiTheme="minorEastAsia" w:eastAsiaTheme="minorEastAsia"/>
                <w:snapToGrid w:val="0"/>
                <w:color w:val="auto"/>
                <w:highlight w:val="none"/>
              </w:rPr>
            </w:pPr>
          </w:p>
        </w:tc>
        <w:tc>
          <w:tcPr>
            <w:tcW w:w="1653" w:type="dxa"/>
            <w:vAlign w:val="center"/>
          </w:tcPr>
          <w:p w14:paraId="394925C6">
            <w:pPr>
              <w:jc w:val="center"/>
              <w:rPr>
                <w:rFonts w:asciiTheme="minorEastAsia" w:hAnsiTheme="minorEastAsia" w:eastAsiaTheme="minorEastAsia"/>
                <w:snapToGrid w:val="0"/>
                <w:color w:val="auto"/>
                <w:highlight w:val="none"/>
              </w:rPr>
            </w:pPr>
          </w:p>
        </w:tc>
        <w:tc>
          <w:tcPr>
            <w:tcW w:w="1240" w:type="dxa"/>
            <w:vAlign w:val="center"/>
          </w:tcPr>
          <w:p w14:paraId="757EB415">
            <w:pPr>
              <w:jc w:val="center"/>
              <w:rPr>
                <w:rFonts w:asciiTheme="minorEastAsia" w:hAnsiTheme="minorEastAsia" w:eastAsiaTheme="minorEastAsia"/>
                <w:snapToGrid w:val="0"/>
                <w:color w:val="auto"/>
                <w:highlight w:val="none"/>
              </w:rPr>
            </w:pPr>
          </w:p>
        </w:tc>
        <w:tc>
          <w:tcPr>
            <w:tcW w:w="1343" w:type="dxa"/>
            <w:vAlign w:val="center"/>
          </w:tcPr>
          <w:p w14:paraId="71C77180">
            <w:pPr>
              <w:jc w:val="center"/>
              <w:rPr>
                <w:rFonts w:asciiTheme="minorEastAsia" w:hAnsiTheme="minorEastAsia" w:eastAsiaTheme="minorEastAsia"/>
                <w:snapToGrid w:val="0"/>
                <w:color w:val="auto"/>
                <w:highlight w:val="none"/>
              </w:rPr>
            </w:pPr>
          </w:p>
        </w:tc>
        <w:tc>
          <w:tcPr>
            <w:tcW w:w="3115" w:type="dxa"/>
            <w:vAlign w:val="center"/>
          </w:tcPr>
          <w:p w14:paraId="2E36E02C">
            <w:pPr>
              <w:jc w:val="center"/>
              <w:rPr>
                <w:rFonts w:asciiTheme="minorEastAsia" w:hAnsiTheme="minorEastAsia" w:eastAsiaTheme="minorEastAsia"/>
                <w:snapToGrid w:val="0"/>
                <w:color w:val="auto"/>
                <w:highlight w:val="none"/>
              </w:rPr>
            </w:pPr>
          </w:p>
        </w:tc>
      </w:tr>
      <w:tr w14:paraId="46963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43A30A84">
            <w:pPr>
              <w:jc w:val="center"/>
              <w:rPr>
                <w:rFonts w:asciiTheme="minorEastAsia" w:hAnsiTheme="minorEastAsia" w:eastAsiaTheme="minorEastAsia"/>
                <w:snapToGrid w:val="0"/>
                <w:color w:val="auto"/>
                <w:highlight w:val="none"/>
              </w:rPr>
            </w:pPr>
          </w:p>
        </w:tc>
        <w:tc>
          <w:tcPr>
            <w:tcW w:w="1653" w:type="dxa"/>
            <w:vAlign w:val="center"/>
          </w:tcPr>
          <w:p w14:paraId="75848FF1">
            <w:pPr>
              <w:jc w:val="center"/>
              <w:rPr>
                <w:rFonts w:asciiTheme="minorEastAsia" w:hAnsiTheme="minorEastAsia" w:eastAsiaTheme="minorEastAsia"/>
                <w:snapToGrid w:val="0"/>
                <w:color w:val="auto"/>
                <w:highlight w:val="none"/>
              </w:rPr>
            </w:pPr>
          </w:p>
        </w:tc>
        <w:tc>
          <w:tcPr>
            <w:tcW w:w="1240" w:type="dxa"/>
            <w:vAlign w:val="center"/>
          </w:tcPr>
          <w:p w14:paraId="5E601A97">
            <w:pPr>
              <w:jc w:val="center"/>
              <w:rPr>
                <w:rFonts w:asciiTheme="minorEastAsia" w:hAnsiTheme="minorEastAsia" w:eastAsiaTheme="minorEastAsia"/>
                <w:snapToGrid w:val="0"/>
                <w:color w:val="auto"/>
                <w:highlight w:val="none"/>
              </w:rPr>
            </w:pPr>
          </w:p>
        </w:tc>
        <w:tc>
          <w:tcPr>
            <w:tcW w:w="1343" w:type="dxa"/>
            <w:vAlign w:val="center"/>
          </w:tcPr>
          <w:p w14:paraId="28D385C6">
            <w:pPr>
              <w:jc w:val="center"/>
              <w:rPr>
                <w:rFonts w:asciiTheme="minorEastAsia" w:hAnsiTheme="minorEastAsia" w:eastAsiaTheme="minorEastAsia"/>
                <w:snapToGrid w:val="0"/>
                <w:color w:val="auto"/>
                <w:highlight w:val="none"/>
              </w:rPr>
            </w:pPr>
          </w:p>
        </w:tc>
        <w:tc>
          <w:tcPr>
            <w:tcW w:w="3115" w:type="dxa"/>
            <w:vAlign w:val="center"/>
          </w:tcPr>
          <w:p w14:paraId="47C4C50A">
            <w:pPr>
              <w:jc w:val="center"/>
              <w:rPr>
                <w:rFonts w:asciiTheme="minorEastAsia" w:hAnsiTheme="minorEastAsia" w:eastAsiaTheme="minorEastAsia"/>
                <w:snapToGrid w:val="0"/>
                <w:color w:val="auto"/>
                <w:highlight w:val="none"/>
              </w:rPr>
            </w:pPr>
          </w:p>
        </w:tc>
      </w:tr>
      <w:tr w14:paraId="60679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40790962">
            <w:pPr>
              <w:jc w:val="center"/>
              <w:rPr>
                <w:rFonts w:asciiTheme="minorEastAsia" w:hAnsiTheme="minorEastAsia" w:eastAsiaTheme="minorEastAsia"/>
                <w:snapToGrid w:val="0"/>
                <w:color w:val="auto"/>
                <w:highlight w:val="none"/>
              </w:rPr>
            </w:pPr>
          </w:p>
        </w:tc>
        <w:tc>
          <w:tcPr>
            <w:tcW w:w="1653" w:type="dxa"/>
            <w:vAlign w:val="center"/>
          </w:tcPr>
          <w:p w14:paraId="3241F4CA">
            <w:pPr>
              <w:jc w:val="center"/>
              <w:rPr>
                <w:rFonts w:asciiTheme="minorEastAsia" w:hAnsiTheme="minorEastAsia" w:eastAsiaTheme="minorEastAsia"/>
                <w:snapToGrid w:val="0"/>
                <w:color w:val="auto"/>
                <w:highlight w:val="none"/>
              </w:rPr>
            </w:pPr>
          </w:p>
        </w:tc>
        <w:tc>
          <w:tcPr>
            <w:tcW w:w="1240" w:type="dxa"/>
            <w:vAlign w:val="center"/>
          </w:tcPr>
          <w:p w14:paraId="73EFE55E">
            <w:pPr>
              <w:jc w:val="center"/>
              <w:rPr>
                <w:rFonts w:asciiTheme="minorEastAsia" w:hAnsiTheme="minorEastAsia" w:eastAsiaTheme="minorEastAsia"/>
                <w:snapToGrid w:val="0"/>
                <w:color w:val="auto"/>
                <w:highlight w:val="none"/>
              </w:rPr>
            </w:pPr>
          </w:p>
        </w:tc>
        <w:tc>
          <w:tcPr>
            <w:tcW w:w="1343" w:type="dxa"/>
            <w:vAlign w:val="center"/>
          </w:tcPr>
          <w:p w14:paraId="09C44005">
            <w:pPr>
              <w:jc w:val="center"/>
              <w:rPr>
                <w:rFonts w:asciiTheme="minorEastAsia" w:hAnsiTheme="minorEastAsia" w:eastAsiaTheme="minorEastAsia"/>
                <w:snapToGrid w:val="0"/>
                <w:color w:val="auto"/>
                <w:highlight w:val="none"/>
              </w:rPr>
            </w:pPr>
          </w:p>
        </w:tc>
        <w:tc>
          <w:tcPr>
            <w:tcW w:w="3115" w:type="dxa"/>
            <w:vAlign w:val="center"/>
          </w:tcPr>
          <w:p w14:paraId="3A4ABAC2">
            <w:pPr>
              <w:jc w:val="center"/>
              <w:rPr>
                <w:rFonts w:asciiTheme="minorEastAsia" w:hAnsiTheme="minorEastAsia" w:eastAsiaTheme="minorEastAsia"/>
                <w:snapToGrid w:val="0"/>
                <w:color w:val="auto"/>
                <w:highlight w:val="none"/>
              </w:rPr>
            </w:pPr>
          </w:p>
        </w:tc>
      </w:tr>
      <w:tr w14:paraId="484EB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2595EDA8">
            <w:pPr>
              <w:jc w:val="center"/>
              <w:rPr>
                <w:rFonts w:asciiTheme="minorEastAsia" w:hAnsiTheme="minorEastAsia" w:eastAsiaTheme="minorEastAsia"/>
                <w:snapToGrid w:val="0"/>
                <w:color w:val="auto"/>
                <w:highlight w:val="none"/>
              </w:rPr>
            </w:pPr>
          </w:p>
        </w:tc>
        <w:tc>
          <w:tcPr>
            <w:tcW w:w="1653" w:type="dxa"/>
            <w:vAlign w:val="center"/>
          </w:tcPr>
          <w:p w14:paraId="4718CAC1">
            <w:pPr>
              <w:jc w:val="center"/>
              <w:rPr>
                <w:rFonts w:asciiTheme="minorEastAsia" w:hAnsiTheme="minorEastAsia" w:eastAsiaTheme="minorEastAsia"/>
                <w:snapToGrid w:val="0"/>
                <w:color w:val="auto"/>
                <w:highlight w:val="none"/>
              </w:rPr>
            </w:pPr>
          </w:p>
        </w:tc>
        <w:tc>
          <w:tcPr>
            <w:tcW w:w="1240" w:type="dxa"/>
            <w:vAlign w:val="center"/>
          </w:tcPr>
          <w:p w14:paraId="5B39FBAF">
            <w:pPr>
              <w:jc w:val="center"/>
              <w:rPr>
                <w:rFonts w:asciiTheme="minorEastAsia" w:hAnsiTheme="minorEastAsia" w:eastAsiaTheme="minorEastAsia"/>
                <w:snapToGrid w:val="0"/>
                <w:color w:val="auto"/>
                <w:highlight w:val="none"/>
              </w:rPr>
            </w:pPr>
          </w:p>
        </w:tc>
        <w:tc>
          <w:tcPr>
            <w:tcW w:w="1343" w:type="dxa"/>
            <w:vAlign w:val="center"/>
          </w:tcPr>
          <w:p w14:paraId="1217B93A">
            <w:pPr>
              <w:jc w:val="center"/>
              <w:rPr>
                <w:rFonts w:asciiTheme="minorEastAsia" w:hAnsiTheme="minorEastAsia" w:eastAsiaTheme="minorEastAsia"/>
                <w:snapToGrid w:val="0"/>
                <w:color w:val="auto"/>
                <w:highlight w:val="none"/>
              </w:rPr>
            </w:pPr>
          </w:p>
        </w:tc>
        <w:tc>
          <w:tcPr>
            <w:tcW w:w="3115" w:type="dxa"/>
            <w:vAlign w:val="center"/>
          </w:tcPr>
          <w:p w14:paraId="0FC14BD0">
            <w:pPr>
              <w:jc w:val="center"/>
              <w:rPr>
                <w:rFonts w:asciiTheme="minorEastAsia" w:hAnsiTheme="minorEastAsia" w:eastAsiaTheme="minorEastAsia"/>
                <w:snapToGrid w:val="0"/>
                <w:color w:val="auto"/>
                <w:highlight w:val="none"/>
              </w:rPr>
            </w:pPr>
          </w:p>
        </w:tc>
      </w:tr>
      <w:tr w14:paraId="35C8A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4C16F51B">
            <w:pPr>
              <w:jc w:val="center"/>
              <w:rPr>
                <w:rFonts w:asciiTheme="minorEastAsia" w:hAnsiTheme="minorEastAsia" w:eastAsiaTheme="minorEastAsia"/>
                <w:snapToGrid w:val="0"/>
                <w:color w:val="auto"/>
                <w:highlight w:val="none"/>
              </w:rPr>
            </w:pPr>
          </w:p>
        </w:tc>
        <w:tc>
          <w:tcPr>
            <w:tcW w:w="1653" w:type="dxa"/>
            <w:vAlign w:val="center"/>
          </w:tcPr>
          <w:p w14:paraId="7363C735">
            <w:pPr>
              <w:jc w:val="center"/>
              <w:rPr>
                <w:rFonts w:asciiTheme="minorEastAsia" w:hAnsiTheme="minorEastAsia" w:eastAsiaTheme="minorEastAsia"/>
                <w:snapToGrid w:val="0"/>
                <w:color w:val="auto"/>
                <w:highlight w:val="none"/>
              </w:rPr>
            </w:pPr>
          </w:p>
        </w:tc>
        <w:tc>
          <w:tcPr>
            <w:tcW w:w="1240" w:type="dxa"/>
            <w:vAlign w:val="center"/>
          </w:tcPr>
          <w:p w14:paraId="76ECD6EC">
            <w:pPr>
              <w:jc w:val="center"/>
              <w:rPr>
                <w:rFonts w:asciiTheme="minorEastAsia" w:hAnsiTheme="minorEastAsia" w:eastAsiaTheme="minorEastAsia"/>
                <w:snapToGrid w:val="0"/>
                <w:color w:val="auto"/>
                <w:highlight w:val="none"/>
              </w:rPr>
            </w:pPr>
          </w:p>
        </w:tc>
        <w:tc>
          <w:tcPr>
            <w:tcW w:w="1343" w:type="dxa"/>
            <w:vAlign w:val="center"/>
          </w:tcPr>
          <w:p w14:paraId="7E00BFAD">
            <w:pPr>
              <w:jc w:val="center"/>
              <w:rPr>
                <w:rFonts w:asciiTheme="minorEastAsia" w:hAnsiTheme="minorEastAsia" w:eastAsiaTheme="minorEastAsia"/>
                <w:snapToGrid w:val="0"/>
                <w:color w:val="auto"/>
                <w:highlight w:val="none"/>
              </w:rPr>
            </w:pPr>
          </w:p>
        </w:tc>
        <w:tc>
          <w:tcPr>
            <w:tcW w:w="3115" w:type="dxa"/>
            <w:vAlign w:val="center"/>
          </w:tcPr>
          <w:p w14:paraId="60022D48">
            <w:pPr>
              <w:jc w:val="center"/>
              <w:rPr>
                <w:rFonts w:asciiTheme="minorEastAsia" w:hAnsiTheme="minorEastAsia" w:eastAsiaTheme="minorEastAsia"/>
                <w:snapToGrid w:val="0"/>
                <w:color w:val="auto"/>
                <w:highlight w:val="none"/>
              </w:rPr>
            </w:pPr>
          </w:p>
        </w:tc>
      </w:tr>
      <w:tr w14:paraId="4DCC2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7CF2C6C1">
            <w:pPr>
              <w:jc w:val="center"/>
              <w:rPr>
                <w:rFonts w:asciiTheme="minorEastAsia" w:hAnsiTheme="minorEastAsia" w:eastAsiaTheme="minorEastAsia"/>
                <w:snapToGrid w:val="0"/>
                <w:color w:val="auto"/>
                <w:highlight w:val="none"/>
              </w:rPr>
            </w:pPr>
          </w:p>
        </w:tc>
        <w:tc>
          <w:tcPr>
            <w:tcW w:w="1653" w:type="dxa"/>
            <w:vAlign w:val="center"/>
          </w:tcPr>
          <w:p w14:paraId="381B7038">
            <w:pPr>
              <w:jc w:val="center"/>
              <w:rPr>
                <w:rFonts w:asciiTheme="minorEastAsia" w:hAnsiTheme="minorEastAsia" w:eastAsiaTheme="minorEastAsia"/>
                <w:snapToGrid w:val="0"/>
                <w:color w:val="auto"/>
                <w:highlight w:val="none"/>
              </w:rPr>
            </w:pPr>
          </w:p>
        </w:tc>
        <w:tc>
          <w:tcPr>
            <w:tcW w:w="1240" w:type="dxa"/>
            <w:vAlign w:val="center"/>
          </w:tcPr>
          <w:p w14:paraId="584C0489">
            <w:pPr>
              <w:jc w:val="center"/>
              <w:rPr>
                <w:rFonts w:asciiTheme="minorEastAsia" w:hAnsiTheme="minorEastAsia" w:eastAsiaTheme="minorEastAsia"/>
                <w:snapToGrid w:val="0"/>
                <w:color w:val="auto"/>
                <w:highlight w:val="none"/>
              </w:rPr>
            </w:pPr>
          </w:p>
        </w:tc>
        <w:tc>
          <w:tcPr>
            <w:tcW w:w="1343" w:type="dxa"/>
            <w:vAlign w:val="center"/>
          </w:tcPr>
          <w:p w14:paraId="33AAA316">
            <w:pPr>
              <w:jc w:val="center"/>
              <w:rPr>
                <w:rFonts w:asciiTheme="minorEastAsia" w:hAnsiTheme="minorEastAsia" w:eastAsiaTheme="minorEastAsia"/>
                <w:snapToGrid w:val="0"/>
                <w:color w:val="auto"/>
                <w:highlight w:val="none"/>
              </w:rPr>
            </w:pPr>
          </w:p>
        </w:tc>
        <w:tc>
          <w:tcPr>
            <w:tcW w:w="3115" w:type="dxa"/>
            <w:vAlign w:val="center"/>
          </w:tcPr>
          <w:p w14:paraId="248BB24D">
            <w:pPr>
              <w:jc w:val="center"/>
              <w:rPr>
                <w:rFonts w:asciiTheme="minorEastAsia" w:hAnsiTheme="minorEastAsia" w:eastAsiaTheme="minorEastAsia"/>
                <w:snapToGrid w:val="0"/>
                <w:color w:val="auto"/>
                <w:highlight w:val="none"/>
              </w:rPr>
            </w:pPr>
          </w:p>
        </w:tc>
      </w:tr>
      <w:tr w14:paraId="4F877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29DB1BE4">
            <w:pPr>
              <w:jc w:val="center"/>
              <w:rPr>
                <w:rFonts w:asciiTheme="minorEastAsia" w:hAnsiTheme="minorEastAsia" w:eastAsiaTheme="minorEastAsia"/>
                <w:snapToGrid w:val="0"/>
                <w:color w:val="auto"/>
                <w:highlight w:val="none"/>
              </w:rPr>
            </w:pPr>
          </w:p>
        </w:tc>
        <w:tc>
          <w:tcPr>
            <w:tcW w:w="1653" w:type="dxa"/>
            <w:vAlign w:val="center"/>
          </w:tcPr>
          <w:p w14:paraId="6AC41AEF">
            <w:pPr>
              <w:jc w:val="center"/>
              <w:rPr>
                <w:rFonts w:asciiTheme="minorEastAsia" w:hAnsiTheme="minorEastAsia" w:eastAsiaTheme="minorEastAsia"/>
                <w:snapToGrid w:val="0"/>
                <w:color w:val="auto"/>
                <w:highlight w:val="none"/>
              </w:rPr>
            </w:pPr>
          </w:p>
        </w:tc>
        <w:tc>
          <w:tcPr>
            <w:tcW w:w="1240" w:type="dxa"/>
            <w:vAlign w:val="center"/>
          </w:tcPr>
          <w:p w14:paraId="1BEF4CD6">
            <w:pPr>
              <w:jc w:val="center"/>
              <w:rPr>
                <w:rFonts w:asciiTheme="minorEastAsia" w:hAnsiTheme="minorEastAsia" w:eastAsiaTheme="minorEastAsia"/>
                <w:snapToGrid w:val="0"/>
                <w:color w:val="auto"/>
                <w:highlight w:val="none"/>
              </w:rPr>
            </w:pPr>
          </w:p>
        </w:tc>
        <w:tc>
          <w:tcPr>
            <w:tcW w:w="1343" w:type="dxa"/>
            <w:vAlign w:val="center"/>
          </w:tcPr>
          <w:p w14:paraId="529ED08B">
            <w:pPr>
              <w:jc w:val="center"/>
              <w:rPr>
                <w:rFonts w:asciiTheme="minorEastAsia" w:hAnsiTheme="minorEastAsia" w:eastAsiaTheme="minorEastAsia"/>
                <w:snapToGrid w:val="0"/>
                <w:color w:val="auto"/>
                <w:highlight w:val="none"/>
              </w:rPr>
            </w:pPr>
          </w:p>
        </w:tc>
        <w:tc>
          <w:tcPr>
            <w:tcW w:w="3115" w:type="dxa"/>
            <w:vAlign w:val="center"/>
          </w:tcPr>
          <w:p w14:paraId="29543294">
            <w:pPr>
              <w:jc w:val="center"/>
              <w:rPr>
                <w:rFonts w:asciiTheme="minorEastAsia" w:hAnsiTheme="minorEastAsia" w:eastAsiaTheme="minorEastAsia"/>
                <w:snapToGrid w:val="0"/>
                <w:color w:val="auto"/>
                <w:highlight w:val="none"/>
              </w:rPr>
            </w:pPr>
          </w:p>
        </w:tc>
      </w:tr>
      <w:tr w14:paraId="202BB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0E0FE3CB">
            <w:pPr>
              <w:jc w:val="center"/>
              <w:rPr>
                <w:rFonts w:asciiTheme="minorEastAsia" w:hAnsiTheme="minorEastAsia" w:eastAsiaTheme="minorEastAsia"/>
                <w:snapToGrid w:val="0"/>
                <w:color w:val="auto"/>
                <w:highlight w:val="none"/>
              </w:rPr>
            </w:pPr>
          </w:p>
        </w:tc>
        <w:tc>
          <w:tcPr>
            <w:tcW w:w="1653" w:type="dxa"/>
            <w:vAlign w:val="center"/>
          </w:tcPr>
          <w:p w14:paraId="4669B21C">
            <w:pPr>
              <w:jc w:val="center"/>
              <w:rPr>
                <w:rFonts w:asciiTheme="minorEastAsia" w:hAnsiTheme="minorEastAsia" w:eastAsiaTheme="minorEastAsia"/>
                <w:snapToGrid w:val="0"/>
                <w:color w:val="auto"/>
                <w:highlight w:val="none"/>
              </w:rPr>
            </w:pPr>
          </w:p>
        </w:tc>
        <w:tc>
          <w:tcPr>
            <w:tcW w:w="1240" w:type="dxa"/>
            <w:vAlign w:val="center"/>
          </w:tcPr>
          <w:p w14:paraId="5B675016">
            <w:pPr>
              <w:jc w:val="center"/>
              <w:rPr>
                <w:rFonts w:asciiTheme="minorEastAsia" w:hAnsiTheme="minorEastAsia" w:eastAsiaTheme="minorEastAsia"/>
                <w:snapToGrid w:val="0"/>
                <w:color w:val="auto"/>
                <w:highlight w:val="none"/>
              </w:rPr>
            </w:pPr>
          </w:p>
        </w:tc>
        <w:tc>
          <w:tcPr>
            <w:tcW w:w="1343" w:type="dxa"/>
            <w:vAlign w:val="center"/>
          </w:tcPr>
          <w:p w14:paraId="76263EDA">
            <w:pPr>
              <w:jc w:val="center"/>
              <w:rPr>
                <w:rFonts w:asciiTheme="minorEastAsia" w:hAnsiTheme="minorEastAsia" w:eastAsiaTheme="minorEastAsia"/>
                <w:snapToGrid w:val="0"/>
                <w:color w:val="auto"/>
                <w:highlight w:val="none"/>
              </w:rPr>
            </w:pPr>
          </w:p>
        </w:tc>
        <w:tc>
          <w:tcPr>
            <w:tcW w:w="3115" w:type="dxa"/>
            <w:vAlign w:val="center"/>
          </w:tcPr>
          <w:p w14:paraId="42FF8407">
            <w:pPr>
              <w:jc w:val="center"/>
              <w:rPr>
                <w:rFonts w:asciiTheme="minorEastAsia" w:hAnsiTheme="minorEastAsia" w:eastAsiaTheme="minorEastAsia"/>
                <w:snapToGrid w:val="0"/>
                <w:color w:val="auto"/>
                <w:highlight w:val="none"/>
              </w:rPr>
            </w:pPr>
          </w:p>
        </w:tc>
      </w:tr>
      <w:tr w14:paraId="56EB6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10DF222E">
            <w:pPr>
              <w:jc w:val="center"/>
              <w:rPr>
                <w:rFonts w:asciiTheme="minorEastAsia" w:hAnsiTheme="minorEastAsia" w:eastAsiaTheme="minorEastAsia"/>
                <w:snapToGrid w:val="0"/>
                <w:color w:val="auto"/>
                <w:highlight w:val="none"/>
              </w:rPr>
            </w:pPr>
          </w:p>
        </w:tc>
        <w:tc>
          <w:tcPr>
            <w:tcW w:w="1653" w:type="dxa"/>
            <w:vAlign w:val="center"/>
          </w:tcPr>
          <w:p w14:paraId="3DA30F24">
            <w:pPr>
              <w:jc w:val="center"/>
              <w:rPr>
                <w:rFonts w:asciiTheme="minorEastAsia" w:hAnsiTheme="minorEastAsia" w:eastAsiaTheme="minorEastAsia"/>
                <w:snapToGrid w:val="0"/>
                <w:color w:val="auto"/>
                <w:highlight w:val="none"/>
              </w:rPr>
            </w:pPr>
          </w:p>
        </w:tc>
        <w:tc>
          <w:tcPr>
            <w:tcW w:w="1240" w:type="dxa"/>
            <w:vAlign w:val="center"/>
          </w:tcPr>
          <w:p w14:paraId="50098F0B">
            <w:pPr>
              <w:jc w:val="center"/>
              <w:rPr>
                <w:rFonts w:asciiTheme="minorEastAsia" w:hAnsiTheme="minorEastAsia" w:eastAsiaTheme="minorEastAsia"/>
                <w:snapToGrid w:val="0"/>
                <w:color w:val="auto"/>
                <w:highlight w:val="none"/>
              </w:rPr>
            </w:pPr>
          </w:p>
        </w:tc>
        <w:tc>
          <w:tcPr>
            <w:tcW w:w="1343" w:type="dxa"/>
            <w:vAlign w:val="center"/>
          </w:tcPr>
          <w:p w14:paraId="6D095829">
            <w:pPr>
              <w:jc w:val="center"/>
              <w:rPr>
                <w:rFonts w:asciiTheme="minorEastAsia" w:hAnsiTheme="minorEastAsia" w:eastAsiaTheme="minorEastAsia"/>
                <w:snapToGrid w:val="0"/>
                <w:color w:val="auto"/>
                <w:highlight w:val="none"/>
              </w:rPr>
            </w:pPr>
          </w:p>
        </w:tc>
        <w:tc>
          <w:tcPr>
            <w:tcW w:w="3115" w:type="dxa"/>
            <w:vAlign w:val="center"/>
          </w:tcPr>
          <w:p w14:paraId="23C98936">
            <w:pPr>
              <w:jc w:val="center"/>
              <w:rPr>
                <w:rFonts w:asciiTheme="minorEastAsia" w:hAnsiTheme="minorEastAsia" w:eastAsiaTheme="minorEastAsia"/>
                <w:snapToGrid w:val="0"/>
                <w:color w:val="auto"/>
                <w:highlight w:val="none"/>
              </w:rPr>
            </w:pPr>
          </w:p>
        </w:tc>
      </w:tr>
      <w:tr w14:paraId="7A993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46CB65C9">
            <w:pPr>
              <w:jc w:val="center"/>
              <w:rPr>
                <w:rFonts w:asciiTheme="minorEastAsia" w:hAnsiTheme="minorEastAsia" w:eastAsiaTheme="minorEastAsia"/>
                <w:snapToGrid w:val="0"/>
                <w:color w:val="auto"/>
                <w:highlight w:val="none"/>
              </w:rPr>
            </w:pPr>
          </w:p>
        </w:tc>
        <w:tc>
          <w:tcPr>
            <w:tcW w:w="1653" w:type="dxa"/>
            <w:vAlign w:val="center"/>
          </w:tcPr>
          <w:p w14:paraId="0488FE04">
            <w:pPr>
              <w:jc w:val="center"/>
              <w:rPr>
                <w:rFonts w:asciiTheme="minorEastAsia" w:hAnsiTheme="minorEastAsia" w:eastAsiaTheme="minorEastAsia"/>
                <w:snapToGrid w:val="0"/>
                <w:color w:val="auto"/>
                <w:highlight w:val="none"/>
              </w:rPr>
            </w:pPr>
          </w:p>
        </w:tc>
        <w:tc>
          <w:tcPr>
            <w:tcW w:w="1240" w:type="dxa"/>
            <w:vAlign w:val="center"/>
          </w:tcPr>
          <w:p w14:paraId="61EC37DE">
            <w:pPr>
              <w:jc w:val="center"/>
              <w:rPr>
                <w:rFonts w:asciiTheme="minorEastAsia" w:hAnsiTheme="minorEastAsia" w:eastAsiaTheme="minorEastAsia"/>
                <w:snapToGrid w:val="0"/>
                <w:color w:val="auto"/>
                <w:highlight w:val="none"/>
              </w:rPr>
            </w:pPr>
          </w:p>
        </w:tc>
        <w:tc>
          <w:tcPr>
            <w:tcW w:w="1343" w:type="dxa"/>
            <w:vAlign w:val="center"/>
          </w:tcPr>
          <w:p w14:paraId="0E6B500B">
            <w:pPr>
              <w:jc w:val="center"/>
              <w:rPr>
                <w:rFonts w:asciiTheme="minorEastAsia" w:hAnsiTheme="minorEastAsia" w:eastAsiaTheme="minorEastAsia"/>
                <w:snapToGrid w:val="0"/>
                <w:color w:val="auto"/>
                <w:highlight w:val="none"/>
              </w:rPr>
            </w:pPr>
          </w:p>
        </w:tc>
        <w:tc>
          <w:tcPr>
            <w:tcW w:w="3115" w:type="dxa"/>
            <w:vAlign w:val="center"/>
          </w:tcPr>
          <w:p w14:paraId="0358D564">
            <w:pPr>
              <w:jc w:val="center"/>
              <w:rPr>
                <w:rFonts w:asciiTheme="minorEastAsia" w:hAnsiTheme="minorEastAsia" w:eastAsiaTheme="minorEastAsia"/>
                <w:snapToGrid w:val="0"/>
                <w:color w:val="auto"/>
                <w:highlight w:val="none"/>
              </w:rPr>
            </w:pPr>
          </w:p>
        </w:tc>
      </w:tr>
      <w:tr w14:paraId="2C206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4537917A">
            <w:pPr>
              <w:jc w:val="center"/>
              <w:rPr>
                <w:rFonts w:asciiTheme="minorEastAsia" w:hAnsiTheme="minorEastAsia" w:eastAsiaTheme="minorEastAsia"/>
                <w:snapToGrid w:val="0"/>
                <w:color w:val="auto"/>
                <w:highlight w:val="none"/>
              </w:rPr>
            </w:pPr>
          </w:p>
        </w:tc>
        <w:tc>
          <w:tcPr>
            <w:tcW w:w="1653" w:type="dxa"/>
            <w:vAlign w:val="center"/>
          </w:tcPr>
          <w:p w14:paraId="36F01FDB">
            <w:pPr>
              <w:jc w:val="center"/>
              <w:rPr>
                <w:rFonts w:asciiTheme="minorEastAsia" w:hAnsiTheme="minorEastAsia" w:eastAsiaTheme="minorEastAsia"/>
                <w:snapToGrid w:val="0"/>
                <w:color w:val="auto"/>
                <w:highlight w:val="none"/>
              </w:rPr>
            </w:pPr>
          </w:p>
        </w:tc>
        <w:tc>
          <w:tcPr>
            <w:tcW w:w="1240" w:type="dxa"/>
            <w:vAlign w:val="center"/>
          </w:tcPr>
          <w:p w14:paraId="506106D9">
            <w:pPr>
              <w:jc w:val="center"/>
              <w:rPr>
                <w:rFonts w:asciiTheme="minorEastAsia" w:hAnsiTheme="minorEastAsia" w:eastAsiaTheme="minorEastAsia"/>
                <w:snapToGrid w:val="0"/>
                <w:color w:val="auto"/>
                <w:highlight w:val="none"/>
              </w:rPr>
            </w:pPr>
          </w:p>
        </w:tc>
        <w:tc>
          <w:tcPr>
            <w:tcW w:w="1343" w:type="dxa"/>
            <w:vAlign w:val="center"/>
          </w:tcPr>
          <w:p w14:paraId="02F4AD8F">
            <w:pPr>
              <w:jc w:val="center"/>
              <w:rPr>
                <w:rFonts w:asciiTheme="minorEastAsia" w:hAnsiTheme="minorEastAsia" w:eastAsiaTheme="minorEastAsia"/>
                <w:snapToGrid w:val="0"/>
                <w:color w:val="auto"/>
                <w:highlight w:val="none"/>
              </w:rPr>
            </w:pPr>
          </w:p>
        </w:tc>
        <w:tc>
          <w:tcPr>
            <w:tcW w:w="3115" w:type="dxa"/>
            <w:vAlign w:val="center"/>
          </w:tcPr>
          <w:p w14:paraId="195F32AC">
            <w:pPr>
              <w:jc w:val="center"/>
              <w:rPr>
                <w:rFonts w:asciiTheme="minorEastAsia" w:hAnsiTheme="minorEastAsia" w:eastAsiaTheme="minorEastAsia"/>
                <w:snapToGrid w:val="0"/>
                <w:color w:val="auto"/>
                <w:highlight w:val="none"/>
              </w:rPr>
            </w:pPr>
          </w:p>
        </w:tc>
      </w:tr>
      <w:tr w14:paraId="2D5E9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4E89B56D">
            <w:pPr>
              <w:jc w:val="center"/>
              <w:rPr>
                <w:rFonts w:asciiTheme="minorEastAsia" w:hAnsiTheme="minorEastAsia" w:eastAsiaTheme="minorEastAsia"/>
                <w:snapToGrid w:val="0"/>
                <w:color w:val="auto"/>
                <w:highlight w:val="none"/>
              </w:rPr>
            </w:pPr>
          </w:p>
        </w:tc>
        <w:tc>
          <w:tcPr>
            <w:tcW w:w="1653" w:type="dxa"/>
            <w:vAlign w:val="center"/>
          </w:tcPr>
          <w:p w14:paraId="6D7A8F11">
            <w:pPr>
              <w:jc w:val="center"/>
              <w:rPr>
                <w:rFonts w:asciiTheme="minorEastAsia" w:hAnsiTheme="minorEastAsia" w:eastAsiaTheme="minorEastAsia"/>
                <w:snapToGrid w:val="0"/>
                <w:color w:val="auto"/>
                <w:highlight w:val="none"/>
              </w:rPr>
            </w:pPr>
          </w:p>
        </w:tc>
        <w:tc>
          <w:tcPr>
            <w:tcW w:w="1240" w:type="dxa"/>
            <w:vAlign w:val="center"/>
          </w:tcPr>
          <w:p w14:paraId="77FD487B">
            <w:pPr>
              <w:jc w:val="center"/>
              <w:rPr>
                <w:rFonts w:asciiTheme="minorEastAsia" w:hAnsiTheme="minorEastAsia" w:eastAsiaTheme="minorEastAsia"/>
                <w:snapToGrid w:val="0"/>
                <w:color w:val="auto"/>
                <w:highlight w:val="none"/>
              </w:rPr>
            </w:pPr>
          </w:p>
        </w:tc>
        <w:tc>
          <w:tcPr>
            <w:tcW w:w="1343" w:type="dxa"/>
            <w:vAlign w:val="center"/>
          </w:tcPr>
          <w:p w14:paraId="5425DDF0">
            <w:pPr>
              <w:jc w:val="center"/>
              <w:rPr>
                <w:rFonts w:asciiTheme="minorEastAsia" w:hAnsiTheme="minorEastAsia" w:eastAsiaTheme="minorEastAsia"/>
                <w:snapToGrid w:val="0"/>
                <w:color w:val="auto"/>
                <w:highlight w:val="none"/>
              </w:rPr>
            </w:pPr>
          </w:p>
        </w:tc>
        <w:tc>
          <w:tcPr>
            <w:tcW w:w="3115" w:type="dxa"/>
            <w:vAlign w:val="center"/>
          </w:tcPr>
          <w:p w14:paraId="3AFBC632">
            <w:pPr>
              <w:jc w:val="center"/>
              <w:rPr>
                <w:rFonts w:asciiTheme="minorEastAsia" w:hAnsiTheme="minorEastAsia" w:eastAsiaTheme="minorEastAsia"/>
                <w:snapToGrid w:val="0"/>
                <w:color w:val="auto"/>
                <w:highlight w:val="none"/>
              </w:rPr>
            </w:pPr>
          </w:p>
        </w:tc>
      </w:tr>
      <w:tr w14:paraId="56785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0E762304">
            <w:pPr>
              <w:jc w:val="center"/>
              <w:rPr>
                <w:rFonts w:asciiTheme="minorEastAsia" w:hAnsiTheme="minorEastAsia" w:eastAsiaTheme="minorEastAsia"/>
                <w:snapToGrid w:val="0"/>
                <w:color w:val="auto"/>
                <w:highlight w:val="none"/>
              </w:rPr>
            </w:pPr>
          </w:p>
        </w:tc>
        <w:tc>
          <w:tcPr>
            <w:tcW w:w="1653" w:type="dxa"/>
            <w:vAlign w:val="center"/>
          </w:tcPr>
          <w:p w14:paraId="4C6B67A7">
            <w:pPr>
              <w:jc w:val="center"/>
              <w:rPr>
                <w:rFonts w:asciiTheme="minorEastAsia" w:hAnsiTheme="minorEastAsia" w:eastAsiaTheme="minorEastAsia"/>
                <w:snapToGrid w:val="0"/>
                <w:color w:val="auto"/>
                <w:highlight w:val="none"/>
              </w:rPr>
            </w:pPr>
          </w:p>
        </w:tc>
        <w:tc>
          <w:tcPr>
            <w:tcW w:w="1240" w:type="dxa"/>
            <w:vAlign w:val="center"/>
          </w:tcPr>
          <w:p w14:paraId="39AC0718">
            <w:pPr>
              <w:jc w:val="center"/>
              <w:rPr>
                <w:rFonts w:asciiTheme="minorEastAsia" w:hAnsiTheme="minorEastAsia" w:eastAsiaTheme="minorEastAsia"/>
                <w:snapToGrid w:val="0"/>
                <w:color w:val="auto"/>
                <w:highlight w:val="none"/>
              </w:rPr>
            </w:pPr>
          </w:p>
        </w:tc>
        <w:tc>
          <w:tcPr>
            <w:tcW w:w="1343" w:type="dxa"/>
            <w:vAlign w:val="center"/>
          </w:tcPr>
          <w:p w14:paraId="7E2EE4EA">
            <w:pPr>
              <w:jc w:val="center"/>
              <w:rPr>
                <w:rFonts w:asciiTheme="minorEastAsia" w:hAnsiTheme="minorEastAsia" w:eastAsiaTheme="minorEastAsia"/>
                <w:snapToGrid w:val="0"/>
                <w:color w:val="auto"/>
                <w:highlight w:val="none"/>
              </w:rPr>
            </w:pPr>
          </w:p>
        </w:tc>
        <w:tc>
          <w:tcPr>
            <w:tcW w:w="3115" w:type="dxa"/>
            <w:vAlign w:val="center"/>
          </w:tcPr>
          <w:p w14:paraId="47124A87">
            <w:pPr>
              <w:jc w:val="center"/>
              <w:rPr>
                <w:rFonts w:asciiTheme="minorEastAsia" w:hAnsiTheme="minorEastAsia" w:eastAsiaTheme="minorEastAsia"/>
                <w:snapToGrid w:val="0"/>
                <w:color w:val="auto"/>
                <w:highlight w:val="none"/>
              </w:rPr>
            </w:pPr>
          </w:p>
        </w:tc>
      </w:tr>
      <w:tr w14:paraId="011C1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5FC6E6FD">
            <w:pPr>
              <w:jc w:val="center"/>
              <w:rPr>
                <w:rFonts w:asciiTheme="minorEastAsia" w:hAnsiTheme="minorEastAsia" w:eastAsiaTheme="minorEastAsia"/>
                <w:snapToGrid w:val="0"/>
                <w:color w:val="auto"/>
                <w:highlight w:val="none"/>
              </w:rPr>
            </w:pPr>
          </w:p>
        </w:tc>
        <w:tc>
          <w:tcPr>
            <w:tcW w:w="1653" w:type="dxa"/>
            <w:vAlign w:val="center"/>
          </w:tcPr>
          <w:p w14:paraId="474555B6">
            <w:pPr>
              <w:jc w:val="center"/>
              <w:rPr>
                <w:rFonts w:asciiTheme="minorEastAsia" w:hAnsiTheme="minorEastAsia" w:eastAsiaTheme="minorEastAsia"/>
                <w:snapToGrid w:val="0"/>
                <w:color w:val="auto"/>
                <w:highlight w:val="none"/>
              </w:rPr>
            </w:pPr>
          </w:p>
        </w:tc>
        <w:tc>
          <w:tcPr>
            <w:tcW w:w="1240" w:type="dxa"/>
            <w:vAlign w:val="center"/>
          </w:tcPr>
          <w:p w14:paraId="13BE4F9B">
            <w:pPr>
              <w:jc w:val="center"/>
              <w:rPr>
                <w:rFonts w:asciiTheme="minorEastAsia" w:hAnsiTheme="minorEastAsia" w:eastAsiaTheme="minorEastAsia"/>
                <w:snapToGrid w:val="0"/>
                <w:color w:val="auto"/>
                <w:highlight w:val="none"/>
              </w:rPr>
            </w:pPr>
          </w:p>
        </w:tc>
        <w:tc>
          <w:tcPr>
            <w:tcW w:w="1343" w:type="dxa"/>
            <w:vAlign w:val="center"/>
          </w:tcPr>
          <w:p w14:paraId="2BEB32D6">
            <w:pPr>
              <w:jc w:val="center"/>
              <w:rPr>
                <w:rFonts w:asciiTheme="minorEastAsia" w:hAnsiTheme="minorEastAsia" w:eastAsiaTheme="minorEastAsia"/>
                <w:snapToGrid w:val="0"/>
                <w:color w:val="auto"/>
                <w:highlight w:val="none"/>
              </w:rPr>
            </w:pPr>
          </w:p>
        </w:tc>
        <w:tc>
          <w:tcPr>
            <w:tcW w:w="3115" w:type="dxa"/>
            <w:vAlign w:val="center"/>
          </w:tcPr>
          <w:p w14:paraId="042A0186">
            <w:pPr>
              <w:jc w:val="center"/>
              <w:rPr>
                <w:rFonts w:asciiTheme="minorEastAsia" w:hAnsiTheme="minorEastAsia" w:eastAsiaTheme="minorEastAsia"/>
                <w:snapToGrid w:val="0"/>
                <w:color w:val="auto"/>
                <w:highlight w:val="none"/>
              </w:rPr>
            </w:pPr>
          </w:p>
        </w:tc>
      </w:tr>
      <w:tr w14:paraId="1D3AE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7D7AD0B1">
            <w:pPr>
              <w:jc w:val="center"/>
              <w:rPr>
                <w:rFonts w:asciiTheme="minorEastAsia" w:hAnsiTheme="minorEastAsia" w:eastAsiaTheme="minorEastAsia"/>
                <w:snapToGrid w:val="0"/>
                <w:color w:val="auto"/>
                <w:highlight w:val="none"/>
              </w:rPr>
            </w:pPr>
          </w:p>
        </w:tc>
        <w:tc>
          <w:tcPr>
            <w:tcW w:w="1653" w:type="dxa"/>
            <w:vAlign w:val="center"/>
          </w:tcPr>
          <w:p w14:paraId="4DD07DA6">
            <w:pPr>
              <w:jc w:val="center"/>
              <w:rPr>
                <w:rFonts w:asciiTheme="minorEastAsia" w:hAnsiTheme="minorEastAsia" w:eastAsiaTheme="minorEastAsia"/>
                <w:snapToGrid w:val="0"/>
                <w:color w:val="auto"/>
                <w:highlight w:val="none"/>
              </w:rPr>
            </w:pPr>
          </w:p>
        </w:tc>
        <w:tc>
          <w:tcPr>
            <w:tcW w:w="1240" w:type="dxa"/>
            <w:vAlign w:val="center"/>
          </w:tcPr>
          <w:p w14:paraId="0E7113A4">
            <w:pPr>
              <w:jc w:val="center"/>
              <w:rPr>
                <w:rFonts w:asciiTheme="minorEastAsia" w:hAnsiTheme="minorEastAsia" w:eastAsiaTheme="minorEastAsia"/>
                <w:snapToGrid w:val="0"/>
                <w:color w:val="auto"/>
                <w:highlight w:val="none"/>
              </w:rPr>
            </w:pPr>
          </w:p>
        </w:tc>
        <w:tc>
          <w:tcPr>
            <w:tcW w:w="1343" w:type="dxa"/>
            <w:vAlign w:val="center"/>
          </w:tcPr>
          <w:p w14:paraId="52DD0BB5">
            <w:pPr>
              <w:jc w:val="center"/>
              <w:rPr>
                <w:rFonts w:asciiTheme="minorEastAsia" w:hAnsiTheme="minorEastAsia" w:eastAsiaTheme="minorEastAsia"/>
                <w:snapToGrid w:val="0"/>
                <w:color w:val="auto"/>
                <w:highlight w:val="none"/>
              </w:rPr>
            </w:pPr>
          </w:p>
        </w:tc>
        <w:tc>
          <w:tcPr>
            <w:tcW w:w="3115" w:type="dxa"/>
            <w:vAlign w:val="center"/>
          </w:tcPr>
          <w:p w14:paraId="224F88DD">
            <w:pPr>
              <w:jc w:val="center"/>
              <w:rPr>
                <w:rFonts w:asciiTheme="minorEastAsia" w:hAnsiTheme="minorEastAsia" w:eastAsiaTheme="minorEastAsia"/>
                <w:snapToGrid w:val="0"/>
                <w:color w:val="auto"/>
                <w:highlight w:val="none"/>
              </w:rPr>
            </w:pPr>
          </w:p>
        </w:tc>
      </w:tr>
      <w:tr w14:paraId="07317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29846DD7">
            <w:pPr>
              <w:jc w:val="center"/>
              <w:rPr>
                <w:rFonts w:asciiTheme="minorEastAsia" w:hAnsiTheme="minorEastAsia" w:eastAsiaTheme="minorEastAsia"/>
                <w:snapToGrid w:val="0"/>
                <w:color w:val="auto"/>
                <w:highlight w:val="none"/>
              </w:rPr>
            </w:pPr>
          </w:p>
        </w:tc>
        <w:tc>
          <w:tcPr>
            <w:tcW w:w="1653" w:type="dxa"/>
            <w:vAlign w:val="center"/>
          </w:tcPr>
          <w:p w14:paraId="4921C254">
            <w:pPr>
              <w:jc w:val="center"/>
              <w:rPr>
                <w:rFonts w:asciiTheme="minorEastAsia" w:hAnsiTheme="minorEastAsia" w:eastAsiaTheme="minorEastAsia"/>
                <w:snapToGrid w:val="0"/>
                <w:color w:val="auto"/>
                <w:highlight w:val="none"/>
              </w:rPr>
            </w:pPr>
          </w:p>
        </w:tc>
        <w:tc>
          <w:tcPr>
            <w:tcW w:w="1240" w:type="dxa"/>
            <w:vAlign w:val="center"/>
          </w:tcPr>
          <w:p w14:paraId="514C517E">
            <w:pPr>
              <w:jc w:val="center"/>
              <w:rPr>
                <w:rFonts w:asciiTheme="minorEastAsia" w:hAnsiTheme="minorEastAsia" w:eastAsiaTheme="minorEastAsia"/>
                <w:snapToGrid w:val="0"/>
                <w:color w:val="auto"/>
                <w:highlight w:val="none"/>
              </w:rPr>
            </w:pPr>
          </w:p>
        </w:tc>
        <w:tc>
          <w:tcPr>
            <w:tcW w:w="1343" w:type="dxa"/>
            <w:vAlign w:val="center"/>
          </w:tcPr>
          <w:p w14:paraId="7C59392A">
            <w:pPr>
              <w:jc w:val="center"/>
              <w:rPr>
                <w:rFonts w:asciiTheme="minorEastAsia" w:hAnsiTheme="minorEastAsia" w:eastAsiaTheme="minorEastAsia"/>
                <w:snapToGrid w:val="0"/>
                <w:color w:val="auto"/>
                <w:highlight w:val="none"/>
              </w:rPr>
            </w:pPr>
          </w:p>
        </w:tc>
        <w:tc>
          <w:tcPr>
            <w:tcW w:w="3115" w:type="dxa"/>
            <w:vAlign w:val="center"/>
          </w:tcPr>
          <w:p w14:paraId="7350D9F4">
            <w:pPr>
              <w:jc w:val="center"/>
              <w:rPr>
                <w:rFonts w:asciiTheme="minorEastAsia" w:hAnsiTheme="minorEastAsia" w:eastAsiaTheme="minorEastAsia"/>
                <w:snapToGrid w:val="0"/>
                <w:color w:val="auto"/>
                <w:highlight w:val="none"/>
              </w:rPr>
            </w:pPr>
          </w:p>
        </w:tc>
      </w:tr>
    </w:tbl>
    <w:p w14:paraId="4E8BFF27">
      <w:pPr>
        <w:ind w:firstLine="280" w:firstLineChars="100"/>
        <w:rPr>
          <w:rFonts w:cs="仿宋_GB2312" w:asciiTheme="minorEastAsia" w:hAnsiTheme="minorEastAsia" w:eastAsiaTheme="minorEastAsia"/>
          <w:color w:val="auto"/>
          <w:sz w:val="28"/>
          <w:szCs w:val="28"/>
          <w:highlight w:val="none"/>
        </w:rPr>
      </w:pPr>
    </w:p>
    <w:p w14:paraId="65617322">
      <w:pPr>
        <w:spacing w:line="360" w:lineRule="auto"/>
        <w:ind w:firstLine="280" w:firstLineChars="100"/>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 xml:space="preserve">投标承销商名称（盖章）：                      </w:t>
      </w:r>
    </w:p>
    <w:p w14:paraId="7DC1AF1D">
      <w:pPr>
        <w:spacing w:line="360" w:lineRule="auto"/>
        <w:ind w:firstLine="280" w:firstLineChars="100"/>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 xml:space="preserve">法定代表人或委托代理人签字：                          </w:t>
      </w:r>
    </w:p>
    <w:p w14:paraId="6962741E">
      <w:pPr>
        <w:spacing w:line="360" w:lineRule="auto"/>
        <w:ind w:firstLine="280" w:firstLineChars="100"/>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 xml:space="preserve">职        务：                         </w:t>
      </w:r>
    </w:p>
    <w:p w14:paraId="58EB9BC8">
      <w:pPr>
        <w:spacing w:line="360" w:lineRule="auto"/>
        <w:ind w:firstLine="280" w:firstLineChars="100"/>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 xml:space="preserve">日        期：      </w:t>
      </w:r>
    </w:p>
    <w:p w14:paraId="11B3B539">
      <w:pPr>
        <w:spacing w:line="360" w:lineRule="auto"/>
        <w:ind w:firstLine="280" w:firstLineChars="100"/>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说明：在填写时，如本表格不适合招标主承销商的实际情况，可根据本表格式自行划表填写。</w:t>
      </w:r>
    </w:p>
    <w:p w14:paraId="722228DA">
      <w:pPr>
        <w:snapToGrid w:val="0"/>
        <w:spacing w:before="50" w:after="120"/>
        <w:jc w:val="left"/>
        <w:rPr>
          <w:rFonts w:cs="宋体" w:asciiTheme="minorEastAsia" w:hAnsiTheme="minorEastAsia" w:eastAsiaTheme="minorEastAsia"/>
          <w:b/>
          <w:color w:val="auto"/>
          <w:sz w:val="24"/>
          <w:highlight w:val="none"/>
        </w:rPr>
      </w:pPr>
    </w:p>
    <w:p w14:paraId="363E56C5">
      <w:pPr>
        <w:spacing w:line="360" w:lineRule="auto"/>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3、报价文件</w:t>
      </w:r>
    </w:p>
    <w:p w14:paraId="23DAFCFF">
      <w:pP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 xml:space="preserve">（1）投标函（格式见附件）； </w:t>
      </w:r>
    </w:p>
    <w:p w14:paraId="06A847B1">
      <w:pPr>
        <w:spacing w:line="360" w:lineRule="auto"/>
        <w:rPr>
          <w:rFonts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 xml:space="preserve">（2）报价函（格式见附件）； </w:t>
      </w:r>
    </w:p>
    <w:p w14:paraId="6A20C5E4">
      <w:pPr>
        <w:snapToGrid w:val="0"/>
        <w:spacing w:before="50" w:after="120"/>
        <w:jc w:val="left"/>
        <w:rPr>
          <w:rFonts w:asciiTheme="minorEastAsia" w:hAnsiTheme="minorEastAsia" w:eastAsiaTheme="minorEastAsia"/>
          <w:b/>
          <w:color w:val="auto"/>
          <w:sz w:val="24"/>
          <w:highlight w:val="none"/>
        </w:rPr>
      </w:pPr>
      <w:r>
        <w:rPr>
          <w:rFonts w:hint="eastAsia" w:cs="仿宋" w:asciiTheme="minorEastAsia" w:hAnsiTheme="minorEastAsia" w:eastAsiaTheme="minorEastAsia"/>
          <w:bCs/>
          <w:color w:val="auto"/>
          <w:sz w:val="24"/>
          <w:highlight w:val="none"/>
        </w:rPr>
        <w:t>（3）投标人针对报价需要说明的其他文件和说明（格式自拟）。</w:t>
      </w:r>
    </w:p>
    <w:p w14:paraId="4B38BECD">
      <w:pPr>
        <w:snapToGrid w:val="0"/>
        <w:spacing w:before="50" w:after="120"/>
        <w:jc w:val="left"/>
        <w:rPr>
          <w:rFonts w:asciiTheme="minorEastAsia" w:hAnsiTheme="minorEastAsia" w:eastAsiaTheme="minorEastAsia"/>
          <w:b/>
          <w:color w:val="auto"/>
          <w:sz w:val="24"/>
          <w:highlight w:val="none"/>
        </w:rPr>
      </w:pPr>
    </w:p>
    <w:p w14:paraId="37EE75B6">
      <w:pPr>
        <w:snapToGrid w:val="0"/>
        <w:spacing w:before="50" w:after="120"/>
        <w:jc w:val="left"/>
        <w:rPr>
          <w:rFonts w:asciiTheme="minorEastAsia" w:hAnsiTheme="minorEastAsia" w:eastAsiaTheme="minorEastAsia"/>
          <w:b/>
          <w:color w:val="auto"/>
          <w:sz w:val="24"/>
          <w:highlight w:val="none"/>
        </w:rPr>
      </w:pPr>
    </w:p>
    <w:p w14:paraId="1D386965">
      <w:pPr>
        <w:snapToGrid w:val="0"/>
        <w:spacing w:before="50" w:after="120"/>
        <w:jc w:val="left"/>
        <w:rPr>
          <w:rFonts w:asciiTheme="minorEastAsia" w:hAnsiTheme="minorEastAsia" w:eastAsiaTheme="minorEastAsia"/>
          <w:b/>
          <w:color w:val="auto"/>
          <w:sz w:val="24"/>
          <w:highlight w:val="none"/>
        </w:rPr>
      </w:pPr>
    </w:p>
    <w:p w14:paraId="2671C1D1">
      <w:pPr>
        <w:snapToGrid w:val="0"/>
        <w:spacing w:before="50" w:after="120"/>
        <w:jc w:val="left"/>
        <w:rPr>
          <w:rFonts w:asciiTheme="minorEastAsia" w:hAnsiTheme="minorEastAsia" w:eastAsiaTheme="minorEastAsia"/>
          <w:b/>
          <w:color w:val="auto"/>
          <w:sz w:val="24"/>
          <w:highlight w:val="none"/>
        </w:rPr>
      </w:pPr>
    </w:p>
    <w:p w14:paraId="4734BE3D">
      <w:pPr>
        <w:snapToGrid w:val="0"/>
        <w:spacing w:before="50" w:after="120"/>
        <w:jc w:val="left"/>
        <w:rPr>
          <w:rFonts w:asciiTheme="minorEastAsia" w:hAnsiTheme="minorEastAsia" w:eastAsiaTheme="minorEastAsia"/>
          <w:b/>
          <w:color w:val="auto"/>
          <w:sz w:val="24"/>
          <w:highlight w:val="none"/>
        </w:rPr>
      </w:pPr>
    </w:p>
    <w:p w14:paraId="23A32C01">
      <w:pPr>
        <w:snapToGrid w:val="0"/>
        <w:spacing w:before="50" w:after="120"/>
        <w:jc w:val="left"/>
        <w:rPr>
          <w:rFonts w:asciiTheme="minorEastAsia" w:hAnsiTheme="minorEastAsia" w:eastAsiaTheme="minorEastAsia"/>
          <w:b/>
          <w:color w:val="auto"/>
          <w:sz w:val="24"/>
          <w:highlight w:val="none"/>
        </w:rPr>
      </w:pPr>
    </w:p>
    <w:p w14:paraId="5E3D9689">
      <w:pPr>
        <w:snapToGrid w:val="0"/>
        <w:spacing w:before="50" w:after="120"/>
        <w:jc w:val="left"/>
        <w:rPr>
          <w:rFonts w:asciiTheme="minorEastAsia" w:hAnsiTheme="minorEastAsia" w:eastAsiaTheme="minorEastAsia"/>
          <w:b/>
          <w:color w:val="auto"/>
          <w:sz w:val="24"/>
          <w:highlight w:val="none"/>
        </w:rPr>
      </w:pPr>
    </w:p>
    <w:p w14:paraId="3EBBF9AF">
      <w:pPr>
        <w:snapToGrid w:val="0"/>
        <w:spacing w:before="50" w:after="120"/>
        <w:jc w:val="left"/>
        <w:rPr>
          <w:rFonts w:asciiTheme="minorEastAsia" w:hAnsiTheme="minorEastAsia" w:eastAsiaTheme="minorEastAsia"/>
          <w:b/>
          <w:color w:val="auto"/>
          <w:sz w:val="24"/>
          <w:highlight w:val="none"/>
        </w:rPr>
      </w:pPr>
    </w:p>
    <w:p w14:paraId="05783945">
      <w:pPr>
        <w:snapToGrid w:val="0"/>
        <w:spacing w:before="50" w:after="120"/>
        <w:jc w:val="left"/>
        <w:rPr>
          <w:rFonts w:asciiTheme="minorEastAsia" w:hAnsiTheme="minorEastAsia" w:eastAsiaTheme="minorEastAsia"/>
          <w:b/>
          <w:color w:val="auto"/>
          <w:sz w:val="24"/>
          <w:highlight w:val="none"/>
        </w:rPr>
      </w:pPr>
    </w:p>
    <w:p w14:paraId="339E9B57">
      <w:pPr>
        <w:snapToGrid w:val="0"/>
        <w:spacing w:before="50" w:after="120"/>
        <w:jc w:val="left"/>
        <w:rPr>
          <w:rFonts w:asciiTheme="minorEastAsia" w:hAnsiTheme="minorEastAsia" w:eastAsiaTheme="minorEastAsia"/>
          <w:b/>
          <w:color w:val="auto"/>
          <w:sz w:val="24"/>
          <w:highlight w:val="none"/>
        </w:rPr>
      </w:pPr>
    </w:p>
    <w:p w14:paraId="0D935EE2">
      <w:pPr>
        <w:snapToGrid w:val="0"/>
        <w:spacing w:before="50" w:after="120"/>
        <w:jc w:val="left"/>
        <w:rPr>
          <w:rFonts w:asciiTheme="minorEastAsia" w:hAnsiTheme="minorEastAsia" w:eastAsiaTheme="minorEastAsia"/>
          <w:b/>
          <w:color w:val="auto"/>
          <w:sz w:val="24"/>
          <w:highlight w:val="none"/>
        </w:rPr>
      </w:pPr>
    </w:p>
    <w:p w14:paraId="6A672640">
      <w:pPr>
        <w:snapToGrid w:val="0"/>
        <w:spacing w:before="50" w:after="120"/>
        <w:jc w:val="left"/>
        <w:rPr>
          <w:rFonts w:asciiTheme="minorEastAsia" w:hAnsiTheme="minorEastAsia" w:eastAsiaTheme="minorEastAsia"/>
          <w:b/>
          <w:color w:val="auto"/>
          <w:sz w:val="24"/>
          <w:highlight w:val="none"/>
        </w:rPr>
      </w:pPr>
    </w:p>
    <w:p w14:paraId="3E3B1CBB">
      <w:pPr>
        <w:snapToGrid w:val="0"/>
        <w:spacing w:before="50" w:after="120"/>
        <w:jc w:val="left"/>
        <w:rPr>
          <w:rFonts w:asciiTheme="minorEastAsia" w:hAnsiTheme="minorEastAsia" w:eastAsiaTheme="minorEastAsia"/>
          <w:b/>
          <w:color w:val="auto"/>
          <w:sz w:val="24"/>
          <w:highlight w:val="none"/>
        </w:rPr>
      </w:pPr>
    </w:p>
    <w:p w14:paraId="2618D77E">
      <w:pPr>
        <w:snapToGrid w:val="0"/>
        <w:spacing w:before="50" w:after="120"/>
        <w:jc w:val="left"/>
        <w:rPr>
          <w:rFonts w:asciiTheme="minorEastAsia" w:hAnsiTheme="minorEastAsia" w:eastAsiaTheme="minorEastAsia"/>
          <w:b/>
          <w:color w:val="auto"/>
          <w:sz w:val="24"/>
          <w:highlight w:val="none"/>
        </w:rPr>
      </w:pPr>
    </w:p>
    <w:p w14:paraId="2407D4E9">
      <w:pPr>
        <w:snapToGrid w:val="0"/>
        <w:spacing w:before="50" w:after="120"/>
        <w:jc w:val="left"/>
        <w:rPr>
          <w:rFonts w:asciiTheme="minorEastAsia" w:hAnsiTheme="minorEastAsia" w:eastAsiaTheme="minorEastAsia"/>
          <w:b/>
          <w:color w:val="auto"/>
          <w:sz w:val="24"/>
          <w:highlight w:val="none"/>
        </w:rPr>
      </w:pPr>
    </w:p>
    <w:p w14:paraId="4BEE6A07">
      <w:pPr>
        <w:snapToGrid w:val="0"/>
        <w:spacing w:before="50" w:after="120"/>
        <w:jc w:val="left"/>
        <w:rPr>
          <w:rFonts w:asciiTheme="minorEastAsia" w:hAnsiTheme="minorEastAsia" w:eastAsiaTheme="minorEastAsia"/>
          <w:b/>
          <w:color w:val="auto"/>
          <w:sz w:val="24"/>
          <w:highlight w:val="none"/>
        </w:rPr>
      </w:pPr>
    </w:p>
    <w:p w14:paraId="04C81E0D">
      <w:pPr>
        <w:snapToGrid w:val="0"/>
        <w:spacing w:before="50" w:after="120"/>
        <w:jc w:val="left"/>
        <w:rPr>
          <w:rFonts w:asciiTheme="minorEastAsia" w:hAnsiTheme="minorEastAsia" w:eastAsiaTheme="minorEastAsia"/>
          <w:b/>
          <w:color w:val="auto"/>
          <w:sz w:val="24"/>
          <w:highlight w:val="none"/>
        </w:rPr>
      </w:pPr>
    </w:p>
    <w:p w14:paraId="48B3971C">
      <w:pPr>
        <w:snapToGrid w:val="0"/>
        <w:spacing w:before="50" w:after="120"/>
        <w:jc w:val="left"/>
        <w:rPr>
          <w:rFonts w:asciiTheme="minorEastAsia" w:hAnsiTheme="minorEastAsia" w:eastAsiaTheme="minorEastAsia"/>
          <w:b/>
          <w:color w:val="auto"/>
          <w:sz w:val="24"/>
          <w:highlight w:val="none"/>
        </w:rPr>
      </w:pPr>
    </w:p>
    <w:p w14:paraId="60EC623D">
      <w:pPr>
        <w:snapToGrid w:val="0"/>
        <w:spacing w:before="50" w:after="120"/>
        <w:jc w:val="left"/>
        <w:rPr>
          <w:rFonts w:asciiTheme="minorEastAsia" w:hAnsiTheme="minorEastAsia" w:eastAsiaTheme="minorEastAsia"/>
          <w:b/>
          <w:color w:val="auto"/>
          <w:sz w:val="24"/>
          <w:highlight w:val="none"/>
        </w:rPr>
      </w:pPr>
    </w:p>
    <w:p w14:paraId="54931A71">
      <w:pPr>
        <w:snapToGrid w:val="0"/>
        <w:spacing w:before="50" w:after="120"/>
        <w:jc w:val="left"/>
        <w:rPr>
          <w:rFonts w:cs="宋体" w:asciiTheme="minorEastAsia" w:hAnsiTheme="minorEastAsia" w:eastAsiaTheme="minorEastAsia"/>
          <w:b/>
          <w:color w:val="auto"/>
          <w:sz w:val="24"/>
          <w:highlight w:val="none"/>
        </w:rPr>
      </w:pPr>
    </w:p>
    <w:p w14:paraId="37B24D15">
      <w:pPr>
        <w:snapToGrid w:val="0"/>
        <w:spacing w:before="50" w:after="120"/>
        <w:jc w:val="left"/>
        <w:rPr>
          <w:rFonts w:cs="宋体" w:asciiTheme="minorEastAsia" w:hAnsiTheme="minorEastAsia" w:eastAsiaTheme="minorEastAsia"/>
          <w:b/>
          <w:color w:val="auto"/>
          <w:sz w:val="24"/>
          <w:highlight w:val="none"/>
        </w:rPr>
      </w:pPr>
    </w:p>
    <w:p w14:paraId="60476E9F">
      <w:pPr>
        <w:snapToGrid w:val="0"/>
        <w:spacing w:before="50" w:after="120"/>
        <w:jc w:val="left"/>
        <w:rPr>
          <w:rFonts w:cs="宋体" w:asciiTheme="minorEastAsia" w:hAnsiTheme="minorEastAsia" w:eastAsiaTheme="minorEastAsia"/>
          <w:b/>
          <w:color w:val="auto"/>
          <w:sz w:val="24"/>
          <w:highlight w:val="none"/>
        </w:rPr>
      </w:pPr>
    </w:p>
    <w:p w14:paraId="29EEFE0F">
      <w:pPr>
        <w:snapToGrid w:val="0"/>
        <w:spacing w:before="50" w:after="120"/>
        <w:jc w:val="left"/>
        <w:rPr>
          <w:rFonts w:cs="宋体" w:asciiTheme="minorEastAsia" w:hAnsiTheme="minorEastAsia" w:eastAsiaTheme="minorEastAsia"/>
          <w:b/>
          <w:color w:val="auto"/>
          <w:sz w:val="24"/>
          <w:highlight w:val="none"/>
        </w:rPr>
      </w:pPr>
    </w:p>
    <w:p w14:paraId="770B9B64">
      <w:pPr>
        <w:widowControl/>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6168EE93">
      <w:pPr>
        <w:snapToGrid w:val="0"/>
        <w:spacing w:before="50" w:after="120"/>
        <w:jc w:val="left"/>
        <w:rPr>
          <w:rFonts w:cs="仿宋"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附件7：</w:t>
      </w:r>
    </w:p>
    <w:p w14:paraId="2650D873">
      <w:pPr>
        <w:snapToGrid w:val="0"/>
        <w:spacing w:before="120" w:after="50"/>
        <w:jc w:val="center"/>
        <w:rPr>
          <w:rFonts w:cs="仿宋" w:asciiTheme="minorEastAsia" w:hAnsiTheme="minorEastAsia" w:eastAsiaTheme="minorEastAsia"/>
          <w:b/>
          <w:color w:val="auto"/>
          <w:sz w:val="30"/>
          <w:szCs w:val="30"/>
          <w:highlight w:val="none"/>
        </w:rPr>
      </w:pPr>
      <w:r>
        <w:rPr>
          <w:rFonts w:hint="eastAsia" w:cs="仿宋" w:asciiTheme="minorEastAsia" w:hAnsiTheme="minorEastAsia" w:eastAsiaTheme="minorEastAsia"/>
          <w:b/>
          <w:color w:val="auto"/>
          <w:sz w:val="30"/>
          <w:szCs w:val="30"/>
          <w:highlight w:val="none"/>
        </w:rPr>
        <w:t>投 标 函</w:t>
      </w:r>
    </w:p>
    <w:p w14:paraId="7144A610">
      <w:pPr>
        <w:snapToGri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金华正达工程造价咨询有限公司：</w:t>
      </w:r>
    </w:p>
    <w:p w14:paraId="4254D5D6">
      <w:pPr>
        <w:snapToGrid w:val="0"/>
        <w:spacing w:line="560" w:lineRule="exact"/>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根据贵方为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项目的招标公告/投标邀请书</w:t>
      </w:r>
    </w:p>
    <w:p w14:paraId="41CE5B50">
      <w:pPr>
        <w:snapToGri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），签字代表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（全名）经正式授权并代表投标人_______                    __（投标人名称）提交资格审查文件</w:t>
      </w:r>
      <w:r>
        <w:rPr>
          <w:rFonts w:hint="eastAsia" w:asciiTheme="minorEastAsia" w:hAnsiTheme="minorEastAsia" w:eastAsiaTheme="minorEastAsia" w:cstheme="minorEastAsia"/>
          <w:color w:val="auto"/>
          <w:sz w:val="24"/>
          <w:highlight w:val="none"/>
          <w:u w:val="none"/>
          <w:lang w:eastAsia="zh-CN"/>
        </w:rPr>
        <w:t>，</w:t>
      </w:r>
      <w:r>
        <w:rPr>
          <w:rFonts w:hint="eastAsia" w:asciiTheme="minorEastAsia" w:hAnsiTheme="minorEastAsia" w:eastAsiaTheme="minorEastAsia" w:cstheme="minorEastAsia"/>
          <w:color w:val="auto"/>
          <w:sz w:val="24"/>
          <w:highlight w:val="none"/>
        </w:rPr>
        <w:t>技术、资信及商务文件，报价文件。</w:t>
      </w:r>
    </w:p>
    <w:p w14:paraId="11FF45DC">
      <w:pPr>
        <w:snapToGrid w:val="0"/>
        <w:spacing w:line="560" w:lineRule="exact"/>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据此函，签字代表宣布同意如下：</w:t>
      </w:r>
    </w:p>
    <w:p w14:paraId="3A24DE5F">
      <w:pPr>
        <w:snapToGrid w:val="0"/>
        <w:spacing w:line="560" w:lineRule="exact"/>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1.投标人已详细审查全部“招标文件”，包括修改文件（如有的话）以及全部参考资料和有关附件，已经了解我方对于招标文件、采购过程、采购结果有依法进行询问、质疑的权利及相关渠道和要求。</w:t>
      </w:r>
    </w:p>
    <w:p w14:paraId="737ECD3E">
      <w:pPr>
        <w:snapToGrid w:val="0"/>
        <w:spacing w:line="560" w:lineRule="exact"/>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2.投标人在投标之前已经与贵方进行了充分的沟通，完全理解并接受招标文件的各项规定和要求，对招标文件的合理性、合法性不再有异议。</w:t>
      </w:r>
    </w:p>
    <w:p w14:paraId="1D19B3A8">
      <w:pPr>
        <w:snapToGrid w:val="0"/>
        <w:spacing w:line="560" w:lineRule="exact"/>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3.本投标有效期自开标日起 ______天。</w:t>
      </w:r>
    </w:p>
    <w:p w14:paraId="40281045">
      <w:pPr>
        <w:snapToGrid w:val="0"/>
        <w:spacing w:line="560" w:lineRule="exact"/>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4.如中标，本投标文件至本项目合同履行完毕止均保持有效，本投标人将按“招标文件”及国有企业采购法律、法规的规定履行合同责任和义务。</w:t>
      </w:r>
    </w:p>
    <w:p w14:paraId="6A59F093">
      <w:pPr>
        <w:snapToGrid w:val="0"/>
        <w:spacing w:line="560" w:lineRule="exact"/>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5.投标人同意按照贵方要求提供与投标有关的一切数据或资料。</w:t>
      </w:r>
    </w:p>
    <w:p w14:paraId="403D64F0">
      <w:pPr>
        <w:snapToGrid w:val="0"/>
        <w:spacing w:line="560" w:lineRule="exact"/>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6.与本投标有关的一切正式往来信函请寄：</w:t>
      </w:r>
    </w:p>
    <w:p w14:paraId="2D3317DE">
      <w:pPr>
        <w:snapToGrid w:val="0"/>
        <w:spacing w:line="360" w:lineRule="auto"/>
        <w:rPr>
          <w:rFonts w:cs="仿宋" w:asciiTheme="minorEastAsia" w:hAnsiTheme="minorEastAsia" w:eastAsiaTheme="minorEastAsia"/>
          <w:color w:val="auto"/>
          <w:sz w:val="24"/>
          <w:highlight w:val="none"/>
        </w:rPr>
      </w:pPr>
    </w:p>
    <w:p w14:paraId="6D9BEC0B">
      <w:pPr>
        <w:spacing w:line="5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邮编：__________   电话：______________</w:t>
      </w:r>
    </w:p>
    <w:p w14:paraId="51CE7062">
      <w:pPr>
        <w:spacing w:line="5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传真：______________投标人代表姓名: ___________  职务：</w:t>
      </w:r>
      <w:r>
        <w:rPr>
          <w:rFonts w:hint="eastAsia" w:asciiTheme="minorEastAsia" w:hAnsiTheme="minorEastAsia" w:eastAsiaTheme="minorEastAsia" w:cstheme="minorEastAsia"/>
          <w:color w:val="auto"/>
          <w:sz w:val="24"/>
          <w:szCs w:val="24"/>
          <w:highlight w:val="none"/>
          <w:u w:val="single"/>
        </w:rPr>
        <w:t xml:space="preserve">             </w:t>
      </w:r>
    </w:p>
    <w:p w14:paraId="5BA59631">
      <w:pPr>
        <w:spacing w:line="560" w:lineRule="exact"/>
        <w:rPr>
          <w:rFonts w:hint="eastAsia" w:asciiTheme="minorEastAsia" w:hAnsiTheme="minorEastAsia" w:eastAsiaTheme="minorEastAsia" w:cstheme="minorEastAsia"/>
          <w:color w:val="auto"/>
          <w:sz w:val="24"/>
          <w:szCs w:val="24"/>
          <w:highlight w:val="none"/>
        </w:rPr>
      </w:pPr>
    </w:p>
    <w:p w14:paraId="5A729AB4">
      <w:pPr>
        <w:spacing w:line="5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投标承销商名称（公章）:___________________</w:t>
      </w:r>
    </w:p>
    <w:p w14:paraId="1813485C">
      <w:pPr>
        <w:spacing w:line="5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法定代表人或委托代理人（签字）:___________ </w:t>
      </w:r>
    </w:p>
    <w:p w14:paraId="72593150">
      <w:pPr>
        <w:spacing w:line="5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日期:_____年___月___日</w:t>
      </w:r>
    </w:p>
    <w:p w14:paraId="078B4C2B">
      <w:pPr>
        <w:snapToGrid w:val="0"/>
        <w:spacing w:line="360" w:lineRule="auto"/>
        <w:rPr>
          <w:rFonts w:cs="仿宋" w:asciiTheme="minorEastAsia" w:hAnsiTheme="minorEastAsia" w:eastAsiaTheme="minorEastAsia"/>
          <w:color w:val="auto"/>
          <w:highlight w:val="none"/>
        </w:rPr>
        <w:sectPr>
          <w:headerReference r:id="rId7" w:type="default"/>
          <w:footerReference r:id="rId8" w:type="default"/>
          <w:pgSz w:w="11906" w:h="16838"/>
          <w:pgMar w:top="1440" w:right="1080" w:bottom="1440" w:left="1080" w:header="851" w:footer="851" w:gutter="0"/>
          <w:cols w:space="720" w:num="1"/>
          <w:docGrid w:linePitch="312" w:charSpace="0"/>
        </w:sectPr>
      </w:pPr>
    </w:p>
    <w:p w14:paraId="66F16DDA">
      <w:pPr>
        <w:snapToGrid w:val="0"/>
        <w:spacing w:after="120"/>
        <w:rPr>
          <w:rFonts w:asciiTheme="minorEastAsia" w:hAnsiTheme="minorEastAsia" w:eastAsiaTheme="minorEastAsia"/>
          <w:color w:val="auto"/>
          <w:sz w:val="21"/>
          <w:highlight w:val="none"/>
        </w:rPr>
      </w:pPr>
      <w:r>
        <w:rPr>
          <w:rFonts w:hint="eastAsia" w:cs="宋体" w:asciiTheme="minorEastAsia" w:hAnsiTheme="minorEastAsia" w:eastAsiaTheme="minorEastAsia"/>
          <w:b/>
          <w:color w:val="auto"/>
          <w:sz w:val="24"/>
          <w:highlight w:val="none"/>
        </w:rPr>
        <w:t>附件8</w:t>
      </w:r>
      <w:r>
        <w:rPr>
          <w:rFonts w:hint="eastAsia" w:cs="宋体" w:asciiTheme="minorEastAsia" w:hAnsiTheme="minorEastAsia" w:eastAsiaTheme="minorEastAsia"/>
          <w:b/>
          <w:color w:val="auto"/>
          <w:sz w:val="21"/>
          <w:highlight w:val="none"/>
        </w:rPr>
        <w:t>：</w:t>
      </w:r>
      <w:r>
        <w:rPr>
          <w:rFonts w:asciiTheme="minorEastAsia" w:hAnsiTheme="minorEastAsia" w:eastAsiaTheme="minorEastAsia"/>
          <w:color w:val="auto"/>
          <w:sz w:val="21"/>
          <w:highlight w:val="none"/>
        </w:rPr>
        <w:t xml:space="preserve">    </w:t>
      </w:r>
    </w:p>
    <w:p w14:paraId="2D64B6F2">
      <w:pPr>
        <w:snapToGrid w:val="0"/>
        <w:spacing w:after="120"/>
        <w:ind w:firstLine="3915" w:firstLineChars="1300"/>
        <w:rPr>
          <w:rFonts w:cs="仿宋" w:asciiTheme="minorEastAsia" w:hAnsiTheme="minorEastAsia" w:eastAsiaTheme="minorEastAsia"/>
          <w:b/>
          <w:bCs/>
          <w:color w:val="auto"/>
          <w:sz w:val="30"/>
          <w:szCs w:val="30"/>
          <w:highlight w:val="none"/>
        </w:rPr>
      </w:pPr>
      <w:r>
        <w:rPr>
          <w:rFonts w:hint="eastAsia" w:cs="仿宋" w:asciiTheme="minorEastAsia" w:hAnsiTheme="minorEastAsia" w:eastAsiaTheme="minorEastAsia"/>
          <w:b/>
          <w:bCs/>
          <w:color w:val="auto"/>
          <w:sz w:val="30"/>
          <w:szCs w:val="30"/>
          <w:highlight w:val="none"/>
        </w:rPr>
        <w:t>报 价 函</w:t>
      </w:r>
    </w:p>
    <w:p w14:paraId="4A735F5A">
      <w:pPr>
        <w:snapToGrid w:val="0"/>
        <w:spacing w:before="50" w:after="50"/>
        <w:rPr>
          <w:rFonts w:asciiTheme="minorEastAsia" w:hAnsiTheme="minorEastAsia" w:eastAsiaTheme="minorEastAsia"/>
          <w:color w:val="auto"/>
          <w:sz w:val="24"/>
          <w:highlight w:val="none"/>
        </w:rPr>
      </w:pPr>
    </w:p>
    <w:p w14:paraId="71F21BE0">
      <w:pPr>
        <w:snapToGrid w:val="0"/>
        <w:spacing w:before="50" w:after="50"/>
        <w:rPr>
          <w:rFonts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z w:val="28"/>
          <w:szCs w:val="28"/>
          <w:highlight w:val="none"/>
        </w:rPr>
        <w:t>项目名称：</w:t>
      </w:r>
      <w:r>
        <w:rPr>
          <w:rFonts w:hint="eastAsia" w:cs="仿宋" w:asciiTheme="minorEastAsia" w:hAnsiTheme="minorEastAsia" w:eastAsiaTheme="minorEastAsia"/>
          <w:color w:val="auto"/>
          <w:sz w:val="28"/>
          <w:szCs w:val="28"/>
          <w:highlight w:val="none"/>
          <w:u w:val="single"/>
        </w:rPr>
        <w:t xml:space="preserve">                        </w:t>
      </w:r>
      <w:r>
        <w:rPr>
          <w:rFonts w:hint="eastAsia" w:cs="仿宋" w:asciiTheme="minorEastAsia" w:hAnsiTheme="minorEastAsia" w:eastAsiaTheme="minorEastAsia"/>
          <w:color w:val="auto"/>
          <w:sz w:val="28"/>
          <w:szCs w:val="28"/>
          <w:highlight w:val="none"/>
        </w:rPr>
        <w:t xml:space="preserve">                   </w:t>
      </w:r>
    </w:p>
    <w:p w14:paraId="361CBB0C">
      <w:pPr>
        <w:snapToGrid w:val="0"/>
        <w:spacing w:before="50" w:after="50"/>
        <w:rPr>
          <w:rFonts w:cs="仿宋" w:asciiTheme="minorEastAsia" w:hAnsiTheme="minorEastAsia" w:eastAsiaTheme="minorEastAsia"/>
          <w:color w:val="auto"/>
          <w:sz w:val="28"/>
          <w:szCs w:val="28"/>
          <w:highlight w:val="none"/>
          <w:u w:val="single"/>
        </w:rPr>
      </w:pPr>
      <w:r>
        <w:rPr>
          <w:rFonts w:hint="eastAsia" w:cs="仿宋" w:asciiTheme="minorEastAsia" w:hAnsiTheme="minorEastAsia" w:eastAsiaTheme="minorEastAsia"/>
          <w:color w:val="auto"/>
          <w:sz w:val="28"/>
          <w:szCs w:val="28"/>
          <w:highlight w:val="none"/>
        </w:rPr>
        <w:t>项目编号：________________________</w:t>
      </w:r>
    </w:p>
    <w:tbl>
      <w:tblPr>
        <w:tblStyle w:val="22"/>
        <w:tblW w:w="9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2460"/>
        <w:gridCol w:w="2100"/>
        <w:gridCol w:w="3555"/>
      </w:tblGrid>
      <w:tr w14:paraId="2CC3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86" w:type="dxa"/>
            <w:tcBorders>
              <w:top w:val="single" w:color="auto" w:sz="4" w:space="0"/>
              <w:left w:val="single" w:color="auto" w:sz="4" w:space="0"/>
              <w:bottom w:val="single" w:color="auto" w:sz="4" w:space="0"/>
              <w:right w:val="single" w:color="auto" w:sz="4" w:space="0"/>
            </w:tcBorders>
            <w:vAlign w:val="center"/>
          </w:tcPr>
          <w:p w14:paraId="4141962A">
            <w:pPr>
              <w:jc w:val="center"/>
              <w:rPr>
                <w:rFonts w:cs="仿宋" w:asciiTheme="minorEastAsia" w:hAnsiTheme="minorEastAsia" w:eastAsiaTheme="minorEastAsia"/>
                <w:b/>
                <w:bCs/>
                <w:color w:val="auto"/>
                <w:sz w:val="28"/>
                <w:szCs w:val="28"/>
                <w:highlight w:val="none"/>
              </w:rPr>
            </w:pPr>
            <w:r>
              <w:rPr>
                <w:rFonts w:hint="eastAsia" w:cs="仿宋" w:asciiTheme="minorEastAsia" w:hAnsiTheme="minorEastAsia" w:eastAsiaTheme="minorEastAsia"/>
                <w:b/>
                <w:bCs/>
                <w:color w:val="auto"/>
                <w:sz w:val="28"/>
                <w:szCs w:val="28"/>
                <w:highlight w:val="none"/>
              </w:rPr>
              <w:t>序号</w:t>
            </w:r>
          </w:p>
        </w:tc>
        <w:tc>
          <w:tcPr>
            <w:tcW w:w="2460" w:type="dxa"/>
            <w:tcBorders>
              <w:top w:val="single" w:color="auto" w:sz="4" w:space="0"/>
              <w:left w:val="single" w:color="auto" w:sz="4" w:space="0"/>
              <w:bottom w:val="single" w:color="auto" w:sz="4" w:space="0"/>
              <w:right w:val="single" w:color="auto" w:sz="4" w:space="0"/>
            </w:tcBorders>
            <w:vAlign w:val="center"/>
          </w:tcPr>
          <w:p w14:paraId="5BC8710A">
            <w:pPr>
              <w:jc w:val="center"/>
              <w:rPr>
                <w:rFonts w:cs="仿宋" w:asciiTheme="minorEastAsia" w:hAnsiTheme="minorEastAsia" w:eastAsiaTheme="minorEastAsia"/>
                <w:b/>
                <w:bCs/>
                <w:color w:val="auto"/>
                <w:sz w:val="28"/>
                <w:szCs w:val="28"/>
                <w:highlight w:val="none"/>
              </w:rPr>
            </w:pPr>
            <w:r>
              <w:rPr>
                <w:rFonts w:hint="eastAsia" w:cs="仿宋" w:asciiTheme="minorEastAsia" w:hAnsiTheme="minorEastAsia" w:eastAsiaTheme="minorEastAsia"/>
                <w:b/>
                <w:bCs/>
                <w:color w:val="auto"/>
                <w:sz w:val="28"/>
                <w:szCs w:val="28"/>
                <w:highlight w:val="none"/>
              </w:rPr>
              <w:t>类别</w:t>
            </w:r>
          </w:p>
        </w:tc>
        <w:tc>
          <w:tcPr>
            <w:tcW w:w="2100" w:type="dxa"/>
            <w:tcBorders>
              <w:top w:val="single" w:color="auto" w:sz="4" w:space="0"/>
              <w:left w:val="single" w:color="auto" w:sz="4" w:space="0"/>
              <w:bottom w:val="single" w:color="auto" w:sz="4" w:space="0"/>
              <w:right w:val="single" w:color="auto" w:sz="4" w:space="0"/>
            </w:tcBorders>
            <w:vAlign w:val="center"/>
          </w:tcPr>
          <w:p w14:paraId="20636587">
            <w:pPr>
              <w:jc w:val="center"/>
              <w:rPr>
                <w:rFonts w:cs="仿宋" w:asciiTheme="minorEastAsia" w:hAnsiTheme="minorEastAsia" w:eastAsiaTheme="minorEastAsia"/>
                <w:b/>
                <w:bCs/>
                <w:color w:val="auto"/>
                <w:sz w:val="28"/>
                <w:szCs w:val="28"/>
                <w:highlight w:val="none"/>
              </w:rPr>
            </w:pPr>
            <w:r>
              <w:rPr>
                <w:rFonts w:hint="eastAsia" w:cs="仿宋" w:asciiTheme="minorEastAsia" w:hAnsiTheme="minorEastAsia" w:eastAsiaTheme="minorEastAsia"/>
                <w:b/>
                <w:bCs/>
                <w:color w:val="auto"/>
                <w:sz w:val="28"/>
                <w:szCs w:val="28"/>
                <w:highlight w:val="none"/>
              </w:rPr>
              <w:t>报价</w:t>
            </w:r>
          </w:p>
        </w:tc>
        <w:tc>
          <w:tcPr>
            <w:tcW w:w="3555" w:type="dxa"/>
            <w:tcBorders>
              <w:top w:val="single" w:color="auto" w:sz="4" w:space="0"/>
              <w:left w:val="single" w:color="auto" w:sz="4" w:space="0"/>
              <w:bottom w:val="single" w:color="auto" w:sz="4" w:space="0"/>
              <w:right w:val="single" w:color="auto" w:sz="4" w:space="0"/>
            </w:tcBorders>
            <w:vAlign w:val="center"/>
          </w:tcPr>
          <w:p w14:paraId="281295FF">
            <w:pPr>
              <w:jc w:val="center"/>
              <w:rPr>
                <w:rFonts w:hint="eastAsia" w:cs="仿宋" w:asciiTheme="minorEastAsia" w:hAnsiTheme="minorEastAsia" w:eastAsiaTheme="minorEastAsia"/>
                <w:b/>
                <w:bCs/>
                <w:color w:val="auto"/>
                <w:sz w:val="28"/>
                <w:szCs w:val="28"/>
                <w:highlight w:val="none"/>
                <w:lang w:val="en-US" w:eastAsia="zh-CN"/>
              </w:rPr>
            </w:pPr>
            <w:r>
              <w:rPr>
                <w:rFonts w:hint="eastAsia" w:cs="仿宋" w:asciiTheme="minorEastAsia" w:hAnsiTheme="minorEastAsia" w:eastAsiaTheme="minorEastAsia"/>
                <w:b/>
                <w:bCs/>
                <w:color w:val="auto"/>
                <w:sz w:val="28"/>
                <w:szCs w:val="28"/>
                <w:highlight w:val="none"/>
                <w:lang w:val="en-US" w:eastAsia="zh-CN"/>
              </w:rPr>
              <w:t>备注</w:t>
            </w:r>
          </w:p>
        </w:tc>
      </w:tr>
      <w:tr w14:paraId="15E8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186" w:type="dxa"/>
            <w:tcBorders>
              <w:top w:val="single" w:color="auto" w:sz="4" w:space="0"/>
              <w:left w:val="single" w:color="auto" w:sz="4" w:space="0"/>
              <w:bottom w:val="single" w:color="auto" w:sz="4" w:space="0"/>
              <w:right w:val="single" w:color="auto" w:sz="4" w:space="0"/>
            </w:tcBorders>
            <w:vAlign w:val="center"/>
          </w:tcPr>
          <w:p w14:paraId="5432A0C9">
            <w:pPr>
              <w:jc w:val="center"/>
              <w:rPr>
                <w:rFonts w:cs="仿宋" w:asciiTheme="minorEastAsia" w:hAnsiTheme="minorEastAsia" w:eastAsiaTheme="minorEastAsia"/>
                <w:b/>
                <w:bCs/>
                <w:color w:val="auto"/>
                <w:sz w:val="28"/>
                <w:szCs w:val="28"/>
                <w:highlight w:val="none"/>
              </w:rPr>
            </w:pPr>
            <w:r>
              <w:rPr>
                <w:rFonts w:hint="eastAsia" w:cs="仿宋" w:asciiTheme="minorEastAsia" w:hAnsiTheme="minorEastAsia" w:eastAsiaTheme="minorEastAsia"/>
                <w:b/>
                <w:bCs/>
                <w:color w:val="auto"/>
                <w:sz w:val="28"/>
                <w:szCs w:val="28"/>
                <w:highlight w:val="none"/>
              </w:rPr>
              <w:t>1</w:t>
            </w:r>
          </w:p>
        </w:tc>
        <w:tc>
          <w:tcPr>
            <w:tcW w:w="2460" w:type="dxa"/>
            <w:tcBorders>
              <w:top w:val="single" w:color="auto" w:sz="4" w:space="0"/>
              <w:left w:val="single" w:color="auto" w:sz="4" w:space="0"/>
              <w:bottom w:val="single" w:color="auto" w:sz="4" w:space="0"/>
              <w:right w:val="single" w:color="auto" w:sz="4" w:space="0"/>
            </w:tcBorders>
            <w:vAlign w:val="center"/>
          </w:tcPr>
          <w:p w14:paraId="2D3F2B8D">
            <w:pPr>
              <w:jc w:val="center"/>
              <w:rPr>
                <w:rFonts w:cs="仿宋" w:asciiTheme="minorEastAsia" w:hAnsiTheme="minorEastAsia" w:eastAsiaTheme="minorEastAsia"/>
                <w:b/>
                <w:bCs/>
                <w:color w:val="auto"/>
                <w:sz w:val="28"/>
                <w:szCs w:val="28"/>
                <w:highlight w:val="none"/>
              </w:rPr>
            </w:pPr>
            <w:r>
              <w:rPr>
                <w:rFonts w:cs="仿宋" w:asciiTheme="minorEastAsia" w:hAnsiTheme="minorEastAsia" w:eastAsiaTheme="minorEastAsia"/>
                <w:b/>
                <w:bCs/>
                <w:color w:val="auto"/>
                <w:sz w:val="28"/>
                <w:szCs w:val="28"/>
                <w:highlight w:val="none"/>
              </w:rPr>
              <w:t>发行债券总额</w:t>
            </w:r>
            <w:r>
              <w:rPr>
                <w:rFonts w:hint="eastAsia" w:cs="仿宋" w:asciiTheme="minorEastAsia" w:hAnsiTheme="minorEastAsia" w:eastAsiaTheme="minorEastAsia"/>
                <w:b/>
                <w:bCs/>
                <w:color w:val="auto"/>
                <w:sz w:val="28"/>
                <w:szCs w:val="28"/>
                <w:highlight w:val="none"/>
              </w:rPr>
              <w:t>（</w:t>
            </w:r>
            <w:r>
              <w:rPr>
                <w:rFonts w:cs="仿宋" w:asciiTheme="minorEastAsia" w:hAnsiTheme="minorEastAsia" w:eastAsiaTheme="minorEastAsia"/>
                <w:b/>
                <w:bCs/>
                <w:color w:val="auto"/>
                <w:sz w:val="28"/>
                <w:szCs w:val="28"/>
                <w:highlight w:val="none"/>
              </w:rPr>
              <w:t>【报费率】‰</w:t>
            </w:r>
            <w:r>
              <w:rPr>
                <w:rFonts w:hint="eastAsia" w:cs="仿宋" w:asciiTheme="minorEastAsia" w:hAnsiTheme="minorEastAsia" w:eastAsiaTheme="minorEastAsia"/>
                <w:b/>
                <w:bCs/>
                <w:color w:val="auto"/>
                <w:sz w:val="28"/>
                <w:szCs w:val="28"/>
                <w:highlight w:val="none"/>
              </w:rPr>
              <w:t>）</w:t>
            </w:r>
          </w:p>
        </w:tc>
        <w:tc>
          <w:tcPr>
            <w:tcW w:w="2100" w:type="dxa"/>
            <w:tcBorders>
              <w:top w:val="single" w:color="auto" w:sz="4" w:space="0"/>
              <w:left w:val="single" w:color="auto" w:sz="4" w:space="0"/>
              <w:bottom w:val="single" w:color="auto" w:sz="4" w:space="0"/>
              <w:right w:val="single" w:color="auto" w:sz="4" w:space="0"/>
            </w:tcBorders>
            <w:vAlign w:val="center"/>
          </w:tcPr>
          <w:p w14:paraId="0F8986EE">
            <w:pPr>
              <w:spacing w:line="360" w:lineRule="auto"/>
              <w:jc w:val="center"/>
              <w:rPr>
                <w:rFonts w:cs="仿宋" w:asciiTheme="minorEastAsia" w:hAnsiTheme="minorEastAsia" w:eastAsiaTheme="minorEastAsia"/>
                <w:b/>
                <w:bCs/>
                <w:color w:val="auto"/>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vAlign w:val="center"/>
          </w:tcPr>
          <w:p w14:paraId="46F2B3C3">
            <w:pPr>
              <w:spacing w:line="360" w:lineRule="auto"/>
              <w:jc w:val="center"/>
              <w:rPr>
                <w:rFonts w:cs="仿宋" w:asciiTheme="minorEastAsia" w:hAnsiTheme="minorEastAsia" w:eastAsiaTheme="minorEastAsia"/>
                <w:b/>
                <w:bCs/>
                <w:color w:val="auto"/>
                <w:sz w:val="28"/>
                <w:szCs w:val="28"/>
                <w:highlight w:val="none"/>
              </w:rPr>
            </w:pPr>
            <w:r>
              <w:rPr>
                <w:rFonts w:hint="eastAsia" w:cs="仿宋" w:asciiTheme="minorEastAsia" w:hAnsiTheme="minorEastAsia" w:eastAsiaTheme="minorEastAsia"/>
                <w:b/>
                <w:bCs/>
                <w:color w:val="auto"/>
                <w:sz w:val="24"/>
                <w:szCs w:val="24"/>
                <w:highlight w:val="none"/>
                <w:lang w:val="en-US" w:eastAsia="zh-CN"/>
              </w:rPr>
              <w:t>若发行期为5年，则按中标价</w:t>
            </w:r>
            <w:r>
              <w:rPr>
                <w:rFonts w:hint="eastAsia" w:ascii="宋体" w:hAnsi="宋体" w:cs="宋体"/>
                <w:b/>
                <w:bCs/>
                <w:color w:val="auto"/>
                <w:sz w:val="24"/>
                <w:highlight w:val="none"/>
              </w:rPr>
              <w:t>乘以发行额</w:t>
            </w:r>
            <w:r>
              <w:rPr>
                <w:rFonts w:hint="eastAsia" w:cs="仿宋" w:asciiTheme="minorEastAsia" w:hAnsiTheme="minorEastAsia" w:eastAsiaTheme="minorEastAsia"/>
                <w:b/>
                <w:bCs/>
                <w:color w:val="auto"/>
                <w:sz w:val="24"/>
                <w:szCs w:val="24"/>
                <w:highlight w:val="none"/>
                <w:lang w:val="en-US" w:eastAsia="zh-CN"/>
              </w:rPr>
              <w:t>支付承销费用；若发行期为3年，则按中标价的60%</w:t>
            </w:r>
            <w:r>
              <w:rPr>
                <w:rFonts w:hint="eastAsia" w:ascii="宋体" w:hAnsi="宋体" w:cs="宋体"/>
                <w:b/>
                <w:bCs/>
                <w:color w:val="auto"/>
                <w:sz w:val="24"/>
                <w:highlight w:val="none"/>
              </w:rPr>
              <w:t>乘以发行额</w:t>
            </w:r>
            <w:r>
              <w:rPr>
                <w:rFonts w:hint="eastAsia" w:cs="仿宋" w:asciiTheme="minorEastAsia" w:hAnsiTheme="minorEastAsia" w:eastAsiaTheme="minorEastAsia"/>
                <w:b/>
                <w:bCs/>
                <w:color w:val="auto"/>
                <w:sz w:val="24"/>
                <w:szCs w:val="24"/>
                <w:highlight w:val="none"/>
                <w:lang w:val="en-US" w:eastAsia="zh-CN"/>
              </w:rPr>
              <w:t>支付承销费用。</w:t>
            </w:r>
          </w:p>
        </w:tc>
      </w:tr>
    </w:tbl>
    <w:p w14:paraId="285AD659">
      <w:pPr>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 xml:space="preserve">                            </w:t>
      </w:r>
    </w:p>
    <w:p w14:paraId="28F0D3D0">
      <w:pPr>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说明：1、报价一经涂改，应在涂改处加盖单位公章或者由法定代表人（或法定负责人）或授权委托人签字或盖章，否则其响应文件作无效文件处理；</w:t>
      </w:r>
    </w:p>
    <w:p w14:paraId="5968185D">
      <w:pPr>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2、报价人的承销费用（费率）作为债券发行结束后计算承销费用总价的依据（即最终收费以实际发行规模×中标费率计算）。</w:t>
      </w:r>
    </w:p>
    <w:p w14:paraId="5F014224">
      <w:pPr>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3、投标报价应符合行业自律最新规定和要求，否则应在投标文件中提供合理的解释及理由，必要时需提交相关证明材料。投标人（供应商）如不能证明其报价合理性的，评标委员会有权将其作为无效投标处理。</w:t>
      </w:r>
    </w:p>
    <w:p w14:paraId="6068DA17">
      <w:pPr>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4、投标报价不得超过最高限价</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b/>
          <w:bCs/>
          <w:color w:val="auto"/>
          <w:sz w:val="24"/>
          <w:szCs w:val="24"/>
          <w:highlight w:val="none"/>
        </w:rPr>
        <w:t>发行债券总额的</w:t>
      </w:r>
      <w:r>
        <w:rPr>
          <w:rFonts w:hint="eastAsia" w:cs="仿宋" w:asciiTheme="minorEastAsia" w:hAnsiTheme="minorEastAsia" w:eastAsiaTheme="minorEastAsia"/>
          <w:b/>
          <w:bCs/>
          <w:color w:val="auto"/>
          <w:sz w:val="24"/>
          <w:szCs w:val="24"/>
          <w:highlight w:val="none"/>
          <w:lang w:val="en-US" w:eastAsia="zh-CN"/>
        </w:rPr>
        <w:t>3.8</w:t>
      </w:r>
      <w:r>
        <w:rPr>
          <w:rFonts w:hint="eastAsia" w:cs="仿宋" w:asciiTheme="minorEastAsia" w:hAnsiTheme="minorEastAsia" w:eastAsiaTheme="minorEastAsia"/>
          <w:b/>
          <w:bCs/>
          <w:color w:val="auto"/>
          <w:sz w:val="24"/>
          <w:szCs w:val="24"/>
          <w:highlight w:val="none"/>
        </w:rPr>
        <w:t>‰（含）</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，否则作无效标处理。</w:t>
      </w:r>
    </w:p>
    <w:p w14:paraId="1EDB56D2">
      <w:pPr>
        <w:pStyle w:val="2"/>
        <w:spacing w:before="12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5、合同承销费率按</w:t>
      </w:r>
      <w:r>
        <w:rPr>
          <w:rFonts w:hint="eastAsia" w:asciiTheme="minorEastAsia" w:hAnsiTheme="minorEastAsia" w:eastAsiaTheme="minorEastAsia" w:cstheme="minorEastAsia"/>
          <w:b/>
          <w:color w:val="auto"/>
          <w:highlight w:val="none"/>
          <w:lang w:val="en-US" w:eastAsia="zh-CN"/>
        </w:rPr>
        <w:t>三</w:t>
      </w:r>
      <w:r>
        <w:rPr>
          <w:rFonts w:hint="eastAsia" w:asciiTheme="minorEastAsia" w:hAnsiTheme="minorEastAsia" w:eastAsiaTheme="minorEastAsia" w:cstheme="minorEastAsia"/>
          <w:b/>
          <w:color w:val="auto"/>
          <w:highlight w:val="none"/>
        </w:rPr>
        <w:t>家中标人报价的最低值确定。</w:t>
      </w:r>
    </w:p>
    <w:p w14:paraId="246611E5">
      <w:pPr>
        <w:pStyle w:val="7"/>
        <w:rPr>
          <w:color w:val="auto"/>
          <w:highlight w:val="none"/>
        </w:rPr>
      </w:pPr>
    </w:p>
    <w:p w14:paraId="1DF95551">
      <w:pPr>
        <w:snapToGrid w:val="0"/>
        <w:spacing w:before="50" w:after="50" w:line="360" w:lineRule="auto"/>
        <w:ind w:firstLine="241" w:firstLineChars="100"/>
        <w:jc w:val="left"/>
        <w:rPr>
          <w:rFonts w:asciiTheme="minorEastAsia" w:hAnsiTheme="minorEastAsia" w:eastAsiaTheme="minorEastAsia"/>
          <w:b/>
          <w:bCs/>
          <w:color w:val="auto"/>
          <w:sz w:val="24"/>
          <w:highlight w:val="none"/>
        </w:rPr>
      </w:pPr>
    </w:p>
    <w:p w14:paraId="27E7B5DE">
      <w:pPr>
        <w:snapToGrid w:val="0"/>
        <w:spacing w:before="50" w:after="50" w:line="360" w:lineRule="auto"/>
        <w:ind w:firstLine="241" w:firstLineChars="100"/>
        <w:jc w:val="left"/>
        <w:rPr>
          <w:rFonts w:asciiTheme="minorEastAsia" w:hAnsiTheme="minorEastAsia" w:eastAsiaTheme="minorEastAsia"/>
          <w:b/>
          <w:bCs/>
          <w:color w:val="auto"/>
          <w:sz w:val="24"/>
          <w:highlight w:val="none"/>
        </w:rPr>
      </w:pPr>
    </w:p>
    <w:p w14:paraId="29ECAF47">
      <w:pPr>
        <w:pStyle w:val="21"/>
        <w:ind w:firstLine="466"/>
        <w:rPr>
          <w:rFonts w:asciiTheme="minorEastAsia" w:hAnsiTheme="minorEastAsia" w:eastAsiaTheme="minorEastAsia"/>
          <w:b/>
          <w:bCs/>
          <w:color w:val="auto"/>
          <w:sz w:val="24"/>
          <w:highlight w:val="none"/>
        </w:rPr>
      </w:pPr>
    </w:p>
    <w:p w14:paraId="76173CB5">
      <w:pPr>
        <w:spacing w:line="480" w:lineRule="auto"/>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 xml:space="preserve">主承销商名称（盖章）：                      </w:t>
      </w:r>
    </w:p>
    <w:p w14:paraId="1B1D3D2A">
      <w:pPr>
        <w:spacing w:line="480" w:lineRule="auto"/>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 xml:space="preserve">法定代表人（或法定负责人）或授权代表（签章）：            </w:t>
      </w:r>
    </w:p>
    <w:p w14:paraId="7120B5F4">
      <w:pPr>
        <w:spacing w:line="480" w:lineRule="auto"/>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sz w:val="28"/>
          <w:szCs w:val="28"/>
          <w:highlight w:val="none"/>
        </w:rPr>
        <w:t xml:space="preserve">日        期： </w:t>
      </w:r>
    </w:p>
    <w:p w14:paraId="26FF7E46">
      <w:pPr>
        <w:pStyle w:val="21"/>
        <w:ind w:left="0" w:leftChars="0" w:firstLine="0" w:firstLineChars="0"/>
        <w:rPr>
          <w:rFonts w:asciiTheme="minorEastAsia" w:hAnsiTheme="minorEastAsia" w:eastAsiaTheme="minorEastAsia"/>
          <w:color w:val="auto"/>
          <w:highlight w:val="none"/>
        </w:rPr>
      </w:pPr>
    </w:p>
    <w:sectPr>
      <w:footerReference r:id="rId9" w:type="default"/>
      <w:pgSz w:w="11906" w:h="16838"/>
      <w:pgMar w:top="1091" w:right="1418" w:bottom="1588" w:left="1418" w:header="851" w:footer="992" w:gutter="0"/>
      <w:cols w:space="720" w:num="1"/>
      <w:docGrid w:linePitch="6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_x0004_falt">
    <w:altName w:val="PMingLiU-ExtB"/>
    <w:panose1 w:val="000000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Helvetica">
    <w:panose1 w:val="020B0604020202020204"/>
    <w:charset w:val="00"/>
    <w:family w:val="swiss"/>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1B68">
    <w:pPr>
      <w:tabs>
        <w:tab w:val="center" w:pos="4153"/>
        <w:tab w:val="right" w:pos="8306"/>
      </w:tabs>
      <w:snapToGrid w:val="0"/>
      <w:ind w:right="360"/>
      <w:rPr>
        <w:rFonts w:ascii="Verdana" w:hAnsi="Verdana" w:eastAsia="黑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BF477">
    <w:pPr>
      <w:tabs>
        <w:tab w:val="center" w:pos="4153"/>
        <w:tab w:val="right" w:pos="8306"/>
      </w:tabs>
      <w:snapToGrid w:val="0"/>
      <w:ind w:right="360"/>
      <w:rPr>
        <w:rFonts w:ascii="Verdana" w:hAnsi="Verdana" w:eastAsia="黑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9FD61">
    <w:pPr>
      <w:framePr w:wrap="around" w:vAnchor="text" w:hAnchor="margin" w:xAlign="center" w:y="1"/>
      <w:tabs>
        <w:tab w:val="center" w:pos="4153"/>
        <w:tab w:val="right" w:pos="8306"/>
      </w:tabs>
      <w:snapToGrid w:val="0"/>
      <w:jc w:val="right"/>
      <w:textAlignment w:val="baseline"/>
      <w:rPr>
        <w:sz w:val="24"/>
        <w:lang w:eastAsia="en-US"/>
      </w:rPr>
    </w:pPr>
    <w:r>
      <w:rPr>
        <w:rFonts w:hint="eastAsia"/>
        <w:sz w:val="24"/>
        <w:lang w:eastAsia="en-US"/>
      </w:rPr>
      <w:t xml:space="preserve">— </w:t>
    </w:r>
    <w:r>
      <w:rPr>
        <w:sz w:val="24"/>
      </w:rPr>
      <w:fldChar w:fldCharType="begin"/>
    </w:r>
    <w:r>
      <w:rPr>
        <w:sz w:val="24"/>
      </w:rPr>
      <w:instrText xml:space="preserve">PAGE</w:instrText>
    </w:r>
    <w:r>
      <w:rPr>
        <w:sz w:val="24"/>
      </w:rPr>
      <w:fldChar w:fldCharType="separate"/>
    </w:r>
    <w:r>
      <w:rPr>
        <w:sz w:val="24"/>
      </w:rPr>
      <w:t>19</w:t>
    </w:r>
    <w:r>
      <w:rPr>
        <w:sz w:val="24"/>
      </w:rPr>
      <w:fldChar w:fldCharType="end"/>
    </w:r>
    <w:r>
      <w:rPr>
        <w:rFonts w:hint="eastAsia"/>
        <w:sz w:val="24"/>
        <w:lang w:eastAsia="en-US"/>
      </w:rPr>
      <w:t xml:space="preserve"> —</w:t>
    </w:r>
  </w:p>
  <w:p w14:paraId="3E3450EB">
    <w:pPr>
      <w:tabs>
        <w:tab w:val="center" w:pos="4153"/>
        <w:tab w:val="right" w:pos="8306"/>
      </w:tabs>
      <w:snapToGrid w:val="0"/>
      <w:ind w:right="360"/>
      <w:jc w:val="center"/>
      <w:rPr>
        <w:rFonts w:ascii="Verdana" w:hAnsi="Verdana" w:eastAsia="黑体"/>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2167A">
    <w:pPr>
      <w:tabs>
        <w:tab w:val="center" w:pos="4153"/>
        <w:tab w:val="right" w:pos="8306"/>
      </w:tabs>
      <w:snapToGrid w:val="0"/>
      <w:ind w:right="720"/>
      <w:jc w:val="left"/>
      <w:rPr>
        <w:rFonts w:ascii="Verdana" w:hAnsi="Verdana" w:eastAsia="黑体"/>
        <w:sz w:val="18"/>
      </w:rPr>
    </w:pPr>
    <w:r>
      <w:rPr>
        <w:rFonts w:hint="eastAsia" w:ascii="Verdana" w:hAnsi="Verdana" w:eastAsia="黑体"/>
        <w:sz w:val="18"/>
      </w:rPr>
      <w:t xml:space="preserve">                                                    </w:t>
    </w:r>
    <w:r>
      <w:rPr>
        <w:rFonts w:ascii="Verdana" w:hAnsi="Verdana" w:eastAsia="黑体"/>
        <w:sz w:val="18"/>
      </w:rPr>
      <w:fldChar w:fldCharType="begin"/>
    </w:r>
    <w:r>
      <w:rPr>
        <w:rFonts w:ascii="Verdana" w:hAnsi="Verdana" w:eastAsia="黑体"/>
        <w:sz w:val="18"/>
      </w:rPr>
      <w:instrText xml:space="preserve">PAGE</w:instrText>
    </w:r>
    <w:r>
      <w:rPr>
        <w:rFonts w:ascii="Verdana" w:hAnsi="Verdana" w:eastAsia="黑体"/>
      </w:rPr>
      <w:fldChar w:fldCharType="separate"/>
    </w:r>
    <w:r>
      <w:rPr>
        <w:rFonts w:ascii="Verdana" w:hAnsi="Verdana" w:eastAsia="黑体"/>
        <w:sz w:val="18"/>
      </w:rPr>
      <w:t>32</w:t>
    </w:r>
    <w:r>
      <w:rPr>
        <w:rFonts w:ascii="Verdana" w:hAnsi="Verdana" w:eastAsia="黑体"/>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DF776">
    <w:pPr>
      <w:framePr w:wrap="around" w:vAnchor="text" w:hAnchor="margin" w:xAlign="right" w:y="1"/>
      <w:tabs>
        <w:tab w:val="center" w:pos="4153"/>
        <w:tab w:val="right" w:pos="8306"/>
      </w:tabs>
      <w:snapToGrid w:val="0"/>
      <w:jc w:val="left"/>
      <w:textAlignment w:val="baseline"/>
      <w:rPr>
        <w:rFonts w:ascii="Verdana" w:hAnsi="Verdana" w:eastAsia="黑体"/>
        <w:lang w:eastAsia="en-US"/>
      </w:rPr>
    </w:pPr>
  </w:p>
  <w:p w14:paraId="626E6070">
    <w:pPr>
      <w:framePr w:wrap="around" w:vAnchor="text" w:hAnchor="page" w:x="1645" w:y="82"/>
      <w:tabs>
        <w:tab w:val="center" w:pos="4153"/>
        <w:tab w:val="right" w:pos="8306"/>
      </w:tabs>
      <w:snapToGrid w:val="0"/>
      <w:ind w:right="360"/>
      <w:jc w:val="left"/>
      <w:textAlignment w:val="baseline"/>
      <w:rPr>
        <w:rFonts w:ascii="Verdana" w:hAnsi="Verdana" w:eastAsia="黑体"/>
        <w:sz w:val="28"/>
        <w:lang w:eastAsia="en-US"/>
      </w:rPr>
    </w:pPr>
  </w:p>
  <w:p w14:paraId="29ECB915">
    <w:pPr>
      <w:tabs>
        <w:tab w:val="center" w:pos="4153"/>
        <w:tab w:val="right" w:pos="8306"/>
      </w:tabs>
      <w:snapToGrid w:val="0"/>
      <w:ind w:right="360"/>
      <w:jc w:val="center"/>
      <w:rPr>
        <w:rFonts w:ascii="Verdana" w:hAnsi="Verdana" w:eastAsia="黑体"/>
        <w:sz w:val="18"/>
      </w:rPr>
    </w:pPr>
    <w:r>
      <w:rPr>
        <w:rFonts w:ascii="Verdana" w:hAnsi="Verdana" w:eastAsia="黑体"/>
        <w:sz w:val="18"/>
      </w:rPr>
      <w:fldChar w:fldCharType="begin"/>
    </w:r>
    <w:r>
      <w:rPr>
        <w:rFonts w:ascii="Verdana" w:hAnsi="Verdana" w:eastAsia="黑体"/>
        <w:sz w:val="18"/>
      </w:rPr>
      <w:instrText xml:space="preserve">PAGE</w:instrText>
    </w:r>
    <w:r>
      <w:rPr>
        <w:rFonts w:ascii="Verdana" w:hAnsi="Verdana" w:eastAsia="黑体"/>
      </w:rPr>
      <w:fldChar w:fldCharType="separate"/>
    </w:r>
    <w:r>
      <w:rPr>
        <w:rFonts w:ascii="Verdana" w:hAnsi="Verdana" w:eastAsia="黑体"/>
        <w:sz w:val="18"/>
      </w:rPr>
      <w:t>34</w:t>
    </w:r>
    <w:r>
      <w:rPr>
        <w:rFonts w:ascii="Verdana" w:hAnsi="Verdana" w:eastAsia="黑体"/>
        <w:sz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8D7D1">
    <w:pPr>
      <w:tabs>
        <w:tab w:val="center" w:pos="4153"/>
        <w:tab w:val="right" w:pos="8306"/>
      </w:tabs>
      <w:snapToGrid w:val="0"/>
      <w:rPr>
        <w:rFonts w:eastAsia="仿宋_GB2312"/>
        <w:b/>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2772">
    <w:pPr>
      <w:snapToGrid w:val="0"/>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BDEE8"/>
    <w:multiLevelType w:val="singleLevel"/>
    <w:tmpl w:val="84BBDEE8"/>
    <w:lvl w:ilvl="0" w:tentative="0">
      <w:start w:val="1"/>
      <w:numFmt w:val="decimal"/>
      <w:pStyle w:val="6"/>
      <w:lvlText w:val="%1."/>
      <w:lvlJc w:val="left"/>
      <w:pPr>
        <w:tabs>
          <w:tab w:val="left" w:pos="360"/>
        </w:tabs>
        <w:ind w:left="360" w:hanging="360"/>
      </w:pPr>
    </w:lvl>
  </w:abstractNum>
  <w:abstractNum w:abstractNumId="1">
    <w:nsid w:val="8D2DF710"/>
    <w:multiLevelType w:val="singleLevel"/>
    <w:tmpl w:val="8D2DF710"/>
    <w:lvl w:ilvl="0" w:tentative="0">
      <w:start w:val="1"/>
      <w:numFmt w:val="decimal"/>
      <w:suff w:val="nothing"/>
      <w:lvlText w:val="%1、"/>
      <w:lvlJc w:val="left"/>
    </w:lvl>
  </w:abstractNum>
  <w:abstractNum w:abstractNumId="2">
    <w:nsid w:val="DD8BF935"/>
    <w:multiLevelType w:val="singleLevel"/>
    <w:tmpl w:val="DD8BF935"/>
    <w:lvl w:ilvl="0" w:tentative="0">
      <w:start w:val="2"/>
      <w:numFmt w:val="chineseCounting"/>
      <w:suff w:val="nothing"/>
      <w:lvlText w:val="%1、"/>
      <w:lvlJc w:val="left"/>
      <w:rPr>
        <w:rFonts w:hint="eastAsia"/>
      </w:rPr>
    </w:lvl>
  </w:abstractNum>
  <w:abstractNum w:abstractNumId="3">
    <w:nsid w:val="DE273C64"/>
    <w:multiLevelType w:val="singleLevel"/>
    <w:tmpl w:val="DE273C64"/>
    <w:lvl w:ilvl="0" w:tentative="0">
      <w:start w:val="4"/>
      <w:numFmt w:val="decimal"/>
      <w:suff w:val="nothing"/>
      <w:lvlText w:val="（%1）"/>
      <w:lvlJc w:val="left"/>
    </w:lvl>
  </w:abstractNum>
  <w:abstractNum w:abstractNumId="4">
    <w:nsid w:val="2659A50F"/>
    <w:multiLevelType w:val="singleLevel"/>
    <w:tmpl w:val="2659A50F"/>
    <w:lvl w:ilvl="0" w:tentative="0">
      <w:start w:val="1"/>
      <w:numFmt w:val="decimal"/>
      <w:suff w:val="nothing"/>
      <w:lvlText w:val="%1、"/>
      <w:lvlJc w:val="left"/>
    </w:lvl>
  </w:abstractNum>
  <w:abstractNum w:abstractNumId="5">
    <w:nsid w:val="5C946295"/>
    <w:multiLevelType w:val="multilevel"/>
    <w:tmpl w:val="5C946295"/>
    <w:lvl w:ilvl="0" w:tentative="0">
      <w:start w:val="1"/>
      <w:numFmt w:val="chineseCounting"/>
      <w:lvlText w:val="第%1章"/>
      <w:lvlJc w:val="left"/>
      <w:pPr>
        <w:ind w:left="5386" w:hanging="1275"/>
      </w:pPr>
      <w:rPr>
        <w:rFonts w:hint="eastAsia"/>
        <w:b/>
        <w:bCs/>
        <w:w w:val="100"/>
      </w:rPr>
    </w:lvl>
    <w:lvl w:ilvl="1" w:tentative="0">
      <w:start w:val="1"/>
      <w:numFmt w:val="chineseCounting"/>
      <w:lvlText w:val="%2、"/>
      <w:lvlJc w:val="left"/>
      <w:pPr>
        <w:ind w:left="2040" w:hanging="720"/>
      </w:pPr>
      <w:rPr>
        <w:rFonts w:hint="default"/>
        <w:w w:val="100"/>
      </w:rPr>
    </w:lvl>
    <w:lvl w:ilvl="2" w:tentative="0">
      <w:start w:val="1"/>
      <w:numFmt w:val="lowerRoman"/>
      <w:lvlText w:val="%3."/>
      <w:lvlJc w:val="right"/>
      <w:pPr>
        <w:ind w:left="2160" w:hanging="420"/>
      </w:pPr>
      <w:rPr>
        <w:rFonts w:hint="default"/>
        <w:w w:val="100"/>
      </w:rPr>
    </w:lvl>
    <w:lvl w:ilvl="3" w:tentative="0">
      <w:start w:val="1"/>
      <w:numFmt w:val="decimal"/>
      <w:lvlText w:val="%4."/>
      <w:lvlJc w:val="left"/>
      <w:pPr>
        <w:ind w:left="2580" w:hanging="420"/>
      </w:pPr>
      <w:rPr>
        <w:rFonts w:hint="default"/>
        <w:w w:val="100"/>
      </w:rPr>
    </w:lvl>
    <w:lvl w:ilvl="4" w:tentative="0">
      <w:start w:val="1"/>
      <w:numFmt w:val="lowerLetter"/>
      <w:lvlText w:val="%5)"/>
      <w:lvlJc w:val="left"/>
      <w:pPr>
        <w:ind w:left="3000" w:hanging="420"/>
      </w:pPr>
      <w:rPr>
        <w:rFonts w:hint="default"/>
        <w:w w:val="100"/>
      </w:rPr>
    </w:lvl>
    <w:lvl w:ilvl="5" w:tentative="0">
      <w:start w:val="1"/>
      <w:numFmt w:val="lowerRoman"/>
      <w:lvlText w:val="%6."/>
      <w:lvlJc w:val="right"/>
      <w:pPr>
        <w:ind w:left="3420" w:hanging="420"/>
      </w:pPr>
      <w:rPr>
        <w:rFonts w:hint="default"/>
        <w:w w:val="100"/>
      </w:rPr>
    </w:lvl>
    <w:lvl w:ilvl="6" w:tentative="0">
      <w:start w:val="1"/>
      <w:numFmt w:val="decimal"/>
      <w:lvlText w:val="%7."/>
      <w:lvlJc w:val="left"/>
      <w:pPr>
        <w:ind w:left="3840" w:hanging="420"/>
      </w:pPr>
      <w:rPr>
        <w:rFonts w:hint="default"/>
        <w:w w:val="100"/>
      </w:rPr>
    </w:lvl>
    <w:lvl w:ilvl="7" w:tentative="0">
      <w:start w:val="1"/>
      <w:numFmt w:val="lowerLetter"/>
      <w:lvlText w:val="%8)"/>
      <w:lvlJc w:val="left"/>
      <w:pPr>
        <w:ind w:left="4260" w:hanging="420"/>
      </w:pPr>
      <w:rPr>
        <w:rFonts w:hint="default"/>
        <w:w w:val="100"/>
      </w:rPr>
    </w:lvl>
    <w:lvl w:ilvl="8" w:tentative="0">
      <w:start w:val="1"/>
      <w:numFmt w:val="lowerRoman"/>
      <w:lvlText w:val="%9."/>
      <w:lvlJc w:val="right"/>
      <w:pPr>
        <w:ind w:left="4680" w:hanging="420"/>
      </w:pPr>
      <w:rPr>
        <w:rFonts w:hint="default"/>
        <w:w w:val="100"/>
      </w:rPr>
    </w:lvl>
  </w:abstractNum>
  <w:abstractNum w:abstractNumId="6">
    <w:nsid w:val="6D4A0D85"/>
    <w:multiLevelType w:val="singleLevel"/>
    <w:tmpl w:val="6D4A0D85"/>
    <w:lvl w:ilvl="0" w:tentative="0">
      <w:start w:val="3"/>
      <w:numFmt w:val="chineseCounting"/>
      <w:suff w:val="space"/>
      <w:lvlText w:val="第%1章"/>
      <w:lvlJc w:val="left"/>
      <w:rPr>
        <w:rFonts w:hint="eastAsia"/>
      </w:rPr>
    </w:lvl>
  </w:abstractNum>
  <w:abstractNum w:abstractNumId="7">
    <w:nsid w:val="7DBDC3E9"/>
    <w:multiLevelType w:val="singleLevel"/>
    <w:tmpl w:val="7DBDC3E9"/>
    <w:lvl w:ilvl="0" w:tentative="0">
      <w:start w:val="7"/>
      <w:numFmt w:val="chineseCounting"/>
      <w:suff w:val="nothing"/>
      <w:lvlText w:val="%1、"/>
      <w:lvlJc w:val="left"/>
      <w:rPr>
        <w:rFonts w:hint="eastAsia"/>
      </w:rPr>
    </w:lvl>
  </w:abstractNum>
  <w:num w:numId="1">
    <w:abstractNumId w:val="0"/>
  </w:num>
  <w:num w:numId="2">
    <w:abstractNumId w:val="5"/>
  </w:num>
  <w:num w:numId="3">
    <w:abstractNumId w:val="6"/>
  </w:num>
  <w:num w:numId="4">
    <w:abstractNumId w:val="3"/>
  </w:num>
  <w:num w:numId="5">
    <w:abstractNumId w:val="7"/>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zM4ZjQ5N2M2YTU4MjI1YjdmMDlhMWYyYWM3NjkifQ=="/>
  </w:docVars>
  <w:rsids>
    <w:rsidRoot w:val="7D6413F2"/>
    <w:rsid w:val="0000171D"/>
    <w:rsid w:val="00032F2D"/>
    <w:rsid w:val="00087819"/>
    <w:rsid w:val="000A525D"/>
    <w:rsid w:val="000C7A65"/>
    <w:rsid w:val="000D5888"/>
    <w:rsid w:val="0010586E"/>
    <w:rsid w:val="0015092B"/>
    <w:rsid w:val="00171B72"/>
    <w:rsid w:val="00191BF3"/>
    <w:rsid w:val="001A1C0C"/>
    <w:rsid w:val="001B3615"/>
    <w:rsid w:val="001C42F2"/>
    <w:rsid w:val="001F7CAE"/>
    <w:rsid w:val="00224399"/>
    <w:rsid w:val="0024531A"/>
    <w:rsid w:val="0026401C"/>
    <w:rsid w:val="002B3500"/>
    <w:rsid w:val="003713E6"/>
    <w:rsid w:val="003849F9"/>
    <w:rsid w:val="0040388B"/>
    <w:rsid w:val="00454DE3"/>
    <w:rsid w:val="0048530D"/>
    <w:rsid w:val="004C0D1D"/>
    <w:rsid w:val="004C4BE5"/>
    <w:rsid w:val="004C5FCA"/>
    <w:rsid w:val="004F6C52"/>
    <w:rsid w:val="005A02AB"/>
    <w:rsid w:val="005B1D7C"/>
    <w:rsid w:val="00601C3A"/>
    <w:rsid w:val="00610056"/>
    <w:rsid w:val="006457EE"/>
    <w:rsid w:val="006B193D"/>
    <w:rsid w:val="00727930"/>
    <w:rsid w:val="0074689E"/>
    <w:rsid w:val="007E1E82"/>
    <w:rsid w:val="007E3232"/>
    <w:rsid w:val="00823F49"/>
    <w:rsid w:val="008448A0"/>
    <w:rsid w:val="00887B96"/>
    <w:rsid w:val="008E32EF"/>
    <w:rsid w:val="009371AC"/>
    <w:rsid w:val="00941163"/>
    <w:rsid w:val="009607B7"/>
    <w:rsid w:val="00974A4B"/>
    <w:rsid w:val="00A01387"/>
    <w:rsid w:val="00A25D8F"/>
    <w:rsid w:val="00A26AAD"/>
    <w:rsid w:val="00A339B6"/>
    <w:rsid w:val="00A452D8"/>
    <w:rsid w:val="00A71EF7"/>
    <w:rsid w:val="00AE2E29"/>
    <w:rsid w:val="00B04198"/>
    <w:rsid w:val="00B27E65"/>
    <w:rsid w:val="00B66148"/>
    <w:rsid w:val="00B71531"/>
    <w:rsid w:val="00BA7E31"/>
    <w:rsid w:val="00BB6DC1"/>
    <w:rsid w:val="00BE07B8"/>
    <w:rsid w:val="00C22863"/>
    <w:rsid w:val="00C677FA"/>
    <w:rsid w:val="00CD0DB2"/>
    <w:rsid w:val="00D459E6"/>
    <w:rsid w:val="00DA39D6"/>
    <w:rsid w:val="00DC662F"/>
    <w:rsid w:val="00DF3833"/>
    <w:rsid w:val="00E671AA"/>
    <w:rsid w:val="00E7211B"/>
    <w:rsid w:val="00E928F6"/>
    <w:rsid w:val="00E97998"/>
    <w:rsid w:val="00EE186A"/>
    <w:rsid w:val="00F75259"/>
    <w:rsid w:val="00FB202B"/>
    <w:rsid w:val="00FE680C"/>
    <w:rsid w:val="00FF6976"/>
    <w:rsid w:val="027C1FDF"/>
    <w:rsid w:val="0281551E"/>
    <w:rsid w:val="037A67EF"/>
    <w:rsid w:val="04E1624B"/>
    <w:rsid w:val="056A33CB"/>
    <w:rsid w:val="058663AA"/>
    <w:rsid w:val="06A75CA3"/>
    <w:rsid w:val="06B43D0A"/>
    <w:rsid w:val="070B6B66"/>
    <w:rsid w:val="07323ECA"/>
    <w:rsid w:val="074814AB"/>
    <w:rsid w:val="07B51508"/>
    <w:rsid w:val="07EE0D06"/>
    <w:rsid w:val="08A249AB"/>
    <w:rsid w:val="090E1097"/>
    <w:rsid w:val="09356563"/>
    <w:rsid w:val="09704623"/>
    <w:rsid w:val="097547A3"/>
    <w:rsid w:val="09D744AE"/>
    <w:rsid w:val="0A7D63EA"/>
    <w:rsid w:val="0A7E116D"/>
    <w:rsid w:val="0B294938"/>
    <w:rsid w:val="0B6525A9"/>
    <w:rsid w:val="0BC64DE4"/>
    <w:rsid w:val="0C6869D8"/>
    <w:rsid w:val="0D013CEC"/>
    <w:rsid w:val="0D785E89"/>
    <w:rsid w:val="0D870FBC"/>
    <w:rsid w:val="0DB519B8"/>
    <w:rsid w:val="0EE8501B"/>
    <w:rsid w:val="0F2B29B3"/>
    <w:rsid w:val="0F3C5A6D"/>
    <w:rsid w:val="0F6670A4"/>
    <w:rsid w:val="0FF42060"/>
    <w:rsid w:val="108005C5"/>
    <w:rsid w:val="109B6012"/>
    <w:rsid w:val="10C01410"/>
    <w:rsid w:val="114F14E4"/>
    <w:rsid w:val="11A402E3"/>
    <w:rsid w:val="11F86AF4"/>
    <w:rsid w:val="12DB1AB9"/>
    <w:rsid w:val="135372D9"/>
    <w:rsid w:val="136D2548"/>
    <w:rsid w:val="14657950"/>
    <w:rsid w:val="148A6BDD"/>
    <w:rsid w:val="14C802CD"/>
    <w:rsid w:val="14FF6C4D"/>
    <w:rsid w:val="15316332"/>
    <w:rsid w:val="15560EFE"/>
    <w:rsid w:val="15737D53"/>
    <w:rsid w:val="15DF7221"/>
    <w:rsid w:val="16094BB9"/>
    <w:rsid w:val="164C361B"/>
    <w:rsid w:val="179464C7"/>
    <w:rsid w:val="186802BC"/>
    <w:rsid w:val="188B1777"/>
    <w:rsid w:val="18D909AD"/>
    <w:rsid w:val="196E6944"/>
    <w:rsid w:val="199E7A8B"/>
    <w:rsid w:val="19B80DD0"/>
    <w:rsid w:val="1A2E200F"/>
    <w:rsid w:val="1A790FF9"/>
    <w:rsid w:val="1B952776"/>
    <w:rsid w:val="1BD8147D"/>
    <w:rsid w:val="1C18455E"/>
    <w:rsid w:val="1C660E7B"/>
    <w:rsid w:val="1CD31B86"/>
    <w:rsid w:val="1D293437"/>
    <w:rsid w:val="1DB80832"/>
    <w:rsid w:val="1E2370C3"/>
    <w:rsid w:val="1E3020C1"/>
    <w:rsid w:val="1E9B33CF"/>
    <w:rsid w:val="1ECB78D6"/>
    <w:rsid w:val="1F1D603F"/>
    <w:rsid w:val="1F1F544D"/>
    <w:rsid w:val="1F667A24"/>
    <w:rsid w:val="1F730199"/>
    <w:rsid w:val="21E12EE9"/>
    <w:rsid w:val="237869FA"/>
    <w:rsid w:val="237C270C"/>
    <w:rsid w:val="24422A4A"/>
    <w:rsid w:val="24E875F4"/>
    <w:rsid w:val="255049DB"/>
    <w:rsid w:val="258C2FD9"/>
    <w:rsid w:val="25A4687B"/>
    <w:rsid w:val="25D87DF8"/>
    <w:rsid w:val="26747E2C"/>
    <w:rsid w:val="267B1F7C"/>
    <w:rsid w:val="26974D12"/>
    <w:rsid w:val="26C12A39"/>
    <w:rsid w:val="27005407"/>
    <w:rsid w:val="28296544"/>
    <w:rsid w:val="28357830"/>
    <w:rsid w:val="286319B4"/>
    <w:rsid w:val="28E1291A"/>
    <w:rsid w:val="294549E0"/>
    <w:rsid w:val="2A060ACC"/>
    <w:rsid w:val="2A5B036E"/>
    <w:rsid w:val="2A633DB4"/>
    <w:rsid w:val="2B963FD2"/>
    <w:rsid w:val="2BC27F72"/>
    <w:rsid w:val="2BCA4FCD"/>
    <w:rsid w:val="2BD927BF"/>
    <w:rsid w:val="2C2F7B89"/>
    <w:rsid w:val="2C7D5BE5"/>
    <w:rsid w:val="2CE55A8D"/>
    <w:rsid w:val="2D3C541C"/>
    <w:rsid w:val="2D7A1CF2"/>
    <w:rsid w:val="2D9961EA"/>
    <w:rsid w:val="2EBC745E"/>
    <w:rsid w:val="2F495C37"/>
    <w:rsid w:val="2FF67B04"/>
    <w:rsid w:val="30971751"/>
    <w:rsid w:val="313841F9"/>
    <w:rsid w:val="314D7A35"/>
    <w:rsid w:val="319F2055"/>
    <w:rsid w:val="31B77767"/>
    <w:rsid w:val="31E53CB9"/>
    <w:rsid w:val="31FC517A"/>
    <w:rsid w:val="32664520"/>
    <w:rsid w:val="32EA40E2"/>
    <w:rsid w:val="33B46765"/>
    <w:rsid w:val="35033696"/>
    <w:rsid w:val="36D02516"/>
    <w:rsid w:val="36D6243D"/>
    <w:rsid w:val="37A97B52"/>
    <w:rsid w:val="37E24E13"/>
    <w:rsid w:val="37F06303"/>
    <w:rsid w:val="380971E9"/>
    <w:rsid w:val="38156E87"/>
    <w:rsid w:val="384E6050"/>
    <w:rsid w:val="388D37D9"/>
    <w:rsid w:val="398924B4"/>
    <w:rsid w:val="39D924F2"/>
    <w:rsid w:val="3A273C29"/>
    <w:rsid w:val="3A5D2479"/>
    <w:rsid w:val="3BA05E83"/>
    <w:rsid w:val="3BB74969"/>
    <w:rsid w:val="3C1C5E64"/>
    <w:rsid w:val="3C87377F"/>
    <w:rsid w:val="3CD47D57"/>
    <w:rsid w:val="3CED6A55"/>
    <w:rsid w:val="3D140943"/>
    <w:rsid w:val="3D4E754D"/>
    <w:rsid w:val="3D506BEC"/>
    <w:rsid w:val="3DC02F13"/>
    <w:rsid w:val="3DC72E56"/>
    <w:rsid w:val="3E3F5EA6"/>
    <w:rsid w:val="3E5F240E"/>
    <w:rsid w:val="3F2179D0"/>
    <w:rsid w:val="405930B4"/>
    <w:rsid w:val="40AA0BC3"/>
    <w:rsid w:val="419053B3"/>
    <w:rsid w:val="41AA69A0"/>
    <w:rsid w:val="420A5AAC"/>
    <w:rsid w:val="4242307D"/>
    <w:rsid w:val="42A41642"/>
    <w:rsid w:val="42A8137E"/>
    <w:rsid w:val="432A353D"/>
    <w:rsid w:val="43A55671"/>
    <w:rsid w:val="43F14D5A"/>
    <w:rsid w:val="454C73D3"/>
    <w:rsid w:val="4603181D"/>
    <w:rsid w:val="46843C64"/>
    <w:rsid w:val="469A0FAE"/>
    <w:rsid w:val="46B65864"/>
    <w:rsid w:val="475F4AF6"/>
    <w:rsid w:val="47975C19"/>
    <w:rsid w:val="48C10B1B"/>
    <w:rsid w:val="48CE566A"/>
    <w:rsid w:val="49264338"/>
    <w:rsid w:val="494649F5"/>
    <w:rsid w:val="4965713C"/>
    <w:rsid w:val="496F2830"/>
    <w:rsid w:val="49E86F5B"/>
    <w:rsid w:val="4AA27349"/>
    <w:rsid w:val="4AF33166"/>
    <w:rsid w:val="4AFB54E6"/>
    <w:rsid w:val="4BAD3F19"/>
    <w:rsid w:val="4C0D5B37"/>
    <w:rsid w:val="4C657850"/>
    <w:rsid w:val="4C6A05E8"/>
    <w:rsid w:val="4CC22E90"/>
    <w:rsid w:val="4CD62D3F"/>
    <w:rsid w:val="4CFF1212"/>
    <w:rsid w:val="4D2605E9"/>
    <w:rsid w:val="4D525CFF"/>
    <w:rsid w:val="4E380387"/>
    <w:rsid w:val="4E4C19F7"/>
    <w:rsid w:val="4E883B1E"/>
    <w:rsid w:val="4E892B8E"/>
    <w:rsid w:val="4EBE2176"/>
    <w:rsid w:val="4FF25022"/>
    <w:rsid w:val="505353F6"/>
    <w:rsid w:val="50C71D5C"/>
    <w:rsid w:val="511C70FB"/>
    <w:rsid w:val="51271B1A"/>
    <w:rsid w:val="521A0421"/>
    <w:rsid w:val="52346D3C"/>
    <w:rsid w:val="52E635B0"/>
    <w:rsid w:val="532E5683"/>
    <w:rsid w:val="533E71E0"/>
    <w:rsid w:val="53D578AD"/>
    <w:rsid w:val="53E66E14"/>
    <w:rsid w:val="547F0A35"/>
    <w:rsid w:val="54871B46"/>
    <w:rsid w:val="560050EF"/>
    <w:rsid w:val="56970DE1"/>
    <w:rsid w:val="5699538C"/>
    <w:rsid w:val="573C0BB2"/>
    <w:rsid w:val="578C3672"/>
    <w:rsid w:val="58C654D2"/>
    <w:rsid w:val="598C2E2E"/>
    <w:rsid w:val="59AE6DE5"/>
    <w:rsid w:val="5A403EEE"/>
    <w:rsid w:val="5AF111AE"/>
    <w:rsid w:val="5B4419EE"/>
    <w:rsid w:val="5D936930"/>
    <w:rsid w:val="5DD02C46"/>
    <w:rsid w:val="5E607E8E"/>
    <w:rsid w:val="5E6C3504"/>
    <w:rsid w:val="5E9842F9"/>
    <w:rsid w:val="5FE4046F"/>
    <w:rsid w:val="5FED7A1A"/>
    <w:rsid w:val="6015711E"/>
    <w:rsid w:val="60163E55"/>
    <w:rsid w:val="6123112A"/>
    <w:rsid w:val="616D233A"/>
    <w:rsid w:val="619C7C5C"/>
    <w:rsid w:val="61F4407A"/>
    <w:rsid w:val="625C7281"/>
    <w:rsid w:val="628232F6"/>
    <w:rsid w:val="62C5049D"/>
    <w:rsid w:val="63021198"/>
    <w:rsid w:val="630E0E15"/>
    <w:rsid w:val="6342662A"/>
    <w:rsid w:val="635C4C51"/>
    <w:rsid w:val="63DA6282"/>
    <w:rsid w:val="63E47698"/>
    <w:rsid w:val="64BE66D0"/>
    <w:rsid w:val="66435EB6"/>
    <w:rsid w:val="666B3F5A"/>
    <w:rsid w:val="666F6B5A"/>
    <w:rsid w:val="667F243D"/>
    <w:rsid w:val="66E8597A"/>
    <w:rsid w:val="67FF5EDE"/>
    <w:rsid w:val="6812761A"/>
    <w:rsid w:val="6894053C"/>
    <w:rsid w:val="690E299F"/>
    <w:rsid w:val="69913749"/>
    <w:rsid w:val="69D07541"/>
    <w:rsid w:val="69E95A08"/>
    <w:rsid w:val="69EC54F9"/>
    <w:rsid w:val="69F80677"/>
    <w:rsid w:val="6A1F142A"/>
    <w:rsid w:val="6A2340F2"/>
    <w:rsid w:val="6AF47D35"/>
    <w:rsid w:val="6AFE7C52"/>
    <w:rsid w:val="6B01001A"/>
    <w:rsid w:val="6BBE44BC"/>
    <w:rsid w:val="6BD24A85"/>
    <w:rsid w:val="6BDD626F"/>
    <w:rsid w:val="6C5A5ECB"/>
    <w:rsid w:val="6C65456C"/>
    <w:rsid w:val="6CB80597"/>
    <w:rsid w:val="6D254FA9"/>
    <w:rsid w:val="6E3F626F"/>
    <w:rsid w:val="6E8E1C62"/>
    <w:rsid w:val="6F122237"/>
    <w:rsid w:val="6F6951CC"/>
    <w:rsid w:val="6FC80A67"/>
    <w:rsid w:val="702C31A4"/>
    <w:rsid w:val="706306D4"/>
    <w:rsid w:val="70A669B7"/>
    <w:rsid w:val="71720A1B"/>
    <w:rsid w:val="71907DCD"/>
    <w:rsid w:val="721D044D"/>
    <w:rsid w:val="732C2FC7"/>
    <w:rsid w:val="736B0F1A"/>
    <w:rsid w:val="73C93162"/>
    <w:rsid w:val="74C37E08"/>
    <w:rsid w:val="74DA48CB"/>
    <w:rsid w:val="75124456"/>
    <w:rsid w:val="75210520"/>
    <w:rsid w:val="75500334"/>
    <w:rsid w:val="755328D0"/>
    <w:rsid w:val="759977D9"/>
    <w:rsid w:val="75DE488F"/>
    <w:rsid w:val="767523E5"/>
    <w:rsid w:val="76B64059"/>
    <w:rsid w:val="77C82108"/>
    <w:rsid w:val="783A38D3"/>
    <w:rsid w:val="785E3A65"/>
    <w:rsid w:val="78F60948"/>
    <w:rsid w:val="7A087E09"/>
    <w:rsid w:val="7AE17595"/>
    <w:rsid w:val="7AEB689B"/>
    <w:rsid w:val="7B087CB8"/>
    <w:rsid w:val="7B0D60FF"/>
    <w:rsid w:val="7B114DBF"/>
    <w:rsid w:val="7B4946AF"/>
    <w:rsid w:val="7B4C4132"/>
    <w:rsid w:val="7B6B53DD"/>
    <w:rsid w:val="7D2725A1"/>
    <w:rsid w:val="7D3862AA"/>
    <w:rsid w:val="7D6413F2"/>
    <w:rsid w:val="7D667904"/>
    <w:rsid w:val="7D7C2375"/>
    <w:rsid w:val="7E930B66"/>
    <w:rsid w:val="7ED24DA3"/>
    <w:rsid w:val="7F1A5E82"/>
    <w:rsid w:val="7F6556D9"/>
    <w:rsid w:val="7FC551C1"/>
    <w:rsid w:val="7FD22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ind w:left="1020"/>
      <w:outlineLvl w:val="1"/>
    </w:pPr>
    <w:rPr>
      <w:rFonts w:ascii="PMingLiU_x0004_falt" w:hAnsi="PMingLiU_x0004_falt" w:eastAsia="PMingLiU_x0004_falt" w:cs="PMingLiU_x0004_falt"/>
      <w:sz w:val="24"/>
      <w:lang w:val="zh-CN"/>
    </w:rPr>
  </w:style>
  <w:style w:type="paragraph" w:styleId="5">
    <w:name w:val="heading 4"/>
    <w:basedOn w:val="1"/>
    <w:next w:val="1"/>
    <w:qFormat/>
    <w:uiPriority w:val="0"/>
    <w:pPr>
      <w:keepNext/>
      <w:keepLines/>
      <w:spacing w:beforeLines="0" w:after="290" w:line="372" w:lineRule="auto"/>
      <w:outlineLvl w:val="3"/>
    </w:pPr>
    <w:rPr>
      <w:rFonts w:ascii="Arial" w:hAnsi="Arial" w:eastAsia="黑体"/>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spacing w:beforeLines="50" w:after="120" w:line="300" w:lineRule="auto"/>
      <w:ind w:firstLine="480"/>
    </w:pPr>
    <w:rPr>
      <w:rFonts w:ascii="Helvetica" w:hAnsi="Helvetica"/>
      <w:sz w:val="24"/>
    </w:rPr>
  </w:style>
  <w:style w:type="paragraph" w:styleId="6">
    <w:name w:val="List Number"/>
    <w:basedOn w:val="1"/>
    <w:qFormat/>
    <w:uiPriority w:val="0"/>
    <w:pPr>
      <w:numPr>
        <w:ilvl w:val="0"/>
        <w:numId w:val="1"/>
      </w:numPr>
    </w:pPr>
  </w:style>
  <w:style w:type="paragraph" w:styleId="7">
    <w:name w:val="Normal Indent"/>
    <w:basedOn w:val="1"/>
    <w:unhideWhenUsed/>
    <w:qFormat/>
    <w:uiPriority w:val="99"/>
    <w:pPr>
      <w:ind w:firstLine="420"/>
    </w:pPr>
  </w:style>
  <w:style w:type="paragraph" w:styleId="8">
    <w:name w:val="caption"/>
    <w:basedOn w:val="1"/>
    <w:next w:val="1"/>
    <w:qFormat/>
    <w:uiPriority w:val="99"/>
    <w:pPr>
      <w:spacing w:before="152" w:after="160"/>
    </w:pPr>
    <w:rPr>
      <w:rFonts w:ascii="Arial" w:hAnsi="Arial" w:eastAsia="黑体" w:cs="Arial"/>
    </w:rPr>
  </w:style>
  <w:style w:type="paragraph" w:styleId="9">
    <w:name w:val="Document Map"/>
    <w:basedOn w:val="1"/>
    <w:qFormat/>
    <w:uiPriority w:val="99"/>
    <w:rPr>
      <w:rFonts w:ascii="宋体"/>
      <w:sz w:val="18"/>
      <w:szCs w:val="18"/>
    </w:rPr>
  </w:style>
  <w:style w:type="paragraph" w:styleId="10">
    <w:name w:val="annotation text"/>
    <w:basedOn w:val="1"/>
    <w:qFormat/>
    <w:uiPriority w:val="0"/>
    <w:pPr>
      <w:jc w:val="left"/>
    </w:pPr>
  </w:style>
  <w:style w:type="paragraph" w:styleId="11">
    <w:name w:val="Body Text"/>
    <w:basedOn w:val="1"/>
    <w:next w:val="12"/>
    <w:qFormat/>
    <w:uiPriority w:val="0"/>
    <w:rPr>
      <w:sz w:val="28"/>
    </w:rPr>
  </w:style>
  <w:style w:type="paragraph" w:styleId="12">
    <w:name w:val="Body Text First Indent"/>
    <w:basedOn w:val="11"/>
    <w:next w:val="13"/>
    <w:qFormat/>
    <w:uiPriority w:val="0"/>
    <w:pPr>
      <w:ind w:firstLine="420" w:firstLineChars="100"/>
    </w:pPr>
  </w:style>
  <w:style w:type="paragraph" w:styleId="13">
    <w:name w:val="toc 6"/>
    <w:basedOn w:val="1"/>
    <w:next w:val="1"/>
    <w:qFormat/>
    <w:uiPriority w:val="99"/>
    <w:pPr>
      <w:ind w:left="2100" w:leftChars="1000"/>
    </w:pPr>
  </w:style>
  <w:style w:type="paragraph" w:styleId="14">
    <w:name w:val="Body Text Indent"/>
    <w:basedOn w:val="1"/>
    <w:next w:val="7"/>
    <w:unhideWhenUsed/>
    <w:qFormat/>
    <w:uiPriority w:val="99"/>
    <w:pPr>
      <w:spacing w:line="200" w:lineRule="exact"/>
      <w:ind w:firstLine="301"/>
    </w:pPr>
    <w:rPr>
      <w:rFonts w:ascii="宋体" w:hAnsi="Courier New" w:cs="宋体"/>
      <w:spacing w:val="-4"/>
      <w:kern w:val="2"/>
      <w:sz w:val="18"/>
      <w:szCs w:val="18"/>
    </w:rPr>
  </w:style>
  <w:style w:type="paragraph" w:styleId="15">
    <w:name w:val="Plain Text"/>
    <w:basedOn w:val="1"/>
    <w:next w:val="1"/>
    <w:unhideWhenUsed/>
    <w:qFormat/>
    <w:uiPriority w:val="99"/>
    <w:pPr>
      <w:spacing w:before="156" w:beforeLines="50" w:after="156" w:afterLines="50" w:line="400" w:lineRule="exact"/>
    </w:pPr>
    <w:rPr>
      <w:rFonts w:ascii="宋体" w:hAnsi="Courier New"/>
      <w:sz w:val="24"/>
    </w:rPr>
  </w:style>
  <w:style w:type="paragraph" w:styleId="16">
    <w:name w:val="Balloon Text"/>
    <w:basedOn w:val="1"/>
    <w:link w:val="32"/>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envelope return"/>
    <w:basedOn w:val="1"/>
    <w:qFormat/>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19">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20">
    <w:name w:val="Title"/>
    <w:basedOn w:val="1"/>
    <w:next w:val="1"/>
    <w:link w:val="33"/>
    <w:qFormat/>
    <w:uiPriority w:val="0"/>
    <w:pPr>
      <w:widowControl/>
      <w:overflowPunct w:val="0"/>
      <w:autoSpaceDE w:val="0"/>
      <w:autoSpaceDN w:val="0"/>
      <w:adjustRightInd w:val="0"/>
      <w:jc w:val="center"/>
      <w:textAlignment w:val="baseline"/>
    </w:pPr>
    <w:rPr>
      <w:b/>
      <w:sz w:val="24"/>
      <w:lang w:val="en-GB"/>
    </w:rPr>
  </w:style>
  <w:style w:type="paragraph" w:styleId="21">
    <w:name w:val="Body Text First Indent 2"/>
    <w:basedOn w:val="14"/>
    <w:next w:val="1"/>
    <w:unhideWhenUsed/>
    <w:qFormat/>
    <w:uiPriority w:val="99"/>
    <w:pPr>
      <w:ind w:firstLine="420" w:firstLineChars="200"/>
    </w:pPr>
    <w:rPr>
      <w:rFonts w:ascii="仿宋_GB2312" w:eastAsia="仿宋_GB2312"/>
      <w:szCs w:val="21"/>
    </w:rPr>
  </w:style>
  <w:style w:type="character" w:styleId="24">
    <w:name w:val="Hyperlink"/>
    <w:basedOn w:val="23"/>
    <w:qFormat/>
    <w:uiPriority w:val="0"/>
    <w:rPr>
      <w:color w:val="0000FF"/>
      <w:sz w:val="20"/>
      <w:u w:val="single"/>
    </w:rPr>
  </w:style>
  <w:style w:type="paragraph" w:customStyle="1" w:styleId="25">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段"/>
    <w:basedOn w:val="1"/>
    <w:qFormat/>
    <w:uiPriority w:val="0"/>
    <w:pPr>
      <w:widowControl/>
      <w:snapToGrid w:val="0"/>
      <w:spacing w:after="50" w:afterLines="50"/>
      <w:ind w:firstLine="200" w:firstLineChars="200"/>
    </w:pPr>
    <w:rPr>
      <w:sz w:val="24"/>
    </w:rPr>
  </w:style>
  <w:style w:type="paragraph" w:customStyle="1" w:styleId="27">
    <w:name w:val="正文1"/>
    <w:basedOn w:val="9"/>
    <w:next w:val="1"/>
    <w:qFormat/>
    <w:uiPriority w:val="99"/>
    <w:pPr>
      <w:widowControl/>
      <w:overflowPunct w:val="0"/>
      <w:autoSpaceDE w:val="0"/>
      <w:autoSpaceDN w:val="0"/>
      <w:adjustRightInd w:val="0"/>
      <w:spacing w:line="400" w:lineRule="exact"/>
      <w:textAlignment w:val="baseline"/>
    </w:pPr>
    <w:rPr>
      <w:sz w:val="24"/>
      <w:szCs w:val="20"/>
    </w:rPr>
  </w:style>
  <w:style w:type="paragraph" w:customStyle="1" w:styleId="28">
    <w:name w:val="列出段落1"/>
    <w:basedOn w:val="1"/>
    <w:qFormat/>
    <w:uiPriority w:val="34"/>
    <w:pPr>
      <w:ind w:firstLine="420" w:firstLineChars="200"/>
    </w:pPr>
    <w:rPr>
      <w:rFonts w:ascii="Calibri" w:hAnsi="Calibri"/>
      <w:kern w:val="2"/>
      <w:sz w:val="21"/>
      <w:szCs w:val="22"/>
    </w:rPr>
  </w:style>
  <w:style w:type="paragraph" w:customStyle="1" w:styleId="29">
    <w:name w:val="样式 表格正文 + 两端对齐"/>
    <w:basedOn w:val="1"/>
    <w:next w:val="27"/>
    <w:qFormat/>
    <w:uiPriority w:val="0"/>
    <w:pPr>
      <w:spacing w:line="300" w:lineRule="auto"/>
    </w:pPr>
  </w:style>
  <w:style w:type="paragraph" w:customStyle="1" w:styleId="30">
    <w:name w:val="_Style 1"/>
    <w:qFormat/>
    <w:uiPriority w:val="0"/>
    <w:rPr>
      <w:rFonts w:ascii="Calibri" w:hAnsi="Calibri" w:eastAsia="宋体" w:cs="Times New Roman"/>
      <w:kern w:val="2"/>
      <w:sz w:val="28"/>
      <w:szCs w:val="22"/>
      <w:lang w:val="en-US" w:eastAsia="zh-CN" w:bidi="ar-SA"/>
    </w:rPr>
  </w:style>
  <w:style w:type="character" w:customStyle="1" w:styleId="31">
    <w:name w:val="页眉 Char"/>
    <w:basedOn w:val="23"/>
    <w:link w:val="19"/>
    <w:qFormat/>
    <w:uiPriority w:val="0"/>
    <w:rPr>
      <w:sz w:val="18"/>
      <w:szCs w:val="18"/>
    </w:rPr>
  </w:style>
  <w:style w:type="character" w:customStyle="1" w:styleId="32">
    <w:name w:val="批注框文本 Char"/>
    <w:basedOn w:val="23"/>
    <w:link w:val="16"/>
    <w:qFormat/>
    <w:uiPriority w:val="0"/>
    <w:rPr>
      <w:sz w:val="18"/>
      <w:szCs w:val="18"/>
    </w:rPr>
  </w:style>
  <w:style w:type="character" w:customStyle="1" w:styleId="33">
    <w:name w:val="标题 Char"/>
    <w:link w:val="20"/>
    <w:qFormat/>
    <w:uiPriority w:val="0"/>
    <w:rPr>
      <w:b/>
      <w:sz w:val="24"/>
      <w:lang w:val="en-GB"/>
    </w:rPr>
  </w:style>
  <w:style w:type="character" w:customStyle="1" w:styleId="34">
    <w:name w:val="标题 Char1"/>
    <w:basedOn w:val="23"/>
    <w:qFormat/>
    <w:uiPriority w:val="0"/>
    <w:rPr>
      <w:rFonts w:asciiTheme="majorHAnsi" w:hAnsiTheme="majorHAnsi" w:cstheme="majorBidi"/>
      <w:b/>
      <w:bCs/>
      <w:sz w:val="32"/>
      <w:szCs w:val="32"/>
    </w:rPr>
  </w:style>
  <w:style w:type="paragraph" w:customStyle="1" w:styleId="35">
    <w:name w:val="首行缩进"/>
    <w:basedOn w:val="1"/>
    <w:qFormat/>
    <w:uiPriority w:val="0"/>
    <w:pPr>
      <w:widowControl/>
      <w:tabs>
        <w:tab w:val="left" w:pos="822"/>
      </w:tabs>
      <w:snapToGrid w:val="0"/>
      <w:spacing w:before="40" w:after="40" w:line="300" w:lineRule="atLeast"/>
      <w:ind w:left="1701"/>
    </w:pPr>
    <w:rPr>
      <w:rFonts w:ascii="Arial" w:hAnsi="Arial"/>
      <w:sz w:val="21"/>
    </w:rPr>
  </w:style>
  <w:style w:type="paragraph" w:styleId="3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hyj</Company>
  <Pages>39</Pages>
  <Words>21324</Words>
  <Characters>22911</Characters>
  <Lines>161</Lines>
  <Paragraphs>45</Paragraphs>
  <TotalTime>9</TotalTime>
  <ScaleCrop>false</ScaleCrop>
  <LinksUpToDate>false</LinksUpToDate>
  <CharactersWithSpaces>24134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2022-11-16T02:15:00Z</dcterms:created>
  <dc:creator>Administrator</dc:creator>
  <cp:lastModifiedBy>戚夫人</cp:lastModifiedBy>
  <cp:lastPrinted>2024-12-20T03:55:00Z</cp:lastPrinted>
  <dcterms:modified xsi:type="dcterms:W3CDTF">2024-12-29T08:17:25Z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2C26D33A1F9241928FBABC62CA2FBCED_13</vt:lpwstr>
  </property>
  <property fmtid="{D5CDD505-2E9C-101B-9397-08002B2CF9AE}" pid="4" name="KSOTemplateDocerSaveRecord">
    <vt:lpwstr>eyJoZGlkIjoiNzJiODY2OTk3YTg3M2M3OTA5NmNkNjgwYjFkZjA0MzEiLCJ1c2VySWQiOiIzNTM5NDQyMTIifQ==</vt:lpwstr>
  </property>
</Properties>
</file>