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4D2869B8">
      <w:pPr>
        <w:overflowPunct w:val="0"/>
        <w:autoSpaceDE w:val="0"/>
        <w:autoSpaceDN w:val="0"/>
        <w:spacing w:line="500" w:lineRule="atLeast"/>
        <w:jc w:val="center"/>
        <w:textAlignment w:val="bottom"/>
        <w:rPr>
          <w:rFonts w:ascii="宋体" w:cs="宋体"/>
          <w:bCs/>
          <w:sz w:val="96"/>
          <w:szCs w:val="96"/>
        </w:rPr>
      </w:pPr>
      <w:bookmarkStart w:id="0" w:name="_Toc2470"/>
      <w:bookmarkStart w:id="1" w:name="_Toc230773770"/>
      <w:r>
        <w:rPr>
          <w:rFonts w:hint="eastAsia" w:ascii="宋体" w:cs="宋体"/>
          <w:b/>
          <w:bCs/>
          <w:spacing w:val="120"/>
          <w:sz w:val="96"/>
          <w:szCs w:val="96"/>
        </w:rPr>
        <w:t>温州市国有企业</w:t>
      </w:r>
    </w:p>
    <w:p w14:paraId="25A50F9E">
      <w:pPr>
        <w:overflowPunct w:val="0"/>
        <w:spacing w:line="400" w:lineRule="atLeast"/>
        <w:rPr>
          <w:rFonts w:ascii="宋体" w:cs="宋体"/>
          <w:b/>
          <w:sz w:val="56"/>
          <w:szCs w:val="28"/>
        </w:rPr>
      </w:pPr>
    </w:p>
    <w:p w14:paraId="123BA1A0">
      <w:pPr>
        <w:overflowPunct w:val="0"/>
        <w:spacing w:line="400" w:lineRule="atLeast"/>
        <w:rPr>
          <w:rFonts w:ascii="宋体" w:cs="宋体"/>
          <w:b/>
          <w:sz w:val="56"/>
          <w:szCs w:val="28"/>
        </w:rPr>
      </w:pPr>
    </w:p>
    <w:p w14:paraId="5332E12D">
      <w:pPr>
        <w:overflowPunct w:val="0"/>
        <w:autoSpaceDE w:val="0"/>
        <w:autoSpaceDN w:val="0"/>
        <w:spacing w:line="500" w:lineRule="atLeast"/>
        <w:jc w:val="center"/>
        <w:textAlignment w:val="bottom"/>
        <w:rPr>
          <w:rFonts w:ascii="宋体" w:cs="宋体"/>
          <w:b/>
          <w:sz w:val="96"/>
          <w:szCs w:val="96"/>
        </w:rPr>
      </w:pPr>
      <w:r>
        <w:rPr>
          <w:rFonts w:hint="eastAsia" w:ascii="宋体" w:cs="宋体"/>
          <w:b/>
          <w:bCs/>
          <w:sz w:val="96"/>
          <w:szCs w:val="96"/>
        </w:rPr>
        <w:t>采 购 文 件</w:t>
      </w:r>
    </w:p>
    <w:p w14:paraId="6CCBA274">
      <w:pPr>
        <w:overflowPunct w:val="0"/>
        <w:spacing w:line="400" w:lineRule="atLeast"/>
        <w:jc w:val="center"/>
        <w:rPr>
          <w:rFonts w:ascii="宋体" w:cs="宋体"/>
          <w:b/>
          <w:bCs/>
          <w:sz w:val="32"/>
          <w:szCs w:val="32"/>
        </w:rPr>
      </w:pPr>
    </w:p>
    <w:p w14:paraId="6E4E7FCD">
      <w:pPr>
        <w:overflowPunct w:val="0"/>
        <w:spacing w:line="400" w:lineRule="atLeast"/>
        <w:jc w:val="center"/>
        <w:rPr>
          <w:rFonts w:ascii="宋体" w:cs="宋体"/>
          <w:b/>
          <w:bCs/>
          <w:sz w:val="32"/>
          <w:szCs w:val="32"/>
        </w:rPr>
      </w:pPr>
    </w:p>
    <w:p w14:paraId="25EC29AD">
      <w:pPr>
        <w:tabs>
          <w:tab w:val="left" w:pos="4860"/>
        </w:tabs>
        <w:overflowPunct w:val="0"/>
        <w:spacing w:line="600" w:lineRule="exact"/>
        <w:ind w:right="1143"/>
        <w:jc w:val="left"/>
        <w:rPr>
          <w:rFonts w:ascii="宋体" w:cs="宋体"/>
          <w:b/>
          <w:spacing w:val="40"/>
          <w:sz w:val="30"/>
          <w:szCs w:val="30"/>
        </w:rPr>
      </w:pPr>
    </w:p>
    <w:p w14:paraId="4B42ED3C">
      <w:pPr>
        <w:tabs>
          <w:tab w:val="left" w:pos="4860"/>
        </w:tabs>
        <w:overflowPunct w:val="0"/>
        <w:spacing w:line="600" w:lineRule="exact"/>
        <w:ind w:right="1143" w:firstLine="1807" w:firstLineChars="600"/>
        <w:jc w:val="left"/>
        <w:rPr>
          <w:rFonts w:ascii="宋体" w:cs="宋体"/>
          <w:b/>
          <w:sz w:val="30"/>
          <w:szCs w:val="30"/>
        </w:rPr>
      </w:pPr>
      <w:r>
        <w:rPr>
          <w:rFonts w:hint="eastAsia" w:ascii="宋体" w:cs="宋体"/>
          <w:b/>
          <w:sz w:val="30"/>
          <w:szCs w:val="30"/>
        </w:rPr>
        <w:t>项目编号：</w:t>
      </w:r>
      <w:r>
        <w:rPr>
          <w:rFonts w:hint="eastAsia" w:ascii="宋体" w:hAnsi="Times New Roman" w:eastAsia="宋体" w:cs="宋体"/>
          <w:b/>
          <w:sz w:val="30"/>
          <w:szCs w:val="30"/>
        </w:rPr>
        <w:t> WGSS-GYJT-Z-2025003</w:t>
      </w:r>
    </w:p>
    <w:p w14:paraId="07B23756">
      <w:pPr>
        <w:tabs>
          <w:tab w:val="left" w:pos="4860"/>
        </w:tabs>
        <w:overflowPunct w:val="0"/>
        <w:spacing w:line="600" w:lineRule="exact"/>
        <w:ind w:right="1143" w:firstLine="1807" w:firstLineChars="600"/>
        <w:jc w:val="left"/>
        <w:rPr>
          <w:rFonts w:ascii="宋体" w:cs="宋体"/>
          <w:b/>
          <w:sz w:val="30"/>
          <w:szCs w:val="30"/>
        </w:rPr>
      </w:pPr>
      <w:r>
        <w:rPr>
          <w:rFonts w:hint="eastAsia" w:ascii="宋体" w:cs="宋体"/>
          <w:b/>
          <w:sz w:val="30"/>
          <w:szCs w:val="30"/>
        </w:rPr>
        <w:t>项目名称：</w:t>
      </w:r>
      <w:bookmarkStart w:id="2" w:name="OLE_LINK13"/>
      <w:r>
        <w:rPr>
          <w:rFonts w:hint="eastAsia" w:ascii="宋体" w:cs="宋体"/>
          <w:b/>
          <w:sz w:val="30"/>
          <w:szCs w:val="30"/>
        </w:rPr>
        <w:t>信创资源池扩容</w:t>
      </w:r>
    </w:p>
    <w:bookmarkEnd w:id="2"/>
    <w:p w14:paraId="7DC27CF2">
      <w:pPr>
        <w:tabs>
          <w:tab w:val="left" w:pos="4860"/>
          <w:tab w:val="left" w:pos="6077"/>
        </w:tabs>
        <w:overflowPunct w:val="0"/>
        <w:spacing w:line="600" w:lineRule="exact"/>
        <w:ind w:right="1143" w:firstLine="1807" w:firstLineChars="600"/>
        <w:jc w:val="left"/>
        <w:rPr>
          <w:rFonts w:ascii="宋体" w:cs="宋体"/>
          <w:b/>
          <w:sz w:val="30"/>
          <w:szCs w:val="30"/>
        </w:rPr>
      </w:pPr>
      <w:r>
        <w:rPr>
          <w:rFonts w:hint="eastAsia" w:ascii="宋体" w:cs="宋体"/>
          <w:b/>
          <w:sz w:val="30"/>
          <w:szCs w:val="30"/>
        </w:rPr>
        <w:t>采购方式：公开招标</w:t>
      </w:r>
      <w:r>
        <w:rPr>
          <w:rFonts w:hint="eastAsia" w:ascii="宋体" w:cs="宋体"/>
          <w:b/>
          <w:sz w:val="30"/>
          <w:szCs w:val="30"/>
        </w:rPr>
        <w:tab/>
      </w:r>
    </w:p>
    <w:p w14:paraId="687D1F78">
      <w:pPr>
        <w:overflowPunct w:val="0"/>
        <w:jc w:val="center"/>
        <w:rPr>
          <w:rFonts w:ascii="宋体" w:cs="宋体"/>
          <w:b/>
          <w:bCs/>
          <w:sz w:val="24"/>
        </w:rPr>
      </w:pPr>
    </w:p>
    <w:p w14:paraId="08FDEEA1">
      <w:pPr>
        <w:overflowPunct w:val="0"/>
        <w:jc w:val="center"/>
        <w:rPr>
          <w:rFonts w:ascii="宋体" w:cs="宋体"/>
          <w:b/>
          <w:bCs/>
          <w:sz w:val="24"/>
        </w:rPr>
      </w:pPr>
    </w:p>
    <w:p w14:paraId="583225D5">
      <w:pPr>
        <w:pStyle w:val="2"/>
      </w:pPr>
    </w:p>
    <w:p w14:paraId="39B1E642">
      <w:pPr>
        <w:pStyle w:val="3"/>
        <w:ind w:firstLine="210"/>
      </w:pPr>
    </w:p>
    <w:p w14:paraId="00E22ECC">
      <w:pPr>
        <w:pStyle w:val="38"/>
      </w:pPr>
    </w:p>
    <w:p w14:paraId="4DF59A5F"/>
    <w:p w14:paraId="02190DF8"/>
    <w:p w14:paraId="74DAFF74">
      <w:pPr>
        <w:overflowPunct w:val="0"/>
        <w:rPr>
          <w:rFonts w:ascii="宋体" w:cs="宋体"/>
          <w:b/>
          <w:bCs/>
          <w:sz w:val="24"/>
        </w:rPr>
      </w:pPr>
    </w:p>
    <w:p w14:paraId="75EB1258">
      <w:pPr>
        <w:pStyle w:val="3"/>
        <w:ind w:firstLine="0" w:firstLineChars="0"/>
      </w:pPr>
    </w:p>
    <w:p w14:paraId="6A399D99">
      <w:pPr>
        <w:tabs>
          <w:tab w:val="left" w:pos="3424"/>
          <w:tab w:val="left" w:pos="4860"/>
        </w:tabs>
        <w:overflowPunct w:val="0"/>
        <w:spacing w:line="600" w:lineRule="exact"/>
        <w:ind w:left="848" w:leftChars="404" w:right="1145"/>
        <w:jc w:val="left"/>
        <w:rPr>
          <w:rFonts w:ascii="宋体" w:cs="宋体"/>
          <w:b/>
          <w:sz w:val="30"/>
          <w:szCs w:val="30"/>
        </w:rPr>
      </w:pPr>
      <w:r>
        <w:rPr>
          <w:rFonts w:hint="eastAsia" w:ascii="宋体" w:cs="宋体"/>
          <w:b/>
          <w:sz w:val="30"/>
          <w:szCs w:val="30"/>
        </w:rPr>
        <w:t>采   购   人：温州市公用事业发展集团有限公司</w:t>
      </w:r>
    </w:p>
    <w:p w14:paraId="2CEE9E5B">
      <w:pPr>
        <w:tabs>
          <w:tab w:val="left" w:pos="3424"/>
          <w:tab w:val="left" w:pos="4860"/>
        </w:tabs>
        <w:overflowPunct w:val="0"/>
        <w:spacing w:line="600" w:lineRule="exact"/>
        <w:ind w:right="1145" w:firstLine="904" w:firstLineChars="300"/>
        <w:jc w:val="left"/>
        <w:rPr>
          <w:rFonts w:ascii="宋体" w:cs="宋体"/>
          <w:b/>
          <w:sz w:val="30"/>
          <w:szCs w:val="30"/>
        </w:rPr>
      </w:pPr>
      <w:r>
        <w:rPr>
          <w:rFonts w:hint="eastAsia" w:ascii="宋体" w:cs="宋体"/>
          <w:b/>
          <w:sz w:val="30"/>
          <w:szCs w:val="30"/>
        </w:rPr>
        <w:t>采购代理机构：</w:t>
      </w:r>
      <w:r>
        <w:rPr>
          <w:rFonts w:hint="eastAsia" w:ascii="宋体" w:hAnsi="Times New Roman" w:eastAsia="宋体" w:cs="宋体"/>
          <w:b/>
          <w:kern w:val="2"/>
          <w:sz w:val="30"/>
          <w:szCs w:val="30"/>
          <w:shd w:val="clear"/>
          <w:lang w:eastAsia="zh-CN"/>
        </w:rPr>
        <w:t>温州建设集团建筑设计院有限公司</w:t>
      </w:r>
    </w:p>
    <w:p w14:paraId="47DFCAD6">
      <w:pPr>
        <w:pStyle w:val="2"/>
        <w:jc w:val="center"/>
        <w:rPr>
          <w:rFonts w:ascii="宋体" w:cs="宋体"/>
          <w:b/>
          <w:spacing w:val="40"/>
          <w:sz w:val="30"/>
          <w:szCs w:val="30"/>
        </w:rPr>
      </w:pPr>
    </w:p>
    <w:p w14:paraId="1E5C714E">
      <w:pPr>
        <w:pStyle w:val="2"/>
        <w:jc w:val="center"/>
        <w:rPr>
          <w:rFonts w:ascii="宋体" w:cs="宋体"/>
          <w:b/>
          <w:spacing w:val="40"/>
          <w:sz w:val="30"/>
          <w:szCs w:val="30"/>
        </w:rPr>
      </w:pPr>
    </w:p>
    <w:p w14:paraId="34812469">
      <w:pPr>
        <w:pStyle w:val="2"/>
        <w:jc w:val="center"/>
        <w:rPr>
          <w:rFonts w:cs="宋体"/>
          <w:sz w:val="36"/>
          <w:szCs w:val="36"/>
        </w:rPr>
      </w:pPr>
      <w:r>
        <w:rPr>
          <w:rFonts w:hint="eastAsia" w:ascii="宋体" w:cs="宋体"/>
          <w:b/>
          <w:spacing w:val="40"/>
          <w:sz w:val="30"/>
          <w:szCs w:val="30"/>
        </w:rPr>
        <w:t>二〇二五年三月</w:t>
      </w:r>
    </w:p>
    <w:p w14:paraId="2D5CD854">
      <w:pPr>
        <w:pStyle w:val="4"/>
        <w:jc w:val="center"/>
        <w:rPr>
          <w:rFonts w:cs="宋体"/>
          <w:sz w:val="36"/>
          <w:szCs w:val="36"/>
        </w:rPr>
        <w:sectPr>
          <w:headerReference r:id="rId4" w:type="default"/>
          <w:footerReference r:id="rId5" w:type="default"/>
          <w:footerReference r:id="rId6" w:type="even"/>
          <w:pgSz w:w="11906" w:h="16838"/>
          <w:pgMar w:top="1134" w:right="1134" w:bottom="1134" w:left="1134" w:header="851" w:footer="850" w:gutter="284"/>
          <w:pgNumType w:start="0"/>
          <w:cols w:space="720" w:num="1"/>
          <w:titlePg/>
          <w:docGrid w:linePitch="312" w:charSpace="0"/>
        </w:sectPr>
      </w:pPr>
    </w:p>
    <w:p w14:paraId="7105BF49"/>
    <w:p w14:paraId="0BF44485">
      <w:pPr>
        <w:pStyle w:val="4"/>
        <w:jc w:val="center"/>
        <w:rPr>
          <w:rFonts w:cs="宋体"/>
          <w:sz w:val="36"/>
          <w:szCs w:val="36"/>
        </w:rPr>
      </w:pPr>
      <w:bookmarkStart w:id="3" w:name="_Toc4527"/>
      <w:bookmarkStart w:id="4" w:name="_Toc30794"/>
      <w:r>
        <w:rPr>
          <w:rFonts w:hint="eastAsia" w:cs="宋体"/>
          <w:sz w:val="36"/>
          <w:szCs w:val="36"/>
        </w:rPr>
        <w:t>目    录</w:t>
      </w:r>
      <w:bookmarkEnd w:id="0"/>
      <w:bookmarkEnd w:id="1"/>
      <w:bookmarkEnd w:id="3"/>
      <w:bookmarkEnd w:id="4"/>
    </w:p>
    <w:p w14:paraId="2ECC46D5">
      <w:pPr>
        <w:pStyle w:val="36"/>
        <w:tabs>
          <w:tab w:val="right" w:leader="dot" w:pos="9638"/>
        </w:tabs>
        <w:spacing w:before="0" w:after="0"/>
        <w:rPr>
          <w:rFonts w:ascii="宋体" w:hAnsi="宋体" w:cs="宋体"/>
          <w:sz w:val="24"/>
          <w:szCs w:val="24"/>
        </w:rPr>
      </w:pPr>
      <w:r>
        <w:rPr>
          <w:rFonts w:hint="eastAsia" w:ascii="宋体" w:hAnsi="宋体" w:cs="宋体"/>
          <w:sz w:val="24"/>
          <w:szCs w:val="24"/>
        </w:rPr>
        <w:fldChar w:fldCharType="begin"/>
      </w:r>
      <w:r>
        <w:rPr>
          <w:rFonts w:hint="eastAsia" w:ascii="宋体" w:hAnsi="宋体" w:cs="宋体"/>
          <w:sz w:val="24"/>
          <w:szCs w:val="24"/>
        </w:rPr>
        <w:instrText xml:space="preserve">TOC \o "1-2" \h \u </w:instrText>
      </w:r>
      <w:r>
        <w:rPr>
          <w:rFonts w:hint="eastAsia" w:ascii="宋体" w:hAnsi="宋体" w:cs="宋体"/>
          <w:sz w:val="24"/>
          <w:szCs w:val="24"/>
        </w:rPr>
        <w:fldChar w:fldCharType="separate"/>
      </w:r>
      <w:r>
        <w:fldChar w:fldCharType="begin"/>
      </w:r>
      <w:r>
        <w:instrText xml:space="preserve"> HYPERLINK \l "_Toc30794" </w:instrText>
      </w:r>
      <w:r>
        <w:fldChar w:fldCharType="separate"/>
      </w:r>
      <w:r>
        <w:rPr>
          <w:rFonts w:hint="eastAsia" w:ascii="宋体" w:hAnsi="宋体" w:cs="宋体"/>
          <w:sz w:val="24"/>
          <w:szCs w:val="48"/>
        </w:rPr>
        <w:t>目    录</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_Toc30794 \h </w:instrText>
      </w:r>
      <w:r>
        <w:rPr>
          <w:rFonts w:hint="eastAsia" w:ascii="宋体" w:hAnsi="宋体" w:cs="宋体"/>
          <w:sz w:val="24"/>
          <w:szCs w:val="24"/>
        </w:rPr>
        <w:fldChar w:fldCharType="separate"/>
      </w:r>
      <w:r>
        <w:rPr>
          <w:rFonts w:ascii="宋体" w:hAnsi="宋体" w:cs="宋体"/>
          <w:sz w:val="24"/>
          <w:szCs w:val="24"/>
        </w:rPr>
        <w:t>1</w:t>
      </w:r>
      <w:r>
        <w:rPr>
          <w:rFonts w:hint="eastAsia" w:ascii="宋体" w:hAnsi="宋体" w:cs="宋体"/>
          <w:sz w:val="24"/>
          <w:szCs w:val="24"/>
        </w:rPr>
        <w:fldChar w:fldCharType="end"/>
      </w:r>
      <w:r>
        <w:rPr>
          <w:rFonts w:hint="eastAsia" w:ascii="宋体" w:hAnsi="宋体" w:cs="宋体"/>
          <w:sz w:val="24"/>
          <w:szCs w:val="24"/>
        </w:rPr>
        <w:fldChar w:fldCharType="end"/>
      </w:r>
      <w:bookmarkStart w:id="152" w:name="_GoBack"/>
      <w:bookmarkEnd w:id="152"/>
    </w:p>
    <w:p w14:paraId="4112674E">
      <w:pPr>
        <w:pStyle w:val="36"/>
        <w:tabs>
          <w:tab w:val="right" w:leader="dot" w:pos="9638"/>
        </w:tabs>
        <w:spacing w:before="0" w:after="0"/>
        <w:rPr>
          <w:rFonts w:ascii="宋体" w:hAnsi="宋体" w:cs="宋体"/>
          <w:sz w:val="24"/>
          <w:szCs w:val="24"/>
        </w:rPr>
      </w:pPr>
      <w:r>
        <w:fldChar w:fldCharType="begin"/>
      </w:r>
      <w:r>
        <w:instrText xml:space="preserve"> HYPERLINK \l "_Toc7605" </w:instrText>
      </w:r>
      <w:r>
        <w:fldChar w:fldCharType="separate"/>
      </w:r>
      <w:r>
        <w:rPr>
          <w:rFonts w:hint="eastAsia" w:ascii="宋体" w:hAnsi="宋体" w:cs="宋体"/>
          <w:sz w:val="24"/>
          <w:szCs w:val="40"/>
        </w:rPr>
        <w:t>温州市公用事业发展集团有限公司关于信创资源池扩容项目的采购公告</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_Toc7605 \h </w:instrText>
      </w:r>
      <w:r>
        <w:rPr>
          <w:rFonts w:hint="eastAsia" w:ascii="宋体" w:hAnsi="宋体" w:cs="宋体"/>
          <w:sz w:val="24"/>
          <w:szCs w:val="24"/>
        </w:rPr>
        <w:fldChar w:fldCharType="separate"/>
      </w:r>
      <w:r>
        <w:rPr>
          <w:rFonts w:ascii="宋体" w:hAnsi="宋体" w:cs="宋体"/>
          <w:sz w:val="24"/>
          <w:szCs w:val="24"/>
        </w:rPr>
        <w:t>2</w:t>
      </w:r>
      <w:r>
        <w:rPr>
          <w:rFonts w:hint="eastAsia" w:ascii="宋体" w:hAnsi="宋体" w:cs="宋体"/>
          <w:sz w:val="24"/>
          <w:szCs w:val="24"/>
        </w:rPr>
        <w:fldChar w:fldCharType="end"/>
      </w:r>
      <w:r>
        <w:rPr>
          <w:rFonts w:hint="eastAsia" w:ascii="宋体" w:hAnsi="宋体" w:cs="宋体"/>
          <w:sz w:val="24"/>
          <w:szCs w:val="24"/>
        </w:rPr>
        <w:fldChar w:fldCharType="end"/>
      </w:r>
    </w:p>
    <w:p w14:paraId="2FCFF107">
      <w:pPr>
        <w:pStyle w:val="36"/>
        <w:tabs>
          <w:tab w:val="right" w:leader="dot" w:pos="9638"/>
        </w:tabs>
        <w:spacing w:before="0" w:after="0"/>
        <w:rPr>
          <w:rFonts w:ascii="宋体" w:hAnsi="宋体" w:cs="宋体"/>
          <w:sz w:val="24"/>
          <w:szCs w:val="24"/>
        </w:rPr>
      </w:pPr>
      <w:r>
        <w:fldChar w:fldCharType="begin"/>
      </w:r>
      <w:r>
        <w:instrText xml:space="preserve"> HYPERLINK \l "_Toc9486" </w:instrText>
      </w:r>
      <w:r>
        <w:fldChar w:fldCharType="separate"/>
      </w:r>
      <w:r>
        <w:rPr>
          <w:rFonts w:hint="eastAsia" w:ascii="宋体" w:hAnsi="宋体" w:cs="宋体"/>
          <w:sz w:val="24"/>
          <w:szCs w:val="40"/>
        </w:rPr>
        <w:t>温州市公用事业发展集团有限公司关于信创资源池扩容项目征求意见公示</w:t>
      </w:r>
      <w:r>
        <w:rPr>
          <w:rFonts w:hint="eastAsia" w:ascii="宋体" w:hAnsi="宋体" w:cs="宋体"/>
          <w:sz w:val="24"/>
          <w:szCs w:val="24"/>
        </w:rPr>
        <w:tab/>
      </w:r>
      <w:r>
        <w:rPr>
          <w:rFonts w:hint="eastAsia" w:ascii="宋体" w:hAnsi="宋体" w:cs="宋体"/>
          <w:sz w:val="24"/>
          <w:szCs w:val="24"/>
          <w:lang w:val="en-US" w:eastAsia="zh-CN"/>
        </w:rPr>
        <w:t>5</w:t>
      </w:r>
      <w:r>
        <w:rPr>
          <w:rFonts w:hint="eastAsia" w:ascii="宋体" w:hAnsi="宋体" w:cs="宋体"/>
          <w:sz w:val="24"/>
          <w:szCs w:val="24"/>
        </w:rPr>
        <w:fldChar w:fldCharType="end"/>
      </w:r>
    </w:p>
    <w:p w14:paraId="7FDF4480">
      <w:pPr>
        <w:pStyle w:val="36"/>
        <w:tabs>
          <w:tab w:val="right" w:leader="dot" w:pos="9638"/>
        </w:tabs>
        <w:spacing w:before="0" w:after="0"/>
        <w:rPr>
          <w:rFonts w:ascii="宋体" w:hAnsi="宋体" w:cs="宋体"/>
          <w:sz w:val="24"/>
          <w:szCs w:val="24"/>
        </w:rPr>
      </w:pPr>
      <w:r>
        <w:fldChar w:fldCharType="begin"/>
      </w:r>
      <w:r>
        <w:instrText xml:space="preserve"> HYPERLINK \l "_Toc8628" </w:instrText>
      </w:r>
      <w:r>
        <w:fldChar w:fldCharType="separate"/>
      </w:r>
      <w:r>
        <w:rPr>
          <w:rFonts w:hint="eastAsia" w:ascii="宋体" w:hAnsi="宋体" w:cs="宋体"/>
          <w:sz w:val="24"/>
          <w:szCs w:val="24"/>
        </w:rPr>
        <w:t>第一部分   投标供应商须知及前附表</w:t>
      </w:r>
      <w:r>
        <w:rPr>
          <w:rFonts w:hint="eastAsia" w:ascii="宋体" w:hAnsi="宋体" w:cs="宋体"/>
          <w:sz w:val="24"/>
          <w:szCs w:val="24"/>
        </w:rPr>
        <w:tab/>
      </w:r>
      <w:r>
        <w:rPr>
          <w:rFonts w:hint="eastAsia" w:ascii="宋体" w:hAnsi="宋体" w:cs="宋体"/>
          <w:sz w:val="24"/>
          <w:szCs w:val="24"/>
          <w:lang w:val="en-US" w:eastAsia="zh-CN"/>
        </w:rPr>
        <w:t>6</w:t>
      </w:r>
      <w:r>
        <w:rPr>
          <w:rFonts w:hint="eastAsia" w:ascii="宋体" w:hAnsi="宋体" w:cs="宋体"/>
          <w:sz w:val="24"/>
          <w:szCs w:val="24"/>
        </w:rPr>
        <w:fldChar w:fldCharType="end"/>
      </w:r>
    </w:p>
    <w:p w14:paraId="0180C76E">
      <w:pPr>
        <w:pStyle w:val="40"/>
        <w:tabs>
          <w:tab w:val="right" w:leader="dot" w:pos="9638"/>
        </w:tabs>
        <w:rPr>
          <w:rFonts w:ascii="宋体" w:hAnsi="宋体" w:cs="宋体"/>
          <w:sz w:val="24"/>
          <w:szCs w:val="24"/>
        </w:rPr>
      </w:pPr>
      <w:r>
        <w:fldChar w:fldCharType="begin"/>
      </w:r>
      <w:r>
        <w:instrText xml:space="preserve"> HYPERLINK \l "_Toc3745" </w:instrText>
      </w:r>
      <w:r>
        <w:fldChar w:fldCharType="separate"/>
      </w:r>
      <w:r>
        <w:rPr>
          <w:rFonts w:hint="eastAsia" w:ascii="宋体" w:hAnsi="宋体" w:cs="宋体"/>
          <w:sz w:val="24"/>
          <w:szCs w:val="40"/>
        </w:rPr>
        <w:t>一、 说   明</w:t>
      </w:r>
      <w:r>
        <w:rPr>
          <w:rFonts w:hint="eastAsia" w:ascii="宋体" w:hAnsi="宋体" w:cs="宋体"/>
          <w:sz w:val="24"/>
          <w:szCs w:val="24"/>
        </w:rPr>
        <w:tab/>
      </w:r>
      <w:r>
        <w:rPr>
          <w:rFonts w:hint="eastAsia" w:ascii="宋体" w:hAnsi="宋体" w:cs="宋体"/>
          <w:sz w:val="24"/>
          <w:szCs w:val="24"/>
          <w:lang w:val="en-US" w:eastAsia="zh-CN"/>
        </w:rPr>
        <w:t>8</w:t>
      </w:r>
      <w:r>
        <w:rPr>
          <w:rFonts w:hint="eastAsia" w:ascii="宋体" w:hAnsi="宋体" w:cs="宋体"/>
          <w:sz w:val="24"/>
          <w:szCs w:val="24"/>
        </w:rPr>
        <w:fldChar w:fldCharType="end"/>
      </w:r>
    </w:p>
    <w:p w14:paraId="0BF781AA">
      <w:pPr>
        <w:pStyle w:val="40"/>
        <w:tabs>
          <w:tab w:val="right" w:leader="dot" w:pos="9638"/>
        </w:tabs>
        <w:rPr>
          <w:rFonts w:ascii="宋体" w:hAnsi="宋体" w:cs="宋体"/>
          <w:sz w:val="24"/>
          <w:szCs w:val="24"/>
        </w:rPr>
      </w:pPr>
      <w:r>
        <w:fldChar w:fldCharType="begin"/>
      </w:r>
      <w:r>
        <w:instrText xml:space="preserve"> HYPERLINK \l "_Toc593" </w:instrText>
      </w:r>
      <w:r>
        <w:fldChar w:fldCharType="separate"/>
      </w:r>
      <w:r>
        <w:rPr>
          <w:rFonts w:hint="eastAsia" w:ascii="宋体" w:hAnsi="宋体" w:cs="宋体"/>
          <w:sz w:val="24"/>
          <w:szCs w:val="40"/>
        </w:rPr>
        <w:t>二、 采购文件</w:t>
      </w:r>
      <w:r>
        <w:rPr>
          <w:rFonts w:hint="eastAsia" w:ascii="宋体" w:hAnsi="宋体" w:cs="宋体"/>
          <w:sz w:val="24"/>
          <w:szCs w:val="24"/>
        </w:rPr>
        <w:tab/>
      </w:r>
      <w:r>
        <w:rPr>
          <w:rFonts w:hint="eastAsia" w:ascii="宋体" w:hAnsi="宋体" w:cs="宋体"/>
          <w:sz w:val="24"/>
          <w:szCs w:val="24"/>
          <w:lang w:val="en-US" w:eastAsia="zh-CN"/>
        </w:rPr>
        <w:t>8</w:t>
      </w:r>
      <w:r>
        <w:rPr>
          <w:rFonts w:hint="eastAsia" w:ascii="宋体" w:hAnsi="宋体" w:cs="宋体"/>
          <w:sz w:val="24"/>
          <w:szCs w:val="24"/>
        </w:rPr>
        <w:fldChar w:fldCharType="end"/>
      </w:r>
    </w:p>
    <w:p w14:paraId="5AAE86FD">
      <w:pPr>
        <w:pStyle w:val="40"/>
        <w:tabs>
          <w:tab w:val="right" w:leader="dot" w:pos="9638"/>
        </w:tabs>
        <w:rPr>
          <w:rFonts w:ascii="宋体" w:hAnsi="宋体" w:cs="宋体"/>
          <w:sz w:val="24"/>
          <w:szCs w:val="24"/>
        </w:rPr>
      </w:pPr>
      <w:r>
        <w:fldChar w:fldCharType="begin"/>
      </w:r>
      <w:r>
        <w:instrText xml:space="preserve"> HYPERLINK \l "_Toc14472" </w:instrText>
      </w:r>
      <w:r>
        <w:fldChar w:fldCharType="separate"/>
      </w:r>
      <w:r>
        <w:rPr>
          <w:rFonts w:hint="eastAsia" w:ascii="宋体" w:hAnsi="宋体" w:cs="宋体"/>
          <w:sz w:val="24"/>
          <w:szCs w:val="40"/>
        </w:rPr>
        <w:t>三、 投标文件的编制</w:t>
      </w:r>
      <w:r>
        <w:rPr>
          <w:rFonts w:hint="eastAsia" w:ascii="宋体" w:hAnsi="宋体" w:cs="宋体"/>
          <w:sz w:val="24"/>
          <w:szCs w:val="24"/>
        </w:rPr>
        <w:tab/>
      </w:r>
      <w:r>
        <w:rPr>
          <w:rFonts w:hint="eastAsia" w:ascii="宋体" w:hAnsi="宋体" w:cs="宋体"/>
          <w:sz w:val="24"/>
          <w:szCs w:val="24"/>
          <w:lang w:val="en-US" w:eastAsia="zh-CN"/>
        </w:rPr>
        <w:t>9</w:t>
      </w:r>
      <w:r>
        <w:rPr>
          <w:rFonts w:hint="eastAsia" w:ascii="宋体" w:hAnsi="宋体" w:cs="宋体"/>
          <w:sz w:val="24"/>
          <w:szCs w:val="24"/>
        </w:rPr>
        <w:fldChar w:fldCharType="end"/>
      </w:r>
    </w:p>
    <w:p w14:paraId="6B615C2E">
      <w:pPr>
        <w:pStyle w:val="40"/>
        <w:tabs>
          <w:tab w:val="right" w:leader="dot" w:pos="9638"/>
        </w:tabs>
        <w:rPr>
          <w:rFonts w:hint="eastAsia" w:ascii="宋体" w:hAnsi="宋体" w:eastAsia="宋体" w:cs="宋体"/>
          <w:sz w:val="24"/>
          <w:szCs w:val="24"/>
          <w:lang w:val="en-US" w:eastAsia="zh-CN"/>
        </w:rPr>
      </w:pPr>
      <w:r>
        <w:fldChar w:fldCharType="begin"/>
      </w:r>
      <w:r>
        <w:instrText xml:space="preserve"> HYPERLINK \l "_Toc24574" </w:instrText>
      </w:r>
      <w:r>
        <w:fldChar w:fldCharType="separate"/>
      </w:r>
      <w:r>
        <w:rPr>
          <w:rFonts w:hint="eastAsia" w:ascii="宋体" w:hAnsi="宋体" w:cs="宋体"/>
          <w:sz w:val="24"/>
          <w:szCs w:val="40"/>
        </w:rPr>
        <w:t>四、 投标文件的递交</w:t>
      </w:r>
      <w:r>
        <w:rPr>
          <w:rFonts w:hint="eastAsia" w:ascii="宋体" w:hAnsi="宋体" w:cs="宋体"/>
          <w:sz w:val="24"/>
          <w:szCs w:val="24"/>
        </w:rPr>
        <w:tab/>
      </w:r>
      <w:r>
        <w:rPr>
          <w:rFonts w:hint="eastAsia" w:ascii="宋体" w:hAnsi="宋体" w:cs="宋体"/>
          <w:sz w:val="24"/>
          <w:szCs w:val="24"/>
          <w:lang w:val="en-US" w:eastAsia="zh-CN"/>
        </w:rPr>
        <w:t>1</w:t>
      </w:r>
      <w:r>
        <w:rPr>
          <w:rFonts w:hint="eastAsia" w:ascii="宋体" w:hAnsi="宋体" w:cs="宋体"/>
          <w:sz w:val="24"/>
          <w:szCs w:val="24"/>
        </w:rPr>
        <w:fldChar w:fldCharType="end"/>
      </w:r>
      <w:r>
        <w:rPr>
          <w:rFonts w:hint="eastAsia" w:ascii="宋体" w:hAnsi="宋体" w:cs="宋体"/>
          <w:sz w:val="24"/>
          <w:szCs w:val="24"/>
          <w:lang w:val="en-US" w:eastAsia="zh-CN"/>
        </w:rPr>
        <w:t>2</w:t>
      </w:r>
    </w:p>
    <w:p w14:paraId="658319E5">
      <w:pPr>
        <w:pStyle w:val="40"/>
        <w:tabs>
          <w:tab w:val="right" w:leader="dot" w:pos="9638"/>
        </w:tabs>
        <w:rPr>
          <w:rFonts w:hint="eastAsia" w:ascii="宋体" w:hAnsi="宋体" w:eastAsia="宋体" w:cs="宋体"/>
          <w:sz w:val="24"/>
          <w:szCs w:val="24"/>
          <w:lang w:val="en-US" w:eastAsia="zh-CN"/>
        </w:rPr>
      </w:pPr>
      <w:r>
        <w:fldChar w:fldCharType="begin"/>
      </w:r>
      <w:r>
        <w:instrText xml:space="preserve"> HYPERLINK \l "_Toc20857" </w:instrText>
      </w:r>
      <w:r>
        <w:fldChar w:fldCharType="separate"/>
      </w:r>
      <w:r>
        <w:rPr>
          <w:rFonts w:hint="eastAsia" w:ascii="宋体" w:hAnsi="宋体" w:cs="宋体"/>
          <w:sz w:val="24"/>
          <w:szCs w:val="40"/>
        </w:rPr>
        <w:t>五、 开标和评标</w:t>
      </w:r>
      <w:r>
        <w:rPr>
          <w:rFonts w:hint="eastAsia" w:ascii="宋体" w:hAnsi="宋体" w:cs="宋体"/>
          <w:sz w:val="24"/>
          <w:szCs w:val="24"/>
        </w:rPr>
        <w:tab/>
      </w:r>
      <w:r>
        <w:rPr>
          <w:rFonts w:hint="eastAsia" w:ascii="宋体" w:hAnsi="宋体" w:cs="宋体"/>
          <w:sz w:val="24"/>
          <w:szCs w:val="24"/>
          <w:lang w:val="en-US" w:eastAsia="zh-CN"/>
        </w:rPr>
        <w:t>1</w:t>
      </w:r>
      <w:r>
        <w:rPr>
          <w:rFonts w:hint="eastAsia" w:ascii="宋体" w:hAnsi="宋体" w:cs="宋体"/>
          <w:sz w:val="24"/>
          <w:szCs w:val="24"/>
        </w:rPr>
        <w:fldChar w:fldCharType="end"/>
      </w:r>
      <w:r>
        <w:rPr>
          <w:rFonts w:hint="eastAsia" w:ascii="宋体" w:hAnsi="宋体" w:cs="宋体"/>
          <w:sz w:val="24"/>
          <w:szCs w:val="24"/>
          <w:lang w:val="en-US" w:eastAsia="zh-CN"/>
        </w:rPr>
        <w:t>3</w:t>
      </w:r>
    </w:p>
    <w:p w14:paraId="6512CB7D">
      <w:pPr>
        <w:pStyle w:val="40"/>
        <w:tabs>
          <w:tab w:val="right" w:leader="dot" w:pos="9638"/>
        </w:tabs>
        <w:rPr>
          <w:rFonts w:hint="eastAsia" w:ascii="宋体" w:hAnsi="宋体" w:eastAsia="宋体" w:cs="宋体"/>
          <w:sz w:val="24"/>
          <w:szCs w:val="24"/>
          <w:lang w:val="en-US" w:eastAsia="zh-CN"/>
        </w:rPr>
      </w:pPr>
      <w:r>
        <w:fldChar w:fldCharType="begin"/>
      </w:r>
      <w:r>
        <w:instrText xml:space="preserve"> HYPERLINK \l "_Toc13025" </w:instrText>
      </w:r>
      <w:r>
        <w:fldChar w:fldCharType="separate"/>
      </w:r>
      <w:r>
        <w:rPr>
          <w:rFonts w:hint="eastAsia" w:ascii="宋体" w:hAnsi="宋体" w:cs="宋体"/>
          <w:sz w:val="24"/>
          <w:szCs w:val="40"/>
        </w:rPr>
        <w:t>六、 授予合同</w:t>
      </w:r>
      <w:r>
        <w:rPr>
          <w:rFonts w:hint="eastAsia" w:ascii="宋体" w:hAnsi="宋体" w:cs="宋体"/>
          <w:sz w:val="24"/>
          <w:szCs w:val="24"/>
        </w:rPr>
        <w:tab/>
      </w:r>
      <w:r>
        <w:rPr>
          <w:rFonts w:hint="eastAsia" w:ascii="宋体" w:hAnsi="宋体" w:cs="宋体"/>
          <w:sz w:val="24"/>
          <w:szCs w:val="24"/>
          <w:lang w:val="en-US" w:eastAsia="zh-CN"/>
        </w:rPr>
        <w:t>1</w:t>
      </w:r>
      <w:r>
        <w:rPr>
          <w:rFonts w:hint="eastAsia" w:ascii="宋体" w:hAnsi="宋体" w:cs="宋体"/>
          <w:sz w:val="24"/>
          <w:szCs w:val="24"/>
        </w:rPr>
        <w:fldChar w:fldCharType="end"/>
      </w:r>
      <w:r>
        <w:rPr>
          <w:rFonts w:hint="eastAsia" w:ascii="宋体" w:hAnsi="宋体" w:cs="宋体"/>
          <w:sz w:val="24"/>
          <w:szCs w:val="24"/>
          <w:lang w:val="en-US" w:eastAsia="zh-CN"/>
        </w:rPr>
        <w:t>5</w:t>
      </w:r>
    </w:p>
    <w:p w14:paraId="7DE08FB5">
      <w:pPr>
        <w:pStyle w:val="36"/>
        <w:tabs>
          <w:tab w:val="right" w:leader="dot" w:pos="9638"/>
        </w:tabs>
        <w:spacing w:before="0" w:after="0"/>
        <w:rPr>
          <w:rFonts w:hint="eastAsia" w:ascii="宋体" w:hAnsi="宋体" w:eastAsia="宋体" w:cs="宋体"/>
          <w:sz w:val="24"/>
          <w:szCs w:val="24"/>
          <w:lang w:val="en-US" w:eastAsia="zh-CN"/>
        </w:rPr>
      </w:pPr>
      <w:r>
        <w:fldChar w:fldCharType="begin"/>
      </w:r>
      <w:r>
        <w:instrText xml:space="preserve"> HYPERLINK \l "_Toc25803" </w:instrText>
      </w:r>
      <w:r>
        <w:fldChar w:fldCharType="separate"/>
      </w:r>
      <w:r>
        <w:rPr>
          <w:rFonts w:hint="eastAsia" w:ascii="宋体" w:hAnsi="宋体" w:cs="宋体"/>
          <w:sz w:val="24"/>
          <w:szCs w:val="44"/>
        </w:rPr>
        <w:t>第二部分   合同主要条款</w:t>
      </w:r>
      <w:r>
        <w:rPr>
          <w:rFonts w:hint="eastAsia" w:ascii="宋体" w:hAnsi="宋体" w:cs="宋体"/>
          <w:sz w:val="24"/>
          <w:szCs w:val="24"/>
        </w:rPr>
        <w:tab/>
      </w:r>
      <w:r>
        <w:rPr>
          <w:rFonts w:hint="eastAsia" w:ascii="宋体" w:hAnsi="宋体" w:cs="宋体"/>
          <w:sz w:val="24"/>
          <w:szCs w:val="24"/>
          <w:lang w:val="en-US" w:eastAsia="zh-CN"/>
        </w:rPr>
        <w:t>1</w:t>
      </w:r>
      <w:r>
        <w:rPr>
          <w:rFonts w:hint="eastAsia" w:ascii="宋体" w:hAnsi="宋体" w:cs="宋体"/>
          <w:sz w:val="24"/>
          <w:szCs w:val="24"/>
        </w:rPr>
        <w:fldChar w:fldCharType="end"/>
      </w:r>
      <w:r>
        <w:rPr>
          <w:rFonts w:hint="eastAsia" w:ascii="宋体" w:hAnsi="宋体" w:cs="宋体"/>
          <w:sz w:val="24"/>
          <w:szCs w:val="24"/>
          <w:lang w:val="en-US" w:eastAsia="zh-CN"/>
        </w:rPr>
        <w:t>8</w:t>
      </w:r>
    </w:p>
    <w:p w14:paraId="12DF62B6">
      <w:pPr>
        <w:pStyle w:val="36"/>
        <w:tabs>
          <w:tab w:val="right" w:leader="dot" w:pos="9638"/>
        </w:tabs>
        <w:spacing w:before="0" w:after="0"/>
        <w:rPr>
          <w:rFonts w:hint="eastAsia" w:ascii="宋体" w:hAnsi="宋体" w:eastAsia="宋体" w:cs="宋体"/>
          <w:sz w:val="24"/>
          <w:szCs w:val="24"/>
          <w:lang w:val="en-US" w:eastAsia="zh-CN"/>
        </w:rPr>
      </w:pPr>
      <w:r>
        <w:fldChar w:fldCharType="begin"/>
      </w:r>
      <w:r>
        <w:instrText xml:space="preserve"> HYPERLINK \l "_Toc5311" </w:instrText>
      </w:r>
      <w:r>
        <w:fldChar w:fldCharType="separate"/>
      </w:r>
      <w:r>
        <w:rPr>
          <w:rFonts w:hint="eastAsia" w:ascii="宋体" w:hAnsi="宋体" w:cs="宋体"/>
          <w:sz w:val="24"/>
          <w:szCs w:val="44"/>
        </w:rPr>
        <w:t>第三部分   附   件</w:t>
      </w:r>
      <w:r>
        <w:rPr>
          <w:rFonts w:hint="eastAsia" w:ascii="宋体" w:hAnsi="宋体" w:cs="宋体"/>
          <w:sz w:val="24"/>
          <w:szCs w:val="24"/>
        </w:rPr>
        <w:tab/>
      </w:r>
      <w:r>
        <w:rPr>
          <w:rFonts w:hint="eastAsia" w:ascii="宋体" w:hAnsi="宋体" w:cs="宋体"/>
          <w:sz w:val="24"/>
          <w:szCs w:val="24"/>
          <w:lang w:val="en-US" w:eastAsia="zh-CN"/>
        </w:rPr>
        <w:t>3</w:t>
      </w:r>
      <w:r>
        <w:rPr>
          <w:rFonts w:hint="eastAsia" w:ascii="宋体" w:hAnsi="宋体" w:cs="宋体"/>
          <w:sz w:val="24"/>
          <w:szCs w:val="24"/>
        </w:rPr>
        <w:fldChar w:fldCharType="end"/>
      </w:r>
      <w:r>
        <w:rPr>
          <w:rFonts w:hint="eastAsia" w:ascii="宋体" w:hAnsi="宋体" w:cs="宋体"/>
          <w:sz w:val="24"/>
          <w:szCs w:val="24"/>
          <w:lang w:val="en-US" w:eastAsia="zh-CN"/>
        </w:rPr>
        <w:t>1</w:t>
      </w:r>
    </w:p>
    <w:p w14:paraId="29201BCD">
      <w:pPr>
        <w:pStyle w:val="40"/>
        <w:tabs>
          <w:tab w:val="right" w:leader="dot" w:pos="9638"/>
        </w:tabs>
        <w:rPr>
          <w:rFonts w:hint="eastAsia" w:ascii="宋体" w:hAnsi="宋体" w:eastAsia="宋体" w:cs="宋体"/>
          <w:sz w:val="24"/>
          <w:szCs w:val="24"/>
          <w:lang w:val="en-US" w:eastAsia="zh-CN"/>
        </w:rPr>
      </w:pPr>
      <w:r>
        <w:fldChar w:fldCharType="begin"/>
      </w:r>
      <w:r>
        <w:instrText xml:space="preserve"> HYPERLINK \l "_Toc21267" </w:instrText>
      </w:r>
      <w:r>
        <w:fldChar w:fldCharType="separate"/>
      </w:r>
      <w:r>
        <w:rPr>
          <w:rFonts w:hint="eastAsia" w:ascii="宋体" w:hAnsi="宋体" w:cs="宋体"/>
          <w:sz w:val="24"/>
          <w:szCs w:val="36"/>
        </w:rPr>
        <w:t>附件一  投标函</w:t>
      </w:r>
      <w:r>
        <w:rPr>
          <w:rFonts w:hint="eastAsia" w:ascii="宋体" w:hAnsi="宋体" w:cs="宋体"/>
          <w:sz w:val="24"/>
          <w:szCs w:val="24"/>
        </w:rPr>
        <w:tab/>
      </w:r>
      <w:r>
        <w:rPr>
          <w:rFonts w:hint="eastAsia" w:ascii="宋体" w:hAnsi="宋体" w:cs="宋体"/>
          <w:sz w:val="24"/>
          <w:szCs w:val="24"/>
          <w:lang w:val="en-US" w:eastAsia="zh-CN"/>
        </w:rPr>
        <w:t>3</w:t>
      </w:r>
      <w:r>
        <w:rPr>
          <w:rFonts w:hint="eastAsia" w:ascii="宋体" w:hAnsi="宋体" w:cs="宋体"/>
          <w:sz w:val="24"/>
          <w:szCs w:val="24"/>
        </w:rPr>
        <w:fldChar w:fldCharType="end"/>
      </w:r>
      <w:r>
        <w:rPr>
          <w:rFonts w:hint="eastAsia" w:ascii="宋体" w:hAnsi="宋体" w:cs="宋体"/>
          <w:sz w:val="24"/>
          <w:szCs w:val="24"/>
          <w:lang w:val="en-US" w:eastAsia="zh-CN"/>
        </w:rPr>
        <w:t>1</w:t>
      </w:r>
    </w:p>
    <w:p w14:paraId="31B9ABF8">
      <w:pPr>
        <w:pStyle w:val="40"/>
        <w:tabs>
          <w:tab w:val="right" w:leader="dot" w:pos="9638"/>
        </w:tabs>
        <w:rPr>
          <w:rFonts w:hint="eastAsia" w:ascii="宋体" w:hAnsi="宋体" w:eastAsia="宋体" w:cs="宋体"/>
          <w:sz w:val="24"/>
          <w:szCs w:val="24"/>
          <w:lang w:val="en-US" w:eastAsia="zh-CN"/>
        </w:rPr>
      </w:pPr>
      <w:r>
        <w:fldChar w:fldCharType="begin"/>
      </w:r>
      <w:r>
        <w:instrText xml:space="preserve"> HYPERLINK \l "_Toc21359" </w:instrText>
      </w:r>
      <w:r>
        <w:fldChar w:fldCharType="separate"/>
      </w:r>
      <w:r>
        <w:rPr>
          <w:rFonts w:hint="eastAsia" w:ascii="宋体" w:hAnsi="宋体" w:cs="宋体"/>
          <w:sz w:val="24"/>
          <w:szCs w:val="36"/>
        </w:rPr>
        <w:t>附件二  投标报价一览表</w:t>
      </w:r>
      <w:r>
        <w:rPr>
          <w:rFonts w:hint="eastAsia" w:ascii="宋体" w:hAnsi="宋体" w:cs="宋体"/>
          <w:sz w:val="24"/>
          <w:szCs w:val="24"/>
        </w:rPr>
        <w:tab/>
      </w:r>
      <w:r>
        <w:rPr>
          <w:rFonts w:hint="eastAsia" w:ascii="宋体" w:hAnsi="宋体" w:cs="宋体"/>
          <w:sz w:val="24"/>
          <w:szCs w:val="24"/>
          <w:lang w:val="en-US" w:eastAsia="zh-CN"/>
        </w:rPr>
        <w:t>3</w:t>
      </w:r>
      <w:r>
        <w:rPr>
          <w:rFonts w:hint="eastAsia" w:ascii="宋体" w:hAnsi="宋体" w:cs="宋体"/>
          <w:sz w:val="24"/>
          <w:szCs w:val="24"/>
        </w:rPr>
        <w:fldChar w:fldCharType="end"/>
      </w:r>
      <w:r>
        <w:rPr>
          <w:rFonts w:hint="eastAsia" w:ascii="宋体" w:hAnsi="宋体" w:cs="宋体"/>
          <w:sz w:val="24"/>
          <w:szCs w:val="24"/>
          <w:lang w:val="en-US" w:eastAsia="zh-CN"/>
        </w:rPr>
        <w:t>2</w:t>
      </w:r>
    </w:p>
    <w:p w14:paraId="6312584B">
      <w:pPr>
        <w:pStyle w:val="40"/>
        <w:tabs>
          <w:tab w:val="right" w:leader="dot" w:pos="9638"/>
        </w:tabs>
        <w:rPr>
          <w:rFonts w:hint="eastAsia" w:ascii="宋体" w:hAnsi="宋体" w:eastAsia="宋体" w:cs="宋体"/>
          <w:sz w:val="24"/>
          <w:szCs w:val="24"/>
          <w:lang w:val="en-US" w:eastAsia="zh-CN"/>
        </w:rPr>
      </w:pPr>
      <w:r>
        <w:fldChar w:fldCharType="begin"/>
      </w:r>
      <w:r>
        <w:instrText xml:space="preserve"> HYPERLINK \l "_Toc17475" </w:instrText>
      </w:r>
      <w:r>
        <w:fldChar w:fldCharType="separate"/>
      </w:r>
      <w:r>
        <w:rPr>
          <w:rFonts w:hint="eastAsia" w:ascii="宋体" w:hAnsi="宋体" w:cs="宋体"/>
          <w:sz w:val="24"/>
          <w:szCs w:val="36"/>
        </w:rPr>
        <w:t>附件三  投标分项报价表</w:t>
      </w:r>
      <w:r>
        <w:rPr>
          <w:rFonts w:hint="eastAsia" w:ascii="宋体" w:hAnsi="宋体" w:cs="宋体"/>
          <w:sz w:val="24"/>
          <w:szCs w:val="24"/>
        </w:rPr>
        <w:tab/>
      </w:r>
      <w:r>
        <w:rPr>
          <w:rFonts w:hint="eastAsia" w:ascii="宋体" w:hAnsi="宋体" w:cs="宋体"/>
          <w:sz w:val="24"/>
          <w:szCs w:val="24"/>
          <w:lang w:val="en-US" w:eastAsia="zh-CN"/>
        </w:rPr>
        <w:t>3</w:t>
      </w:r>
      <w:r>
        <w:rPr>
          <w:rFonts w:hint="eastAsia" w:ascii="宋体" w:hAnsi="宋体" w:cs="宋体"/>
          <w:sz w:val="24"/>
          <w:szCs w:val="24"/>
        </w:rPr>
        <w:fldChar w:fldCharType="end"/>
      </w:r>
      <w:r>
        <w:rPr>
          <w:rFonts w:hint="eastAsia" w:ascii="宋体" w:hAnsi="宋体" w:cs="宋体"/>
          <w:sz w:val="24"/>
          <w:szCs w:val="24"/>
          <w:lang w:val="en-US" w:eastAsia="zh-CN"/>
        </w:rPr>
        <w:t>3</w:t>
      </w:r>
    </w:p>
    <w:p w14:paraId="0A69B7AE">
      <w:pPr>
        <w:pStyle w:val="40"/>
        <w:tabs>
          <w:tab w:val="right" w:leader="dot" w:pos="9638"/>
        </w:tabs>
        <w:rPr>
          <w:rFonts w:hint="eastAsia" w:ascii="宋体" w:hAnsi="宋体" w:eastAsia="宋体" w:cs="宋体"/>
          <w:sz w:val="24"/>
          <w:szCs w:val="24"/>
          <w:lang w:val="en-US" w:eastAsia="zh-CN"/>
        </w:rPr>
      </w:pPr>
      <w:r>
        <w:fldChar w:fldCharType="begin"/>
      </w:r>
      <w:r>
        <w:instrText xml:space="preserve"> HYPERLINK \l "_Toc28737" </w:instrText>
      </w:r>
      <w:r>
        <w:fldChar w:fldCharType="separate"/>
      </w:r>
      <w:r>
        <w:rPr>
          <w:rFonts w:hint="eastAsia" w:ascii="宋体" w:hAnsi="宋体" w:cs="宋体"/>
          <w:sz w:val="24"/>
          <w:szCs w:val="36"/>
        </w:rPr>
        <w:t>附件四  资格证明文件</w:t>
      </w:r>
      <w:r>
        <w:rPr>
          <w:rFonts w:hint="eastAsia" w:ascii="宋体" w:hAnsi="宋体" w:cs="宋体"/>
          <w:sz w:val="24"/>
          <w:szCs w:val="24"/>
        </w:rPr>
        <w:tab/>
      </w:r>
      <w:r>
        <w:rPr>
          <w:rFonts w:hint="eastAsia" w:ascii="宋体" w:hAnsi="宋体" w:cs="宋体"/>
          <w:sz w:val="24"/>
          <w:szCs w:val="24"/>
          <w:lang w:val="en-US" w:eastAsia="zh-CN"/>
        </w:rPr>
        <w:t>3</w:t>
      </w:r>
      <w:r>
        <w:rPr>
          <w:rFonts w:hint="eastAsia" w:ascii="宋体" w:hAnsi="宋体" w:cs="宋体"/>
          <w:sz w:val="24"/>
          <w:szCs w:val="24"/>
        </w:rPr>
        <w:fldChar w:fldCharType="end"/>
      </w:r>
      <w:r>
        <w:rPr>
          <w:rFonts w:hint="eastAsia" w:ascii="宋体" w:hAnsi="宋体" w:cs="宋体"/>
          <w:sz w:val="24"/>
          <w:szCs w:val="24"/>
          <w:lang w:val="en-US" w:eastAsia="zh-CN"/>
        </w:rPr>
        <w:t>4</w:t>
      </w:r>
    </w:p>
    <w:p w14:paraId="735051C0">
      <w:pPr>
        <w:pStyle w:val="40"/>
        <w:tabs>
          <w:tab w:val="right" w:leader="dot" w:pos="9638"/>
        </w:tabs>
        <w:rPr>
          <w:rFonts w:hint="eastAsia" w:ascii="宋体" w:hAnsi="宋体" w:eastAsia="宋体" w:cs="宋体"/>
          <w:sz w:val="24"/>
          <w:szCs w:val="24"/>
          <w:lang w:val="en-US" w:eastAsia="zh-CN"/>
        </w:rPr>
      </w:pPr>
      <w:r>
        <w:fldChar w:fldCharType="begin"/>
      </w:r>
      <w:r>
        <w:instrText xml:space="preserve"> HYPERLINK \l "_Toc13383" </w:instrText>
      </w:r>
      <w:r>
        <w:fldChar w:fldCharType="separate"/>
      </w:r>
      <w:r>
        <w:rPr>
          <w:rFonts w:hint="eastAsia" w:ascii="宋体" w:hAnsi="宋体" w:cs="宋体"/>
          <w:sz w:val="24"/>
          <w:szCs w:val="36"/>
        </w:rPr>
        <w:t>附件五  商务条款、技术规格偏离表</w:t>
      </w:r>
      <w:r>
        <w:rPr>
          <w:rFonts w:hint="eastAsia" w:ascii="宋体" w:hAnsi="宋体" w:cs="宋体"/>
          <w:sz w:val="24"/>
          <w:szCs w:val="24"/>
        </w:rPr>
        <w:tab/>
      </w:r>
      <w:r>
        <w:rPr>
          <w:rFonts w:hint="eastAsia" w:ascii="宋体" w:hAnsi="宋体" w:cs="宋体"/>
          <w:sz w:val="24"/>
          <w:szCs w:val="24"/>
          <w:lang w:val="en-US" w:eastAsia="zh-CN"/>
        </w:rPr>
        <w:t>3</w:t>
      </w:r>
      <w:r>
        <w:rPr>
          <w:rFonts w:hint="eastAsia" w:ascii="宋体" w:hAnsi="宋体" w:cs="宋体"/>
          <w:sz w:val="24"/>
          <w:szCs w:val="24"/>
        </w:rPr>
        <w:fldChar w:fldCharType="end"/>
      </w:r>
      <w:r>
        <w:rPr>
          <w:rFonts w:hint="eastAsia" w:ascii="宋体" w:hAnsi="宋体" w:cs="宋体"/>
          <w:sz w:val="24"/>
          <w:szCs w:val="24"/>
          <w:lang w:val="en-US" w:eastAsia="zh-CN"/>
        </w:rPr>
        <w:t>7</w:t>
      </w:r>
    </w:p>
    <w:p w14:paraId="6DBCC943">
      <w:pPr>
        <w:pStyle w:val="36"/>
        <w:tabs>
          <w:tab w:val="right" w:leader="dot" w:pos="9638"/>
        </w:tabs>
        <w:spacing w:before="0" w:after="0"/>
        <w:rPr>
          <w:rFonts w:hint="eastAsia" w:ascii="宋体" w:hAnsi="宋体" w:eastAsia="宋体" w:cs="宋体"/>
          <w:sz w:val="24"/>
          <w:szCs w:val="24"/>
          <w:lang w:val="en-US" w:eastAsia="zh-CN"/>
        </w:rPr>
      </w:pPr>
      <w:r>
        <w:fldChar w:fldCharType="begin"/>
      </w:r>
      <w:r>
        <w:instrText xml:space="preserve"> HYPERLINK \l "_Toc1506" </w:instrText>
      </w:r>
      <w:r>
        <w:fldChar w:fldCharType="separate"/>
      </w:r>
      <w:r>
        <w:rPr>
          <w:rFonts w:hint="eastAsia" w:ascii="宋体" w:hAnsi="宋体" w:cs="宋体"/>
          <w:sz w:val="24"/>
          <w:szCs w:val="44"/>
        </w:rPr>
        <w:t>第四部分   采购内容及要求</w:t>
      </w:r>
      <w:r>
        <w:rPr>
          <w:rFonts w:hint="eastAsia" w:ascii="宋体" w:hAnsi="宋体" w:cs="宋体"/>
          <w:sz w:val="24"/>
          <w:szCs w:val="24"/>
        </w:rPr>
        <w:tab/>
      </w:r>
      <w:r>
        <w:rPr>
          <w:rFonts w:hint="eastAsia" w:ascii="宋体" w:hAnsi="宋体" w:cs="宋体"/>
          <w:sz w:val="24"/>
          <w:szCs w:val="24"/>
          <w:lang w:val="en-US" w:eastAsia="zh-CN"/>
        </w:rPr>
        <w:t>4</w:t>
      </w:r>
      <w:r>
        <w:rPr>
          <w:rFonts w:hint="eastAsia" w:ascii="宋体" w:hAnsi="宋体" w:cs="宋体"/>
          <w:sz w:val="24"/>
          <w:szCs w:val="24"/>
        </w:rPr>
        <w:fldChar w:fldCharType="end"/>
      </w:r>
      <w:r>
        <w:rPr>
          <w:rFonts w:hint="eastAsia" w:ascii="宋体" w:hAnsi="宋体" w:cs="宋体"/>
          <w:sz w:val="24"/>
          <w:szCs w:val="24"/>
          <w:lang w:val="en-US" w:eastAsia="zh-CN"/>
        </w:rPr>
        <w:t>1</w:t>
      </w:r>
    </w:p>
    <w:p w14:paraId="36CD10A1">
      <w:pPr>
        <w:pStyle w:val="36"/>
        <w:tabs>
          <w:tab w:val="right" w:leader="dot" w:pos="9638"/>
        </w:tabs>
        <w:spacing w:before="0" w:after="0"/>
        <w:rPr>
          <w:rFonts w:ascii="宋体" w:hAnsi="宋体" w:cs="宋体"/>
          <w:sz w:val="24"/>
          <w:szCs w:val="24"/>
        </w:rPr>
      </w:pPr>
      <w:r>
        <w:fldChar w:fldCharType="begin"/>
      </w:r>
      <w:r>
        <w:instrText xml:space="preserve"> HYPERLINK \l "_Toc5886" </w:instrText>
      </w:r>
      <w:r>
        <w:fldChar w:fldCharType="separate"/>
      </w:r>
      <w:r>
        <w:rPr>
          <w:rFonts w:hint="eastAsia" w:ascii="宋体" w:hAnsi="宋体" w:cs="宋体"/>
          <w:sz w:val="24"/>
          <w:szCs w:val="44"/>
        </w:rPr>
        <w:t>第五部分   评标原则及方法</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_Toc5886 \h </w:instrText>
      </w:r>
      <w:r>
        <w:rPr>
          <w:rFonts w:hint="eastAsia" w:ascii="宋体" w:hAnsi="宋体" w:cs="宋体"/>
          <w:sz w:val="24"/>
          <w:szCs w:val="24"/>
        </w:rPr>
        <w:fldChar w:fldCharType="separate"/>
      </w:r>
      <w:r>
        <w:rPr>
          <w:rFonts w:hint="eastAsia" w:ascii="宋体" w:hAnsi="宋体" w:cs="宋体"/>
          <w:sz w:val="24"/>
          <w:szCs w:val="24"/>
          <w:lang w:val="en-US" w:eastAsia="zh-CN"/>
        </w:rPr>
        <w:t>4</w:t>
      </w:r>
      <w:r>
        <w:rPr>
          <w:rFonts w:ascii="宋体" w:hAnsi="宋体" w:cs="宋体"/>
          <w:sz w:val="24"/>
          <w:szCs w:val="24"/>
        </w:rPr>
        <w:t>9</w:t>
      </w:r>
      <w:r>
        <w:rPr>
          <w:rFonts w:hint="eastAsia" w:ascii="宋体" w:hAnsi="宋体" w:cs="宋体"/>
          <w:sz w:val="24"/>
          <w:szCs w:val="24"/>
        </w:rPr>
        <w:fldChar w:fldCharType="end"/>
      </w:r>
      <w:r>
        <w:rPr>
          <w:rFonts w:hint="eastAsia" w:ascii="宋体" w:hAnsi="宋体" w:cs="宋体"/>
          <w:sz w:val="24"/>
          <w:szCs w:val="24"/>
        </w:rPr>
        <w:fldChar w:fldCharType="end"/>
      </w:r>
    </w:p>
    <w:p w14:paraId="29403716">
      <w:pPr>
        <w:pStyle w:val="40"/>
        <w:tabs>
          <w:tab w:val="right" w:leader="dot" w:pos="9638"/>
        </w:tabs>
      </w:pPr>
    </w:p>
    <w:p w14:paraId="7AB1AB5F">
      <w:pPr>
        <w:jc w:val="right"/>
        <w:rPr>
          <w:rFonts w:ascii="宋体" w:hAnsi="宋体" w:cs="宋体"/>
          <w:sz w:val="24"/>
        </w:rPr>
      </w:pPr>
      <w:r>
        <w:rPr>
          <w:rFonts w:hint="eastAsia" w:ascii="宋体" w:hAnsi="宋体" w:cs="宋体"/>
        </w:rPr>
        <w:fldChar w:fldCharType="end"/>
      </w:r>
    </w:p>
    <w:p w14:paraId="4ACA1A53">
      <w:pPr>
        <w:rPr>
          <w:rFonts w:ascii="宋体" w:hAnsi="宋体" w:cs="宋体"/>
          <w:b/>
          <w:sz w:val="24"/>
          <w:u w:val="single"/>
        </w:rPr>
      </w:pPr>
      <w:r>
        <w:rPr>
          <w:rFonts w:hint="eastAsia" w:ascii="宋体" w:hAnsi="宋体" w:cs="宋体"/>
          <w:b/>
          <w:sz w:val="24"/>
          <w:u w:val="single"/>
        </w:rPr>
        <w:t>备注：采购文件中有“</w:t>
      </w:r>
      <w:r>
        <w:rPr>
          <w:rFonts w:hint="eastAsia" w:ascii="宋体" w:hAnsi="宋体" w:cs="宋体"/>
          <w:bCs/>
          <w:sz w:val="24"/>
          <w:u w:val="single"/>
        </w:rPr>
        <w:t>▲</w:t>
      </w:r>
      <w:r>
        <w:rPr>
          <w:rFonts w:hint="eastAsia" w:ascii="宋体" w:hAnsi="宋体" w:cs="宋体"/>
          <w:b/>
          <w:sz w:val="24"/>
          <w:u w:val="single"/>
        </w:rPr>
        <w:t>加下划线”的为实质性要求或者条款；带有黑色字体加粗的，为采购文件的重要内容，请供应商审慎阅读。</w:t>
      </w:r>
    </w:p>
    <w:p w14:paraId="486D5D93">
      <w:pPr>
        <w:rPr>
          <w:rFonts w:ascii="宋体" w:cs="宋体"/>
        </w:rPr>
      </w:pPr>
      <w:bookmarkStart w:id="5" w:name="_Toc341449452"/>
      <w:bookmarkStart w:id="6" w:name="_Toc230773773"/>
    </w:p>
    <w:p w14:paraId="138B0E0C">
      <w:pPr>
        <w:spacing w:line="360" w:lineRule="auto"/>
        <w:jc w:val="center"/>
        <w:outlineLvl w:val="0"/>
        <w:rPr>
          <w:rFonts w:ascii="楷体" w:hAnsi="楷体" w:eastAsia="Adobe 楷体 Std R"/>
          <w:sz w:val="40"/>
          <w:szCs w:val="40"/>
        </w:rPr>
      </w:pPr>
      <w:bookmarkStart w:id="7" w:name="_Toc8916"/>
      <w:r>
        <w:rPr>
          <w:rFonts w:hint="eastAsia" w:cs="宋体"/>
          <w:sz w:val="32"/>
          <w:szCs w:val="32"/>
        </w:rPr>
        <w:br w:type="page"/>
      </w:r>
      <w:bookmarkEnd w:id="5"/>
      <w:bookmarkEnd w:id="6"/>
      <w:bookmarkEnd w:id="7"/>
      <w:bookmarkStart w:id="8" w:name="_Toc31938"/>
      <w:bookmarkStart w:id="9" w:name="_Toc7605"/>
      <w:bookmarkStart w:id="10" w:name="_Toc230773774"/>
      <w:r>
        <w:rPr>
          <w:rFonts w:hint="eastAsia" w:ascii="宋体" w:hAnsi="宋体"/>
          <w:b/>
          <w:sz w:val="28"/>
          <w:szCs w:val="28"/>
        </w:rPr>
        <w:t>温州市公用事业发展集团有限公司关于</w:t>
      </w:r>
      <w:r>
        <w:fldChar w:fldCharType="begin"/>
      </w:r>
      <w:r>
        <w:instrText xml:space="preserve"> HYPERLINK "https://pay.zcygov.cn/purchaseplan_front/" \l "/plan/list/_blank" \t "https://pay.zcygov.cn/purchaseplan_front/" </w:instrText>
      </w:r>
      <w:r>
        <w:fldChar w:fldCharType="separate"/>
      </w:r>
      <w:r>
        <w:rPr>
          <w:rFonts w:hint="eastAsia" w:ascii="宋体" w:hAnsi="宋体"/>
          <w:b/>
          <w:sz w:val="28"/>
          <w:szCs w:val="28"/>
        </w:rPr>
        <w:t>信创资源池项目</w:t>
      </w:r>
      <w:r>
        <w:rPr>
          <w:rFonts w:hint="eastAsia" w:ascii="宋体" w:hAnsi="宋体"/>
          <w:b/>
          <w:sz w:val="28"/>
          <w:szCs w:val="28"/>
        </w:rPr>
        <w:fldChar w:fldCharType="end"/>
      </w:r>
      <w:r>
        <w:rPr>
          <w:rFonts w:hint="eastAsia" w:ascii="宋体" w:hAnsi="宋体"/>
          <w:b/>
          <w:sz w:val="28"/>
          <w:szCs w:val="28"/>
        </w:rPr>
        <w:t>的采购公告</w:t>
      </w:r>
      <w:bookmarkEnd w:id="8"/>
      <w:bookmarkEnd w:id="9"/>
    </w:p>
    <w:p w14:paraId="0AA2FEE5">
      <w:pPr>
        <w:tabs>
          <w:tab w:val="left" w:pos="420"/>
        </w:tabs>
        <w:spacing w:line="360" w:lineRule="auto"/>
        <w:ind w:firstLine="550" w:firstLineChars="250"/>
        <w:rPr>
          <w:rFonts w:ascii="宋体" w:hAnsi="宋体" w:cs="宋体"/>
          <w:kern w:val="0"/>
          <w:sz w:val="22"/>
          <w:szCs w:val="22"/>
        </w:rPr>
      </w:pPr>
      <w:r>
        <w:rPr>
          <w:rFonts w:hint="eastAsia" w:ascii="宋体" w:hAnsi="宋体" w:cs="宋体"/>
          <w:kern w:val="0"/>
          <w:sz w:val="22"/>
          <w:szCs w:val="22"/>
        </w:rPr>
        <w:t>根据</w:t>
      </w:r>
      <w:r>
        <w:rPr>
          <w:rFonts w:hint="eastAsia" w:ascii="宋体" w:hAnsi="宋体" w:cs="宋体"/>
          <w:kern w:val="0"/>
          <w:sz w:val="22"/>
          <w:szCs w:val="22"/>
          <w:lang w:eastAsia="zh-CN"/>
        </w:rPr>
        <w:t>《温州市市属国有企业采购管理办法》</w:t>
      </w:r>
      <w:r>
        <w:rPr>
          <w:rFonts w:hint="eastAsia" w:ascii="宋体" w:hAnsi="宋体" w:cs="宋体"/>
          <w:kern w:val="0"/>
          <w:sz w:val="22"/>
          <w:szCs w:val="22"/>
        </w:rPr>
        <w:t>等有关法律、法规的规定，</w:t>
      </w:r>
      <w:r>
        <w:rPr>
          <w:rFonts w:hint="eastAsia"/>
          <w:color w:val="auto"/>
          <w:kern w:val="0"/>
          <w:sz w:val="22"/>
          <w:szCs w:val="22"/>
          <w:highlight w:val="none"/>
          <w:shd w:val="clear" w:color="auto" w:fill="FFFFFF"/>
          <w:lang w:eastAsia="zh-CN"/>
        </w:rPr>
        <w:t>温州建设集团建筑设计院有限公司</w:t>
      </w:r>
      <w:r>
        <w:rPr>
          <w:rFonts w:hint="eastAsia" w:ascii="宋体" w:hAnsi="宋体" w:cs="宋体"/>
          <w:kern w:val="0"/>
          <w:sz w:val="22"/>
          <w:szCs w:val="22"/>
        </w:rPr>
        <w:t>受</w:t>
      </w:r>
      <w:bookmarkStart w:id="11" w:name="_Hlk193404884"/>
      <w:r>
        <w:rPr>
          <w:rFonts w:hint="eastAsia" w:ascii="宋体" w:hAnsi="宋体" w:cs="宋体"/>
          <w:kern w:val="0"/>
          <w:sz w:val="22"/>
          <w:szCs w:val="22"/>
        </w:rPr>
        <w:t>温州市公用事业发展集团有限公司</w:t>
      </w:r>
      <w:bookmarkEnd w:id="11"/>
      <w:r>
        <w:rPr>
          <w:rFonts w:hint="eastAsia" w:ascii="宋体" w:hAnsi="宋体" w:cs="宋体"/>
          <w:kern w:val="0"/>
          <w:sz w:val="22"/>
          <w:szCs w:val="22"/>
        </w:rPr>
        <w:t>的委托，就其</w:t>
      </w:r>
      <w:r>
        <w:rPr>
          <w:sz w:val="22"/>
          <w:szCs w:val="22"/>
        </w:rPr>
        <w:fldChar w:fldCharType="begin"/>
      </w:r>
      <w:r>
        <w:rPr>
          <w:sz w:val="22"/>
          <w:szCs w:val="22"/>
        </w:rPr>
        <w:instrText xml:space="preserve"> HYPERLINK "https://pay.zcygov.cn/purchaseplan_front/" \l "/plan/list/_blank" \t "https://pay.zcygov.cn/purchaseplan_front/" </w:instrText>
      </w:r>
      <w:r>
        <w:rPr>
          <w:sz w:val="22"/>
          <w:szCs w:val="22"/>
        </w:rPr>
        <w:fldChar w:fldCharType="separate"/>
      </w:r>
      <w:r>
        <w:rPr>
          <w:rFonts w:hint="eastAsia"/>
          <w:sz w:val="22"/>
          <w:szCs w:val="22"/>
        </w:rPr>
        <w:t>信创资源池扩容</w:t>
      </w:r>
      <w:r>
        <w:rPr>
          <w:rFonts w:hint="eastAsia"/>
          <w:sz w:val="22"/>
          <w:szCs w:val="22"/>
        </w:rPr>
        <w:fldChar w:fldCharType="end"/>
      </w:r>
      <w:r>
        <w:rPr>
          <w:rFonts w:hint="eastAsia" w:ascii="宋体" w:hAnsi="宋体" w:cs="宋体"/>
          <w:kern w:val="0"/>
          <w:sz w:val="22"/>
          <w:szCs w:val="22"/>
        </w:rPr>
        <w:t>项目以公开招标方式进行国有企业采购，欢迎国内合格的投标供应商前来投标。</w:t>
      </w:r>
    </w:p>
    <w:p w14:paraId="41FB0490">
      <w:pPr>
        <w:pStyle w:val="21"/>
        <w:spacing w:line="360" w:lineRule="auto"/>
        <w:rPr>
          <w:rFonts w:ascii="宋体" w:hAnsi="宋体" w:cs="宋体"/>
          <w:kern w:val="0"/>
          <w:sz w:val="22"/>
          <w:szCs w:val="22"/>
        </w:rPr>
      </w:pPr>
      <w:bookmarkStart w:id="12" w:name="_Toc26625"/>
      <w:r>
        <w:rPr>
          <w:rFonts w:hint="eastAsia" w:ascii="宋体" w:hAnsi="宋体" w:cs="宋体"/>
          <w:b/>
          <w:kern w:val="0"/>
          <w:sz w:val="22"/>
          <w:szCs w:val="22"/>
        </w:rPr>
        <w:t>一、项目编号：</w:t>
      </w:r>
      <w:bookmarkEnd w:id="12"/>
      <w:r>
        <w:rPr>
          <w:rFonts w:hint="eastAsia" w:ascii="宋体" w:hAnsi="宋体" w:eastAsia="宋体" w:cs="宋体"/>
          <w:b w:val="0"/>
          <w:sz w:val="22"/>
          <w:szCs w:val="22"/>
        </w:rPr>
        <w:t>WGSS-GYJT-Z-2025003</w:t>
      </w:r>
    </w:p>
    <w:p w14:paraId="7E622BA8">
      <w:pPr>
        <w:widowControl/>
        <w:tabs>
          <w:tab w:val="left" w:pos="420"/>
        </w:tabs>
        <w:spacing w:line="360" w:lineRule="auto"/>
        <w:ind w:right="60"/>
        <w:jc w:val="left"/>
        <w:outlineLvl w:val="0"/>
        <w:rPr>
          <w:rFonts w:ascii="宋体" w:hAnsi="宋体" w:cs="宋体"/>
          <w:kern w:val="0"/>
          <w:sz w:val="22"/>
          <w:szCs w:val="22"/>
        </w:rPr>
      </w:pPr>
      <w:bookmarkStart w:id="13" w:name="_Toc12849"/>
      <w:bookmarkStart w:id="14" w:name="_Toc24648"/>
      <w:bookmarkStart w:id="15" w:name="_Toc23841"/>
      <w:r>
        <w:rPr>
          <w:rFonts w:hint="eastAsia" w:ascii="宋体" w:hAnsi="宋体" w:cs="宋体"/>
          <w:b/>
          <w:kern w:val="0"/>
          <w:sz w:val="22"/>
          <w:szCs w:val="22"/>
        </w:rPr>
        <w:t>二、项目名称：</w:t>
      </w:r>
      <w:bookmarkEnd w:id="13"/>
      <w:r>
        <w:rPr>
          <w:rFonts w:hint="eastAsia" w:ascii="宋体" w:hAnsi="宋体" w:cs="宋体"/>
          <w:bCs/>
          <w:kern w:val="0"/>
          <w:sz w:val="22"/>
          <w:szCs w:val="22"/>
        </w:rPr>
        <w:fldChar w:fldCharType="begin"/>
      </w:r>
      <w:r>
        <w:rPr>
          <w:rFonts w:hint="eastAsia" w:ascii="宋体" w:hAnsi="宋体" w:cs="宋体"/>
          <w:bCs/>
          <w:kern w:val="0"/>
          <w:sz w:val="22"/>
          <w:szCs w:val="22"/>
        </w:rPr>
        <w:instrText xml:space="preserve"> HYPERLINK "https://pay.zcygov.cn/purchaseplan_front/" \l "/purchase/plan/details/858481" \t "https://pay.zcygov.cn/purchaseplan_front/" \l "/plan/list/_blank" </w:instrText>
      </w:r>
      <w:r>
        <w:rPr>
          <w:rFonts w:hint="eastAsia" w:ascii="宋体" w:hAnsi="宋体" w:cs="宋体"/>
          <w:bCs/>
          <w:kern w:val="0"/>
          <w:sz w:val="22"/>
          <w:szCs w:val="22"/>
        </w:rPr>
        <w:fldChar w:fldCharType="separate"/>
      </w:r>
      <w:r>
        <w:rPr>
          <w:rFonts w:hint="eastAsia"/>
          <w:sz w:val="22"/>
          <w:szCs w:val="22"/>
        </w:rPr>
        <w:t>信创资源池扩容</w:t>
      </w:r>
      <w:r>
        <w:rPr>
          <w:rFonts w:hint="eastAsia" w:ascii="宋体" w:hAnsi="宋体" w:cs="宋体"/>
          <w:bCs/>
          <w:kern w:val="0"/>
          <w:sz w:val="22"/>
          <w:szCs w:val="22"/>
        </w:rPr>
        <w:t xml:space="preserve">   </w:t>
      </w:r>
      <w:r>
        <w:rPr>
          <w:rFonts w:hint="eastAsia" w:ascii="宋体" w:hAnsi="宋体" w:cs="宋体"/>
          <w:bCs/>
          <w:kern w:val="0"/>
          <w:sz w:val="22"/>
          <w:szCs w:val="22"/>
        </w:rPr>
        <w:fldChar w:fldCharType="end"/>
      </w:r>
      <w:bookmarkEnd w:id="14"/>
      <w:bookmarkEnd w:id="15"/>
    </w:p>
    <w:p w14:paraId="48190016">
      <w:pPr>
        <w:widowControl/>
        <w:tabs>
          <w:tab w:val="left" w:pos="420"/>
        </w:tabs>
        <w:spacing w:line="360" w:lineRule="auto"/>
        <w:ind w:right="60"/>
        <w:jc w:val="left"/>
        <w:outlineLvl w:val="0"/>
        <w:rPr>
          <w:rFonts w:ascii="宋体" w:hAnsi="宋体" w:cs="宋体"/>
          <w:kern w:val="0"/>
          <w:sz w:val="22"/>
          <w:szCs w:val="22"/>
        </w:rPr>
      </w:pPr>
      <w:bookmarkStart w:id="16" w:name="_Toc518"/>
      <w:bookmarkStart w:id="17" w:name="_Toc3654"/>
      <w:bookmarkStart w:id="18" w:name="_Toc1958"/>
      <w:r>
        <w:rPr>
          <w:rFonts w:hint="eastAsia" w:ascii="宋体" w:hAnsi="宋体" w:cs="宋体"/>
          <w:b/>
          <w:kern w:val="0"/>
          <w:sz w:val="22"/>
          <w:szCs w:val="22"/>
        </w:rPr>
        <w:t>三、项目性质：</w:t>
      </w:r>
      <w:r>
        <w:rPr>
          <w:rFonts w:hint="eastAsia" w:ascii="宋体" w:hAnsi="宋体" w:cs="宋体"/>
          <w:kern w:val="0"/>
          <w:sz w:val="22"/>
          <w:szCs w:val="22"/>
        </w:rPr>
        <w:t>国企采购（非政府采购项目）</w:t>
      </w:r>
      <w:bookmarkEnd w:id="16"/>
      <w:bookmarkEnd w:id="17"/>
      <w:bookmarkEnd w:id="18"/>
    </w:p>
    <w:p w14:paraId="0C1ED31C">
      <w:pPr>
        <w:widowControl/>
        <w:tabs>
          <w:tab w:val="left" w:pos="420"/>
        </w:tabs>
        <w:spacing w:line="360" w:lineRule="auto"/>
        <w:ind w:right="60"/>
        <w:jc w:val="left"/>
        <w:outlineLvl w:val="0"/>
        <w:rPr>
          <w:rFonts w:ascii="宋体" w:hAnsi="宋体" w:cs="宋体"/>
          <w:kern w:val="0"/>
          <w:sz w:val="22"/>
          <w:szCs w:val="22"/>
        </w:rPr>
      </w:pPr>
      <w:bookmarkStart w:id="19" w:name="_Toc20685"/>
      <w:bookmarkStart w:id="20" w:name="_Toc6966"/>
      <w:bookmarkStart w:id="21" w:name="_Toc29002"/>
      <w:r>
        <w:rPr>
          <w:rFonts w:hint="eastAsia" w:ascii="宋体" w:hAnsi="宋体" w:cs="宋体"/>
          <w:b/>
          <w:kern w:val="0"/>
          <w:sz w:val="22"/>
          <w:szCs w:val="22"/>
        </w:rPr>
        <w:t>四、预算金额：</w:t>
      </w:r>
      <w:bookmarkEnd w:id="19"/>
      <w:r>
        <w:rPr>
          <w:rFonts w:ascii="宋体" w:hAnsi="宋体" w:cs="宋体"/>
          <w:bCs/>
          <w:kern w:val="0"/>
          <w:sz w:val="22"/>
          <w:szCs w:val="22"/>
        </w:rPr>
        <w:t>180</w:t>
      </w:r>
      <w:r>
        <w:rPr>
          <w:rFonts w:hint="eastAsia" w:ascii="宋体" w:hAnsi="宋体" w:cs="宋体"/>
          <w:bCs/>
          <w:kern w:val="0"/>
          <w:sz w:val="22"/>
          <w:szCs w:val="22"/>
        </w:rPr>
        <w:t>万元</w:t>
      </w:r>
      <w:bookmarkEnd w:id="20"/>
      <w:bookmarkEnd w:id="21"/>
    </w:p>
    <w:p w14:paraId="1D4F42F1">
      <w:pPr>
        <w:widowControl/>
        <w:tabs>
          <w:tab w:val="left" w:pos="420"/>
        </w:tabs>
        <w:spacing w:line="360" w:lineRule="auto"/>
        <w:ind w:right="60"/>
        <w:jc w:val="left"/>
        <w:outlineLvl w:val="0"/>
        <w:rPr>
          <w:rFonts w:ascii="宋体" w:hAnsi="宋体" w:cs="宋体"/>
          <w:b/>
          <w:kern w:val="0"/>
          <w:sz w:val="22"/>
          <w:szCs w:val="22"/>
        </w:rPr>
      </w:pPr>
      <w:bookmarkStart w:id="22" w:name="_Toc3415"/>
      <w:bookmarkStart w:id="23" w:name="_Toc22227"/>
      <w:bookmarkStart w:id="24" w:name="_Toc31545"/>
      <w:r>
        <w:rPr>
          <w:rFonts w:hint="eastAsia" w:ascii="宋体" w:hAnsi="宋体" w:cs="宋体"/>
          <w:b/>
          <w:kern w:val="0"/>
          <w:sz w:val="22"/>
          <w:szCs w:val="22"/>
        </w:rPr>
        <w:t>五、采购内容（具体采购内容及详细技术要求见采购文件相关部分）：</w:t>
      </w:r>
      <w:bookmarkEnd w:id="22"/>
      <w:bookmarkEnd w:id="23"/>
      <w:bookmarkEnd w:id="24"/>
    </w:p>
    <w:tbl>
      <w:tblPr>
        <w:tblStyle w:val="50"/>
        <w:tblW w:w="9490" w:type="dxa"/>
        <w:jc w:val="center"/>
        <w:tblLayout w:type="fixed"/>
        <w:tblCellMar>
          <w:top w:w="0" w:type="dxa"/>
          <w:left w:w="108" w:type="dxa"/>
          <w:bottom w:w="0" w:type="dxa"/>
          <w:right w:w="108" w:type="dxa"/>
        </w:tblCellMar>
      </w:tblPr>
      <w:tblGrid>
        <w:gridCol w:w="782"/>
        <w:gridCol w:w="2343"/>
        <w:gridCol w:w="900"/>
        <w:gridCol w:w="1030"/>
        <w:gridCol w:w="1200"/>
        <w:gridCol w:w="3235"/>
      </w:tblGrid>
      <w:tr w14:paraId="2D5F1924">
        <w:tblPrEx>
          <w:tblCellMar>
            <w:top w:w="0" w:type="dxa"/>
            <w:left w:w="108" w:type="dxa"/>
            <w:bottom w:w="0" w:type="dxa"/>
            <w:right w:w="108" w:type="dxa"/>
          </w:tblCellMar>
        </w:tblPrEx>
        <w:trPr>
          <w:trHeight w:val="755" w:hRule="atLeast"/>
          <w:jc w:val="center"/>
        </w:trPr>
        <w:tc>
          <w:tcPr>
            <w:tcW w:w="782" w:type="dxa"/>
            <w:tcBorders>
              <w:top w:val="single" w:color="000000" w:sz="4" w:space="0"/>
              <w:left w:val="single" w:color="000000" w:sz="4" w:space="0"/>
              <w:bottom w:val="single" w:color="000000" w:sz="4" w:space="0"/>
              <w:right w:val="single" w:color="000000" w:sz="4" w:space="0"/>
            </w:tcBorders>
            <w:vAlign w:val="center"/>
          </w:tcPr>
          <w:p w14:paraId="21DB9235">
            <w:pPr>
              <w:widowControl/>
              <w:spacing w:before="60" w:after="60" w:line="360" w:lineRule="auto"/>
              <w:ind w:left="60" w:right="60"/>
              <w:jc w:val="center"/>
              <w:rPr>
                <w:rFonts w:ascii="宋体" w:cs="宋体"/>
                <w:bCs/>
                <w:kern w:val="0"/>
                <w:sz w:val="22"/>
                <w:szCs w:val="22"/>
              </w:rPr>
            </w:pPr>
            <w:r>
              <w:rPr>
                <w:rFonts w:hint="eastAsia" w:ascii="宋体" w:cs="宋体"/>
                <w:bCs/>
                <w:kern w:val="0"/>
                <w:sz w:val="22"/>
                <w:szCs w:val="22"/>
              </w:rPr>
              <w:t>序号</w:t>
            </w:r>
          </w:p>
        </w:tc>
        <w:tc>
          <w:tcPr>
            <w:tcW w:w="2343" w:type="dxa"/>
            <w:tcBorders>
              <w:top w:val="single" w:color="000000" w:sz="4" w:space="0"/>
              <w:left w:val="single" w:color="000000" w:sz="4" w:space="0"/>
              <w:bottom w:val="single" w:color="000000" w:sz="4" w:space="0"/>
              <w:right w:val="single" w:color="000000" w:sz="4" w:space="0"/>
            </w:tcBorders>
            <w:vAlign w:val="center"/>
          </w:tcPr>
          <w:p w14:paraId="0E28F20E">
            <w:pPr>
              <w:widowControl/>
              <w:spacing w:before="60" w:after="60" w:line="360" w:lineRule="auto"/>
              <w:ind w:left="60" w:right="60"/>
              <w:jc w:val="center"/>
              <w:rPr>
                <w:rFonts w:ascii="宋体" w:cs="宋体"/>
                <w:bCs/>
                <w:kern w:val="0"/>
                <w:sz w:val="22"/>
                <w:szCs w:val="22"/>
              </w:rPr>
            </w:pPr>
            <w:r>
              <w:rPr>
                <w:rFonts w:hint="eastAsia" w:ascii="宋体" w:cs="宋体"/>
                <w:bCs/>
                <w:kern w:val="0"/>
                <w:sz w:val="22"/>
                <w:szCs w:val="22"/>
              </w:rPr>
              <w:t>标项内容</w:t>
            </w:r>
          </w:p>
        </w:tc>
        <w:tc>
          <w:tcPr>
            <w:tcW w:w="900" w:type="dxa"/>
            <w:tcBorders>
              <w:top w:val="single" w:color="000000" w:sz="4" w:space="0"/>
              <w:left w:val="single" w:color="000000" w:sz="4" w:space="0"/>
              <w:bottom w:val="single" w:color="000000" w:sz="4" w:space="0"/>
              <w:right w:val="single" w:color="000000" w:sz="4" w:space="0"/>
            </w:tcBorders>
            <w:vAlign w:val="center"/>
          </w:tcPr>
          <w:p w14:paraId="3D0818C0">
            <w:pPr>
              <w:widowControl/>
              <w:spacing w:before="60" w:after="60" w:line="360" w:lineRule="auto"/>
              <w:ind w:left="60" w:right="60"/>
              <w:jc w:val="center"/>
              <w:rPr>
                <w:rFonts w:ascii="宋体" w:cs="宋体"/>
                <w:bCs/>
                <w:kern w:val="0"/>
                <w:sz w:val="22"/>
                <w:szCs w:val="22"/>
              </w:rPr>
            </w:pPr>
            <w:r>
              <w:rPr>
                <w:rFonts w:hint="eastAsia" w:ascii="宋体" w:cs="宋体"/>
                <w:bCs/>
                <w:kern w:val="0"/>
                <w:sz w:val="22"/>
                <w:szCs w:val="22"/>
              </w:rPr>
              <w:t>数量</w:t>
            </w:r>
          </w:p>
        </w:tc>
        <w:tc>
          <w:tcPr>
            <w:tcW w:w="1030" w:type="dxa"/>
            <w:tcBorders>
              <w:top w:val="single" w:color="000000" w:sz="4" w:space="0"/>
              <w:left w:val="single" w:color="000000" w:sz="4" w:space="0"/>
              <w:bottom w:val="single" w:color="000000" w:sz="4" w:space="0"/>
              <w:right w:val="single" w:color="000000" w:sz="4" w:space="0"/>
            </w:tcBorders>
            <w:vAlign w:val="center"/>
          </w:tcPr>
          <w:p w14:paraId="70795CF6">
            <w:pPr>
              <w:widowControl/>
              <w:spacing w:before="60" w:after="60" w:line="360" w:lineRule="auto"/>
              <w:ind w:left="60" w:right="60"/>
              <w:jc w:val="center"/>
              <w:rPr>
                <w:rFonts w:ascii="宋体" w:cs="宋体"/>
                <w:bCs/>
                <w:kern w:val="0"/>
                <w:sz w:val="22"/>
                <w:szCs w:val="22"/>
              </w:rPr>
            </w:pPr>
            <w:r>
              <w:rPr>
                <w:rFonts w:hint="eastAsia" w:ascii="宋体" w:cs="宋体"/>
                <w:bCs/>
                <w:kern w:val="0"/>
                <w:sz w:val="22"/>
                <w:szCs w:val="22"/>
              </w:rPr>
              <w:t>单位</w:t>
            </w:r>
          </w:p>
        </w:tc>
        <w:tc>
          <w:tcPr>
            <w:tcW w:w="1200" w:type="dxa"/>
            <w:tcBorders>
              <w:top w:val="single" w:color="000000" w:sz="4" w:space="0"/>
              <w:left w:val="single" w:color="000000" w:sz="4" w:space="0"/>
              <w:bottom w:val="single" w:color="000000" w:sz="4" w:space="0"/>
              <w:right w:val="single" w:color="000000" w:sz="4" w:space="0"/>
            </w:tcBorders>
            <w:vAlign w:val="center"/>
          </w:tcPr>
          <w:p w14:paraId="51470903">
            <w:pPr>
              <w:widowControl/>
              <w:spacing w:before="60" w:after="60" w:line="360" w:lineRule="auto"/>
              <w:ind w:left="60" w:right="60"/>
              <w:jc w:val="center"/>
              <w:rPr>
                <w:rFonts w:ascii="宋体" w:cs="宋体"/>
                <w:bCs/>
                <w:kern w:val="0"/>
                <w:sz w:val="22"/>
                <w:szCs w:val="22"/>
              </w:rPr>
            </w:pPr>
            <w:r>
              <w:rPr>
                <w:rFonts w:hint="eastAsia" w:ascii="宋体" w:cs="宋体"/>
                <w:bCs/>
                <w:kern w:val="0"/>
                <w:sz w:val="22"/>
                <w:szCs w:val="22"/>
              </w:rPr>
              <w:t>预算金额</w:t>
            </w:r>
          </w:p>
        </w:tc>
        <w:tc>
          <w:tcPr>
            <w:tcW w:w="3235" w:type="dxa"/>
            <w:tcBorders>
              <w:top w:val="single" w:color="000000" w:sz="4" w:space="0"/>
              <w:left w:val="single" w:color="000000" w:sz="4" w:space="0"/>
              <w:bottom w:val="single" w:color="000000" w:sz="4" w:space="0"/>
              <w:right w:val="single" w:color="000000" w:sz="4" w:space="0"/>
            </w:tcBorders>
            <w:vAlign w:val="center"/>
          </w:tcPr>
          <w:p w14:paraId="5CA9C989">
            <w:pPr>
              <w:widowControl/>
              <w:spacing w:before="60" w:after="60" w:line="360" w:lineRule="auto"/>
              <w:ind w:left="60" w:right="60"/>
              <w:jc w:val="center"/>
              <w:rPr>
                <w:rFonts w:ascii="宋体" w:cs="宋体"/>
                <w:bCs/>
                <w:kern w:val="0"/>
                <w:sz w:val="22"/>
                <w:szCs w:val="22"/>
              </w:rPr>
            </w:pPr>
            <w:r>
              <w:rPr>
                <w:rFonts w:hint="eastAsia" w:ascii="宋体" w:cs="宋体"/>
                <w:bCs/>
                <w:kern w:val="0"/>
                <w:sz w:val="22"/>
                <w:szCs w:val="22"/>
              </w:rPr>
              <w:t>简要说明</w:t>
            </w:r>
          </w:p>
        </w:tc>
      </w:tr>
      <w:tr w14:paraId="00158E2A">
        <w:tblPrEx>
          <w:tblCellMar>
            <w:top w:w="0" w:type="dxa"/>
            <w:left w:w="108" w:type="dxa"/>
            <w:bottom w:w="0" w:type="dxa"/>
            <w:right w:w="108" w:type="dxa"/>
          </w:tblCellMar>
        </w:tblPrEx>
        <w:trPr>
          <w:trHeight w:val="186" w:hRule="atLeast"/>
          <w:jc w:val="center"/>
        </w:trPr>
        <w:tc>
          <w:tcPr>
            <w:tcW w:w="782" w:type="dxa"/>
            <w:tcBorders>
              <w:top w:val="single" w:color="000000" w:sz="4" w:space="0"/>
              <w:left w:val="single" w:color="000000" w:sz="4" w:space="0"/>
              <w:bottom w:val="single" w:color="000000" w:sz="4" w:space="0"/>
              <w:right w:val="single" w:color="000000" w:sz="4" w:space="0"/>
            </w:tcBorders>
            <w:vAlign w:val="center"/>
          </w:tcPr>
          <w:p w14:paraId="29A09B0D">
            <w:pPr>
              <w:widowControl/>
              <w:spacing w:before="60" w:after="60" w:line="360" w:lineRule="auto"/>
              <w:jc w:val="center"/>
              <w:rPr>
                <w:rFonts w:ascii="宋体" w:cs="宋体"/>
                <w:bCs/>
                <w:kern w:val="0"/>
                <w:sz w:val="22"/>
                <w:szCs w:val="22"/>
              </w:rPr>
            </w:pPr>
            <w:r>
              <w:rPr>
                <w:rFonts w:hint="eastAsia" w:ascii="宋体" w:cs="宋体"/>
                <w:bCs/>
                <w:kern w:val="0"/>
                <w:sz w:val="22"/>
                <w:szCs w:val="22"/>
              </w:rPr>
              <w:t>1</w:t>
            </w:r>
          </w:p>
        </w:tc>
        <w:tc>
          <w:tcPr>
            <w:tcW w:w="2343" w:type="dxa"/>
            <w:tcBorders>
              <w:top w:val="single" w:color="000000" w:sz="4" w:space="0"/>
              <w:left w:val="single" w:color="000000" w:sz="4" w:space="0"/>
              <w:bottom w:val="single" w:color="000000" w:sz="4" w:space="0"/>
              <w:right w:val="single" w:color="000000" w:sz="4" w:space="0"/>
            </w:tcBorders>
            <w:vAlign w:val="center"/>
          </w:tcPr>
          <w:p w14:paraId="065A72C0">
            <w:pPr>
              <w:widowControl/>
              <w:spacing w:before="60" w:after="60" w:line="360" w:lineRule="auto"/>
              <w:jc w:val="center"/>
              <w:rPr>
                <w:rFonts w:ascii="宋体" w:cs="宋体"/>
                <w:bCs/>
                <w:kern w:val="0"/>
                <w:sz w:val="22"/>
                <w:szCs w:val="22"/>
              </w:rPr>
            </w:pPr>
            <w:r>
              <w:rPr>
                <w:sz w:val="22"/>
                <w:szCs w:val="22"/>
              </w:rPr>
              <w:fldChar w:fldCharType="begin"/>
            </w:r>
            <w:r>
              <w:rPr>
                <w:sz w:val="22"/>
                <w:szCs w:val="22"/>
              </w:rPr>
              <w:instrText xml:space="preserve"> HYPERLINK "https://pay.zcygov.cn/purchaseplan_front/" \l "/plan/list/_blank" \t "https://pay.zcygov.cn/purchaseplan_front/" </w:instrText>
            </w:r>
            <w:r>
              <w:rPr>
                <w:sz w:val="22"/>
                <w:szCs w:val="22"/>
              </w:rPr>
              <w:fldChar w:fldCharType="separate"/>
            </w:r>
            <w:r>
              <w:rPr>
                <w:rFonts w:hint="eastAsia"/>
                <w:sz w:val="22"/>
                <w:szCs w:val="22"/>
              </w:rPr>
              <w:t>信创资源池扩容</w:t>
            </w:r>
            <w:r>
              <w:rPr>
                <w:rFonts w:ascii="宋体" w:cs="宋体"/>
                <w:bCs/>
                <w:kern w:val="0"/>
                <w:sz w:val="22"/>
                <w:szCs w:val="22"/>
              </w:rPr>
              <w:t xml:space="preserve">  </w:t>
            </w:r>
            <w:r>
              <w:rPr>
                <w:rFonts w:ascii="宋体" w:cs="宋体"/>
                <w:bCs/>
                <w:kern w:val="0"/>
                <w:sz w:val="22"/>
                <w:szCs w:val="22"/>
              </w:rPr>
              <w:fldChar w:fldCharType="end"/>
            </w:r>
          </w:p>
        </w:tc>
        <w:tc>
          <w:tcPr>
            <w:tcW w:w="900" w:type="dxa"/>
            <w:tcBorders>
              <w:top w:val="single" w:color="000000" w:sz="4" w:space="0"/>
              <w:left w:val="single" w:color="000000" w:sz="4" w:space="0"/>
              <w:bottom w:val="single" w:color="000000" w:sz="4" w:space="0"/>
              <w:right w:val="single" w:color="000000" w:sz="4" w:space="0"/>
            </w:tcBorders>
            <w:vAlign w:val="center"/>
          </w:tcPr>
          <w:p w14:paraId="0A50623F">
            <w:pPr>
              <w:widowControl/>
              <w:spacing w:before="60" w:after="60" w:line="360" w:lineRule="auto"/>
              <w:jc w:val="center"/>
              <w:rPr>
                <w:rFonts w:ascii="宋体" w:cs="宋体"/>
                <w:bCs/>
                <w:kern w:val="0"/>
                <w:sz w:val="22"/>
                <w:szCs w:val="22"/>
              </w:rPr>
            </w:pPr>
            <w:r>
              <w:rPr>
                <w:rFonts w:hint="eastAsia" w:ascii="宋体" w:cs="宋体"/>
                <w:bCs/>
                <w:kern w:val="0"/>
                <w:sz w:val="22"/>
                <w:szCs w:val="22"/>
              </w:rPr>
              <w:t>1</w:t>
            </w:r>
          </w:p>
        </w:tc>
        <w:tc>
          <w:tcPr>
            <w:tcW w:w="1030" w:type="dxa"/>
            <w:tcBorders>
              <w:top w:val="single" w:color="000000" w:sz="4" w:space="0"/>
              <w:left w:val="single" w:color="000000" w:sz="4" w:space="0"/>
              <w:bottom w:val="single" w:color="000000" w:sz="4" w:space="0"/>
              <w:right w:val="single" w:color="000000" w:sz="4" w:space="0"/>
            </w:tcBorders>
            <w:vAlign w:val="center"/>
          </w:tcPr>
          <w:p w14:paraId="5580D260">
            <w:pPr>
              <w:widowControl/>
              <w:spacing w:before="60" w:after="60" w:line="360" w:lineRule="auto"/>
              <w:jc w:val="center"/>
              <w:rPr>
                <w:rFonts w:ascii="宋体" w:cs="宋体"/>
                <w:bCs/>
                <w:kern w:val="0"/>
                <w:sz w:val="22"/>
                <w:szCs w:val="22"/>
              </w:rPr>
            </w:pPr>
            <w:r>
              <w:rPr>
                <w:rFonts w:hint="eastAsia" w:ascii="宋体" w:cs="宋体"/>
                <w:bCs/>
                <w:kern w:val="0"/>
                <w:sz w:val="22"/>
                <w:szCs w:val="22"/>
              </w:rPr>
              <w:t>批</w:t>
            </w:r>
          </w:p>
        </w:tc>
        <w:tc>
          <w:tcPr>
            <w:tcW w:w="1200" w:type="dxa"/>
            <w:tcBorders>
              <w:top w:val="single" w:color="000000" w:sz="4" w:space="0"/>
              <w:left w:val="single" w:color="000000" w:sz="4" w:space="0"/>
              <w:bottom w:val="single" w:color="000000" w:sz="4" w:space="0"/>
              <w:right w:val="single" w:color="000000" w:sz="4" w:space="0"/>
            </w:tcBorders>
            <w:vAlign w:val="center"/>
          </w:tcPr>
          <w:p w14:paraId="1D6F2A03">
            <w:pPr>
              <w:widowControl/>
              <w:spacing w:before="60" w:after="60" w:line="360" w:lineRule="auto"/>
              <w:jc w:val="center"/>
              <w:rPr>
                <w:rFonts w:ascii="宋体" w:cs="宋体"/>
                <w:bCs/>
                <w:kern w:val="0"/>
                <w:sz w:val="22"/>
                <w:szCs w:val="22"/>
              </w:rPr>
            </w:pPr>
            <w:r>
              <w:rPr>
                <w:rFonts w:ascii="宋体" w:cs="宋体"/>
                <w:bCs/>
                <w:kern w:val="0"/>
                <w:sz w:val="22"/>
                <w:szCs w:val="22"/>
              </w:rPr>
              <w:t>180</w:t>
            </w:r>
            <w:r>
              <w:rPr>
                <w:rFonts w:hint="eastAsia" w:ascii="宋体" w:hAnsi="宋体" w:cs="宋体"/>
                <w:kern w:val="0"/>
                <w:sz w:val="22"/>
                <w:szCs w:val="22"/>
              </w:rPr>
              <w:t>万元</w:t>
            </w:r>
          </w:p>
        </w:tc>
        <w:tc>
          <w:tcPr>
            <w:tcW w:w="3235" w:type="dxa"/>
            <w:tcBorders>
              <w:top w:val="single" w:color="000000" w:sz="4" w:space="0"/>
              <w:left w:val="single" w:color="000000" w:sz="4" w:space="0"/>
              <w:bottom w:val="single" w:color="000000" w:sz="4" w:space="0"/>
              <w:right w:val="single" w:color="000000" w:sz="4" w:space="0"/>
            </w:tcBorders>
            <w:vAlign w:val="center"/>
          </w:tcPr>
          <w:p w14:paraId="7101983A">
            <w:pPr>
              <w:widowControl/>
              <w:snapToGrid w:val="0"/>
              <w:spacing w:line="360" w:lineRule="auto"/>
              <w:rPr>
                <w:rFonts w:ascii="宋体" w:cs="宋体"/>
                <w:bCs/>
                <w:kern w:val="0"/>
                <w:sz w:val="22"/>
                <w:szCs w:val="22"/>
              </w:rPr>
            </w:pPr>
            <w:r>
              <w:rPr>
                <w:sz w:val="22"/>
                <w:szCs w:val="22"/>
              </w:rPr>
              <w:fldChar w:fldCharType="begin"/>
            </w:r>
            <w:r>
              <w:rPr>
                <w:sz w:val="22"/>
                <w:szCs w:val="22"/>
              </w:rPr>
              <w:instrText xml:space="preserve"> HYPERLINK "https://pay.zcygov.cn/purchaseplan_front/" \l "/plan/list/_blank" \t "https://pay.zcygov.cn/purchaseplan_front/" </w:instrText>
            </w:r>
            <w:r>
              <w:rPr>
                <w:sz w:val="22"/>
                <w:szCs w:val="22"/>
              </w:rPr>
              <w:fldChar w:fldCharType="separate"/>
            </w:r>
            <w:r>
              <w:rPr>
                <w:rFonts w:hint="eastAsia"/>
                <w:sz w:val="22"/>
                <w:szCs w:val="22"/>
              </w:rPr>
              <w:t>信创资源池扩容</w:t>
            </w:r>
            <w:r>
              <w:rPr>
                <w:rFonts w:hint="eastAsia" w:ascii="宋体" w:cs="宋体"/>
                <w:bCs/>
                <w:kern w:val="0"/>
                <w:sz w:val="22"/>
                <w:szCs w:val="22"/>
              </w:rPr>
              <w:t>，具</w:t>
            </w:r>
            <w:r>
              <w:rPr>
                <w:rFonts w:hint="eastAsia" w:ascii="宋体" w:cs="宋体"/>
                <w:bCs/>
                <w:kern w:val="0"/>
                <w:sz w:val="22"/>
                <w:szCs w:val="22"/>
              </w:rPr>
              <w:fldChar w:fldCharType="end"/>
            </w:r>
            <w:r>
              <w:rPr>
                <w:rFonts w:hint="eastAsia" w:ascii="宋体" w:cs="宋体"/>
                <w:bCs/>
                <w:kern w:val="0"/>
                <w:sz w:val="22"/>
                <w:szCs w:val="22"/>
              </w:rPr>
              <w:t>体采购内容及要求见采购文件相关部分。</w:t>
            </w:r>
          </w:p>
        </w:tc>
      </w:tr>
    </w:tbl>
    <w:p w14:paraId="6A961FF5">
      <w:pPr>
        <w:widowControl/>
        <w:tabs>
          <w:tab w:val="left" w:pos="420"/>
        </w:tabs>
        <w:spacing w:line="360" w:lineRule="auto"/>
        <w:ind w:right="60"/>
        <w:jc w:val="left"/>
        <w:outlineLvl w:val="0"/>
        <w:rPr>
          <w:rFonts w:ascii="宋体" w:hAnsi="宋体" w:cs="宋体"/>
          <w:b/>
          <w:kern w:val="0"/>
          <w:sz w:val="22"/>
          <w:szCs w:val="22"/>
        </w:rPr>
      </w:pPr>
      <w:bookmarkStart w:id="25" w:name="_Toc25771"/>
      <w:bookmarkStart w:id="26" w:name="_Toc29191"/>
      <w:bookmarkStart w:id="27" w:name="_Toc9229"/>
      <w:r>
        <w:rPr>
          <w:rFonts w:hint="eastAsia" w:ascii="宋体" w:hAnsi="宋体" w:cs="宋体"/>
          <w:b/>
          <w:kern w:val="0"/>
          <w:sz w:val="22"/>
          <w:szCs w:val="22"/>
        </w:rPr>
        <w:t>六、投标供应商资格要求：</w:t>
      </w:r>
      <w:bookmarkEnd w:id="25"/>
      <w:bookmarkEnd w:id="26"/>
      <w:bookmarkEnd w:id="27"/>
    </w:p>
    <w:p w14:paraId="34B9B33B">
      <w:pPr>
        <w:widowControl/>
        <w:tabs>
          <w:tab w:val="left" w:pos="420"/>
        </w:tabs>
        <w:spacing w:line="360" w:lineRule="auto"/>
        <w:ind w:right="60" w:firstLine="440" w:firstLineChars="200"/>
        <w:jc w:val="left"/>
        <w:rPr>
          <w:rFonts w:ascii="宋体" w:hAnsi="宋体" w:cs="宋体"/>
          <w:kern w:val="0"/>
          <w:sz w:val="22"/>
          <w:szCs w:val="22"/>
        </w:rPr>
      </w:pPr>
      <w:r>
        <w:rPr>
          <w:rFonts w:hint="eastAsia" w:ascii="宋体" w:hAnsi="宋体" w:cs="宋体"/>
          <w:kern w:val="0"/>
          <w:sz w:val="22"/>
          <w:szCs w:val="22"/>
        </w:rPr>
        <w:t>1.符合</w:t>
      </w:r>
      <w:r>
        <w:rPr>
          <w:rFonts w:hint="eastAsia" w:ascii="宋体" w:hAnsi="宋体" w:cs="宋体"/>
          <w:kern w:val="0"/>
          <w:sz w:val="22"/>
          <w:szCs w:val="22"/>
          <w:lang w:eastAsia="zh-CN"/>
        </w:rPr>
        <w:t>《温州市市属国有企业采购管理办法》</w:t>
      </w:r>
      <w:r>
        <w:rPr>
          <w:rFonts w:hint="eastAsia" w:ascii="宋体" w:hAnsi="宋体" w:cs="宋体"/>
          <w:kern w:val="0"/>
          <w:sz w:val="22"/>
          <w:szCs w:val="22"/>
        </w:rPr>
        <w:t>第</w:t>
      </w:r>
      <w:r>
        <w:rPr>
          <w:rFonts w:hint="eastAsia" w:ascii="宋体" w:hAnsi="宋体" w:cs="宋体"/>
          <w:kern w:val="0"/>
          <w:sz w:val="22"/>
          <w:szCs w:val="22"/>
          <w:lang w:val="en-US" w:eastAsia="zh-CN"/>
        </w:rPr>
        <w:t>十八</w:t>
      </w:r>
      <w:r>
        <w:rPr>
          <w:rFonts w:hint="eastAsia" w:ascii="宋体" w:hAnsi="宋体" w:cs="宋体"/>
          <w:kern w:val="0"/>
          <w:sz w:val="22"/>
          <w:szCs w:val="22"/>
        </w:rPr>
        <w:t>条对供应商参加温州市国有企业采购活动应当具备的条件的要求。</w:t>
      </w:r>
    </w:p>
    <w:p w14:paraId="3B36F070">
      <w:pPr>
        <w:pStyle w:val="42"/>
        <w:spacing w:before="0" w:beforeAutospacing="0" w:after="0" w:afterAutospacing="0" w:line="360" w:lineRule="auto"/>
        <w:ind w:firstLine="450"/>
        <w:rPr>
          <w:rFonts w:ascii="sans-serif" w:hAnsi="sans-serif" w:eastAsia="sans-serif" w:cs="sans-serif"/>
          <w:sz w:val="22"/>
          <w:szCs w:val="22"/>
        </w:rPr>
      </w:pPr>
      <w:r>
        <w:rPr>
          <w:rFonts w:hint="eastAsia"/>
          <w:sz w:val="22"/>
          <w:szCs w:val="22"/>
        </w:rPr>
        <w:t>（1）具有独立承担民事责任的能力；</w:t>
      </w:r>
    </w:p>
    <w:p w14:paraId="7A0735D9">
      <w:pPr>
        <w:pStyle w:val="42"/>
        <w:spacing w:before="0" w:beforeAutospacing="0" w:after="0" w:afterAutospacing="0" w:line="360" w:lineRule="auto"/>
        <w:ind w:firstLine="450"/>
        <w:rPr>
          <w:rFonts w:ascii="sans-serif" w:hAnsi="sans-serif" w:eastAsia="sans-serif" w:cs="sans-serif"/>
          <w:sz w:val="22"/>
          <w:szCs w:val="22"/>
        </w:rPr>
      </w:pPr>
      <w:r>
        <w:rPr>
          <w:rFonts w:hint="eastAsia"/>
          <w:sz w:val="22"/>
          <w:szCs w:val="22"/>
        </w:rPr>
        <w:t>（2）具有良好的商业信誉和健全的财务会计制度；</w:t>
      </w:r>
    </w:p>
    <w:p w14:paraId="187E1630">
      <w:pPr>
        <w:pStyle w:val="42"/>
        <w:spacing w:before="0" w:beforeAutospacing="0" w:after="0" w:afterAutospacing="0" w:line="360" w:lineRule="auto"/>
        <w:ind w:firstLine="450"/>
        <w:rPr>
          <w:rFonts w:ascii="sans-serif" w:hAnsi="sans-serif" w:eastAsia="sans-serif" w:cs="sans-serif"/>
          <w:sz w:val="22"/>
          <w:szCs w:val="22"/>
        </w:rPr>
      </w:pPr>
      <w:r>
        <w:rPr>
          <w:rFonts w:hint="eastAsia"/>
          <w:sz w:val="22"/>
          <w:szCs w:val="22"/>
        </w:rPr>
        <w:t>（3）具有履行合同所必需的设备和专业技术、售后保障等能力；</w:t>
      </w:r>
    </w:p>
    <w:p w14:paraId="5E961C4A">
      <w:pPr>
        <w:pStyle w:val="42"/>
        <w:spacing w:before="0" w:beforeAutospacing="0" w:after="0" w:afterAutospacing="0" w:line="360" w:lineRule="auto"/>
        <w:ind w:firstLine="450"/>
        <w:rPr>
          <w:rFonts w:ascii="sans-serif" w:hAnsi="sans-serif" w:eastAsia="sans-serif" w:cs="sans-serif"/>
          <w:sz w:val="22"/>
          <w:szCs w:val="22"/>
        </w:rPr>
      </w:pPr>
      <w:r>
        <w:rPr>
          <w:rFonts w:hint="eastAsia"/>
          <w:sz w:val="22"/>
          <w:szCs w:val="22"/>
        </w:rPr>
        <w:t>（4）有依法缴纳税收和社会保障资金的良好记录；</w:t>
      </w:r>
    </w:p>
    <w:p w14:paraId="682CF2D7">
      <w:pPr>
        <w:pStyle w:val="42"/>
        <w:spacing w:before="0" w:beforeAutospacing="0" w:after="0" w:afterAutospacing="0" w:line="360" w:lineRule="auto"/>
        <w:ind w:firstLine="450"/>
        <w:rPr>
          <w:rFonts w:ascii="sans-serif" w:hAnsi="sans-serif" w:eastAsia="sans-serif" w:cs="sans-serif"/>
          <w:sz w:val="22"/>
          <w:szCs w:val="22"/>
        </w:rPr>
      </w:pPr>
      <w:r>
        <w:rPr>
          <w:rFonts w:hint="eastAsia"/>
          <w:sz w:val="22"/>
          <w:szCs w:val="22"/>
        </w:rPr>
        <w:t>（5）参加采购、招投标等活动前三年内，在经营活动中没有重大违法记录、严重失信行为和行贿记录；</w:t>
      </w:r>
    </w:p>
    <w:p w14:paraId="276C8FC7">
      <w:pPr>
        <w:widowControl/>
        <w:tabs>
          <w:tab w:val="left" w:pos="420"/>
        </w:tabs>
        <w:spacing w:line="360" w:lineRule="auto"/>
        <w:ind w:right="60" w:firstLine="440" w:firstLineChars="200"/>
        <w:rPr>
          <w:rFonts w:ascii="宋体" w:hAnsi="宋体" w:cs="宋体"/>
          <w:kern w:val="0"/>
          <w:sz w:val="22"/>
          <w:szCs w:val="22"/>
        </w:rPr>
      </w:pPr>
      <w:r>
        <w:rPr>
          <w:rFonts w:hint="eastAsia" w:ascii="宋体" w:cs="宋体"/>
          <w:sz w:val="22"/>
          <w:szCs w:val="22"/>
        </w:rPr>
        <w:t>（6）法律、行政法规规定的其他条件。</w:t>
      </w:r>
    </w:p>
    <w:p w14:paraId="73A062BC">
      <w:pPr>
        <w:widowControl/>
        <w:tabs>
          <w:tab w:val="left" w:pos="420"/>
        </w:tabs>
        <w:spacing w:line="360" w:lineRule="auto"/>
        <w:ind w:right="60" w:firstLine="440" w:firstLineChars="200"/>
        <w:rPr>
          <w:rFonts w:hint="eastAsia" w:ascii="宋体" w:hAnsi="宋体" w:cs="宋体"/>
          <w:kern w:val="0"/>
          <w:sz w:val="22"/>
          <w:szCs w:val="22"/>
        </w:rPr>
      </w:pPr>
      <w:r>
        <w:rPr>
          <w:rFonts w:hint="eastAsia" w:ascii="宋体" w:hAnsi="宋体" w:cs="宋体"/>
          <w:kern w:val="0"/>
          <w:sz w:val="22"/>
          <w:szCs w:val="22"/>
        </w:rPr>
        <w:t>2.投标供应商未被“信用中国”（www.creditchina.gov.cn）、中国政府采购网（www.ccgp.gov.cn）列入失信被执行人、重大税收违法案件当事人名单、采购严重违法失信行为记录名单。</w:t>
      </w:r>
    </w:p>
    <w:p w14:paraId="7FF54134">
      <w:pPr>
        <w:widowControl/>
        <w:numPr>
          <w:ilvl w:val="0"/>
          <w:numId w:val="0"/>
        </w:numPr>
        <w:tabs>
          <w:tab w:val="left" w:pos="840"/>
        </w:tabs>
        <w:spacing w:line="360" w:lineRule="auto"/>
        <w:ind w:right="0" w:firstLine="440" w:firstLineChars="200"/>
        <w:jc w:val="left"/>
        <w:rPr>
          <w:rFonts w:hint="eastAsia" w:ascii="宋体" w:hAnsi="宋体" w:cs="宋体"/>
          <w:kern w:val="0"/>
          <w:sz w:val="22"/>
          <w:szCs w:val="22"/>
        </w:rPr>
      </w:pPr>
      <w:r>
        <w:rPr>
          <w:rFonts w:hint="default" w:ascii="宋体" w:hAnsi="宋体" w:eastAsia="宋体" w:cs="新宋体"/>
          <w:color w:val="auto"/>
          <w:kern w:val="0"/>
          <w:sz w:val="22"/>
          <w:szCs w:val="22"/>
          <w:lang w:val="en-US" w:eastAsia="zh-CN" w:bidi="ar-SA"/>
        </w:rPr>
        <w:t>3．</w:t>
      </w:r>
      <w:r>
        <w:rPr>
          <w:rFonts w:hint="eastAsia" w:ascii="宋体" w:hAnsi="宋体" w:cs="新宋体"/>
          <w:color w:val="auto"/>
          <w:kern w:val="0"/>
          <w:sz w:val="22"/>
          <w:szCs w:val="22"/>
          <w:highlight w:val="none"/>
        </w:rPr>
        <w:t>单位负责人为同一人或者存在直接控股、管理关系的不同投标供应商，不得同时参加本项目投标活动，违反该款规定的，相关投标均无效；</w:t>
      </w:r>
    </w:p>
    <w:p w14:paraId="76F498CB">
      <w:pPr>
        <w:widowControl/>
        <w:tabs>
          <w:tab w:val="left" w:pos="420"/>
        </w:tabs>
        <w:spacing w:line="360" w:lineRule="auto"/>
        <w:ind w:right="60" w:firstLine="440" w:firstLineChars="200"/>
        <w:jc w:val="left"/>
        <w:rPr>
          <w:rFonts w:ascii="宋体" w:hAnsi="宋体" w:cs="宋体"/>
          <w:kern w:val="0"/>
          <w:sz w:val="22"/>
          <w:szCs w:val="22"/>
        </w:rPr>
      </w:pPr>
      <w:r>
        <w:rPr>
          <w:rFonts w:hint="eastAsia" w:ascii="宋体" w:hAnsi="宋体" w:cs="宋体"/>
          <w:kern w:val="0"/>
          <w:sz w:val="22"/>
          <w:szCs w:val="22"/>
          <w:lang w:val="en-US" w:eastAsia="zh-CN"/>
        </w:rPr>
        <w:t>4</w:t>
      </w:r>
      <w:r>
        <w:rPr>
          <w:rFonts w:hint="eastAsia" w:ascii="宋体" w:hAnsi="宋体" w:cs="宋体"/>
          <w:kern w:val="0"/>
          <w:sz w:val="22"/>
          <w:szCs w:val="22"/>
        </w:rPr>
        <w:t>.本项目不接受联合体投标</w:t>
      </w:r>
      <w:r>
        <w:rPr>
          <w:rFonts w:hint="eastAsia" w:ascii="宋体" w:hAnsi="宋体" w:cs="宋体"/>
          <w:bCs/>
          <w:sz w:val="22"/>
          <w:szCs w:val="22"/>
        </w:rPr>
        <w:t>。</w:t>
      </w:r>
    </w:p>
    <w:p w14:paraId="420DCF6B">
      <w:pPr>
        <w:widowControl/>
        <w:tabs>
          <w:tab w:val="left" w:pos="420"/>
        </w:tabs>
        <w:spacing w:line="360" w:lineRule="auto"/>
        <w:ind w:right="60"/>
        <w:jc w:val="left"/>
        <w:outlineLvl w:val="0"/>
        <w:rPr>
          <w:rFonts w:ascii="宋体" w:hAnsi="宋体" w:cs="宋体"/>
          <w:b/>
          <w:kern w:val="0"/>
          <w:sz w:val="22"/>
          <w:szCs w:val="22"/>
        </w:rPr>
      </w:pPr>
      <w:bookmarkStart w:id="28" w:name="_Toc30268"/>
      <w:bookmarkStart w:id="29" w:name="_Toc17454"/>
      <w:bookmarkStart w:id="30" w:name="_Toc317"/>
      <w:r>
        <w:rPr>
          <w:rFonts w:hint="eastAsia" w:ascii="宋体" w:hAnsi="宋体" w:cs="宋体"/>
          <w:b/>
          <w:kern w:val="0"/>
          <w:sz w:val="22"/>
          <w:szCs w:val="22"/>
        </w:rPr>
        <w:t>七、发售采购文件时间及地点：</w:t>
      </w:r>
      <w:bookmarkEnd w:id="28"/>
      <w:bookmarkEnd w:id="29"/>
      <w:bookmarkEnd w:id="30"/>
    </w:p>
    <w:p w14:paraId="60DBC2BB">
      <w:pPr>
        <w:widowControl/>
        <w:tabs>
          <w:tab w:val="left" w:pos="420"/>
        </w:tabs>
        <w:spacing w:line="360" w:lineRule="auto"/>
        <w:ind w:firstLine="440" w:firstLineChars="200"/>
        <w:jc w:val="left"/>
        <w:rPr>
          <w:rFonts w:ascii="宋体" w:hAnsi="宋体" w:cs="宋体"/>
          <w:kern w:val="0"/>
          <w:sz w:val="22"/>
          <w:szCs w:val="22"/>
        </w:rPr>
      </w:pPr>
      <w:r>
        <w:rPr>
          <w:rFonts w:hint="eastAsia" w:ascii="宋体" w:hAnsi="宋体" w:cs="宋体"/>
          <w:kern w:val="0"/>
          <w:sz w:val="22"/>
          <w:szCs w:val="22"/>
        </w:rPr>
        <w:t>1.报名时间及采购文件发售时间：自本公告公布日起至截标之前，报名单位应准备齐全资料方可报名（上午：8:30-11:30 下午：14:30-16:30 双休日及法定节假日除外）。</w:t>
      </w:r>
    </w:p>
    <w:p w14:paraId="5BDE55A2">
      <w:pPr>
        <w:widowControl/>
        <w:numPr>
          <w:ilvl w:val="-1"/>
          <w:numId w:val="0"/>
        </w:numPr>
        <w:tabs>
          <w:tab w:val="left" w:pos="420"/>
        </w:tabs>
        <w:spacing w:line="360" w:lineRule="auto"/>
        <w:ind w:left="437" w:leftChars="208" w:firstLine="0" w:firstLineChars="0"/>
        <w:jc w:val="left"/>
        <w:rPr>
          <w:rFonts w:ascii="宋体" w:hAnsi="宋体" w:cs="宋体"/>
          <w:color w:val="000000" w:themeColor="text1"/>
          <w:kern w:val="0"/>
          <w:sz w:val="22"/>
          <w:szCs w:val="22"/>
          <w14:textFill>
            <w14:solidFill>
              <w14:schemeClr w14:val="tx1"/>
            </w14:solidFill>
          </w14:textFill>
        </w:rPr>
      </w:pPr>
      <w:r>
        <w:rPr>
          <w:rFonts w:hint="eastAsia" w:ascii="宋体" w:hAnsi="宋体" w:cs="宋体"/>
          <w:color w:val="000000" w:themeColor="text1"/>
          <w:kern w:val="0"/>
          <w:sz w:val="22"/>
          <w:szCs w:val="22"/>
          <w14:textFill>
            <w14:solidFill>
              <w14:schemeClr w14:val="tx1"/>
            </w14:solidFill>
          </w14:textFill>
        </w:rPr>
        <w:t>2.报名方式：网上报名获取采购文件，</w:t>
      </w:r>
      <w:r>
        <w:rPr>
          <w:rFonts w:hint="eastAsia" w:ascii="宋体" w:hAnsi="宋体" w:eastAsia="宋体" w:cs="新宋体"/>
          <w:color w:val="000000" w:themeColor="text1"/>
          <w:kern w:val="0"/>
          <w:sz w:val="22"/>
          <w:szCs w:val="22"/>
          <w:highlight w:val="none"/>
          <w14:textFill>
            <w14:solidFill>
              <w14:schemeClr w14:val="tx1"/>
            </w14:solidFill>
          </w14:textFill>
        </w:rPr>
        <w:t>投标供应商必须先在乐采云账号注册平台</w:t>
      </w:r>
      <w:r>
        <w:rPr>
          <w:rFonts w:hint="eastAsia" w:ascii="宋体" w:hAnsi="宋体" w:eastAsia="宋体" w:cs="新宋体"/>
          <w:color w:val="000000" w:themeColor="text1"/>
          <w:kern w:val="0"/>
          <w:sz w:val="22"/>
          <w:szCs w:val="22"/>
          <w:highlight w:val="none"/>
          <w:lang w:eastAsia="zh-CN"/>
          <w14:textFill>
            <w14:solidFill>
              <w14:schemeClr w14:val="tx1"/>
            </w14:solidFill>
          </w14:textFill>
        </w:rPr>
        <w:t>。</w:t>
      </w:r>
      <w:r>
        <w:rPr>
          <w:rFonts w:hint="eastAsia" w:ascii="宋体" w:hAnsi="宋体" w:eastAsia="宋体" w:cs="新宋体"/>
          <w:color w:val="000000" w:themeColor="text1"/>
          <w:kern w:val="0"/>
          <w:sz w:val="22"/>
          <w:szCs w:val="22"/>
          <w:highlight w:val="none"/>
          <w14:textFill>
            <w14:solidFill>
              <w14:schemeClr w14:val="tx1"/>
            </w14:solidFill>
          </w14:textFill>
        </w:rPr>
        <w:t>（https://middle-lcy.lecaiyun.com/luban/registry/promotion?）进行登记注册，，投标供应商注册账号后在“乐采云”平台(www.lecaiyun.com)上自主报名，报名后</w:t>
      </w:r>
      <w:r>
        <w:rPr>
          <w:rFonts w:hint="eastAsia" w:ascii="宋体" w:hAnsi="宋体" w:cs="新宋体"/>
          <w:color w:val="000000" w:themeColor="text1"/>
          <w:kern w:val="0"/>
          <w:sz w:val="22"/>
          <w:szCs w:val="22"/>
          <w:highlight w:val="none"/>
          <w:lang w:eastAsia="zh-CN"/>
          <w14:textFill>
            <w14:solidFill>
              <w14:schemeClr w14:val="tx1"/>
            </w14:solidFill>
          </w14:textFill>
        </w:rPr>
        <w:t>（</w:t>
      </w:r>
      <w:r>
        <w:rPr>
          <w:rFonts w:hint="eastAsia" w:ascii="新宋体" w:hAnsi="新宋体" w:eastAsia="新宋体" w:cs="新宋体"/>
          <w:snapToGrid w:val="0"/>
          <w:color w:val="000000" w:themeColor="text1"/>
          <w:sz w:val="22"/>
          <w:szCs w:val="22"/>
          <w:highlight w:val="none"/>
          <w14:textFill>
            <w14:solidFill>
              <w14:schemeClr w14:val="tx1"/>
            </w14:solidFill>
          </w14:textFill>
        </w:rPr>
        <w:t>将报名资料扫描件发送至</w:t>
      </w:r>
      <w:r>
        <w:rPr>
          <w:rFonts w:hint="eastAsia" w:ascii="新宋体" w:hAnsi="新宋体" w:eastAsia="新宋体" w:cs="新宋体"/>
          <w:snapToGrid w:val="0"/>
          <w:color w:val="000000" w:themeColor="text1"/>
          <w:sz w:val="22"/>
          <w:szCs w:val="22"/>
          <w:highlight w:val="none"/>
          <w:lang w:val="en-US" w:eastAsia="zh-CN"/>
          <w14:textFill>
            <w14:solidFill>
              <w14:schemeClr w14:val="tx1"/>
            </w14:solidFill>
          </w14:textFill>
        </w:rPr>
        <w:t>229103902</w:t>
      </w:r>
      <w:r>
        <w:rPr>
          <w:rFonts w:hint="eastAsia" w:ascii="新宋体" w:hAnsi="新宋体" w:eastAsia="新宋体" w:cs="新宋体"/>
          <w:snapToGrid w:val="0"/>
          <w:color w:val="000000" w:themeColor="text1"/>
          <w:sz w:val="22"/>
          <w:szCs w:val="22"/>
          <w:highlight w:val="none"/>
          <w14:textFill>
            <w14:solidFill>
              <w14:schemeClr w14:val="tx1"/>
            </w14:solidFill>
          </w14:textFill>
        </w:rPr>
        <w:t>@qq.com邮箱</w:t>
      </w:r>
      <w:r>
        <w:rPr>
          <w:rFonts w:hint="eastAsia" w:ascii="宋体" w:hAnsi="宋体" w:cs="新宋体"/>
          <w:color w:val="000000" w:themeColor="text1"/>
          <w:kern w:val="0"/>
          <w:sz w:val="22"/>
          <w:szCs w:val="22"/>
          <w:highlight w:val="none"/>
          <w:lang w:eastAsia="zh-CN"/>
          <w14:textFill>
            <w14:solidFill>
              <w14:schemeClr w14:val="tx1"/>
            </w14:solidFill>
          </w14:textFill>
        </w:rPr>
        <w:t>）</w:t>
      </w:r>
      <w:r>
        <w:rPr>
          <w:rFonts w:hint="eastAsia" w:ascii="宋体" w:hAnsi="宋体" w:eastAsia="宋体" w:cs="新宋体"/>
          <w:color w:val="000000" w:themeColor="text1"/>
          <w:kern w:val="0"/>
          <w:sz w:val="22"/>
          <w:szCs w:val="22"/>
          <w:highlight w:val="none"/>
          <w14:textFill>
            <w14:solidFill>
              <w14:schemeClr w14:val="tx1"/>
            </w14:solidFill>
          </w14:textFill>
        </w:rPr>
        <w:t>请与代理机构确认。</w:t>
      </w:r>
      <w:r>
        <w:rPr>
          <w:rFonts w:hint="eastAsia" w:ascii="宋体" w:hAnsi="宋体" w:cs="宋体"/>
          <w:color w:val="000000" w:themeColor="text1"/>
          <w:kern w:val="0"/>
          <w:sz w:val="22"/>
          <w:szCs w:val="22"/>
          <w14:textFill>
            <w14:solidFill>
              <w14:schemeClr w14:val="tx1"/>
            </w14:solidFill>
          </w14:textFill>
        </w:rPr>
        <w:t>代理机构经过审核后通知供应商将标书购买费汇入代理机构银行账户，供应商缴纳报名费后将缴费截图发回代理机构电子邮箱，即为报名成功。</w:t>
      </w:r>
    </w:p>
    <w:p w14:paraId="60524C44">
      <w:pPr>
        <w:widowControl/>
        <w:numPr>
          <w:ilvl w:val="0"/>
          <w:numId w:val="0"/>
        </w:numPr>
        <w:tabs>
          <w:tab w:val="left" w:pos="840"/>
        </w:tabs>
        <w:spacing w:line="360" w:lineRule="auto"/>
        <w:ind w:firstLine="440" w:firstLineChars="200"/>
        <w:jc w:val="left"/>
        <w:rPr>
          <w:rFonts w:ascii="宋体" w:hAnsi="宋体" w:cs="宋体"/>
          <w:kern w:val="0"/>
          <w:sz w:val="22"/>
          <w:szCs w:val="22"/>
        </w:rPr>
      </w:pPr>
      <w:r>
        <w:rPr>
          <w:rFonts w:hint="eastAsia" w:ascii="宋体" w:hAnsi="宋体" w:cs="宋体"/>
          <w:kern w:val="0"/>
          <w:sz w:val="22"/>
          <w:szCs w:val="22"/>
        </w:rPr>
        <w:t>3.报名及采购文件发售地点：</w:t>
      </w:r>
      <w:r>
        <w:rPr>
          <w:rFonts w:hint="eastAsia" w:ascii="宋体" w:hAnsi="宋体" w:cs="新宋体"/>
          <w:snapToGrid w:val="0"/>
          <w:color w:val="auto"/>
          <w:sz w:val="22"/>
          <w:szCs w:val="22"/>
          <w:highlight w:val="none"/>
          <w:lang w:eastAsia="zh-CN"/>
        </w:rPr>
        <w:t>温州建设集团建筑设计院有限公司（温州市鹿城区鹿城路619号建设商务大厦18楼）</w:t>
      </w:r>
    </w:p>
    <w:p w14:paraId="43BD3E04">
      <w:pPr>
        <w:widowControl/>
        <w:tabs>
          <w:tab w:val="left" w:pos="420"/>
        </w:tabs>
        <w:spacing w:line="360" w:lineRule="auto"/>
        <w:ind w:firstLine="440" w:firstLineChars="200"/>
        <w:jc w:val="left"/>
        <w:rPr>
          <w:rFonts w:hint="eastAsia" w:ascii="宋体" w:hAnsi="宋体" w:cs="宋体"/>
          <w:kern w:val="0"/>
          <w:sz w:val="22"/>
          <w:szCs w:val="22"/>
        </w:rPr>
      </w:pPr>
      <w:r>
        <w:rPr>
          <w:rFonts w:hint="eastAsia" w:ascii="宋体" w:hAnsi="宋体" w:cs="宋体"/>
          <w:kern w:val="0"/>
          <w:sz w:val="22"/>
          <w:szCs w:val="22"/>
        </w:rPr>
        <w:t>4.采购文件售价：人民币500元整(售后不退)</w:t>
      </w:r>
    </w:p>
    <w:p w14:paraId="54ED8743">
      <w:pPr>
        <w:widowControl/>
        <w:numPr>
          <w:ilvl w:val="0"/>
          <w:numId w:val="0"/>
        </w:numPr>
        <w:tabs>
          <w:tab w:val="left" w:pos="420"/>
        </w:tabs>
        <w:spacing w:line="360" w:lineRule="auto"/>
        <w:ind w:firstLine="440" w:firstLineChars="200"/>
        <w:jc w:val="left"/>
        <w:rPr>
          <w:rFonts w:hint="eastAsia" w:ascii="宋体" w:hAnsi="宋体" w:eastAsia="宋体" w:cs="新宋体"/>
          <w:color w:val="auto"/>
          <w:kern w:val="0"/>
          <w:sz w:val="22"/>
          <w:szCs w:val="22"/>
          <w:highlight w:val="none"/>
        </w:rPr>
      </w:pPr>
      <w:r>
        <w:rPr>
          <w:rFonts w:hint="eastAsia" w:ascii="宋体" w:hAnsi="宋体" w:eastAsia="宋体" w:cs="新宋体"/>
          <w:color w:val="auto"/>
          <w:kern w:val="0"/>
          <w:sz w:val="22"/>
          <w:szCs w:val="22"/>
          <w:highlight w:val="none"/>
        </w:rPr>
        <w:t>5.报名时须提交以下文件资料（须装订成册）：</w:t>
      </w:r>
    </w:p>
    <w:p w14:paraId="3EAFC265">
      <w:pPr>
        <w:keepNext w:val="0"/>
        <w:keepLines w:val="0"/>
        <w:pageBreakBefore w:val="0"/>
        <w:widowControl/>
        <w:numPr>
          <w:ilvl w:val="-1"/>
          <w:numId w:val="0"/>
        </w:numPr>
        <w:tabs>
          <w:tab w:val="left" w:pos="420"/>
        </w:tabs>
        <w:kinsoku/>
        <w:wordWrap/>
        <w:overflowPunct/>
        <w:topLinePunct w:val="0"/>
        <w:autoSpaceDE/>
        <w:autoSpaceDN/>
        <w:bidi w:val="0"/>
        <w:adjustRightInd/>
        <w:snapToGrid/>
        <w:spacing w:line="360" w:lineRule="auto"/>
        <w:ind w:left="0" w:firstLine="440" w:firstLineChars="200"/>
        <w:jc w:val="left"/>
        <w:textAlignment w:val="auto"/>
        <w:rPr>
          <w:rFonts w:hint="eastAsia" w:ascii="宋体" w:hAnsi="宋体" w:eastAsia="宋体" w:cs="新宋体"/>
          <w:color w:val="auto"/>
          <w:kern w:val="0"/>
          <w:sz w:val="22"/>
          <w:szCs w:val="22"/>
          <w:highlight w:val="none"/>
        </w:rPr>
      </w:pPr>
      <w:r>
        <w:rPr>
          <w:rFonts w:hint="eastAsia" w:ascii="宋体" w:hAnsi="宋体" w:eastAsia="宋体" w:cs="新宋体"/>
          <w:color w:val="auto"/>
          <w:kern w:val="0"/>
          <w:sz w:val="22"/>
          <w:szCs w:val="22"/>
          <w:highlight w:val="none"/>
          <w:lang w:val="en-US" w:eastAsia="zh-CN"/>
        </w:rPr>
        <w:t>(1）.</w:t>
      </w:r>
      <w:r>
        <w:rPr>
          <w:rFonts w:hint="eastAsia" w:ascii="宋体" w:hAnsi="宋体" w:eastAsia="宋体" w:cs="新宋体"/>
          <w:color w:val="auto"/>
          <w:kern w:val="0"/>
          <w:sz w:val="22"/>
          <w:szCs w:val="22"/>
          <w:highlight w:val="none"/>
        </w:rPr>
        <w:t>温州市国有企业采购投标报名申请表</w:t>
      </w:r>
    </w:p>
    <w:p w14:paraId="36D83D4D">
      <w:pPr>
        <w:keepNext w:val="0"/>
        <w:keepLines w:val="0"/>
        <w:pageBreakBefore w:val="0"/>
        <w:widowControl/>
        <w:numPr>
          <w:ilvl w:val="-1"/>
          <w:numId w:val="0"/>
        </w:numPr>
        <w:tabs>
          <w:tab w:val="left" w:pos="420"/>
        </w:tabs>
        <w:kinsoku/>
        <w:wordWrap/>
        <w:overflowPunct/>
        <w:topLinePunct w:val="0"/>
        <w:autoSpaceDE/>
        <w:autoSpaceDN/>
        <w:bidi w:val="0"/>
        <w:adjustRightInd/>
        <w:snapToGrid/>
        <w:spacing w:line="360" w:lineRule="auto"/>
        <w:ind w:left="0" w:firstLine="440" w:firstLineChars="200"/>
        <w:jc w:val="left"/>
        <w:textAlignment w:val="auto"/>
        <w:rPr>
          <w:rFonts w:hint="eastAsia" w:ascii="宋体" w:hAnsi="宋体" w:eastAsia="宋体" w:cs="新宋体"/>
          <w:color w:val="auto"/>
          <w:kern w:val="0"/>
          <w:sz w:val="22"/>
          <w:szCs w:val="22"/>
          <w:highlight w:val="none"/>
        </w:rPr>
      </w:pPr>
      <w:r>
        <w:rPr>
          <w:rFonts w:hint="eastAsia" w:ascii="宋体" w:hAnsi="宋体" w:eastAsia="宋体" w:cs="新宋体"/>
          <w:color w:val="auto"/>
          <w:kern w:val="0"/>
          <w:sz w:val="22"/>
          <w:szCs w:val="22"/>
          <w:highlight w:val="none"/>
          <w:lang w:val="en-US" w:eastAsia="zh-CN"/>
        </w:rPr>
        <w:t>(2）.</w:t>
      </w:r>
      <w:r>
        <w:rPr>
          <w:rFonts w:hint="eastAsia" w:ascii="宋体" w:hAnsi="宋体" w:eastAsia="宋体" w:cs="新宋体"/>
          <w:color w:val="auto"/>
          <w:kern w:val="0"/>
          <w:sz w:val="22"/>
          <w:szCs w:val="22"/>
          <w:highlight w:val="none"/>
        </w:rPr>
        <w:t>投标供应商单位介绍信或法定代表人（或单位负责人）授权书（原件），被授权人身份证复制件；</w:t>
      </w:r>
    </w:p>
    <w:p w14:paraId="13F1830E">
      <w:pPr>
        <w:keepNext w:val="0"/>
        <w:keepLines w:val="0"/>
        <w:pageBreakBefore w:val="0"/>
        <w:widowControl/>
        <w:numPr>
          <w:ilvl w:val="-1"/>
          <w:numId w:val="0"/>
        </w:numPr>
        <w:tabs>
          <w:tab w:val="left" w:pos="420"/>
        </w:tabs>
        <w:kinsoku/>
        <w:wordWrap/>
        <w:overflowPunct/>
        <w:topLinePunct w:val="0"/>
        <w:autoSpaceDE/>
        <w:autoSpaceDN/>
        <w:bidi w:val="0"/>
        <w:adjustRightInd/>
        <w:snapToGrid/>
        <w:spacing w:line="360" w:lineRule="auto"/>
        <w:ind w:left="0" w:firstLine="440" w:firstLineChars="200"/>
        <w:jc w:val="left"/>
        <w:textAlignment w:val="auto"/>
        <w:rPr>
          <w:rFonts w:hint="eastAsia" w:ascii="宋体" w:hAnsi="宋体" w:cs="新宋体"/>
          <w:color w:val="auto"/>
          <w:kern w:val="0"/>
          <w:sz w:val="22"/>
          <w:szCs w:val="22"/>
          <w:highlight w:val="none"/>
        </w:rPr>
      </w:pPr>
      <w:r>
        <w:rPr>
          <w:rFonts w:hint="eastAsia" w:ascii="宋体" w:hAnsi="宋体" w:eastAsia="宋体" w:cs="新宋体"/>
          <w:color w:val="auto"/>
          <w:kern w:val="0"/>
          <w:sz w:val="22"/>
          <w:szCs w:val="22"/>
          <w:highlight w:val="none"/>
          <w:lang w:val="en-US" w:eastAsia="zh-CN"/>
        </w:rPr>
        <w:t>(3）</w:t>
      </w:r>
      <w:r>
        <w:rPr>
          <w:rFonts w:hint="eastAsia" w:ascii="宋体" w:hAnsi="宋体" w:cs="宋体"/>
          <w:kern w:val="0"/>
          <w:sz w:val="22"/>
          <w:szCs w:val="22"/>
          <w:lang w:val="en-US" w:eastAsia="zh-CN"/>
        </w:rPr>
        <w:t>.</w:t>
      </w:r>
      <w:r>
        <w:rPr>
          <w:rFonts w:hint="eastAsia" w:ascii="宋体" w:hAnsi="宋体" w:cs="新宋体"/>
          <w:color w:val="auto"/>
          <w:kern w:val="0"/>
          <w:sz w:val="22"/>
          <w:szCs w:val="22"/>
          <w:highlight w:val="none"/>
        </w:rPr>
        <w:t>投标供应商有效的营业执照或法人登记证书（复制件加盖公章）；</w:t>
      </w:r>
    </w:p>
    <w:p w14:paraId="75B53372">
      <w:pPr>
        <w:widowControl/>
        <w:numPr>
          <w:ilvl w:val="0"/>
          <w:numId w:val="0"/>
        </w:numPr>
        <w:tabs>
          <w:tab w:val="left" w:pos="840"/>
        </w:tabs>
        <w:spacing w:line="360" w:lineRule="auto"/>
        <w:ind w:firstLine="440" w:firstLineChars="200"/>
        <w:jc w:val="left"/>
        <w:rPr>
          <w:rFonts w:hint="eastAsia" w:ascii="宋体" w:hAnsi="宋体" w:cs="宋体"/>
          <w:kern w:val="0"/>
          <w:sz w:val="22"/>
          <w:szCs w:val="22"/>
        </w:rPr>
      </w:pPr>
      <w:r>
        <w:rPr>
          <w:rFonts w:hint="eastAsia" w:ascii="宋体" w:hAnsi="宋体" w:cs="新宋体"/>
          <w:color w:val="auto"/>
          <w:kern w:val="0"/>
          <w:sz w:val="22"/>
          <w:szCs w:val="22"/>
          <w:highlight w:val="none"/>
        </w:rPr>
        <w:t>以上资料若为复制件，须加盖投标供应商公章。</w:t>
      </w:r>
    </w:p>
    <w:p w14:paraId="1A0956FF">
      <w:pPr>
        <w:widowControl/>
        <w:tabs>
          <w:tab w:val="left" w:pos="420"/>
        </w:tabs>
        <w:spacing w:line="360" w:lineRule="auto"/>
        <w:ind w:right="60"/>
        <w:jc w:val="left"/>
        <w:outlineLvl w:val="0"/>
        <w:rPr>
          <w:rFonts w:ascii="宋体" w:hAnsi="宋体" w:cs="宋体"/>
          <w:b/>
          <w:kern w:val="0"/>
          <w:sz w:val="22"/>
          <w:szCs w:val="22"/>
        </w:rPr>
      </w:pPr>
      <w:bookmarkStart w:id="31" w:name="_Toc29793"/>
      <w:bookmarkStart w:id="32" w:name="_Toc3903"/>
      <w:bookmarkStart w:id="33" w:name="_Toc5351"/>
      <w:r>
        <w:rPr>
          <w:rFonts w:hint="eastAsia" w:ascii="宋体" w:hAnsi="宋体" w:cs="宋体"/>
          <w:b/>
          <w:kern w:val="0"/>
          <w:sz w:val="22"/>
          <w:szCs w:val="22"/>
        </w:rPr>
        <w:t>八、投标文件递交截止时间、开标时间及地点：</w:t>
      </w:r>
      <w:bookmarkEnd w:id="31"/>
      <w:bookmarkEnd w:id="32"/>
      <w:bookmarkEnd w:id="33"/>
    </w:p>
    <w:p w14:paraId="4D3A2B1D">
      <w:pPr>
        <w:widowControl/>
        <w:tabs>
          <w:tab w:val="left" w:pos="420"/>
        </w:tabs>
        <w:spacing w:line="360" w:lineRule="auto"/>
        <w:ind w:right="60" w:firstLine="440" w:firstLineChars="200"/>
        <w:jc w:val="left"/>
        <w:rPr>
          <w:rFonts w:ascii="宋体" w:hAnsi="宋体" w:cs="宋体"/>
          <w:kern w:val="0"/>
          <w:sz w:val="22"/>
          <w:szCs w:val="22"/>
        </w:rPr>
      </w:pPr>
      <w:r>
        <w:rPr>
          <w:rFonts w:hint="eastAsia" w:ascii="宋体" w:hAnsi="宋体" w:cs="宋体"/>
          <w:kern w:val="0"/>
          <w:sz w:val="22"/>
          <w:szCs w:val="22"/>
          <w:highlight w:val="none"/>
        </w:rPr>
        <w:t>1.投标截止时间：</w:t>
      </w:r>
      <w:bookmarkStart w:id="34" w:name="B23_谈判响应文件提交截止日期"/>
      <w:bookmarkEnd w:id="34"/>
      <w:r>
        <w:rPr>
          <w:rFonts w:hint="eastAsia" w:ascii="宋体" w:hAnsi="宋体" w:cs="宋体"/>
          <w:color w:val="000000" w:themeColor="text1"/>
          <w:kern w:val="0"/>
          <w:sz w:val="22"/>
          <w:szCs w:val="22"/>
          <w:highlight w:val="none"/>
          <w14:textFill>
            <w14:solidFill>
              <w14:schemeClr w14:val="tx1"/>
            </w14:solidFill>
          </w14:textFill>
        </w:rPr>
        <w:t>202</w:t>
      </w:r>
      <w:r>
        <w:rPr>
          <w:rFonts w:ascii="宋体" w:hAnsi="宋体" w:cs="宋体"/>
          <w:color w:val="000000" w:themeColor="text1"/>
          <w:kern w:val="0"/>
          <w:sz w:val="22"/>
          <w:szCs w:val="22"/>
          <w:highlight w:val="none"/>
          <w14:textFill>
            <w14:solidFill>
              <w14:schemeClr w14:val="tx1"/>
            </w14:solidFill>
          </w14:textFill>
        </w:rPr>
        <w:t>5</w:t>
      </w:r>
      <w:r>
        <w:rPr>
          <w:rFonts w:hint="eastAsia" w:ascii="宋体" w:hAnsi="宋体" w:cs="宋体"/>
          <w:color w:val="000000" w:themeColor="text1"/>
          <w:kern w:val="0"/>
          <w:sz w:val="22"/>
          <w:szCs w:val="22"/>
          <w:highlight w:val="none"/>
          <w14:textFill>
            <w14:solidFill>
              <w14:schemeClr w14:val="tx1"/>
            </w14:solidFill>
          </w14:textFill>
        </w:rPr>
        <w:t>年</w:t>
      </w:r>
      <w:r>
        <w:rPr>
          <w:rFonts w:hint="eastAsia" w:ascii="宋体" w:hAnsi="宋体" w:cs="宋体"/>
          <w:color w:val="000000" w:themeColor="text1"/>
          <w:kern w:val="0"/>
          <w:sz w:val="22"/>
          <w:szCs w:val="22"/>
          <w:highlight w:val="none"/>
          <w:lang w:val="en-US" w:eastAsia="zh-CN"/>
          <w14:textFill>
            <w14:solidFill>
              <w14:schemeClr w14:val="tx1"/>
            </w14:solidFill>
          </w14:textFill>
        </w:rPr>
        <w:t>4</w:t>
      </w:r>
      <w:r>
        <w:rPr>
          <w:rFonts w:hint="eastAsia" w:ascii="宋体" w:hAnsi="宋体" w:cs="宋体"/>
          <w:color w:val="000000" w:themeColor="text1"/>
          <w:kern w:val="0"/>
          <w:sz w:val="22"/>
          <w:szCs w:val="22"/>
          <w:highlight w:val="none"/>
          <w14:textFill>
            <w14:solidFill>
              <w14:schemeClr w14:val="tx1"/>
            </w14:solidFill>
          </w14:textFill>
        </w:rPr>
        <w:t>月</w:t>
      </w:r>
      <w:r>
        <w:rPr>
          <w:rFonts w:hint="eastAsia" w:ascii="宋体" w:hAnsi="宋体" w:cs="宋体"/>
          <w:color w:val="000000" w:themeColor="text1"/>
          <w:kern w:val="0"/>
          <w:sz w:val="22"/>
          <w:szCs w:val="22"/>
          <w:highlight w:val="none"/>
          <w:lang w:val="en-US" w:eastAsia="zh-CN"/>
          <w14:textFill>
            <w14:solidFill>
              <w14:schemeClr w14:val="tx1"/>
            </w14:solidFill>
          </w14:textFill>
        </w:rPr>
        <w:t>8</w:t>
      </w:r>
      <w:r>
        <w:rPr>
          <w:rFonts w:hint="eastAsia" w:ascii="宋体" w:hAnsi="宋体" w:cs="宋体"/>
          <w:color w:val="000000" w:themeColor="text1"/>
          <w:kern w:val="0"/>
          <w:sz w:val="22"/>
          <w:szCs w:val="22"/>
          <w:highlight w:val="none"/>
          <w14:textFill>
            <w14:solidFill>
              <w14:schemeClr w14:val="tx1"/>
            </w14:solidFill>
          </w14:textFill>
        </w:rPr>
        <w:t>日09时30分</w:t>
      </w:r>
      <w:r>
        <w:rPr>
          <w:rFonts w:hint="eastAsia" w:ascii="宋体" w:hAnsi="宋体" w:cs="宋体"/>
          <w:kern w:val="0"/>
          <w:sz w:val="22"/>
          <w:szCs w:val="22"/>
          <w:highlight w:val="none"/>
        </w:rPr>
        <w:t>(北京时间</w:t>
      </w:r>
      <w:r>
        <w:rPr>
          <w:rFonts w:hint="eastAsia" w:ascii="宋体" w:hAnsi="宋体" w:cs="宋体"/>
          <w:kern w:val="0"/>
          <w:sz w:val="22"/>
          <w:szCs w:val="22"/>
        </w:rPr>
        <w:t>，下同)。</w:t>
      </w:r>
    </w:p>
    <w:p w14:paraId="5CDB3841">
      <w:pPr>
        <w:widowControl/>
        <w:tabs>
          <w:tab w:val="left" w:pos="420"/>
        </w:tabs>
        <w:spacing w:line="360" w:lineRule="auto"/>
        <w:ind w:right="60" w:firstLine="440" w:firstLineChars="200"/>
        <w:jc w:val="left"/>
        <w:rPr>
          <w:rFonts w:ascii="宋体" w:hAnsi="宋体" w:cs="宋体"/>
          <w:kern w:val="0"/>
          <w:sz w:val="22"/>
          <w:szCs w:val="22"/>
        </w:rPr>
      </w:pPr>
      <w:r>
        <w:rPr>
          <w:rFonts w:hint="eastAsia" w:ascii="宋体" w:hAnsi="宋体" w:cs="宋体"/>
          <w:kern w:val="0"/>
          <w:sz w:val="22"/>
          <w:szCs w:val="22"/>
        </w:rPr>
        <w:t>2.投标文件提交地点：</w:t>
      </w:r>
      <w:r>
        <w:rPr>
          <w:rFonts w:hint="eastAsia" w:ascii="宋体" w:hAnsi="宋体"/>
          <w:color w:val="auto"/>
          <w:kern w:val="0"/>
          <w:sz w:val="22"/>
          <w:szCs w:val="22"/>
          <w:highlight w:val="none"/>
          <w:shd w:val="clear" w:color="auto" w:fill="FFFFFF"/>
          <w:lang w:eastAsia="zh-CN"/>
        </w:rPr>
        <w:t>温州市鹿城区鹿城路619号建设商务大厦18楼</w:t>
      </w:r>
      <w:r>
        <w:rPr>
          <w:rFonts w:hint="eastAsia" w:ascii="宋体" w:hAnsi="宋体" w:cs="宋体"/>
          <w:kern w:val="0"/>
          <w:sz w:val="22"/>
          <w:szCs w:val="22"/>
        </w:rPr>
        <w:t>。</w:t>
      </w:r>
    </w:p>
    <w:p w14:paraId="07B19004">
      <w:pPr>
        <w:widowControl/>
        <w:tabs>
          <w:tab w:val="left" w:pos="420"/>
        </w:tabs>
        <w:spacing w:line="360" w:lineRule="auto"/>
        <w:ind w:right="60" w:firstLine="440" w:firstLineChars="200"/>
        <w:jc w:val="left"/>
        <w:rPr>
          <w:rFonts w:ascii="宋体" w:hAnsi="宋体" w:cs="宋体"/>
          <w:kern w:val="0"/>
          <w:sz w:val="22"/>
          <w:szCs w:val="22"/>
        </w:rPr>
      </w:pPr>
      <w:r>
        <w:rPr>
          <w:rFonts w:hint="eastAsia" w:ascii="宋体" w:hAnsi="宋体" w:cs="宋体"/>
          <w:kern w:val="0"/>
          <w:sz w:val="22"/>
          <w:szCs w:val="22"/>
        </w:rPr>
        <w:t>3.开标时间：</w:t>
      </w:r>
      <w:bookmarkStart w:id="35" w:name="B26_谈判时间日期"/>
      <w:bookmarkEnd w:id="35"/>
      <w:r>
        <w:rPr>
          <w:rFonts w:hint="eastAsia" w:ascii="宋体" w:hAnsi="宋体" w:cs="宋体"/>
          <w:kern w:val="0"/>
          <w:sz w:val="22"/>
          <w:szCs w:val="22"/>
        </w:rPr>
        <w:t>同投标截止时间。</w:t>
      </w:r>
    </w:p>
    <w:p w14:paraId="7D6B4FA6">
      <w:pPr>
        <w:widowControl/>
        <w:tabs>
          <w:tab w:val="left" w:pos="420"/>
        </w:tabs>
        <w:spacing w:line="360" w:lineRule="auto"/>
        <w:ind w:right="60" w:firstLine="440" w:firstLineChars="200"/>
        <w:jc w:val="left"/>
        <w:rPr>
          <w:rFonts w:ascii="宋体" w:hAnsi="宋体" w:cs="宋体"/>
          <w:kern w:val="0"/>
          <w:sz w:val="22"/>
          <w:szCs w:val="22"/>
        </w:rPr>
      </w:pPr>
      <w:r>
        <w:rPr>
          <w:rFonts w:hint="eastAsia" w:ascii="宋体" w:hAnsi="宋体" w:cs="宋体"/>
          <w:kern w:val="0"/>
          <w:sz w:val="22"/>
          <w:szCs w:val="22"/>
        </w:rPr>
        <w:t>4.开标地点：</w:t>
      </w:r>
      <w:r>
        <w:rPr>
          <w:rFonts w:hint="eastAsia" w:ascii="宋体" w:hAnsi="宋体"/>
          <w:color w:val="auto"/>
          <w:kern w:val="0"/>
          <w:sz w:val="22"/>
          <w:szCs w:val="22"/>
          <w:highlight w:val="none"/>
          <w:shd w:val="clear" w:color="auto" w:fill="FFFFFF"/>
          <w:lang w:eastAsia="zh-CN"/>
        </w:rPr>
        <w:t>温州市鹿城区鹿城路619号建设商务大厦18楼</w:t>
      </w:r>
      <w:r>
        <w:rPr>
          <w:rFonts w:hint="eastAsia" w:ascii="宋体" w:hAnsi="宋体" w:cs="宋体"/>
          <w:kern w:val="0"/>
          <w:sz w:val="22"/>
          <w:szCs w:val="22"/>
        </w:rPr>
        <w:t>。</w:t>
      </w:r>
    </w:p>
    <w:p w14:paraId="091C7EEC">
      <w:pPr>
        <w:widowControl/>
        <w:tabs>
          <w:tab w:val="left" w:pos="420"/>
        </w:tabs>
        <w:spacing w:line="360" w:lineRule="auto"/>
        <w:ind w:right="60"/>
        <w:jc w:val="left"/>
        <w:outlineLvl w:val="0"/>
        <w:rPr>
          <w:rFonts w:ascii="宋体" w:hAnsi="宋体" w:cs="宋体"/>
          <w:b/>
          <w:kern w:val="0"/>
          <w:sz w:val="22"/>
          <w:szCs w:val="22"/>
        </w:rPr>
      </w:pPr>
      <w:bookmarkStart w:id="36" w:name="_Toc24062"/>
      <w:bookmarkStart w:id="37" w:name="_Toc10941"/>
      <w:bookmarkStart w:id="38" w:name="_Toc20656"/>
      <w:r>
        <w:rPr>
          <w:rFonts w:hint="eastAsia" w:ascii="宋体" w:hAnsi="宋体" w:cs="宋体"/>
          <w:b/>
          <w:kern w:val="0"/>
          <w:sz w:val="22"/>
          <w:szCs w:val="22"/>
        </w:rPr>
        <w:t>九、投标保证金及交付方式：</w:t>
      </w:r>
      <w:bookmarkEnd w:id="36"/>
      <w:bookmarkEnd w:id="37"/>
      <w:bookmarkEnd w:id="38"/>
    </w:p>
    <w:p w14:paraId="4AA4CE7B">
      <w:pPr>
        <w:keepNext w:val="0"/>
        <w:keepLines w:val="0"/>
        <w:pageBreakBefore w:val="0"/>
        <w:kinsoku/>
        <w:wordWrap/>
        <w:overflowPunct/>
        <w:topLinePunct w:val="0"/>
        <w:autoSpaceDE/>
        <w:autoSpaceDN/>
        <w:bidi w:val="0"/>
        <w:adjustRightInd/>
        <w:snapToGrid/>
        <w:spacing w:line="360" w:lineRule="auto"/>
        <w:ind w:left="0" w:firstLine="440" w:firstLineChars="200"/>
        <w:textAlignment w:val="auto"/>
        <w:rPr>
          <w:rFonts w:hint="eastAsia" w:ascii="宋体" w:hAnsi="宋体" w:eastAsia="宋体" w:cs="宋体"/>
          <w:color w:val="000000" w:themeColor="text1"/>
          <w:kern w:val="0"/>
          <w:sz w:val="22"/>
          <w:szCs w:val="22"/>
          <w:highlight w:val="none"/>
          <w:lang w:eastAsia="zh-CN"/>
          <w14:textFill>
            <w14:solidFill>
              <w14:schemeClr w14:val="tx1"/>
            </w14:solidFill>
          </w14:textFill>
        </w:rPr>
      </w:pPr>
      <w:r>
        <w:rPr>
          <w:rFonts w:hint="eastAsia" w:ascii="宋体" w:hAnsi="宋体" w:eastAsia="宋体" w:cs="宋体"/>
          <w:color w:val="000000" w:themeColor="text1"/>
          <w:sz w:val="22"/>
          <w:szCs w:val="22"/>
          <w:highlight w:val="none"/>
          <w:shd w:val="clear" w:color="auto" w:fill="FFFFFF"/>
          <w:lang w:val="zh-CN"/>
          <w14:textFill>
            <w14:solidFill>
              <w14:schemeClr w14:val="tx1"/>
            </w14:solidFill>
          </w14:textFill>
        </w:rPr>
        <w:t>投标保证金：</w:t>
      </w:r>
      <w:r>
        <w:rPr>
          <w:rFonts w:hint="eastAsia" w:ascii="宋体" w:hAnsi="宋体" w:eastAsia="宋体" w:cs="宋体"/>
          <w:color w:val="000000" w:themeColor="text1"/>
          <w:sz w:val="22"/>
          <w:szCs w:val="22"/>
          <w:highlight w:val="none"/>
          <w:shd w:val="clear" w:color="auto" w:fill="FFFFFF"/>
          <w14:textFill>
            <w14:solidFill>
              <w14:schemeClr w14:val="tx1"/>
            </w14:solidFill>
          </w14:textFill>
        </w:rPr>
        <w:t>人民币</w:t>
      </w:r>
      <w:r>
        <w:rPr>
          <w:rFonts w:hint="eastAsia" w:ascii="宋体" w:hAnsi="宋体" w:eastAsia="宋体" w:cs="宋体"/>
          <w:color w:val="000000" w:themeColor="text1"/>
          <w:sz w:val="22"/>
          <w:szCs w:val="22"/>
          <w:highlight w:val="none"/>
          <w:shd w:val="clear" w:color="auto" w:fill="FFFFFF"/>
          <w:lang w:val="en-US" w:eastAsia="zh-CN"/>
          <w14:textFill>
            <w14:solidFill>
              <w14:schemeClr w14:val="tx1"/>
            </w14:solidFill>
          </w14:textFill>
        </w:rPr>
        <w:t>叁</w:t>
      </w:r>
      <w:r>
        <w:rPr>
          <w:rFonts w:hint="eastAsia" w:ascii="宋体" w:hAnsi="宋体" w:eastAsia="宋体" w:cs="宋体"/>
          <w:color w:val="000000" w:themeColor="text1"/>
          <w:sz w:val="22"/>
          <w:szCs w:val="22"/>
          <w:highlight w:val="none"/>
          <w:shd w:val="clear" w:color="auto" w:fill="FFFFFF"/>
          <w14:textFill>
            <w14:solidFill>
              <w14:schemeClr w14:val="tx1"/>
            </w14:solidFill>
          </w14:textFill>
        </w:rPr>
        <w:t>万元整（¥</w:t>
      </w:r>
      <w:r>
        <w:rPr>
          <w:rFonts w:hint="eastAsia" w:ascii="宋体" w:hAnsi="宋体" w:eastAsia="宋体" w:cs="宋体"/>
          <w:color w:val="000000" w:themeColor="text1"/>
          <w:sz w:val="22"/>
          <w:szCs w:val="22"/>
          <w:highlight w:val="none"/>
          <w:shd w:val="clear" w:color="auto" w:fill="FFFFFF"/>
          <w:lang w:val="en-US" w:eastAsia="zh-CN"/>
          <w14:textFill>
            <w14:solidFill>
              <w14:schemeClr w14:val="tx1"/>
            </w14:solidFill>
          </w14:textFill>
        </w:rPr>
        <w:t>3</w:t>
      </w:r>
      <w:r>
        <w:rPr>
          <w:rFonts w:hint="eastAsia" w:ascii="宋体" w:hAnsi="宋体" w:eastAsia="宋体" w:cs="宋体"/>
          <w:color w:val="000000" w:themeColor="text1"/>
          <w:sz w:val="22"/>
          <w:szCs w:val="22"/>
          <w:highlight w:val="none"/>
          <w:shd w:val="clear" w:color="auto" w:fill="FFFFFF"/>
          <w14:textFill>
            <w14:solidFill>
              <w14:schemeClr w14:val="tx1"/>
            </w14:solidFill>
          </w14:textFill>
        </w:rPr>
        <w:t>0000元）</w:t>
      </w:r>
    </w:p>
    <w:p w14:paraId="5913E88D">
      <w:pPr>
        <w:keepNext w:val="0"/>
        <w:keepLines w:val="0"/>
        <w:pageBreakBefore w:val="0"/>
        <w:kinsoku/>
        <w:wordWrap/>
        <w:overflowPunct/>
        <w:topLinePunct w:val="0"/>
        <w:autoSpaceDE/>
        <w:autoSpaceDN/>
        <w:bidi w:val="0"/>
        <w:adjustRightInd/>
        <w:snapToGrid/>
        <w:spacing w:line="360" w:lineRule="auto"/>
        <w:ind w:left="0" w:firstLine="440" w:firstLineChars="200"/>
        <w:textAlignment w:val="auto"/>
        <w:rPr>
          <w:rFonts w:hint="eastAsia" w:ascii="宋体" w:hAnsi="宋体" w:eastAsia="宋体" w:cs="宋体"/>
          <w:color w:val="000000" w:themeColor="text1"/>
          <w:sz w:val="22"/>
          <w:szCs w:val="22"/>
          <w:highlight w:val="none"/>
          <w:shd w:val="clear" w:color="auto" w:fill="FFFFFF"/>
          <w14:textFill>
            <w14:solidFill>
              <w14:schemeClr w14:val="tx1"/>
            </w14:solidFill>
          </w14:textFill>
        </w:rPr>
      </w:pPr>
      <w:r>
        <w:rPr>
          <w:rFonts w:hint="eastAsia" w:ascii="宋体" w:hAnsi="宋体" w:eastAsia="宋体" w:cs="宋体"/>
          <w:color w:val="000000" w:themeColor="text1"/>
          <w:sz w:val="22"/>
          <w:szCs w:val="22"/>
          <w:highlight w:val="none"/>
          <w:shd w:val="clear" w:color="auto" w:fill="FFFFFF"/>
          <w14:textFill>
            <w14:solidFill>
              <w14:schemeClr w14:val="tx1"/>
            </w14:solidFill>
          </w14:textFill>
        </w:rPr>
        <w:t>保证金采用银行转账形式，投标保证金要求从投标人的银行账号汇出，保证金缴纳时间以到账时间为准。保证金缴纳截止时间：与投标截止时间相同。</w:t>
      </w:r>
    </w:p>
    <w:p w14:paraId="23EFC0C8">
      <w:pPr>
        <w:keepNext w:val="0"/>
        <w:keepLines w:val="0"/>
        <w:pageBreakBefore w:val="0"/>
        <w:kinsoku/>
        <w:wordWrap/>
        <w:overflowPunct/>
        <w:topLinePunct w:val="0"/>
        <w:autoSpaceDE/>
        <w:autoSpaceDN/>
        <w:bidi w:val="0"/>
        <w:adjustRightInd/>
        <w:snapToGrid/>
        <w:spacing w:line="360" w:lineRule="auto"/>
        <w:ind w:left="0" w:firstLine="440" w:firstLineChars="200"/>
        <w:textAlignment w:val="auto"/>
        <w:rPr>
          <w:rFonts w:hint="eastAsia" w:ascii="宋体" w:hAnsi="宋体" w:eastAsia="宋体" w:cs="宋体"/>
          <w:color w:val="000000" w:themeColor="text1"/>
          <w:sz w:val="22"/>
          <w:szCs w:val="22"/>
          <w:highlight w:val="none"/>
          <w:shd w:val="clear" w:color="auto" w:fill="FFFFFF"/>
          <w:lang w:val="zh-CN"/>
          <w14:textFill>
            <w14:solidFill>
              <w14:schemeClr w14:val="tx1"/>
            </w14:solidFill>
          </w14:textFill>
        </w:rPr>
      </w:pPr>
      <w:r>
        <w:rPr>
          <w:rFonts w:hint="eastAsia" w:ascii="宋体" w:hAnsi="宋体" w:eastAsia="宋体" w:cs="宋体"/>
          <w:color w:val="000000" w:themeColor="text1"/>
          <w:sz w:val="22"/>
          <w:szCs w:val="22"/>
          <w:highlight w:val="none"/>
          <w:shd w:val="clear" w:color="auto" w:fill="FFFFFF"/>
          <w:lang w:val="zh-CN"/>
          <w14:textFill>
            <w14:solidFill>
              <w14:schemeClr w14:val="tx1"/>
            </w14:solidFill>
          </w14:textFill>
        </w:rPr>
        <w:t>开户银行及账号如下：</w:t>
      </w:r>
    </w:p>
    <w:p w14:paraId="3EFAB2AD">
      <w:pPr>
        <w:keepNext w:val="0"/>
        <w:keepLines w:val="0"/>
        <w:pageBreakBefore w:val="0"/>
        <w:kinsoku/>
        <w:wordWrap/>
        <w:overflowPunct/>
        <w:topLinePunct w:val="0"/>
        <w:autoSpaceDE/>
        <w:autoSpaceDN/>
        <w:bidi w:val="0"/>
        <w:adjustRightInd/>
        <w:snapToGrid/>
        <w:spacing w:line="360" w:lineRule="auto"/>
        <w:ind w:left="0" w:firstLine="440" w:firstLineChars="200"/>
        <w:textAlignment w:val="auto"/>
        <w:rPr>
          <w:rFonts w:hint="eastAsia" w:ascii="宋体" w:hAnsi="宋体" w:eastAsia="宋体" w:cs="宋体"/>
          <w:color w:val="000000" w:themeColor="text1"/>
          <w:sz w:val="22"/>
          <w:szCs w:val="22"/>
          <w:highlight w:val="none"/>
          <w:shd w:val="clear" w:color="auto" w:fill="FFFFFF"/>
          <w:lang w:val="zh-CN"/>
          <w14:textFill>
            <w14:solidFill>
              <w14:schemeClr w14:val="tx1"/>
            </w14:solidFill>
          </w14:textFill>
        </w:rPr>
      </w:pPr>
      <w:r>
        <w:rPr>
          <w:rFonts w:hint="eastAsia" w:ascii="宋体" w:hAnsi="宋体" w:eastAsia="宋体" w:cs="宋体"/>
          <w:color w:val="000000" w:themeColor="text1"/>
          <w:sz w:val="22"/>
          <w:szCs w:val="22"/>
          <w:highlight w:val="none"/>
          <w:shd w:val="clear" w:color="auto" w:fill="FFFFFF"/>
          <w:lang w:val="zh-CN"/>
          <w14:textFill>
            <w14:solidFill>
              <w14:schemeClr w14:val="tx1"/>
            </w14:solidFill>
          </w14:textFill>
        </w:rPr>
        <w:t>户名：温州建设集团建筑设计院有限公司</w:t>
      </w:r>
    </w:p>
    <w:p w14:paraId="5804F69D">
      <w:pPr>
        <w:keepNext w:val="0"/>
        <w:keepLines w:val="0"/>
        <w:pageBreakBefore w:val="0"/>
        <w:kinsoku/>
        <w:wordWrap/>
        <w:overflowPunct/>
        <w:topLinePunct w:val="0"/>
        <w:autoSpaceDE/>
        <w:autoSpaceDN/>
        <w:bidi w:val="0"/>
        <w:adjustRightInd/>
        <w:snapToGrid/>
        <w:spacing w:line="360" w:lineRule="auto"/>
        <w:ind w:left="0" w:firstLine="440" w:firstLineChars="200"/>
        <w:textAlignment w:val="auto"/>
        <w:rPr>
          <w:rFonts w:hint="eastAsia" w:ascii="宋体" w:hAnsi="宋体" w:eastAsia="宋体" w:cs="宋体"/>
          <w:color w:val="000000" w:themeColor="text1"/>
          <w:sz w:val="22"/>
          <w:szCs w:val="22"/>
          <w:highlight w:val="none"/>
          <w:shd w:val="clear" w:color="auto" w:fill="FFFFFF"/>
          <w:lang w:val="zh-CN"/>
          <w14:textFill>
            <w14:solidFill>
              <w14:schemeClr w14:val="tx1"/>
            </w14:solidFill>
          </w14:textFill>
        </w:rPr>
      </w:pPr>
      <w:r>
        <w:rPr>
          <w:rFonts w:hint="eastAsia" w:ascii="宋体" w:hAnsi="宋体" w:eastAsia="宋体" w:cs="宋体"/>
          <w:color w:val="000000" w:themeColor="text1"/>
          <w:sz w:val="22"/>
          <w:szCs w:val="22"/>
          <w:highlight w:val="none"/>
          <w:shd w:val="clear" w:color="auto" w:fill="FFFFFF"/>
          <w:lang w:val="zh-CN"/>
          <w14:textFill>
            <w14:solidFill>
              <w14:schemeClr w14:val="tx1"/>
            </w14:solidFill>
          </w14:textFill>
        </w:rPr>
        <w:t>开户行:中国建设银行股份有限公司温州信河支行</w:t>
      </w:r>
    </w:p>
    <w:p w14:paraId="1F7E93D5">
      <w:pPr>
        <w:keepNext w:val="0"/>
        <w:keepLines w:val="0"/>
        <w:pageBreakBefore w:val="0"/>
        <w:kinsoku/>
        <w:wordWrap/>
        <w:overflowPunct/>
        <w:topLinePunct w:val="0"/>
        <w:autoSpaceDE/>
        <w:autoSpaceDN/>
        <w:bidi w:val="0"/>
        <w:adjustRightInd/>
        <w:snapToGrid/>
        <w:spacing w:line="360" w:lineRule="auto"/>
        <w:ind w:left="0" w:firstLine="440" w:firstLineChars="200"/>
        <w:textAlignment w:val="auto"/>
        <w:rPr>
          <w:rFonts w:hint="eastAsia" w:ascii="宋体" w:hAnsi="宋体" w:eastAsia="宋体" w:cs="宋体"/>
          <w:color w:val="000000" w:themeColor="text1"/>
          <w:sz w:val="22"/>
          <w:szCs w:val="22"/>
          <w:highlight w:val="none"/>
          <w:shd w:val="clear" w:color="auto" w:fill="FFFFFF"/>
          <w14:textFill>
            <w14:solidFill>
              <w14:schemeClr w14:val="tx1"/>
            </w14:solidFill>
          </w14:textFill>
        </w:rPr>
      </w:pPr>
      <w:r>
        <w:rPr>
          <w:rFonts w:hint="eastAsia" w:ascii="宋体" w:hAnsi="宋体" w:eastAsia="宋体" w:cs="宋体"/>
          <w:color w:val="000000" w:themeColor="text1"/>
          <w:sz w:val="22"/>
          <w:szCs w:val="22"/>
          <w:highlight w:val="none"/>
          <w:shd w:val="clear" w:color="auto" w:fill="FFFFFF"/>
          <w:lang w:val="zh-CN"/>
          <w14:textFill>
            <w14:solidFill>
              <w14:schemeClr w14:val="tx1"/>
            </w14:solidFill>
          </w14:textFill>
        </w:rPr>
        <w:t>帐号：33050162880800000310</w:t>
      </w:r>
    </w:p>
    <w:p w14:paraId="79CE2E92">
      <w:pPr>
        <w:widowControl/>
        <w:tabs>
          <w:tab w:val="left" w:pos="420"/>
        </w:tabs>
        <w:spacing w:line="360" w:lineRule="auto"/>
        <w:ind w:right="60"/>
        <w:jc w:val="left"/>
        <w:outlineLvl w:val="0"/>
        <w:rPr>
          <w:rFonts w:ascii="宋体" w:hAnsi="宋体" w:cs="宋体"/>
          <w:b/>
          <w:kern w:val="0"/>
          <w:sz w:val="22"/>
          <w:szCs w:val="22"/>
        </w:rPr>
      </w:pPr>
      <w:bookmarkStart w:id="39" w:name="_Toc22780"/>
      <w:bookmarkStart w:id="40" w:name="_Toc17501"/>
      <w:bookmarkStart w:id="41" w:name="_Toc4077"/>
      <w:r>
        <w:rPr>
          <w:rFonts w:hint="eastAsia" w:ascii="宋体" w:hAnsi="宋体" w:cs="宋体"/>
          <w:b/>
          <w:kern w:val="0"/>
          <w:sz w:val="22"/>
          <w:szCs w:val="22"/>
        </w:rPr>
        <w:t>十、其他事项：</w:t>
      </w:r>
      <w:bookmarkEnd w:id="39"/>
      <w:bookmarkEnd w:id="40"/>
      <w:bookmarkEnd w:id="41"/>
    </w:p>
    <w:p w14:paraId="2EC5437E">
      <w:pPr>
        <w:keepNext w:val="0"/>
        <w:keepLines w:val="0"/>
        <w:pageBreakBefore w:val="0"/>
        <w:widowControl/>
        <w:kinsoku/>
        <w:wordWrap/>
        <w:overflowPunct/>
        <w:topLinePunct w:val="0"/>
        <w:autoSpaceDE/>
        <w:autoSpaceDN/>
        <w:bidi w:val="0"/>
        <w:adjustRightInd/>
        <w:snapToGrid/>
        <w:spacing w:line="360" w:lineRule="auto"/>
        <w:ind w:left="0" w:right="0" w:rightChars="0" w:firstLine="440" w:firstLineChars="200"/>
        <w:jc w:val="left"/>
        <w:textAlignment w:val="auto"/>
        <w:rPr>
          <w:rFonts w:ascii="宋体" w:hAnsi="宋体"/>
          <w:color w:val="auto"/>
          <w:kern w:val="0"/>
          <w:sz w:val="22"/>
          <w:szCs w:val="22"/>
          <w:highlight w:val="none"/>
          <w:shd w:val="clear" w:color="auto" w:fill="FFFFFF"/>
        </w:rPr>
      </w:pPr>
      <w:r>
        <w:rPr>
          <w:rFonts w:ascii="宋体" w:hAnsi="宋体"/>
          <w:color w:val="auto"/>
          <w:kern w:val="0"/>
          <w:sz w:val="22"/>
          <w:szCs w:val="22"/>
          <w:highlight w:val="none"/>
          <w:shd w:val="clear" w:color="auto" w:fill="FFFFFF"/>
        </w:rPr>
        <w:t>1.采购公告期限：</w:t>
      </w:r>
      <w:r>
        <w:rPr>
          <w:rFonts w:hint="eastAsia" w:ascii="宋体" w:hAnsi="宋体"/>
          <w:color w:val="auto"/>
          <w:kern w:val="0"/>
          <w:sz w:val="22"/>
          <w:szCs w:val="22"/>
          <w:highlight w:val="none"/>
          <w:shd w:val="clear" w:color="auto" w:fill="FFFFFF"/>
          <w:lang w:eastAsia="zh-CN"/>
        </w:rPr>
        <w:t>7个日历天，从公告发布的次日起算</w:t>
      </w:r>
      <w:r>
        <w:rPr>
          <w:rFonts w:ascii="宋体" w:hAnsi="宋体"/>
          <w:color w:val="auto"/>
          <w:kern w:val="0"/>
          <w:sz w:val="22"/>
          <w:szCs w:val="22"/>
          <w:highlight w:val="none"/>
          <w:shd w:val="clear" w:color="auto" w:fill="FFFFFF"/>
        </w:rPr>
        <w:t>。</w:t>
      </w:r>
    </w:p>
    <w:p w14:paraId="5E06BFE7">
      <w:pPr>
        <w:widowControl/>
        <w:spacing w:line="360" w:lineRule="auto"/>
        <w:ind w:firstLine="440" w:firstLineChars="200"/>
        <w:jc w:val="left"/>
        <w:rPr>
          <w:color w:val="auto"/>
          <w:sz w:val="22"/>
          <w:szCs w:val="22"/>
          <w:highlight w:val="none"/>
        </w:rPr>
      </w:pPr>
      <w:r>
        <w:rPr>
          <w:rFonts w:ascii="宋体" w:hAnsi="宋体"/>
          <w:color w:val="auto"/>
          <w:kern w:val="0"/>
          <w:sz w:val="22"/>
          <w:szCs w:val="22"/>
          <w:highlight w:val="none"/>
          <w:shd w:val="clear" w:color="auto" w:fill="FFFFFF"/>
        </w:rPr>
        <w:t>2.</w:t>
      </w:r>
      <w:r>
        <w:rPr>
          <w:rFonts w:hint="eastAsia" w:ascii="宋体" w:hAnsi="宋体"/>
          <w:color w:val="auto"/>
          <w:kern w:val="0"/>
          <w:sz w:val="22"/>
          <w:szCs w:val="22"/>
          <w:highlight w:val="none"/>
          <w:u w:val="single"/>
          <w:shd w:val="clear" w:color="auto" w:fill="FFFFFF"/>
        </w:rPr>
        <w:t>投标人认为采购文件使自己的权益受到损害的，可以在投标截止时间3个日历天前内，以书面形式向采购人和采购代理机构提出质疑。采购公告附件的采购文件仅供阅览使用，未按照本公告规定的方式获取采购文件的潜在投标人提起的质疑，采购人和采购代理机构将不予受理、答复。质疑投标人对采购人、采购代理机构的答复不满意或者采购人、采购代理机构未在规定的时间内作出答复的，可以在答复期满后十五个工作日内向</w:t>
      </w:r>
      <w:r>
        <w:rPr>
          <w:rFonts w:ascii="宋体" w:hAnsi="宋体"/>
          <w:color w:val="auto"/>
          <w:kern w:val="0"/>
          <w:sz w:val="22"/>
          <w:szCs w:val="22"/>
          <w:highlight w:val="none"/>
          <w:u w:val="single"/>
          <w:shd w:val="clear" w:color="auto" w:fill="FFFFFF"/>
        </w:rPr>
        <w:t>采购人（集团）的内设监管职能部门投诉</w:t>
      </w:r>
      <w:r>
        <w:rPr>
          <w:rFonts w:hint="eastAsia" w:ascii="宋体" w:hAnsi="宋体"/>
          <w:color w:val="auto"/>
          <w:kern w:val="0"/>
          <w:sz w:val="22"/>
          <w:szCs w:val="22"/>
          <w:highlight w:val="none"/>
          <w:u w:val="single"/>
          <w:shd w:val="clear" w:color="auto" w:fill="FFFFFF"/>
        </w:rPr>
        <w:t>。</w:t>
      </w:r>
      <w:r>
        <w:rPr>
          <w:rStyle w:val="53"/>
          <w:rFonts w:hint="eastAsia" w:ascii="宋体" w:hAnsi="宋体" w:cs="宋体"/>
          <w:b w:val="0"/>
          <w:bCs w:val="0"/>
          <w:color w:val="auto"/>
          <w:sz w:val="22"/>
          <w:szCs w:val="22"/>
          <w:highlight w:val="none"/>
          <w:u w:val="single"/>
        </w:rPr>
        <w:t>[潜在投标供应商按照本公告规定方式获取采购文件，未按照规定方式获取采购文件的，不得对采购文件提起质疑投诉。]</w:t>
      </w:r>
    </w:p>
    <w:p w14:paraId="560FE667">
      <w:pPr>
        <w:pStyle w:val="24"/>
        <w:keepNext w:val="0"/>
        <w:keepLines w:val="0"/>
        <w:pageBreakBefore w:val="0"/>
        <w:kinsoku/>
        <w:wordWrap/>
        <w:overflowPunct/>
        <w:topLinePunct w:val="0"/>
        <w:autoSpaceDE/>
        <w:autoSpaceDN/>
        <w:bidi w:val="0"/>
        <w:adjustRightInd/>
        <w:snapToGrid/>
        <w:spacing w:after="0" w:line="360" w:lineRule="auto"/>
        <w:ind w:left="0" w:leftChars="0" w:right="0" w:rightChars="0" w:firstLine="440" w:firstLineChars="200"/>
        <w:textAlignment w:val="auto"/>
        <w:rPr>
          <w:rFonts w:hint="eastAsia" w:ascii="宋体" w:hAnsi="宋体" w:eastAsia="宋体" w:cs="Times New Roman"/>
          <w:color w:val="auto"/>
          <w:kern w:val="0"/>
          <w:sz w:val="22"/>
          <w:szCs w:val="22"/>
          <w:highlight w:val="none"/>
          <w:u w:val="single"/>
          <w:shd w:val="clear" w:color="auto" w:fill="FFFFFF"/>
          <w:lang w:val="en-US" w:eastAsia="zh-CN"/>
        </w:rPr>
      </w:pPr>
      <w:r>
        <w:rPr>
          <w:rFonts w:hint="eastAsia" w:ascii="宋体" w:hAnsi="宋体" w:eastAsia="宋体" w:cs="Times New Roman"/>
          <w:color w:val="auto"/>
          <w:kern w:val="0"/>
          <w:sz w:val="22"/>
          <w:szCs w:val="22"/>
          <w:highlight w:val="none"/>
          <w:u w:val="single"/>
          <w:shd w:val="clear" w:color="auto" w:fill="FFFFFF"/>
          <w:lang w:val="en-US" w:eastAsia="zh-CN"/>
        </w:rPr>
        <w:t>3.温州市公用事业发展集团有限公司负责对投标供应商反映的企业本部及所属企业在采购活动中出现的违法违规问题进行答疑回复。投标供应商认为答疑回复处理结果不合法的，可以采购人或代理机构为对象依法向人民法院提起诉讼。</w:t>
      </w:r>
    </w:p>
    <w:p w14:paraId="64D2D14D">
      <w:pPr>
        <w:keepNext w:val="0"/>
        <w:keepLines w:val="0"/>
        <w:pageBreakBefore w:val="0"/>
        <w:widowControl/>
        <w:kinsoku/>
        <w:wordWrap/>
        <w:overflowPunct/>
        <w:topLinePunct w:val="0"/>
        <w:autoSpaceDE/>
        <w:autoSpaceDN/>
        <w:bidi w:val="0"/>
        <w:adjustRightInd/>
        <w:snapToGrid/>
        <w:spacing w:line="360" w:lineRule="auto"/>
        <w:ind w:left="0" w:right="0" w:rightChars="0" w:firstLine="440" w:firstLineChars="200"/>
        <w:jc w:val="left"/>
        <w:textAlignment w:val="auto"/>
        <w:rPr>
          <w:rFonts w:ascii="宋体" w:hAnsi="宋体"/>
          <w:color w:val="auto"/>
          <w:kern w:val="0"/>
          <w:sz w:val="22"/>
          <w:szCs w:val="22"/>
          <w:highlight w:val="none"/>
          <w:shd w:val="clear" w:color="auto" w:fill="FFFFFF"/>
        </w:rPr>
      </w:pPr>
      <w:r>
        <w:rPr>
          <w:rFonts w:hint="eastAsia" w:ascii="宋体" w:hAnsi="宋体"/>
          <w:color w:val="auto"/>
          <w:kern w:val="0"/>
          <w:sz w:val="22"/>
          <w:szCs w:val="22"/>
          <w:highlight w:val="none"/>
          <w:shd w:val="clear" w:color="auto" w:fill="FFFFFF"/>
          <w:lang w:val="en-US" w:eastAsia="zh-CN"/>
        </w:rPr>
        <w:t>4</w:t>
      </w:r>
      <w:r>
        <w:rPr>
          <w:rFonts w:ascii="宋体" w:hAnsi="宋体"/>
          <w:color w:val="auto"/>
          <w:kern w:val="0"/>
          <w:sz w:val="22"/>
          <w:szCs w:val="22"/>
          <w:highlight w:val="none"/>
          <w:shd w:val="clear" w:color="auto" w:fill="FFFFFF"/>
        </w:rPr>
        <w:t>.</w:t>
      </w:r>
      <w:r>
        <w:rPr>
          <w:rFonts w:hint="eastAsia" w:ascii="宋体" w:hAnsi="宋体"/>
          <w:color w:val="auto"/>
          <w:kern w:val="0"/>
          <w:sz w:val="22"/>
          <w:szCs w:val="22"/>
          <w:highlight w:val="none"/>
          <w:shd w:val="clear" w:color="auto" w:fill="FFFFFF"/>
        </w:rPr>
        <w:t>投标人如对采购文件有疑问应按采购文件规定的质疑截止时间前提出，逾期提出的，采购人和采购代理机构可以不予受理、答复。</w:t>
      </w:r>
    </w:p>
    <w:p w14:paraId="06644181">
      <w:pPr>
        <w:keepNext w:val="0"/>
        <w:keepLines w:val="0"/>
        <w:pageBreakBefore w:val="0"/>
        <w:widowControl/>
        <w:kinsoku/>
        <w:wordWrap/>
        <w:overflowPunct/>
        <w:topLinePunct w:val="0"/>
        <w:autoSpaceDE/>
        <w:autoSpaceDN/>
        <w:bidi w:val="0"/>
        <w:adjustRightInd/>
        <w:snapToGrid/>
        <w:spacing w:line="360" w:lineRule="auto"/>
        <w:ind w:left="0" w:right="0" w:rightChars="0" w:firstLine="440" w:firstLineChars="200"/>
        <w:jc w:val="left"/>
        <w:textAlignment w:val="auto"/>
        <w:rPr>
          <w:rFonts w:ascii="宋体" w:hAnsi="宋体"/>
          <w:color w:val="auto"/>
          <w:kern w:val="0"/>
          <w:sz w:val="22"/>
          <w:szCs w:val="22"/>
          <w:highlight w:val="none"/>
          <w:shd w:val="clear" w:color="auto" w:fill="FFFFFF"/>
        </w:rPr>
      </w:pPr>
      <w:r>
        <w:rPr>
          <w:rFonts w:hint="eastAsia" w:ascii="宋体" w:hAnsi="宋体"/>
          <w:color w:val="auto"/>
          <w:kern w:val="0"/>
          <w:sz w:val="22"/>
          <w:szCs w:val="22"/>
          <w:highlight w:val="none"/>
          <w:shd w:val="clear" w:color="auto" w:fill="FFFFFF"/>
          <w:lang w:val="en-US" w:eastAsia="zh-CN"/>
        </w:rPr>
        <w:t>5</w:t>
      </w:r>
      <w:r>
        <w:rPr>
          <w:rFonts w:ascii="宋体" w:hAnsi="宋体"/>
          <w:color w:val="auto"/>
          <w:kern w:val="0"/>
          <w:sz w:val="22"/>
          <w:szCs w:val="22"/>
          <w:highlight w:val="none"/>
          <w:shd w:val="clear" w:color="auto" w:fill="FFFFFF"/>
        </w:rPr>
        <w:t>.</w:t>
      </w:r>
      <w:r>
        <w:rPr>
          <w:rFonts w:hint="eastAsia" w:ascii="宋体" w:hAnsi="宋体"/>
          <w:color w:val="auto"/>
          <w:kern w:val="0"/>
          <w:sz w:val="22"/>
          <w:szCs w:val="22"/>
          <w:highlight w:val="none"/>
          <w:shd w:val="clear" w:color="auto" w:fill="FFFFFF"/>
        </w:rPr>
        <w:t>书面质疑受理地点：</w:t>
      </w:r>
      <w:r>
        <w:rPr>
          <w:rStyle w:val="53"/>
          <w:rFonts w:hint="eastAsia" w:ascii="宋体" w:hAnsi="宋体" w:eastAsia="宋体" w:cs="宋体"/>
          <w:b w:val="0"/>
          <w:bCs w:val="0"/>
          <w:color w:val="auto"/>
          <w:sz w:val="22"/>
          <w:szCs w:val="22"/>
          <w:highlight w:val="none"/>
          <w:u w:val="single"/>
          <w:lang w:eastAsia="zh-CN"/>
        </w:rPr>
        <w:t>温州市鹿城区鹿城路619号建设商务大厦18楼</w:t>
      </w:r>
      <w:r>
        <w:rPr>
          <w:rStyle w:val="53"/>
          <w:rFonts w:hint="eastAsia" w:ascii="宋体" w:hAnsi="宋体" w:eastAsia="宋体" w:cs="宋体"/>
          <w:b w:val="0"/>
          <w:bCs w:val="0"/>
          <w:color w:val="auto"/>
          <w:sz w:val="22"/>
          <w:szCs w:val="22"/>
          <w:highlight w:val="none"/>
          <w:u w:val="single"/>
        </w:rPr>
        <w:t>，</w:t>
      </w:r>
      <w:r>
        <w:rPr>
          <w:rStyle w:val="53"/>
          <w:rFonts w:hint="eastAsia" w:ascii="宋体" w:hAnsi="宋体" w:eastAsia="宋体" w:cs="宋体"/>
          <w:b w:val="0"/>
          <w:bCs w:val="0"/>
          <w:color w:val="auto"/>
          <w:sz w:val="22"/>
          <w:szCs w:val="22"/>
          <w:highlight w:val="none"/>
          <w:u w:val="single"/>
          <w:lang w:eastAsia="zh-CN"/>
        </w:rPr>
        <w:t>周先生</w:t>
      </w:r>
      <w:r>
        <w:rPr>
          <w:rStyle w:val="53"/>
          <w:rFonts w:hint="eastAsia" w:ascii="宋体" w:hAnsi="宋体" w:eastAsia="宋体" w:cs="宋体"/>
          <w:b w:val="0"/>
          <w:bCs w:val="0"/>
          <w:color w:val="auto"/>
          <w:sz w:val="22"/>
          <w:szCs w:val="22"/>
          <w:highlight w:val="none"/>
          <w:u w:val="single"/>
        </w:rPr>
        <w:t>，联系电话：</w:t>
      </w:r>
      <w:r>
        <w:rPr>
          <w:rStyle w:val="53"/>
          <w:rFonts w:hint="eastAsia" w:ascii="宋体" w:hAnsi="宋体" w:eastAsia="宋体" w:cs="宋体"/>
          <w:b w:val="0"/>
          <w:bCs w:val="0"/>
          <w:color w:val="auto"/>
          <w:sz w:val="22"/>
          <w:szCs w:val="22"/>
          <w:highlight w:val="none"/>
          <w:u w:val="single"/>
          <w:lang w:eastAsia="zh-CN"/>
        </w:rPr>
        <w:t>13388565238</w:t>
      </w:r>
      <w:r>
        <w:rPr>
          <w:rStyle w:val="53"/>
          <w:rFonts w:hint="eastAsia" w:ascii="宋体" w:hAnsi="宋体" w:eastAsia="宋体" w:cs="宋体"/>
          <w:b w:val="0"/>
          <w:bCs w:val="0"/>
          <w:color w:val="auto"/>
          <w:sz w:val="22"/>
          <w:szCs w:val="22"/>
          <w:highlight w:val="none"/>
          <w:u w:val="single"/>
        </w:rPr>
        <w:t>。</w:t>
      </w:r>
      <w:r>
        <w:rPr>
          <w:rFonts w:hint="eastAsia" w:ascii="宋体" w:hAnsi="宋体"/>
          <w:b w:val="0"/>
          <w:bCs w:val="0"/>
          <w:color w:val="auto"/>
          <w:kern w:val="0"/>
          <w:sz w:val="22"/>
          <w:szCs w:val="22"/>
          <w:highlight w:val="none"/>
          <w:shd w:val="clear" w:color="auto" w:fill="FFFFFF"/>
        </w:rPr>
        <w:t xml:space="preserve">  </w:t>
      </w:r>
    </w:p>
    <w:p w14:paraId="0D6062F9">
      <w:pPr>
        <w:widowControl/>
        <w:tabs>
          <w:tab w:val="left" w:pos="420"/>
        </w:tabs>
        <w:spacing w:line="360" w:lineRule="auto"/>
        <w:ind w:right="60"/>
        <w:jc w:val="left"/>
        <w:outlineLvl w:val="0"/>
        <w:rPr>
          <w:rFonts w:ascii="宋体" w:hAnsi="宋体" w:cs="宋体"/>
          <w:b/>
          <w:kern w:val="0"/>
          <w:sz w:val="22"/>
          <w:szCs w:val="22"/>
        </w:rPr>
      </w:pPr>
      <w:bookmarkStart w:id="42" w:name="_Toc24757"/>
      <w:bookmarkStart w:id="43" w:name="_Toc31137"/>
      <w:bookmarkStart w:id="44" w:name="_Toc31906"/>
      <w:r>
        <w:rPr>
          <w:rFonts w:hint="eastAsia" w:ascii="宋体" w:hAnsi="宋体" w:cs="宋体"/>
          <w:b/>
          <w:kern w:val="0"/>
          <w:sz w:val="22"/>
          <w:szCs w:val="22"/>
        </w:rPr>
        <w:t>十一、联系方式</w:t>
      </w:r>
      <w:bookmarkEnd w:id="42"/>
      <w:bookmarkEnd w:id="43"/>
      <w:bookmarkEnd w:id="44"/>
    </w:p>
    <w:p w14:paraId="341C121D">
      <w:pPr>
        <w:keepNext w:val="0"/>
        <w:keepLines w:val="0"/>
        <w:pageBreakBefore w:val="0"/>
        <w:widowControl/>
        <w:kinsoku/>
        <w:wordWrap/>
        <w:overflowPunct/>
        <w:topLinePunct w:val="0"/>
        <w:autoSpaceDE/>
        <w:autoSpaceDN/>
        <w:bidi w:val="0"/>
        <w:adjustRightInd/>
        <w:snapToGrid/>
        <w:spacing w:line="360" w:lineRule="auto"/>
        <w:ind w:left="0" w:firstLine="440" w:firstLineChars="200"/>
        <w:jc w:val="left"/>
        <w:textAlignment w:val="auto"/>
        <w:rPr>
          <w:rFonts w:hint="eastAsia" w:ascii="宋体" w:hAnsi="宋体" w:eastAsia="宋体" w:cs="宋体"/>
          <w:color w:val="auto"/>
          <w:kern w:val="0"/>
          <w:sz w:val="22"/>
          <w:szCs w:val="22"/>
          <w:highlight w:val="none"/>
          <w:shd w:val="clear" w:color="auto" w:fill="FFFFFF"/>
          <w:lang w:eastAsia="zh-CN"/>
        </w:rPr>
      </w:pPr>
      <w:bookmarkStart w:id="45" w:name="_Toc16417"/>
      <w:bookmarkStart w:id="46" w:name="_Toc24449"/>
      <w:bookmarkStart w:id="47" w:name="_Toc20484"/>
      <w:r>
        <w:rPr>
          <w:rFonts w:hint="eastAsia" w:ascii="宋体" w:hAnsi="宋体" w:eastAsia="宋体" w:cs="宋体"/>
          <w:color w:val="auto"/>
          <w:kern w:val="0"/>
          <w:sz w:val="22"/>
          <w:szCs w:val="22"/>
          <w:highlight w:val="none"/>
          <w:shd w:val="clear" w:color="auto" w:fill="FFFFFF"/>
        </w:rPr>
        <w:t>1、采购人名称：</w:t>
      </w:r>
      <w:r>
        <w:rPr>
          <w:rFonts w:hint="eastAsia" w:ascii="宋体" w:hAnsi="宋体" w:eastAsia="宋体" w:cs="宋体"/>
          <w:color w:val="auto"/>
          <w:kern w:val="0"/>
          <w:sz w:val="22"/>
          <w:szCs w:val="22"/>
          <w:highlight w:val="none"/>
          <w:shd w:val="clear" w:color="auto" w:fill="FFFFFF"/>
          <w:lang w:eastAsia="zh-CN"/>
        </w:rPr>
        <w:t>温州市公用事业发展集团有限公司</w:t>
      </w:r>
    </w:p>
    <w:p w14:paraId="3D65DBFF">
      <w:pPr>
        <w:keepNext w:val="0"/>
        <w:keepLines w:val="0"/>
        <w:pageBreakBefore w:val="0"/>
        <w:widowControl/>
        <w:kinsoku/>
        <w:wordWrap/>
        <w:overflowPunct/>
        <w:topLinePunct w:val="0"/>
        <w:autoSpaceDE/>
        <w:autoSpaceDN/>
        <w:bidi w:val="0"/>
        <w:adjustRightInd/>
        <w:snapToGrid/>
        <w:spacing w:line="360" w:lineRule="auto"/>
        <w:ind w:left="0" w:firstLine="440" w:firstLineChars="200"/>
        <w:jc w:val="left"/>
        <w:textAlignment w:val="auto"/>
        <w:rPr>
          <w:rFonts w:hint="eastAsia" w:ascii="宋体" w:hAnsi="宋体" w:eastAsia="宋体" w:cs="宋体"/>
          <w:color w:val="000000" w:themeColor="text1"/>
          <w:kern w:val="0"/>
          <w:sz w:val="22"/>
          <w:szCs w:val="22"/>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kern w:val="0"/>
          <w:sz w:val="22"/>
          <w:szCs w:val="22"/>
          <w:highlight w:val="none"/>
          <w:shd w:val="clear" w:color="auto" w:fill="FFFFFF"/>
          <w14:textFill>
            <w14:solidFill>
              <w14:schemeClr w14:val="tx1"/>
            </w14:solidFill>
          </w14:textFill>
        </w:rPr>
        <w:t>地    址：</w:t>
      </w:r>
      <w:r>
        <w:rPr>
          <w:rFonts w:hint="eastAsia" w:ascii="宋体" w:hAnsi="宋体" w:eastAsia="宋体" w:cs="宋体"/>
          <w:color w:val="000000" w:themeColor="text1"/>
          <w:kern w:val="0"/>
          <w:sz w:val="22"/>
          <w:szCs w:val="22"/>
          <w:highlight w:val="none"/>
          <w:shd w:val="clear" w:color="auto" w:fill="FFFFFF"/>
          <w:lang w:eastAsia="zh-CN"/>
          <w14:textFill>
            <w14:solidFill>
              <w14:schemeClr w14:val="tx1"/>
            </w14:solidFill>
          </w14:textFill>
        </w:rPr>
        <w:t>浙江省温州市鹿城区车站大道623号</w:t>
      </w:r>
    </w:p>
    <w:p w14:paraId="49A65B29">
      <w:pPr>
        <w:keepNext w:val="0"/>
        <w:keepLines w:val="0"/>
        <w:pageBreakBefore w:val="0"/>
        <w:widowControl/>
        <w:kinsoku/>
        <w:wordWrap/>
        <w:overflowPunct/>
        <w:topLinePunct w:val="0"/>
        <w:autoSpaceDE/>
        <w:autoSpaceDN/>
        <w:bidi w:val="0"/>
        <w:adjustRightInd/>
        <w:snapToGrid/>
        <w:spacing w:line="360" w:lineRule="auto"/>
        <w:ind w:left="0" w:firstLine="440" w:firstLineChars="200"/>
        <w:jc w:val="left"/>
        <w:textAlignment w:val="auto"/>
        <w:rPr>
          <w:rFonts w:hint="eastAsia" w:ascii="宋体" w:hAnsi="宋体" w:eastAsia="宋体" w:cs="宋体"/>
          <w:color w:val="000000" w:themeColor="text1"/>
          <w:kern w:val="0"/>
          <w:sz w:val="22"/>
          <w:szCs w:val="22"/>
          <w:highlight w:val="none"/>
          <w:shd w:val="clear" w:color="auto" w:fill="FFFFFF"/>
          <w:lang w:val="en-US" w:eastAsia="zh-CN"/>
          <w14:textFill>
            <w14:solidFill>
              <w14:schemeClr w14:val="tx1"/>
            </w14:solidFill>
          </w14:textFill>
        </w:rPr>
      </w:pPr>
      <w:r>
        <w:rPr>
          <w:rFonts w:hint="eastAsia" w:ascii="宋体" w:hAnsi="宋体" w:eastAsia="宋体" w:cs="宋体"/>
          <w:color w:val="000000" w:themeColor="text1"/>
          <w:kern w:val="0"/>
          <w:sz w:val="22"/>
          <w:szCs w:val="22"/>
          <w:highlight w:val="none"/>
          <w:shd w:val="clear" w:color="auto" w:fill="FFFFFF"/>
          <w14:textFill>
            <w14:solidFill>
              <w14:schemeClr w14:val="tx1"/>
            </w14:solidFill>
          </w14:textFill>
        </w:rPr>
        <w:t>联 系 人：</w:t>
      </w:r>
      <w:r>
        <w:rPr>
          <w:rFonts w:hint="eastAsia" w:ascii="宋体" w:hAnsi="宋体" w:eastAsia="宋体" w:cs="宋体"/>
          <w:color w:val="000000" w:themeColor="text1"/>
          <w:kern w:val="0"/>
          <w:sz w:val="22"/>
          <w:szCs w:val="22"/>
          <w:highlight w:val="none"/>
          <w:shd w:val="clear" w:color="auto" w:fill="FFFFFF"/>
          <w:lang w:val="en-US" w:eastAsia="zh-CN"/>
          <w14:textFill>
            <w14:solidFill>
              <w14:schemeClr w14:val="tx1"/>
            </w14:solidFill>
          </w14:textFill>
        </w:rPr>
        <w:t>叶先生</w:t>
      </w:r>
    </w:p>
    <w:p w14:paraId="08CD14F2">
      <w:pPr>
        <w:keepNext w:val="0"/>
        <w:keepLines w:val="0"/>
        <w:pageBreakBefore w:val="0"/>
        <w:widowControl/>
        <w:kinsoku/>
        <w:wordWrap/>
        <w:overflowPunct/>
        <w:topLinePunct w:val="0"/>
        <w:autoSpaceDE/>
        <w:autoSpaceDN/>
        <w:bidi w:val="0"/>
        <w:adjustRightInd/>
        <w:snapToGrid/>
        <w:spacing w:line="360" w:lineRule="auto"/>
        <w:ind w:left="0" w:firstLine="440" w:firstLineChars="200"/>
        <w:jc w:val="left"/>
        <w:textAlignment w:val="auto"/>
        <w:rPr>
          <w:rFonts w:hint="eastAsia" w:ascii="宋体" w:hAnsi="宋体" w:eastAsia="宋体" w:cs="宋体"/>
          <w:color w:val="000000" w:themeColor="text1"/>
          <w:kern w:val="0"/>
          <w:sz w:val="22"/>
          <w:szCs w:val="22"/>
          <w:highlight w:val="none"/>
          <w:shd w:val="clear" w:color="auto" w:fill="FFFFFF"/>
          <w:lang w:val="en-US" w:eastAsia="zh-CN"/>
          <w14:textFill>
            <w14:solidFill>
              <w14:schemeClr w14:val="tx1"/>
            </w14:solidFill>
          </w14:textFill>
        </w:rPr>
      </w:pPr>
      <w:r>
        <w:rPr>
          <w:rFonts w:hint="eastAsia" w:ascii="宋体" w:hAnsi="宋体" w:eastAsia="宋体" w:cs="宋体"/>
          <w:color w:val="000000" w:themeColor="text1"/>
          <w:kern w:val="0"/>
          <w:sz w:val="22"/>
          <w:szCs w:val="22"/>
          <w:highlight w:val="none"/>
          <w:shd w:val="clear" w:color="auto" w:fill="FFFFFF"/>
          <w14:textFill>
            <w14:solidFill>
              <w14:schemeClr w14:val="tx1"/>
            </w14:solidFill>
          </w14:textFill>
        </w:rPr>
        <w:t>联系电话：</w:t>
      </w:r>
      <w:r>
        <w:rPr>
          <w:rFonts w:hint="eastAsia" w:ascii="宋体" w:hAnsi="宋体" w:eastAsia="宋体" w:cs="宋体"/>
          <w:color w:val="000000" w:themeColor="text1"/>
          <w:kern w:val="0"/>
          <w:sz w:val="22"/>
          <w:szCs w:val="22"/>
          <w:highlight w:val="none"/>
          <w:shd w:val="clear" w:color="auto" w:fill="FFFFFF"/>
          <w:lang w:val="en-US" w:eastAsia="zh-CN"/>
          <w14:textFill>
            <w14:solidFill>
              <w14:schemeClr w14:val="tx1"/>
            </w14:solidFill>
          </w14:textFill>
        </w:rPr>
        <w:t>15067800213</w:t>
      </w:r>
    </w:p>
    <w:p w14:paraId="04741107">
      <w:pPr>
        <w:keepNext w:val="0"/>
        <w:keepLines w:val="0"/>
        <w:pageBreakBefore w:val="0"/>
        <w:widowControl/>
        <w:kinsoku/>
        <w:wordWrap/>
        <w:overflowPunct/>
        <w:topLinePunct w:val="0"/>
        <w:autoSpaceDE/>
        <w:autoSpaceDN/>
        <w:bidi w:val="0"/>
        <w:adjustRightInd/>
        <w:snapToGrid/>
        <w:spacing w:line="360" w:lineRule="auto"/>
        <w:ind w:left="0" w:firstLine="440" w:firstLineChars="200"/>
        <w:jc w:val="left"/>
        <w:textAlignment w:val="auto"/>
        <w:rPr>
          <w:rFonts w:hint="eastAsia" w:ascii="宋体" w:hAnsi="宋体" w:eastAsia="宋体" w:cs="宋体"/>
          <w:color w:val="000000" w:themeColor="text1"/>
          <w:kern w:val="0"/>
          <w:sz w:val="22"/>
          <w:szCs w:val="22"/>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kern w:val="0"/>
          <w:sz w:val="22"/>
          <w:szCs w:val="22"/>
          <w:highlight w:val="none"/>
          <w:shd w:val="clear" w:color="auto" w:fill="FFFFFF"/>
          <w14:textFill>
            <w14:solidFill>
              <w14:schemeClr w14:val="tx1"/>
            </w14:solidFill>
          </w14:textFill>
        </w:rPr>
        <w:t>2、采购代理机构名称：</w:t>
      </w:r>
      <w:r>
        <w:rPr>
          <w:rFonts w:hint="eastAsia" w:ascii="宋体" w:hAnsi="宋体" w:eastAsia="宋体" w:cs="宋体"/>
          <w:color w:val="000000" w:themeColor="text1"/>
          <w:kern w:val="0"/>
          <w:sz w:val="22"/>
          <w:szCs w:val="22"/>
          <w:highlight w:val="none"/>
          <w:shd w:val="clear" w:color="auto" w:fill="FFFFFF"/>
          <w:lang w:eastAsia="zh-CN"/>
          <w14:textFill>
            <w14:solidFill>
              <w14:schemeClr w14:val="tx1"/>
            </w14:solidFill>
          </w14:textFill>
        </w:rPr>
        <w:t>温州建设集团建筑设计院有限公司</w:t>
      </w:r>
    </w:p>
    <w:p w14:paraId="36C7B4F2">
      <w:pPr>
        <w:keepNext w:val="0"/>
        <w:keepLines w:val="0"/>
        <w:pageBreakBefore w:val="0"/>
        <w:widowControl/>
        <w:kinsoku/>
        <w:wordWrap/>
        <w:overflowPunct/>
        <w:topLinePunct w:val="0"/>
        <w:autoSpaceDE/>
        <w:autoSpaceDN/>
        <w:bidi w:val="0"/>
        <w:adjustRightInd/>
        <w:snapToGrid/>
        <w:spacing w:line="360" w:lineRule="auto"/>
        <w:ind w:left="0" w:firstLine="440" w:firstLineChars="200"/>
        <w:jc w:val="left"/>
        <w:textAlignment w:val="auto"/>
        <w:rPr>
          <w:rFonts w:hint="eastAsia" w:ascii="宋体" w:hAnsi="宋体" w:eastAsia="宋体" w:cs="宋体"/>
          <w:color w:val="auto"/>
          <w:kern w:val="0"/>
          <w:sz w:val="22"/>
          <w:szCs w:val="22"/>
          <w:highlight w:val="none"/>
          <w:shd w:val="clear" w:color="auto" w:fill="FFFFFF"/>
          <w:lang w:eastAsia="zh-CN"/>
        </w:rPr>
      </w:pPr>
      <w:r>
        <w:rPr>
          <w:rFonts w:hint="eastAsia" w:ascii="宋体" w:hAnsi="宋体" w:eastAsia="宋体" w:cs="宋体"/>
          <w:color w:val="auto"/>
          <w:kern w:val="0"/>
          <w:sz w:val="22"/>
          <w:szCs w:val="22"/>
          <w:highlight w:val="none"/>
          <w:shd w:val="clear" w:color="auto" w:fill="FFFFFF"/>
        </w:rPr>
        <w:t>地    址：</w:t>
      </w:r>
      <w:r>
        <w:rPr>
          <w:rFonts w:hint="eastAsia" w:ascii="宋体" w:hAnsi="宋体" w:eastAsia="宋体" w:cs="宋体"/>
          <w:color w:val="auto"/>
          <w:kern w:val="0"/>
          <w:sz w:val="22"/>
          <w:szCs w:val="22"/>
          <w:highlight w:val="none"/>
          <w:shd w:val="clear" w:color="auto" w:fill="FFFFFF"/>
          <w:lang w:eastAsia="zh-CN"/>
        </w:rPr>
        <w:t>温州市鹿城区鹿城路619号建设商务大厦18楼</w:t>
      </w:r>
    </w:p>
    <w:p w14:paraId="052E5DF9">
      <w:pPr>
        <w:keepNext w:val="0"/>
        <w:keepLines w:val="0"/>
        <w:pageBreakBefore w:val="0"/>
        <w:widowControl/>
        <w:kinsoku/>
        <w:wordWrap/>
        <w:overflowPunct/>
        <w:topLinePunct w:val="0"/>
        <w:autoSpaceDE/>
        <w:autoSpaceDN/>
        <w:bidi w:val="0"/>
        <w:adjustRightInd/>
        <w:snapToGrid/>
        <w:spacing w:line="360" w:lineRule="auto"/>
        <w:ind w:left="0" w:firstLine="440" w:firstLineChars="200"/>
        <w:jc w:val="left"/>
        <w:textAlignment w:val="auto"/>
        <w:rPr>
          <w:rFonts w:hint="eastAsia" w:ascii="宋体" w:hAnsi="宋体" w:eastAsia="宋体" w:cs="宋体"/>
          <w:color w:val="auto"/>
          <w:kern w:val="0"/>
          <w:sz w:val="22"/>
          <w:szCs w:val="22"/>
          <w:highlight w:val="none"/>
          <w:shd w:val="clear" w:color="auto" w:fill="FFFFFF"/>
          <w:lang w:eastAsia="zh-CN"/>
        </w:rPr>
      </w:pPr>
      <w:r>
        <w:rPr>
          <w:rFonts w:hint="eastAsia" w:ascii="宋体" w:hAnsi="宋体" w:eastAsia="宋体" w:cs="宋体"/>
          <w:color w:val="auto"/>
          <w:kern w:val="0"/>
          <w:sz w:val="22"/>
          <w:szCs w:val="22"/>
          <w:highlight w:val="none"/>
          <w:shd w:val="clear" w:color="auto" w:fill="FFFFFF"/>
        </w:rPr>
        <w:t>联 系 人：</w:t>
      </w:r>
      <w:r>
        <w:rPr>
          <w:rFonts w:hint="eastAsia" w:ascii="宋体" w:hAnsi="宋体" w:eastAsia="宋体" w:cs="宋体"/>
          <w:color w:val="auto"/>
          <w:kern w:val="0"/>
          <w:sz w:val="22"/>
          <w:szCs w:val="22"/>
          <w:highlight w:val="none"/>
          <w:shd w:val="clear" w:color="auto" w:fill="FFFFFF"/>
          <w:lang w:eastAsia="zh-CN"/>
        </w:rPr>
        <w:t>叶女士、</w:t>
      </w:r>
      <w:r>
        <w:rPr>
          <w:rFonts w:hint="eastAsia" w:ascii="宋体" w:hAnsi="宋体" w:eastAsia="宋体" w:cs="宋体"/>
          <w:color w:val="auto"/>
          <w:kern w:val="0"/>
          <w:sz w:val="22"/>
          <w:szCs w:val="22"/>
          <w:highlight w:val="none"/>
          <w:lang w:eastAsia="zh-CN"/>
        </w:rPr>
        <w:t>周先生</w:t>
      </w:r>
    </w:p>
    <w:p w14:paraId="014DF274">
      <w:pPr>
        <w:keepNext w:val="0"/>
        <w:keepLines w:val="0"/>
        <w:pageBreakBefore w:val="0"/>
        <w:widowControl/>
        <w:kinsoku/>
        <w:wordWrap/>
        <w:overflowPunct/>
        <w:topLinePunct w:val="0"/>
        <w:autoSpaceDE/>
        <w:autoSpaceDN/>
        <w:bidi w:val="0"/>
        <w:adjustRightInd/>
        <w:snapToGrid/>
        <w:spacing w:line="360" w:lineRule="auto"/>
        <w:ind w:left="0" w:firstLine="440" w:firstLineChars="200"/>
        <w:jc w:val="left"/>
        <w:textAlignment w:val="auto"/>
        <w:rPr>
          <w:rFonts w:hint="eastAsia" w:ascii="宋体" w:hAnsi="宋体" w:eastAsia="宋体" w:cs="宋体"/>
          <w:color w:val="auto"/>
          <w:kern w:val="0"/>
          <w:sz w:val="22"/>
          <w:szCs w:val="22"/>
          <w:highlight w:val="none"/>
          <w:shd w:val="clear" w:color="auto" w:fill="FFFFFF"/>
          <w:lang w:eastAsia="zh-CN"/>
        </w:rPr>
      </w:pPr>
      <w:r>
        <w:rPr>
          <w:rFonts w:hint="eastAsia" w:ascii="宋体" w:hAnsi="宋体" w:eastAsia="宋体" w:cs="宋体"/>
          <w:color w:val="auto"/>
          <w:kern w:val="0"/>
          <w:sz w:val="22"/>
          <w:szCs w:val="22"/>
          <w:highlight w:val="none"/>
          <w:shd w:val="clear" w:color="auto" w:fill="FFFFFF"/>
        </w:rPr>
        <w:t>联系电话：</w:t>
      </w:r>
      <w:r>
        <w:rPr>
          <w:rFonts w:hint="eastAsia" w:ascii="宋体" w:hAnsi="宋体" w:eastAsia="宋体" w:cs="宋体"/>
          <w:color w:val="auto"/>
          <w:kern w:val="0"/>
          <w:sz w:val="22"/>
          <w:szCs w:val="22"/>
          <w:highlight w:val="none"/>
          <w:shd w:val="clear" w:color="auto" w:fill="FFFFFF"/>
          <w:lang w:eastAsia="zh-CN"/>
        </w:rPr>
        <w:t>13777706037、</w:t>
      </w:r>
      <w:r>
        <w:rPr>
          <w:rFonts w:hint="eastAsia" w:ascii="宋体" w:hAnsi="宋体" w:eastAsia="宋体" w:cs="宋体"/>
          <w:color w:val="auto"/>
          <w:sz w:val="22"/>
          <w:szCs w:val="22"/>
          <w:highlight w:val="none"/>
          <w:lang w:eastAsia="zh-CN"/>
        </w:rPr>
        <w:t>13388565238</w:t>
      </w:r>
    </w:p>
    <w:p w14:paraId="5261D353">
      <w:pPr>
        <w:keepNext w:val="0"/>
        <w:keepLines w:val="0"/>
        <w:pageBreakBefore w:val="0"/>
        <w:widowControl/>
        <w:kinsoku/>
        <w:wordWrap/>
        <w:overflowPunct/>
        <w:topLinePunct w:val="0"/>
        <w:autoSpaceDE/>
        <w:autoSpaceDN/>
        <w:bidi w:val="0"/>
        <w:adjustRightInd/>
        <w:snapToGrid/>
        <w:spacing w:line="360" w:lineRule="auto"/>
        <w:ind w:left="0" w:firstLine="440" w:firstLineChars="200"/>
        <w:jc w:val="left"/>
        <w:textAlignment w:val="auto"/>
        <w:rPr>
          <w:rFonts w:hint="eastAsia" w:ascii="宋体" w:hAnsi="宋体" w:eastAsia="宋体" w:cs="宋体"/>
          <w:color w:val="auto"/>
          <w:kern w:val="0"/>
          <w:sz w:val="22"/>
          <w:szCs w:val="22"/>
          <w:highlight w:val="none"/>
          <w:shd w:val="clear" w:color="auto" w:fill="FFFFFF"/>
        </w:rPr>
      </w:pPr>
      <w:r>
        <w:rPr>
          <w:rFonts w:hint="eastAsia" w:ascii="宋体" w:hAnsi="宋体" w:eastAsia="宋体" w:cs="宋体"/>
          <w:color w:val="auto"/>
          <w:kern w:val="0"/>
          <w:sz w:val="22"/>
          <w:szCs w:val="22"/>
          <w:highlight w:val="none"/>
          <w:shd w:val="clear" w:color="auto" w:fill="FFFFFF"/>
        </w:rPr>
        <w:t>3、采购监督管理部门名称：</w:t>
      </w:r>
      <w:r>
        <w:rPr>
          <w:rFonts w:hint="eastAsia" w:ascii="宋体" w:hAnsi="宋体" w:eastAsia="宋体" w:cs="宋体"/>
          <w:color w:val="auto"/>
          <w:kern w:val="0"/>
          <w:sz w:val="22"/>
          <w:szCs w:val="22"/>
          <w:highlight w:val="none"/>
          <w:shd w:val="clear" w:color="auto" w:fill="FFFFFF"/>
          <w:lang w:eastAsia="zh-CN"/>
        </w:rPr>
        <w:t>温州市公用事业发展集团有限公司纪检监察室</w:t>
      </w:r>
    </w:p>
    <w:p w14:paraId="12EB5BD6">
      <w:pPr>
        <w:keepNext w:val="0"/>
        <w:keepLines w:val="0"/>
        <w:pageBreakBefore w:val="0"/>
        <w:kinsoku/>
        <w:wordWrap/>
        <w:overflowPunct/>
        <w:topLinePunct w:val="0"/>
        <w:autoSpaceDE/>
        <w:autoSpaceDN/>
        <w:bidi w:val="0"/>
        <w:snapToGrid w:val="0"/>
        <w:spacing w:beforeAutospacing="0" w:afterAutospacing="0" w:line="360" w:lineRule="auto"/>
        <w:ind w:firstLine="420" w:firstLineChars="191"/>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联系电话：0577-88100267</w:t>
      </w:r>
    </w:p>
    <w:p w14:paraId="3A97548E">
      <w:pPr>
        <w:widowControl/>
        <w:spacing w:line="360" w:lineRule="auto"/>
        <w:jc w:val="right"/>
        <w:rPr>
          <w:rFonts w:hint="eastAsia" w:ascii="宋体" w:hAnsi="宋体" w:eastAsia="宋体" w:cs="宋体"/>
          <w:color w:val="auto"/>
          <w:kern w:val="0"/>
          <w:sz w:val="22"/>
          <w:szCs w:val="22"/>
          <w:highlight w:val="none"/>
          <w:shd w:val="clear" w:color="auto" w:fill="FFFFFF"/>
        </w:rPr>
      </w:pPr>
    </w:p>
    <w:p w14:paraId="47B8E070">
      <w:pPr>
        <w:widowControl/>
        <w:spacing w:line="360" w:lineRule="auto"/>
        <w:jc w:val="right"/>
        <w:rPr>
          <w:rFonts w:hint="eastAsia" w:ascii="宋体" w:hAnsi="宋体" w:eastAsia="宋体" w:cs="宋体"/>
          <w:color w:val="auto"/>
          <w:kern w:val="0"/>
          <w:sz w:val="22"/>
          <w:szCs w:val="22"/>
          <w:highlight w:val="none"/>
          <w:shd w:val="clear" w:color="auto" w:fill="FFFFFF"/>
        </w:rPr>
      </w:pPr>
    </w:p>
    <w:p w14:paraId="792BA1B6">
      <w:pPr>
        <w:widowControl/>
        <w:spacing w:line="360" w:lineRule="auto"/>
        <w:jc w:val="right"/>
        <w:rPr>
          <w:rFonts w:hint="eastAsia" w:ascii="宋体" w:hAnsi="宋体" w:eastAsia="宋体" w:cs="宋体"/>
          <w:color w:val="auto"/>
          <w:kern w:val="0"/>
          <w:sz w:val="22"/>
          <w:szCs w:val="22"/>
          <w:highlight w:val="none"/>
          <w:shd w:val="clear" w:color="auto" w:fill="FFFFFF"/>
          <w:lang w:eastAsia="zh-CN"/>
        </w:rPr>
      </w:pPr>
      <w:r>
        <w:rPr>
          <w:rFonts w:hint="eastAsia" w:ascii="宋体" w:hAnsi="宋体" w:eastAsia="宋体" w:cs="宋体"/>
          <w:color w:val="auto"/>
          <w:kern w:val="0"/>
          <w:sz w:val="22"/>
          <w:szCs w:val="22"/>
          <w:highlight w:val="none"/>
          <w:shd w:val="clear" w:color="auto" w:fill="FFFFFF"/>
          <w:lang w:eastAsia="zh-CN"/>
        </w:rPr>
        <w:t>温州市公用事业发展集团有限公司</w:t>
      </w:r>
    </w:p>
    <w:p w14:paraId="26DCF2F2">
      <w:pPr>
        <w:widowControl/>
        <w:spacing w:line="360" w:lineRule="auto"/>
        <w:jc w:val="right"/>
        <w:rPr>
          <w:rFonts w:hint="eastAsia" w:ascii="宋体" w:hAnsi="宋体" w:eastAsia="宋体" w:cs="宋体"/>
          <w:color w:val="auto"/>
          <w:kern w:val="0"/>
          <w:sz w:val="22"/>
          <w:szCs w:val="22"/>
          <w:highlight w:val="none"/>
          <w:shd w:val="clear" w:color="auto" w:fill="FFFFFF"/>
          <w:lang w:eastAsia="zh-CN"/>
        </w:rPr>
      </w:pPr>
      <w:r>
        <w:rPr>
          <w:rFonts w:hint="eastAsia" w:ascii="宋体" w:hAnsi="宋体" w:eastAsia="宋体" w:cs="宋体"/>
          <w:color w:val="auto"/>
          <w:kern w:val="0"/>
          <w:sz w:val="22"/>
          <w:szCs w:val="22"/>
          <w:highlight w:val="none"/>
          <w:shd w:val="clear" w:color="auto" w:fill="FFFFFF"/>
          <w:lang w:eastAsia="zh-CN"/>
        </w:rPr>
        <w:t>温州建设集团建筑设计院有限公司</w:t>
      </w:r>
    </w:p>
    <w:p w14:paraId="750E68B0">
      <w:pPr>
        <w:widowControl/>
        <w:wordWrap w:val="0"/>
        <w:spacing w:line="360" w:lineRule="auto"/>
        <w:jc w:val="right"/>
        <w:rPr>
          <w:rFonts w:ascii="宋体" w:hAnsi="宋体"/>
          <w:b/>
          <w:sz w:val="28"/>
          <w:szCs w:val="28"/>
        </w:rPr>
      </w:pPr>
      <w:r>
        <w:rPr>
          <w:rFonts w:hint="eastAsia" w:ascii="宋体" w:hAnsi="宋体" w:eastAsia="宋体" w:cs="宋体"/>
          <w:color w:val="000000" w:themeColor="text1"/>
          <w:kern w:val="0"/>
          <w:sz w:val="22"/>
          <w:szCs w:val="22"/>
          <w:highlight w:val="none"/>
          <w:shd w:val="clear" w:color="auto" w:fill="FFFFFF"/>
          <w:lang w:eastAsia="zh-CN"/>
          <w14:textFill>
            <w14:solidFill>
              <w14:schemeClr w14:val="tx1"/>
            </w14:solidFill>
          </w14:textFill>
        </w:rPr>
        <w:t>2025年</w:t>
      </w:r>
      <w:r>
        <w:rPr>
          <w:rFonts w:hint="eastAsia" w:ascii="宋体" w:hAnsi="宋体" w:eastAsia="宋体" w:cs="宋体"/>
          <w:color w:val="000000" w:themeColor="text1"/>
          <w:kern w:val="0"/>
          <w:sz w:val="22"/>
          <w:szCs w:val="22"/>
          <w:highlight w:val="none"/>
          <w:shd w:val="clear" w:color="auto" w:fill="FFFFFF"/>
          <w:lang w:val="en-US" w:eastAsia="zh-CN"/>
          <w14:textFill>
            <w14:solidFill>
              <w14:schemeClr w14:val="tx1"/>
            </w14:solidFill>
          </w14:textFill>
        </w:rPr>
        <w:t>3</w:t>
      </w:r>
      <w:r>
        <w:rPr>
          <w:rFonts w:hint="eastAsia" w:ascii="宋体" w:hAnsi="宋体" w:eastAsia="宋体" w:cs="宋体"/>
          <w:color w:val="000000" w:themeColor="text1"/>
          <w:kern w:val="0"/>
          <w:sz w:val="22"/>
          <w:szCs w:val="22"/>
          <w:highlight w:val="none"/>
          <w:shd w:val="clear" w:color="auto" w:fill="FFFFFF"/>
          <w14:textFill>
            <w14:solidFill>
              <w14:schemeClr w14:val="tx1"/>
            </w14:solidFill>
          </w14:textFill>
        </w:rPr>
        <w:t>月</w:t>
      </w:r>
      <w:r>
        <w:rPr>
          <w:rFonts w:hint="eastAsia" w:ascii="宋体" w:hAnsi="宋体" w:eastAsia="宋体" w:cs="宋体"/>
          <w:color w:val="000000" w:themeColor="text1"/>
          <w:kern w:val="0"/>
          <w:sz w:val="22"/>
          <w:szCs w:val="22"/>
          <w:highlight w:val="none"/>
          <w:shd w:val="clear" w:color="auto" w:fill="FFFFFF"/>
          <w:lang w:val="en-US" w:eastAsia="zh-CN"/>
          <w14:textFill>
            <w14:solidFill>
              <w14:schemeClr w14:val="tx1"/>
            </w14:solidFill>
          </w14:textFill>
        </w:rPr>
        <w:t>31</w:t>
      </w:r>
      <w:r>
        <w:rPr>
          <w:rFonts w:hint="eastAsia" w:ascii="宋体" w:hAnsi="宋体" w:eastAsia="宋体" w:cs="宋体"/>
          <w:color w:val="000000" w:themeColor="text1"/>
          <w:kern w:val="0"/>
          <w:sz w:val="22"/>
          <w:szCs w:val="22"/>
          <w:highlight w:val="none"/>
          <w:shd w:val="clear" w:color="auto" w:fill="FFFFFF"/>
          <w14:textFill>
            <w14:solidFill>
              <w14:schemeClr w14:val="tx1"/>
            </w14:solidFill>
          </w14:textFill>
        </w:rPr>
        <w:t>日</w:t>
      </w:r>
      <w:bookmarkEnd w:id="45"/>
      <w:bookmarkEnd w:id="46"/>
      <w:bookmarkEnd w:id="47"/>
    </w:p>
    <w:p w14:paraId="6A56B711">
      <w:pPr>
        <w:tabs>
          <w:tab w:val="left" w:pos="420"/>
        </w:tabs>
        <w:spacing w:line="320" w:lineRule="exact"/>
        <w:ind w:firstLine="534" w:firstLineChars="190"/>
        <w:jc w:val="right"/>
        <w:rPr>
          <w:rFonts w:ascii="宋体" w:hAnsi="宋体"/>
          <w:b/>
          <w:sz w:val="28"/>
          <w:szCs w:val="28"/>
        </w:rPr>
      </w:pPr>
    </w:p>
    <w:p w14:paraId="72AE85AB">
      <w:pPr>
        <w:spacing w:line="240" w:lineRule="auto"/>
        <w:ind w:firstLine="0" w:firstLineChars="0"/>
        <w:jc w:val="left"/>
        <w:rPr>
          <w:rFonts w:ascii="宋体" w:hAnsi="宋体"/>
          <w:b/>
          <w:sz w:val="28"/>
          <w:szCs w:val="28"/>
        </w:rPr>
      </w:pPr>
      <w:r>
        <w:rPr>
          <w:rFonts w:ascii="宋体" w:hAnsi="宋体"/>
          <w:b/>
          <w:sz w:val="28"/>
          <w:szCs w:val="28"/>
        </w:rPr>
        <w:br w:type="page"/>
      </w:r>
    </w:p>
    <w:p w14:paraId="49BE19CF">
      <w:pPr>
        <w:spacing w:line="360" w:lineRule="auto"/>
        <w:jc w:val="center"/>
        <w:outlineLvl w:val="0"/>
        <w:rPr>
          <w:rFonts w:ascii="宋体" w:hAnsi="宋体"/>
          <w:b/>
          <w:sz w:val="28"/>
          <w:szCs w:val="28"/>
        </w:rPr>
      </w:pPr>
      <w:bookmarkStart w:id="48" w:name="_Toc9486"/>
      <w:r>
        <w:rPr>
          <w:rFonts w:hint="eastAsia" w:ascii="宋体" w:hAnsi="宋体"/>
          <w:b/>
          <w:sz w:val="28"/>
          <w:szCs w:val="28"/>
        </w:rPr>
        <w:t>温州市公用事业发展集团有限公司关于信创资源池扩容项目征求意见公示</w:t>
      </w:r>
      <w:bookmarkEnd w:id="48"/>
    </w:p>
    <w:p w14:paraId="5D363CFE">
      <w:pPr>
        <w:keepNext w:val="0"/>
        <w:keepLines w:val="0"/>
        <w:pageBreakBefore w:val="0"/>
        <w:widowControl/>
        <w:kinsoku/>
        <w:wordWrap/>
        <w:overflowPunct/>
        <w:topLinePunct w:val="0"/>
        <w:autoSpaceDE/>
        <w:autoSpaceDN/>
        <w:bidi w:val="0"/>
        <w:adjustRightInd/>
        <w:snapToGrid/>
        <w:spacing w:before="67" w:after="67" w:line="360" w:lineRule="auto"/>
        <w:ind w:firstLine="440" w:firstLineChars="200"/>
        <w:jc w:val="left"/>
        <w:textAlignment w:val="auto"/>
        <w:rPr>
          <w:rFonts w:ascii="宋体" w:hAnsi="宋体" w:cs="Arial"/>
          <w:color w:val="auto"/>
          <w:kern w:val="0"/>
          <w:sz w:val="22"/>
          <w:szCs w:val="22"/>
          <w:highlight w:val="none"/>
          <w:shd w:val="clear" w:color="auto" w:fill="FFFFFF"/>
        </w:rPr>
      </w:pPr>
      <w:r>
        <w:rPr>
          <w:rFonts w:hint="eastAsia" w:ascii="宋体" w:hAnsi="宋体" w:cs="Arial"/>
          <w:color w:val="auto"/>
          <w:kern w:val="0"/>
          <w:sz w:val="22"/>
          <w:szCs w:val="22"/>
          <w:highlight w:val="none"/>
          <w:shd w:val="clear" w:color="auto" w:fill="FFFFFF"/>
          <w:lang w:eastAsia="zh-CN"/>
        </w:rPr>
        <w:t>温州建设集团建筑设计院有限公司</w:t>
      </w:r>
      <w:r>
        <w:rPr>
          <w:rFonts w:hint="eastAsia" w:ascii="宋体" w:hAnsi="宋体" w:cs="Arial"/>
          <w:color w:val="auto"/>
          <w:kern w:val="0"/>
          <w:sz w:val="22"/>
          <w:szCs w:val="22"/>
          <w:highlight w:val="none"/>
          <w:shd w:val="clear" w:color="auto" w:fill="FFFFFF"/>
        </w:rPr>
        <w:t>就</w:t>
      </w:r>
      <w:r>
        <w:rPr>
          <w:rFonts w:hint="eastAsia" w:ascii="宋体" w:hAnsi="宋体" w:cs="Arial"/>
          <w:color w:val="auto"/>
          <w:kern w:val="0"/>
          <w:sz w:val="22"/>
          <w:szCs w:val="22"/>
          <w:highlight w:val="none"/>
          <w:shd w:val="clear" w:color="auto" w:fill="FFFFFF"/>
          <w:lang w:eastAsia="zh-CN"/>
        </w:rPr>
        <w:t>信创资源池扩容</w:t>
      </w:r>
      <w:r>
        <w:rPr>
          <w:rFonts w:hint="eastAsia" w:ascii="宋体" w:hAnsi="宋体" w:cs="Arial"/>
          <w:color w:val="auto"/>
          <w:kern w:val="0"/>
          <w:sz w:val="22"/>
          <w:szCs w:val="22"/>
          <w:highlight w:val="none"/>
          <w:shd w:val="clear" w:color="auto" w:fill="FFFFFF"/>
        </w:rPr>
        <w:t>进行公开招标。现将本项目采购文件公布如下（详见附件）,并公开征求投标人及专家意见。</w:t>
      </w:r>
    </w:p>
    <w:p w14:paraId="79F8B8A9">
      <w:pPr>
        <w:keepNext w:val="0"/>
        <w:keepLines w:val="0"/>
        <w:pageBreakBefore w:val="0"/>
        <w:widowControl/>
        <w:kinsoku/>
        <w:wordWrap/>
        <w:overflowPunct/>
        <w:topLinePunct w:val="0"/>
        <w:autoSpaceDE/>
        <w:autoSpaceDN/>
        <w:bidi w:val="0"/>
        <w:adjustRightInd/>
        <w:snapToGrid/>
        <w:spacing w:before="67" w:after="67" w:line="360" w:lineRule="auto"/>
        <w:ind w:firstLine="442" w:firstLineChars="200"/>
        <w:jc w:val="left"/>
        <w:textAlignment w:val="auto"/>
        <w:rPr>
          <w:rFonts w:ascii="宋体" w:hAnsi="宋体" w:cs="Arial"/>
          <w:color w:val="auto"/>
          <w:kern w:val="0"/>
          <w:sz w:val="22"/>
          <w:szCs w:val="22"/>
          <w:highlight w:val="none"/>
          <w:shd w:val="clear" w:color="auto" w:fill="FFFFFF"/>
        </w:rPr>
      </w:pPr>
      <w:r>
        <w:rPr>
          <w:rFonts w:hint="eastAsia" w:ascii="宋体" w:hAnsi="宋体" w:cs="Arial"/>
          <w:b/>
          <w:bCs/>
          <w:color w:val="auto"/>
          <w:kern w:val="0"/>
          <w:sz w:val="22"/>
          <w:szCs w:val="22"/>
          <w:highlight w:val="none"/>
          <w:shd w:val="clear" w:color="auto" w:fill="FFFFFF"/>
        </w:rPr>
        <w:t>一、征求意见范围：</w:t>
      </w:r>
    </w:p>
    <w:p w14:paraId="0A16CA2A">
      <w:pPr>
        <w:keepNext w:val="0"/>
        <w:keepLines w:val="0"/>
        <w:pageBreakBefore w:val="0"/>
        <w:widowControl/>
        <w:kinsoku/>
        <w:wordWrap/>
        <w:overflowPunct/>
        <w:topLinePunct w:val="0"/>
        <w:autoSpaceDE/>
        <w:autoSpaceDN/>
        <w:bidi w:val="0"/>
        <w:adjustRightInd/>
        <w:snapToGrid/>
        <w:spacing w:before="67" w:after="67" w:line="360" w:lineRule="auto"/>
        <w:ind w:firstLine="440" w:firstLineChars="200"/>
        <w:jc w:val="left"/>
        <w:textAlignment w:val="auto"/>
        <w:rPr>
          <w:rFonts w:ascii="宋体" w:hAnsi="宋体" w:cs="Arial"/>
          <w:color w:val="auto"/>
          <w:kern w:val="0"/>
          <w:sz w:val="22"/>
          <w:szCs w:val="22"/>
          <w:highlight w:val="none"/>
          <w:shd w:val="clear" w:color="auto" w:fill="FFFFFF"/>
        </w:rPr>
      </w:pPr>
      <w:r>
        <w:rPr>
          <w:rFonts w:hint="eastAsia" w:ascii="宋体" w:hAnsi="宋体" w:cs="Arial"/>
          <w:color w:val="auto"/>
          <w:kern w:val="0"/>
          <w:sz w:val="22"/>
          <w:szCs w:val="22"/>
          <w:highlight w:val="none"/>
          <w:shd w:val="clear" w:color="auto" w:fill="FFFFFF"/>
        </w:rPr>
        <w:t>1.是否出现明显的倾向性意见和特定的性能指标；</w:t>
      </w:r>
    </w:p>
    <w:p w14:paraId="13173B84">
      <w:pPr>
        <w:keepNext w:val="0"/>
        <w:keepLines w:val="0"/>
        <w:pageBreakBefore w:val="0"/>
        <w:widowControl/>
        <w:kinsoku/>
        <w:wordWrap/>
        <w:overflowPunct/>
        <w:topLinePunct w:val="0"/>
        <w:autoSpaceDE/>
        <w:autoSpaceDN/>
        <w:bidi w:val="0"/>
        <w:adjustRightInd/>
        <w:snapToGrid/>
        <w:spacing w:before="67" w:after="67" w:line="360" w:lineRule="auto"/>
        <w:ind w:firstLine="440" w:firstLineChars="200"/>
        <w:jc w:val="left"/>
        <w:textAlignment w:val="auto"/>
        <w:rPr>
          <w:rFonts w:ascii="宋体" w:hAnsi="宋体" w:cs="Arial"/>
          <w:color w:val="auto"/>
          <w:kern w:val="0"/>
          <w:sz w:val="22"/>
          <w:szCs w:val="22"/>
          <w:highlight w:val="none"/>
          <w:shd w:val="clear" w:color="auto" w:fill="FFFFFF"/>
        </w:rPr>
      </w:pPr>
      <w:r>
        <w:rPr>
          <w:rFonts w:hint="eastAsia" w:ascii="宋体" w:hAnsi="宋体" w:cs="Arial"/>
          <w:color w:val="auto"/>
          <w:kern w:val="0"/>
          <w:sz w:val="22"/>
          <w:szCs w:val="22"/>
          <w:highlight w:val="none"/>
          <w:shd w:val="clear" w:color="auto" w:fill="FFFFFF"/>
        </w:rPr>
        <w:t>2.投标人资格条件是否具有明显倾向性和歧视性；</w:t>
      </w:r>
    </w:p>
    <w:p w14:paraId="5E29D0EF">
      <w:pPr>
        <w:keepNext w:val="0"/>
        <w:keepLines w:val="0"/>
        <w:pageBreakBefore w:val="0"/>
        <w:widowControl/>
        <w:kinsoku/>
        <w:wordWrap/>
        <w:overflowPunct/>
        <w:topLinePunct w:val="0"/>
        <w:autoSpaceDE/>
        <w:autoSpaceDN/>
        <w:bidi w:val="0"/>
        <w:adjustRightInd/>
        <w:snapToGrid/>
        <w:spacing w:before="67" w:after="67" w:line="360" w:lineRule="auto"/>
        <w:ind w:firstLine="440" w:firstLineChars="200"/>
        <w:jc w:val="left"/>
        <w:textAlignment w:val="auto"/>
        <w:rPr>
          <w:rFonts w:ascii="宋体" w:hAnsi="宋体" w:cs="Arial"/>
          <w:color w:val="auto"/>
          <w:kern w:val="0"/>
          <w:sz w:val="22"/>
          <w:szCs w:val="22"/>
          <w:highlight w:val="none"/>
          <w:shd w:val="clear" w:color="auto" w:fill="FFFFFF"/>
        </w:rPr>
      </w:pPr>
      <w:r>
        <w:rPr>
          <w:rFonts w:hint="eastAsia" w:ascii="宋体" w:hAnsi="宋体" w:cs="Arial"/>
          <w:color w:val="auto"/>
          <w:kern w:val="0"/>
          <w:sz w:val="22"/>
          <w:szCs w:val="22"/>
          <w:highlight w:val="none"/>
          <w:shd w:val="clear" w:color="auto" w:fill="FFFFFF"/>
        </w:rPr>
        <w:t>3.影响国企采购“公开、公平、公正”原则的其他情况。</w:t>
      </w:r>
    </w:p>
    <w:p w14:paraId="4F73F23C">
      <w:pPr>
        <w:keepNext w:val="0"/>
        <w:keepLines w:val="0"/>
        <w:pageBreakBefore w:val="0"/>
        <w:widowControl/>
        <w:kinsoku/>
        <w:wordWrap/>
        <w:overflowPunct/>
        <w:topLinePunct w:val="0"/>
        <w:autoSpaceDE/>
        <w:autoSpaceDN/>
        <w:bidi w:val="0"/>
        <w:adjustRightInd/>
        <w:snapToGrid/>
        <w:spacing w:before="67" w:after="67" w:line="360" w:lineRule="auto"/>
        <w:ind w:firstLine="442" w:firstLineChars="200"/>
        <w:jc w:val="left"/>
        <w:textAlignment w:val="auto"/>
        <w:rPr>
          <w:rFonts w:ascii="宋体" w:hAnsi="宋体" w:cs="Arial"/>
          <w:color w:val="auto"/>
          <w:kern w:val="0"/>
          <w:sz w:val="22"/>
          <w:szCs w:val="22"/>
          <w:highlight w:val="none"/>
          <w:shd w:val="clear" w:color="auto" w:fill="FFFFFF"/>
        </w:rPr>
      </w:pPr>
      <w:r>
        <w:rPr>
          <w:rFonts w:hint="eastAsia" w:ascii="宋体" w:hAnsi="宋体" w:cs="Arial"/>
          <w:b/>
          <w:bCs/>
          <w:color w:val="auto"/>
          <w:kern w:val="0"/>
          <w:sz w:val="22"/>
          <w:szCs w:val="22"/>
          <w:highlight w:val="none"/>
          <w:shd w:val="clear" w:color="auto" w:fill="FFFFFF"/>
        </w:rPr>
        <w:t>二、征求意见的回复</w:t>
      </w:r>
    </w:p>
    <w:p w14:paraId="2C634F5C">
      <w:pPr>
        <w:keepNext w:val="0"/>
        <w:keepLines w:val="0"/>
        <w:pageBreakBefore w:val="0"/>
        <w:widowControl/>
        <w:kinsoku/>
        <w:wordWrap/>
        <w:overflowPunct/>
        <w:topLinePunct w:val="0"/>
        <w:autoSpaceDE/>
        <w:autoSpaceDN/>
        <w:bidi w:val="0"/>
        <w:adjustRightInd/>
        <w:snapToGrid/>
        <w:spacing w:before="67" w:after="67" w:line="360" w:lineRule="auto"/>
        <w:ind w:firstLine="440" w:firstLineChars="200"/>
        <w:jc w:val="left"/>
        <w:textAlignment w:val="auto"/>
        <w:rPr>
          <w:rFonts w:ascii="宋体" w:hAnsi="宋体" w:cs="Arial"/>
          <w:color w:val="auto"/>
          <w:kern w:val="0"/>
          <w:sz w:val="22"/>
          <w:szCs w:val="22"/>
          <w:highlight w:val="none"/>
          <w:shd w:val="clear" w:color="auto" w:fill="FFFFFF"/>
        </w:rPr>
      </w:pPr>
      <w:r>
        <w:rPr>
          <w:rFonts w:hint="eastAsia" w:ascii="宋体" w:hAnsi="宋体" w:cs="Arial"/>
          <w:color w:val="auto"/>
          <w:kern w:val="0"/>
          <w:sz w:val="22"/>
          <w:szCs w:val="22"/>
          <w:highlight w:val="none"/>
          <w:shd w:val="clear" w:color="auto" w:fill="FFFFFF"/>
        </w:rPr>
        <w:t>各投标人及专家提出修改理由和</w:t>
      </w:r>
      <w:r>
        <w:rPr>
          <w:rFonts w:hint="eastAsia" w:ascii="宋体" w:hAnsi="宋体" w:cs="Arial"/>
          <w:color w:val="000000" w:themeColor="text1"/>
          <w:kern w:val="0"/>
          <w:sz w:val="22"/>
          <w:szCs w:val="22"/>
          <w:highlight w:val="none"/>
          <w:shd w:val="clear" w:color="auto" w:fill="FFFFFF"/>
          <w14:textFill>
            <w14:solidFill>
              <w14:schemeClr w14:val="tx1"/>
            </w14:solidFill>
          </w14:textFill>
        </w:rPr>
        <w:t>建议的，请于</w:t>
      </w:r>
      <w:r>
        <w:rPr>
          <w:rFonts w:hint="eastAsia" w:ascii="宋体" w:hAnsi="宋体" w:cs="Arial"/>
          <w:color w:val="000000" w:themeColor="text1"/>
          <w:kern w:val="0"/>
          <w:sz w:val="22"/>
          <w:szCs w:val="22"/>
          <w:highlight w:val="none"/>
          <w:shd w:val="clear" w:color="auto" w:fill="FFFFFF"/>
          <w:lang w:eastAsia="zh-CN"/>
          <w14:textFill>
            <w14:solidFill>
              <w14:schemeClr w14:val="tx1"/>
            </w14:solidFill>
          </w14:textFill>
        </w:rPr>
        <w:t>2025年</w:t>
      </w:r>
      <w:r>
        <w:rPr>
          <w:rFonts w:hint="eastAsia" w:ascii="宋体" w:hAnsi="宋体" w:cs="Arial"/>
          <w:color w:val="000000" w:themeColor="text1"/>
          <w:kern w:val="0"/>
          <w:sz w:val="22"/>
          <w:szCs w:val="22"/>
          <w:highlight w:val="none"/>
          <w:shd w:val="clear" w:color="auto" w:fill="FFFFFF"/>
          <w:lang w:val="en-US" w:eastAsia="zh-CN"/>
          <w14:textFill>
            <w14:solidFill>
              <w14:schemeClr w14:val="tx1"/>
            </w14:solidFill>
          </w14:textFill>
        </w:rPr>
        <w:t>4</w:t>
      </w:r>
      <w:r>
        <w:rPr>
          <w:rFonts w:hint="eastAsia" w:ascii="宋体" w:hAnsi="宋体" w:cs="Arial"/>
          <w:color w:val="000000" w:themeColor="text1"/>
          <w:kern w:val="0"/>
          <w:sz w:val="22"/>
          <w:szCs w:val="22"/>
          <w:highlight w:val="none"/>
          <w:shd w:val="clear" w:color="auto" w:fill="FFFFFF"/>
          <w14:textFill>
            <w14:solidFill>
              <w14:schemeClr w14:val="tx1"/>
            </w14:solidFill>
          </w14:textFill>
        </w:rPr>
        <w:t>月</w:t>
      </w:r>
      <w:r>
        <w:rPr>
          <w:rFonts w:hint="eastAsia" w:ascii="宋体" w:hAnsi="宋体" w:cs="Arial"/>
          <w:color w:val="000000" w:themeColor="text1"/>
          <w:kern w:val="0"/>
          <w:sz w:val="22"/>
          <w:szCs w:val="22"/>
          <w:highlight w:val="none"/>
          <w:shd w:val="clear" w:color="auto" w:fill="FFFFFF"/>
          <w:lang w:val="en-US" w:eastAsia="zh-CN"/>
          <w14:textFill>
            <w14:solidFill>
              <w14:schemeClr w14:val="tx1"/>
            </w14:solidFill>
          </w14:textFill>
        </w:rPr>
        <w:t>3</w:t>
      </w:r>
      <w:r>
        <w:rPr>
          <w:rFonts w:hint="eastAsia" w:ascii="宋体" w:hAnsi="宋体" w:cs="Arial"/>
          <w:color w:val="000000" w:themeColor="text1"/>
          <w:kern w:val="0"/>
          <w:sz w:val="22"/>
          <w:szCs w:val="22"/>
          <w:highlight w:val="none"/>
          <w:shd w:val="clear" w:color="auto" w:fill="FFFFFF"/>
          <w14:textFill>
            <w14:solidFill>
              <w14:schemeClr w14:val="tx1"/>
            </w14:solidFill>
          </w14:textFill>
        </w:rPr>
        <w:t>日下午17：00前（</w:t>
      </w:r>
      <w:r>
        <w:rPr>
          <w:rFonts w:hint="eastAsia" w:ascii="宋体" w:hAnsi="宋体" w:cs="Arial"/>
          <w:color w:val="auto"/>
          <w:kern w:val="0"/>
          <w:sz w:val="22"/>
          <w:szCs w:val="22"/>
          <w:highlight w:val="none"/>
          <w:shd w:val="clear" w:color="auto" w:fill="FFFFFF"/>
        </w:rPr>
        <w:t>节假日除外）将书面材料签字（盖章）并密封后送至</w:t>
      </w:r>
      <w:r>
        <w:rPr>
          <w:rFonts w:hint="eastAsia" w:ascii="宋体" w:hAnsi="宋体" w:cs="Arial"/>
          <w:color w:val="auto"/>
          <w:kern w:val="0"/>
          <w:sz w:val="22"/>
          <w:szCs w:val="22"/>
          <w:highlight w:val="none"/>
          <w:shd w:val="clear" w:color="auto" w:fill="FFFFFF"/>
          <w:lang w:eastAsia="zh-CN"/>
        </w:rPr>
        <w:t>温州建设集团建筑设计院有限公司</w:t>
      </w:r>
      <w:r>
        <w:rPr>
          <w:rFonts w:hint="eastAsia" w:ascii="宋体" w:hAnsi="宋体" w:cs="Arial"/>
          <w:color w:val="auto"/>
          <w:kern w:val="0"/>
          <w:sz w:val="22"/>
          <w:szCs w:val="22"/>
          <w:highlight w:val="none"/>
          <w:shd w:val="clear" w:color="auto" w:fill="FFFFFF"/>
        </w:rPr>
        <w:t>，同时将电子文档发送至以下信箱：</w:t>
      </w:r>
      <w:r>
        <w:rPr>
          <w:rFonts w:hint="eastAsia" w:ascii="宋体" w:hAnsi="宋体" w:cs="Arial"/>
          <w:color w:val="auto"/>
          <w:kern w:val="0"/>
          <w:sz w:val="22"/>
          <w:szCs w:val="22"/>
          <w:highlight w:val="none"/>
          <w:shd w:val="clear" w:color="auto" w:fill="FFFFFF"/>
          <w:lang w:val="en-US" w:eastAsia="zh-CN"/>
        </w:rPr>
        <w:t>229103902</w:t>
      </w:r>
      <w:r>
        <w:rPr>
          <w:rFonts w:hint="eastAsia" w:ascii="宋体" w:hAnsi="宋体" w:cs="Arial"/>
          <w:color w:val="auto"/>
          <w:kern w:val="0"/>
          <w:sz w:val="22"/>
          <w:szCs w:val="22"/>
          <w:highlight w:val="none"/>
          <w:shd w:val="clear" w:color="auto" w:fill="FFFFFF"/>
        </w:rPr>
        <w:t>@qq.com。</w:t>
      </w:r>
    </w:p>
    <w:p w14:paraId="430FF562">
      <w:pPr>
        <w:keepNext w:val="0"/>
        <w:keepLines w:val="0"/>
        <w:pageBreakBefore w:val="0"/>
        <w:widowControl/>
        <w:kinsoku/>
        <w:wordWrap/>
        <w:overflowPunct/>
        <w:topLinePunct w:val="0"/>
        <w:autoSpaceDE/>
        <w:autoSpaceDN/>
        <w:bidi w:val="0"/>
        <w:adjustRightInd/>
        <w:snapToGrid/>
        <w:spacing w:before="67" w:after="67" w:line="360" w:lineRule="auto"/>
        <w:ind w:firstLine="440" w:firstLineChars="200"/>
        <w:jc w:val="left"/>
        <w:textAlignment w:val="auto"/>
        <w:rPr>
          <w:rFonts w:hint="default" w:ascii="宋体" w:hAnsi="宋体" w:eastAsia="宋体" w:cs="Arial"/>
          <w:color w:val="auto"/>
          <w:kern w:val="0"/>
          <w:sz w:val="22"/>
          <w:szCs w:val="22"/>
          <w:highlight w:val="none"/>
          <w:shd w:val="clear" w:color="auto" w:fill="FFFFFF"/>
          <w:lang w:val="en-US" w:eastAsia="zh-CN"/>
        </w:rPr>
      </w:pPr>
      <w:r>
        <w:rPr>
          <w:rFonts w:hint="eastAsia" w:ascii="宋体" w:hAnsi="宋体" w:cs="Arial"/>
          <w:color w:val="auto"/>
          <w:kern w:val="0"/>
          <w:sz w:val="22"/>
          <w:szCs w:val="22"/>
          <w:highlight w:val="none"/>
          <w:shd w:val="clear" w:color="auto" w:fill="FFFFFF"/>
        </w:rPr>
        <w:t>联系人：</w:t>
      </w:r>
      <w:r>
        <w:rPr>
          <w:rFonts w:hint="eastAsia" w:ascii="宋体" w:hAnsi="宋体" w:cs="Arial"/>
          <w:color w:val="auto"/>
          <w:kern w:val="0"/>
          <w:sz w:val="22"/>
          <w:szCs w:val="22"/>
          <w:highlight w:val="none"/>
          <w:shd w:val="clear" w:color="auto" w:fill="FFFFFF"/>
          <w:lang w:eastAsia="zh-CN"/>
        </w:rPr>
        <w:t>叶女士，</w:t>
      </w:r>
      <w:r>
        <w:rPr>
          <w:rFonts w:hint="eastAsia" w:ascii="宋体" w:hAnsi="宋体" w:cs="Arial"/>
          <w:color w:val="auto"/>
          <w:kern w:val="0"/>
          <w:sz w:val="22"/>
          <w:szCs w:val="22"/>
          <w:highlight w:val="none"/>
          <w:shd w:val="clear" w:color="auto" w:fill="FFFFFF"/>
        </w:rPr>
        <w:t>联系电话：</w:t>
      </w:r>
      <w:r>
        <w:rPr>
          <w:rFonts w:hint="eastAsia" w:ascii="宋体" w:hAnsi="宋体" w:cs="Arial"/>
          <w:color w:val="auto"/>
          <w:kern w:val="0"/>
          <w:sz w:val="22"/>
          <w:szCs w:val="22"/>
          <w:highlight w:val="none"/>
          <w:shd w:val="clear" w:color="auto" w:fill="FFFFFF"/>
          <w:lang w:val="en-US" w:eastAsia="zh-CN"/>
        </w:rPr>
        <w:t>13777706037</w:t>
      </w:r>
    </w:p>
    <w:p w14:paraId="3F7D903F">
      <w:pPr>
        <w:keepNext w:val="0"/>
        <w:keepLines w:val="0"/>
        <w:pageBreakBefore w:val="0"/>
        <w:widowControl/>
        <w:kinsoku/>
        <w:wordWrap/>
        <w:overflowPunct/>
        <w:topLinePunct w:val="0"/>
        <w:autoSpaceDE/>
        <w:autoSpaceDN/>
        <w:bidi w:val="0"/>
        <w:adjustRightInd/>
        <w:snapToGrid/>
        <w:spacing w:before="67" w:after="67" w:line="360" w:lineRule="auto"/>
        <w:ind w:firstLine="442" w:firstLineChars="200"/>
        <w:jc w:val="left"/>
        <w:textAlignment w:val="auto"/>
        <w:rPr>
          <w:rFonts w:ascii="宋体" w:hAnsi="宋体" w:cs="Arial"/>
          <w:color w:val="auto"/>
          <w:kern w:val="0"/>
          <w:sz w:val="22"/>
          <w:szCs w:val="22"/>
          <w:highlight w:val="none"/>
          <w:shd w:val="clear" w:color="auto" w:fill="FFFFFF"/>
        </w:rPr>
      </w:pPr>
      <w:r>
        <w:rPr>
          <w:rFonts w:hint="eastAsia" w:ascii="宋体" w:hAnsi="宋体" w:cs="Arial"/>
          <w:b/>
          <w:bCs/>
          <w:color w:val="auto"/>
          <w:kern w:val="0"/>
          <w:sz w:val="22"/>
          <w:szCs w:val="22"/>
          <w:highlight w:val="none"/>
          <w:shd w:val="clear" w:color="auto" w:fill="FFFFFF"/>
        </w:rPr>
        <w:t>对逾期送达的意见、建议书恕不接受。</w:t>
      </w:r>
    </w:p>
    <w:p w14:paraId="096F3A0B">
      <w:pPr>
        <w:widowControl/>
        <w:spacing w:before="67" w:after="67" w:line="360" w:lineRule="auto"/>
        <w:jc w:val="right"/>
        <w:rPr>
          <w:rFonts w:hint="eastAsia" w:ascii="宋体" w:hAnsi="宋体" w:eastAsia="宋体" w:cs="Arial"/>
          <w:color w:val="auto"/>
          <w:kern w:val="0"/>
          <w:sz w:val="22"/>
          <w:szCs w:val="22"/>
          <w:highlight w:val="none"/>
          <w:shd w:val="clear" w:color="auto" w:fill="FFFFFF"/>
          <w:lang w:eastAsia="zh-CN"/>
        </w:rPr>
      </w:pPr>
      <w:r>
        <w:rPr>
          <w:rFonts w:hint="eastAsia"/>
          <w:color w:val="auto"/>
          <w:kern w:val="0"/>
          <w:sz w:val="22"/>
          <w:szCs w:val="22"/>
          <w:highlight w:val="none"/>
          <w:shd w:val="clear" w:color="auto" w:fill="FFFFFF"/>
          <w:lang w:eastAsia="zh-CN"/>
        </w:rPr>
        <w:t>温州市公用事业发展集团有限公司</w:t>
      </w:r>
    </w:p>
    <w:p w14:paraId="59F069CA">
      <w:pPr>
        <w:widowControl/>
        <w:spacing w:before="67" w:after="67" w:line="360" w:lineRule="auto"/>
        <w:jc w:val="right"/>
        <w:rPr>
          <w:rFonts w:hint="eastAsia" w:ascii="宋体" w:hAnsi="宋体" w:eastAsia="宋体" w:cs="Arial"/>
          <w:color w:val="auto"/>
          <w:kern w:val="0"/>
          <w:sz w:val="22"/>
          <w:szCs w:val="22"/>
          <w:highlight w:val="none"/>
          <w:shd w:val="clear" w:color="auto" w:fill="FFFFFF"/>
          <w:lang w:eastAsia="zh-CN"/>
        </w:rPr>
      </w:pPr>
      <w:r>
        <w:rPr>
          <w:rFonts w:hint="eastAsia" w:ascii="宋体" w:hAnsi="宋体" w:cs="Arial"/>
          <w:color w:val="auto"/>
          <w:kern w:val="0"/>
          <w:sz w:val="22"/>
          <w:szCs w:val="22"/>
          <w:highlight w:val="none"/>
          <w:shd w:val="clear" w:color="auto" w:fill="FFFFFF"/>
          <w:lang w:eastAsia="zh-CN"/>
        </w:rPr>
        <w:t>温州建设集团建筑设计院有限公司</w:t>
      </w:r>
    </w:p>
    <w:p w14:paraId="6A032995">
      <w:pPr>
        <w:widowControl/>
        <w:spacing w:before="67" w:after="67" w:line="360" w:lineRule="auto"/>
        <w:jc w:val="right"/>
        <w:rPr>
          <w:rFonts w:ascii="宋体" w:hAnsi="宋体" w:cs="Arial"/>
          <w:color w:val="000000" w:themeColor="text1"/>
          <w:kern w:val="0"/>
          <w:sz w:val="22"/>
          <w:szCs w:val="22"/>
          <w:highlight w:val="none"/>
          <w:shd w:val="clear" w:color="auto" w:fill="FFFFFF"/>
          <w14:textFill>
            <w14:solidFill>
              <w14:schemeClr w14:val="tx1"/>
            </w14:solidFill>
          </w14:textFill>
        </w:rPr>
      </w:pPr>
      <w:r>
        <w:rPr>
          <w:rFonts w:hint="eastAsia" w:ascii="宋体" w:hAnsi="宋体" w:cs="Arial"/>
          <w:color w:val="000000" w:themeColor="text1"/>
          <w:kern w:val="0"/>
          <w:sz w:val="22"/>
          <w:szCs w:val="22"/>
          <w:highlight w:val="none"/>
          <w:shd w:val="clear" w:color="auto" w:fill="FFFFFF"/>
          <w:lang w:eastAsia="zh-CN"/>
          <w14:textFill>
            <w14:solidFill>
              <w14:schemeClr w14:val="tx1"/>
            </w14:solidFill>
          </w14:textFill>
        </w:rPr>
        <w:t>2025年</w:t>
      </w:r>
      <w:r>
        <w:rPr>
          <w:rFonts w:hint="eastAsia" w:ascii="宋体" w:hAnsi="宋体" w:cs="Arial"/>
          <w:color w:val="000000" w:themeColor="text1"/>
          <w:kern w:val="0"/>
          <w:sz w:val="22"/>
          <w:szCs w:val="22"/>
          <w:highlight w:val="none"/>
          <w:shd w:val="clear" w:color="auto" w:fill="FFFFFF"/>
          <w:lang w:val="en-US" w:eastAsia="zh-CN"/>
          <w14:textFill>
            <w14:solidFill>
              <w14:schemeClr w14:val="tx1"/>
            </w14:solidFill>
          </w14:textFill>
        </w:rPr>
        <w:t>3</w:t>
      </w:r>
      <w:r>
        <w:rPr>
          <w:rFonts w:hint="eastAsia" w:ascii="宋体" w:hAnsi="宋体" w:cs="Arial"/>
          <w:color w:val="000000" w:themeColor="text1"/>
          <w:kern w:val="0"/>
          <w:sz w:val="22"/>
          <w:szCs w:val="22"/>
          <w:highlight w:val="none"/>
          <w:shd w:val="clear" w:color="auto" w:fill="FFFFFF"/>
          <w14:textFill>
            <w14:solidFill>
              <w14:schemeClr w14:val="tx1"/>
            </w14:solidFill>
          </w14:textFill>
        </w:rPr>
        <w:t>月</w:t>
      </w:r>
      <w:r>
        <w:rPr>
          <w:rFonts w:hint="eastAsia" w:ascii="宋体" w:hAnsi="宋体" w:cs="Arial"/>
          <w:color w:val="000000" w:themeColor="text1"/>
          <w:kern w:val="0"/>
          <w:sz w:val="22"/>
          <w:szCs w:val="22"/>
          <w:highlight w:val="none"/>
          <w:shd w:val="clear" w:color="auto" w:fill="FFFFFF"/>
          <w:lang w:val="en-US" w:eastAsia="zh-CN"/>
          <w14:textFill>
            <w14:solidFill>
              <w14:schemeClr w14:val="tx1"/>
            </w14:solidFill>
          </w14:textFill>
        </w:rPr>
        <w:t>31</w:t>
      </w:r>
      <w:r>
        <w:rPr>
          <w:rFonts w:hint="eastAsia" w:ascii="宋体" w:hAnsi="宋体" w:cs="Arial"/>
          <w:color w:val="000000" w:themeColor="text1"/>
          <w:kern w:val="0"/>
          <w:sz w:val="22"/>
          <w:szCs w:val="22"/>
          <w:highlight w:val="none"/>
          <w:shd w:val="clear" w:color="auto" w:fill="FFFFFF"/>
          <w14:textFill>
            <w14:solidFill>
              <w14:schemeClr w14:val="tx1"/>
            </w14:solidFill>
          </w14:textFill>
        </w:rPr>
        <w:t>日</w:t>
      </w:r>
    </w:p>
    <w:p w14:paraId="2F20D989">
      <w:pPr>
        <w:numPr>
          <w:ilvl w:val="0"/>
          <w:numId w:val="3"/>
        </w:numPr>
        <w:spacing w:line="360" w:lineRule="auto"/>
        <w:ind w:firstLine="608" w:firstLineChars="190"/>
        <w:jc w:val="center"/>
        <w:rPr>
          <w:rFonts w:cs="宋体"/>
          <w:b/>
          <w:bCs/>
          <w:sz w:val="32"/>
          <w:szCs w:val="18"/>
        </w:rPr>
      </w:pPr>
      <w:r>
        <w:rPr>
          <w:rFonts w:hint="eastAsia" w:cs="宋体"/>
          <w:sz w:val="32"/>
          <w:szCs w:val="32"/>
        </w:rPr>
        <w:br w:type="page"/>
      </w:r>
      <w:bookmarkStart w:id="49" w:name="_Toc25881"/>
      <w:r>
        <w:rPr>
          <w:rFonts w:hint="eastAsia" w:cs="宋体"/>
          <w:b/>
          <w:bCs/>
          <w:sz w:val="32"/>
          <w:szCs w:val="32"/>
        </w:rPr>
        <w:t xml:space="preserve">  </w:t>
      </w:r>
      <w:bookmarkEnd w:id="10"/>
      <w:bookmarkEnd w:id="49"/>
      <w:bookmarkStart w:id="50" w:name="_Toc30701"/>
      <w:bookmarkStart w:id="51" w:name="_Toc10131"/>
      <w:bookmarkStart w:id="52" w:name="_Toc420938301"/>
      <w:bookmarkStart w:id="53" w:name="_Toc230773775"/>
      <w:r>
        <w:rPr>
          <w:rFonts w:hint="eastAsia" w:cs="宋体"/>
          <w:b/>
          <w:bCs/>
          <w:sz w:val="32"/>
          <w:szCs w:val="18"/>
        </w:rPr>
        <w:t>投标供应商须知及前附表</w:t>
      </w:r>
      <w:bookmarkEnd w:id="50"/>
      <w:bookmarkEnd w:id="51"/>
      <w:bookmarkEnd w:id="52"/>
    </w:p>
    <w:p w14:paraId="66C5F2B7">
      <w:pPr>
        <w:pStyle w:val="2"/>
        <w:spacing w:line="360" w:lineRule="auto"/>
        <w:jc w:val="center"/>
      </w:pPr>
      <w:r>
        <w:rPr>
          <w:rFonts w:hint="eastAsia" w:cs="宋体"/>
          <w:b/>
          <w:bCs/>
          <w:sz w:val="32"/>
          <w:szCs w:val="18"/>
        </w:rPr>
        <w:t>投标供应商须知前附表</w:t>
      </w:r>
    </w:p>
    <w:tbl>
      <w:tblPr>
        <w:tblStyle w:val="50"/>
        <w:tblW w:w="9567" w:type="dxa"/>
        <w:jc w:val="center"/>
        <w:tblLayout w:type="fixed"/>
        <w:tblCellMar>
          <w:top w:w="0" w:type="dxa"/>
          <w:left w:w="108" w:type="dxa"/>
          <w:bottom w:w="0" w:type="dxa"/>
          <w:right w:w="108" w:type="dxa"/>
        </w:tblCellMar>
      </w:tblPr>
      <w:tblGrid>
        <w:gridCol w:w="1048"/>
        <w:gridCol w:w="1687"/>
        <w:gridCol w:w="6832"/>
      </w:tblGrid>
      <w:tr w14:paraId="11B65BF1">
        <w:tblPrEx>
          <w:tblCellMar>
            <w:top w:w="0" w:type="dxa"/>
            <w:left w:w="108" w:type="dxa"/>
            <w:bottom w:w="0" w:type="dxa"/>
            <w:right w:w="108" w:type="dxa"/>
          </w:tblCellMar>
        </w:tblPrEx>
        <w:trPr>
          <w:trHeight w:val="567" w:hRule="exact"/>
          <w:jc w:val="center"/>
        </w:trPr>
        <w:tc>
          <w:tcPr>
            <w:tcW w:w="1048" w:type="dxa"/>
            <w:tcBorders>
              <w:top w:val="single" w:color="auto" w:sz="4" w:space="0"/>
              <w:left w:val="single" w:color="auto" w:sz="4" w:space="0"/>
              <w:bottom w:val="single" w:color="auto" w:sz="4" w:space="0"/>
              <w:right w:val="single" w:color="auto" w:sz="4" w:space="0"/>
            </w:tcBorders>
            <w:vAlign w:val="center"/>
          </w:tcPr>
          <w:p w14:paraId="67209D96">
            <w:pPr>
              <w:spacing w:line="300" w:lineRule="exact"/>
              <w:jc w:val="center"/>
              <w:rPr>
                <w:rFonts w:ascii="宋体" w:cs="宋体"/>
                <w:kern w:val="0"/>
                <w:sz w:val="22"/>
                <w:szCs w:val="22"/>
              </w:rPr>
            </w:pPr>
            <w:r>
              <w:rPr>
                <w:rFonts w:hint="eastAsia" w:ascii="宋体" w:cs="宋体"/>
                <w:kern w:val="0"/>
                <w:sz w:val="22"/>
                <w:szCs w:val="22"/>
              </w:rPr>
              <w:t>序号</w:t>
            </w:r>
          </w:p>
        </w:tc>
        <w:tc>
          <w:tcPr>
            <w:tcW w:w="1687" w:type="dxa"/>
            <w:tcBorders>
              <w:top w:val="single" w:color="auto" w:sz="4" w:space="0"/>
              <w:left w:val="single" w:color="auto" w:sz="4" w:space="0"/>
              <w:bottom w:val="single" w:color="auto" w:sz="4" w:space="0"/>
              <w:right w:val="single" w:color="auto" w:sz="4" w:space="0"/>
            </w:tcBorders>
            <w:vAlign w:val="center"/>
          </w:tcPr>
          <w:p w14:paraId="5D6B4E18">
            <w:pPr>
              <w:spacing w:line="300" w:lineRule="exact"/>
              <w:jc w:val="center"/>
              <w:rPr>
                <w:rFonts w:ascii="宋体" w:cs="宋体"/>
                <w:kern w:val="0"/>
                <w:sz w:val="22"/>
                <w:szCs w:val="22"/>
              </w:rPr>
            </w:pPr>
            <w:r>
              <w:rPr>
                <w:rFonts w:hint="eastAsia" w:ascii="宋体" w:cs="宋体"/>
                <w:kern w:val="0"/>
                <w:sz w:val="22"/>
                <w:szCs w:val="22"/>
              </w:rPr>
              <w:t>条款名称</w:t>
            </w:r>
          </w:p>
        </w:tc>
        <w:tc>
          <w:tcPr>
            <w:tcW w:w="6832" w:type="dxa"/>
            <w:tcBorders>
              <w:top w:val="single" w:color="auto" w:sz="4" w:space="0"/>
              <w:left w:val="single" w:color="auto" w:sz="4" w:space="0"/>
              <w:bottom w:val="single" w:color="auto" w:sz="4" w:space="0"/>
              <w:right w:val="single" w:color="auto" w:sz="4" w:space="0"/>
            </w:tcBorders>
            <w:vAlign w:val="center"/>
          </w:tcPr>
          <w:p w14:paraId="7B8700A7">
            <w:pPr>
              <w:spacing w:line="300" w:lineRule="exact"/>
              <w:jc w:val="center"/>
              <w:rPr>
                <w:rFonts w:hint="eastAsia" w:ascii="宋体" w:hAnsi="宋体" w:eastAsia="宋体" w:cs="宋体"/>
                <w:kern w:val="0"/>
                <w:sz w:val="22"/>
                <w:szCs w:val="22"/>
              </w:rPr>
            </w:pPr>
            <w:r>
              <w:rPr>
                <w:rFonts w:hint="eastAsia" w:ascii="宋体" w:hAnsi="宋体" w:eastAsia="宋体" w:cs="宋体"/>
                <w:kern w:val="0"/>
                <w:sz w:val="22"/>
                <w:szCs w:val="22"/>
              </w:rPr>
              <w:t>编列内容</w:t>
            </w:r>
          </w:p>
        </w:tc>
      </w:tr>
      <w:tr w14:paraId="3148D982">
        <w:tblPrEx>
          <w:tblCellMar>
            <w:top w:w="0" w:type="dxa"/>
            <w:left w:w="108" w:type="dxa"/>
            <w:bottom w:w="0" w:type="dxa"/>
            <w:right w:w="108" w:type="dxa"/>
          </w:tblCellMar>
        </w:tblPrEx>
        <w:trPr>
          <w:trHeight w:val="925"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392FC0CB">
            <w:pPr>
              <w:spacing w:line="300" w:lineRule="exact"/>
              <w:jc w:val="center"/>
              <w:rPr>
                <w:rFonts w:ascii="宋体" w:cs="宋体"/>
                <w:kern w:val="0"/>
                <w:sz w:val="22"/>
                <w:szCs w:val="22"/>
              </w:rPr>
            </w:pPr>
            <w:r>
              <w:rPr>
                <w:rFonts w:hint="eastAsia" w:ascii="宋体" w:cs="宋体"/>
                <w:kern w:val="0"/>
                <w:sz w:val="22"/>
                <w:szCs w:val="22"/>
              </w:rPr>
              <w:t>1</w:t>
            </w:r>
          </w:p>
        </w:tc>
        <w:tc>
          <w:tcPr>
            <w:tcW w:w="1687" w:type="dxa"/>
            <w:tcBorders>
              <w:top w:val="single" w:color="auto" w:sz="4" w:space="0"/>
              <w:left w:val="single" w:color="auto" w:sz="4" w:space="0"/>
              <w:bottom w:val="single" w:color="auto" w:sz="4" w:space="0"/>
              <w:right w:val="single" w:color="auto" w:sz="4" w:space="0"/>
            </w:tcBorders>
            <w:vAlign w:val="center"/>
          </w:tcPr>
          <w:p w14:paraId="53C2B442">
            <w:pPr>
              <w:spacing w:line="300" w:lineRule="exact"/>
              <w:jc w:val="left"/>
              <w:rPr>
                <w:rFonts w:ascii="宋体" w:cs="宋体"/>
                <w:kern w:val="0"/>
                <w:sz w:val="22"/>
                <w:szCs w:val="22"/>
              </w:rPr>
            </w:pPr>
            <w:r>
              <w:rPr>
                <w:rFonts w:hint="eastAsia" w:ascii="宋体" w:cs="宋体"/>
                <w:kern w:val="0"/>
                <w:sz w:val="22"/>
                <w:szCs w:val="22"/>
              </w:rPr>
              <w:t>采购人</w:t>
            </w:r>
          </w:p>
        </w:tc>
        <w:tc>
          <w:tcPr>
            <w:tcW w:w="6832" w:type="dxa"/>
            <w:tcBorders>
              <w:top w:val="single" w:color="auto" w:sz="4" w:space="0"/>
              <w:left w:val="single" w:color="auto" w:sz="4" w:space="0"/>
              <w:bottom w:val="single" w:color="auto" w:sz="4" w:space="0"/>
              <w:right w:val="single" w:color="auto" w:sz="4" w:space="0"/>
            </w:tcBorders>
            <w:vAlign w:val="center"/>
          </w:tcPr>
          <w:p w14:paraId="46295ED0">
            <w:pPr>
              <w:widowControl/>
              <w:spacing w:before="67" w:after="67" w:line="240" w:lineRule="auto"/>
              <w:jc w:val="both"/>
              <w:rPr>
                <w:rFonts w:hint="eastAsia" w:ascii="宋体" w:hAnsi="宋体" w:eastAsia="宋体" w:cs="宋体"/>
                <w:color w:val="auto"/>
                <w:kern w:val="0"/>
                <w:sz w:val="22"/>
                <w:szCs w:val="22"/>
                <w:highlight w:val="none"/>
                <w:shd w:val="clear" w:color="auto" w:fill="FFFFFF"/>
                <w:lang w:eastAsia="zh-CN"/>
              </w:rPr>
            </w:pPr>
            <w:r>
              <w:rPr>
                <w:rFonts w:hint="eastAsia" w:ascii="宋体" w:hAnsi="宋体" w:eastAsia="宋体" w:cs="宋体"/>
                <w:color w:val="auto"/>
                <w:kern w:val="0"/>
                <w:sz w:val="22"/>
                <w:szCs w:val="22"/>
                <w:highlight w:val="none"/>
                <w:shd w:val="clear" w:color="auto" w:fill="FFFFFF"/>
                <w:lang w:eastAsia="zh-CN"/>
              </w:rPr>
              <w:t>采 购 人：温州市公用事业发展集团有限公司</w:t>
            </w:r>
          </w:p>
          <w:p w14:paraId="7D5BB43D">
            <w:pPr>
              <w:widowControl/>
              <w:spacing w:before="67" w:after="67" w:line="240" w:lineRule="auto"/>
              <w:jc w:val="both"/>
              <w:rPr>
                <w:rFonts w:hint="eastAsia" w:ascii="宋体" w:hAnsi="宋体" w:eastAsia="宋体" w:cs="宋体"/>
                <w:color w:val="auto"/>
                <w:kern w:val="0"/>
                <w:sz w:val="22"/>
                <w:szCs w:val="22"/>
                <w:highlight w:val="none"/>
                <w:shd w:val="clear" w:color="auto" w:fill="FFFFFF"/>
                <w:lang w:eastAsia="zh-CN"/>
              </w:rPr>
            </w:pPr>
            <w:r>
              <w:rPr>
                <w:rFonts w:hint="eastAsia" w:ascii="宋体" w:hAnsi="宋体" w:eastAsia="宋体" w:cs="宋体"/>
                <w:color w:val="auto"/>
                <w:kern w:val="0"/>
                <w:sz w:val="22"/>
                <w:szCs w:val="22"/>
                <w:highlight w:val="none"/>
                <w:shd w:val="clear" w:color="auto" w:fill="FFFFFF"/>
                <w:lang w:eastAsia="zh-CN"/>
              </w:rPr>
              <w:t>地    址：浙江省温州市鹿城区车站大道623号</w:t>
            </w:r>
          </w:p>
          <w:p w14:paraId="4FA7C5E0">
            <w:pPr>
              <w:widowControl/>
              <w:spacing w:before="67" w:after="67" w:line="240" w:lineRule="auto"/>
              <w:jc w:val="both"/>
              <w:rPr>
                <w:rFonts w:hint="eastAsia" w:ascii="宋体" w:hAnsi="宋体" w:eastAsia="宋体" w:cs="宋体"/>
                <w:kern w:val="0"/>
                <w:sz w:val="22"/>
                <w:szCs w:val="22"/>
              </w:rPr>
            </w:pPr>
            <w:r>
              <w:rPr>
                <w:rFonts w:hint="eastAsia" w:ascii="宋体" w:hAnsi="宋体" w:eastAsia="宋体" w:cs="宋体"/>
                <w:color w:val="auto"/>
                <w:kern w:val="0"/>
                <w:sz w:val="22"/>
                <w:szCs w:val="22"/>
                <w:highlight w:val="none"/>
                <w:shd w:val="clear" w:color="auto" w:fill="FFFFFF"/>
                <w:lang w:eastAsia="zh-CN"/>
              </w:rPr>
              <w:t>联 系 人：</w:t>
            </w:r>
            <w:r>
              <w:rPr>
                <w:rFonts w:hint="eastAsia" w:ascii="宋体" w:hAnsi="宋体" w:eastAsia="宋体" w:cs="宋体"/>
                <w:color w:val="auto"/>
                <w:kern w:val="0"/>
                <w:sz w:val="22"/>
                <w:szCs w:val="22"/>
                <w:highlight w:val="none"/>
                <w:shd w:val="clear" w:color="auto" w:fill="FFFFFF"/>
                <w:lang w:val="en-US" w:eastAsia="zh-CN"/>
              </w:rPr>
              <w:t xml:space="preserve">叶先生 </w:t>
            </w:r>
            <w:r>
              <w:rPr>
                <w:rFonts w:hint="eastAsia" w:ascii="宋体" w:hAnsi="宋体" w:eastAsia="宋体" w:cs="宋体"/>
                <w:color w:val="auto"/>
                <w:kern w:val="0"/>
                <w:sz w:val="22"/>
                <w:szCs w:val="22"/>
                <w:highlight w:val="none"/>
                <w:shd w:val="clear" w:color="auto" w:fill="FFFFFF"/>
                <w:lang w:eastAsia="zh-CN"/>
              </w:rPr>
              <w:t>联系方式：</w:t>
            </w:r>
            <w:r>
              <w:rPr>
                <w:rFonts w:hint="eastAsia" w:ascii="宋体" w:hAnsi="宋体" w:eastAsia="宋体" w:cs="宋体"/>
                <w:color w:val="auto"/>
                <w:kern w:val="0"/>
                <w:sz w:val="22"/>
                <w:szCs w:val="22"/>
                <w:highlight w:val="none"/>
                <w:shd w:val="clear" w:color="auto" w:fill="FFFFFF"/>
                <w:lang w:val="en-US" w:eastAsia="zh-CN"/>
              </w:rPr>
              <w:t>15067800213</w:t>
            </w:r>
          </w:p>
        </w:tc>
      </w:tr>
      <w:tr w14:paraId="312095DA">
        <w:tblPrEx>
          <w:tblCellMar>
            <w:top w:w="0" w:type="dxa"/>
            <w:left w:w="108" w:type="dxa"/>
            <w:bottom w:w="0" w:type="dxa"/>
            <w:right w:w="108" w:type="dxa"/>
          </w:tblCellMar>
        </w:tblPrEx>
        <w:trPr>
          <w:trHeight w:val="123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75580855">
            <w:pPr>
              <w:spacing w:line="300" w:lineRule="exact"/>
              <w:jc w:val="center"/>
              <w:rPr>
                <w:rFonts w:ascii="宋体" w:cs="宋体"/>
                <w:kern w:val="0"/>
                <w:sz w:val="22"/>
                <w:szCs w:val="22"/>
              </w:rPr>
            </w:pPr>
            <w:r>
              <w:rPr>
                <w:rFonts w:hint="eastAsia" w:ascii="宋体" w:cs="宋体"/>
                <w:kern w:val="0"/>
                <w:sz w:val="22"/>
                <w:szCs w:val="22"/>
              </w:rPr>
              <w:t>2</w:t>
            </w:r>
          </w:p>
        </w:tc>
        <w:tc>
          <w:tcPr>
            <w:tcW w:w="1687" w:type="dxa"/>
            <w:tcBorders>
              <w:top w:val="single" w:color="auto" w:sz="4" w:space="0"/>
              <w:left w:val="single" w:color="auto" w:sz="4" w:space="0"/>
              <w:bottom w:val="single" w:color="auto" w:sz="4" w:space="0"/>
              <w:right w:val="single" w:color="auto" w:sz="4" w:space="0"/>
            </w:tcBorders>
            <w:vAlign w:val="center"/>
          </w:tcPr>
          <w:p w14:paraId="3218B94E">
            <w:pPr>
              <w:spacing w:line="300" w:lineRule="exact"/>
              <w:jc w:val="left"/>
              <w:rPr>
                <w:rFonts w:ascii="宋体" w:cs="宋体"/>
                <w:kern w:val="0"/>
                <w:sz w:val="22"/>
                <w:szCs w:val="22"/>
              </w:rPr>
            </w:pPr>
            <w:r>
              <w:rPr>
                <w:rFonts w:hint="eastAsia" w:ascii="宋体" w:cs="宋体"/>
                <w:kern w:val="0"/>
                <w:sz w:val="22"/>
                <w:szCs w:val="22"/>
              </w:rPr>
              <w:t>采购代理机构</w:t>
            </w:r>
          </w:p>
        </w:tc>
        <w:tc>
          <w:tcPr>
            <w:tcW w:w="6832" w:type="dxa"/>
            <w:tcBorders>
              <w:top w:val="single" w:color="auto" w:sz="4" w:space="0"/>
              <w:left w:val="single" w:color="auto" w:sz="4" w:space="0"/>
              <w:bottom w:val="single" w:color="auto" w:sz="4" w:space="0"/>
              <w:right w:val="single" w:color="auto" w:sz="4" w:space="0"/>
            </w:tcBorders>
            <w:vAlign w:val="center"/>
          </w:tcPr>
          <w:p w14:paraId="22F01A94">
            <w:pPr>
              <w:widowControl/>
              <w:spacing w:before="67" w:after="67" w:line="240" w:lineRule="auto"/>
              <w:jc w:val="both"/>
              <w:rPr>
                <w:rFonts w:hint="eastAsia" w:ascii="宋体" w:hAnsi="宋体" w:eastAsia="宋体" w:cs="宋体"/>
                <w:color w:val="auto"/>
                <w:kern w:val="0"/>
                <w:sz w:val="22"/>
                <w:szCs w:val="22"/>
                <w:highlight w:val="none"/>
                <w:shd w:val="clear" w:color="auto" w:fill="FFFFFF"/>
                <w:lang w:eastAsia="zh-CN"/>
              </w:rPr>
            </w:pPr>
            <w:r>
              <w:rPr>
                <w:rFonts w:hint="eastAsia" w:ascii="宋体" w:hAnsi="宋体" w:eastAsia="宋体" w:cs="宋体"/>
                <w:color w:val="auto"/>
                <w:kern w:val="0"/>
                <w:sz w:val="22"/>
                <w:szCs w:val="22"/>
                <w:highlight w:val="none"/>
                <w:shd w:val="clear" w:color="auto" w:fill="FFFFFF"/>
                <w:lang w:eastAsia="zh-CN"/>
              </w:rPr>
              <w:t>采购代理机构：温州建设集团建筑设计院有限公司</w:t>
            </w:r>
          </w:p>
          <w:p w14:paraId="30A335CE">
            <w:pPr>
              <w:widowControl/>
              <w:spacing w:before="67" w:after="67" w:line="240" w:lineRule="auto"/>
              <w:jc w:val="both"/>
              <w:rPr>
                <w:rFonts w:hint="eastAsia" w:ascii="宋体" w:hAnsi="宋体" w:eastAsia="宋体" w:cs="宋体"/>
                <w:color w:val="auto"/>
                <w:kern w:val="0"/>
                <w:sz w:val="22"/>
                <w:szCs w:val="22"/>
                <w:highlight w:val="none"/>
                <w:shd w:val="clear" w:color="auto" w:fill="FFFFFF"/>
                <w:lang w:eastAsia="zh-CN"/>
              </w:rPr>
            </w:pPr>
            <w:r>
              <w:rPr>
                <w:rFonts w:hint="eastAsia" w:ascii="宋体" w:hAnsi="宋体" w:eastAsia="宋体" w:cs="宋体"/>
                <w:color w:val="auto"/>
                <w:kern w:val="0"/>
                <w:sz w:val="22"/>
                <w:szCs w:val="22"/>
                <w:highlight w:val="none"/>
                <w:shd w:val="clear" w:color="auto" w:fill="FFFFFF"/>
                <w:lang w:eastAsia="zh-CN"/>
              </w:rPr>
              <w:t>地址：温州市鹿城区鹿城路619号建设商务大厦18楼</w:t>
            </w:r>
          </w:p>
          <w:p w14:paraId="6E8693E8">
            <w:pPr>
              <w:widowControl/>
              <w:spacing w:before="67" w:after="67" w:line="240" w:lineRule="auto"/>
              <w:jc w:val="both"/>
              <w:rPr>
                <w:rFonts w:hint="eastAsia" w:ascii="宋体" w:hAnsi="宋体" w:eastAsia="宋体" w:cs="宋体"/>
                <w:color w:val="auto"/>
                <w:kern w:val="0"/>
                <w:sz w:val="22"/>
                <w:szCs w:val="22"/>
                <w:highlight w:val="none"/>
                <w:shd w:val="clear" w:color="auto" w:fill="FFFFFF"/>
                <w:lang w:val="en-US" w:eastAsia="zh-CN"/>
              </w:rPr>
            </w:pPr>
            <w:r>
              <w:rPr>
                <w:rFonts w:hint="eastAsia" w:ascii="宋体" w:hAnsi="宋体" w:eastAsia="宋体" w:cs="宋体"/>
                <w:color w:val="auto"/>
                <w:kern w:val="0"/>
                <w:sz w:val="22"/>
                <w:szCs w:val="22"/>
                <w:highlight w:val="none"/>
                <w:shd w:val="clear" w:color="auto" w:fill="FFFFFF"/>
                <w:lang w:eastAsia="zh-CN"/>
              </w:rPr>
              <w:t>电话：</w:t>
            </w:r>
            <w:r>
              <w:rPr>
                <w:rFonts w:hint="eastAsia" w:ascii="宋体" w:hAnsi="宋体" w:eastAsia="宋体" w:cs="宋体"/>
                <w:color w:val="auto"/>
                <w:kern w:val="0"/>
                <w:sz w:val="22"/>
                <w:szCs w:val="22"/>
                <w:highlight w:val="none"/>
                <w:shd w:val="clear" w:color="auto" w:fill="FFFFFF"/>
                <w:lang w:val="en-US" w:eastAsia="zh-CN"/>
              </w:rPr>
              <w:t>13777706037</w:t>
            </w:r>
          </w:p>
          <w:p w14:paraId="35842AF5">
            <w:pPr>
              <w:widowControl/>
              <w:spacing w:before="67" w:after="67" w:line="240" w:lineRule="auto"/>
              <w:jc w:val="both"/>
              <w:rPr>
                <w:rFonts w:hint="eastAsia" w:ascii="宋体" w:hAnsi="宋体" w:eastAsia="宋体" w:cs="宋体"/>
                <w:kern w:val="0"/>
                <w:sz w:val="22"/>
                <w:szCs w:val="22"/>
                <w:lang w:eastAsia="zh-CN"/>
              </w:rPr>
            </w:pPr>
            <w:r>
              <w:rPr>
                <w:rFonts w:hint="eastAsia" w:ascii="宋体" w:hAnsi="宋体" w:eastAsia="宋体" w:cs="宋体"/>
                <w:color w:val="auto"/>
                <w:kern w:val="0"/>
                <w:sz w:val="22"/>
                <w:szCs w:val="22"/>
                <w:highlight w:val="none"/>
                <w:shd w:val="clear" w:color="auto" w:fill="FFFFFF"/>
                <w:lang w:eastAsia="zh-CN"/>
              </w:rPr>
              <w:t>联系人：叶女士</w:t>
            </w:r>
          </w:p>
        </w:tc>
      </w:tr>
      <w:tr w14:paraId="132DA6EA">
        <w:tblPrEx>
          <w:tblCellMar>
            <w:top w:w="0" w:type="dxa"/>
            <w:left w:w="108" w:type="dxa"/>
            <w:bottom w:w="0" w:type="dxa"/>
            <w:right w:w="108" w:type="dxa"/>
          </w:tblCellMar>
        </w:tblPrEx>
        <w:trPr>
          <w:trHeight w:val="75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2C678EC0">
            <w:pPr>
              <w:spacing w:line="300" w:lineRule="exact"/>
              <w:jc w:val="center"/>
              <w:rPr>
                <w:rFonts w:ascii="宋体" w:cs="宋体"/>
                <w:kern w:val="0"/>
                <w:sz w:val="22"/>
                <w:szCs w:val="22"/>
              </w:rPr>
            </w:pPr>
            <w:r>
              <w:rPr>
                <w:rFonts w:hint="eastAsia" w:ascii="宋体" w:cs="宋体"/>
                <w:kern w:val="0"/>
                <w:sz w:val="22"/>
                <w:szCs w:val="22"/>
              </w:rPr>
              <w:t>3</w:t>
            </w:r>
          </w:p>
        </w:tc>
        <w:tc>
          <w:tcPr>
            <w:tcW w:w="1687" w:type="dxa"/>
            <w:tcBorders>
              <w:top w:val="single" w:color="auto" w:sz="4" w:space="0"/>
              <w:left w:val="single" w:color="auto" w:sz="4" w:space="0"/>
              <w:bottom w:val="single" w:color="auto" w:sz="4" w:space="0"/>
              <w:right w:val="single" w:color="auto" w:sz="4" w:space="0"/>
            </w:tcBorders>
            <w:vAlign w:val="center"/>
          </w:tcPr>
          <w:p w14:paraId="20AC8D9B">
            <w:pPr>
              <w:spacing w:line="300" w:lineRule="exact"/>
              <w:jc w:val="left"/>
              <w:rPr>
                <w:rFonts w:ascii="宋体" w:cs="宋体"/>
                <w:kern w:val="0"/>
                <w:sz w:val="22"/>
                <w:szCs w:val="22"/>
              </w:rPr>
            </w:pPr>
            <w:r>
              <w:rPr>
                <w:rFonts w:hint="eastAsia" w:ascii="宋体" w:cs="宋体"/>
                <w:kern w:val="0"/>
                <w:sz w:val="22"/>
                <w:szCs w:val="22"/>
              </w:rPr>
              <w:t>项目名称</w:t>
            </w:r>
          </w:p>
        </w:tc>
        <w:tc>
          <w:tcPr>
            <w:tcW w:w="6832" w:type="dxa"/>
            <w:tcBorders>
              <w:top w:val="single" w:color="auto" w:sz="4" w:space="0"/>
              <w:left w:val="single" w:color="auto" w:sz="4" w:space="0"/>
              <w:bottom w:val="single" w:color="auto" w:sz="4" w:space="0"/>
              <w:right w:val="single" w:color="auto" w:sz="4" w:space="0"/>
            </w:tcBorders>
            <w:vAlign w:val="center"/>
          </w:tcPr>
          <w:p w14:paraId="2F6529A6">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信创资源池扩容</w:t>
            </w:r>
          </w:p>
          <w:p w14:paraId="36EE82E5">
            <w:pPr>
              <w:spacing w:line="300" w:lineRule="exact"/>
              <w:rPr>
                <w:rFonts w:hint="eastAsia" w:ascii="宋体" w:hAnsi="宋体" w:eastAsia="宋体" w:cs="宋体"/>
                <w:sz w:val="22"/>
                <w:szCs w:val="22"/>
              </w:rPr>
            </w:pPr>
            <w:r>
              <w:rPr>
                <w:rFonts w:hint="eastAsia" w:ascii="宋体" w:hAnsi="宋体" w:eastAsia="宋体" w:cs="宋体"/>
                <w:kern w:val="0"/>
                <w:sz w:val="22"/>
                <w:szCs w:val="22"/>
              </w:rPr>
              <w:t>项目编号：</w:t>
            </w:r>
            <w:r>
              <w:rPr>
                <w:rFonts w:hint="eastAsia" w:ascii="宋体" w:hAnsi="宋体" w:eastAsia="宋体" w:cs="宋体"/>
                <w:b w:val="0"/>
                <w:sz w:val="22"/>
                <w:szCs w:val="22"/>
              </w:rPr>
              <w:t>WGSS-GYJT-Z-2025003</w:t>
            </w:r>
          </w:p>
        </w:tc>
      </w:tr>
      <w:tr w14:paraId="4EF5E0C6">
        <w:tblPrEx>
          <w:tblCellMar>
            <w:top w:w="0" w:type="dxa"/>
            <w:left w:w="108" w:type="dxa"/>
            <w:bottom w:w="0" w:type="dxa"/>
            <w:right w:w="108" w:type="dxa"/>
          </w:tblCellMar>
        </w:tblPrEx>
        <w:trPr>
          <w:trHeight w:val="9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5558DF44">
            <w:pPr>
              <w:spacing w:line="300" w:lineRule="exact"/>
              <w:jc w:val="center"/>
              <w:rPr>
                <w:rFonts w:ascii="宋体" w:cs="宋体"/>
                <w:kern w:val="0"/>
                <w:sz w:val="22"/>
                <w:szCs w:val="22"/>
              </w:rPr>
            </w:pPr>
            <w:r>
              <w:rPr>
                <w:rFonts w:hint="eastAsia" w:ascii="宋体" w:cs="宋体"/>
                <w:kern w:val="0"/>
                <w:sz w:val="22"/>
                <w:szCs w:val="22"/>
              </w:rPr>
              <w:t>4</w:t>
            </w:r>
          </w:p>
        </w:tc>
        <w:tc>
          <w:tcPr>
            <w:tcW w:w="1687" w:type="dxa"/>
            <w:tcBorders>
              <w:top w:val="single" w:color="auto" w:sz="4" w:space="0"/>
              <w:left w:val="single" w:color="auto" w:sz="4" w:space="0"/>
              <w:bottom w:val="single" w:color="auto" w:sz="4" w:space="0"/>
              <w:right w:val="single" w:color="auto" w:sz="4" w:space="0"/>
            </w:tcBorders>
            <w:vAlign w:val="center"/>
          </w:tcPr>
          <w:p w14:paraId="2319AA87">
            <w:pPr>
              <w:spacing w:line="300" w:lineRule="exact"/>
              <w:jc w:val="left"/>
              <w:rPr>
                <w:rFonts w:ascii="宋体" w:cs="宋体"/>
                <w:kern w:val="0"/>
                <w:sz w:val="22"/>
                <w:szCs w:val="22"/>
              </w:rPr>
            </w:pPr>
            <w:r>
              <w:rPr>
                <w:rFonts w:hint="eastAsia" w:ascii="宋体" w:cs="宋体"/>
                <w:kern w:val="0"/>
                <w:sz w:val="22"/>
                <w:szCs w:val="22"/>
              </w:rPr>
              <w:t>采购内容</w:t>
            </w:r>
          </w:p>
        </w:tc>
        <w:tc>
          <w:tcPr>
            <w:tcW w:w="6832" w:type="dxa"/>
            <w:tcBorders>
              <w:top w:val="single" w:color="auto" w:sz="4" w:space="0"/>
              <w:left w:val="single" w:color="auto" w:sz="4" w:space="0"/>
              <w:bottom w:val="single" w:color="auto" w:sz="4" w:space="0"/>
              <w:right w:val="single" w:color="auto" w:sz="4" w:space="0"/>
            </w:tcBorders>
            <w:vAlign w:val="center"/>
          </w:tcPr>
          <w:p w14:paraId="38DA37C7">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信创资源池扩容，具体采购内容及要求见采购文件相关部分。</w:t>
            </w:r>
          </w:p>
          <w:p w14:paraId="69BF4DF9">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本项目采购预算：人民币180万元整</w:t>
            </w:r>
            <w:r>
              <w:rPr>
                <w:rFonts w:hint="eastAsia" w:ascii="宋体" w:hAnsi="宋体" w:eastAsia="宋体" w:cs="宋体"/>
                <w:bCs/>
                <w:kern w:val="0"/>
                <w:sz w:val="22"/>
                <w:szCs w:val="22"/>
              </w:rPr>
              <w:t>。</w:t>
            </w:r>
          </w:p>
        </w:tc>
      </w:tr>
      <w:tr w14:paraId="58C2FDE8">
        <w:tblPrEx>
          <w:tblCellMar>
            <w:top w:w="0" w:type="dxa"/>
            <w:left w:w="108" w:type="dxa"/>
            <w:bottom w:w="0" w:type="dxa"/>
            <w:right w:w="108" w:type="dxa"/>
          </w:tblCellMar>
        </w:tblPrEx>
        <w:trPr>
          <w:trHeight w:val="9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43508CDA">
            <w:pPr>
              <w:spacing w:line="300" w:lineRule="exact"/>
              <w:jc w:val="center"/>
              <w:rPr>
                <w:rFonts w:ascii="宋体" w:cs="宋体"/>
                <w:kern w:val="0"/>
                <w:sz w:val="22"/>
                <w:szCs w:val="22"/>
              </w:rPr>
            </w:pPr>
            <w:r>
              <w:rPr>
                <w:rFonts w:hint="eastAsia" w:ascii="宋体" w:cs="宋体"/>
                <w:kern w:val="0"/>
                <w:sz w:val="22"/>
                <w:szCs w:val="22"/>
              </w:rPr>
              <w:t>5</w:t>
            </w:r>
          </w:p>
        </w:tc>
        <w:tc>
          <w:tcPr>
            <w:tcW w:w="1687" w:type="dxa"/>
            <w:tcBorders>
              <w:top w:val="single" w:color="auto" w:sz="4" w:space="0"/>
              <w:left w:val="single" w:color="auto" w:sz="4" w:space="0"/>
              <w:bottom w:val="single" w:color="auto" w:sz="4" w:space="0"/>
              <w:right w:val="single" w:color="auto" w:sz="4" w:space="0"/>
            </w:tcBorders>
            <w:vAlign w:val="center"/>
          </w:tcPr>
          <w:p w14:paraId="5702D0C3">
            <w:pPr>
              <w:spacing w:line="300" w:lineRule="exact"/>
              <w:jc w:val="left"/>
              <w:rPr>
                <w:rFonts w:ascii="宋体" w:cs="宋体"/>
                <w:kern w:val="0"/>
                <w:sz w:val="22"/>
                <w:szCs w:val="22"/>
              </w:rPr>
            </w:pPr>
            <w:r>
              <w:rPr>
                <w:rFonts w:hint="eastAsia" w:ascii="宋体" w:cs="宋体"/>
                <w:kern w:val="0"/>
                <w:sz w:val="22"/>
                <w:szCs w:val="22"/>
                <w:u w:val="single"/>
              </w:rPr>
              <w:t>▲投标供应商资格要求</w:t>
            </w:r>
          </w:p>
        </w:tc>
        <w:tc>
          <w:tcPr>
            <w:tcW w:w="6832" w:type="dxa"/>
            <w:tcBorders>
              <w:top w:val="single" w:color="auto" w:sz="4" w:space="0"/>
              <w:left w:val="single" w:color="auto" w:sz="4" w:space="0"/>
              <w:bottom w:val="single" w:color="auto" w:sz="4" w:space="0"/>
              <w:right w:val="single" w:color="auto" w:sz="4" w:space="0"/>
            </w:tcBorders>
            <w:vAlign w:val="center"/>
          </w:tcPr>
          <w:p w14:paraId="7487C946">
            <w:pPr>
              <w:spacing w:line="300" w:lineRule="exact"/>
              <w:rPr>
                <w:rFonts w:hint="eastAsia" w:ascii="宋体" w:hAnsi="宋体" w:eastAsia="宋体" w:cs="宋体"/>
                <w:spacing w:val="6"/>
                <w:sz w:val="22"/>
                <w:szCs w:val="22"/>
              </w:rPr>
            </w:pPr>
            <w:r>
              <w:rPr>
                <w:rFonts w:hint="eastAsia" w:ascii="宋体" w:hAnsi="宋体" w:eastAsia="宋体" w:cs="宋体"/>
                <w:spacing w:val="6"/>
                <w:sz w:val="22"/>
                <w:szCs w:val="22"/>
              </w:rPr>
              <w:t>见采购公告</w:t>
            </w:r>
          </w:p>
        </w:tc>
      </w:tr>
      <w:tr w14:paraId="6752AB99">
        <w:tblPrEx>
          <w:tblCellMar>
            <w:top w:w="0" w:type="dxa"/>
            <w:left w:w="108" w:type="dxa"/>
            <w:bottom w:w="0" w:type="dxa"/>
            <w:right w:w="108" w:type="dxa"/>
          </w:tblCellMar>
        </w:tblPrEx>
        <w:trPr>
          <w:trHeight w:val="735"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25943717">
            <w:pPr>
              <w:spacing w:line="300" w:lineRule="exact"/>
              <w:jc w:val="center"/>
              <w:rPr>
                <w:rFonts w:ascii="宋体" w:cs="宋体"/>
                <w:kern w:val="0"/>
                <w:sz w:val="22"/>
                <w:szCs w:val="22"/>
              </w:rPr>
            </w:pPr>
            <w:r>
              <w:rPr>
                <w:rFonts w:hint="eastAsia" w:ascii="宋体" w:cs="宋体"/>
                <w:kern w:val="0"/>
                <w:sz w:val="22"/>
                <w:szCs w:val="22"/>
              </w:rPr>
              <w:t>6</w:t>
            </w:r>
          </w:p>
        </w:tc>
        <w:tc>
          <w:tcPr>
            <w:tcW w:w="1687" w:type="dxa"/>
            <w:tcBorders>
              <w:top w:val="single" w:color="auto" w:sz="4" w:space="0"/>
              <w:left w:val="single" w:color="auto" w:sz="4" w:space="0"/>
              <w:bottom w:val="single" w:color="auto" w:sz="4" w:space="0"/>
              <w:right w:val="single" w:color="auto" w:sz="4" w:space="0"/>
            </w:tcBorders>
            <w:vAlign w:val="center"/>
          </w:tcPr>
          <w:p w14:paraId="57619798">
            <w:pPr>
              <w:spacing w:line="300" w:lineRule="exact"/>
              <w:jc w:val="left"/>
              <w:rPr>
                <w:rFonts w:ascii="宋体" w:cs="宋体"/>
                <w:kern w:val="0"/>
                <w:sz w:val="22"/>
                <w:szCs w:val="22"/>
              </w:rPr>
            </w:pPr>
            <w:r>
              <w:rPr>
                <w:rFonts w:hint="eastAsia" w:ascii="宋体" w:cs="宋体"/>
                <w:kern w:val="0"/>
                <w:sz w:val="22"/>
                <w:szCs w:val="22"/>
              </w:rPr>
              <w:t>是否接受联合体投标</w:t>
            </w:r>
          </w:p>
        </w:tc>
        <w:tc>
          <w:tcPr>
            <w:tcW w:w="6832" w:type="dxa"/>
            <w:tcBorders>
              <w:top w:val="single" w:color="auto" w:sz="4" w:space="0"/>
              <w:left w:val="single" w:color="auto" w:sz="4" w:space="0"/>
              <w:bottom w:val="single" w:color="auto" w:sz="4" w:space="0"/>
              <w:right w:val="single" w:color="auto" w:sz="4" w:space="0"/>
            </w:tcBorders>
            <w:vAlign w:val="center"/>
          </w:tcPr>
          <w:p w14:paraId="11569E07">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☑不接受</w:t>
            </w:r>
          </w:p>
          <w:p w14:paraId="46B0E0B4">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□接受</w:t>
            </w:r>
          </w:p>
        </w:tc>
      </w:tr>
      <w:tr w14:paraId="53984A76">
        <w:tblPrEx>
          <w:tblCellMar>
            <w:top w:w="0" w:type="dxa"/>
            <w:left w:w="108" w:type="dxa"/>
            <w:bottom w:w="0" w:type="dxa"/>
            <w:right w:w="108" w:type="dxa"/>
          </w:tblCellMar>
        </w:tblPrEx>
        <w:trPr>
          <w:trHeight w:val="735"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12489926">
            <w:pPr>
              <w:spacing w:line="300" w:lineRule="exact"/>
              <w:jc w:val="center"/>
              <w:rPr>
                <w:rFonts w:ascii="宋体" w:cs="宋体"/>
                <w:kern w:val="0"/>
                <w:sz w:val="22"/>
                <w:szCs w:val="22"/>
              </w:rPr>
            </w:pPr>
            <w:r>
              <w:rPr>
                <w:rFonts w:hint="eastAsia" w:ascii="宋体" w:cs="宋体"/>
                <w:kern w:val="0"/>
                <w:sz w:val="22"/>
                <w:szCs w:val="22"/>
              </w:rPr>
              <w:t>7</w:t>
            </w:r>
          </w:p>
        </w:tc>
        <w:tc>
          <w:tcPr>
            <w:tcW w:w="1687" w:type="dxa"/>
            <w:tcBorders>
              <w:top w:val="single" w:color="auto" w:sz="4" w:space="0"/>
              <w:left w:val="single" w:color="auto" w:sz="4" w:space="0"/>
              <w:bottom w:val="single" w:color="auto" w:sz="4" w:space="0"/>
              <w:right w:val="single" w:color="auto" w:sz="4" w:space="0"/>
            </w:tcBorders>
            <w:vAlign w:val="center"/>
          </w:tcPr>
          <w:p w14:paraId="233C609E">
            <w:pPr>
              <w:spacing w:line="300" w:lineRule="exact"/>
              <w:jc w:val="left"/>
              <w:rPr>
                <w:rFonts w:ascii="宋体" w:cs="宋体"/>
                <w:kern w:val="0"/>
                <w:sz w:val="22"/>
                <w:szCs w:val="22"/>
              </w:rPr>
            </w:pPr>
            <w:r>
              <w:rPr>
                <w:rFonts w:hint="eastAsia" w:ascii="宋体" w:cs="宋体"/>
                <w:kern w:val="0"/>
                <w:sz w:val="22"/>
                <w:szCs w:val="22"/>
              </w:rPr>
              <w:t>踏勘现场</w:t>
            </w:r>
          </w:p>
        </w:tc>
        <w:tc>
          <w:tcPr>
            <w:tcW w:w="6832" w:type="dxa"/>
            <w:tcBorders>
              <w:top w:val="single" w:color="auto" w:sz="4" w:space="0"/>
              <w:left w:val="single" w:color="auto" w:sz="4" w:space="0"/>
              <w:bottom w:val="single" w:color="auto" w:sz="4" w:space="0"/>
              <w:right w:val="single" w:color="auto" w:sz="4" w:space="0"/>
            </w:tcBorders>
            <w:vAlign w:val="center"/>
          </w:tcPr>
          <w:p w14:paraId="44DEA4B9">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□组织</w:t>
            </w:r>
          </w:p>
          <w:p w14:paraId="4CDB7806">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☑不组织（投标供应商可自行联系业主前往现场踏勘）</w:t>
            </w:r>
          </w:p>
        </w:tc>
      </w:tr>
      <w:tr w14:paraId="6E7A954A">
        <w:tblPrEx>
          <w:tblCellMar>
            <w:top w:w="0" w:type="dxa"/>
            <w:left w:w="108" w:type="dxa"/>
            <w:bottom w:w="0" w:type="dxa"/>
            <w:right w:w="108" w:type="dxa"/>
          </w:tblCellMar>
        </w:tblPrEx>
        <w:trPr>
          <w:trHeight w:val="662"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65724F5C">
            <w:pPr>
              <w:spacing w:line="300" w:lineRule="exact"/>
              <w:jc w:val="center"/>
              <w:rPr>
                <w:rFonts w:ascii="宋体" w:cs="宋体"/>
                <w:kern w:val="0"/>
                <w:sz w:val="22"/>
                <w:szCs w:val="22"/>
              </w:rPr>
            </w:pPr>
            <w:r>
              <w:rPr>
                <w:rFonts w:hint="eastAsia" w:ascii="宋体" w:cs="宋体"/>
                <w:kern w:val="0"/>
                <w:sz w:val="22"/>
                <w:szCs w:val="22"/>
              </w:rPr>
              <w:t>8</w:t>
            </w:r>
          </w:p>
        </w:tc>
        <w:tc>
          <w:tcPr>
            <w:tcW w:w="1687" w:type="dxa"/>
            <w:tcBorders>
              <w:top w:val="single" w:color="auto" w:sz="4" w:space="0"/>
              <w:left w:val="single" w:color="auto" w:sz="4" w:space="0"/>
              <w:bottom w:val="single" w:color="auto" w:sz="4" w:space="0"/>
              <w:right w:val="single" w:color="auto" w:sz="4" w:space="0"/>
            </w:tcBorders>
            <w:vAlign w:val="center"/>
          </w:tcPr>
          <w:p w14:paraId="78B5552C">
            <w:pPr>
              <w:spacing w:line="300" w:lineRule="exact"/>
              <w:jc w:val="left"/>
              <w:rPr>
                <w:rFonts w:ascii="宋体" w:cs="宋体"/>
                <w:kern w:val="0"/>
                <w:sz w:val="22"/>
                <w:szCs w:val="22"/>
              </w:rPr>
            </w:pPr>
            <w:r>
              <w:rPr>
                <w:rFonts w:hint="eastAsia" w:ascii="宋体" w:cs="宋体"/>
                <w:kern w:val="0"/>
                <w:sz w:val="22"/>
                <w:szCs w:val="22"/>
              </w:rPr>
              <w:t>投标预备会</w:t>
            </w:r>
          </w:p>
        </w:tc>
        <w:tc>
          <w:tcPr>
            <w:tcW w:w="6832" w:type="dxa"/>
            <w:tcBorders>
              <w:top w:val="single" w:color="auto" w:sz="4" w:space="0"/>
              <w:left w:val="single" w:color="auto" w:sz="4" w:space="0"/>
              <w:bottom w:val="single" w:color="auto" w:sz="4" w:space="0"/>
              <w:right w:val="single" w:color="auto" w:sz="4" w:space="0"/>
            </w:tcBorders>
            <w:vAlign w:val="center"/>
          </w:tcPr>
          <w:p w14:paraId="1877F0FA">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□召开</w:t>
            </w:r>
          </w:p>
          <w:p w14:paraId="76A309D7">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☑不召开</w:t>
            </w:r>
          </w:p>
        </w:tc>
      </w:tr>
      <w:tr w14:paraId="2123DFE9">
        <w:tblPrEx>
          <w:tblCellMar>
            <w:top w:w="0" w:type="dxa"/>
            <w:left w:w="108" w:type="dxa"/>
            <w:bottom w:w="0" w:type="dxa"/>
            <w:right w:w="108" w:type="dxa"/>
          </w:tblCellMar>
        </w:tblPrEx>
        <w:trPr>
          <w:trHeight w:val="545"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7BEF28F6">
            <w:pPr>
              <w:spacing w:line="300" w:lineRule="exact"/>
              <w:jc w:val="center"/>
              <w:rPr>
                <w:rFonts w:ascii="宋体" w:cs="宋体"/>
                <w:kern w:val="0"/>
                <w:sz w:val="22"/>
                <w:szCs w:val="22"/>
              </w:rPr>
            </w:pPr>
            <w:r>
              <w:rPr>
                <w:rFonts w:hint="eastAsia" w:ascii="宋体" w:cs="宋体"/>
                <w:kern w:val="0"/>
                <w:sz w:val="22"/>
                <w:szCs w:val="22"/>
              </w:rPr>
              <w:t>9</w:t>
            </w:r>
          </w:p>
        </w:tc>
        <w:tc>
          <w:tcPr>
            <w:tcW w:w="1687" w:type="dxa"/>
            <w:tcBorders>
              <w:top w:val="single" w:color="auto" w:sz="4" w:space="0"/>
              <w:left w:val="single" w:color="auto" w:sz="4" w:space="0"/>
              <w:bottom w:val="single" w:color="auto" w:sz="4" w:space="0"/>
              <w:right w:val="single" w:color="auto" w:sz="4" w:space="0"/>
            </w:tcBorders>
            <w:vAlign w:val="center"/>
          </w:tcPr>
          <w:p w14:paraId="3990F318">
            <w:pPr>
              <w:spacing w:line="300" w:lineRule="exact"/>
              <w:jc w:val="left"/>
              <w:rPr>
                <w:rFonts w:ascii="宋体" w:cs="宋体"/>
                <w:kern w:val="0"/>
                <w:sz w:val="22"/>
                <w:szCs w:val="22"/>
              </w:rPr>
            </w:pPr>
            <w:r>
              <w:rPr>
                <w:rFonts w:hint="eastAsia" w:ascii="宋体" w:cs="宋体"/>
                <w:kern w:val="0"/>
                <w:sz w:val="22"/>
                <w:szCs w:val="22"/>
              </w:rPr>
              <w:t>投标截止时间</w:t>
            </w:r>
          </w:p>
        </w:tc>
        <w:tc>
          <w:tcPr>
            <w:tcW w:w="6832" w:type="dxa"/>
            <w:tcBorders>
              <w:top w:val="single" w:color="auto" w:sz="4" w:space="0"/>
              <w:left w:val="single" w:color="auto" w:sz="4" w:space="0"/>
              <w:bottom w:val="single" w:color="auto" w:sz="4" w:space="0"/>
              <w:right w:val="single" w:color="auto" w:sz="4" w:space="0"/>
            </w:tcBorders>
            <w:vAlign w:val="center"/>
          </w:tcPr>
          <w:p w14:paraId="2F26CC80">
            <w:pPr>
              <w:spacing w:line="300" w:lineRule="exact"/>
              <w:rPr>
                <w:rFonts w:hint="eastAsia" w:ascii="宋体" w:hAnsi="宋体" w:eastAsia="宋体" w:cs="宋体"/>
                <w:kern w:val="0"/>
                <w:sz w:val="22"/>
                <w:szCs w:val="22"/>
              </w:rPr>
            </w:pPr>
            <w:r>
              <w:rPr>
                <w:rFonts w:hint="eastAsia" w:ascii="宋体" w:hAnsi="宋体" w:eastAsia="宋体" w:cs="宋体"/>
                <w:bCs/>
                <w:color w:val="000000" w:themeColor="text1"/>
                <w:sz w:val="22"/>
                <w:szCs w:val="22"/>
                <w:highlight w:val="none"/>
                <w14:textFill>
                  <w14:solidFill>
                    <w14:schemeClr w14:val="tx1"/>
                  </w14:solidFill>
                </w14:textFill>
              </w:rPr>
              <w:t>2025年</w:t>
            </w:r>
            <w:r>
              <w:rPr>
                <w:rFonts w:hint="eastAsia" w:ascii="宋体" w:hAnsi="宋体" w:eastAsia="宋体" w:cs="宋体"/>
                <w:bCs/>
                <w:color w:val="000000" w:themeColor="text1"/>
                <w:sz w:val="22"/>
                <w:szCs w:val="22"/>
                <w:highlight w:val="none"/>
                <w:u w:val="single"/>
                <w14:textFill>
                  <w14:solidFill>
                    <w14:schemeClr w14:val="tx1"/>
                  </w14:solidFill>
                </w14:textFill>
              </w:rPr>
              <w:t xml:space="preserve"> </w:t>
            </w:r>
            <w:r>
              <w:rPr>
                <w:rFonts w:hint="eastAsia" w:ascii="宋体" w:hAnsi="宋体" w:eastAsia="宋体" w:cs="宋体"/>
                <w:bCs/>
                <w:color w:val="000000" w:themeColor="text1"/>
                <w:sz w:val="22"/>
                <w:szCs w:val="22"/>
                <w:highlight w:val="none"/>
                <w:u w:val="single"/>
                <w:lang w:eastAsia="zh-CN"/>
                <w14:textFill>
                  <w14:solidFill>
                    <w14:schemeClr w14:val="tx1"/>
                  </w14:solidFill>
                </w14:textFill>
              </w:rPr>
              <w:t>4</w:t>
            </w:r>
            <w:r>
              <w:rPr>
                <w:rFonts w:hint="eastAsia" w:ascii="宋体" w:hAnsi="宋体" w:eastAsia="宋体" w:cs="宋体"/>
                <w:bCs/>
                <w:color w:val="000000" w:themeColor="text1"/>
                <w:sz w:val="22"/>
                <w:szCs w:val="22"/>
                <w:highlight w:val="none"/>
                <w:u w:val="single"/>
                <w14:textFill>
                  <w14:solidFill>
                    <w14:schemeClr w14:val="tx1"/>
                  </w14:solidFill>
                </w14:textFill>
              </w:rPr>
              <w:t xml:space="preserve"> </w:t>
            </w:r>
            <w:r>
              <w:rPr>
                <w:rFonts w:hint="eastAsia" w:ascii="宋体" w:hAnsi="宋体" w:eastAsia="宋体" w:cs="宋体"/>
                <w:bCs/>
                <w:color w:val="000000" w:themeColor="text1"/>
                <w:sz w:val="22"/>
                <w:szCs w:val="22"/>
                <w:highlight w:val="none"/>
                <w14:textFill>
                  <w14:solidFill>
                    <w14:schemeClr w14:val="tx1"/>
                  </w14:solidFill>
                </w14:textFill>
              </w:rPr>
              <w:t>月</w:t>
            </w:r>
            <w:r>
              <w:rPr>
                <w:rFonts w:hint="eastAsia" w:ascii="宋体" w:hAnsi="宋体" w:eastAsia="宋体" w:cs="宋体"/>
                <w:bCs/>
                <w:color w:val="000000" w:themeColor="text1"/>
                <w:sz w:val="22"/>
                <w:szCs w:val="22"/>
                <w:highlight w:val="none"/>
                <w:u w:val="single"/>
                <w14:textFill>
                  <w14:solidFill>
                    <w14:schemeClr w14:val="tx1"/>
                  </w14:solidFill>
                </w14:textFill>
              </w:rPr>
              <w:t xml:space="preserve"> </w:t>
            </w:r>
            <w:r>
              <w:rPr>
                <w:rFonts w:hint="eastAsia" w:ascii="宋体" w:hAnsi="宋体" w:eastAsia="宋体" w:cs="宋体"/>
                <w:bCs/>
                <w:color w:val="000000" w:themeColor="text1"/>
                <w:sz w:val="22"/>
                <w:szCs w:val="22"/>
                <w:highlight w:val="none"/>
                <w:u w:val="single"/>
                <w:lang w:eastAsia="zh-CN"/>
                <w14:textFill>
                  <w14:solidFill>
                    <w14:schemeClr w14:val="tx1"/>
                  </w14:solidFill>
                </w14:textFill>
              </w:rPr>
              <w:t>8</w:t>
            </w:r>
            <w:r>
              <w:rPr>
                <w:rFonts w:hint="eastAsia" w:ascii="宋体" w:hAnsi="宋体" w:eastAsia="宋体" w:cs="宋体"/>
                <w:bCs/>
                <w:color w:val="000000" w:themeColor="text1"/>
                <w:sz w:val="22"/>
                <w:szCs w:val="22"/>
                <w:highlight w:val="none"/>
                <w:u w:val="single"/>
                <w14:textFill>
                  <w14:solidFill>
                    <w14:schemeClr w14:val="tx1"/>
                  </w14:solidFill>
                </w14:textFill>
              </w:rPr>
              <w:t xml:space="preserve"> </w:t>
            </w:r>
            <w:r>
              <w:rPr>
                <w:rFonts w:hint="eastAsia" w:ascii="宋体" w:hAnsi="宋体" w:eastAsia="宋体" w:cs="宋体"/>
                <w:bCs/>
                <w:color w:val="000000" w:themeColor="text1"/>
                <w:sz w:val="22"/>
                <w:szCs w:val="22"/>
                <w:highlight w:val="none"/>
                <w14:textFill>
                  <w14:solidFill>
                    <w14:schemeClr w14:val="tx1"/>
                  </w14:solidFill>
                </w14:textFill>
              </w:rPr>
              <w:t>日上午09:30整</w:t>
            </w:r>
          </w:p>
        </w:tc>
      </w:tr>
      <w:tr w14:paraId="4D72F173">
        <w:tblPrEx>
          <w:tblCellMar>
            <w:top w:w="0" w:type="dxa"/>
            <w:left w:w="108" w:type="dxa"/>
            <w:bottom w:w="0" w:type="dxa"/>
            <w:right w:w="108" w:type="dxa"/>
          </w:tblCellMar>
        </w:tblPrEx>
        <w:trPr>
          <w:trHeight w:val="735"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440B2CFF">
            <w:pPr>
              <w:spacing w:line="300" w:lineRule="exact"/>
              <w:jc w:val="center"/>
              <w:rPr>
                <w:rFonts w:ascii="宋体" w:cs="宋体"/>
                <w:kern w:val="0"/>
                <w:sz w:val="22"/>
                <w:szCs w:val="22"/>
              </w:rPr>
            </w:pPr>
            <w:r>
              <w:rPr>
                <w:rFonts w:hint="eastAsia" w:ascii="宋体" w:cs="宋体"/>
                <w:kern w:val="0"/>
                <w:sz w:val="22"/>
                <w:szCs w:val="22"/>
              </w:rPr>
              <w:t>10</w:t>
            </w:r>
          </w:p>
        </w:tc>
        <w:tc>
          <w:tcPr>
            <w:tcW w:w="1687" w:type="dxa"/>
            <w:tcBorders>
              <w:top w:val="single" w:color="auto" w:sz="4" w:space="0"/>
              <w:left w:val="single" w:color="auto" w:sz="4" w:space="0"/>
              <w:bottom w:val="single" w:color="auto" w:sz="4" w:space="0"/>
              <w:right w:val="single" w:color="auto" w:sz="4" w:space="0"/>
            </w:tcBorders>
            <w:vAlign w:val="center"/>
          </w:tcPr>
          <w:p w14:paraId="1CF68C78">
            <w:pPr>
              <w:spacing w:line="300" w:lineRule="exact"/>
              <w:jc w:val="left"/>
              <w:rPr>
                <w:rFonts w:ascii="宋体" w:cs="宋体"/>
                <w:kern w:val="0"/>
                <w:sz w:val="22"/>
                <w:szCs w:val="22"/>
              </w:rPr>
            </w:pPr>
            <w:r>
              <w:rPr>
                <w:rFonts w:hint="eastAsia" w:ascii="宋体" w:cs="宋体"/>
                <w:kern w:val="0"/>
                <w:sz w:val="22"/>
                <w:szCs w:val="22"/>
              </w:rPr>
              <w:t>分包</w:t>
            </w:r>
          </w:p>
        </w:tc>
        <w:tc>
          <w:tcPr>
            <w:tcW w:w="6832" w:type="dxa"/>
            <w:tcBorders>
              <w:top w:val="single" w:color="auto" w:sz="4" w:space="0"/>
              <w:left w:val="single" w:color="auto" w:sz="4" w:space="0"/>
              <w:bottom w:val="single" w:color="auto" w:sz="4" w:space="0"/>
              <w:right w:val="single" w:color="auto" w:sz="4" w:space="0"/>
            </w:tcBorders>
            <w:vAlign w:val="center"/>
          </w:tcPr>
          <w:p w14:paraId="6179D8E5">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☑允许</w:t>
            </w:r>
            <w:r>
              <w:rPr>
                <w:rStyle w:val="54"/>
                <w:rFonts w:hint="eastAsia" w:ascii="宋体" w:hAnsi="宋体" w:eastAsia="宋体" w:cs="宋体"/>
                <w:kern w:val="0"/>
                <w:sz w:val="22"/>
                <w:szCs w:val="22"/>
              </w:rPr>
              <w:endnoteReference w:id="0"/>
            </w:r>
          </w:p>
          <w:p w14:paraId="5609E913">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lang w:eastAsia="zh-CN"/>
              </w:rPr>
              <w:t>□</w:t>
            </w:r>
            <w:r>
              <w:rPr>
                <w:rFonts w:hint="eastAsia" w:ascii="宋体" w:hAnsi="宋体" w:eastAsia="宋体" w:cs="宋体"/>
                <w:kern w:val="0"/>
                <w:sz w:val="22"/>
                <w:szCs w:val="22"/>
              </w:rPr>
              <w:t>不允许</w:t>
            </w:r>
          </w:p>
        </w:tc>
      </w:tr>
      <w:tr w14:paraId="04641BB8">
        <w:tblPrEx>
          <w:tblCellMar>
            <w:top w:w="0" w:type="dxa"/>
            <w:left w:w="108" w:type="dxa"/>
            <w:bottom w:w="0" w:type="dxa"/>
            <w:right w:w="108" w:type="dxa"/>
          </w:tblCellMar>
        </w:tblPrEx>
        <w:trPr>
          <w:trHeight w:val="108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77EF12F8">
            <w:pPr>
              <w:spacing w:line="300" w:lineRule="exact"/>
              <w:jc w:val="center"/>
              <w:rPr>
                <w:rFonts w:ascii="宋体" w:cs="宋体"/>
                <w:kern w:val="0"/>
                <w:sz w:val="22"/>
                <w:szCs w:val="22"/>
              </w:rPr>
            </w:pPr>
            <w:r>
              <w:rPr>
                <w:rFonts w:hint="eastAsia" w:ascii="宋体" w:cs="宋体"/>
                <w:kern w:val="0"/>
                <w:sz w:val="22"/>
                <w:szCs w:val="22"/>
              </w:rPr>
              <w:t>11</w:t>
            </w:r>
          </w:p>
        </w:tc>
        <w:tc>
          <w:tcPr>
            <w:tcW w:w="1687" w:type="dxa"/>
            <w:tcBorders>
              <w:top w:val="single" w:color="auto" w:sz="4" w:space="0"/>
              <w:left w:val="single" w:color="auto" w:sz="4" w:space="0"/>
              <w:bottom w:val="single" w:color="auto" w:sz="4" w:space="0"/>
              <w:right w:val="single" w:color="auto" w:sz="4" w:space="0"/>
            </w:tcBorders>
            <w:vAlign w:val="center"/>
          </w:tcPr>
          <w:p w14:paraId="5C875D42">
            <w:pPr>
              <w:spacing w:line="300" w:lineRule="exact"/>
              <w:jc w:val="left"/>
              <w:rPr>
                <w:rFonts w:ascii="宋体" w:cs="宋体"/>
                <w:kern w:val="0"/>
                <w:sz w:val="22"/>
                <w:szCs w:val="22"/>
              </w:rPr>
            </w:pPr>
            <w:r>
              <w:rPr>
                <w:rFonts w:hint="eastAsia" w:ascii="宋体" w:cs="宋体"/>
                <w:kern w:val="0"/>
                <w:sz w:val="22"/>
                <w:szCs w:val="22"/>
              </w:rPr>
              <w:t>偏离</w:t>
            </w:r>
          </w:p>
        </w:tc>
        <w:tc>
          <w:tcPr>
            <w:tcW w:w="6832" w:type="dxa"/>
            <w:tcBorders>
              <w:top w:val="single" w:color="auto" w:sz="4" w:space="0"/>
              <w:left w:val="single" w:color="auto" w:sz="4" w:space="0"/>
              <w:bottom w:val="single" w:color="auto" w:sz="4" w:space="0"/>
              <w:right w:val="single" w:color="auto" w:sz="4" w:space="0"/>
            </w:tcBorders>
            <w:vAlign w:val="center"/>
          </w:tcPr>
          <w:p w14:paraId="11E551AB">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偏差允许幅度及其处理方法：允许细微偏差，不允许重大偏差。由评标委员会判断，细微偏差要求投标供应商在评标结束前予以澄清、说明或补正，不接受要求进行的，评标委员会有权做无效标处理，详见评标办法。</w:t>
            </w:r>
          </w:p>
        </w:tc>
      </w:tr>
      <w:tr w14:paraId="4442C0D2">
        <w:tblPrEx>
          <w:tblCellMar>
            <w:top w:w="0" w:type="dxa"/>
            <w:left w:w="108" w:type="dxa"/>
            <w:bottom w:w="0" w:type="dxa"/>
            <w:right w:w="108" w:type="dxa"/>
          </w:tblCellMar>
        </w:tblPrEx>
        <w:trPr>
          <w:trHeight w:val="500" w:hRule="exact"/>
          <w:jc w:val="center"/>
        </w:trPr>
        <w:tc>
          <w:tcPr>
            <w:tcW w:w="1048" w:type="dxa"/>
            <w:tcBorders>
              <w:top w:val="single" w:color="auto" w:sz="4" w:space="0"/>
              <w:left w:val="single" w:color="auto" w:sz="4" w:space="0"/>
              <w:bottom w:val="single" w:color="auto" w:sz="4" w:space="0"/>
              <w:right w:val="single" w:color="auto" w:sz="4" w:space="0"/>
            </w:tcBorders>
            <w:vAlign w:val="center"/>
          </w:tcPr>
          <w:p w14:paraId="704358B2">
            <w:pPr>
              <w:spacing w:line="300" w:lineRule="exact"/>
              <w:jc w:val="center"/>
              <w:rPr>
                <w:rFonts w:ascii="宋体" w:cs="宋体"/>
                <w:kern w:val="0"/>
                <w:sz w:val="22"/>
                <w:szCs w:val="22"/>
              </w:rPr>
            </w:pPr>
            <w:r>
              <w:rPr>
                <w:rFonts w:hint="eastAsia" w:ascii="宋体" w:cs="宋体"/>
                <w:kern w:val="0"/>
                <w:sz w:val="22"/>
                <w:szCs w:val="22"/>
              </w:rPr>
              <w:t>12</w:t>
            </w:r>
          </w:p>
        </w:tc>
        <w:tc>
          <w:tcPr>
            <w:tcW w:w="1687" w:type="dxa"/>
            <w:tcBorders>
              <w:top w:val="single" w:color="auto" w:sz="4" w:space="0"/>
              <w:left w:val="single" w:color="auto" w:sz="4" w:space="0"/>
              <w:bottom w:val="single" w:color="auto" w:sz="4" w:space="0"/>
              <w:right w:val="single" w:color="auto" w:sz="4" w:space="0"/>
            </w:tcBorders>
            <w:vAlign w:val="center"/>
          </w:tcPr>
          <w:p w14:paraId="114F18BB">
            <w:pPr>
              <w:spacing w:line="300" w:lineRule="exact"/>
              <w:jc w:val="left"/>
              <w:rPr>
                <w:rFonts w:ascii="宋体" w:cs="宋体"/>
                <w:kern w:val="0"/>
                <w:sz w:val="22"/>
                <w:szCs w:val="22"/>
              </w:rPr>
            </w:pPr>
            <w:r>
              <w:rPr>
                <w:rFonts w:hint="eastAsia" w:ascii="宋体" w:cs="宋体"/>
                <w:kern w:val="0"/>
                <w:sz w:val="22"/>
                <w:szCs w:val="22"/>
              </w:rPr>
              <w:t>投标有效期</w:t>
            </w:r>
          </w:p>
        </w:tc>
        <w:tc>
          <w:tcPr>
            <w:tcW w:w="6832" w:type="dxa"/>
            <w:tcBorders>
              <w:top w:val="single" w:color="auto" w:sz="4" w:space="0"/>
              <w:left w:val="single" w:color="auto" w:sz="4" w:space="0"/>
              <w:bottom w:val="single" w:color="auto" w:sz="4" w:space="0"/>
              <w:right w:val="single" w:color="auto" w:sz="4" w:space="0"/>
            </w:tcBorders>
            <w:vAlign w:val="center"/>
          </w:tcPr>
          <w:p w14:paraId="18FF6C0B">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投标文件自投标截止时间起生效，有效期90天。</w:t>
            </w:r>
          </w:p>
        </w:tc>
      </w:tr>
      <w:tr w14:paraId="02870F98">
        <w:tblPrEx>
          <w:tblCellMar>
            <w:top w:w="0" w:type="dxa"/>
            <w:left w:w="108" w:type="dxa"/>
            <w:bottom w:w="0" w:type="dxa"/>
            <w:right w:w="108" w:type="dxa"/>
          </w:tblCellMar>
        </w:tblPrEx>
        <w:trPr>
          <w:trHeight w:val="448"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763A2EC2">
            <w:pPr>
              <w:spacing w:line="300" w:lineRule="exact"/>
              <w:jc w:val="center"/>
              <w:rPr>
                <w:rFonts w:ascii="宋体" w:cs="宋体"/>
                <w:kern w:val="0"/>
                <w:sz w:val="22"/>
                <w:szCs w:val="22"/>
              </w:rPr>
            </w:pPr>
            <w:r>
              <w:rPr>
                <w:rFonts w:hint="eastAsia" w:ascii="宋体" w:cs="宋体"/>
                <w:kern w:val="0"/>
                <w:sz w:val="22"/>
                <w:szCs w:val="22"/>
              </w:rPr>
              <w:t>13</w:t>
            </w:r>
          </w:p>
        </w:tc>
        <w:tc>
          <w:tcPr>
            <w:tcW w:w="1687" w:type="dxa"/>
            <w:tcBorders>
              <w:top w:val="single" w:color="auto" w:sz="4" w:space="0"/>
              <w:left w:val="single" w:color="auto" w:sz="4" w:space="0"/>
              <w:bottom w:val="single" w:color="auto" w:sz="4" w:space="0"/>
              <w:right w:val="single" w:color="auto" w:sz="4" w:space="0"/>
            </w:tcBorders>
            <w:vAlign w:val="center"/>
          </w:tcPr>
          <w:p w14:paraId="68194B1F">
            <w:pPr>
              <w:spacing w:line="300" w:lineRule="exact"/>
              <w:jc w:val="left"/>
              <w:rPr>
                <w:rFonts w:ascii="宋体" w:cs="宋体"/>
                <w:kern w:val="0"/>
                <w:sz w:val="22"/>
                <w:szCs w:val="22"/>
              </w:rPr>
            </w:pPr>
            <w:r>
              <w:rPr>
                <w:rFonts w:hint="eastAsia" w:ascii="宋体" w:cs="宋体"/>
                <w:kern w:val="0"/>
                <w:sz w:val="22"/>
                <w:szCs w:val="22"/>
                <w:u w:val="single"/>
              </w:rPr>
              <w:t>▲投标保证金</w:t>
            </w:r>
          </w:p>
        </w:tc>
        <w:tc>
          <w:tcPr>
            <w:tcW w:w="6832" w:type="dxa"/>
            <w:tcBorders>
              <w:top w:val="single" w:color="auto" w:sz="4" w:space="0"/>
              <w:left w:val="single" w:color="auto" w:sz="4" w:space="0"/>
              <w:bottom w:val="single" w:color="auto" w:sz="4" w:space="0"/>
              <w:right w:val="single" w:color="auto" w:sz="4" w:space="0"/>
            </w:tcBorders>
            <w:vAlign w:val="center"/>
          </w:tcPr>
          <w:p w14:paraId="1AAC79FF">
            <w:pPr>
              <w:spacing w:line="400" w:lineRule="exact"/>
              <w:rPr>
                <w:rFonts w:hint="eastAsia" w:ascii="宋体" w:hAnsi="宋体" w:eastAsia="宋体" w:cs="宋体"/>
                <w:b/>
                <w:bCs/>
                <w:color w:val="auto"/>
                <w:sz w:val="22"/>
                <w:szCs w:val="22"/>
                <w:highlight w:val="none"/>
                <w:u w:val="single"/>
              </w:rPr>
            </w:pPr>
            <w:r>
              <w:rPr>
                <w:rFonts w:hint="eastAsia" w:ascii="宋体" w:hAnsi="宋体" w:eastAsia="宋体" w:cs="宋体"/>
                <w:color w:val="auto"/>
                <w:sz w:val="22"/>
                <w:szCs w:val="22"/>
                <w:highlight w:val="none"/>
              </w:rPr>
              <w:t>1、投标保证金额：</w:t>
            </w:r>
            <w:r>
              <w:rPr>
                <w:rFonts w:hint="eastAsia" w:ascii="宋体" w:hAnsi="宋体" w:eastAsia="宋体" w:cs="宋体"/>
                <w:color w:val="000000" w:themeColor="text1"/>
                <w:sz w:val="22"/>
                <w:szCs w:val="22"/>
                <w:highlight w:val="none"/>
                <w:u w:val="single"/>
                <w14:textFill>
                  <w14:solidFill>
                    <w14:schemeClr w14:val="tx1"/>
                  </w14:solidFill>
                </w14:textFill>
              </w:rPr>
              <w:t>人民币</w:t>
            </w:r>
            <w:r>
              <w:rPr>
                <w:rFonts w:hint="eastAsia" w:ascii="宋体" w:hAnsi="宋体" w:eastAsia="宋体" w:cs="宋体"/>
                <w:color w:val="000000" w:themeColor="text1"/>
                <w:sz w:val="22"/>
                <w:szCs w:val="22"/>
                <w:highlight w:val="none"/>
                <w:u w:val="single"/>
                <w:lang w:val="en-US" w:eastAsia="zh-CN"/>
                <w14:textFill>
                  <w14:solidFill>
                    <w14:schemeClr w14:val="tx1"/>
                  </w14:solidFill>
                </w14:textFill>
              </w:rPr>
              <w:t>叁</w:t>
            </w:r>
            <w:r>
              <w:rPr>
                <w:rFonts w:hint="eastAsia" w:ascii="宋体" w:hAnsi="宋体" w:eastAsia="宋体" w:cs="宋体"/>
                <w:color w:val="000000" w:themeColor="text1"/>
                <w:sz w:val="22"/>
                <w:szCs w:val="22"/>
                <w:highlight w:val="none"/>
                <w:u w:val="single"/>
                <w14:textFill>
                  <w14:solidFill>
                    <w14:schemeClr w14:val="tx1"/>
                  </w14:solidFill>
                </w14:textFill>
              </w:rPr>
              <w:t>万元整（¥</w:t>
            </w:r>
            <w:r>
              <w:rPr>
                <w:rFonts w:hint="eastAsia" w:ascii="宋体" w:hAnsi="宋体" w:eastAsia="宋体" w:cs="宋体"/>
                <w:color w:val="000000" w:themeColor="text1"/>
                <w:sz w:val="22"/>
                <w:szCs w:val="22"/>
                <w:highlight w:val="none"/>
                <w:u w:val="single"/>
                <w:lang w:val="en-US" w:eastAsia="zh-CN"/>
                <w14:textFill>
                  <w14:solidFill>
                    <w14:schemeClr w14:val="tx1"/>
                  </w14:solidFill>
                </w14:textFill>
              </w:rPr>
              <w:t>3</w:t>
            </w:r>
            <w:r>
              <w:rPr>
                <w:rFonts w:hint="eastAsia" w:ascii="宋体" w:hAnsi="宋体" w:eastAsia="宋体" w:cs="宋体"/>
                <w:color w:val="000000" w:themeColor="text1"/>
                <w:sz w:val="22"/>
                <w:szCs w:val="22"/>
                <w:highlight w:val="none"/>
                <w:u w:val="single"/>
                <w14:textFill>
                  <w14:solidFill>
                    <w14:schemeClr w14:val="tx1"/>
                  </w14:solidFill>
                </w14:textFill>
              </w:rPr>
              <w:t>0000元）</w:t>
            </w:r>
            <w:r>
              <w:rPr>
                <w:rFonts w:hint="eastAsia" w:ascii="宋体" w:hAnsi="宋体" w:eastAsia="宋体" w:cs="宋体"/>
                <w:b/>
                <w:bCs/>
                <w:color w:val="auto"/>
                <w:kern w:val="0"/>
                <w:sz w:val="22"/>
                <w:szCs w:val="22"/>
                <w:highlight w:val="none"/>
                <w:u w:val="single"/>
              </w:rPr>
              <w:t>（</w:t>
            </w:r>
            <w:r>
              <w:rPr>
                <w:rFonts w:hint="eastAsia" w:ascii="宋体" w:hAnsi="宋体" w:eastAsia="宋体" w:cs="宋体"/>
                <w:b/>
                <w:bCs/>
                <w:color w:val="auto"/>
                <w:sz w:val="22"/>
                <w:szCs w:val="22"/>
                <w:highlight w:val="none"/>
                <w:u w:val="single"/>
              </w:rPr>
              <w:t>投标供应商须在投标截止时间前将投标保证金以银行转账形式缴纳并到帐，汇出账号须为投标供应商银行账户）。</w:t>
            </w:r>
          </w:p>
          <w:p w14:paraId="29730AC3">
            <w:pPr>
              <w:spacing w:line="440" w:lineRule="exact"/>
              <w:ind w:firstLine="540"/>
              <w:rPr>
                <w:rFonts w:hint="eastAsia" w:ascii="宋体" w:hAnsi="宋体" w:eastAsia="宋体" w:cs="宋体"/>
                <w:color w:val="auto"/>
                <w:sz w:val="22"/>
                <w:szCs w:val="22"/>
                <w:highlight w:val="none"/>
                <w:shd w:val="clear" w:color="auto" w:fill="FFFFFF"/>
                <w:lang w:val="zh-CN"/>
              </w:rPr>
            </w:pPr>
            <w:r>
              <w:rPr>
                <w:rFonts w:hint="eastAsia" w:ascii="宋体" w:hAnsi="宋体" w:eastAsia="宋体" w:cs="宋体"/>
                <w:color w:val="auto"/>
                <w:sz w:val="22"/>
                <w:szCs w:val="22"/>
                <w:highlight w:val="none"/>
                <w:shd w:val="clear" w:color="auto" w:fill="FFFFFF"/>
                <w:lang w:val="zh-CN"/>
              </w:rPr>
              <w:t>开户银行及账号如下：</w:t>
            </w:r>
          </w:p>
          <w:p w14:paraId="61CE83D0">
            <w:pPr>
              <w:spacing w:line="40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户名：</w:t>
            </w:r>
            <w:r>
              <w:rPr>
                <w:rFonts w:hint="eastAsia" w:ascii="宋体" w:hAnsi="宋体" w:eastAsia="宋体" w:cs="宋体"/>
                <w:color w:val="auto"/>
                <w:sz w:val="22"/>
                <w:szCs w:val="22"/>
                <w:highlight w:val="none"/>
                <w:lang w:eastAsia="zh-CN"/>
              </w:rPr>
              <w:t>温州建设集团建筑设计院有限公司</w:t>
            </w:r>
          </w:p>
          <w:p w14:paraId="13A522EA">
            <w:pPr>
              <w:spacing w:line="400" w:lineRule="exac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 xml:space="preserve">开户行: </w:t>
            </w:r>
            <w:r>
              <w:rPr>
                <w:rFonts w:hint="eastAsia" w:ascii="宋体" w:hAnsi="宋体" w:eastAsia="宋体" w:cs="宋体"/>
                <w:color w:val="auto"/>
                <w:sz w:val="22"/>
                <w:szCs w:val="22"/>
                <w:highlight w:val="none"/>
                <w:lang w:eastAsia="zh-CN"/>
              </w:rPr>
              <w:t>中国建设银行股份有限公司温州信河支行</w:t>
            </w:r>
          </w:p>
          <w:p w14:paraId="3F4026CC">
            <w:pPr>
              <w:spacing w:line="300" w:lineRule="exact"/>
              <w:rPr>
                <w:rFonts w:hint="eastAsia" w:ascii="宋体" w:hAnsi="宋体" w:eastAsia="宋体" w:cs="宋体"/>
                <w:kern w:val="0"/>
                <w:sz w:val="22"/>
                <w:szCs w:val="22"/>
              </w:rPr>
            </w:pPr>
            <w:r>
              <w:rPr>
                <w:rFonts w:hint="eastAsia" w:ascii="宋体" w:hAnsi="宋体" w:eastAsia="宋体" w:cs="宋体"/>
                <w:color w:val="auto"/>
                <w:sz w:val="22"/>
                <w:szCs w:val="22"/>
                <w:highlight w:val="none"/>
              </w:rPr>
              <w:t xml:space="preserve">帐号： </w:t>
            </w:r>
            <w:r>
              <w:rPr>
                <w:rFonts w:hint="eastAsia" w:ascii="宋体" w:hAnsi="宋体" w:eastAsia="宋体" w:cs="宋体"/>
                <w:color w:val="auto"/>
                <w:sz w:val="22"/>
                <w:szCs w:val="22"/>
                <w:highlight w:val="none"/>
                <w:lang w:eastAsia="zh-CN"/>
              </w:rPr>
              <w:t>33050162880800000310</w:t>
            </w:r>
          </w:p>
        </w:tc>
      </w:tr>
      <w:tr w14:paraId="5EFB09D7">
        <w:tblPrEx>
          <w:tblCellMar>
            <w:top w:w="0" w:type="dxa"/>
            <w:left w:w="108" w:type="dxa"/>
            <w:bottom w:w="0" w:type="dxa"/>
            <w:right w:w="108" w:type="dxa"/>
          </w:tblCellMar>
        </w:tblPrEx>
        <w:trPr>
          <w:trHeight w:val="575"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7EDB7770">
            <w:pPr>
              <w:spacing w:line="300" w:lineRule="exact"/>
              <w:jc w:val="center"/>
              <w:rPr>
                <w:rFonts w:ascii="宋体" w:cs="宋体"/>
                <w:kern w:val="0"/>
                <w:sz w:val="22"/>
                <w:szCs w:val="22"/>
              </w:rPr>
            </w:pPr>
            <w:r>
              <w:rPr>
                <w:rFonts w:hint="eastAsia" w:ascii="宋体" w:cs="宋体"/>
                <w:kern w:val="0"/>
                <w:sz w:val="22"/>
                <w:szCs w:val="22"/>
              </w:rPr>
              <w:t>14</w:t>
            </w:r>
          </w:p>
        </w:tc>
        <w:tc>
          <w:tcPr>
            <w:tcW w:w="1687" w:type="dxa"/>
            <w:tcBorders>
              <w:top w:val="single" w:color="auto" w:sz="4" w:space="0"/>
              <w:left w:val="single" w:color="auto" w:sz="4" w:space="0"/>
              <w:bottom w:val="single" w:color="auto" w:sz="4" w:space="0"/>
              <w:right w:val="single" w:color="auto" w:sz="4" w:space="0"/>
            </w:tcBorders>
            <w:vAlign w:val="center"/>
          </w:tcPr>
          <w:p w14:paraId="20C16627">
            <w:pPr>
              <w:spacing w:line="300" w:lineRule="exact"/>
              <w:jc w:val="left"/>
              <w:rPr>
                <w:rFonts w:ascii="宋体" w:cs="宋体"/>
                <w:kern w:val="0"/>
                <w:sz w:val="22"/>
                <w:szCs w:val="22"/>
              </w:rPr>
            </w:pPr>
            <w:r>
              <w:rPr>
                <w:rFonts w:hint="eastAsia" w:ascii="宋体" w:cs="宋体"/>
                <w:kern w:val="0"/>
                <w:sz w:val="22"/>
                <w:szCs w:val="22"/>
              </w:rPr>
              <w:t>投标文件份数</w:t>
            </w:r>
          </w:p>
        </w:tc>
        <w:tc>
          <w:tcPr>
            <w:tcW w:w="6832" w:type="dxa"/>
            <w:tcBorders>
              <w:top w:val="single" w:color="auto" w:sz="4" w:space="0"/>
              <w:left w:val="single" w:color="auto" w:sz="4" w:space="0"/>
              <w:bottom w:val="single" w:color="auto" w:sz="4" w:space="0"/>
              <w:right w:val="single" w:color="auto" w:sz="4" w:space="0"/>
            </w:tcBorders>
            <w:vAlign w:val="center"/>
          </w:tcPr>
          <w:p w14:paraId="1B3875D5">
            <w:pPr>
              <w:tabs>
                <w:tab w:val="left" w:pos="360"/>
              </w:tabs>
              <w:spacing w:line="240" w:lineRule="auto"/>
              <w:rPr>
                <w:rFonts w:hint="eastAsia" w:ascii="宋体" w:hAnsi="宋体" w:eastAsia="宋体" w:cs="宋体"/>
                <w:color w:val="000000" w:themeColor="text1"/>
                <w:sz w:val="22"/>
                <w:szCs w:val="22"/>
                <w:lang w:bidi="ar"/>
                <w14:textFill>
                  <w14:solidFill>
                    <w14:schemeClr w14:val="tx1"/>
                  </w14:solidFill>
                </w14:textFill>
              </w:rPr>
            </w:pPr>
            <w:r>
              <w:rPr>
                <w:rFonts w:hint="eastAsia" w:ascii="宋体" w:hAnsi="宋体" w:eastAsia="宋体" w:cs="宋体"/>
                <w:color w:val="000000" w:themeColor="text1"/>
                <w:sz w:val="22"/>
                <w:szCs w:val="22"/>
                <w:lang w:bidi="ar"/>
                <w14:textFill>
                  <w14:solidFill>
                    <w14:schemeClr w14:val="tx1"/>
                  </w14:solidFill>
                </w14:textFill>
              </w:rPr>
              <w:t>（1）技术资信标一式</w:t>
            </w:r>
            <w:r>
              <w:rPr>
                <w:rFonts w:hint="eastAsia" w:ascii="宋体" w:hAnsi="宋体" w:eastAsia="宋体" w:cs="宋体"/>
                <w:color w:val="000000" w:themeColor="text1"/>
                <w:sz w:val="22"/>
                <w:szCs w:val="22"/>
                <w:lang w:val="en-US" w:eastAsia="zh-CN" w:bidi="ar"/>
                <w14:textFill>
                  <w14:solidFill>
                    <w14:schemeClr w14:val="tx1"/>
                  </w14:solidFill>
                </w14:textFill>
              </w:rPr>
              <w:t>5</w:t>
            </w:r>
            <w:r>
              <w:rPr>
                <w:rFonts w:hint="eastAsia" w:ascii="宋体" w:hAnsi="宋体" w:eastAsia="宋体" w:cs="宋体"/>
                <w:color w:val="000000" w:themeColor="text1"/>
                <w:sz w:val="22"/>
                <w:szCs w:val="22"/>
                <w:lang w:bidi="ar"/>
                <w14:textFill>
                  <w14:solidFill>
                    <w14:schemeClr w14:val="tx1"/>
                  </w14:solidFill>
                </w14:textFill>
              </w:rPr>
              <w:t>份，正本1份，副本</w:t>
            </w:r>
            <w:r>
              <w:rPr>
                <w:rFonts w:hint="eastAsia" w:ascii="宋体" w:hAnsi="宋体" w:eastAsia="宋体" w:cs="宋体"/>
                <w:color w:val="000000" w:themeColor="text1"/>
                <w:sz w:val="22"/>
                <w:szCs w:val="22"/>
                <w:lang w:val="en-US" w:eastAsia="zh-CN" w:bidi="ar"/>
                <w14:textFill>
                  <w14:solidFill>
                    <w14:schemeClr w14:val="tx1"/>
                  </w14:solidFill>
                </w14:textFill>
              </w:rPr>
              <w:t>4</w:t>
            </w:r>
            <w:r>
              <w:rPr>
                <w:rFonts w:hint="eastAsia" w:ascii="宋体" w:hAnsi="宋体" w:eastAsia="宋体" w:cs="宋体"/>
                <w:color w:val="000000" w:themeColor="text1"/>
                <w:sz w:val="22"/>
                <w:szCs w:val="22"/>
                <w:lang w:bidi="ar"/>
                <w14:textFill>
                  <w14:solidFill>
                    <w14:schemeClr w14:val="tx1"/>
                  </w14:solidFill>
                </w14:textFill>
              </w:rPr>
              <w:t>份；</w:t>
            </w:r>
          </w:p>
          <w:p w14:paraId="3845E6C0">
            <w:pPr>
              <w:tabs>
                <w:tab w:val="left" w:pos="360"/>
              </w:tabs>
              <w:spacing w:line="240" w:lineRule="auto"/>
              <w:rPr>
                <w:rFonts w:hint="eastAsia" w:ascii="宋体" w:hAnsi="宋体" w:eastAsia="宋体" w:cs="宋体"/>
                <w:color w:val="000000" w:themeColor="text1"/>
                <w:sz w:val="22"/>
                <w:szCs w:val="22"/>
                <w:lang w:bidi="ar"/>
                <w14:textFill>
                  <w14:solidFill>
                    <w14:schemeClr w14:val="tx1"/>
                  </w14:solidFill>
                </w14:textFill>
              </w:rPr>
            </w:pPr>
            <w:r>
              <w:rPr>
                <w:rFonts w:hint="eastAsia" w:ascii="宋体" w:hAnsi="宋体" w:eastAsia="宋体" w:cs="宋体"/>
                <w:color w:val="000000" w:themeColor="text1"/>
                <w:sz w:val="22"/>
                <w:szCs w:val="22"/>
                <w:lang w:bidi="ar"/>
                <w14:textFill>
                  <w14:solidFill>
                    <w14:schemeClr w14:val="tx1"/>
                  </w14:solidFill>
                </w14:textFill>
              </w:rPr>
              <w:t>（2）商务报价标一式</w:t>
            </w:r>
            <w:r>
              <w:rPr>
                <w:rFonts w:hint="eastAsia" w:ascii="宋体" w:hAnsi="宋体" w:eastAsia="宋体" w:cs="宋体"/>
                <w:color w:val="000000" w:themeColor="text1"/>
                <w:sz w:val="22"/>
                <w:szCs w:val="22"/>
                <w:lang w:val="en-US" w:eastAsia="zh-CN" w:bidi="ar"/>
                <w14:textFill>
                  <w14:solidFill>
                    <w14:schemeClr w14:val="tx1"/>
                  </w14:solidFill>
                </w14:textFill>
              </w:rPr>
              <w:t>5</w:t>
            </w:r>
            <w:r>
              <w:rPr>
                <w:rFonts w:hint="eastAsia" w:ascii="宋体" w:hAnsi="宋体" w:eastAsia="宋体" w:cs="宋体"/>
                <w:color w:val="000000" w:themeColor="text1"/>
                <w:sz w:val="22"/>
                <w:szCs w:val="22"/>
                <w:lang w:bidi="ar"/>
                <w14:textFill>
                  <w14:solidFill>
                    <w14:schemeClr w14:val="tx1"/>
                  </w14:solidFill>
                </w14:textFill>
              </w:rPr>
              <w:t>份，正本1份，副本</w:t>
            </w:r>
            <w:r>
              <w:rPr>
                <w:rFonts w:hint="eastAsia" w:ascii="宋体" w:hAnsi="宋体" w:eastAsia="宋体" w:cs="宋体"/>
                <w:color w:val="000000" w:themeColor="text1"/>
                <w:sz w:val="22"/>
                <w:szCs w:val="22"/>
                <w:lang w:val="en-US" w:eastAsia="zh-CN" w:bidi="ar"/>
                <w14:textFill>
                  <w14:solidFill>
                    <w14:schemeClr w14:val="tx1"/>
                  </w14:solidFill>
                </w14:textFill>
              </w:rPr>
              <w:t>4</w:t>
            </w:r>
            <w:r>
              <w:rPr>
                <w:rFonts w:hint="eastAsia" w:ascii="宋体" w:hAnsi="宋体" w:eastAsia="宋体" w:cs="宋体"/>
                <w:color w:val="000000" w:themeColor="text1"/>
                <w:sz w:val="22"/>
                <w:szCs w:val="22"/>
                <w:lang w:bidi="ar"/>
                <w14:textFill>
                  <w14:solidFill>
                    <w14:schemeClr w14:val="tx1"/>
                  </w14:solidFill>
                </w14:textFill>
              </w:rPr>
              <w:t>份。</w:t>
            </w:r>
          </w:p>
          <w:p w14:paraId="25A82AB9">
            <w:pPr>
              <w:spacing w:line="240" w:lineRule="auto"/>
              <w:rPr>
                <w:rFonts w:hint="eastAsia" w:ascii="宋体" w:hAnsi="宋体" w:eastAsia="宋体" w:cs="宋体"/>
                <w:b/>
                <w:bCs/>
                <w:sz w:val="22"/>
                <w:szCs w:val="22"/>
                <w:lang w:val="zh-CN" w:bidi="ar"/>
              </w:rPr>
            </w:pPr>
            <w:r>
              <w:rPr>
                <w:rFonts w:hint="eastAsia" w:ascii="宋体" w:hAnsi="宋体" w:eastAsia="宋体" w:cs="宋体"/>
                <w:color w:val="000000" w:themeColor="text1"/>
                <w:sz w:val="22"/>
                <w:szCs w:val="22"/>
                <w:lang w:bidi="ar"/>
                <w14:textFill>
                  <w14:solidFill>
                    <w14:schemeClr w14:val="tx1"/>
                  </w14:solidFill>
                </w14:textFill>
              </w:rPr>
              <w:t>（3）电子版</w:t>
            </w:r>
            <w:r>
              <w:rPr>
                <w:rFonts w:hint="eastAsia" w:ascii="宋体" w:hAnsi="宋体" w:eastAsia="宋体" w:cs="宋体"/>
                <w:color w:val="000000" w:themeColor="text1"/>
                <w:sz w:val="22"/>
                <w:szCs w:val="22"/>
                <w:lang w:val="zh-CN" w:bidi="ar"/>
                <w14:textFill>
                  <w14:solidFill>
                    <w14:schemeClr w14:val="tx1"/>
                  </w14:solidFill>
                </w14:textFill>
              </w:rPr>
              <w:t>U盘</w:t>
            </w:r>
            <w:r>
              <w:rPr>
                <w:rFonts w:hint="eastAsia" w:ascii="宋体" w:hAnsi="宋体" w:eastAsia="宋体" w:cs="宋体"/>
                <w:color w:val="000000" w:themeColor="text1"/>
                <w:sz w:val="22"/>
                <w:szCs w:val="22"/>
                <w:lang w:bidi="ar"/>
                <w14:textFill>
                  <w14:solidFill>
                    <w14:schemeClr w14:val="tx1"/>
                  </w14:solidFill>
                </w14:textFill>
              </w:rPr>
              <w:t>投标文件一份：</w:t>
            </w:r>
            <w:r>
              <w:rPr>
                <w:rFonts w:hint="eastAsia" w:ascii="宋体" w:hAnsi="宋体" w:eastAsia="宋体" w:cs="宋体"/>
                <w:color w:val="000000" w:themeColor="text1"/>
                <w:sz w:val="22"/>
                <w:szCs w:val="22"/>
                <w:lang w:val="zh-CN" w:bidi="ar"/>
                <w14:textFill>
                  <w14:solidFill>
                    <w14:schemeClr w14:val="tx1"/>
                  </w14:solidFill>
                </w14:textFill>
              </w:rPr>
              <w:t>本项目要求投标供应</w:t>
            </w:r>
            <w:r>
              <w:rPr>
                <w:rFonts w:hint="eastAsia" w:ascii="宋体" w:hAnsi="宋体" w:eastAsia="宋体" w:cs="宋体"/>
                <w:sz w:val="22"/>
                <w:szCs w:val="22"/>
                <w:lang w:val="zh-CN" w:bidi="ar"/>
              </w:rPr>
              <w:t>商提供投标文件电子版（存储在U盘中，要求PDF格式，彩色扫描，含签字、盖章等，U盘或U盘中的文件不得加密）作为电子资料存档使用。投标文件电子版应包含投标文件（包括技术资信标和商务标）正本的完整扫描件，如果分项报价表中的规格较多（超出20种），还应提供分项报价表的Word文字版。工程项目的已标价工程量清单还应提供EXCEL版。U盘与商务标一起密封，</w:t>
            </w:r>
            <w:r>
              <w:rPr>
                <w:rFonts w:hint="eastAsia" w:ascii="宋体" w:hAnsi="宋体" w:eastAsia="宋体" w:cs="宋体"/>
                <w:b/>
                <w:bCs/>
                <w:sz w:val="22"/>
                <w:szCs w:val="22"/>
                <w:lang w:val="zh-CN" w:bidi="ar"/>
              </w:rPr>
              <w:t>未按要求提供投标文件电子版的按无效标处理。</w:t>
            </w:r>
          </w:p>
          <w:p w14:paraId="66A6F468">
            <w:pPr>
              <w:pStyle w:val="3"/>
              <w:rPr>
                <w:rFonts w:hint="eastAsia" w:ascii="宋体" w:hAnsi="宋体" w:eastAsia="宋体" w:cs="宋体"/>
                <w:sz w:val="22"/>
                <w:szCs w:val="22"/>
                <w:lang w:val="en-US" w:eastAsia="zh-CN"/>
              </w:rPr>
            </w:pPr>
          </w:p>
        </w:tc>
      </w:tr>
      <w:tr w14:paraId="36DAAFF8">
        <w:tblPrEx>
          <w:tblCellMar>
            <w:top w:w="0" w:type="dxa"/>
            <w:left w:w="108" w:type="dxa"/>
            <w:bottom w:w="0" w:type="dxa"/>
            <w:right w:w="108" w:type="dxa"/>
          </w:tblCellMar>
        </w:tblPrEx>
        <w:trPr>
          <w:trHeight w:val="9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710FEABC">
            <w:pPr>
              <w:spacing w:line="300" w:lineRule="exact"/>
              <w:jc w:val="center"/>
              <w:rPr>
                <w:rFonts w:ascii="宋体" w:cs="宋体"/>
                <w:kern w:val="0"/>
                <w:sz w:val="22"/>
                <w:szCs w:val="22"/>
              </w:rPr>
            </w:pPr>
            <w:r>
              <w:rPr>
                <w:rFonts w:hint="eastAsia" w:ascii="宋体" w:cs="宋体"/>
                <w:kern w:val="0"/>
                <w:sz w:val="22"/>
                <w:szCs w:val="22"/>
              </w:rPr>
              <w:t>15</w:t>
            </w:r>
          </w:p>
        </w:tc>
        <w:tc>
          <w:tcPr>
            <w:tcW w:w="1687" w:type="dxa"/>
            <w:tcBorders>
              <w:top w:val="single" w:color="auto" w:sz="4" w:space="0"/>
              <w:left w:val="single" w:color="auto" w:sz="4" w:space="0"/>
              <w:bottom w:val="single" w:color="auto" w:sz="4" w:space="0"/>
              <w:right w:val="single" w:color="auto" w:sz="4" w:space="0"/>
            </w:tcBorders>
            <w:vAlign w:val="center"/>
          </w:tcPr>
          <w:p w14:paraId="590B8C72">
            <w:pPr>
              <w:spacing w:line="300" w:lineRule="exact"/>
              <w:jc w:val="left"/>
              <w:rPr>
                <w:rFonts w:ascii="宋体" w:cs="宋体"/>
                <w:kern w:val="0"/>
                <w:sz w:val="22"/>
                <w:szCs w:val="22"/>
              </w:rPr>
            </w:pPr>
            <w:r>
              <w:rPr>
                <w:rFonts w:hint="eastAsia" w:ascii="宋体" w:cs="宋体"/>
                <w:kern w:val="0"/>
                <w:sz w:val="22"/>
                <w:szCs w:val="22"/>
              </w:rPr>
              <w:t>包装要求</w:t>
            </w:r>
          </w:p>
        </w:tc>
        <w:tc>
          <w:tcPr>
            <w:tcW w:w="6832" w:type="dxa"/>
            <w:tcBorders>
              <w:top w:val="single" w:color="auto" w:sz="4" w:space="0"/>
              <w:left w:val="single" w:color="auto" w:sz="4" w:space="0"/>
              <w:bottom w:val="single" w:color="auto" w:sz="4" w:space="0"/>
              <w:right w:val="single" w:color="auto" w:sz="4" w:space="0"/>
            </w:tcBorders>
            <w:vAlign w:val="center"/>
          </w:tcPr>
          <w:p w14:paraId="4A9CA165">
            <w:pPr>
              <w:spacing w:line="300" w:lineRule="exact"/>
              <w:rPr>
                <w:rFonts w:hint="eastAsia" w:ascii="宋体" w:hAnsi="宋体" w:eastAsia="宋体" w:cs="宋体"/>
                <w:kern w:val="0"/>
                <w:sz w:val="22"/>
                <w:szCs w:val="22"/>
              </w:rPr>
            </w:pPr>
            <w:r>
              <w:rPr>
                <w:rFonts w:hint="eastAsia" w:ascii="宋体" w:hAnsi="宋体" w:eastAsia="宋体" w:cs="宋体"/>
                <w:sz w:val="22"/>
                <w:szCs w:val="22"/>
              </w:rPr>
              <w:t>投标人必须将投标文件的“技术标”单独密封，“商务标与电子版U盘投标文件”</w:t>
            </w:r>
            <w:r>
              <w:rPr>
                <w:rFonts w:hint="eastAsia" w:ascii="宋体" w:hAnsi="宋体" w:eastAsia="宋体" w:cs="宋体"/>
                <w:sz w:val="22"/>
                <w:szCs w:val="22"/>
                <w:lang w:val="zh-CN"/>
              </w:rPr>
              <w:t>一起密封，未按要求提供投标文件电子版的按无效标处理。</w:t>
            </w:r>
            <w:r>
              <w:rPr>
                <w:rFonts w:hint="eastAsia" w:ascii="宋体" w:hAnsi="宋体" w:eastAsia="宋体" w:cs="宋体"/>
                <w:sz w:val="22"/>
                <w:szCs w:val="22"/>
              </w:rPr>
              <w:t>且在各自的密封袋上标明“技术标”、“商务标与电子版U盘投标文件”字样。封口处贴上封条，并在封套的封口处加盖投标人单位章，并由法定代表人或其授权代表签字。封皮上写明投标项目名称、编号、投标人名称、电话联系人，并注明“开标时启封”字样。</w:t>
            </w:r>
          </w:p>
        </w:tc>
      </w:tr>
      <w:tr w14:paraId="6E022C23">
        <w:tblPrEx>
          <w:tblCellMar>
            <w:top w:w="0" w:type="dxa"/>
            <w:left w:w="108" w:type="dxa"/>
            <w:bottom w:w="0" w:type="dxa"/>
            <w:right w:w="108" w:type="dxa"/>
          </w:tblCellMar>
        </w:tblPrEx>
        <w:trPr>
          <w:trHeight w:val="9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5948B2A2">
            <w:pPr>
              <w:spacing w:line="300" w:lineRule="exact"/>
              <w:jc w:val="center"/>
              <w:rPr>
                <w:rFonts w:ascii="宋体" w:cs="宋体"/>
                <w:kern w:val="0"/>
                <w:sz w:val="22"/>
                <w:szCs w:val="22"/>
              </w:rPr>
            </w:pPr>
            <w:r>
              <w:rPr>
                <w:rFonts w:hint="eastAsia" w:ascii="宋体" w:cs="宋体"/>
                <w:kern w:val="0"/>
                <w:sz w:val="22"/>
                <w:szCs w:val="22"/>
              </w:rPr>
              <w:t>16</w:t>
            </w:r>
          </w:p>
        </w:tc>
        <w:tc>
          <w:tcPr>
            <w:tcW w:w="1687" w:type="dxa"/>
            <w:tcBorders>
              <w:top w:val="single" w:color="auto" w:sz="4" w:space="0"/>
              <w:left w:val="single" w:color="auto" w:sz="4" w:space="0"/>
              <w:bottom w:val="single" w:color="auto" w:sz="4" w:space="0"/>
              <w:right w:val="single" w:color="auto" w:sz="4" w:space="0"/>
            </w:tcBorders>
            <w:vAlign w:val="center"/>
          </w:tcPr>
          <w:p w14:paraId="03565C1E">
            <w:pPr>
              <w:spacing w:line="300" w:lineRule="exact"/>
              <w:jc w:val="left"/>
              <w:rPr>
                <w:rFonts w:ascii="宋体" w:cs="宋体"/>
                <w:kern w:val="0"/>
                <w:sz w:val="22"/>
                <w:szCs w:val="22"/>
              </w:rPr>
            </w:pPr>
            <w:r>
              <w:rPr>
                <w:rFonts w:hint="eastAsia" w:ascii="宋体" w:cs="宋体"/>
                <w:bCs/>
                <w:sz w:val="22"/>
                <w:szCs w:val="22"/>
              </w:rPr>
              <w:t>投标文件递交</w:t>
            </w:r>
            <w:r>
              <w:rPr>
                <w:rFonts w:hint="eastAsia" w:ascii="宋体" w:cs="宋体"/>
                <w:kern w:val="0"/>
                <w:sz w:val="22"/>
                <w:szCs w:val="22"/>
              </w:rPr>
              <w:t>地点</w:t>
            </w:r>
          </w:p>
        </w:tc>
        <w:tc>
          <w:tcPr>
            <w:tcW w:w="6832" w:type="dxa"/>
            <w:tcBorders>
              <w:top w:val="single" w:color="auto" w:sz="4" w:space="0"/>
              <w:left w:val="single" w:color="auto" w:sz="4" w:space="0"/>
              <w:bottom w:val="single" w:color="auto" w:sz="4" w:space="0"/>
              <w:right w:val="single" w:color="auto" w:sz="4" w:space="0"/>
            </w:tcBorders>
            <w:vAlign w:val="center"/>
          </w:tcPr>
          <w:p w14:paraId="0781590B">
            <w:pPr>
              <w:spacing w:line="300" w:lineRule="exact"/>
              <w:rPr>
                <w:rFonts w:hint="eastAsia" w:ascii="宋体" w:hAnsi="宋体" w:eastAsia="宋体" w:cs="宋体"/>
                <w:kern w:val="0"/>
                <w:sz w:val="22"/>
                <w:szCs w:val="22"/>
              </w:rPr>
            </w:pPr>
            <w:r>
              <w:rPr>
                <w:rFonts w:hint="eastAsia" w:ascii="宋体" w:hAnsi="宋体" w:eastAsia="宋体" w:cs="宋体"/>
                <w:color w:val="auto"/>
                <w:kern w:val="0"/>
                <w:sz w:val="22"/>
                <w:szCs w:val="22"/>
                <w:highlight w:val="none"/>
                <w:shd w:val="clear" w:color="auto" w:fill="FFFFFF"/>
                <w:lang w:eastAsia="zh-CN"/>
              </w:rPr>
              <w:t>温州市鹿城区鹿城路619号建设商务大厦18楼</w:t>
            </w:r>
          </w:p>
        </w:tc>
      </w:tr>
      <w:tr w14:paraId="6D97D5E3">
        <w:tblPrEx>
          <w:tblCellMar>
            <w:top w:w="0" w:type="dxa"/>
            <w:left w:w="108" w:type="dxa"/>
            <w:bottom w:w="0" w:type="dxa"/>
            <w:right w:w="108" w:type="dxa"/>
          </w:tblCellMar>
        </w:tblPrEx>
        <w:trPr>
          <w:trHeight w:val="795"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765A9726">
            <w:pPr>
              <w:spacing w:line="300" w:lineRule="exact"/>
              <w:jc w:val="center"/>
              <w:rPr>
                <w:rFonts w:ascii="宋体" w:cs="宋体"/>
                <w:kern w:val="0"/>
                <w:sz w:val="22"/>
                <w:szCs w:val="22"/>
              </w:rPr>
            </w:pPr>
            <w:r>
              <w:rPr>
                <w:rFonts w:hint="eastAsia" w:ascii="宋体" w:cs="宋体"/>
                <w:kern w:val="0"/>
                <w:sz w:val="22"/>
                <w:szCs w:val="22"/>
              </w:rPr>
              <w:t>17</w:t>
            </w:r>
          </w:p>
        </w:tc>
        <w:tc>
          <w:tcPr>
            <w:tcW w:w="1687" w:type="dxa"/>
            <w:tcBorders>
              <w:top w:val="single" w:color="auto" w:sz="4" w:space="0"/>
              <w:left w:val="single" w:color="auto" w:sz="4" w:space="0"/>
              <w:bottom w:val="single" w:color="auto" w:sz="4" w:space="0"/>
              <w:right w:val="single" w:color="auto" w:sz="4" w:space="0"/>
            </w:tcBorders>
            <w:vAlign w:val="center"/>
          </w:tcPr>
          <w:p w14:paraId="1F9A4BE1">
            <w:pPr>
              <w:spacing w:line="300" w:lineRule="exact"/>
              <w:jc w:val="left"/>
              <w:rPr>
                <w:rFonts w:ascii="宋体" w:cs="宋体"/>
                <w:kern w:val="0"/>
                <w:sz w:val="22"/>
                <w:szCs w:val="22"/>
              </w:rPr>
            </w:pPr>
            <w:r>
              <w:rPr>
                <w:rFonts w:hint="eastAsia" w:ascii="宋体" w:cs="宋体"/>
                <w:kern w:val="0"/>
                <w:sz w:val="22"/>
                <w:szCs w:val="22"/>
              </w:rPr>
              <w:t>开标时间和地点</w:t>
            </w:r>
          </w:p>
        </w:tc>
        <w:tc>
          <w:tcPr>
            <w:tcW w:w="6832" w:type="dxa"/>
            <w:tcBorders>
              <w:top w:val="single" w:color="auto" w:sz="4" w:space="0"/>
              <w:left w:val="single" w:color="auto" w:sz="4" w:space="0"/>
              <w:bottom w:val="single" w:color="auto" w:sz="4" w:space="0"/>
              <w:right w:val="single" w:color="auto" w:sz="4" w:space="0"/>
            </w:tcBorders>
            <w:vAlign w:val="center"/>
          </w:tcPr>
          <w:p w14:paraId="27E3CACD">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开标时间：同投标截止时间</w:t>
            </w:r>
          </w:p>
          <w:p w14:paraId="3E3D21EE">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开标地点：</w:t>
            </w:r>
            <w:r>
              <w:rPr>
                <w:rFonts w:hint="eastAsia" w:ascii="宋体" w:hAnsi="宋体" w:eastAsia="宋体" w:cs="宋体"/>
                <w:color w:val="auto"/>
                <w:kern w:val="0"/>
                <w:sz w:val="22"/>
                <w:szCs w:val="22"/>
                <w:highlight w:val="none"/>
                <w:shd w:val="clear" w:color="auto" w:fill="FFFFFF"/>
                <w:lang w:eastAsia="zh-CN"/>
              </w:rPr>
              <w:t>温州市鹿城区鹿城路619号建设商务大厦18楼</w:t>
            </w:r>
          </w:p>
        </w:tc>
      </w:tr>
      <w:tr w14:paraId="0D9305E7">
        <w:tblPrEx>
          <w:tblCellMar>
            <w:top w:w="0" w:type="dxa"/>
            <w:left w:w="108" w:type="dxa"/>
            <w:bottom w:w="0" w:type="dxa"/>
            <w:right w:w="108" w:type="dxa"/>
          </w:tblCellMar>
        </w:tblPrEx>
        <w:trPr>
          <w:trHeight w:val="784"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0CBB0F11">
            <w:pPr>
              <w:spacing w:line="300" w:lineRule="exact"/>
              <w:jc w:val="center"/>
              <w:rPr>
                <w:rFonts w:ascii="宋体" w:cs="宋体"/>
                <w:kern w:val="0"/>
                <w:sz w:val="22"/>
                <w:szCs w:val="22"/>
              </w:rPr>
            </w:pPr>
            <w:r>
              <w:rPr>
                <w:rFonts w:hint="eastAsia" w:ascii="宋体" w:cs="宋体"/>
                <w:kern w:val="0"/>
                <w:sz w:val="22"/>
                <w:szCs w:val="22"/>
              </w:rPr>
              <w:t>18</w:t>
            </w:r>
          </w:p>
        </w:tc>
        <w:tc>
          <w:tcPr>
            <w:tcW w:w="1687" w:type="dxa"/>
            <w:tcBorders>
              <w:top w:val="single" w:color="auto" w:sz="4" w:space="0"/>
              <w:left w:val="single" w:color="auto" w:sz="4" w:space="0"/>
              <w:bottom w:val="single" w:color="auto" w:sz="4" w:space="0"/>
              <w:right w:val="single" w:color="auto" w:sz="4" w:space="0"/>
            </w:tcBorders>
            <w:vAlign w:val="center"/>
          </w:tcPr>
          <w:p w14:paraId="255BAA0D">
            <w:pPr>
              <w:spacing w:line="300" w:lineRule="exact"/>
              <w:jc w:val="left"/>
              <w:rPr>
                <w:rFonts w:ascii="宋体" w:cs="宋体"/>
                <w:kern w:val="0"/>
                <w:sz w:val="22"/>
                <w:szCs w:val="22"/>
              </w:rPr>
            </w:pPr>
            <w:r>
              <w:rPr>
                <w:rFonts w:hint="eastAsia" w:ascii="宋体" w:cs="宋体"/>
                <w:kern w:val="0"/>
                <w:sz w:val="22"/>
                <w:szCs w:val="22"/>
              </w:rPr>
              <w:t>开评标程序</w:t>
            </w:r>
          </w:p>
        </w:tc>
        <w:tc>
          <w:tcPr>
            <w:tcW w:w="6832" w:type="dxa"/>
            <w:tcBorders>
              <w:top w:val="single" w:color="auto" w:sz="4" w:space="0"/>
              <w:left w:val="single" w:color="auto" w:sz="4" w:space="0"/>
              <w:bottom w:val="single" w:color="auto" w:sz="4" w:space="0"/>
              <w:right w:val="single" w:color="auto" w:sz="4" w:space="0"/>
            </w:tcBorders>
            <w:vAlign w:val="center"/>
          </w:tcPr>
          <w:p w14:paraId="1CAD0809">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密封情况检查</w:t>
            </w:r>
            <w:r>
              <w:rPr>
                <w:rFonts w:hint="eastAsia" w:ascii="宋体" w:hAnsi="宋体" w:eastAsia="宋体" w:cs="宋体"/>
                <w:kern w:val="0"/>
                <w:sz w:val="22"/>
                <w:szCs w:val="22"/>
              </w:rPr>
              <w:sym w:font="Wingdings" w:char="F0E8"/>
            </w:r>
            <w:r>
              <w:rPr>
                <w:rFonts w:hint="eastAsia" w:ascii="宋体" w:hAnsi="宋体" w:eastAsia="宋体" w:cs="宋体"/>
                <w:kern w:val="0"/>
                <w:sz w:val="22"/>
                <w:szCs w:val="22"/>
              </w:rPr>
              <w:t>开启技术资信标、商务（报价）标</w:t>
            </w:r>
            <w:r>
              <w:rPr>
                <w:rFonts w:hint="eastAsia" w:ascii="宋体" w:hAnsi="宋体" w:eastAsia="宋体" w:cs="宋体"/>
                <w:kern w:val="0"/>
                <w:sz w:val="22"/>
                <w:szCs w:val="22"/>
              </w:rPr>
              <w:sym w:font="Wingdings" w:char="F0E8"/>
            </w:r>
            <w:r>
              <w:rPr>
                <w:rFonts w:hint="eastAsia" w:ascii="宋体" w:hAnsi="宋体" w:eastAsia="宋体" w:cs="宋体"/>
                <w:kern w:val="0"/>
                <w:sz w:val="22"/>
                <w:szCs w:val="22"/>
              </w:rPr>
              <w:t>资格审查</w:t>
            </w:r>
            <w:r>
              <w:rPr>
                <w:rFonts w:hint="eastAsia" w:ascii="宋体" w:hAnsi="宋体" w:eastAsia="宋体" w:cs="宋体"/>
                <w:kern w:val="0"/>
                <w:sz w:val="22"/>
                <w:szCs w:val="22"/>
              </w:rPr>
              <w:sym w:font="Wingdings" w:char="F0E8"/>
            </w:r>
            <w:r>
              <w:rPr>
                <w:rFonts w:hint="eastAsia" w:ascii="宋体" w:hAnsi="宋体" w:eastAsia="宋体" w:cs="宋体"/>
                <w:kern w:val="0"/>
                <w:sz w:val="22"/>
                <w:szCs w:val="22"/>
              </w:rPr>
              <w:t>符合性审查</w:t>
            </w:r>
            <w:r>
              <w:rPr>
                <w:rFonts w:hint="eastAsia" w:ascii="宋体" w:hAnsi="宋体" w:eastAsia="宋体" w:cs="宋体"/>
                <w:kern w:val="0"/>
                <w:sz w:val="22"/>
                <w:szCs w:val="22"/>
              </w:rPr>
              <w:sym w:font="Wingdings" w:char="F0E8"/>
            </w:r>
            <w:r>
              <w:rPr>
                <w:rFonts w:hint="eastAsia" w:ascii="宋体" w:hAnsi="宋体" w:eastAsia="宋体" w:cs="宋体"/>
                <w:kern w:val="0"/>
                <w:sz w:val="22"/>
                <w:szCs w:val="22"/>
              </w:rPr>
              <w:t>技术资信标评审</w:t>
            </w:r>
            <w:r>
              <w:rPr>
                <w:rFonts w:hint="eastAsia" w:ascii="宋体" w:hAnsi="宋体" w:eastAsia="宋体" w:cs="宋体"/>
                <w:kern w:val="0"/>
                <w:sz w:val="22"/>
                <w:szCs w:val="22"/>
              </w:rPr>
              <w:sym w:font="Wingdings" w:char="F0E8"/>
            </w:r>
            <w:r>
              <w:rPr>
                <w:rFonts w:hint="eastAsia" w:ascii="宋体" w:hAnsi="宋体" w:eastAsia="宋体" w:cs="宋体"/>
                <w:kern w:val="0"/>
                <w:sz w:val="22"/>
                <w:szCs w:val="22"/>
              </w:rPr>
              <w:t>商务（报价）评审</w:t>
            </w:r>
            <w:r>
              <w:rPr>
                <w:rFonts w:hint="eastAsia" w:ascii="宋体" w:hAnsi="宋体" w:eastAsia="宋体" w:cs="宋体"/>
                <w:kern w:val="0"/>
                <w:sz w:val="22"/>
                <w:szCs w:val="22"/>
              </w:rPr>
              <w:sym w:font="Wingdings" w:char="F0E8"/>
            </w:r>
            <w:r>
              <w:rPr>
                <w:rFonts w:hint="eastAsia" w:ascii="宋体" w:hAnsi="宋体" w:eastAsia="宋体" w:cs="宋体"/>
                <w:kern w:val="0"/>
                <w:sz w:val="22"/>
                <w:szCs w:val="22"/>
              </w:rPr>
              <w:t>提交评审报告</w:t>
            </w:r>
          </w:p>
        </w:tc>
      </w:tr>
      <w:tr w14:paraId="733E0052">
        <w:tblPrEx>
          <w:tblCellMar>
            <w:top w:w="0" w:type="dxa"/>
            <w:left w:w="108" w:type="dxa"/>
            <w:bottom w:w="0" w:type="dxa"/>
            <w:right w:w="108" w:type="dxa"/>
          </w:tblCellMar>
        </w:tblPrEx>
        <w:trPr>
          <w:trHeight w:val="1324" w:hRule="exact"/>
          <w:jc w:val="center"/>
        </w:trPr>
        <w:tc>
          <w:tcPr>
            <w:tcW w:w="1048" w:type="dxa"/>
            <w:tcBorders>
              <w:top w:val="single" w:color="auto" w:sz="4" w:space="0"/>
              <w:left w:val="single" w:color="auto" w:sz="4" w:space="0"/>
              <w:bottom w:val="single" w:color="auto" w:sz="4" w:space="0"/>
              <w:right w:val="single" w:color="auto" w:sz="4" w:space="0"/>
            </w:tcBorders>
            <w:vAlign w:val="center"/>
          </w:tcPr>
          <w:p w14:paraId="0B0108A1">
            <w:pPr>
              <w:spacing w:line="300" w:lineRule="exact"/>
              <w:jc w:val="center"/>
              <w:rPr>
                <w:rFonts w:ascii="宋体" w:cs="宋体"/>
                <w:kern w:val="0"/>
                <w:sz w:val="22"/>
                <w:szCs w:val="22"/>
              </w:rPr>
            </w:pPr>
            <w:r>
              <w:rPr>
                <w:rFonts w:hint="eastAsia" w:ascii="宋体" w:cs="宋体"/>
                <w:kern w:val="0"/>
                <w:sz w:val="22"/>
                <w:szCs w:val="22"/>
              </w:rPr>
              <w:t>19</w:t>
            </w:r>
          </w:p>
        </w:tc>
        <w:tc>
          <w:tcPr>
            <w:tcW w:w="1687" w:type="dxa"/>
            <w:tcBorders>
              <w:top w:val="single" w:color="auto" w:sz="4" w:space="0"/>
              <w:left w:val="single" w:color="auto" w:sz="4" w:space="0"/>
              <w:bottom w:val="single" w:color="auto" w:sz="4" w:space="0"/>
              <w:right w:val="single" w:color="auto" w:sz="4" w:space="0"/>
            </w:tcBorders>
            <w:vAlign w:val="center"/>
          </w:tcPr>
          <w:p w14:paraId="2E73339B">
            <w:pPr>
              <w:spacing w:line="300" w:lineRule="exact"/>
              <w:jc w:val="left"/>
              <w:rPr>
                <w:rFonts w:ascii="宋体" w:cs="宋体"/>
                <w:kern w:val="0"/>
                <w:sz w:val="22"/>
                <w:szCs w:val="22"/>
              </w:rPr>
            </w:pPr>
            <w:r>
              <w:rPr>
                <w:rFonts w:hint="eastAsia" w:ascii="宋体" w:cs="宋体"/>
                <w:kern w:val="0"/>
                <w:sz w:val="22"/>
                <w:szCs w:val="22"/>
              </w:rPr>
              <w:t>评标委员会的组建</w:t>
            </w:r>
          </w:p>
        </w:tc>
        <w:tc>
          <w:tcPr>
            <w:tcW w:w="6832" w:type="dxa"/>
            <w:tcBorders>
              <w:top w:val="single" w:color="auto" w:sz="4" w:space="0"/>
              <w:left w:val="single" w:color="auto" w:sz="4" w:space="0"/>
              <w:bottom w:val="single" w:color="auto" w:sz="4" w:space="0"/>
              <w:right w:val="single" w:color="auto" w:sz="4" w:space="0"/>
            </w:tcBorders>
            <w:vAlign w:val="center"/>
          </w:tcPr>
          <w:p w14:paraId="2828EC02">
            <w:pPr>
              <w:spacing w:line="300" w:lineRule="exact"/>
              <w:rPr>
                <w:rFonts w:hint="eastAsia" w:ascii="宋体" w:hAnsi="宋体" w:eastAsia="宋体" w:cs="宋体"/>
                <w:kern w:val="0"/>
                <w:sz w:val="22"/>
                <w:szCs w:val="22"/>
              </w:rPr>
            </w:pPr>
            <w:r>
              <w:rPr>
                <w:rFonts w:hint="eastAsia" w:ascii="宋体" w:hAnsi="宋体" w:eastAsia="宋体" w:cs="宋体"/>
                <w:bCs/>
                <w:sz w:val="22"/>
                <w:szCs w:val="22"/>
              </w:rPr>
              <w:t>评标委员会成员由采购人代表和有关技术、经济等方面的专家组成，成员人数为5人及以上单数，其中技术、经济类专家不得少于总人数的2/3，除采购人代表外的专家将在浙江政府采购网的评标专家库中随机抽取产生。</w:t>
            </w:r>
          </w:p>
        </w:tc>
      </w:tr>
      <w:tr w14:paraId="07D1F965">
        <w:tblPrEx>
          <w:tblCellMar>
            <w:top w:w="0" w:type="dxa"/>
            <w:left w:w="108" w:type="dxa"/>
            <w:bottom w:w="0" w:type="dxa"/>
            <w:right w:w="108" w:type="dxa"/>
          </w:tblCellMar>
        </w:tblPrEx>
        <w:trPr>
          <w:trHeight w:val="960" w:hRule="atLeast"/>
          <w:jc w:val="center"/>
        </w:trPr>
        <w:tc>
          <w:tcPr>
            <w:tcW w:w="1048" w:type="dxa"/>
            <w:tcBorders>
              <w:top w:val="single" w:color="auto" w:sz="4" w:space="0"/>
              <w:left w:val="single" w:color="auto" w:sz="4" w:space="0"/>
              <w:bottom w:val="single" w:color="auto" w:sz="4" w:space="0"/>
              <w:right w:val="single" w:color="auto" w:sz="4" w:space="0"/>
            </w:tcBorders>
            <w:vAlign w:val="center"/>
          </w:tcPr>
          <w:p w14:paraId="23801F3D">
            <w:pPr>
              <w:spacing w:line="300" w:lineRule="exact"/>
              <w:jc w:val="center"/>
              <w:rPr>
                <w:rFonts w:ascii="宋体" w:cs="宋体"/>
                <w:kern w:val="0"/>
                <w:sz w:val="22"/>
                <w:szCs w:val="22"/>
              </w:rPr>
            </w:pPr>
            <w:r>
              <w:rPr>
                <w:rFonts w:hint="eastAsia" w:ascii="宋体" w:cs="宋体"/>
                <w:kern w:val="0"/>
                <w:sz w:val="22"/>
                <w:szCs w:val="22"/>
              </w:rPr>
              <w:t>20</w:t>
            </w:r>
          </w:p>
        </w:tc>
        <w:tc>
          <w:tcPr>
            <w:tcW w:w="1687" w:type="dxa"/>
            <w:tcBorders>
              <w:top w:val="single" w:color="auto" w:sz="4" w:space="0"/>
              <w:left w:val="single" w:color="auto" w:sz="4" w:space="0"/>
              <w:bottom w:val="single" w:color="auto" w:sz="4" w:space="0"/>
              <w:right w:val="single" w:color="auto" w:sz="4" w:space="0"/>
            </w:tcBorders>
            <w:vAlign w:val="center"/>
          </w:tcPr>
          <w:p w14:paraId="51D27B49">
            <w:pPr>
              <w:spacing w:line="300" w:lineRule="exact"/>
              <w:jc w:val="left"/>
              <w:rPr>
                <w:rFonts w:ascii="宋体" w:cs="宋体"/>
                <w:kern w:val="0"/>
                <w:sz w:val="22"/>
                <w:szCs w:val="22"/>
              </w:rPr>
            </w:pPr>
            <w:r>
              <w:rPr>
                <w:rFonts w:hint="eastAsia" w:ascii="宋体" w:cs="宋体"/>
                <w:kern w:val="0"/>
                <w:sz w:val="22"/>
                <w:szCs w:val="22"/>
              </w:rPr>
              <w:t>注意事项</w:t>
            </w:r>
          </w:p>
        </w:tc>
        <w:tc>
          <w:tcPr>
            <w:tcW w:w="6832" w:type="dxa"/>
            <w:tcBorders>
              <w:top w:val="single" w:color="auto" w:sz="4" w:space="0"/>
              <w:left w:val="single" w:color="auto" w:sz="4" w:space="0"/>
              <w:bottom w:val="single" w:color="auto" w:sz="4" w:space="0"/>
              <w:right w:val="single" w:color="auto" w:sz="4" w:space="0"/>
            </w:tcBorders>
            <w:vAlign w:val="center"/>
          </w:tcPr>
          <w:p w14:paraId="1311979A">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1）本采购文件中如有前后不一致的，一律以本“投标供应商须知前附表”为准；</w:t>
            </w:r>
          </w:p>
          <w:p w14:paraId="2BA41237">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2）本采购文件涉及的时间为“北京时间”；</w:t>
            </w:r>
          </w:p>
          <w:p w14:paraId="6E9F623B">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3）本采购文件涉及的货币为“人民币”；</w:t>
            </w:r>
          </w:p>
          <w:p w14:paraId="7399D884">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4）采购文件资料费用：根据省物价局有关文件规定，采购代理机构将收取本项目采购文件的编制费500元/份。</w:t>
            </w:r>
          </w:p>
          <w:p w14:paraId="22382A14">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 xml:space="preserve">5）采购监督管理部门：温州市公用事业发展集团有限公司纪检监察室 </w:t>
            </w:r>
          </w:p>
          <w:p w14:paraId="486C0836">
            <w:pPr>
              <w:spacing w:line="300" w:lineRule="exact"/>
              <w:rPr>
                <w:rFonts w:hint="eastAsia" w:ascii="宋体" w:hAnsi="宋体" w:eastAsia="宋体" w:cs="宋体"/>
                <w:kern w:val="0"/>
                <w:sz w:val="22"/>
                <w:szCs w:val="22"/>
              </w:rPr>
            </w:pPr>
            <w:r>
              <w:rPr>
                <w:rFonts w:hint="eastAsia" w:ascii="宋体" w:hAnsi="宋体" w:eastAsia="宋体" w:cs="宋体"/>
                <w:kern w:val="0"/>
                <w:sz w:val="22"/>
                <w:szCs w:val="22"/>
              </w:rPr>
              <w:t>联系电话：0577-88100267</w:t>
            </w:r>
          </w:p>
        </w:tc>
      </w:tr>
    </w:tbl>
    <w:p w14:paraId="432F0E3F">
      <w:pPr>
        <w:pStyle w:val="2"/>
        <w:rPr>
          <w:rFonts w:ascii="宋体" w:cs="宋体"/>
          <w:sz w:val="28"/>
          <w:szCs w:val="28"/>
        </w:rPr>
      </w:pPr>
    </w:p>
    <w:p w14:paraId="2F6AF69E">
      <w:pPr>
        <w:pStyle w:val="3"/>
        <w:ind w:firstLine="280"/>
        <w:rPr>
          <w:rFonts w:ascii="宋体" w:cs="宋体"/>
          <w:sz w:val="28"/>
          <w:szCs w:val="28"/>
        </w:rPr>
      </w:pPr>
    </w:p>
    <w:p w14:paraId="62E041FA">
      <w:pPr>
        <w:pStyle w:val="7"/>
        <w:spacing w:before="0" w:line="680" w:lineRule="exact"/>
        <w:jc w:val="center"/>
        <w:rPr>
          <w:rFonts w:ascii="宋体" w:eastAsia="宋体" w:cs="宋体"/>
          <w:sz w:val="28"/>
          <w:szCs w:val="28"/>
        </w:rPr>
      </w:pPr>
      <w:r>
        <w:rPr>
          <w:rFonts w:hint="eastAsia" w:ascii="宋体" w:eastAsia="宋体" w:cs="宋体"/>
          <w:sz w:val="28"/>
          <w:szCs w:val="28"/>
        </w:rPr>
        <w:br w:type="page"/>
      </w:r>
      <w:bookmarkStart w:id="54" w:name="_Toc3745"/>
      <w:bookmarkStart w:id="55" w:name="_Toc27704"/>
      <w:bookmarkStart w:id="56" w:name="_Toc15320"/>
      <w:r>
        <w:rPr>
          <w:rFonts w:hint="eastAsia" w:ascii="宋体" w:eastAsia="宋体" w:cs="宋体"/>
          <w:sz w:val="28"/>
          <w:szCs w:val="28"/>
        </w:rPr>
        <w:t>一、 说   明</w:t>
      </w:r>
      <w:bookmarkEnd w:id="53"/>
      <w:bookmarkEnd w:id="54"/>
      <w:bookmarkEnd w:id="55"/>
      <w:bookmarkEnd w:id="56"/>
    </w:p>
    <w:p w14:paraId="6EB8DA19">
      <w:pPr>
        <w:tabs>
          <w:tab w:val="left" w:pos="360"/>
        </w:tabs>
        <w:spacing w:line="360" w:lineRule="auto"/>
        <w:ind w:left="550" w:hanging="550" w:hangingChars="250"/>
        <w:rPr>
          <w:rFonts w:ascii="宋体" w:cs="宋体"/>
          <w:sz w:val="22"/>
          <w:szCs w:val="22"/>
        </w:rPr>
      </w:pPr>
      <w:r>
        <w:rPr>
          <w:rFonts w:hint="eastAsia" w:ascii="宋体" w:cs="宋体"/>
          <w:sz w:val="22"/>
          <w:szCs w:val="22"/>
        </w:rPr>
        <w:t>1.   本次采购是按照</w:t>
      </w:r>
      <w:r>
        <w:rPr>
          <w:rFonts w:hint="eastAsia" w:ascii="宋体" w:cs="宋体"/>
          <w:sz w:val="22"/>
          <w:szCs w:val="22"/>
          <w:lang w:eastAsia="zh-CN"/>
        </w:rPr>
        <w:t>《温州市市属国有企业采购管理办法》</w:t>
      </w:r>
      <w:r>
        <w:rPr>
          <w:rFonts w:hint="eastAsia" w:ascii="宋体" w:cs="宋体"/>
          <w:sz w:val="22"/>
          <w:szCs w:val="22"/>
        </w:rPr>
        <w:t>等有关法律法规组织和实施的国企采购项目（非政府采购）。</w:t>
      </w:r>
    </w:p>
    <w:p w14:paraId="60D02545">
      <w:pPr>
        <w:tabs>
          <w:tab w:val="left" w:pos="360"/>
        </w:tabs>
        <w:spacing w:line="360" w:lineRule="auto"/>
        <w:ind w:left="663" w:hanging="663" w:hangingChars="300"/>
        <w:rPr>
          <w:rFonts w:ascii="宋体" w:cs="宋体"/>
          <w:sz w:val="22"/>
          <w:szCs w:val="22"/>
        </w:rPr>
      </w:pPr>
      <w:r>
        <w:rPr>
          <w:rFonts w:hint="eastAsia" w:ascii="宋体" w:cs="宋体"/>
          <w:b/>
          <w:sz w:val="22"/>
          <w:szCs w:val="22"/>
        </w:rPr>
        <w:t>2</w:t>
      </w:r>
      <w:r>
        <w:rPr>
          <w:rFonts w:hint="eastAsia" w:ascii="宋体" w:cs="宋体"/>
          <w:b/>
          <w:spacing w:val="100"/>
          <w:sz w:val="22"/>
          <w:szCs w:val="22"/>
        </w:rPr>
        <w:t>．</w:t>
      </w:r>
      <w:r>
        <w:rPr>
          <w:rFonts w:hint="eastAsia" w:ascii="宋体" w:cs="宋体"/>
          <w:bCs/>
          <w:szCs w:val="21"/>
          <w:u w:val="single"/>
        </w:rPr>
        <w:t>▲</w:t>
      </w:r>
      <w:r>
        <w:rPr>
          <w:rFonts w:hint="eastAsia" w:ascii="宋体" w:cs="宋体"/>
          <w:b/>
          <w:sz w:val="22"/>
          <w:szCs w:val="22"/>
          <w:u w:val="single"/>
        </w:rPr>
        <w:t>合格投标供应商</w:t>
      </w:r>
    </w:p>
    <w:p w14:paraId="2851F910">
      <w:pPr>
        <w:widowControl/>
        <w:spacing w:line="360" w:lineRule="auto"/>
        <w:ind w:left="525" w:leftChars="250"/>
        <w:jc w:val="left"/>
        <w:rPr>
          <w:rFonts w:ascii="宋体" w:cs="宋体"/>
          <w:b/>
          <w:kern w:val="0"/>
          <w:sz w:val="22"/>
          <w:szCs w:val="22"/>
        </w:rPr>
      </w:pPr>
      <w:r>
        <w:rPr>
          <w:rFonts w:hint="eastAsia" w:ascii="宋体" w:cs="宋体"/>
          <w:sz w:val="22"/>
        </w:rPr>
        <w:t>合格投标供应商以本项目采购公告及投标供应商须知前附表为准。</w:t>
      </w:r>
    </w:p>
    <w:p w14:paraId="44E43586">
      <w:pPr>
        <w:widowControl/>
        <w:spacing w:line="360" w:lineRule="auto"/>
        <w:jc w:val="left"/>
        <w:rPr>
          <w:rFonts w:ascii="宋体" w:cs="宋体"/>
          <w:kern w:val="0"/>
          <w:sz w:val="22"/>
          <w:szCs w:val="22"/>
        </w:rPr>
      </w:pPr>
      <w:r>
        <w:rPr>
          <w:rFonts w:hint="eastAsia" w:ascii="宋体" w:cs="宋体"/>
          <w:b/>
          <w:sz w:val="22"/>
          <w:szCs w:val="22"/>
        </w:rPr>
        <w:t>3.   投标供应商代表</w:t>
      </w:r>
    </w:p>
    <w:p w14:paraId="268511EF">
      <w:pPr>
        <w:widowControl/>
        <w:spacing w:line="360" w:lineRule="auto"/>
        <w:ind w:left="550" w:hanging="550" w:hangingChars="250"/>
        <w:jc w:val="left"/>
        <w:rPr>
          <w:rFonts w:ascii="宋体" w:cs="宋体"/>
          <w:kern w:val="0"/>
          <w:sz w:val="22"/>
          <w:szCs w:val="22"/>
        </w:rPr>
      </w:pPr>
      <w:r>
        <w:rPr>
          <w:rFonts w:hint="eastAsia" w:ascii="宋体" w:cs="宋体"/>
          <w:sz w:val="22"/>
          <w:szCs w:val="22"/>
        </w:rPr>
        <w:t>3.1  指全权代表投标供应商参加投标活动并签署投标文件的人。如果投标供应商代表不是法定代表人，须持有《法定代表人授权书》（见附件四）。</w:t>
      </w:r>
    </w:p>
    <w:p w14:paraId="71B97E37">
      <w:pPr>
        <w:widowControl/>
        <w:spacing w:line="360" w:lineRule="auto"/>
        <w:ind w:left="552" w:hanging="552" w:hangingChars="250"/>
        <w:jc w:val="left"/>
        <w:rPr>
          <w:rFonts w:ascii="宋体" w:cs="宋体"/>
          <w:kern w:val="0"/>
          <w:sz w:val="22"/>
          <w:szCs w:val="22"/>
        </w:rPr>
      </w:pPr>
      <w:r>
        <w:rPr>
          <w:rFonts w:hint="eastAsia" w:ascii="宋体" w:cs="宋体"/>
          <w:b/>
          <w:sz w:val="22"/>
          <w:szCs w:val="22"/>
        </w:rPr>
        <w:t>4.   投标费用</w:t>
      </w:r>
    </w:p>
    <w:p w14:paraId="2620B255">
      <w:pPr>
        <w:spacing w:line="360" w:lineRule="auto"/>
        <w:ind w:left="550" w:hanging="550" w:hangingChars="250"/>
        <w:rPr>
          <w:rFonts w:ascii="宋体" w:cs="宋体"/>
          <w:sz w:val="22"/>
          <w:szCs w:val="22"/>
        </w:rPr>
      </w:pPr>
      <w:r>
        <w:rPr>
          <w:rFonts w:hint="eastAsia" w:ascii="宋体" w:cs="宋体"/>
          <w:sz w:val="22"/>
          <w:szCs w:val="22"/>
        </w:rPr>
        <w:t>4.1  投标供应商应承担所有与准备和参加投标有关费用，不论投标的结果如何，采购人及采购代理机构（以下统称“采购单位”）均无义务和责任承担这些费用。</w:t>
      </w:r>
    </w:p>
    <w:p w14:paraId="137B260A">
      <w:pPr>
        <w:pStyle w:val="7"/>
        <w:spacing w:line="680" w:lineRule="exact"/>
        <w:jc w:val="center"/>
        <w:rPr>
          <w:rFonts w:ascii="宋体" w:eastAsia="宋体" w:cs="宋体"/>
          <w:sz w:val="28"/>
          <w:szCs w:val="28"/>
        </w:rPr>
      </w:pPr>
      <w:bookmarkStart w:id="57" w:name="_Toc230773776"/>
      <w:bookmarkStart w:id="58" w:name="_Toc21456"/>
      <w:bookmarkStart w:id="59" w:name="_Toc16957"/>
      <w:bookmarkStart w:id="60" w:name="_Toc593"/>
      <w:r>
        <w:rPr>
          <w:rFonts w:hint="eastAsia" w:ascii="宋体" w:eastAsia="宋体" w:cs="宋体"/>
          <w:sz w:val="28"/>
          <w:szCs w:val="28"/>
        </w:rPr>
        <w:t xml:space="preserve">二、 </w:t>
      </w:r>
      <w:bookmarkEnd w:id="57"/>
      <w:r>
        <w:rPr>
          <w:rFonts w:hint="eastAsia" w:ascii="宋体" w:eastAsia="宋体" w:cs="宋体"/>
          <w:sz w:val="28"/>
          <w:szCs w:val="28"/>
        </w:rPr>
        <w:t>采购文件</w:t>
      </w:r>
      <w:bookmarkEnd w:id="58"/>
      <w:bookmarkEnd w:id="59"/>
      <w:bookmarkEnd w:id="60"/>
    </w:p>
    <w:p w14:paraId="64549282">
      <w:pPr>
        <w:spacing w:line="440" w:lineRule="exact"/>
        <w:rPr>
          <w:rFonts w:ascii="宋体" w:cs="宋体"/>
          <w:sz w:val="22"/>
          <w:szCs w:val="22"/>
        </w:rPr>
      </w:pPr>
      <w:r>
        <w:rPr>
          <w:rFonts w:hint="eastAsia" w:ascii="宋体" w:cs="宋体"/>
          <w:sz w:val="22"/>
          <w:szCs w:val="22"/>
        </w:rPr>
        <w:t>1.   采购文件由采购文件目录所列内容及相关资料组成。</w:t>
      </w:r>
    </w:p>
    <w:p w14:paraId="56A69388">
      <w:pPr>
        <w:spacing w:line="440" w:lineRule="exact"/>
        <w:rPr>
          <w:rFonts w:ascii="宋体" w:cs="宋体"/>
          <w:sz w:val="22"/>
          <w:szCs w:val="22"/>
        </w:rPr>
      </w:pPr>
      <w:r>
        <w:rPr>
          <w:rFonts w:hint="eastAsia" w:ascii="宋体" w:cs="宋体"/>
          <w:bCs/>
          <w:sz w:val="22"/>
          <w:szCs w:val="22"/>
        </w:rPr>
        <w:t xml:space="preserve">2.   </w:t>
      </w:r>
      <w:r>
        <w:rPr>
          <w:rFonts w:hint="eastAsia" w:ascii="宋体" w:cs="宋体"/>
          <w:b/>
          <w:bCs/>
          <w:sz w:val="22"/>
          <w:szCs w:val="22"/>
        </w:rPr>
        <w:t>采购文件的澄清</w:t>
      </w:r>
    </w:p>
    <w:p w14:paraId="1A917490">
      <w:pPr>
        <w:numPr>
          <w:ilvl w:val="1"/>
          <w:numId w:val="4"/>
        </w:numPr>
        <w:tabs>
          <w:tab w:val="left" w:pos="540"/>
          <w:tab w:val="clear" w:pos="360"/>
        </w:tabs>
        <w:spacing w:line="360" w:lineRule="auto"/>
        <w:ind w:left="540" w:hanging="431"/>
        <w:rPr>
          <w:rFonts w:ascii="宋体" w:cs="宋体"/>
          <w:sz w:val="22"/>
          <w:szCs w:val="22"/>
        </w:rPr>
      </w:pPr>
      <w:r>
        <w:rPr>
          <w:rFonts w:hint="eastAsia" w:ascii="宋体" w:hAnsi="宋体" w:cs="宋体"/>
          <w:color w:val="auto"/>
          <w:sz w:val="22"/>
          <w:szCs w:val="22"/>
          <w:highlight w:val="none"/>
        </w:rPr>
        <w:t>投标供应商对采购文件如有疑点或未尽事宜要求澄清，或认为有必要进行说明或交流，投标供应商可以在</w:t>
      </w:r>
      <w:r>
        <w:rPr>
          <w:rFonts w:hint="eastAsia" w:ascii="宋体" w:hAnsi="宋体" w:cs="宋体"/>
          <w:color w:val="auto"/>
          <w:sz w:val="22"/>
          <w:szCs w:val="22"/>
          <w:highlight w:val="none"/>
          <w:lang w:val="en-US" w:eastAsia="zh-CN"/>
        </w:rPr>
        <w:t>投标截止时间3个日历天前内，</w:t>
      </w:r>
      <w:r>
        <w:rPr>
          <w:rFonts w:hint="eastAsia" w:ascii="宋体" w:hAnsi="宋体" w:cs="宋体"/>
          <w:color w:val="auto"/>
          <w:sz w:val="22"/>
          <w:szCs w:val="22"/>
          <w:highlight w:val="none"/>
        </w:rPr>
        <w:t>以书面形式（包括信函、传真、下同）向采购人或采购代理机构提出质疑，采购人或采购代理机构将用书面形式予以答复。如有必要，可将不说明问题来源的答复发给各有关投标供应商或召开答疑会。如果标书答疑期内未收到有关疑问，视为投标供应商完全同意采购文件所有条款，且对于采购文件相关表述以及未尽事宜如有争议，以采购人和采购代理机构解释为准</w:t>
      </w:r>
      <w:r>
        <w:rPr>
          <w:rFonts w:hint="eastAsia" w:ascii="宋体" w:hAnsi="宋体" w:cs="宋体"/>
          <w:color w:val="auto"/>
          <w:spacing w:val="6"/>
          <w:sz w:val="22"/>
          <w:szCs w:val="22"/>
          <w:highlight w:val="none"/>
        </w:rPr>
        <w:t>。</w:t>
      </w:r>
    </w:p>
    <w:p w14:paraId="34949F66">
      <w:pPr>
        <w:spacing w:line="440" w:lineRule="exact"/>
        <w:ind w:left="550" w:hanging="550" w:hangingChars="250"/>
        <w:rPr>
          <w:rFonts w:ascii="宋体" w:cs="宋体"/>
          <w:sz w:val="22"/>
          <w:szCs w:val="22"/>
        </w:rPr>
      </w:pPr>
      <w:r>
        <w:rPr>
          <w:rFonts w:hint="eastAsia" w:ascii="宋体" w:cs="宋体"/>
          <w:bCs/>
          <w:sz w:val="22"/>
          <w:szCs w:val="22"/>
        </w:rPr>
        <w:t xml:space="preserve">3.   </w:t>
      </w:r>
      <w:r>
        <w:rPr>
          <w:rFonts w:hint="eastAsia" w:ascii="宋体" w:cs="宋体"/>
          <w:b/>
          <w:bCs/>
          <w:sz w:val="22"/>
          <w:szCs w:val="22"/>
        </w:rPr>
        <w:t>采购文件的修改</w:t>
      </w:r>
    </w:p>
    <w:p w14:paraId="113BB623">
      <w:pPr>
        <w:spacing w:line="440" w:lineRule="exact"/>
        <w:ind w:left="550" w:hanging="550" w:hangingChars="250"/>
        <w:rPr>
          <w:rFonts w:ascii="宋体" w:cs="宋体"/>
          <w:sz w:val="22"/>
          <w:szCs w:val="22"/>
        </w:rPr>
      </w:pPr>
      <w:r>
        <w:rPr>
          <w:rFonts w:hint="eastAsia" w:ascii="宋体" w:cs="宋体"/>
          <w:sz w:val="22"/>
          <w:szCs w:val="22"/>
        </w:rPr>
        <w:t>3.1  采购单位对已发出的采购文件进行必要的澄清或者修改的，应当在采购文件要求递交投标文件截止时间前一天，</w:t>
      </w:r>
      <w:r>
        <w:rPr>
          <w:rFonts w:hint="eastAsia" w:ascii="宋体" w:cs="宋体"/>
          <w:sz w:val="22"/>
          <w:szCs w:val="22"/>
          <w:lang w:eastAsia="zh-CN"/>
        </w:rPr>
        <w:t>在</w:t>
      </w:r>
      <w:r>
        <w:rPr>
          <w:rFonts w:hint="eastAsia" w:ascii="宋体" w:hAnsi="宋体" w:cs="宋体"/>
          <w:b/>
          <w:bCs/>
          <w:sz w:val="22"/>
          <w:szCs w:val="22"/>
          <w:u w:val="single"/>
        </w:rPr>
        <w:t>温州国企采购平台（wzgzw-cg.zhengcaiyun.cn）、浙江企业采购信息服务网（https://b.zhengcaiyun.cn/）</w:t>
      </w:r>
      <w:r>
        <w:rPr>
          <w:rFonts w:hint="eastAsia" w:ascii="宋体" w:hAnsi="宋体" w:cs="宋体"/>
          <w:b/>
          <w:bCs/>
          <w:sz w:val="22"/>
          <w:szCs w:val="22"/>
          <w:u w:val="single"/>
          <w:lang w:eastAsia="zh-CN"/>
        </w:rPr>
        <w:t>、温州市公用事业发展集团有限公司</w:t>
      </w:r>
      <w:r>
        <w:rPr>
          <w:rFonts w:hint="eastAsia" w:ascii="宋体" w:hAnsi="宋体" w:cs="宋体"/>
          <w:b/>
          <w:bCs/>
          <w:sz w:val="22"/>
          <w:szCs w:val="22"/>
          <w:u w:val="single"/>
          <w:lang w:val="en-US" w:eastAsia="zh-CN"/>
        </w:rPr>
        <w:t>官网（https://www.wzgytz.com/）</w:t>
      </w:r>
      <w:r>
        <w:rPr>
          <w:rFonts w:hint="eastAsia" w:ascii="宋体" w:cs="宋体"/>
          <w:sz w:val="22"/>
          <w:szCs w:val="22"/>
        </w:rPr>
        <w:t>等信息媒体上发布更正公告，并以书面形式通知所有采购文件收受人。该澄清或修改内容为采购文件的组成部分。采购文件收受人收到该书面通知后，应立即书面回复确认已收到该通知。</w:t>
      </w:r>
    </w:p>
    <w:p w14:paraId="6E742510">
      <w:pPr>
        <w:spacing w:line="440" w:lineRule="exact"/>
        <w:ind w:left="550" w:hanging="550" w:hangingChars="250"/>
        <w:rPr>
          <w:rFonts w:ascii="宋体" w:cs="宋体"/>
          <w:sz w:val="22"/>
          <w:szCs w:val="22"/>
        </w:rPr>
      </w:pPr>
      <w:r>
        <w:rPr>
          <w:rFonts w:hint="eastAsia" w:ascii="宋体" w:cs="宋体"/>
          <w:sz w:val="22"/>
          <w:szCs w:val="22"/>
        </w:rPr>
        <w:t>3.2  采购单位可以视采购的具体情况，延长投标文件递交截止时间和开标时间，并在采购文件要求递交投标文件的截止时间前，将变更时间书面通知所有采购文件收受人，同时在</w:t>
      </w:r>
      <w:r>
        <w:rPr>
          <w:rFonts w:hint="eastAsia" w:ascii="宋体" w:hAnsi="宋体" w:cs="宋体"/>
          <w:b/>
          <w:bCs/>
          <w:sz w:val="22"/>
          <w:szCs w:val="22"/>
          <w:u w:val="single"/>
        </w:rPr>
        <w:t>温州国企采购平台（wzgzw-cg.zhengcaiyun.cn）、浙江企业采购信息服务网（https://b.zhengcaiyun.cn/）</w:t>
      </w:r>
      <w:r>
        <w:rPr>
          <w:rFonts w:hint="eastAsia" w:ascii="宋体" w:hAnsi="宋体" w:cs="宋体"/>
          <w:b/>
          <w:bCs/>
          <w:sz w:val="22"/>
          <w:szCs w:val="22"/>
          <w:u w:val="single"/>
          <w:lang w:eastAsia="zh-CN"/>
        </w:rPr>
        <w:t>、温州市公用事业发展集团有限公司</w:t>
      </w:r>
      <w:r>
        <w:rPr>
          <w:rFonts w:hint="eastAsia" w:ascii="宋体" w:hAnsi="宋体" w:cs="宋体"/>
          <w:b/>
          <w:bCs/>
          <w:sz w:val="22"/>
          <w:szCs w:val="22"/>
          <w:u w:val="single"/>
          <w:lang w:val="en-US" w:eastAsia="zh-CN"/>
        </w:rPr>
        <w:t>官网（https://www.wzgytz.com/）</w:t>
      </w:r>
      <w:r>
        <w:rPr>
          <w:rFonts w:hint="eastAsia" w:ascii="宋体" w:cs="宋体"/>
          <w:sz w:val="22"/>
          <w:szCs w:val="22"/>
        </w:rPr>
        <w:t>等信息媒体上发布变更公告。采购文件收受人收到变更时间的书面通知后，应立即书面回复确认已收到该通知。</w:t>
      </w:r>
    </w:p>
    <w:p w14:paraId="50058D9E">
      <w:pPr>
        <w:pStyle w:val="7"/>
        <w:spacing w:line="680" w:lineRule="exact"/>
        <w:jc w:val="center"/>
        <w:rPr>
          <w:rFonts w:ascii="宋体" w:eastAsia="宋体" w:cs="宋体"/>
          <w:sz w:val="28"/>
          <w:szCs w:val="28"/>
        </w:rPr>
      </w:pPr>
      <w:bookmarkStart w:id="61" w:name="_Toc14472"/>
      <w:bookmarkStart w:id="62" w:name="_Toc15919"/>
      <w:bookmarkStart w:id="63" w:name="_Toc230773777"/>
      <w:bookmarkStart w:id="64" w:name="_Toc15301"/>
      <w:r>
        <w:rPr>
          <w:rFonts w:hint="eastAsia" w:ascii="宋体" w:eastAsia="宋体" w:cs="宋体"/>
          <w:sz w:val="28"/>
          <w:szCs w:val="28"/>
        </w:rPr>
        <w:t>三、 投标文件的编制</w:t>
      </w:r>
      <w:bookmarkEnd w:id="61"/>
      <w:bookmarkEnd w:id="62"/>
      <w:bookmarkEnd w:id="63"/>
      <w:bookmarkEnd w:id="64"/>
    </w:p>
    <w:p w14:paraId="6A9A2E29">
      <w:pPr>
        <w:spacing w:line="440" w:lineRule="exact"/>
        <w:ind w:left="550" w:hanging="550" w:hangingChars="250"/>
        <w:rPr>
          <w:rFonts w:ascii="宋体" w:cs="宋体"/>
          <w:b/>
          <w:sz w:val="22"/>
          <w:szCs w:val="22"/>
        </w:rPr>
      </w:pPr>
      <w:r>
        <w:rPr>
          <w:rFonts w:hint="eastAsia" w:ascii="宋体" w:cs="宋体"/>
          <w:sz w:val="22"/>
          <w:szCs w:val="22"/>
        </w:rPr>
        <w:t>1.   投标供应商应认真阅读采购文件中所有事项、格式、条款和技术规范等。</w:t>
      </w:r>
      <w:r>
        <w:rPr>
          <w:rFonts w:hint="eastAsia" w:ascii="宋体" w:cs="宋体"/>
          <w:b/>
          <w:sz w:val="22"/>
          <w:szCs w:val="22"/>
        </w:rPr>
        <w:t>投标供应商没有按照采购文件要求提交全部资料，或者没有对采购文件各个方面做出实质性响应，导致投标被拒绝的风险由投标供应商自行承担。</w:t>
      </w:r>
    </w:p>
    <w:p w14:paraId="70BCD04A">
      <w:pPr>
        <w:spacing w:line="440" w:lineRule="exact"/>
        <w:ind w:left="550" w:hanging="550" w:hangingChars="250"/>
        <w:rPr>
          <w:rFonts w:ascii="宋体" w:cs="宋体"/>
          <w:b/>
          <w:sz w:val="22"/>
          <w:szCs w:val="22"/>
        </w:rPr>
      </w:pPr>
      <w:r>
        <w:rPr>
          <w:rFonts w:hint="eastAsia" w:ascii="宋体" w:cs="宋体"/>
          <w:sz w:val="22"/>
          <w:szCs w:val="22"/>
        </w:rPr>
        <w:t xml:space="preserve">2.   </w:t>
      </w:r>
      <w:r>
        <w:rPr>
          <w:rFonts w:hint="eastAsia" w:ascii="宋体" w:cs="宋体"/>
          <w:b/>
          <w:sz w:val="22"/>
          <w:szCs w:val="22"/>
        </w:rPr>
        <w:t>投标供应商应保证所提供文件资料的真实性，所有文件资料必须是针对本次投标的。如发现投标供应商提供了虚假文件资料，其投标将被拒绝，并自行承担相应的法律责任。</w:t>
      </w:r>
    </w:p>
    <w:p w14:paraId="536938C9">
      <w:pPr>
        <w:spacing w:line="440" w:lineRule="exact"/>
        <w:ind w:left="552" w:hanging="552" w:hangingChars="250"/>
        <w:rPr>
          <w:rFonts w:ascii="宋体" w:cs="宋体"/>
          <w:sz w:val="22"/>
          <w:szCs w:val="22"/>
          <w:u w:val="single"/>
        </w:rPr>
      </w:pPr>
      <w:r>
        <w:rPr>
          <w:rFonts w:hint="eastAsia" w:ascii="宋体" w:cs="宋体"/>
          <w:b/>
          <w:sz w:val="22"/>
          <w:szCs w:val="22"/>
        </w:rPr>
        <w:t xml:space="preserve">3.   </w:t>
      </w:r>
      <w:r>
        <w:rPr>
          <w:rFonts w:hint="eastAsia" w:ascii="宋体" w:cs="宋体"/>
          <w:b/>
          <w:bCs/>
          <w:sz w:val="22"/>
          <w:szCs w:val="22"/>
        </w:rPr>
        <w:t>投标文件的构成：</w:t>
      </w:r>
    </w:p>
    <w:p w14:paraId="42BCA8DD">
      <w:pPr>
        <w:spacing w:line="440" w:lineRule="exact"/>
        <w:ind w:left="550" w:hanging="550" w:hangingChars="250"/>
        <w:rPr>
          <w:rFonts w:ascii="宋体" w:cs="宋体"/>
          <w:sz w:val="22"/>
          <w:szCs w:val="22"/>
        </w:rPr>
      </w:pPr>
      <w:r>
        <w:rPr>
          <w:rFonts w:hint="eastAsia" w:ascii="宋体" w:cs="宋体"/>
          <w:sz w:val="22"/>
          <w:szCs w:val="22"/>
        </w:rPr>
        <w:t>3.1  投标文件由技术资信标和商务（报价）标两部分构成：（如有要求提供响应资料原件、样品的，需现场递交，投标截止时间后不予接收。）</w:t>
      </w:r>
    </w:p>
    <w:p w14:paraId="5D7CC6B8">
      <w:pPr>
        <w:spacing w:line="440" w:lineRule="exact"/>
        <w:rPr>
          <w:rFonts w:ascii="宋体" w:cs="宋体"/>
          <w:b/>
          <w:sz w:val="22"/>
          <w:szCs w:val="22"/>
        </w:rPr>
      </w:pPr>
      <w:r>
        <w:rPr>
          <w:rFonts w:hint="eastAsia" w:ascii="宋体" w:cs="宋体"/>
          <w:sz w:val="22"/>
          <w:szCs w:val="22"/>
        </w:rPr>
        <w:t>3.1.1</w:t>
      </w:r>
      <w:r>
        <w:rPr>
          <w:rFonts w:hint="eastAsia" w:ascii="宋体" w:cs="宋体"/>
          <w:b/>
          <w:sz w:val="22"/>
          <w:szCs w:val="22"/>
        </w:rPr>
        <w:t>技术资信标</w:t>
      </w:r>
    </w:p>
    <w:tbl>
      <w:tblPr>
        <w:tblStyle w:val="5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0"/>
        <w:gridCol w:w="7167"/>
        <w:gridCol w:w="1492"/>
      </w:tblGrid>
      <w:tr w14:paraId="5D91D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800" w:type="dxa"/>
            <w:vAlign w:val="center"/>
          </w:tcPr>
          <w:p w14:paraId="6532BCD5">
            <w:pPr>
              <w:jc w:val="center"/>
              <w:rPr>
                <w:rFonts w:ascii="宋体" w:cs="宋体"/>
                <w:b/>
                <w:sz w:val="22"/>
                <w:szCs w:val="22"/>
              </w:rPr>
            </w:pPr>
            <w:r>
              <w:rPr>
                <w:rFonts w:hint="eastAsia" w:ascii="宋体" w:cs="宋体"/>
                <w:b/>
                <w:sz w:val="22"/>
                <w:szCs w:val="22"/>
              </w:rPr>
              <w:t>序号</w:t>
            </w:r>
          </w:p>
        </w:tc>
        <w:tc>
          <w:tcPr>
            <w:tcW w:w="7167" w:type="dxa"/>
            <w:vAlign w:val="center"/>
          </w:tcPr>
          <w:p w14:paraId="5556BA27">
            <w:pPr>
              <w:jc w:val="center"/>
              <w:rPr>
                <w:rFonts w:ascii="宋体" w:cs="宋体"/>
                <w:b/>
                <w:sz w:val="22"/>
                <w:szCs w:val="22"/>
              </w:rPr>
            </w:pPr>
            <w:r>
              <w:rPr>
                <w:rFonts w:hint="eastAsia" w:ascii="宋体" w:cs="宋体"/>
                <w:b/>
                <w:sz w:val="22"/>
                <w:szCs w:val="22"/>
              </w:rPr>
              <w:t>内容</w:t>
            </w:r>
          </w:p>
        </w:tc>
        <w:tc>
          <w:tcPr>
            <w:tcW w:w="1492" w:type="dxa"/>
            <w:vAlign w:val="center"/>
          </w:tcPr>
          <w:p w14:paraId="20058B9D">
            <w:pPr>
              <w:jc w:val="center"/>
              <w:rPr>
                <w:rFonts w:ascii="宋体" w:cs="宋体"/>
                <w:b/>
                <w:sz w:val="22"/>
                <w:szCs w:val="22"/>
              </w:rPr>
            </w:pPr>
            <w:r>
              <w:rPr>
                <w:rFonts w:hint="eastAsia" w:ascii="宋体" w:cs="宋体"/>
                <w:b/>
                <w:sz w:val="22"/>
                <w:szCs w:val="22"/>
              </w:rPr>
              <w:t>备注</w:t>
            </w:r>
          </w:p>
        </w:tc>
      </w:tr>
      <w:tr w14:paraId="0E462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0" w:type="dxa"/>
            <w:vAlign w:val="center"/>
          </w:tcPr>
          <w:p w14:paraId="30058CA7">
            <w:pPr>
              <w:jc w:val="center"/>
              <w:rPr>
                <w:rFonts w:ascii="宋体" w:cs="宋体"/>
                <w:sz w:val="22"/>
                <w:szCs w:val="22"/>
              </w:rPr>
            </w:pPr>
            <w:r>
              <w:rPr>
                <w:rFonts w:hint="eastAsia" w:ascii="宋体" w:cs="宋体"/>
                <w:sz w:val="22"/>
                <w:szCs w:val="22"/>
              </w:rPr>
              <w:t>（1）</w:t>
            </w:r>
          </w:p>
        </w:tc>
        <w:tc>
          <w:tcPr>
            <w:tcW w:w="7167" w:type="dxa"/>
            <w:vAlign w:val="center"/>
          </w:tcPr>
          <w:p w14:paraId="1E43A688">
            <w:pPr>
              <w:rPr>
                <w:rFonts w:ascii="宋体" w:cs="宋体"/>
                <w:b/>
                <w:sz w:val="22"/>
                <w:szCs w:val="22"/>
              </w:rPr>
            </w:pPr>
            <w:r>
              <w:rPr>
                <w:rFonts w:hint="eastAsia" w:ascii="宋体" w:cs="宋体"/>
                <w:sz w:val="22"/>
                <w:szCs w:val="22"/>
              </w:rPr>
              <w:t>投标函</w:t>
            </w:r>
          </w:p>
        </w:tc>
        <w:tc>
          <w:tcPr>
            <w:tcW w:w="1492" w:type="dxa"/>
            <w:vAlign w:val="center"/>
          </w:tcPr>
          <w:p w14:paraId="3894EB69">
            <w:pPr>
              <w:jc w:val="center"/>
              <w:rPr>
                <w:rFonts w:ascii="宋体" w:cs="宋体"/>
                <w:b/>
                <w:sz w:val="22"/>
                <w:szCs w:val="22"/>
              </w:rPr>
            </w:pPr>
            <w:r>
              <w:rPr>
                <w:rFonts w:hint="eastAsia" w:ascii="宋体" w:cs="宋体"/>
                <w:sz w:val="22"/>
                <w:szCs w:val="22"/>
              </w:rPr>
              <w:t>附件一</w:t>
            </w:r>
          </w:p>
        </w:tc>
      </w:tr>
      <w:tr w14:paraId="6806D5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0" w:type="dxa"/>
            <w:vAlign w:val="center"/>
          </w:tcPr>
          <w:p w14:paraId="7517468A">
            <w:pPr>
              <w:jc w:val="center"/>
              <w:rPr>
                <w:rFonts w:ascii="宋体" w:cs="宋体"/>
                <w:sz w:val="22"/>
                <w:szCs w:val="22"/>
              </w:rPr>
            </w:pPr>
            <w:r>
              <w:rPr>
                <w:rFonts w:hint="eastAsia" w:ascii="宋体" w:cs="宋体"/>
                <w:sz w:val="22"/>
                <w:szCs w:val="22"/>
              </w:rPr>
              <w:t>（2）</w:t>
            </w:r>
          </w:p>
        </w:tc>
        <w:tc>
          <w:tcPr>
            <w:tcW w:w="7167" w:type="dxa"/>
            <w:vAlign w:val="center"/>
          </w:tcPr>
          <w:p w14:paraId="532E08FF">
            <w:pPr>
              <w:rPr>
                <w:rFonts w:ascii="宋体" w:cs="宋体"/>
                <w:b/>
                <w:sz w:val="22"/>
                <w:szCs w:val="22"/>
              </w:rPr>
            </w:pPr>
            <w:r>
              <w:rPr>
                <w:rFonts w:hint="eastAsia" w:ascii="宋体" w:cs="宋体"/>
                <w:bCs/>
                <w:sz w:val="22"/>
                <w:szCs w:val="22"/>
              </w:rPr>
              <w:t>商务条款、技术规格偏离表</w:t>
            </w:r>
          </w:p>
        </w:tc>
        <w:tc>
          <w:tcPr>
            <w:tcW w:w="1492" w:type="dxa"/>
            <w:vAlign w:val="center"/>
          </w:tcPr>
          <w:p w14:paraId="4610AB54">
            <w:pPr>
              <w:jc w:val="center"/>
              <w:rPr>
                <w:rFonts w:ascii="宋体" w:cs="宋体"/>
                <w:b/>
                <w:sz w:val="22"/>
                <w:szCs w:val="22"/>
              </w:rPr>
            </w:pPr>
            <w:r>
              <w:rPr>
                <w:rFonts w:hint="eastAsia" w:ascii="宋体" w:cs="宋体"/>
                <w:sz w:val="22"/>
                <w:szCs w:val="22"/>
              </w:rPr>
              <w:t>附件五</w:t>
            </w:r>
          </w:p>
        </w:tc>
      </w:tr>
      <w:tr w14:paraId="2B298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0" w:type="dxa"/>
            <w:vAlign w:val="center"/>
          </w:tcPr>
          <w:p w14:paraId="307F7731">
            <w:pPr>
              <w:jc w:val="center"/>
              <w:rPr>
                <w:rFonts w:ascii="宋体" w:cs="宋体"/>
                <w:sz w:val="22"/>
                <w:szCs w:val="22"/>
              </w:rPr>
            </w:pPr>
            <w:r>
              <w:rPr>
                <w:rFonts w:hint="eastAsia" w:ascii="宋体" w:cs="宋体"/>
                <w:sz w:val="22"/>
                <w:szCs w:val="22"/>
              </w:rPr>
              <w:t>（3）</w:t>
            </w:r>
          </w:p>
        </w:tc>
        <w:tc>
          <w:tcPr>
            <w:tcW w:w="7167" w:type="dxa"/>
            <w:vAlign w:val="center"/>
          </w:tcPr>
          <w:p w14:paraId="2EE078F1">
            <w:pPr>
              <w:rPr>
                <w:rFonts w:ascii="宋体" w:cs="宋体"/>
                <w:sz w:val="22"/>
                <w:szCs w:val="22"/>
                <w:u w:val="single"/>
              </w:rPr>
            </w:pPr>
            <w:r>
              <w:rPr>
                <w:rFonts w:hint="eastAsia" w:ascii="宋体" w:cs="宋体"/>
                <w:b/>
                <w:bCs/>
                <w:sz w:val="22"/>
                <w:szCs w:val="22"/>
                <w:u w:val="single"/>
              </w:rPr>
              <w:t>▲</w:t>
            </w:r>
            <w:r>
              <w:rPr>
                <w:rFonts w:hint="eastAsia" w:ascii="宋体" w:cs="宋体"/>
                <w:b/>
                <w:sz w:val="22"/>
                <w:szCs w:val="22"/>
                <w:u w:val="single"/>
              </w:rPr>
              <w:t>资格证明文件</w:t>
            </w:r>
            <w:r>
              <w:rPr>
                <w:rFonts w:hint="eastAsia" w:ascii="宋体" w:cs="宋体"/>
                <w:sz w:val="22"/>
                <w:szCs w:val="22"/>
              </w:rPr>
              <w:t>：</w:t>
            </w:r>
          </w:p>
        </w:tc>
        <w:tc>
          <w:tcPr>
            <w:tcW w:w="1492" w:type="dxa"/>
            <w:vAlign w:val="center"/>
          </w:tcPr>
          <w:p w14:paraId="7CF545B1">
            <w:pPr>
              <w:jc w:val="center"/>
              <w:rPr>
                <w:rFonts w:ascii="宋体" w:cs="宋体"/>
                <w:sz w:val="22"/>
                <w:szCs w:val="22"/>
              </w:rPr>
            </w:pPr>
            <w:r>
              <w:rPr>
                <w:rFonts w:hint="eastAsia" w:ascii="宋体" w:cs="宋体"/>
                <w:sz w:val="22"/>
                <w:szCs w:val="22"/>
              </w:rPr>
              <w:t>附件四</w:t>
            </w:r>
          </w:p>
        </w:tc>
      </w:tr>
      <w:tr w14:paraId="53554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0" w:type="dxa"/>
            <w:vAlign w:val="center"/>
          </w:tcPr>
          <w:p w14:paraId="758D41AC">
            <w:pPr>
              <w:jc w:val="center"/>
              <w:rPr>
                <w:rFonts w:ascii="宋体" w:cs="宋体"/>
                <w:sz w:val="22"/>
                <w:szCs w:val="22"/>
              </w:rPr>
            </w:pPr>
            <w:r>
              <w:rPr>
                <w:rFonts w:hint="eastAsia" w:ascii="宋体" w:cs="宋体"/>
                <w:sz w:val="22"/>
                <w:szCs w:val="22"/>
              </w:rPr>
              <w:t>1)</w:t>
            </w:r>
          </w:p>
        </w:tc>
        <w:tc>
          <w:tcPr>
            <w:tcW w:w="7167" w:type="dxa"/>
            <w:vAlign w:val="center"/>
          </w:tcPr>
          <w:p w14:paraId="1DB92586">
            <w:pPr>
              <w:rPr>
                <w:rFonts w:ascii="宋体" w:cs="宋体"/>
                <w:b/>
                <w:sz w:val="22"/>
                <w:szCs w:val="22"/>
              </w:rPr>
            </w:pPr>
            <w:r>
              <w:rPr>
                <w:rFonts w:hint="eastAsia" w:ascii="宋体" w:cs="宋体"/>
                <w:sz w:val="22"/>
                <w:szCs w:val="22"/>
              </w:rPr>
              <w:t>法定代表人授权书</w:t>
            </w:r>
          </w:p>
        </w:tc>
        <w:tc>
          <w:tcPr>
            <w:tcW w:w="1492" w:type="dxa"/>
            <w:vAlign w:val="center"/>
          </w:tcPr>
          <w:p w14:paraId="0B1FC6C4">
            <w:pPr>
              <w:jc w:val="center"/>
              <w:rPr>
                <w:rFonts w:ascii="宋体" w:cs="宋体"/>
                <w:sz w:val="22"/>
                <w:szCs w:val="22"/>
              </w:rPr>
            </w:pPr>
          </w:p>
        </w:tc>
      </w:tr>
      <w:tr w14:paraId="02FD1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800" w:type="dxa"/>
            <w:vAlign w:val="center"/>
          </w:tcPr>
          <w:p w14:paraId="39125666">
            <w:pPr>
              <w:jc w:val="center"/>
              <w:rPr>
                <w:rFonts w:ascii="宋体" w:cs="宋体"/>
                <w:sz w:val="22"/>
                <w:szCs w:val="22"/>
              </w:rPr>
            </w:pPr>
            <w:r>
              <w:rPr>
                <w:rFonts w:hint="eastAsia" w:ascii="宋体" w:cs="宋体"/>
                <w:sz w:val="22"/>
                <w:szCs w:val="22"/>
              </w:rPr>
              <w:t>2)</w:t>
            </w:r>
          </w:p>
        </w:tc>
        <w:tc>
          <w:tcPr>
            <w:tcW w:w="7167" w:type="dxa"/>
            <w:vAlign w:val="center"/>
          </w:tcPr>
          <w:p w14:paraId="1C48B06E">
            <w:pPr>
              <w:rPr>
                <w:rFonts w:ascii="宋体" w:cs="宋体"/>
                <w:sz w:val="22"/>
                <w:szCs w:val="22"/>
              </w:rPr>
            </w:pPr>
            <w:r>
              <w:rPr>
                <w:rFonts w:hint="eastAsia" w:ascii="宋体" w:cs="宋体"/>
                <w:sz w:val="22"/>
                <w:szCs w:val="22"/>
              </w:rPr>
              <w:t>投标供应商有效营业执照副本</w:t>
            </w:r>
          </w:p>
        </w:tc>
        <w:tc>
          <w:tcPr>
            <w:tcW w:w="1492" w:type="dxa"/>
            <w:vAlign w:val="center"/>
          </w:tcPr>
          <w:p w14:paraId="00288389">
            <w:pPr>
              <w:jc w:val="center"/>
              <w:rPr>
                <w:rFonts w:ascii="宋体" w:cs="宋体"/>
                <w:sz w:val="22"/>
                <w:szCs w:val="22"/>
              </w:rPr>
            </w:pPr>
          </w:p>
        </w:tc>
      </w:tr>
      <w:tr w14:paraId="5F998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800" w:type="dxa"/>
            <w:vAlign w:val="center"/>
          </w:tcPr>
          <w:p w14:paraId="58AFE4D1">
            <w:pPr>
              <w:jc w:val="center"/>
              <w:rPr>
                <w:rFonts w:ascii="宋体" w:cs="宋体"/>
                <w:sz w:val="22"/>
                <w:szCs w:val="22"/>
              </w:rPr>
            </w:pPr>
            <w:r>
              <w:rPr>
                <w:rFonts w:hint="eastAsia" w:ascii="宋体" w:cs="宋体"/>
                <w:sz w:val="22"/>
                <w:szCs w:val="22"/>
              </w:rPr>
              <w:t>3)</w:t>
            </w:r>
          </w:p>
        </w:tc>
        <w:tc>
          <w:tcPr>
            <w:tcW w:w="7167" w:type="dxa"/>
            <w:vAlign w:val="center"/>
          </w:tcPr>
          <w:p w14:paraId="0C5C3D33">
            <w:pPr>
              <w:rPr>
                <w:rFonts w:ascii="宋体" w:cs="宋体"/>
                <w:bCs/>
                <w:sz w:val="22"/>
                <w:szCs w:val="22"/>
              </w:rPr>
            </w:pPr>
            <w:r>
              <w:rPr>
                <w:rFonts w:hint="eastAsia" w:ascii="宋体" w:cs="宋体"/>
                <w:bCs/>
                <w:sz w:val="22"/>
                <w:szCs w:val="22"/>
              </w:rPr>
              <w:t>供应商“信用中国”(www.creditchina.gov.cn)；“中国政府采购网”（http://www.ccgp.gov.cn/）信用记录网页截图（采购公告发布之日至投标截止时间前）</w:t>
            </w:r>
          </w:p>
        </w:tc>
        <w:tc>
          <w:tcPr>
            <w:tcW w:w="1492" w:type="dxa"/>
            <w:vAlign w:val="center"/>
          </w:tcPr>
          <w:p w14:paraId="55B73284">
            <w:pPr>
              <w:jc w:val="center"/>
              <w:rPr>
                <w:rFonts w:ascii="宋体" w:cs="宋体"/>
                <w:sz w:val="22"/>
                <w:szCs w:val="22"/>
              </w:rPr>
            </w:pPr>
          </w:p>
        </w:tc>
      </w:tr>
      <w:tr w14:paraId="415BD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800" w:type="dxa"/>
            <w:vAlign w:val="center"/>
          </w:tcPr>
          <w:p w14:paraId="41B1EA5F">
            <w:pPr>
              <w:jc w:val="center"/>
              <w:rPr>
                <w:rFonts w:ascii="宋体" w:cs="宋体"/>
                <w:sz w:val="22"/>
                <w:szCs w:val="22"/>
              </w:rPr>
            </w:pPr>
            <w:r>
              <w:rPr>
                <w:rFonts w:hint="eastAsia" w:ascii="宋体" w:cs="宋体"/>
                <w:sz w:val="22"/>
                <w:szCs w:val="22"/>
              </w:rPr>
              <w:t>4)</w:t>
            </w:r>
          </w:p>
        </w:tc>
        <w:tc>
          <w:tcPr>
            <w:tcW w:w="7167" w:type="dxa"/>
            <w:vAlign w:val="center"/>
          </w:tcPr>
          <w:p w14:paraId="7A6A61AE">
            <w:pPr>
              <w:rPr>
                <w:rFonts w:ascii="宋体" w:cs="宋体"/>
                <w:bCs/>
                <w:sz w:val="22"/>
                <w:szCs w:val="22"/>
              </w:rPr>
            </w:pPr>
            <w:r>
              <w:rPr>
                <w:rFonts w:hint="eastAsia" w:ascii="宋体" w:cs="宋体"/>
                <w:bCs/>
                <w:sz w:val="22"/>
                <w:szCs w:val="22"/>
              </w:rPr>
              <w:t>关于符合</w:t>
            </w:r>
            <w:r>
              <w:rPr>
                <w:rFonts w:hint="eastAsia" w:ascii="宋体" w:cs="宋体"/>
                <w:bCs/>
                <w:sz w:val="22"/>
                <w:szCs w:val="22"/>
                <w:lang w:eastAsia="zh-CN"/>
              </w:rPr>
              <w:t>《温州市市属国有企业采购管理办法》</w:t>
            </w:r>
            <w:r>
              <w:rPr>
                <w:rFonts w:hint="eastAsia" w:ascii="宋体" w:cs="宋体"/>
                <w:bCs/>
                <w:sz w:val="22"/>
                <w:szCs w:val="22"/>
              </w:rPr>
              <w:t>第十</w:t>
            </w:r>
            <w:r>
              <w:rPr>
                <w:rFonts w:hint="eastAsia" w:ascii="宋体" w:cs="宋体"/>
                <w:bCs/>
                <w:sz w:val="22"/>
                <w:szCs w:val="22"/>
                <w:lang w:eastAsia="zh-CN"/>
              </w:rPr>
              <w:t>八</w:t>
            </w:r>
            <w:r>
              <w:rPr>
                <w:rFonts w:hint="eastAsia" w:ascii="宋体" w:cs="宋体"/>
                <w:bCs/>
                <w:sz w:val="22"/>
                <w:szCs w:val="22"/>
              </w:rPr>
              <w:t>条规定的承诺函</w:t>
            </w:r>
          </w:p>
        </w:tc>
        <w:tc>
          <w:tcPr>
            <w:tcW w:w="1492" w:type="dxa"/>
            <w:vAlign w:val="center"/>
          </w:tcPr>
          <w:p w14:paraId="62863A41">
            <w:pPr>
              <w:jc w:val="center"/>
              <w:rPr>
                <w:rFonts w:ascii="宋体" w:cs="宋体"/>
                <w:sz w:val="22"/>
                <w:szCs w:val="22"/>
              </w:rPr>
            </w:pPr>
          </w:p>
        </w:tc>
      </w:tr>
      <w:tr w14:paraId="5110E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00" w:type="dxa"/>
            <w:vAlign w:val="center"/>
          </w:tcPr>
          <w:p w14:paraId="7FECF571">
            <w:pPr>
              <w:jc w:val="center"/>
              <w:rPr>
                <w:rFonts w:ascii="宋体" w:cs="宋体"/>
                <w:sz w:val="22"/>
                <w:szCs w:val="22"/>
              </w:rPr>
            </w:pPr>
            <w:r>
              <w:rPr>
                <w:rFonts w:hint="eastAsia" w:ascii="宋体" w:cs="宋体"/>
                <w:sz w:val="22"/>
                <w:szCs w:val="22"/>
              </w:rPr>
              <w:t>（4）</w:t>
            </w:r>
          </w:p>
        </w:tc>
        <w:tc>
          <w:tcPr>
            <w:tcW w:w="7167" w:type="dxa"/>
            <w:vAlign w:val="center"/>
          </w:tcPr>
          <w:p w14:paraId="575AE724">
            <w:pPr>
              <w:adjustRightInd w:val="0"/>
              <w:snapToGrid w:val="0"/>
              <w:rPr>
                <w:rFonts w:ascii="宋体" w:cs="宋体"/>
                <w:b/>
                <w:sz w:val="22"/>
                <w:szCs w:val="22"/>
              </w:rPr>
            </w:pPr>
            <w:r>
              <w:rPr>
                <w:rFonts w:hint="eastAsia" w:ascii="宋体" w:hAnsi="宋体" w:cs="宋体"/>
                <w:color w:val="000000"/>
                <w:szCs w:val="21"/>
              </w:rPr>
              <w:t>企业综合实力</w:t>
            </w:r>
          </w:p>
        </w:tc>
        <w:tc>
          <w:tcPr>
            <w:tcW w:w="1492" w:type="dxa"/>
            <w:vAlign w:val="center"/>
          </w:tcPr>
          <w:p w14:paraId="417BC2D1">
            <w:pPr>
              <w:jc w:val="center"/>
              <w:rPr>
                <w:rFonts w:ascii="宋体" w:cs="宋体"/>
                <w:sz w:val="22"/>
                <w:szCs w:val="22"/>
              </w:rPr>
            </w:pPr>
          </w:p>
        </w:tc>
      </w:tr>
      <w:tr w14:paraId="47C44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00" w:type="dxa"/>
            <w:vAlign w:val="center"/>
          </w:tcPr>
          <w:p w14:paraId="53235190">
            <w:pPr>
              <w:jc w:val="center"/>
              <w:rPr>
                <w:rFonts w:ascii="宋体" w:cs="宋体"/>
                <w:sz w:val="22"/>
                <w:szCs w:val="22"/>
              </w:rPr>
            </w:pPr>
            <w:r>
              <w:rPr>
                <w:rFonts w:hint="eastAsia" w:ascii="宋体" w:cs="宋体"/>
                <w:sz w:val="22"/>
                <w:szCs w:val="22"/>
              </w:rPr>
              <w:t>（5）</w:t>
            </w:r>
          </w:p>
        </w:tc>
        <w:tc>
          <w:tcPr>
            <w:tcW w:w="7167" w:type="dxa"/>
            <w:vAlign w:val="center"/>
          </w:tcPr>
          <w:p w14:paraId="33EC535C">
            <w:pPr>
              <w:rPr>
                <w:rFonts w:ascii="宋体" w:cs="宋体"/>
              </w:rPr>
            </w:pPr>
            <w:r>
              <w:rPr>
                <w:rFonts w:hint="eastAsia" w:ascii="宋体" w:cs="宋体"/>
              </w:rPr>
              <w:t>类似项目业绩</w:t>
            </w:r>
          </w:p>
        </w:tc>
        <w:tc>
          <w:tcPr>
            <w:tcW w:w="1492" w:type="dxa"/>
            <w:vAlign w:val="center"/>
          </w:tcPr>
          <w:p w14:paraId="4E3698B7">
            <w:pPr>
              <w:jc w:val="center"/>
              <w:rPr>
                <w:rFonts w:ascii="宋体" w:cs="宋体"/>
                <w:sz w:val="22"/>
                <w:szCs w:val="22"/>
              </w:rPr>
            </w:pPr>
            <w:r>
              <w:rPr>
                <w:rFonts w:hint="eastAsia" w:ascii="宋体" w:cs="宋体"/>
                <w:sz w:val="22"/>
                <w:szCs w:val="22"/>
              </w:rPr>
              <w:t>附件六</w:t>
            </w:r>
          </w:p>
        </w:tc>
      </w:tr>
      <w:tr w14:paraId="744B3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00" w:type="dxa"/>
            <w:vAlign w:val="center"/>
          </w:tcPr>
          <w:p w14:paraId="2DD4172C">
            <w:pPr>
              <w:jc w:val="center"/>
              <w:rPr>
                <w:rFonts w:ascii="宋体" w:cs="宋体"/>
                <w:sz w:val="22"/>
                <w:szCs w:val="22"/>
              </w:rPr>
            </w:pPr>
            <w:r>
              <w:rPr>
                <w:rFonts w:hint="eastAsia" w:ascii="宋体" w:cs="宋体"/>
                <w:sz w:val="22"/>
                <w:szCs w:val="22"/>
              </w:rPr>
              <w:t>（6）</w:t>
            </w:r>
          </w:p>
        </w:tc>
        <w:tc>
          <w:tcPr>
            <w:tcW w:w="7167" w:type="dxa"/>
            <w:vAlign w:val="center"/>
          </w:tcPr>
          <w:p w14:paraId="3F5CCC28">
            <w:pPr>
              <w:adjustRightInd w:val="0"/>
              <w:snapToGrid w:val="0"/>
              <w:rPr>
                <w:rFonts w:ascii="宋体" w:cs="宋体"/>
              </w:rPr>
            </w:pPr>
            <w:r>
              <w:rPr>
                <w:rFonts w:hint="eastAsia" w:ascii="新宋体" w:hAnsi="新宋体" w:eastAsia="新宋体" w:cs="新宋体"/>
                <w:sz w:val="22"/>
                <w:szCs w:val="22"/>
              </w:rPr>
              <w:t>项目人员配备</w:t>
            </w:r>
          </w:p>
        </w:tc>
        <w:tc>
          <w:tcPr>
            <w:tcW w:w="1492" w:type="dxa"/>
            <w:vAlign w:val="center"/>
          </w:tcPr>
          <w:p w14:paraId="1BF83FE3">
            <w:pPr>
              <w:jc w:val="center"/>
              <w:rPr>
                <w:rFonts w:ascii="宋体" w:cs="宋体"/>
                <w:sz w:val="22"/>
                <w:szCs w:val="22"/>
              </w:rPr>
            </w:pPr>
            <w:r>
              <w:rPr>
                <w:rFonts w:hint="eastAsia" w:ascii="宋体" w:cs="宋体"/>
                <w:sz w:val="22"/>
                <w:szCs w:val="22"/>
              </w:rPr>
              <w:t>附件七</w:t>
            </w:r>
          </w:p>
        </w:tc>
      </w:tr>
      <w:tr w14:paraId="61F1E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00" w:type="dxa"/>
            <w:vAlign w:val="center"/>
          </w:tcPr>
          <w:p w14:paraId="44BAB55B">
            <w:pPr>
              <w:jc w:val="center"/>
              <w:rPr>
                <w:rFonts w:ascii="宋体" w:cs="宋体"/>
                <w:sz w:val="22"/>
                <w:szCs w:val="22"/>
              </w:rPr>
            </w:pPr>
            <w:r>
              <w:rPr>
                <w:rFonts w:hint="eastAsia" w:ascii="宋体" w:cs="宋体"/>
                <w:sz w:val="22"/>
                <w:szCs w:val="22"/>
              </w:rPr>
              <w:t>（7）</w:t>
            </w:r>
          </w:p>
        </w:tc>
        <w:tc>
          <w:tcPr>
            <w:tcW w:w="7167" w:type="dxa"/>
            <w:vAlign w:val="center"/>
          </w:tcPr>
          <w:p w14:paraId="317B3BE5">
            <w:pPr>
              <w:jc w:val="left"/>
              <w:rPr>
                <w:rFonts w:ascii="宋体" w:cs="宋体"/>
              </w:rPr>
            </w:pPr>
            <w:r>
              <w:rPr>
                <w:rFonts w:hint="eastAsia" w:ascii="宋体" w:hAnsi="宋体" w:cs="宋体"/>
                <w:color w:val="000000"/>
                <w:szCs w:val="21"/>
              </w:rPr>
              <w:t>总体技术方案</w:t>
            </w:r>
          </w:p>
        </w:tc>
        <w:tc>
          <w:tcPr>
            <w:tcW w:w="1492" w:type="dxa"/>
            <w:vAlign w:val="center"/>
          </w:tcPr>
          <w:p w14:paraId="2FFF4141">
            <w:pPr>
              <w:jc w:val="center"/>
              <w:rPr>
                <w:rFonts w:ascii="宋体" w:cs="宋体"/>
                <w:sz w:val="22"/>
                <w:szCs w:val="22"/>
              </w:rPr>
            </w:pPr>
          </w:p>
        </w:tc>
      </w:tr>
      <w:tr w14:paraId="68506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00" w:type="dxa"/>
            <w:vAlign w:val="center"/>
          </w:tcPr>
          <w:p w14:paraId="4268A1D8">
            <w:pPr>
              <w:jc w:val="center"/>
              <w:rPr>
                <w:rFonts w:ascii="宋体" w:cs="宋体"/>
                <w:sz w:val="22"/>
                <w:szCs w:val="22"/>
              </w:rPr>
            </w:pPr>
            <w:r>
              <w:rPr>
                <w:rFonts w:hint="eastAsia" w:ascii="宋体" w:cs="宋体"/>
                <w:sz w:val="22"/>
                <w:szCs w:val="22"/>
              </w:rPr>
              <w:t>（8）</w:t>
            </w:r>
          </w:p>
        </w:tc>
        <w:tc>
          <w:tcPr>
            <w:tcW w:w="7167" w:type="dxa"/>
            <w:vAlign w:val="center"/>
          </w:tcPr>
          <w:p w14:paraId="634D0337">
            <w:pPr>
              <w:jc w:val="left"/>
              <w:rPr>
                <w:rFonts w:ascii="宋体" w:hAnsi="宋体" w:cs="宋体"/>
                <w:kern w:val="0"/>
                <w:szCs w:val="21"/>
              </w:rPr>
            </w:pPr>
            <w:r>
              <w:rPr>
                <w:rFonts w:hint="eastAsia" w:ascii="宋体" w:hAnsi="宋体" w:cs="宋体"/>
                <w:color w:val="000000"/>
                <w:szCs w:val="21"/>
              </w:rPr>
              <w:t>实施方案</w:t>
            </w:r>
          </w:p>
        </w:tc>
        <w:tc>
          <w:tcPr>
            <w:tcW w:w="1492" w:type="dxa"/>
            <w:vAlign w:val="center"/>
          </w:tcPr>
          <w:p w14:paraId="54DA156B">
            <w:pPr>
              <w:jc w:val="center"/>
              <w:rPr>
                <w:rFonts w:ascii="宋体" w:cs="宋体"/>
                <w:sz w:val="22"/>
                <w:szCs w:val="22"/>
              </w:rPr>
            </w:pPr>
          </w:p>
        </w:tc>
      </w:tr>
      <w:tr w14:paraId="4AD34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00" w:type="dxa"/>
            <w:vAlign w:val="center"/>
          </w:tcPr>
          <w:p w14:paraId="635D7217">
            <w:pPr>
              <w:jc w:val="center"/>
              <w:rPr>
                <w:rFonts w:ascii="宋体" w:cs="宋体"/>
                <w:sz w:val="22"/>
                <w:szCs w:val="22"/>
              </w:rPr>
            </w:pPr>
            <w:r>
              <w:rPr>
                <w:rFonts w:hint="eastAsia" w:ascii="宋体" w:cs="宋体"/>
                <w:sz w:val="22"/>
                <w:szCs w:val="22"/>
              </w:rPr>
              <w:t>（9）</w:t>
            </w:r>
          </w:p>
        </w:tc>
        <w:tc>
          <w:tcPr>
            <w:tcW w:w="7167" w:type="dxa"/>
            <w:vAlign w:val="center"/>
          </w:tcPr>
          <w:p w14:paraId="1AC8F46F">
            <w:pPr>
              <w:jc w:val="left"/>
              <w:rPr>
                <w:rFonts w:ascii="宋体" w:hAnsi="宋体" w:cs="宋体"/>
                <w:szCs w:val="21"/>
              </w:rPr>
            </w:pPr>
            <w:r>
              <w:rPr>
                <w:rFonts w:hint="eastAsia" w:ascii="宋体" w:hAnsi="宋体" w:cs="宋体"/>
                <w:color w:val="000000"/>
                <w:szCs w:val="21"/>
              </w:rPr>
              <w:t>培训方案</w:t>
            </w:r>
          </w:p>
        </w:tc>
        <w:tc>
          <w:tcPr>
            <w:tcW w:w="1492" w:type="dxa"/>
            <w:vAlign w:val="center"/>
          </w:tcPr>
          <w:p w14:paraId="78F49C21">
            <w:pPr>
              <w:jc w:val="center"/>
              <w:rPr>
                <w:rFonts w:ascii="宋体" w:cs="宋体"/>
                <w:sz w:val="22"/>
                <w:szCs w:val="22"/>
              </w:rPr>
            </w:pPr>
          </w:p>
        </w:tc>
      </w:tr>
      <w:tr w14:paraId="6E909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00" w:type="dxa"/>
            <w:vAlign w:val="center"/>
          </w:tcPr>
          <w:p w14:paraId="7A795A92">
            <w:pPr>
              <w:jc w:val="center"/>
              <w:rPr>
                <w:rFonts w:ascii="宋体" w:cs="宋体"/>
                <w:sz w:val="22"/>
                <w:szCs w:val="22"/>
              </w:rPr>
            </w:pPr>
            <w:r>
              <w:rPr>
                <w:rFonts w:hint="eastAsia" w:ascii="宋体" w:cs="宋体"/>
                <w:sz w:val="22"/>
                <w:szCs w:val="22"/>
              </w:rPr>
              <w:t>（10）</w:t>
            </w:r>
          </w:p>
        </w:tc>
        <w:tc>
          <w:tcPr>
            <w:tcW w:w="7167" w:type="dxa"/>
            <w:vAlign w:val="center"/>
          </w:tcPr>
          <w:p w14:paraId="30499909">
            <w:pPr>
              <w:jc w:val="left"/>
              <w:rPr>
                <w:rFonts w:ascii="新宋体" w:hAnsi="新宋体" w:eastAsia="新宋体" w:cs="新宋体"/>
                <w:sz w:val="22"/>
                <w:szCs w:val="22"/>
              </w:rPr>
            </w:pPr>
            <w:r>
              <w:rPr>
                <w:rFonts w:hint="eastAsia" w:ascii="宋体" w:hAnsi="宋体" w:cs="宋体"/>
                <w:color w:val="000000"/>
                <w:szCs w:val="21"/>
              </w:rPr>
              <w:t>售后服务方案</w:t>
            </w:r>
          </w:p>
        </w:tc>
        <w:tc>
          <w:tcPr>
            <w:tcW w:w="1492" w:type="dxa"/>
            <w:vAlign w:val="center"/>
          </w:tcPr>
          <w:p w14:paraId="2854441D">
            <w:pPr>
              <w:jc w:val="center"/>
              <w:rPr>
                <w:rFonts w:ascii="宋体" w:cs="宋体"/>
                <w:sz w:val="22"/>
                <w:szCs w:val="22"/>
              </w:rPr>
            </w:pPr>
          </w:p>
        </w:tc>
      </w:tr>
      <w:tr w14:paraId="50787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0" w:type="dxa"/>
            <w:vAlign w:val="center"/>
          </w:tcPr>
          <w:p w14:paraId="03FC8CCE">
            <w:pPr>
              <w:jc w:val="center"/>
              <w:rPr>
                <w:rFonts w:ascii="宋体" w:cs="宋体"/>
                <w:sz w:val="22"/>
                <w:szCs w:val="22"/>
              </w:rPr>
            </w:pPr>
            <w:r>
              <w:rPr>
                <w:rFonts w:hint="eastAsia" w:ascii="宋体" w:cs="宋体"/>
                <w:sz w:val="22"/>
                <w:szCs w:val="22"/>
              </w:rPr>
              <w:t>（11）</w:t>
            </w:r>
          </w:p>
        </w:tc>
        <w:tc>
          <w:tcPr>
            <w:tcW w:w="7167" w:type="dxa"/>
            <w:vAlign w:val="center"/>
          </w:tcPr>
          <w:p w14:paraId="6827F0DB">
            <w:pPr>
              <w:snapToGrid w:val="0"/>
              <w:spacing w:line="300" w:lineRule="exact"/>
              <w:rPr>
                <w:rFonts w:ascii="宋体" w:cs="宋体"/>
                <w:sz w:val="22"/>
                <w:szCs w:val="22"/>
              </w:rPr>
            </w:pPr>
            <w:r>
              <w:rPr>
                <w:rFonts w:hint="eastAsia" w:ascii="宋体" w:cs="宋体"/>
                <w:sz w:val="22"/>
                <w:szCs w:val="22"/>
              </w:rPr>
              <w:t>投标供应商认为需要提供的其他文件和技术资料</w:t>
            </w:r>
          </w:p>
        </w:tc>
        <w:tc>
          <w:tcPr>
            <w:tcW w:w="1492" w:type="dxa"/>
            <w:vAlign w:val="center"/>
          </w:tcPr>
          <w:p w14:paraId="117E3F13">
            <w:pPr>
              <w:jc w:val="center"/>
              <w:rPr>
                <w:rFonts w:ascii="宋体" w:cs="宋体"/>
                <w:sz w:val="22"/>
                <w:szCs w:val="22"/>
              </w:rPr>
            </w:pPr>
          </w:p>
        </w:tc>
      </w:tr>
    </w:tbl>
    <w:p w14:paraId="052974C0">
      <w:pPr>
        <w:spacing w:line="460" w:lineRule="exact"/>
        <w:rPr>
          <w:rFonts w:ascii="宋体" w:cs="宋体"/>
          <w:sz w:val="22"/>
          <w:szCs w:val="22"/>
          <w:u w:val="single"/>
        </w:rPr>
      </w:pPr>
      <w:r>
        <w:rPr>
          <w:rFonts w:hint="eastAsia" w:ascii="宋体" w:cs="宋体"/>
          <w:b/>
          <w:bCs/>
          <w:snapToGrid w:val="0"/>
          <w:kern w:val="0"/>
          <w:szCs w:val="21"/>
        </w:rPr>
        <w:t xml:space="preserve">注：  </w:t>
      </w:r>
      <w:r>
        <w:rPr>
          <w:rFonts w:hint="eastAsia" w:ascii="宋体" w:cs="宋体"/>
          <w:b/>
          <w:bCs/>
          <w:kern w:val="0"/>
          <w:szCs w:val="21"/>
        </w:rPr>
        <w:t>以上所需的各种证书、证件、证明、执照若系复印件，须加盖投标供应商单位公章</w:t>
      </w:r>
      <w:r>
        <w:rPr>
          <w:rFonts w:hint="eastAsia" w:ascii="宋体" w:cs="宋体"/>
          <w:b/>
          <w:kern w:val="0"/>
          <w:szCs w:val="21"/>
        </w:rPr>
        <w:t>。</w:t>
      </w:r>
    </w:p>
    <w:p w14:paraId="39E00525">
      <w:pPr>
        <w:spacing w:line="440" w:lineRule="exact"/>
        <w:rPr>
          <w:rFonts w:ascii="宋体" w:cs="宋体"/>
          <w:sz w:val="22"/>
          <w:szCs w:val="22"/>
        </w:rPr>
      </w:pPr>
      <w:r>
        <w:rPr>
          <w:rFonts w:hint="eastAsia" w:ascii="宋体" w:cs="宋体"/>
          <w:sz w:val="22"/>
          <w:szCs w:val="22"/>
        </w:rPr>
        <w:t>3.1.2</w:t>
      </w:r>
      <w:r>
        <w:rPr>
          <w:rFonts w:hint="eastAsia" w:ascii="宋体" w:cs="宋体"/>
          <w:b/>
          <w:sz w:val="22"/>
          <w:szCs w:val="22"/>
        </w:rPr>
        <w:t>商务（报价）标</w:t>
      </w:r>
    </w:p>
    <w:tbl>
      <w:tblPr>
        <w:tblStyle w:val="5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0"/>
        <w:gridCol w:w="7167"/>
        <w:gridCol w:w="1410"/>
      </w:tblGrid>
      <w:tr w14:paraId="073AC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0" w:type="dxa"/>
            <w:vAlign w:val="center"/>
          </w:tcPr>
          <w:p w14:paraId="3DBF0B9D">
            <w:pPr>
              <w:jc w:val="center"/>
              <w:rPr>
                <w:rFonts w:ascii="宋体" w:cs="宋体"/>
                <w:b/>
                <w:sz w:val="22"/>
                <w:szCs w:val="22"/>
              </w:rPr>
            </w:pPr>
            <w:r>
              <w:rPr>
                <w:rFonts w:hint="eastAsia" w:ascii="宋体" w:cs="宋体"/>
                <w:b/>
                <w:sz w:val="22"/>
                <w:szCs w:val="22"/>
              </w:rPr>
              <w:t>序号</w:t>
            </w:r>
          </w:p>
        </w:tc>
        <w:tc>
          <w:tcPr>
            <w:tcW w:w="7167" w:type="dxa"/>
            <w:vAlign w:val="center"/>
          </w:tcPr>
          <w:p w14:paraId="4AB6988C">
            <w:pPr>
              <w:jc w:val="center"/>
              <w:rPr>
                <w:rFonts w:ascii="宋体" w:cs="宋体"/>
                <w:b/>
                <w:sz w:val="22"/>
                <w:szCs w:val="22"/>
              </w:rPr>
            </w:pPr>
            <w:r>
              <w:rPr>
                <w:rFonts w:hint="eastAsia" w:ascii="宋体" w:cs="宋体"/>
                <w:b/>
                <w:sz w:val="22"/>
                <w:szCs w:val="22"/>
              </w:rPr>
              <w:t>内容</w:t>
            </w:r>
          </w:p>
        </w:tc>
        <w:tc>
          <w:tcPr>
            <w:tcW w:w="1410" w:type="dxa"/>
            <w:vAlign w:val="center"/>
          </w:tcPr>
          <w:p w14:paraId="7D47F1E5">
            <w:pPr>
              <w:jc w:val="center"/>
              <w:rPr>
                <w:rFonts w:ascii="宋体" w:cs="宋体"/>
                <w:b/>
                <w:sz w:val="22"/>
                <w:szCs w:val="22"/>
              </w:rPr>
            </w:pPr>
            <w:r>
              <w:rPr>
                <w:rFonts w:hint="eastAsia" w:ascii="宋体" w:cs="宋体"/>
                <w:b/>
                <w:sz w:val="22"/>
                <w:szCs w:val="22"/>
              </w:rPr>
              <w:t>备注</w:t>
            </w:r>
          </w:p>
        </w:tc>
      </w:tr>
      <w:tr w14:paraId="71DDB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0" w:type="dxa"/>
            <w:vAlign w:val="center"/>
          </w:tcPr>
          <w:p w14:paraId="7C1576C3">
            <w:pPr>
              <w:jc w:val="center"/>
              <w:rPr>
                <w:rFonts w:ascii="宋体" w:cs="宋体"/>
                <w:sz w:val="22"/>
                <w:szCs w:val="22"/>
              </w:rPr>
            </w:pPr>
            <w:r>
              <w:rPr>
                <w:rFonts w:hint="eastAsia" w:ascii="宋体" w:cs="宋体"/>
                <w:sz w:val="22"/>
                <w:szCs w:val="22"/>
              </w:rPr>
              <w:t>（1）</w:t>
            </w:r>
          </w:p>
        </w:tc>
        <w:tc>
          <w:tcPr>
            <w:tcW w:w="7167" w:type="dxa"/>
            <w:vAlign w:val="center"/>
          </w:tcPr>
          <w:p w14:paraId="68F2F47F">
            <w:pPr>
              <w:rPr>
                <w:rFonts w:ascii="宋体" w:cs="宋体"/>
                <w:b/>
                <w:sz w:val="22"/>
                <w:szCs w:val="22"/>
              </w:rPr>
            </w:pPr>
            <w:r>
              <w:rPr>
                <w:rFonts w:hint="eastAsia" w:ascii="宋体" w:cs="宋体"/>
                <w:sz w:val="22"/>
                <w:szCs w:val="22"/>
              </w:rPr>
              <w:t>投标报价一览表</w:t>
            </w:r>
          </w:p>
        </w:tc>
        <w:tc>
          <w:tcPr>
            <w:tcW w:w="1410" w:type="dxa"/>
            <w:vAlign w:val="center"/>
          </w:tcPr>
          <w:p w14:paraId="475EEE83">
            <w:pPr>
              <w:jc w:val="center"/>
              <w:rPr>
                <w:rFonts w:ascii="宋体" w:cs="宋体"/>
                <w:b/>
                <w:sz w:val="22"/>
                <w:szCs w:val="22"/>
              </w:rPr>
            </w:pPr>
            <w:r>
              <w:rPr>
                <w:rFonts w:hint="eastAsia" w:ascii="宋体" w:cs="宋体"/>
                <w:sz w:val="22"/>
                <w:szCs w:val="22"/>
              </w:rPr>
              <w:t>附件二</w:t>
            </w:r>
          </w:p>
        </w:tc>
      </w:tr>
      <w:tr w14:paraId="5D2A2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00" w:type="dxa"/>
            <w:vAlign w:val="center"/>
          </w:tcPr>
          <w:p w14:paraId="0C82E6AF">
            <w:pPr>
              <w:jc w:val="center"/>
              <w:rPr>
                <w:rFonts w:ascii="宋体" w:cs="宋体"/>
                <w:sz w:val="22"/>
                <w:szCs w:val="22"/>
              </w:rPr>
            </w:pPr>
            <w:r>
              <w:rPr>
                <w:rFonts w:hint="eastAsia" w:ascii="宋体" w:cs="宋体"/>
                <w:sz w:val="22"/>
                <w:szCs w:val="22"/>
              </w:rPr>
              <w:t>（2）</w:t>
            </w:r>
          </w:p>
        </w:tc>
        <w:tc>
          <w:tcPr>
            <w:tcW w:w="7167" w:type="dxa"/>
            <w:vAlign w:val="center"/>
          </w:tcPr>
          <w:p w14:paraId="125BF6F1">
            <w:pPr>
              <w:rPr>
                <w:rFonts w:ascii="宋体" w:cs="宋体"/>
                <w:sz w:val="22"/>
                <w:szCs w:val="22"/>
              </w:rPr>
            </w:pPr>
            <w:r>
              <w:rPr>
                <w:rFonts w:hint="eastAsia" w:cs="宋体"/>
                <w:sz w:val="22"/>
                <w:szCs w:val="22"/>
              </w:rPr>
              <w:t>投标分项报价表</w:t>
            </w:r>
          </w:p>
        </w:tc>
        <w:tc>
          <w:tcPr>
            <w:tcW w:w="1410" w:type="dxa"/>
            <w:vAlign w:val="center"/>
          </w:tcPr>
          <w:p w14:paraId="09F127E5">
            <w:pPr>
              <w:jc w:val="center"/>
              <w:rPr>
                <w:rFonts w:ascii="宋体" w:cs="宋体"/>
                <w:sz w:val="22"/>
                <w:szCs w:val="22"/>
              </w:rPr>
            </w:pPr>
            <w:r>
              <w:rPr>
                <w:rFonts w:hint="eastAsia" w:ascii="宋体" w:cs="宋体"/>
                <w:sz w:val="22"/>
                <w:szCs w:val="22"/>
              </w:rPr>
              <w:t>附件三</w:t>
            </w:r>
          </w:p>
        </w:tc>
      </w:tr>
    </w:tbl>
    <w:p w14:paraId="54F3F1E9">
      <w:pPr>
        <w:spacing w:line="440" w:lineRule="exact"/>
        <w:rPr>
          <w:rFonts w:hint="eastAsia" w:ascii="宋体" w:hAnsi="Times New Roman" w:eastAsia="宋体" w:cs="宋体"/>
          <w:b/>
          <w:kern w:val="2"/>
          <w:sz w:val="22"/>
          <w:szCs w:val="22"/>
        </w:rPr>
      </w:pPr>
      <w:r>
        <w:rPr>
          <w:rFonts w:hint="eastAsia" w:ascii="宋体" w:hAnsi="Times New Roman" w:eastAsia="宋体" w:cs="宋体"/>
          <w:b/>
          <w:sz w:val="22"/>
          <w:szCs w:val="22"/>
        </w:rPr>
        <w:t>3.1.</w:t>
      </w:r>
      <w:r>
        <w:rPr>
          <w:rFonts w:hint="eastAsia" w:ascii="宋体" w:hAnsi="Times New Roman" w:eastAsia="宋体" w:cs="宋体"/>
          <w:b/>
          <w:sz w:val="22"/>
          <w:szCs w:val="22"/>
          <w:lang w:eastAsia="zh-CN"/>
        </w:rPr>
        <w:t>3</w:t>
      </w:r>
      <w:r>
        <w:rPr>
          <w:rFonts w:hint="eastAsia" w:ascii="宋体" w:hAnsi="宋体" w:cs="宋体"/>
          <w:b/>
          <w:bCs/>
          <w:sz w:val="22"/>
        </w:rPr>
        <w:t>电子版U盘投标文件</w:t>
      </w:r>
    </w:p>
    <w:p w14:paraId="0F577ECC">
      <w:pPr>
        <w:spacing w:line="360" w:lineRule="auto"/>
        <w:rPr>
          <w:rFonts w:hint="eastAsia" w:ascii="宋体" w:hAnsi="宋体" w:cs="宋体"/>
          <w:b/>
          <w:bCs/>
          <w:sz w:val="22"/>
          <w:szCs w:val="22"/>
          <w:u w:val="single"/>
          <w:lang w:val="zh-CN" w:bidi="ar"/>
        </w:rPr>
      </w:pPr>
      <w:r>
        <w:rPr>
          <w:rFonts w:hint="eastAsia" w:ascii="宋体" w:hAnsi="宋体" w:cs="宋体"/>
          <w:b/>
          <w:bCs/>
          <w:sz w:val="22"/>
          <w:szCs w:val="22"/>
        </w:rPr>
        <w:t>▲</w:t>
      </w:r>
      <w:r>
        <w:rPr>
          <w:rFonts w:hint="eastAsia" w:ascii="宋体" w:hAnsi="宋体" w:cs="宋体"/>
          <w:b/>
          <w:bCs/>
          <w:sz w:val="22"/>
          <w:szCs w:val="22"/>
          <w:u w:val="single"/>
          <w:lang w:val="zh-CN" w:bidi="ar"/>
        </w:rPr>
        <w:t>本项目要求投标供应商提供投标文件电子版（存储在U盘中，要求PDF格式，彩色扫描，含签字、盖章等，U盘或U盘中的文件不得加密）作为电子资料存档使用。投标文件电子版应包含投标文件（包括技术资信标和商务标）正本的完整扫描件，如果分项报价表中的规格较多（超出20种），还应提供分项报价表的Word文字版。工程项目的已标价工程量清单还应提供EXCEL版。U盘与商务标一起密封，未按要求提供投标文件电子版的按无效标处理。</w:t>
      </w:r>
    </w:p>
    <w:p w14:paraId="272DE739">
      <w:pPr>
        <w:spacing w:line="360" w:lineRule="auto"/>
        <w:rPr>
          <w:rFonts w:ascii="宋体" w:cs="宋体"/>
          <w:sz w:val="22"/>
          <w:szCs w:val="22"/>
        </w:rPr>
      </w:pPr>
      <w:r>
        <w:rPr>
          <w:rFonts w:hint="eastAsia" w:ascii="宋体" w:cs="宋体"/>
          <w:sz w:val="22"/>
          <w:szCs w:val="22"/>
        </w:rPr>
        <w:t>3.2  投标文件格式</w:t>
      </w:r>
    </w:p>
    <w:p w14:paraId="3D396C3A">
      <w:pPr>
        <w:numPr>
          <w:ilvl w:val="0"/>
          <w:numId w:val="5"/>
        </w:numPr>
        <w:tabs>
          <w:tab w:val="left" w:pos="5355"/>
        </w:tabs>
        <w:overflowPunct w:val="0"/>
        <w:spacing w:line="360" w:lineRule="auto"/>
        <w:ind w:left="10" w:hanging="10"/>
        <w:rPr>
          <w:rFonts w:ascii="宋体" w:cs="宋体"/>
          <w:szCs w:val="21"/>
        </w:rPr>
      </w:pPr>
      <w:r>
        <w:rPr>
          <w:rFonts w:hint="eastAsia" w:ascii="宋体" w:cs="宋体"/>
          <w:szCs w:val="21"/>
        </w:rPr>
        <w:t>投标供应商应根据采购文件中所提供的格式，内容按顺序填写并装订成册；</w:t>
      </w:r>
    </w:p>
    <w:p w14:paraId="47901755">
      <w:pPr>
        <w:numPr>
          <w:ilvl w:val="0"/>
          <w:numId w:val="5"/>
        </w:numPr>
        <w:tabs>
          <w:tab w:val="left" w:pos="5355"/>
        </w:tabs>
        <w:overflowPunct w:val="0"/>
        <w:spacing w:line="360" w:lineRule="auto"/>
        <w:ind w:left="10" w:hanging="10"/>
        <w:rPr>
          <w:rFonts w:ascii="宋体" w:cs="宋体"/>
          <w:szCs w:val="21"/>
        </w:rPr>
      </w:pPr>
      <w:r>
        <w:rPr>
          <w:rFonts w:hint="eastAsia" w:ascii="宋体" w:cs="宋体"/>
          <w:szCs w:val="21"/>
        </w:rPr>
        <w:t>投标文件应有目录以及页码，以便评委检索；</w:t>
      </w:r>
    </w:p>
    <w:p w14:paraId="61FB35A2">
      <w:pPr>
        <w:numPr>
          <w:ilvl w:val="0"/>
          <w:numId w:val="5"/>
        </w:numPr>
        <w:tabs>
          <w:tab w:val="left" w:pos="5355"/>
        </w:tabs>
        <w:overflowPunct w:val="0"/>
        <w:spacing w:line="360" w:lineRule="auto"/>
        <w:ind w:left="10" w:hanging="10"/>
        <w:rPr>
          <w:rFonts w:ascii="宋体" w:cs="宋体"/>
          <w:b/>
          <w:bCs/>
          <w:szCs w:val="21"/>
        </w:rPr>
      </w:pPr>
      <w:r>
        <w:rPr>
          <w:rFonts w:hint="eastAsia" w:ascii="宋体" w:cs="宋体"/>
          <w:b/>
          <w:bCs/>
          <w:szCs w:val="21"/>
        </w:rPr>
        <w:t>投标文件表述内容应简练，尽可能以双面打印（复印）制作；</w:t>
      </w:r>
    </w:p>
    <w:p w14:paraId="3D1CD3E2">
      <w:pPr>
        <w:numPr>
          <w:ilvl w:val="0"/>
          <w:numId w:val="5"/>
        </w:numPr>
        <w:tabs>
          <w:tab w:val="left" w:pos="5355"/>
        </w:tabs>
        <w:overflowPunct w:val="0"/>
        <w:spacing w:line="360" w:lineRule="auto"/>
        <w:ind w:left="567" w:hanging="567"/>
        <w:rPr>
          <w:rFonts w:ascii="宋体" w:cs="宋体"/>
          <w:sz w:val="22"/>
          <w:szCs w:val="22"/>
        </w:rPr>
      </w:pPr>
      <w:r>
        <w:rPr>
          <w:rFonts w:hint="eastAsia" w:ascii="宋体" w:cs="宋体"/>
          <w:szCs w:val="21"/>
        </w:rPr>
        <w:t>投标文件的技术资信标及商务（报价）标须单独成册，分别包装于技术资信标和商务（报价）标标函袋中。</w:t>
      </w:r>
    </w:p>
    <w:p w14:paraId="21F06B87">
      <w:pPr>
        <w:tabs>
          <w:tab w:val="left" w:pos="-180"/>
          <w:tab w:val="left" w:pos="180"/>
          <w:tab w:val="left" w:pos="360"/>
        </w:tabs>
        <w:spacing w:line="360" w:lineRule="auto"/>
        <w:rPr>
          <w:rFonts w:ascii="宋体" w:cs="宋体"/>
          <w:sz w:val="22"/>
          <w:szCs w:val="22"/>
        </w:rPr>
      </w:pPr>
      <w:r>
        <w:rPr>
          <w:rFonts w:hint="eastAsia" w:ascii="宋体" w:cs="宋体"/>
          <w:bCs/>
          <w:sz w:val="22"/>
          <w:szCs w:val="22"/>
        </w:rPr>
        <w:t xml:space="preserve">4.   </w:t>
      </w:r>
      <w:r>
        <w:rPr>
          <w:rFonts w:hint="eastAsia" w:ascii="宋体" w:cs="宋体"/>
          <w:b/>
          <w:bCs/>
          <w:sz w:val="22"/>
          <w:szCs w:val="22"/>
        </w:rPr>
        <w:t xml:space="preserve">投标报价   </w:t>
      </w:r>
    </w:p>
    <w:p w14:paraId="0D126F3D">
      <w:pPr>
        <w:pStyle w:val="28"/>
        <w:tabs>
          <w:tab w:val="left" w:pos="0"/>
          <w:tab w:val="left" w:pos="540"/>
        </w:tabs>
        <w:spacing w:line="360" w:lineRule="auto"/>
        <w:ind w:left="526" w:hanging="525" w:hangingChars="239"/>
        <w:rPr>
          <w:rFonts w:cs="宋体"/>
          <w:sz w:val="22"/>
          <w:szCs w:val="22"/>
        </w:rPr>
      </w:pPr>
      <w:r>
        <w:rPr>
          <w:rFonts w:hint="eastAsia" w:cs="宋体"/>
          <w:sz w:val="22"/>
          <w:szCs w:val="22"/>
        </w:rPr>
        <w:t>4.1  ▲</w:t>
      </w:r>
      <w:r>
        <w:rPr>
          <w:rFonts w:hint="eastAsia" w:hAnsi="宋体"/>
          <w:b/>
          <w:sz w:val="22"/>
          <w:szCs w:val="22"/>
          <w:u w:val="single"/>
        </w:rPr>
        <w:t>投标报价是指供应商在正确的完全履行合同义务后采购人应支付给中标供应商所有的服务价款，即应包括软件（设计、开发、升级）费、硬件采购费、人工费、安装、测试、维护、培训、扩展服务、</w:t>
      </w:r>
      <w:r>
        <w:rPr>
          <w:rFonts w:hint="eastAsia" w:hAnsi="宋体"/>
          <w:b/>
          <w:bCs/>
          <w:sz w:val="22"/>
          <w:szCs w:val="22"/>
          <w:u w:val="single"/>
        </w:rPr>
        <w:t>利</w:t>
      </w:r>
      <w:r>
        <w:rPr>
          <w:rFonts w:hint="eastAsia" w:hAnsi="宋体"/>
          <w:b/>
          <w:sz w:val="22"/>
          <w:szCs w:val="22"/>
          <w:u w:val="single"/>
        </w:rPr>
        <w:t>润、不可预见费、税金、劳动保险费、采购代理服务费等完本项目所需的全部费用，实行固定费用总包干</w:t>
      </w:r>
      <w:r>
        <w:rPr>
          <w:rFonts w:hint="eastAsia" w:hAnsi="宋体"/>
          <w:b/>
          <w:bCs/>
          <w:sz w:val="22"/>
          <w:szCs w:val="22"/>
          <w:u w:val="single"/>
        </w:rPr>
        <w:t>。</w:t>
      </w:r>
      <w:r>
        <w:rPr>
          <w:rFonts w:hint="eastAsia" w:hAnsi="宋体" w:cs="宋体"/>
          <w:b/>
          <w:bCs/>
          <w:sz w:val="22"/>
          <w:szCs w:val="22"/>
          <w:u w:val="single"/>
        </w:rPr>
        <w:t>投标供应商应根据上述因素自行考虑含入投标报价。</w:t>
      </w:r>
    </w:p>
    <w:p w14:paraId="6BD7CFD3">
      <w:pPr>
        <w:pStyle w:val="28"/>
        <w:tabs>
          <w:tab w:val="left" w:pos="0"/>
          <w:tab w:val="left" w:pos="540"/>
        </w:tabs>
        <w:spacing w:line="360" w:lineRule="auto"/>
        <w:ind w:left="550" w:hanging="550" w:hangingChars="250"/>
        <w:rPr>
          <w:rFonts w:cs="宋体"/>
          <w:sz w:val="22"/>
          <w:szCs w:val="22"/>
        </w:rPr>
      </w:pPr>
      <w:r>
        <w:rPr>
          <w:rFonts w:hint="eastAsia" w:cs="宋体"/>
          <w:sz w:val="22"/>
          <w:szCs w:val="22"/>
        </w:rPr>
        <w:t>4.2  投标供应商必须按附件中的投标报价一览表（统一格式）、投标分项报价表（统一格式）内容填写单价、综合总价和合计总价，并由法定代表人或投标供应商代表签署。</w:t>
      </w:r>
    </w:p>
    <w:p w14:paraId="4ACF5354">
      <w:pPr>
        <w:tabs>
          <w:tab w:val="left" w:pos="-180"/>
          <w:tab w:val="left" w:pos="180"/>
          <w:tab w:val="left" w:pos="360"/>
        </w:tabs>
        <w:spacing w:line="360" w:lineRule="auto"/>
        <w:ind w:left="550" w:hanging="550" w:hangingChars="250"/>
        <w:rPr>
          <w:rFonts w:ascii="宋体" w:cs="宋体"/>
          <w:sz w:val="22"/>
          <w:szCs w:val="22"/>
        </w:rPr>
      </w:pPr>
      <w:r>
        <w:rPr>
          <w:rFonts w:hint="eastAsia" w:ascii="宋体" w:cs="宋体"/>
          <w:sz w:val="22"/>
          <w:szCs w:val="22"/>
        </w:rPr>
        <w:t>4.3  本次投标均以人民币报价，不接受其他货币的报价，投标供应商如需外汇购入某些货物，须折合成人民币计入投标报价中。</w:t>
      </w:r>
    </w:p>
    <w:p w14:paraId="0E8539E2">
      <w:pPr>
        <w:tabs>
          <w:tab w:val="left" w:pos="-180"/>
          <w:tab w:val="left" w:pos="180"/>
          <w:tab w:val="left" w:pos="360"/>
        </w:tabs>
        <w:spacing w:line="360" w:lineRule="auto"/>
        <w:rPr>
          <w:rFonts w:ascii="宋体" w:cs="宋体"/>
          <w:sz w:val="22"/>
          <w:szCs w:val="22"/>
        </w:rPr>
      </w:pPr>
      <w:r>
        <w:rPr>
          <w:rFonts w:hint="eastAsia" w:ascii="宋体" w:cs="宋体"/>
          <w:sz w:val="22"/>
          <w:szCs w:val="22"/>
        </w:rPr>
        <w:t>4.4  采购单位不接受任何选择报价，对任何货物或服务只允许一个报价。</w:t>
      </w:r>
    </w:p>
    <w:p w14:paraId="66B689F9">
      <w:pPr>
        <w:tabs>
          <w:tab w:val="left" w:pos="-180"/>
          <w:tab w:val="left" w:pos="180"/>
          <w:tab w:val="left" w:pos="360"/>
        </w:tabs>
        <w:spacing w:line="360" w:lineRule="auto"/>
        <w:ind w:left="550" w:hanging="550" w:hangingChars="250"/>
        <w:rPr>
          <w:rFonts w:ascii="宋体" w:cs="宋体"/>
          <w:sz w:val="22"/>
          <w:szCs w:val="22"/>
        </w:rPr>
      </w:pPr>
      <w:r>
        <w:rPr>
          <w:rFonts w:hint="eastAsia" w:ascii="宋体" w:cs="宋体"/>
          <w:sz w:val="22"/>
          <w:szCs w:val="22"/>
        </w:rPr>
        <w:t>4.5  采购单位要求分类报价是为了方便评标，但在任何情况下不限制采购人以其认为最合适的条款、条件签订合同的权利。</w:t>
      </w:r>
    </w:p>
    <w:p w14:paraId="089F8796">
      <w:pPr>
        <w:tabs>
          <w:tab w:val="left" w:pos="-180"/>
          <w:tab w:val="left" w:pos="180"/>
          <w:tab w:val="left" w:pos="360"/>
        </w:tabs>
        <w:spacing w:line="360" w:lineRule="auto"/>
        <w:ind w:left="550" w:hanging="550" w:hangingChars="250"/>
        <w:rPr>
          <w:rFonts w:ascii="宋体" w:cs="宋体"/>
          <w:sz w:val="22"/>
          <w:szCs w:val="22"/>
        </w:rPr>
      </w:pPr>
      <w:r>
        <w:rPr>
          <w:rFonts w:hint="eastAsia" w:ascii="宋体" w:cs="宋体"/>
          <w:sz w:val="22"/>
          <w:szCs w:val="22"/>
        </w:rPr>
        <w:t xml:space="preserve">4.6 </w:t>
      </w:r>
      <w:r>
        <w:rPr>
          <w:rFonts w:hint="eastAsia" w:ascii="宋体" w:cs="宋体"/>
          <w:b/>
          <w:sz w:val="22"/>
          <w:szCs w:val="22"/>
        </w:rPr>
        <w:t xml:space="preserve"> 投标报价报出后，投标供应商不得以任何理由予以变更。任何包含价格调整的要求，将被认</w:t>
      </w:r>
    </w:p>
    <w:p w14:paraId="6C89B581">
      <w:pPr>
        <w:tabs>
          <w:tab w:val="left" w:pos="-180"/>
          <w:tab w:val="left" w:pos="180"/>
          <w:tab w:val="left" w:pos="360"/>
        </w:tabs>
        <w:spacing w:line="360" w:lineRule="auto"/>
        <w:ind w:left="656" w:leftChars="260" w:hanging="110" w:hangingChars="50"/>
        <w:rPr>
          <w:rFonts w:ascii="宋体" w:cs="宋体"/>
          <w:b/>
          <w:sz w:val="22"/>
          <w:szCs w:val="22"/>
        </w:rPr>
      </w:pPr>
      <w:r>
        <w:rPr>
          <w:rFonts w:hint="eastAsia" w:ascii="宋体" w:cs="宋体"/>
          <w:b/>
          <w:sz w:val="22"/>
          <w:szCs w:val="22"/>
        </w:rPr>
        <w:t>为是非实质性响应投标而予以拒绝。</w:t>
      </w:r>
    </w:p>
    <w:p w14:paraId="57BDBDA4">
      <w:pPr>
        <w:tabs>
          <w:tab w:val="left" w:pos="-180"/>
          <w:tab w:val="left" w:pos="180"/>
          <w:tab w:val="left" w:pos="360"/>
        </w:tabs>
        <w:spacing w:line="360" w:lineRule="auto"/>
        <w:ind w:left="660" w:hanging="660" w:hangingChars="300"/>
        <w:rPr>
          <w:rFonts w:ascii="宋体" w:cs="宋体"/>
          <w:sz w:val="22"/>
          <w:szCs w:val="22"/>
        </w:rPr>
      </w:pPr>
      <w:r>
        <w:rPr>
          <w:rFonts w:hint="eastAsia" w:ascii="宋体" w:cs="宋体"/>
          <w:sz w:val="22"/>
          <w:szCs w:val="22"/>
        </w:rPr>
        <w:t xml:space="preserve">4.7  </w:t>
      </w:r>
      <w:r>
        <w:rPr>
          <w:rFonts w:hint="eastAsia" w:ascii="宋体" w:cs="宋体"/>
          <w:b/>
          <w:sz w:val="22"/>
          <w:szCs w:val="22"/>
        </w:rPr>
        <w:t>最低报价不能作为中标的保证。</w:t>
      </w:r>
    </w:p>
    <w:p w14:paraId="341F6A4F">
      <w:pPr>
        <w:tabs>
          <w:tab w:val="left" w:pos="-180"/>
          <w:tab w:val="left" w:pos="180"/>
          <w:tab w:val="left" w:pos="360"/>
        </w:tabs>
        <w:spacing w:line="360" w:lineRule="auto"/>
        <w:ind w:left="660" w:hanging="660" w:hangingChars="300"/>
        <w:rPr>
          <w:rFonts w:ascii="宋体" w:cs="宋体"/>
          <w:sz w:val="22"/>
          <w:szCs w:val="22"/>
        </w:rPr>
      </w:pPr>
      <w:r>
        <w:rPr>
          <w:rFonts w:hint="eastAsia" w:ascii="宋体" w:cs="宋体"/>
          <w:bCs/>
          <w:sz w:val="22"/>
          <w:szCs w:val="22"/>
        </w:rPr>
        <w:t xml:space="preserve">5.   </w:t>
      </w:r>
      <w:r>
        <w:rPr>
          <w:rFonts w:hint="eastAsia" w:ascii="宋体" w:cs="宋体"/>
          <w:b/>
          <w:bCs/>
          <w:sz w:val="22"/>
          <w:szCs w:val="22"/>
        </w:rPr>
        <w:t>投标保证金</w:t>
      </w:r>
    </w:p>
    <w:p w14:paraId="4A530B4B">
      <w:pPr>
        <w:tabs>
          <w:tab w:val="left" w:pos="540"/>
        </w:tabs>
        <w:spacing w:line="360" w:lineRule="auto"/>
        <w:ind w:left="550" w:hanging="550" w:hangingChars="250"/>
        <w:rPr>
          <w:rFonts w:ascii="宋体" w:cs="宋体"/>
          <w:bCs/>
          <w:sz w:val="22"/>
          <w:szCs w:val="22"/>
        </w:rPr>
      </w:pPr>
      <w:r>
        <w:rPr>
          <w:rFonts w:hint="eastAsia" w:ascii="宋体" w:cs="宋体"/>
          <w:bCs/>
          <w:sz w:val="22"/>
          <w:szCs w:val="22"/>
        </w:rPr>
        <w:t>5.1  ▲</w:t>
      </w:r>
      <w:r>
        <w:rPr>
          <w:rFonts w:hint="eastAsia" w:ascii="宋体" w:cs="宋体"/>
          <w:b/>
          <w:bCs/>
          <w:sz w:val="22"/>
          <w:szCs w:val="22"/>
          <w:u w:val="single"/>
        </w:rPr>
        <w:t>投标供应商须按《投标供应商须知前附表》规定缴纳投标保证金，否则采购人将不接受其投标</w:t>
      </w:r>
      <w:r>
        <w:rPr>
          <w:rFonts w:hint="eastAsia" w:ascii="宋体" w:cs="宋体"/>
          <w:sz w:val="22"/>
          <w:szCs w:val="22"/>
        </w:rPr>
        <w:t>。</w:t>
      </w:r>
    </w:p>
    <w:p w14:paraId="30A07204">
      <w:pPr>
        <w:tabs>
          <w:tab w:val="left" w:pos="-180"/>
          <w:tab w:val="left" w:pos="180"/>
          <w:tab w:val="left" w:pos="360"/>
        </w:tabs>
        <w:spacing w:line="360" w:lineRule="auto"/>
        <w:ind w:left="539" w:hanging="539" w:hangingChars="245"/>
        <w:rPr>
          <w:rFonts w:ascii="宋体" w:cs="宋体"/>
          <w:sz w:val="22"/>
          <w:szCs w:val="22"/>
        </w:rPr>
      </w:pPr>
      <w:r>
        <w:rPr>
          <w:rFonts w:hint="eastAsia" w:ascii="宋体" w:cs="宋体"/>
          <w:bCs/>
          <w:sz w:val="22"/>
          <w:szCs w:val="22"/>
        </w:rPr>
        <w:t>5.2  投标供应商的投标保证金在中标供应商与采购人签订了采购合同并经浙江政府采购网合同备案，未中标供应商缴纳的保证金于5个工作日内原路退回；中标供应商的投标保证金于7个工作日内原路退回。</w:t>
      </w:r>
    </w:p>
    <w:p w14:paraId="4862E6F2">
      <w:pPr>
        <w:tabs>
          <w:tab w:val="left" w:pos="-180"/>
          <w:tab w:val="left" w:pos="180"/>
          <w:tab w:val="left" w:pos="360"/>
        </w:tabs>
        <w:spacing w:line="360" w:lineRule="auto"/>
        <w:ind w:left="539" w:hanging="539" w:hangingChars="245"/>
        <w:rPr>
          <w:rFonts w:ascii="宋体" w:cs="宋体"/>
          <w:b/>
          <w:bCs/>
          <w:sz w:val="22"/>
          <w:szCs w:val="22"/>
        </w:rPr>
      </w:pPr>
      <w:r>
        <w:rPr>
          <w:rFonts w:hint="eastAsia" w:ascii="宋体" w:cs="宋体"/>
          <w:bCs/>
          <w:sz w:val="22"/>
          <w:szCs w:val="22"/>
        </w:rPr>
        <w:t>5.3  ▲</w:t>
      </w:r>
      <w:r>
        <w:rPr>
          <w:rFonts w:hint="eastAsia" w:ascii="宋体" w:cs="宋体"/>
          <w:b/>
          <w:bCs/>
          <w:sz w:val="22"/>
          <w:szCs w:val="22"/>
          <w:u w:val="single"/>
        </w:rPr>
        <w:t>发生下列情况之一，投标保证金将不予退还</w:t>
      </w:r>
      <w:r>
        <w:rPr>
          <w:rFonts w:hint="eastAsia" w:ascii="宋体" w:cs="宋体"/>
          <w:b/>
          <w:bCs/>
          <w:sz w:val="22"/>
          <w:szCs w:val="22"/>
        </w:rPr>
        <w:t>：</w:t>
      </w:r>
    </w:p>
    <w:p w14:paraId="33D25006">
      <w:pPr>
        <w:tabs>
          <w:tab w:val="left" w:pos="-180"/>
          <w:tab w:val="left" w:pos="180"/>
          <w:tab w:val="left" w:pos="360"/>
        </w:tabs>
        <w:spacing w:line="360" w:lineRule="auto"/>
        <w:ind w:left="539" w:hanging="539" w:hangingChars="245"/>
        <w:rPr>
          <w:rFonts w:ascii="宋体" w:cs="宋体"/>
          <w:sz w:val="22"/>
          <w:szCs w:val="22"/>
          <w:u w:val="single"/>
        </w:rPr>
      </w:pPr>
      <w:r>
        <w:rPr>
          <w:rFonts w:hint="eastAsia" w:ascii="宋体" w:cs="宋体"/>
          <w:sz w:val="22"/>
          <w:szCs w:val="22"/>
        </w:rPr>
        <w:t>（1）</w:t>
      </w:r>
      <w:r>
        <w:rPr>
          <w:rFonts w:hint="eastAsia" w:ascii="宋体" w:cs="宋体"/>
          <w:sz w:val="22"/>
          <w:szCs w:val="22"/>
          <w:u w:val="single"/>
        </w:rPr>
        <w:t>投标供应商在采购文件规定的投标有效期内撤回投标；</w:t>
      </w:r>
    </w:p>
    <w:p w14:paraId="5C01DA24">
      <w:pPr>
        <w:tabs>
          <w:tab w:val="left" w:pos="5355"/>
        </w:tabs>
        <w:spacing w:line="360" w:lineRule="auto"/>
        <w:rPr>
          <w:rFonts w:ascii="宋体" w:cs="宋体"/>
          <w:sz w:val="22"/>
          <w:szCs w:val="22"/>
          <w:u w:val="single"/>
        </w:rPr>
      </w:pPr>
      <w:r>
        <w:rPr>
          <w:rFonts w:hint="eastAsia" w:ascii="宋体" w:cs="宋体"/>
          <w:sz w:val="22"/>
          <w:szCs w:val="22"/>
        </w:rPr>
        <w:t>（2）</w:t>
      </w:r>
      <w:r>
        <w:rPr>
          <w:rFonts w:hint="eastAsia" w:ascii="宋体" w:cs="宋体"/>
          <w:sz w:val="22"/>
          <w:szCs w:val="22"/>
          <w:u w:val="single"/>
        </w:rPr>
        <w:t>中标供应商未按中标通知书中规定的时间与采购人签订合同；</w:t>
      </w:r>
    </w:p>
    <w:p w14:paraId="367B5C59">
      <w:pPr>
        <w:spacing w:line="360" w:lineRule="auto"/>
        <w:rPr>
          <w:rFonts w:ascii="宋体" w:cs="宋体"/>
          <w:sz w:val="22"/>
          <w:szCs w:val="22"/>
          <w:u w:val="single"/>
        </w:rPr>
      </w:pPr>
      <w:r>
        <w:rPr>
          <w:rFonts w:hint="eastAsia" w:ascii="宋体" w:cs="宋体"/>
          <w:sz w:val="22"/>
          <w:szCs w:val="22"/>
        </w:rPr>
        <w:t>（3）</w:t>
      </w:r>
      <w:r>
        <w:rPr>
          <w:rFonts w:hint="eastAsia" w:ascii="宋体" w:cs="宋体"/>
          <w:sz w:val="22"/>
          <w:szCs w:val="22"/>
          <w:u w:val="single"/>
        </w:rPr>
        <w:t>中标供应商在规定期限内未能根据采购文件要求提供履约保证金；</w:t>
      </w:r>
    </w:p>
    <w:p w14:paraId="4027E03C">
      <w:pPr>
        <w:spacing w:line="360" w:lineRule="auto"/>
        <w:rPr>
          <w:rFonts w:ascii="宋体" w:cs="宋体"/>
          <w:sz w:val="22"/>
          <w:szCs w:val="22"/>
          <w:u w:val="single"/>
        </w:rPr>
      </w:pPr>
      <w:r>
        <w:rPr>
          <w:rFonts w:hint="eastAsia" w:ascii="宋体" w:cs="宋体"/>
          <w:sz w:val="22"/>
          <w:szCs w:val="22"/>
        </w:rPr>
        <w:t>（4）</w:t>
      </w:r>
      <w:r>
        <w:rPr>
          <w:rFonts w:hint="eastAsia" w:ascii="宋体" w:cs="宋体"/>
          <w:sz w:val="22"/>
          <w:szCs w:val="22"/>
          <w:u w:val="single"/>
        </w:rPr>
        <w:t>投标供应商在投标时提供虚假材料或虚假承诺，经评标委员会确认属实的；</w:t>
      </w:r>
    </w:p>
    <w:p w14:paraId="19D794FE">
      <w:pPr>
        <w:spacing w:line="360" w:lineRule="auto"/>
        <w:rPr>
          <w:rFonts w:ascii="宋体" w:cs="宋体"/>
          <w:sz w:val="22"/>
          <w:szCs w:val="22"/>
          <w:u w:val="single"/>
        </w:rPr>
      </w:pPr>
      <w:r>
        <w:rPr>
          <w:rFonts w:hint="eastAsia" w:ascii="宋体" w:cs="宋体"/>
          <w:sz w:val="22"/>
          <w:szCs w:val="22"/>
        </w:rPr>
        <w:t>（5）</w:t>
      </w:r>
      <w:r>
        <w:rPr>
          <w:rFonts w:hint="eastAsia" w:ascii="宋体" w:cs="宋体"/>
          <w:sz w:val="22"/>
          <w:szCs w:val="22"/>
          <w:u w:val="single"/>
        </w:rPr>
        <w:t>经查实，投标供应商在本次采购活动中存在违法违规行为，或法律、法规规定的其他条件。</w:t>
      </w:r>
    </w:p>
    <w:p w14:paraId="12597003">
      <w:pPr>
        <w:spacing w:line="360" w:lineRule="auto"/>
        <w:rPr>
          <w:rFonts w:ascii="宋体" w:cs="宋体"/>
          <w:sz w:val="22"/>
          <w:szCs w:val="22"/>
        </w:rPr>
      </w:pPr>
      <w:r>
        <w:rPr>
          <w:rFonts w:hint="eastAsia" w:ascii="宋体" w:cs="宋体"/>
          <w:bCs/>
          <w:sz w:val="22"/>
          <w:szCs w:val="22"/>
        </w:rPr>
        <w:t xml:space="preserve">6.   </w:t>
      </w:r>
      <w:r>
        <w:rPr>
          <w:rFonts w:hint="eastAsia" w:ascii="宋体" w:cs="宋体"/>
          <w:b/>
          <w:bCs/>
          <w:sz w:val="22"/>
          <w:szCs w:val="22"/>
        </w:rPr>
        <w:t>投标有效期</w:t>
      </w:r>
    </w:p>
    <w:p w14:paraId="60274429">
      <w:pPr>
        <w:spacing w:line="360" w:lineRule="auto"/>
        <w:rPr>
          <w:rFonts w:ascii="宋体" w:cs="宋体"/>
          <w:b/>
          <w:sz w:val="22"/>
          <w:szCs w:val="22"/>
        </w:rPr>
      </w:pPr>
      <w:r>
        <w:rPr>
          <w:rFonts w:hint="eastAsia" w:ascii="宋体" w:cs="宋体"/>
          <w:sz w:val="22"/>
          <w:szCs w:val="22"/>
        </w:rPr>
        <w:t>6.1  ▲</w:t>
      </w:r>
      <w:r>
        <w:rPr>
          <w:rFonts w:hint="eastAsia" w:ascii="宋体" w:cs="宋体"/>
          <w:b/>
          <w:sz w:val="22"/>
          <w:szCs w:val="22"/>
          <w:u w:val="single"/>
        </w:rPr>
        <w:t>自开标之日起</w:t>
      </w:r>
      <w:r>
        <w:rPr>
          <w:rFonts w:hint="eastAsia" w:ascii="宋体" w:cs="宋体"/>
          <w:b/>
          <w:bCs/>
          <w:sz w:val="22"/>
          <w:szCs w:val="22"/>
          <w:u w:val="single"/>
        </w:rPr>
        <w:t>90</w:t>
      </w:r>
      <w:r>
        <w:rPr>
          <w:rFonts w:hint="eastAsia" w:ascii="宋体" w:cs="宋体"/>
          <w:b/>
          <w:sz w:val="22"/>
          <w:szCs w:val="22"/>
          <w:u w:val="single"/>
        </w:rPr>
        <w:t>天内投标应保持投标有效</w:t>
      </w:r>
      <w:r>
        <w:rPr>
          <w:rFonts w:hint="eastAsia" w:ascii="宋体" w:cs="宋体"/>
          <w:b/>
          <w:sz w:val="22"/>
          <w:szCs w:val="22"/>
        </w:rPr>
        <w:t>。</w:t>
      </w:r>
    </w:p>
    <w:p w14:paraId="391087DB">
      <w:pPr>
        <w:spacing w:line="360" w:lineRule="auto"/>
        <w:ind w:left="550" w:hanging="550" w:hangingChars="250"/>
        <w:rPr>
          <w:rFonts w:ascii="宋体" w:cs="宋体"/>
          <w:b/>
          <w:sz w:val="22"/>
          <w:szCs w:val="22"/>
        </w:rPr>
      </w:pPr>
      <w:r>
        <w:rPr>
          <w:rFonts w:hint="eastAsia" w:ascii="宋体" w:cs="宋体"/>
          <w:sz w:val="22"/>
          <w:szCs w:val="22"/>
        </w:rPr>
        <w:t>6.2  特殊情况下，在原投标有效期截止前，采购人可与投标供应商协商延长投标有效期，这种要求和答复均以书面形式进行。投标供应商可拒绝接受延期要求，而不会导致投标保证金不予退还。同意延长投标有效期的投标供应商不得修改投标文件。有关退投标保证金退还与否的规定在投标有效期的延长期内继续有效。</w:t>
      </w:r>
    </w:p>
    <w:p w14:paraId="75966A40">
      <w:pPr>
        <w:spacing w:line="360" w:lineRule="auto"/>
        <w:rPr>
          <w:rFonts w:ascii="宋体" w:cs="宋体"/>
          <w:sz w:val="22"/>
          <w:szCs w:val="22"/>
        </w:rPr>
      </w:pPr>
      <w:r>
        <w:rPr>
          <w:rFonts w:hint="eastAsia" w:ascii="宋体" w:cs="宋体"/>
          <w:bCs/>
          <w:sz w:val="22"/>
          <w:szCs w:val="22"/>
        </w:rPr>
        <w:t xml:space="preserve">7.   </w:t>
      </w:r>
      <w:r>
        <w:rPr>
          <w:rFonts w:hint="eastAsia" w:ascii="宋体" w:cs="宋体"/>
          <w:b/>
          <w:bCs/>
          <w:sz w:val="22"/>
          <w:szCs w:val="22"/>
        </w:rPr>
        <w:t>投标文件的签署和规定</w:t>
      </w:r>
    </w:p>
    <w:p w14:paraId="634D43D3">
      <w:pPr>
        <w:spacing w:line="360" w:lineRule="auto"/>
        <w:ind w:left="550" w:hanging="550" w:hangingChars="250"/>
        <w:rPr>
          <w:rFonts w:ascii="宋体" w:cs="宋体"/>
          <w:sz w:val="22"/>
          <w:szCs w:val="22"/>
        </w:rPr>
      </w:pPr>
      <w:r>
        <w:rPr>
          <w:rFonts w:hint="eastAsia" w:ascii="宋体" w:cs="宋体"/>
          <w:sz w:val="22"/>
          <w:szCs w:val="22"/>
        </w:rPr>
        <w:t xml:space="preserve">7.1  </w:t>
      </w:r>
      <w:r>
        <w:rPr>
          <w:rFonts w:hint="eastAsia" w:ascii="宋体" w:cs="宋体"/>
          <w:b/>
          <w:sz w:val="22"/>
          <w:szCs w:val="22"/>
        </w:rPr>
        <w:t>投标供应商应提供技术资信标、商务（报价）标各一式伍份的投标文件，分别装订成册。其中正本壹份、副本肆份，每份投标文件的封面应清楚标明“正本”或“副本”字样，若“正本”和“副本”不符，以“正本”为准</w:t>
      </w:r>
      <w:r>
        <w:rPr>
          <w:rFonts w:hint="eastAsia" w:ascii="宋体" w:cs="宋体"/>
          <w:sz w:val="22"/>
          <w:szCs w:val="22"/>
        </w:rPr>
        <w:t>。</w:t>
      </w:r>
    </w:p>
    <w:p w14:paraId="31E99FB0">
      <w:pPr>
        <w:spacing w:line="360" w:lineRule="auto"/>
        <w:ind w:left="550" w:hanging="550" w:hangingChars="250"/>
        <w:rPr>
          <w:rFonts w:ascii="宋体" w:cs="宋体"/>
          <w:sz w:val="22"/>
          <w:szCs w:val="22"/>
        </w:rPr>
      </w:pPr>
      <w:r>
        <w:rPr>
          <w:rFonts w:hint="eastAsia" w:ascii="宋体" w:cs="宋体"/>
          <w:sz w:val="22"/>
          <w:szCs w:val="22"/>
        </w:rPr>
        <w:t>7.2  投标文件的正本必须打印或用不褪色的墨水书写，每页都要法定代表人签字或盖公章，投标文件的副本可采用正本的复印件。</w:t>
      </w:r>
    </w:p>
    <w:p w14:paraId="7A152DA1">
      <w:pPr>
        <w:spacing w:line="360" w:lineRule="auto"/>
        <w:ind w:left="550" w:hanging="550" w:hangingChars="250"/>
        <w:rPr>
          <w:rFonts w:ascii="宋体" w:cs="宋体"/>
          <w:b/>
          <w:sz w:val="22"/>
          <w:szCs w:val="22"/>
        </w:rPr>
      </w:pPr>
      <w:r>
        <w:rPr>
          <w:rFonts w:hint="eastAsia" w:ascii="宋体" w:cs="宋体"/>
          <w:sz w:val="22"/>
          <w:szCs w:val="22"/>
        </w:rPr>
        <w:t xml:space="preserve">7.3  </w:t>
      </w:r>
      <w:r>
        <w:rPr>
          <w:rFonts w:hint="eastAsia" w:ascii="宋体" w:cs="宋体"/>
          <w:b/>
          <w:sz w:val="22"/>
          <w:szCs w:val="22"/>
        </w:rPr>
        <w:t>投标文件如有修改和增删必须由法定代表人或其投标供应商代表在修改和增删处旁签署或盖章，方才有效。</w:t>
      </w:r>
    </w:p>
    <w:p w14:paraId="72F725F5">
      <w:pPr>
        <w:spacing w:line="360" w:lineRule="auto"/>
        <w:rPr>
          <w:rFonts w:ascii="宋体" w:cs="宋体"/>
          <w:sz w:val="22"/>
          <w:szCs w:val="22"/>
        </w:rPr>
      </w:pPr>
      <w:r>
        <w:rPr>
          <w:rFonts w:hint="eastAsia" w:ascii="宋体" w:cs="宋体"/>
          <w:sz w:val="22"/>
          <w:szCs w:val="22"/>
        </w:rPr>
        <w:t>7.4  投标文件字迹模糊或在关键的技术、商务条款上表述不清楚，将可能导致其投标被拒绝。</w:t>
      </w:r>
    </w:p>
    <w:p w14:paraId="303393A6">
      <w:pPr>
        <w:tabs>
          <w:tab w:val="left" w:pos="420"/>
        </w:tabs>
        <w:spacing w:line="360" w:lineRule="auto"/>
        <w:rPr>
          <w:rFonts w:ascii="宋体" w:cs="宋体"/>
          <w:b/>
          <w:bCs/>
          <w:sz w:val="22"/>
          <w:szCs w:val="22"/>
        </w:rPr>
      </w:pPr>
      <w:r>
        <w:rPr>
          <w:rFonts w:hint="eastAsia" w:ascii="宋体" w:cs="宋体"/>
          <w:bCs/>
          <w:sz w:val="22"/>
          <w:szCs w:val="22"/>
        </w:rPr>
        <w:t xml:space="preserve">8.   </w:t>
      </w:r>
      <w:r>
        <w:rPr>
          <w:rFonts w:hint="eastAsia" w:ascii="宋体" w:cs="宋体"/>
          <w:b/>
          <w:bCs/>
          <w:sz w:val="22"/>
          <w:szCs w:val="22"/>
        </w:rPr>
        <w:t>投标文件的密封及标记</w:t>
      </w:r>
    </w:p>
    <w:p w14:paraId="69902505">
      <w:pPr>
        <w:spacing w:line="360" w:lineRule="auto"/>
        <w:ind w:left="539" w:hanging="539" w:hangingChars="245"/>
        <w:rPr>
          <w:rFonts w:ascii="宋体" w:cs="宋体"/>
          <w:sz w:val="22"/>
          <w:szCs w:val="22"/>
        </w:rPr>
      </w:pPr>
      <w:r>
        <w:rPr>
          <w:rFonts w:hint="eastAsia" w:ascii="宋体" w:cs="宋体"/>
          <w:sz w:val="22"/>
          <w:szCs w:val="22"/>
        </w:rPr>
        <w:t xml:space="preserve">8.1  </w:t>
      </w:r>
      <w:r>
        <w:rPr>
          <w:rFonts w:hint="eastAsia" w:ascii="宋体" w:cs="宋体"/>
          <w:b/>
          <w:sz w:val="22"/>
          <w:szCs w:val="22"/>
        </w:rPr>
        <w:t>投标供应商必须将投标文件的“技术资信标”正本壹份、副本肆份，“商务（报价）标”正本壹份、副本伍份分别密封，</w:t>
      </w:r>
      <w:r>
        <w:rPr>
          <w:rFonts w:hint="eastAsia" w:ascii="宋体" w:hAnsi="宋体" w:cs="宋体"/>
          <w:sz w:val="22"/>
          <w:szCs w:val="22"/>
        </w:rPr>
        <w:t>投标人必须将投标文件的“</w:t>
      </w:r>
      <w:r>
        <w:rPr>
          <w:rFonts w:hint="eastAsia" w:ascii="宋体" w:cs="宋体"/>
          <w:b/>
          <w:sz w:val="22"/>
          <w:szCs w:val="22"/>
        </w:rPr>
        <w:t>技术资信标</w:t>
      </w:r>
      <w:r>
        <w:rPr>
          <w:rFonts w:hint="eastAsia" w:ascii="宋体" w:hAnsi="宋体" w:cs="宋体"/>
          <w:sz w:val="22"/>
        </w:rPr>
        <w:t>”单独密封，“</w:t>
      </w:r>
      <w:r>
        <w:rPr>
          <w:rFonts w:hint="eastAsia" w:ascii="宋体" w:cs="宋体"/>
          <w:b/>
          <w:sz w:val="22"/>
          <w:szCs w:val="22"/>
        </w:rPr>
        <w:t>商务（报价）标</w:t>
      </w:r>
      <w:r>
        <w:rPr>
          <w:rFonts w:hint="eastAsia" w:ascii="宋体" w:hAnsi="宋体" w:cs="宋体"/>
          <w:b/>
          <w:bCs/>
          <w:sz w:val="22"/>
        </w:rPr>
        <w:t>与电子版U盘投标文件</w:t>
      </w:r>
      <w:r>
        <w:rPr>
          <w:rFonts w:hint="eastAsia" w:ascii="宋体" w:hAnsi="宋体" w:cs="宋体"/>
          <w:sz w:val="22"/>
        </w:rPr>
        <w:t>”</w:t>
      </w:r>
      <w:r>
        <w:rPr>
          <w:rFonts w:hint="eastAsia" w:ascii="宋体" w:hAnsi="宋体" w:cs="宋体"/>
          <w:sz w:val="22"/>
          <w:lang w:val="zh-CN"/>
        </w:rPr>
        <w:t>一起密封，未按要求提供投标文件电子版的按无效标处理。</w:t>
      </w:r>
      <w:r>
        <w:rPr>
          <w:rFonts w:hint="eastAsia" w:ascii="宋体" w:hAnsi="宋体" w:cs="宋体"/>
          <w:sz w:val="22"/>
          <w:szCs w:val="22"/>
        </w:rPr>
        <w:t>且在各自的密封袋上标明“技术标”、“商务标与电子版U盘投标文件”字样。</w:t>
      </w:r>
      <w:r>
        <w:rPr>
          <w:rFonts w:hint="eastAsia" w:ascii="宋体" w:hAnsi="宋体" w:cs="宋体"/>
          <w:sz w:val="22"/>
        </w:rPr>
        <w:t>封口处贴上封条，并在封套的封口处加盖投标人单位章，并由法定代表人或其授权代表签字。封皮上写明投标项目名称、编号、投标人名称、电话联系人，并注明“开标时启封”字样。</w:t>
      </w:r>
    </w:p>
    <w:p w14:paraId="127AC366">
      <w:pPr>
        <w:spacing w:line="360" w:lineRule="auto"/>
        <w:ind w:left="550" w:hanging="550" w:hangingChars="250"/>
        <w:rPr>
          <w:rFonts w:ascii="宋体" w:cs="宋体"/>
          <w:b/>
          <w:sz w:val="22"/>
          <w:szCs w:val="22"/>
        </w:rPr>
      </w:pPr>
      <w:r>
        <w:rPr>
          <w:rFonts w:hint="eastAsia" w:ascii="宋体" w:cs="宋体"/>
          <w:sz w:val="22"/>
          <w:szCs w:val="22"/>
        </w:rPr>
        <w:t xml:space="preserve">8.2  </w:t>
      </w:r>
      <w:r>
        <w:rPr>
          <w:rFonts w:hint="eastAsia" w:ascii="宋体" w:cs="宋体"/>
          <w:b/>
          <w:sz w:val="22"/>
          <w:szCs w:val="22"/>
        </w:rPr>
        <w:t>如果投标供应商未按上述要求密封及加写标记，采购单位对投标文件的误投和提前启封不负责任。</w:t>
      </w:r>
    </w:p>
    <w:p w14:paraId="0D1F3240">
      <w:pPr>
        <w:pStyle w:val="7"/>
        <w:spacing w:line="680" w:lineRule="exact"/>
        <w:jc w:val="center"/>
        <w:rPr>
          <w:rFonts w:ascii="宋体" w:eastAsia="宋体" w:cs="宋体"/>
          <w:sz w:val="28"/>
          <w:szCs w:val="28"/>
        </w:rPr>
      </w:pPr>
      <w:bookmarkStart w:id="65" w:name="_Toc24574"/>
      <w:bookmarkStart w:id="66" w:name="_Toc26136"/>
      <w:bookmarkStart w:id="67" w:name="_Toc230773778"/>
      <w:bookmarkStart w:id="68" w:name="_Toc4079"/>
      <w:r>
        <w:rPr>
          <w:rFonts w:hint="eastAsia" w:ascii="宋体" w:eastAsia="宋体" w:cs="宋体"/>
          <w:sz w:val="28"/>
          <w:szCs w:val="28"/>
        </w:rPr>
        <w:t>四、 投标文件的递交</w:t>
      </w:r>
      <w:bookmarkEnd w:id="65"/>
      <w:bookmarkEnd w:id="66"/>
      <w:bookmarkEnd w:id="67"/>
      <w:bookmarkEnd w:id="68"/>
    </w:p>
    <w:p w14:paraId="6A1B9223">
      <w:pPr>
        <w:spacing w:line="440" w:lineRule="exact"/>
        <w:rPr>
          <w:rFonts w:ascii="宋体" w:cs="宋体"/>
          <w:b/>
          <w:bCs/>
          <w:sz w:val="22"/>
          <w:szCs w:val="22"/>
        </w:rPr>
      </w:pPr>
      <w:r>
        <w:rPr>
          <w:rFonts w:hint="eastAsia" w:ascii="宋体" w:cs="宋体"/>
          <w:bCs/>
          <w:sz w:val="22"/>
          <w:szCs w:val="22"/>
        </w:rPr>
        <w:t xml:space="preserve">1.   </w:t>
      </w:r>
      <w:r>
        <w:rPr>
          <w:rFonts w:hint="eastAsia" w:ascii="宋体" w:cs="宋体"/>
          <w:b/>
          <w:bCs/>
          <w:sz w:val="22"/>
          <w:szCs w:val="22"/>
        </w:rPr>
        <w:t>投标文件的递交</w:t>
      </w:r>
    </w:p>
    <w:p w14:paraId="45195FDD">
      <w:pPr>
        <w:numPr>
          <w:ilvl w:val="1"/>
          <w:numId w:val="6"/>
        </w:numPr>
        <w:tabs>
          <w:tab w:val="left" w:pos="540"/>
          <w:tab w:val="clear" w:pos="992"/>
        </w:tabs>
        <w:spacing w:line="460" w:lineRule="exact"/>
        <w:ind w:left="540" w:hanging="540"/>
        <w:rPr>
          <w:rFonts w:ascii="宋体"/>
          <w:b/>
          <w:sz w:val="22"/>
          <w:szCs w:val="22"/>
          <w:u w:val="single"/>
        </w:rPr>
      </w:pPr>
      <w:r>
        <w:rPr>
          <w:rFonts w:hint="eastAsia" w:ascii="宋体" w:cs="宋体"/>
          <w:bCs/>
          <w:sz w:val="22"/>
          <w:szCs w:val="22"/>
          <w:u w:val="single"/>
        </w:rPr>
        <w:t>▲</w:t>
      </w:r>
      <w:r>
        <w:rPr>
          <w:rFonts w:hint="eastAsia" w:ascii="宋体"/>
          <w:b/>
          <w:sz w:val="22"/>
          <w:szCs w:val="22"/>
          <w:u w:val="single"/>
        </w:rPr>
        <w:t>投标文件必须在规定的投标截止时间前送达到指定的收标地点；</w:t>
      </w:r>
    </w:p>
    <w:p w14:paraId="17B5492D">
      <w:pPr>
        <w:numPr>
          <w:ilvl w:val="1"/>
          <w:numId w:val="6"/>
        </w:numPr>
        <w:tabs>
          <w:tab w:val="left" w:pos="540"/>
          <w:tab w:val="clear" w:pos="992"/>
        </w:tabs>
        <w:spacing w:line="460" w:lineRule="exact"/>
        <w:ind w:left="552" w:hanging="552" w:hangingChars="250"/>
        <w:rPr>
          <w:rFonts w:ascii="宋体"/>
          <w:b/>
          <w:sz w:val="22"/>
          <w:szCs w:val="22"/>
        </w:rPr>
      </w:pPr>
      <w:r>
        <w:rPr>
          <w:rFonts w:hint="eastAsia" w:ascii="宋体"/>
          <w:b/>
          <w:sz w:val="22"/>
          <w:szCs w:val="22"/>
        </w:rPr>
        <w:t>投标供应商如是法定代表人参加投标的，同时递交投标保证金缴纳凭证、法定代表人有效身份证明（原件）、投标供应商有效营业执照副本复印件（加盖单位公章），由评标委员会确认投标资格；</w:t>
      </w:r>
    </w:p>
    <w:p w14:paraId="13DE6253">
      <w:pPr>
        <w:numPr>
          <w:ilvl w:val="1"/>
          <w:numId w:val="6"/>
        </w:numPr>
        <w:tabs>
          <w:tab w:val="left" w:pos="540"/>
          <w:tab w:val="left" w:pos="2700"/>
          <w:tab w:val="clear" w:pos="992"/>
        </w:tabs>
        <w:spacing w:line="460" w:lineRule="exact"/>
        <w:ind w:left="552" w:hanging="552" w:hangingChars="250"/>
        <w:rPr>
          <w:rFonts w:ascii="宋体" w:cs="宋体"/>
          <w:b/>
          <w:bCs/>
          <w:sz w:val="22"/>
          <w:szCs w:val="22"/>
          <w:u w:val="single"/>
        </w:rPr>
      </w:pPr>
      <w:r>
        <w:rPr>
          <w:rFonts w:hint="eastAsia" w:ascii="宋体"/>
          <w:b/>
          <w:sz w:val="22"/>
          <w:szCs w:val="22"/>
        </w:rPr>
        <w:t>投标供应商如是授权代表参加投标的，同时递交投标保证金缴纳凭证、法定代表人授权书（原件）、授权代表有效身份证明（原件）、投标供应商有效营业执照副本复印件（加盖单位公章），由评标委员会确认投标资格。</w:t>
      </w:r>
    </w:p>
    <w:p w14:paraId="03E47259">
      <w:pPr>
        <w:spacing w:line="440" w:lineRule="exact"/>
        <w:ind w:left="552" w:hanging="552" w:hangingChars="250"/>
        <w:rPr>
          <w:rFonts w:ascii="宋体" w:cs="宋体"/>
          <w:bCs/>
          <w:sz w:val="22"/>
          <w:szCs w:val="22"/>
        </w:rPr>
      </w:pPr>
      <w:r>
        <w:rPr>
          <w:rFonts w:hint="eastAsia" w:ascii="宋体" w:cs="宋体"/>
          <w:b/>
          <w:sz w:val="22"/>
          <w:szCs w:val="22"/>
        </w:rPr>
        <w:t xml:space="preserve">1.4 </w:t>
      </w:r>
      <w:r>
        <w:rPr>
          <w:rFonts w:hint="eastAsia" w:ascii="宋体" w:cs="宋体"/>
          <w:bCs/>
          <w:sz w:val="22"/>
          <w:szCs w:val="22"/>
        </w:rPr>
        <w:t xml:space="preserve"> </w:t>
      </w:r>
      <w:r>
        <w:rPr>
          <w:rFonts w:hint="eastAsia" w:ascii="宋体"/>
          <w:b/>
          <w:sz w:val="22"/>
          <w:szCs w:val="22"/>
        </w:rPr>
        <w:t>如以上资料密封在投标文件技术资信标中，在技术资信标开启后经评标委员会查验符合要求亦为有效。</w:t>
      </w:r>
    </w:p>
    <w:p w14:paraId="3994FE10">
      <w:pPr>
        <w:spacing w:line="440" w:lineRule="exact"/>
        <w:rPr>
          <w:rFonts w:ascii="宋体" w:cs="宋体"/>
          <w:b/>
          <w:bCs/>
          <w:sz w:val="22"/>
          <w:szCs w:val="22"/>
        </w:rPr>
      </w:pPr>
      <w:r>
        <w:rPr>
          <w:rFonts w:hint="eastAsia" w:ascii="宋体" w:cs="宋体"/>
          <w:bCs/>
          <w:sz w:val="22"/>
          <w:szCs w:val="22"/>
        </w:rPr>
        <w:t xml:space="preserve">2.   </w:t>
      </w:r>
      <w:r>
        <w:rPr>
          <w:rFonts w:hint="eastAsia" w:ascii="宋体" w:cs="宋体"/>
          <w:b/>
          <w:bCs/>
          <w:sz w:val="22"/>
          <w:szCs w:val="22"/>
        </w:rPr>
        <w:t>投标文件的修改和撤回</w:t>
      </w:r>
    </w:p>
    <w:p w14:paraId="1F1889F5">
      <w:pPr>
        <w:tabs>
          <w:tab w:val="left" w:pos="5355"/>
        </w:tabs>
        <w:spacing w:line="440" w:lineRule="exact"/>
        <w:ind w:left="550" w:hanging="550" w:hangingChars="250"/>
        <w:rPr>
          <w:rFonts w:ascii="宋体" w:cs="宋体"/>
          <w:sz w:val="22"/>
          <w:szCs w:val="22"/>
        </w:rPr>
      </w:pPr>
      <w:r>
        <w:rPr>
          <w:rFonts w:hint="eastAsia" w:ascii="宋体" w:cs="宋体"/>
          <w:bCs/>
          <w:sz w:val="22"/>
          <w:szCs w:val="22"/>
        </w:rPr>
        <w:t xml:space="preserve">2.1  </w:t>
      </w:r>
      <w:r>
        <w:rPr>
          <w:rFonts w:hint="eastAsia" w:ascii="宋体" w:cs="宋体"/>
          <w:sz w:val="22"/>
          <w:szCs w:val="22"/>
        </w:rPr>
        <w:t>在投标文件递交截止时间前，投标供应商可以以书面形式提出修改或撤回其投标并送达到</w:t>
      </w:r>
      <w:r>
        <w:rPr>
          <w:rFonts w:hint="eastAsia" w:ascii="宋体" w:cs="宋体"/>
          <w:bCs/>
          <w:sz w:val="22"/>
          <w:szCs w:val="22"/>
        </w:rPr>
        <w:t>采购单位</w:t>
      </w:r>
      <w:r>
        <w:rPr>
          <w:rFonts w:hint="eastAsia" w:ascii="宋体" w:cs="宋体"/>
          <w:sz w:val="22"/>
          <w:szCs w:val="22"/>
        </w:rPr>
        <w:t>，但不得影响开标活动的正常进行。</w:t>
      </w:r>
    </w:p>
    <w:p w14:paraId="0357282A">
      <w:pPr>
        <w:spacing w:line="440" w:lineRule="exact"/>
        <w:ind w:left="537" w:hanging="536" w:hangingChars="244"/>
        <w:rPr>
          <w:rFonts w:ascii="宋体" w:cs="宋体"/>
          <w:bCs/>
          <w:sz w:val="22"/>
          <w:szCs w:val="22"/>
        </w:rPr>
      </w:pPr>
      <w:r>
        <w:rPr>
          <w:rFonts w:hint="eastAsia" w:ascii="宋体" w:cs="宋体"/>
          <w:bCs/>
          <w:sz w:val="22"/>
          <w:szCs w:val="22"/>
        </w:rPr>
        <w:t>2.2  “投标文件修改”或“投标文件撤回通知”都应密封并在密封袋上写明投标项目名称、编号、投标供应商名称，并注明“投标文件修改”或“投标文件撤回通知”字样。</w:t>
      </w:r>
    </w:p>
    <w:p w14:paraId="26329D85">
      <w:pPr>
        <w:tabs>
          <w:tab w:val="left" w:pos="5355"/>
        </w:tabs>
        <w:spacing w:line="440" w:lineRule="exact"/>
        <w:ind w:left="535" w:hanging="534" w:hangingChars="243"/>
        <w:rPr>
          <w:rFonts w:ascii="宋体" w:cs="宋体"/>
          <w:sz w:val="22"/>
          <w:szCs w:val="22"/>
        </w:rPr>
      </w:pPr>
      <w:r>
        <w:rPr>
          <w:rFonts w:hint="eastAsia" w:ascii="宋体" w:cs="宋体"/>
          <w:bCs/>
          <w:sz w:val="22"/>
          <w:szCs w:val="22"/>
        </w:rPr>
        <w:t xml:space="preserve">2.3  </w:t>
      </w:r>
      <w:r>
        <w:rPr>
          <w:rFonts w:hint="eastAsia" w:ascii="宋体" w:cs="宋体"/>
          <w:sz w:val="22"/>
          <w:szCs w:val="22"/>
        </w:rPr>
        <w:t>从投标文件递交截止日期起至投标有效期满这段时间内，投标供应商不得撤回其投标，否则投标保证金将不予退还。</w:t>
      </w:r>
    </w:p>
    <w:p w14:paraId="50CEB56F">
      <w:pPr>
        <w:spacing w:line="440" w:lineRule="exact"/>
        <w:rPr>
          <w:rFonts w:ascii="宋体" w:cs="宋体"/>
          <w:b/>
          <w:bCs/>
          <w:sz w:val="22"/>
          <w:szCs w:val="22"/>
        </w:rPr>
      </w:pPr>
      <w:r>
        <w:rPr>
          <w:rFonts w:hint="eastAsia" w:ascii="宋体" w:cs="宋体"/>
          <w:bCs/>
          <w:sz w:val="22"/>
          <w:szCs w:val="22"/>
        </w:rPr>
        <w:t>3.   ▲</w:t>
      </w:r>
      <w:r>
        <w:rPr>
          <w:rFonts w:hint="eastAsia" w:ascii="宋体" w:cs="宋体"/>
          <w:b/>
          <w:bCs/>
          <w:sz w:val="22"/>
          <w:szCs w:val="22"/>
          <w:u w:val="single"/>
        </w:rPr>
        <w:t>发生下列情况之一的投标文件将拒收</w:t>
      </w:r>
      <w:r>
        <w:rPr>
          <w:rFonts w:hint="eastAsia" w:ascii="宋体" w:cs="宋体"/>
          <w:b/>
          <w:bCs/>
          <w:sz w:val="22"/>
          <w:szCs w:val="22"/>
        </w:rPr>
        <w:t>:</w:t>
      </w:r>
    </w:p>
    <w:p w14:paraId="2735C446">
      <w:pPr>
        <w:spacing w:line="440" w:lineRule="exact"/>
        <w:rPr>
          <w:rFonts w:ascii="宋体" w:cs="宋体"/>
          <w:sz w:val="22"/>
          <w:szCs w:val="22"/>
        </w:rPr>
      </w:pPr>
      <w:r>
        <w:rPr>
          <w:rFonts w:hint="eastAsia" w:ascii="宋体" w:cs="宋体"/>
          <w:sz w:val="22"/>
          <w:szCs w:val="22"/>
        </w:rPr>
        <w:t>3.1  在投标截止时间以后送达的投标文件；</w:t>
      </w:r>
    </w:p>
    <w:p w14:paraId="3812135F">
      <w:pPr>
        <w:spacing w:line="440" w:lineRule="exact"/>
        <w:rPr>
          <w:rFonts w:ascii="宋体" w:cs="宋体"/>
          <w:sz w:val="22"/>
          <w:szCs w:val="22"/>
        </w:rPr>
      </w:pPr>
      <w:r>
        <w:rPr>
          <w:rFonts w:hint="eastAsia" w:ascii="宋体" w:cs="宋体"/>
          <w:sz w:val="22"/>
          <w:szCs w:val="22"/>
        </w:rPr>
        <w:t>3.2  未在投标截止时间前缴纳投标保证金；</w:t>
      </w:r>
    </w:p>
    <w:p w14:paraId="1D0F1741">
      <w:pPr>
        <w:spacing w:line="440" w:lineRule="exact"/>
        <w:rPr>
          <w:rFonts w:ascii="宋体" w:cs="宋体"/>
          <w:sz w:val="22"/>
          <w:szCs w:val="22"/>
        </w:rPr>
      </w:pPr>
      <w:r>
        <w:rPr>
          <w:rFonts w:hint="eastAsia" w:ascii="宋体" w:cs="宋体"/>
          <w:sz w:val="22"/>
          <w:szCs w:val="22"/>
        </w:rPr>
        <w:t>3.3  未密封或由于包装不妥在送达途中严重破损或失散的投标文件；</w:t>
      </w:r>
    </w:p>
    <w:p w14:paraId="2AB47E29">
      <w:pPr>
        <w:spacing w:line="440" w:lineRule="exact"/>
        <w:rPr>
          <w:rFonts w:ascii="宋体" w:cs="宋体"/>
          <w:sz w:val="22"/>
          <w:szCs w:val="22"/>
        </w:rPr>
      </w:pPr>
      <w:r>
        <w:rPr>
          <w:rFonts w:hint="eastAsia" w:ascii="宋体" w:cs="宋体"/>
          <w:sz w:val="22"/>
          <w:szCs w:val="22"/>
        </w:rPr>
        <w:t>3.4  以电讯形式递交的投标文件。</w:t>
      </w:r>
      <w:bookmarkStart w:id="69" w:name="_Toc230773779"/>
    </w:p>
    <w:p w14:paraId="3552F2D8">
      <w:pPr>
        <w:spacing w:before="240" w:line="440" w:lineRule="exact"/>
        <w:ind w:firstLine="3233" w:firstLineChars="1150"/>
        <w:outlineLvl w:val="1"/>
        <w:rPr>
          <w:rFonts w:ascii="宋体" w:cs="宋体"/>
          <w:b/>
          <w:sz w:val="22"/>
          <w:szCs w:val="22"/>
        </w:rPr>
      </w:pPr>
      <w:bookmarkStart w:id="70" w:name="_Toc20857"/>
      <w:r>
        <w:rPr>
          <w:rFonts w:hint="eastAsia" w:ascii="宋体" w:cs="宋体"/>
          <w:b/>
          <w:sz w:val="28"/>
          <w:szCs w:val="28"/>
        </w:rPr>
        <w:t>五、 开标和评标</w:t>
      </w:r>
      <w:bookmarkEnd w:id="69"/>
      <w:bookmarkEnd w:id="70"/>
    </w:p>
    <w:p w14:paraId="42E24271">
      <w:pPr>
        <w:spacing w:line="360" w:lineRule="auto"/>
        <w:rPr>
          <w:rFonts w:ascii="宋体" w:hAnsi="宋体" w:cs="宋体"/>
          <w:b/>
          <w:bCs/>
          <w:sz w:val="22"/>
          <w:szCs w:val="22"/>
        </w:rPr>
      </w:pPr>
      <w:r>
        <w:rPr>
          <w:rFonts w:hint="eastAsia" w:ascii="宋体" w:hAnsi="宋体" w:cs="宋体"/>
          <w:bCs/>
          <w:sz w:val="22"/>
          <w:szCs w:val="22"/>
        </w:rPr>
        <w:t xml:space="preserve">1.   </w:t>
      </w:r>
      <w:r>
        <w:rPr>
          <w:rFonts w:hint="eastAsia" w:ascii="宋体" w:hAnsi="宋体" w:cs="宋体"/>
          <w:b/>
          <w:bCs/>
          <w:sz w:val="22"/>
          <w:szCs w:val="22"/>
        </w:rPr>
        <w:t>评标委员会</w:t>
      </w:r>
    </w:p>
    <w:p w14:paraId="4B87EE4F">
      <w:pPr>
        <w:spacing w:line="360" w:lineRule="auto"/>
        <w:ind w:left="550" w:hanging="550" w:hangingChars="250"/>
        <w:rPr>
          <w:rFonts w:ascii="宋体" w:hAnsi="宋体" w:cs="宋体"/>
          <w:bCs/>
          <w:sz w:val="22"/>
          <w:szCs w:val="22"/>
        </w:rPr>
      </w:pPr>
      <w:r>
        <w:rPr>
          <w:rFonts w:hint="eastAsia" w:ascii="宋体" w:hAnsi="宋体" w:cs="宋体"/>
          <w:bCs/>
          <w:sz w:val="22"/>
          <w:szCs w:val="22"/>
        </w:rPr>
        <w:t>1.1  评标委员会成员由采购人代表和有关技术、经济等方面的专家组成，成员人数为5人及以上单数，其中技术、经济类专家不得少于总人数的2/3，除采购人代表外的专家将在浙江政府采购网的评标专家库中随机抽取产生。评标委员会的成员在评标过程中必须严格遵守</w:t>
      </w:r>
      <w:r>
        <w:rPr>
          <w:rFonts w:hint="eastAsia" w:ascii="宋体" w:hAnsi="宋体" w:cs="宋体"/>
          <w:bCs/>
          <w:sz w:val="22"/>
          <w:szCs w:val="22"/>
          <w:lang w:eastAsia="zh-CN"/>
        </w:rPr>
        <w:t>《温州市市属国有企业采购管理办法》</w:t>
      </w:r>
      <w:r>
        <w:rPr>
          <w:rFonts w:hint="eastAsia" w:ascii="宋体" w:hAnsi="宋体" w:cs="宋体"/>
          <w:bCs/>
          <w:sz w:val="22"/>
          <w:szCs w:val="22"/>
        </w:rPr>
        <w:t>等有关法律、法规的规定。</w:t>
      </w:r>
    </w:p>
    <w:p w14:paraId="7CA1CE24">
      <w:pPr>
        <w:spacing w:line="360" w:lineRule="auto"/>
        <w:ind w:left="550" w:hanging="550" w:hangingChars="250"/>
        <w:rPr>
          <w:rFonts w:ascii="宋体" w:hAnsi="宋体" w:cs="宋体"/>
          <w:bCs/>
          <w:sz w:val="22"/>
          <w:szCs w:val="22"/>
        </w:rPr>
      </w:pPr>
      <w:r>
        <w:rPr>
          <w:rFonts w:hint="eastAsia" w:ascii="宋体" w:hAnsi="宋体" w:cs="宋体"/>
          <w:bCs/>
          <w:sz w:val="22"/>
          <w:szCs w:val="22"/>
        </w:rPr>
        <w:t xml:space="preserve">2.   </w:t>
      </w:r>
      <w:r>
        <w:rPr>
          <w:rFonts w:hint="eastAsia" w:ascii="宋体" w:hAnsi="宋体" w:cs="宋体"/>
          <w:b/>
          <w:bCs/>
          <w:sz w:val="22"/>
          <w:szCs w:val="22"/>
        </w:rPr>
        <w:t>评标过程的保密性</w:t>
      </w:r>
    </w:p>
    <w:p w14:paraId="0FB283E8">
      <w:pPr>
        <w:spacing w:line="360" w:lineRule="auto"/>
        <w:ind w:left="558" w:leftChars="4" w:hanging="550" w:hangingChars="250"/>
        <w:rPr>
          <w:rFonts w:ascii="宋体" w:hAnsi="宋体" w:cs="宋体"/>
          <w:b/>
          <w:bCs/>
          <w:sz w:val="22"/>
          <w:szCs w:val="22"/>
        </w:rPr>
      </w:pPr>
      <w:r>
        <w:rPr>
          <w:rFonts w:hint="eastAsia" w:ascii="宋体" w:hAnsi="宋体" w:cs="宋体"/>
          <w:bCs/>
          <w:sz w:val="22"/>
          <w:szCs w:val="22"/>
        </w:rPr>
        <w:t>2.1  开标后直至向中标供应商授予合同时止，凡与评审有关的资料均不得向投标供应商及与评标无关人员透露。如果投标供应商在评标过程中试图向采购单位施加影响，其投标将被拒绝。</w:t>
      </w:r>
    </w:p>
    <w:p w14:paraId="20A5E686">
      <w:pPr>
        <w:spacing w:line="360" w:lineRule="auto"/>
        <w:ind w:left="558" w:leftChars="4" w:hanging="550" w:hangingChars="250"/>
        <w:rPr>
          <w:rFonts w:ascii="宋体" w:hAnsi="宋体" w:cs="宋体"/>
          <w:bCs/>
          <w:sz w:val="22"/>
          <w:szCs w:val="22"/>
        </w:rPr>
      </w:pPr>
      <w:r>
        <w:rPr>
          <w:rFonts w:hint="eastAsia" w:ascii="宋体" w:hAnsi="宋体" w:cs="宋体"/>
          <w:bCs/>
          <w:sz w:val="22"/>
          <w:szCs w:val="22"/>
        </w:rPr>
        <w:t xml:space="preserve">3.   </w:t>
      </w:r>
      <w:r>
        <w:rPr>
          <w:rFonts w:hint="eastAsia" w:ascii="宋体" w:hAnsi="宋体" w:cs="宋体"/>
          <w:b/>
          <w:bCs/>
          <w:sz w:val="22"/>
          <w:szCs w:val="22"/>
        </w:rPr>
        <w:t>开标、评标</w:t>
      </w:r>
    </w:p>
    <w:p w14:paraId="6AF7E7F9">
      <w:pPr>
        <w:spacing w:line="360" w:lineRule="auto"/>
        <w:ind w:left="550" w:hanging="550" w:hangingChars="250"/>
        <w:rPr>
          <w:rFonts w:ascii="宋体" w:hAnsi="宋体" w:cs="宋体"/>
          <w:sz w:val="22"/>
          <w:szCs w:val="22"/>
          <w:highlight w:val="yellow"/>
        </w:rPr>
      </w:pPr>
      <w:r>
        <w:rPr>
          <w:rFonts w:hint="eastAsia" w:ascii="宋体" w:hAnsi="宋体" w:cs="宋体"/>
          <w:sz w:val="22"/>
          <w:szCs w:val="22"/>
        </w:rPr>
        <w:t xml:space="preserve">3.1  </w:t>
      </w:r>
      <w:r>
        <w:rPr>
          <w:rFonts w:hint="eastAsia" w:ascii="宋体" w:hAnsi="宋体" w:cs="宋体"/>
          <w:bCs/>
          <w:color w:val="000000"/>
          <w:sz w:val="22"/>
          <w:szCs w:val="22"/>
        </w:rPr>
        <w:t>开标时邀请所有投标供应商代表参加，参加开标的代表应准时出席并签名报到以证明其出席（投标供应商代表对开标过程和开标记录有疑义，以及认为采购人、采购代理机构相关工作人员有需要回避的情形的，应当场提出询问或者回避申请。投标供应商代表未</w:t>
      </w:r>
      <w:r>
        <w:rPr>
          <w:rFonts w:hint="eastAsia" w:ascii="宋体" w:hAnsi="宋体" w:cs="宋体"/>
          <w:bCs/>
          <w:color w:val="000000"/>
          <w:sz w:val="22"/>
          <w:szCs w:val="22"/>
          <w:lang w:val="en-US" w:eastAsia="zh-CN"/>
        </w:rPr>
        <w:t>15</w:t>
      </w:r>
      <w:r>
        <w:rPr>
          <w:rFonts w:hint="eastAsia" w:ascii="宋体" w:hAnsi="宋体" w:cs="宋体"/>
          <w:bCs/>
          <w:color w:val="000000"/>
          <w:sz w:val="22"/>
          <w:szCs w:val="22"/>
        </w:rPr>
        <w:t>参加开标会的，视同认可开标结果。</w:t>
      </w:r>
    </w:p>
    <w:p w14:paraId="40C16007">
      <w:pPr>
        <w:spacing w:line="360" w:lineRule="auto"/>
        <w:ind w:left="550" w:hanging="550" w:hangingChars="250"/>
        <w:rPr>
          <w:rFonts w:ascii="宋体" w:hAnsi="宋体" w:cs="宋体"/>
          <w:sz w:val="22"/>
          <w:szCs w:val="22"/>
        </w:rPr>
      </w:pPr>
      <w:r>
        <w:rPr>
          <w:rFonts w:hint="eastAsia" w:ascii="宋体" w:hAnsi="宋体" w:cs="宋体"/>
          <w:sz w:val="22"/>
          <w:szCs w:val="22"/>
        </w:rPr>
        <w:t xml:space="preserve">3.2  </w:t>
      </w:r>
      <w:r>
        <w:rPr>
          <w:rFonts w:hint="eastAsia" w:ascii="宋体" w:hAnsi="宋体" w:cs="宋体"/>
          <w:bCs/>
          <w:color w:val="000000"/>
          <w:sz w:val="22"/>
          <w:szCs w:val="22"/>
        </w:rPr>
        <w:t>开标时，由投标供应商或其推选的代表检查投标文件密封情况；经确认无误后，由采购代理机构工作人员按投标供应商提交投标文件的先后顺序当众拆封、清点技术资信标及商务（报价）标（包括正本、副本）数量，宣布投标供应商名称、投标价格和采购文件规定的需要宣布的其他内容，然后送评标室评审；对不符合装订要求的投标文件，由现场工作人员退还投标供应商代表。采购代理机构指定专人作好记录，存档备查。投标供应商不足3家的，不得开标。</w:t>
      </w:r>
    </w:p>
    <w:p w14:paraId="5F32F91A">
      <w:pPr>
        <w:tabs>
          <w:tab w:val="left" w:pos="525"/>
        </w:tabs>
        <w:spacing w:line="360" w:lineRule="auto"/>
        <w:ind w:left="425"/>
        <w:rPr>
          <w:rFonts w:ascii="宋体" w:hAnsi="宋体" w:cs="宋体"/>
          <w:bCs/>
          <w:color w:val="auto"/>
          <w:sz w:val="22"/>
          <w:szCs w:val="22"/>
          <w:highlight w:val="none"/>
        </w:rPr>
      </w:pPr>
      <w:r>
        <w:rPr>
          <w:rFonts w:hint="eastAsia" w:ascii="宋体" w:hAnsi="宋体" w:cs="宋体"/>
          <w:sz w:val="22"/>
          <w:szCs w:val="22"/>
        </w:rPr>
        <w:t xml:space="preserve">3.3  </w:t>
      </w:r>
      <w:r>
        <w:rPr>
          <w:rFonts w:hint="eastAsia" w:ascii="宋体" w:hAnsi="宋体" w:cs="宋体"/>
          <w:bCs/>
          <w:color w:val="000000"/>
          <w:sz w:val="22"/>
          <w:szCs w:val="22"/>
        </w:rPr>
        <w:t>开标结束后，</w:t>
      </w:r>
      <w:r>
        <w:rPr>
          <w:rFonts w:hint="eastAsia" w:ascii="宋体" w:hAnsi="宋体" w:cs="宋体"/>
          <w:bCs/>
          <w:color w:val="auto"/>
          <w:sz w:val="22"/>
          <w:szCs w:val="22"/>
          <w:highlight w:val="none"/>
        </w:rPr>
        <w:t>依据法律、法规和采购文件的规定，评标委员会在开启各投标供应商资格证明文件后，对各投标供应商进行投标资格审查，审查内容包括但不仅限于投标文件所提交证明材料是否能证明符合本项目对合格投标供应商的实质性要求。评标委员会对投标供应商所提供的资格证明材料仅负审核的责任。如发现投标供应商所提供的资格证明材料不合法或不真实，采购人可取消其中标资格并追究法律责任。</w:t>
      </w:r>
      <w:r>
        <w:rPr>
          <w:rFonts w:hint="eastAsia" w:ascii="宋体" w:hAnsi="宋体" w:cs="宋体"/>
          <w:b/>
          <w:bCs/>
          <w:color w:val="000000"/>
          <w:sz w:val="22"/>
          <w:szCs w:val="22"/>
        </w:rPr>
        <w:t>▲</w:t>
      </w:r>
      <w:r>
        <w:rPr>
          <w:rFonts w:hint="eastAsia" w:ascii="宋体" w:hAnsi="宋体" w:eastAsia="宋体" w:cs="宋体"/>
          <w:bCs/>
          <w:color w:val="000000"/>
          <w:sz w:val="22"/>
          <w:szCs w:val="22"/>
          <w:u w:val="single"/>
        </w:rPr>
        <w:t>通过资格审查视作具备投标资格，审查不合格的投标文件将不进入后续详细评审。</w:t>
      </w:r>
    </w:p>
    <w:p w14:paraId="69FEC1DD">
      <w:pPr>
        <w:pStyle w:val="3"/>
        <w:spacing w:after="0" w:line="360" w:lineRule="auto"/>
        <w:ind w:left="550" w:hanging="550" w:hangingChars="250"/>
        <w:rPr>
          <w:rFonts w:ascii="宋体" w:hAnsi="宋体" w:cs="宋体"/>
          <w:sz w:val="22"/>
          <w:szCs w:val="22"/>
        </w:rPr>
      </w:pPr>
      <w:r>
        <w:rPr>
          <w:rFonts w:hint="eastAsia" w:ascii="宋体" w:hAnsi="宋体" w:cs="宋体"/>
          <w:bCs/>
          <w:color w:val="000000"/>
          <w:sz w:val="22"/>
          <w:szCs w:val="22"/>
        </w:rPr>
        <w:t xml:space="preserve">3.4  </w:t>
      </w:r>
      <w:r>
        <w:rPr>
          <w:rFonts w:hint="eastAsia" w:ascii="宋体" w:hAnsi="宋体" w:cs="宋体"/>
          <w:sz w:val="22"/>
          <w:szCs w:val="22"/>
        </w:rPr>
        <w:t>评标委员会依据采购文件的规定，从投标文件中的有效性、完整性和对采购文件的响应程度进行符合性检查，以确定是否对采购文件的实质性要求作出响应。</w:t>
      </w:r>
    </w:p>
    <w:p w14:paraId="472D8FE9">
      <w:pPr>
        <w:pStyle w:val="3"/>
        <w:spacing w:after="0" w:line="360" w:lineRule="auto"/>
        <w:ind w:left="552" w:hanging="552" w:hangingChars="250"/>
        <w:rPr>
          <w:rFonts w:ascii="宋体" w:hAnsi="宋体" w:cs="宋体"/>
          <w:b/>
          <w:color w:val="000000"/>
          <w:sz w:val="22"/>
          <w:szCs w:val="22"/>
        </w:rPr>
      </w:pPr>
      <w:r>
        <w:rPr>
          <w:rFonts w:hint="eastAsia" w:ascii="宋体" w:hAnsi="宋体" w:cs="宋体"/>
          <w:b/>
          <w:bCs/>
          <w:color w:val="000000"/>
          <w:sz w:val="22"/>
          <w:szCs w:val="22"/>
        </w:rPr>
        <w:t>3.5  ▲</w:t>
      </w:r>
      <w:r>
        <w:rPr>
          <w:rFonts w:hint="eastAsia" w:ascii="宋体" w:hAnsi="宋体" w:cs="宋体"/>
          <w:b/>
          <w:bCs/>
          <w:color w:val="000000"/>
          <w:sz w:val="22"/>
          <w:szCs w:val="22"/>
          <w:u w:val="single"/>
        </w:rPr>
        <w:t>在对各投标供应商资格性审查和符合性检查合格的投标文件进行综合评审时有下列情况之一的,经评标委员会认定后按无效标处理</w:t>
      </w:r>
      <w:r>
        <w:rPr>
          <w:rFonts w:hint="eastAsia" w:ascii="宋体" w:hAnsi="宋体" w:cs="宋体"/>
          <w:b/>
          <w:bCs/>
          <w:color w:val="000000"/>
          <w:sz w:val="22"/>
          <w:szCs w:val="22"/>
        </w:rPr>
        <w:t>：</w:t>
      </w:r>
    </w:p>
    <w:p w14:paraId="57B4E6F2">
      <w:pPr>
        <w:tabs>
          <w:tab w:val="left" w:pos="540"/>
        </w:tabs>
        <w:spacing w:line="360" w:lineRule="auto"/>
        <w:ind w:left="548" w:leftChars="104" w:hanging="330" w:hangingChars="150"/>
        <w:rPr>
          <w:rFonts w:ascii="宋体" w:hAnsi="宋体" w:cs="宋体"/>
          <w:sz w:val="22"/>
          <w:szCs w:val="22"/>
        </w:rPr>
      </w:pPr>
      <w:r>
        <w:rPr>
          <w:rFonts w:hint="eastAsia" w:ascii="宋体" w:hAnsi="宋体" w:cs="宋体"/>
          <w:sz w:val="22"/>
          <w:szCs w:val="22"/>
        </w:rPr>
        <w:t>1）投标文件未按采购文件要求加盖投标供应商单位公章、无法定代表人（负责人）签字或其授权代表签字的；</w:t>
      </w:r>
    </w:p>
    <w:p w14:paraId="15AA1EAD">
      <w:pPr>
        <w:tabs>
          <w:tab w:val="left" w:pos="540"/>
        </w:tabs>
        <w:spacing w:line="360" w:lineRule="auto"/>
        <w:ind w:left="548" w:leftChars="104" w:hanging="330" w:hangingChars="150"/>
        <w:rPr>
          <w:rFonts w:ascii="宋体" w:hAnsi="宋体" w:cs="宋体"/>
          <w:sz w:val="22"/>
          <w:szCs w:val="22"/>
        </w:rPr>
      </w:pPr>
      <w:r>
        <w:rPr>
          <w:rFonts w:hint="eastAsia" w:ascii="宋体" w:hAnsi="宋体" w:cs="宋体"/>
          <w:sz w:val="22"/>
          <w:szCs w:val="22"/>
        </w:rPr>
        <w:t>2）投标供应商代表未提交本人有效身份证件或授权代表无法定代表人（负责人）合法有效授权委托书的；</w:t>
      </w:r>
    </w:p>
    <w:p w14:paraId="762ADF2D">
      <w:pPr>
        <w:tabs>
          <w:tab w:val="left" w:pos="540"/>
        </w:tabs>
        <w:spacing w:line="360" w:lineRule="auto"/>
        <w:ind w:firstLine="220" w:firstLineChars="100"/>
        <w:rPr>
          <w:rFonts w:ascii="宋体" w:hAnsi="宋体" w:cs="宋体"/>
          <w:sz w:val="22"/>
          <w:szCs w:val="22"/>
        </w:rPr>
      </w:pPr>
      <w:r>
        <w:rPr>
          <w:rFonts w:hint="eastAsia" w:ascii="宋体" w:hAnsi="宋体" w:cs="宋体"/>
          <w:sz w:val="22"/>
          <w:szCs w:val="22"/>
        </w:rPr>
        <w:t>3）不具备采购文件中规定的资格要求的；</w:t>
      </w:r>
    </w:p>
    <w:p w14:paraId="01593CEE">
      <w:pPr>
        <w:tabs>
          <w:tab w:val="left" w:pos="540"/>
        </w:tabs>
        <w:spacing w:line="360" w:lineRule="auto"/>
        <w:ind w:firstLine="220" w:firstLineChars="100"/>
        <w:rPr>
          <w:rFonts w:ascii="宋体" w:hAnsi="宋体" w:cs="宋体"/>
          <w:sz w:val="22"/>
          <w:szCs w:val="22"/>
        </w:rPr>
      </w:pPr>
      <w:r>
        <w:rPr>
          <w:rFonts w:hint="eastAsia" w:ascii="宋体" w:hAnsi="宋体" w:cs="宋体"/>
          <w:sz w:val="22"/>
          <w:szCs w:val="22"/>
        </w:rPr>
        <w:t>4）报价超过采购文件中规定的预算金额的；</w:t>
      </w:r>
    </w:p>
    <w:p w14:paraId="141E7E5D">
      <w:pPr>
        <w:tabs>
          <w:tab w:val="left" w:pos="540"/>
        </w:tabs>
        <w:spacing w:line="360" w:lineRule="auto"/>
        <w:ind w:firstLine="220" w:firstLineChars="100"/>
        <w:rPr>
          <w:rFonts w:ascii="宋体" w:hAnsi="宋体" w:cs="宋体"/>
          <w:sz w:val="22"/>
          <w:szCs w:val="22"/>
        </w:rPr>
      </w:pPr>
      <w:r>
        <w:rPr>
          <w:rFonts w:hint="eastAsia" w:ascii="宋体" w:hAnsi="宋体" w:cs="宋体"/>
          <w:sz w:val="22"/>
          <w:szCs w:val="22"/>
        </w:rPr>
        <w:t>5）技术资信标中出现投标报价的；</w:t>
      </w:r>
    </w:p>
    <w:p w14:paraId="606229AD">
      <w:pPr>
        <w:tabs>
          <w:tab w:val="left" w:pos="540"/>
        </w:tabs>
        <w:spacing w:line="360" w:lineRule="auto"/>
        <w:ind w:left="548" w:leftChars="104" w:hanging="330" w:hangingChars="150"/>
        <w:rPr>
          <w:rFonts w:ascii="宋体" w:hAnsi="宋体" w:cs="宋体"/>
          <w:sz w:val="22"/>
          <w:szCs w:val="22"/>
        </w:rPr>
      </w:pPr>
      <w:r>
        <w:rPr>
          <w:rFonts w:hint="eastAsia" w:ascii="宋体" w:hAnsi="宋体" w:cs="宋体"/>
          <w:sz w:val="22"/>
          <w:szCs w:val="22"/>
        </w:rPr>
        <w:t>6）投标文件含有采购人不能接受的附加条件的（包括采购文件中明确要求不得偏离的招标要求，存在负偏离的）；</w:t>
      </w:r>
    </w:p>
    <w:p w14:paraId="69014AB5">
      <w:pPr>
        <w:tabs>
          <w:tab w:val="left" w:pos="540"/>
        </w:tabs>
        <w:spacing w:line="360" w:lineRule="auto"/>
        <w:ind w:firstLine="220" w:firstLineChars="100"/>
        <w:rPr>
          <w:rFonts w:ascii="宋体" w:hAnsi="宋体" w:cs="宋体"/>
          <w:sz w:val="22"/>
          <w:szCs w:val="22"/>
        </w:rPr>
      </w:pPr>
      <w:r>
        <w:rPr>
          <w:rFonts w:hint="eastAsia" w:ascii="宋体" w:hAnsi="宋体" w:cs="宋体"/>
          <w:sz w:val="22"/>
          <w:szCs w:val="22"/>
        </w:rPr>
        <w:t>7）投标供应商递交两份或两份以上内容不同的投标文件，未声明哪一份有效的；</w:t>
      </w:r>
    </w:p>
    <w:p w14:paraId="74322534">
      <w:pPr>
        <w:tabs>
          <w:tab w:val="left" w:pos="540"/>
        </w:tabs>
        <w:spacing w:line="360" w:lineRule="auto"/>
        <w:ind w:firstLine="220" w:firstLineChars="100"/>
        <w:rPr>
          <w:rFonts w:ascii="宋体" w:hAnsi="宋体" w:cs="宋体"/>
          <w:sz w:val="22"/>
          <w:szCs w:val="22"/>
        </w:rPr>
      </w:pPr>
      <w:r>
        <w:rPr>
          <w:rFonts w:hint="eastAsia" w:ascii="宋体" w:hAnsi="宋体" w:cs="宋体"/>
          <w:sz w:val="22"/>
          <w:szCs w:val="22"/>
        </w:rPr>
        <w:t>8）存在串标、抬标或弄虚作假情况的；</w:t>
      </w:r>
    </w:p>
    <w:p w14:paraId="6C39F3A8">
      <w:pPr>
        <w:tabs>
          <w:tab w:val="left" w:pos="540"/>
        </w:tabs>
        <w:spacing w:line="360" w:lineRule="auto"/>
        <w:ind w:firstLine="220" w:firstLineChars="100"/>
        <w:rPr>
          <w:rFonts w:ascii="宋体" w:hAnsi="宋体" w:cs="宋体"/>
          <w:b/>
          <w:bCs/>
          <w:color w:val="000000"/>
          <w:sz w:val="22"/>
          <w:szCs w:val="22"/>
        </w:rPr>
      </w:pPr>
      <w:r>
        <w:rPr>
          <w:rFonts w:hint="eastAsia" w:ascii="宋体" w:hAnsi="宋体" w:cs="宋体"/>
          <w:sz w:val="22"/>
          <w:szCs w:val="22"/>
        </w:rPr>
        <w:t>9）法律、法规和采购文件规定的其他无效情形（或出现重大偏差）。</w:t>
      </w:r>
    </w:p>
    <w:p w14:paraId="4FB4B036">
      <w:pPr>
        <w:tabs>
          <w:tab w:val="left" w:pos="540"/>
        </w:tabs>
        <w:spacing w:line="360" w:lineRule="auto"/>
        <w:rPr>
          <w:rFonts w:ascii="宋体" w:hAnsi="宋体" w:cs="宋体"/>
          <w:b/>
          <w:bCs/>
          <w:sz w:val="22"/>
          <w:szCs w:val="22"/>
          <w:u w:val="single"/>
        </w:rPr>
      </w:pPr>
      <w:r>
        <w:rPr>
          <w:rFonts w:hint="eastAsia" w:ascii="宋体" w:hAnsi="宋体" w:cs="宋体"/>
          <w:b/>
          <w:bCs/>
          <w:sz w:val="22"/>
          <w:szCs w:val="22"/>
        </w:rPr>
        <w:t xml:space="preserve">3.6  </w:t>
      </w:r>
      <w:r>
        <w:rPr>
          <w:rFonts w:hint="eastAsia" w:ascii="宋体" w:hAnsi="宋体" w:cs="宋体"/>
          <w:b/>
          <w:bCs/>
          <w:sz w:val="22"/>
          <w:szCs w:val="22"/>
          <w:u w:val="single"/>
        </w:rPr>
        <w:t>▲有下列情形之一的，视为投标供应商串通投标，其投标无效：</w:t>
      </w:r>
    </w:p>
    <w:p w14:paraId="2464E536">
      <w:pPr>
        <w:numPr>
          <w:ilvl w:val="0"/>
          <w:numId w:val="7"/>
        </w:numPr>
        <w:tabs>
          <w:tab w:val="left" w:pos="540"/>
        </w:tabs>
        <w:spacing w:line="360" w:lineRule="auto"/>
        <w:ind w:left="218" w:leftChars="104"/>
        <w:rPr>
          <w:rFonts w:ascii="宋体" w:hAnsi="宋体" w:cs="宋体"/>
          <w:sz w:val="22"/>
          <w:szCs w:val="22"/>
        </w:rPr>
      </w:pPr>
      <w:r>
        <w:rPr>
          <w:rFonts w:hint="eastAsia" w:ascii="宋体" w:hAnsi="宋体" w:cs="宋体"/>
          <w:sz w:val="22"/>
          <w:szCs w:val="22"/>
        </w:rPr>
        <w:t>不同投标供应商的投标文件由同一单位或者个人编制；</w:t>
      </w:r>
    </w:p>
    <w:p w14:paraId="6782177E">
      <w:pPr>
        <w:numPr>
          <w:ilvl w:val="0"/>
          <w:numId w:val="7"/>
        </w:numPr>
        <w:spacing w:line="360" w:lineRule="auto"/>
        <w:ind w:left="218" w:leftChars="104"/>
        <w:rPr>
          <w:rFonts w:ascii="宋体" w:hAnsi="宋体" w:cs="宋体"/>
          <w:sz w:val="22"/>
          <w:szCs w:val="22"/>
        </w:rPr>
      </w:pPr>
      <w:r>
        <w:rPr>
          <w:rFonts w:hint="eastAsia" w:ascii="宋体" w:hAnsi="宋体" w:cs="宋体"/>
          <w:sz w:val="22"/>
          <w:szCs w:val="22"/>
        </w:rPr>
        <w:t>不同投标供应商委托同一单位或者个人办理投标事宜；</w:t>
      </w:r>
    </w:p>
    <w:p w14:paraId="01792397">
      <w:pPr>
        <w:numPr>
          <w:ilvl w:val="0"/>
          <w:numId w:val="7"/>
        </w:numPr>
        <w:tabs>
          <w:tab w:val="left" w:pos="540"/>
        </w:tabs>
        <w:spacing w:line="360" w:lineRule="auto"/>
        <w:ind w:left="218" w:leftChars="104"/>
        <w:rPr>
          <w:rFonts w:ascii="宋体" w:hAnsi="宋体" w:cs="宋体"/>
          <w:sz w:val="22"/>
          <w:szCs w:val="22"/>
        </w:rPr>
      </w:pPr>
      <w:r>
        <w:rPr>
          <w:rFonts w:hint="eastAsia" w:ascii="宋体" w:hAnsi="宋体" w:cs="宋体"/>
          <w:sz w:val="22"/>
          <w:szCs w:val="22"/>
        </w:rPr>
        <w:t>不同投标供应商的投标文件载明的项目管理成员或者联系人员为同一人；</w:t>
      </w:r>
    </w:p>
    <w:p w14:paraId="0E8D3EBC">
      <w:pPr>
        <w:spacing w:line="360" w:lineRule="auto"/>
        <w:ind w:left="218" w:leftChars="104"/>
        <w:rPr>
          <w:rFonts w:ascii="宋体" w:hAnsi="宋体" w:cs="宋体"/>
          <w:sz w:val="22"/>
          <w:szCs w:val="22"/>
        </w:rPr>
      </w:pPr>
      <w:r>
        <w:rPr>
          <w:rFonts w:hint="eastAsia" w:ascii="宋体" w:hAnsi="宋体" w:cs="宋体"/>
          <w:sz w:val="22"/>
          <w:szCs w:val="22"/>
        </w:rPr>
        <w:t>4）不同投标供应商的投标文件异常一致或者投标报价呈规律性差异；</w:t>
      </w:r>
    </w:p>
    <w:p w14:paraId="042C8D04">
      <w:pPr>
        <w:tabs>
          <w:tab w:val="left" w:pos="540"/>
        </w:tabs>
        <w:spacing w:line="360" w:lineRule="auto"/>
        <w:ind w:left="218" w:leftChars="104"/>
        <w:rPr>
          <w:rFonts w:ascii="宋体" w:hAnsi="宋体" w:cs="宋体"/>
          <w:b/>
          <w:bCs/>
          <w:color w:val="000000"/>
          <w:sz w:val="22"/>
          <w:szCs w:val="22"/>
        </w:rPr>
      </w:pPr>
      <w:r>
        <w:rPr>
          <w:rFonts w:hint="eastAsia" w:ascii="宋体" w:hAnsi="宋体" w:cs="宋体"/>
          <w:sz w:val="22"/>
          <w:szCs w:val="22"/>
        </w:rPr>
        <w:t>5）不同投标供应商的投标文件相互混装。</w:t>
      </w:r>
    </w:p>
    <w:p w14:paraId="654DFD00">
      <w:pPr>
        <w:tabs>
          <w:tab w:val="left" w:pos="540"/>
        </w:tabs>
        <w:spacing w:line="360" w:lineRule="auto"/>
        <w:ind w:left="550" w:hanging="550" w:hangingChars="250"/>
        <w:rPr>
          <w:rFonts w:ascii="宋体" w:hAnsi="宋体" w:cs="宋体"/>
          <w:bCs/>
          <w:sz w:val="22"/>
          <w:szCs w:val="22"/>
        </w:rPr>
      </w:pPr>
      <w:r>
        <w:rPr>
          <w:rFonts w:hint="eastAsia" w:ascii="宋体" w:hAnsi="宋体" w:cs="宋体"/>
          <w:bCs/>
          <w:sz w:val="22"/>
          <w:szCs w:val="22"/>
        </w:rPr>
        <w:t>3.7  “商务（报价）标”评审时，由评标委员会对各投标供应商的投标报价进行核查，核查时发现投标报价内容不清楚可要求投标供应商书面澄清，投标文件中投标报价一览表内容与其他内容不一致的，以投标报价一览表为准，计算上的错误，可按下面方法修改：</w:t>
      </w:r>
    </w:p>
    <w:p w14:paraId="24B92B40">
      <w:pPr>
        <w:numPr>
          <w:ilvl w:val="0"/>
          <w:numId w:val="8"/>
        </w:numPr>
        <w:tabs>
          <w:tab w:val="left" w:pos="720"/>
        </w:tabs>
        <w:spacing w:line="360" w:lineRule="auto"/>
        <w:ind w:left="527" w:leftChars="104" w:hanging="309" w:hangingChars="146"/>
        <w:rPr>
          <w:rFonts w:ascii="宋体" w:hAnsi="宋体" w:cs="宋体"/>
          <w:spacing w:val="-4"/>
          <w:sz w:val="22"/>
          <w:szCs w:val="22"/>
        </w:rPr>
      </w:pPr>
      <w:r>
        <w:rPr>
          <w:rFonts w:hint="eastAsia" w:ascii="宋体" w:hAnsi="宋体" w:cs="宋体"/>
          <w:spacing w:val="-4"/>
          <w:sz w:val="22"/>
          <w:szCs w:val="22"/>
        </w:rPr>
        <w:t>投标文件的大写金额和小写金额不一致的，以大写金额为准；总价金额与按单价汇总金额不一致的，以单价金额计算结果为准；单价金额小数点或者百分比有明显错位的，以投标报价一览表的总价为准，并修改单价。</w:t>
      </w:r>
    </w:p>
    <w:p w14:paraId="0803A183">
      <w:pPr>
        <w:numPr>
          <w:ilvl w:val="0"/>
          <w:numId w:val="8"/>
        </w:numPr>
        <w:spacing w:line="360" w:lineRule="auto"/>
        <w:ind w:left="218" w:leftChars="104"/>
        <w:rPr>
          <w:rFonts w:ascii="宋体" w:hAnsi="宋体" w:cs="宋体"/>
          <w:color w:val="000000"/>
          <w:sz w:val="22"/>
          <w:szCs w:val="22"/>
        </w:rPr>
      </w:pPr>
      <w:r>
        <w:rPr>
          <w:rFonts w:hint="eastAsia" w:ascii="宋体" w:hAnsi="宋体" w:cs="宋体"/>
          <w:b/>
          <w:sz w:val="22"/>
          <w:szCs w:val="22"/>
        </w:rPr>
        <w:t>如果投标供应商不接受对其价格错误进行修正，其投标将被否决。</w:t>
      </w:r>
    </w:p>
    <w:p w14:paraId="1D6591D2">
      <w:pPr>
        <w:spacing w:line="360" w:lineRule="auto"/>
        <w:ind w:left="550" w:hanging="550" w:hangingChars="250"/>
        <w:rPr>
          <w:rFonts w:ascii="宋体" w:hAnsi="宋体" w:cs="宋体"/>
          <w:b/>
          <w:bCs/>
          <w:sz w:val="22"/>
          <w:szCs w:val="22"/>
        </w:rPr>
      </w:pPr>
      <w:r>
        <w:rPr>
          <w:rFonts w:hint="eastAsia" w:ascii="宋体" w:hAnsi="宋体" w:cs="宋体"/>
          <w:bCs/>
          <w:sz w:val="22"/>
          <w:szCs w:val="22"/>
        </w:rPr>
        <w:t>3.8  在详细评标之前，评标委员会要审查每份投标文件是否实质上响应了采购文件的要求。实质上响应的投标应该是与采购文件要求的全部条款、条件和规格基本相符。没有重大偏离。</w:t>
      </w:r>
      <w:r>
        <w:rPr>
          <w:rFonts w:hint="eastAsia" w:ascii="宋体" w:hAnsi="宋体" w:cs="宋体"/>
          <w:b/>
          <w:bCs/>
          <w:sz w:val="22"/>
          <w:szCs w:val="22"/>
        </w:rPr>
        <w:t>评标委员会决定投标的响应性只根据投标文件本身的内容，而不寻求外部的证据。</w:t>
      </w:r>
    </w:p>
    <w:p w14:paraId="3EA3C7BF">
      <w:pPr>
        <w:spacing w:line="360" w:lineRule="auto"/>
        <w:ind w:left="552" w:hanging="552" w:hangingChars="250"/>
        <w:rPr>
          <w:rFonts w:ascii="宋体" w:hAnsi="宋体" w:cs="宋体"/>
          <w:bCs/>
          <w:sz w:val="22"/>
          <w:szCs w:val="22"/>
        </w:rPr>
      </w:pPr>
      <w:r>
        <w:rPr>
          <w:rFonts w:hint="eastAsia" w:ascii="宋体" w:hAnsi="宋体" w:cs="宋体"/>
          <w:b/>
          <w:bCs/>
          <w:sz w:val="22"/>
          <w:szCs w:val="22"/>
        </w:rPr>
        <w:t xml:space="preserve">3.9  </w:t>
      </w:r>
      <w:r>
        <w:rPr>
          <w:rFonts w:hint="eastAsia" w:ascii="宋体" w:hAnsi="宋体" w:cs="宋体"/>
          <w:kern w:val="0"/>
          <w:sz w:val="22"/>
          <w:szCs w:val="22"/>
        </w:rPr>
        <w:t>▲</w:t>
      </w:r>
      <w:r>
        <w:rPr>
          <w:rFonts w:hint="eastAsia" w:ascii="宋体" w:hAnsi="宋体" w:cs="宋体"/>
          <w:b/>
          <w:bCs/>
          <w:sz w:val="22"/>
          <w:szCs w:val="22"/>
          <w:u w:val="single"/>
        </w:rPr>
        <w:t>实质上没有响应采购文件要求的投标将被拒绝，</w:t>
      </w:r>
      <w:r>
        <w:rPr>
          <w:rFonts w:hint="eastAsia" w:ascii="宋体" w:hAnsi="宋体" w:cs="宋体"/>
          <w:bCs/>
          <w:sz w:val="22"/>
          <w:szCs w:val="22"/>
          <w:u w:val="single"/>
        </w:rPr>
        <w:t>投标供应商不得通过修正或撤消不合要求的偏离或保留从而使其投标成为实质上响应的投标</w:t>
      </w:r>
      <w:r>
        <w:rPr>
          <w:rFonts w:hint="eastAsia" w:ascii="宋体" w:hAnsi="宋体" w:cs="宋体"/>
          <w:bCs/>
          <w:sz w:val="22"/>
          <w:szCs w:val="22"/>
        </w:rPr>
        <w:t>。</w:t>
      </w:r>
    </w:p>
    <w:p w14:paraId="009CFB24">
      <w:pPr>
        <w:spacing w:line="360" w:lineRule="auto"/>
        <w:ind w:left="550" w:hanging="550" w:hangingChars="250"/>
        <w:rPr>
          <w:rFonts w:ascii="宋体" w:hAnsi="宋体" w:cs="宋体"/>
          <w:bCs/>
          <w:sz w:val="22"/>
          <w:szCs w:val="22"/>
        </w:rPr>
      </w:pPr>
      <w:r>
        <w:rPr>
          <w:rFonts w:hint="eastAsia" w:ascii="宋体" w:hAnsi="宋体" w:cs="宋体"/>
          <w:bCs/>
          <w:sz w:val="22"/>
          <w:szCs w:val="22"/>
        </w:rPr>
        <w:t>3.10 采购文件中加“▲”且加下划线的条款，为实质性条款。对于标书中规定的实质性条款，如响应时出现有微小偏离的，判定是否构成实质性偏离，由评标委员会来判定。对重大负偏离的认定，须经评标委员会多数同意，重大负偏离将被认定为是对采购文件实质上的不响应，其投标将被视为无效投标。</w:t>
      </w:r>
    </w:p>
    <w:p w14:paraId="5ADF4044">
      <w:pPr>
        <w:spacing w:line="360" w:lineRule="auto"/>
        <w:ind w:left="550" w:hanging="550" w:hangingChars="250"/>
        <w:rPr>
          <w:rFonts w:ascii="宋体" w:hAnsi="宋体" w:cs="宋体"/>
          <w:bCs/>
          <w:sz w:val="22"/>
          <w:szCs w:val="22"/>
        </w:rPr>
      </w:pPr>
      <w:r>
        <w:rPr>
          <w:rFonts w:hint="eastAsia" w:ascii="宋体" w:hAnsi="宋体" w:cs="宋体"/>
          <w:sz w:val="22"/>
          <w:szCs w:val="22"/>
        </w:rPr>
        <w:t>3.11 评标委员会对审查合格的投标文件，按照采购文件中制订的评标方法进行综合评定打分。</w:t>
      </w:r>
    </w:p>
    <w:p w14:paraId="5FCD4400">
      <w:pPr>
        <w:tabs>
          <w:tab w:val="left" w:pos="1365"/>
        </w:tabs>
        <w:spacing w:line="360" w:lineRule="auto"/>
        <w:ind w:left="550" w:hanging="550" w:hangingChars="250"/>
        <w:rPr>
          <w:rFonts w:ascii="宋体" w:hAnsi="宋体" w:cs="宋体"/>
          <w:sz w:val="22"/>
          <w:szCs w:val="22"/>
        </w:rPr>
      </w:pPr>
      <w:r>
        <w:rPr>
          <w:rFonts w:hint="eastAsia" w:ascii="宋体" w:hAnsi="宋体" w:cs="宋体"/>
          <w:sz w:val="22"/>
          <w:szCs w:val="22"/>
        </w:rPr>
        <w:t>3.12 评标过程中遇到特殊情况，由评标委员会遵循公开、公正原则，采取投票方式按照少数服从多数原则决定。</w:t>
      </w:r>
    </w:p>
    <w:p w14:paraId="3DB046CD">
      <w:pPr>
        <w:tabs>
          <w:tab w:val="left" w:pos="1365"/>
        </w:tabs>
        <w:spacing w:line="360" w:lineRule="auto"/>
        <w:ind w:left="550" w:hanging="550" w:hangingChars="250"/>
        <w:rPr>
          <w:rFonts w:ascii="宋体" w:hAnsi="宋体" w:cs="宋体"/>
          <w:sz w:val="22"/>
          <w:szCs w:val="22"/>
        </w:rPr>
      </w:pPr>
      <w:r>
        <w:rPr>
          <w:rFonts w:hint="eastAsia" w:ascii="宋体" w:hAnsi="宋体" w:cs="宋体"/>
          <w:kern w:val="0"/>
          <w:sz w:val="22"/>
          <w:szCs w:val="22"/>
        </w:rPr>
        <w:t>3.13 ▲</w:t>
      </w:r>
      <w:r>
        <w:rPr>
          <w:rFonts w:hint="eastAsia" w:ascii="宋体" w:hAnsi="宋体" w:cs="宋体"/>
          <w:b/>
          <w:bCs/>
          <w:sz w:val="22"/>
          <w:szCs w:val="22"/>
          <w:u w:val="single"/>
        </w:rPr>
        <w:t>投标截止时间止及评审期间，出现有效投标供应商不足3家的，本项目按流（废）标处理，重新组织采购。</w:t>
      </w:r>
    </w:p>
    <w:p w14:paraId="3D10C2CA">
      <w:pPr>
        <w:tabs>
          <w:tab w:val="left" w:pos="1365"/>
        </w:tabs>
        <w:spacing w:line="360" w:lineRule="auto"/>
        <w:ind w:left="550" w:hanging="550" w:hangingChars="250"/>
        <w:rPr>
          <w:rFonts w:ascii="宋体" w:hAnsi="宋体" w:cs="宋体"/>
          <w:sz w:val="22"/>
          <w:szCs w:val="22"/>
        </w:rPr>
      </w:pPr>
      <w:r>
        <w:rPr>
          <w:rFonts w:hint="eastAsia" w:ascii="宋体" w:hAnsi="宋体" w:cs="宋体"/>
          <w:sz w:val="22"/>
          <w:szCs w:val="22"/>
        </w:rPr>
        <w:t>4.   投标文件的澄清</w:t>
      </w:r>
    </w:p>
    <w:p w14:paraId="68E0F87A">
      <w:pPr>
        <w:tabs>
          <w:tab w:val="left" w:pos="1365"/>
        </w:tabs>
        <w:spacing w:line="360" w:lineRule="auto"/>
        <w:ind w:left="550" w:hanging="550" w:hangingChars="250"/>
        <w:rPr>
          <w:rFonts w:ascii="宋体" w:hAnsi="宋体" w:cs="宋体"/>
          <w:sz w:val="22"/>
          <w:szCs w:val="22"/>
        </w:rPr>
      </w:pPr>
      <w:r>
        <w:rPr>
          <w:rFonts w:hint="eastAsia" w:ascii="宋体" w:hAnsi="宋体" w:cs="宋体"/>
          <w:sz w:val="22"/>
          <w:szCs w:val="22"/>
        </w:rPr>
        <w:t>4.1  在评标期间，评标委员会可以书面方式要求投标供应商对投标文件中含义不明确、对同类问题表述不一致或者有明显文字和计算错误的内容作必要的澄清、说明或补正。澄清、说明或补正应以书面形式并由投标供应商代表签署，但澄清内容不得超出投标文件的范围或者改变投标文件的实质性内容。拒不按要求对其投标文件进行澄清，说明或补正的投标供应商，评标委员会可以否决其投标。</w:t>
      </w:r>
    </w:p>
    <w:p w14:paraId="7A0A4BA5">
      <w:pPr>
        <w:tabs>
          <w:tab w:val="left" w:pos="1365"/>
        </w:tabs>
        <w:spacing w:line="360" w:lineRule="auto"/>
        <w:ind w:left="550" w:hanging="550" w:hangingChars="250"/>
        <w:rPr>
          <w:rFonts w:ascii="宋体" w:cs="宋体"/>
          <w:b/>
          <w:sz w:val="22"/>
          <w:szCs w:val="22"/>
        </w:rPr>
      </w:pPr>
      <w:r>
        <w:rPr>
          <w:rFonts w:hint="eastAsia" w:ascii="宋体" w:hAnsi="宋体" w:cs="宋体"/>
          <w:sz w:val="22"/>
          <w:szCs w:val="22"/>
        </w:rPr>
        <w:t>4.2  ▲</w:t>
      </w:r>
      <w:r>
        <w:rPr>
          <w:rFonts w:hint="eastAsia" w:ascii="宋体" w:hAnsi="宋体" w:cs="宋体"/>
          <w:sz w:val="22"/>
          <w:szCs w:val="22"/>
          <w:u w:val="single"/>
        </w:rPr>
        <w:t>经澄清后，若偏差仍存在，且不可接受，投标文件则被认为是“没有实质性响应采购文件要求”，不进入下一步评审</w:t>
      </w:r>
      <w:r>
        <w:rPr>
          <w:rFonts w:hint="eastAsia" w:ascii="宋体" w:hAnsi="宋体" w:cs="宋体"/>
          <w:sz w:val="22"/>
          <w:szCs w:val="22"/>
        </w:rPr>
        <w:t>。</w:t>
      </w:r>
    </w:p>
    <w:p w14:paraId="02697F88">
      <w:pPr>
        <w:tabs>
          <w:tab w:val="left" w:pos="720"/>
        </w:tabs>
        <w:spacing w:line="360" w:lineRule="auto"/>
        <w:rPr>
          <w:rFonts w:ascii="宋体" w:cs="宋体"/>
          <w:b/>
          <w:bCs/>
          <w:sz w:val="22"/>
          <w:szCs w:val="22"/>
        </w:rPr>
      </w:pPr>
      <w:r>
        <w:rPr>
          <w:rFonts w:hint="eastAsia" w:ascii="宋体" w:cs="宋体"/>
          <w:b/>
          <w:bCs/>
          <w:sz w:val="22"/>
          <w:szCs w:val="22"/>
        </w:rPr>
        <w:t>5.   确定中标候选供应商</w:t>
      </w:r>
    </w:p>
    <w:p w14:paraId="0B1AD3EA">
      <w:pPr>
        <w:tabs>
          <w:tab w:val="left" w:pos="1365"/>
        </w:tabs>
        <w:spacing w:line="360" w:lineRule="auto"/>
        <w:ind w:left="550" w:hanging="550" w:hangingChars="250"/>
        <w:rPr>
          <w:rFonts w:ascii="宋体" w:cs="宋体"/>
          <w:sz w:val="22"/>
          <w:szCs w:val="22"/>
        </w:rPr>
      </w:pPr>
      <w:r>
        <w:rPr>
          <w:rFonts w:hint="eastAsia" w:ascii="宋体" w:cs="宋体"/>
          <w:bCs/>
          <w:sz w:val="22"/>
          <w:szCs w:val="22"/>
        </w:rPr>
        <w:t xml:space="preserve">5.1 </w:t>
      </w:r>
      <w:r>
        <w:rPr>
          <w:rFonts w:hint="eastAsia" w:ascii="宋体" w:cs="宋体"/>
          <w:sz w:val="22"/>
          <w:szCs w:val="22"/>
        </w:rPr>
        <w:t xml:space="preserve"> 本次采购由评标委员会推荐中标候选供应商，采购人根据评标委员会的推荐结果进行最终确认。</w:t>
      </w:r>
    </w:p>
    <w:p w14:paraId="7AB4847F">
      <w:pPr>
        <w:tabs>
          <w:tab w:val="left" w:pos="1365"/>
        </w:tabs>
        <w:spacing w:line="360" w:lineRule="auto"/>
        <w:ind w:left="550" w:hanging="550" w:hangingChars="250"/>
        <w:rPr>
          <w:rFonts w:ascii="宋体" w:cs="宋体"/>
          <w:bCs/>
          <w:sz w:val="22"/>
          <w:szCs w:val="22"/>
        </w:rPr>
      </w:pPr>
      <w:r>
        <w:rPr>
          <w:rFonts w:hint="eastAsia" w:ascii="宋体" w:cs="宋体"/>
          <w:sz w:val="22"/>
          <w:szCs w:val="22"/>
        </w:rPr>
        <w:t>5.2  评标委员会依据法律、法规及采购文件有关规定在有效标中按投标供应商综合得分由高到低顺序排列，综合得分最高的前两名投标供应商作为该项目第一中标候选供应商、第二中标候选供应商向采购人推荐，并提交评标报告（得分相同，投标报价低的排序第一；得分且投标报价相同的，由评委抽签决定顺序排列。）</w:t>
      </w:r>
      <w:r>
        <w:rPr>
          <w:rFonts w:hint="eastAsia" w:ascii="宋体" w:cs="宋体"/>
          <w:bCs/>
          <w:sz w:val="22"/>
          <w:szCs w:val="22"/>
        </w:rPr>
        <w:t>。</w:t>
      </w:r>
    </w:p>
    <w:p w14:paraId="12F3A9AD">
      <w:pPr>
        <w:pStyle w:val="2"/>
        <w:spacing w:after="0" w:line="360" w:lineRule="auto"/>
        <w:ind w:left="550" w:hanging="550" w:hangingChars="250"/>
        <w:rPr>
          <w:rFonts w:ascii="宋体" w:cs="宋体"/>
          <w:b/>
          <w:bCs/>
          <w:sz w:val="22"/>
          <w:szCs w:val="22"/>
        </w:rPr>
      </w:pPr>
      <w:r>
        <w:rPr>
          <w:rFonts w:hint="eastAsia" w:ascii="宋体" w:cs="宋体"/>
          <w:sz w:val="22"/>
          <w:szCs w:val="22"/>
        </w:rPr>
        <w:t>5.3  排名第一的中标候选供应商因自身原因放弃中标或因不可抗力不能履行合同的；或采购文件规定应当提交履约保证金而在规定的期限内未能提交的；或未能在规定时间内与采购人签订合同的；或经质疑，采购组织机构审查确认因排名第一的候选供应商在本次采购活动中存在违法违规行为或其他原因使质疑成立的，采购人可以视情况确定是否由排名第二的候选供应商为中标供应商，或重新组织采购。</w:t>
      </w:r>
    </w:p>
    <w:p w14:paraId="6D1DA9E2">
      <w:pPr>
        <w:tabs>
          <w:tab w:val="left" w:pos="1365"/>
        </w:tabs>
        <w:spacing w:line="360" w:lineRule="auto"/>
        <w:ind w:left="440" w:hanging="440" w:hangingChars="200"/>
        <w:rPr>
          <w:rFonts w:ascii="宋体" w:cs="宋体"/>
          <w:sz w:val="22"/>
          <w:szCs w:val="22"/>
        </w:rPr>
      </w:pPr>
      <w:r>
        <w:rPr>
          <w:rFonts w:hint="eastAsia" w:ascii="宋体" w:cs="宋体"/>
          <w:sz w:val="22"/>
          <w:szCs w:val="22"/>
        </w:rPr>
        <w:t>5.4  采购单位对中标结果不做任何解释，也不保证最低价中标。</w:t>
      </w:r>
    </w:p>
    <w:p w14:paraId="13E725E5">
      <w:pPr>
        <w:spacing w:line="360" w:lineRule="auto"/>
        <w:rPr>
          <w:rFonts w:ascii="宋体" w:cs="宋体"/>
          <w:b/>
          <w:sz w:val="22"/>
          <w:szCs w:val="22"/>
        </w:rPr>
      </w:pPr>
      <w:r>
        <w:rPr>
          <w:rFonts w:hint="eastAsia" w:ascii="宋体" w:cs="宋体"/>
          <w:b/>
          <w:sz w:val="22"/>
          <w:szCs w:val="22"/>
        </w:rPr>
        <w:t>6.   评标细则详见第五部分“评标原则及方法”。</w:t>
      </w:r>
    </w:p>
    <w:p w14:paraId="503D403D">
      <w:pPr>
        <w:spacing w:line="360" w:lineRule="auto"/>
        <w:rPr>
          <w:rFonts w:ascii="宋体" w:cs="宋体"/>
          <w:b/>
          <w:sz w:val="22"/>
          <w:szCs w:val="22"/>
        </w:rPr>
      </w:pPr>
      <w:r>
        <w:rPr>
          <w:rFonts w:hint="eastAsia" w:ascii="宋体" w:cs="宋体"/>
          <w:b/>
          <w:sz w:val="22"/>
          <w:szCs w:val="22"/>
        </w:rPr>
        <w:t>7.   未尽事宜遵循相关法律法规及规范性文件执行。</w:t>
      </w:r>
      <w:bookmarkStart w:id="71" w:name="_Toc230773780"/>
    </w:p>
    <w:p w14:paraId="35EA81B5">
      <w:pPr>
        <w:spacing w:before="240" w:line="440" w:lineRule="exact"/>
        <w:ind w:firstLine="3935" w:firstLineChars="1400"/>
        <w:outlineLvl w:val="1"/>
        <w:rPr>
          <w:rFonts w:ascii="宋体" w:cs="宋体"/>
          <w:b/>
          <w:sz w:val="22"/>
          <w:szCs w:val="22"/>
        </w:rPr>
      </w:pPr>
      <w:bookmarkStart w:id="72" w:name="_Toc13025"/>
      <w:r>
        <w:rPr>
          <w:rFonts w:hint="eastAsia" w:ascii="宋体" w:cs="宋体"/>
          <w:b/>
          <w:sz w:val="28"/>
          <w:szCs w:val="28"/>
        </w:rPr>
        <w:t>六、 授予合同</w:t>
      </w:r>
      <w:bookmarkEnd w:id="71"/>
      <w:bookmarkEnd w:id="72"/>
    </w:p>
    <w:p w14:paraId="2646627F">
      <w:pPr>
        <w:tabs>
          <w:tab w:val="left" w:pos="1365"/>
        </w:tabs>
        <w:spacing w:line="360" w:lineRule="auto"/>
        <w:ind w:left="552" w:hanging="552" w:hangingChars="250"/>
        <w:rPr>
          <w:rFonts w:ascii="宋体" w:cs="宋体"/>
          <w:b/>
          <w:sz w:val="22"/>
          <w:szCs w:val="22"/>
        </w:rPr>
      </w:pPr>
      <w:r>
        <w:rPr>
          <w:rFonts w:hint="eastAsia" w:ascii="宋体" w:cs="宋体"/>
          <w:b/>
          <w:sz w:val="22"/>
          <w:szCs w:val="22"/>
        </w:rPr>
        <w:t>1.   确定中标供应商</w:t>
      </w:r>
    </w:p>
    <w:p w14:paraId="0C5CDDA1">
      <w:pPr>
        <w:tabs>
          <w:tab w:val="left" w:pos="1365"/>
        </w:tabs>
        <w:spacing w:line="360" w:lineRule="auto"/>
        <w:ind w:left="550" w:hanging="550" w:hangingChars="250"/>
        <w:rPr>
          <w:rFonts w:ascii="宋体" w:cs="宋体"/>
          <w:sz w:val="22"/>
          <w:szCs w:val="22"/>
        </w:rPr>
      </w:pPr>
      <w:r>
        <w:rPr>
          <w:rFonts w:hint="eastAsia" w:ascii="宋体" w:cs="宋体"/>
          <w:sz w:val="22"/>
          <w:szCs w:val="22"/>
        </w:rPr>
        <w:t>1.1  采购代理机构应当在评标结束后2个工作日内将评标报告送采购人。采购人自收到评标报告之日起5个工作日内，在评标报告推荐的中标候选供应商名单中按顺序确定中标供应商。</w:t>
      </w:r>
    </w:p>
    <w:p w14:paraId="5D0633F0">
      <w:pPr>
        <w:tabs>
          <w:tab w:val="left" w:pos="1365"/>
        </w:tabs>
        <w:spacing w:line="360" w:lineRule="auto"/>
        <w:ind w:left="550" w:hanging="550" w:hangingChars="250"/>
        <w:rPr>
          <w:rFonts w:ascii="宋体" w:cs="宋体"/>
          <w:sz w:val="22"/>
          <w:szCs w:val="22"/>
        </w:rPr>
      </w:pPr>
      <w:r>
        <w:rPr>
          <w:rFonts w:hint="eastAsia" w:ascii="宋体" w:cs="宋体"/>
          <w:sz w:val="22"/>
          <w:szCs w:val="22"/>
        </w:rPr>
        <w:t>1.2  采购人在收到评标报告5个工作日内未按评标报告推荐的中标候选供应商顺序确定中标供应商，又不能说明合法理由的，视同按评标报告推荐的顺序确定排名第一的中标候选供应商为中标供应商。</w:t>
      </w:r>
    </w:p>
    <w:p w14:paraId="4564668E">
      <w:pPr>
        <w:spacing w:line="360" w:lineRule="auto"/>
        <w:rPr>
          <w:rFonts w:ascii="宋体" w:cs="宋体"/>
          <w:b/>
          <w:bCs/>
          <w:sz w:val="22"/>
          <w:szCs w:val="22"/>
        </w:rPr>
      </w:pPr>
      <w:r>
        <w:rPr>
          <w:rFonts w:hint="eastAsia" w:ascii="宋体" w:cs="宋体"/>
          <w:bCs/>
          <w:sz w:val="22"/>
          <w:szCs w:val="22"/>
        </w:rPr>
        <w:t xml:space="preserve">2.   </w:t>
      </w:r>
      <w:r>
        <w:rPr>
          <w:rFonts w:hint="eastAsia" w:ascii="宋体" w:cs="宋体"/>
          <w:b/>
          <w:bCs/>
          <w:sz w:val="22"/>
          <w:szCs w:val="22"/>
        </w:rPr>
        <w:t>中标公告</w:t>
      </w:r>
    </w:p>
    <w:p w14:paraId="6F2204C7">
      <w:pPr>
        <w:spacing w:line="360" w:lineRule="auto"/>
        <w:ind w:left="550" w:hanging="550" w:hangingChars="250"/>
        <w:rPr>
          <w:rFonts w:ascii="宋体" w:cs="宋体"/>
          <w:b/>
          <w:bCs/>
          <w:sz w:val="22"/>
          <w:szCs w:val="22"/>
        </w:rPr>
      </w:pPr>
      <w:r>
        <w:rPr>
          <w:rFonts w:hint="eastAsia" w:ascii="宋体" w:cs="宋体"/>
          <w:bCs/>
          <w:sz w:val="22"/>
          <w:szCs w:val="22"/>
        </w:rPr>
        <w:t>2.1  采购人或者采购代理机构应当自中标供应商确定之日起2个工作日内，在</w:t>
      </w:r>
      <w:r>
        <w:rPr>
          <w:rFonts w:hint="eastAsia" w:ascii="宋体" w:hAnsi="宋体" w:cs="宋体"/>
          <w:b/>
          <w:bCs/>
          <w:sz w:val="22"/>
          <w:szCs w:val="22"/>
          <w:u w:val="single"/>
        </w:rPr>
        <w:t>温州国企采购平台（wzgzw-cg.zhengcaiyun.cn）、浙江企业采购信息服务网（https://b.zhengcaiyun.cn/）</w:t>
      </w:r>
      <w:r>
        <w:rPr>
          <w:rFonts w:hint="eastAsia" w:ascii="宋体" w:hAnsi="宋体" w:cs="宋体"/>
          <w:b/>
          <w:bCs/>
          <w:sz w:val="22"/>
          <w:szCs w:val="22"/>
          <w:u w:val="single"/>
          <w:lang w:eastAsia="zh-CN"/>
        </w:rPr>
        <w:t>、温州市公用事业发展集团有限公司</w:t>
      </w:r>
      <w:r>
        <w:rPr>
          <w:rFonts w:hint="eastAsia" w:ascii="宋体" w:hAnsi="宋体" w:cs="宋体"/>
          <w:b/>
          <w:bCs/>
          <w:sz w:val="22"/>
          <w:szCs w:val="22"/>
          <w:u w:val="single"/>
          <w:lang w:val="en-US" w:eastAsia="zh-CN"/>
        </w:rPr>
        <w:t>官网（https://www.wzgytz.com/）</w:t>
      </w:r>
      <w:r>
        <w:rPr>
          <w:rFonts w:hint="eastAsia" w:ascii="宋体" w:cs="宋体"/>
          <w:bCs/>
          <w:sz w:val="22"/>
          <w:szCs w:val="22"/>
        </w:rPr>
        <w:t>等信息媒体上公告中标结果。</w:t>
      </w:r>
    </w:p>
    <w:p w14:paraId="031AB9F4">
      <w:pPr>
        <w:spacing w:line="360" w:lineRule="auto"/>
        <w:ind w:left="440" w:hanging="440" w:hangingChars="200"/>
        <w:rPr>
          <w:rFonts w:ascii="宋体" w:cs="宋体"/>
          <w:bCs/>
          <w:sz w:val="22"/>
          <w:szCs w:val="22"/>
        </w:rPr>
      </w:pPr>
      <w:r>
        <w:rPr>
          <w:rFonts w:hint="eastAsia" w:ascii="宋体" w:cs="宋体"/>
          <w:bCs/>
          <w:sz w:val="22"/>
          <w:szCs w:val="22"/>
        </w:rPr>
        <w:t xml:space="preserve">3.   </w:t>
      </w:r>
      <w:r>
        <w:rPr>
          <w:rFonts w:hint="eastAsia" w:ascii="宋体" w:cs="宋体"/>
          <w:b/>
          <w:bCs/>
          <w:sz w:val="22"/>
          <w:szCs w:val="22"/>
        </w:rPr>
        <w:t>中标通知书</w:t>
      </w:r>
    </w:p>
    <w:p w14:paraId="2954FADA">
      <w:pPr>
        <w:spacing w:line="360" w:lineRule="auto"/>
        <w:ind w:left="440" w:hanging="440" w:hangingChars="200"/>
        <w:rPr>
          <w:rFonts w:ascii="宋体" w:cs="宋体"/>
          <w:bCs/>
          <w:sz w:val="22"/>
          <w:szCs w:val="22"/>
        </w:rPr>
      </w:pPr>
      <w:r>
        <w:rPr>
          <w:rFonts w:hint="eastAsia" w:ascii="宋体" w:cs="宋体"/>
          <w:bCs/>
          <w:sz w:val="22"/>
          <w:szCs w:val="22"/>
        </w:rPr>
        <w:t xml:space="preserve">2.1  </w:t>
      </w:r>
      <w:r>
        <w:rPr>
          <w:rFonts w:hint="eastAsia" w:ascii="宋体" w:cs="宋体"/>
          <w:sz w:val="22"/>
          <w:szCs w:val="22"/>
        </w:rPr>
        <w:t>中标供应商确定后，采购单位将向中标供应商发出中标通知书。</w:t>
      </w:r>
    </w:p>
    <w:p w14:paraId="29C1FF34">
      <w:pPr>
        <w:spacing w:line="360" w:lineRule="auto"/>
        <w:ind w:left="440" w:hanging="440" w:hangingChars="200"/>
        <w:rPr>
          <w:rFonts w:ascii="宋体" w:cs="宋体"/>
          <w:bCs/>
          <w:sz w:val="22"/>
          <w:szCs w:val="22"/>
        </w:rPr>
      </w:pPr>
      <w:r>
        <w:rPr>
          <w:rFonts w:hint="eastAsia" w:ascii="宋体" w:cs="宋体"/>
          <w:bCs/>
          <w:sz w:val="22"/>
          <w:szCs w:val="22"/>
        </w:rPr>
        <w:t xml:space="preserve">2.2  </w:t>
      </w:r>
      <w:r>
        <w:rPr>
          <w:rFonts w:hint="eastAsia" w:ascii="宋体" w:cs="宋体"/>
          <w:sz w:val="22"/>
          <w:szCs w:val="22"/>
        </w:rPr>
        <w:t>中标通知书是合同的一个组成部分,对采购人和中标供应商均具有同等法律效力。</w:t>
      </w:r>
    </w:p>
    <w:p w14:paraId="2643E093">
      <w:pPr>
        <w:spacing w:line="360" w:lineRule="auto"/>
        <w:ind w:left="440" w:hanging="440" w:hangingChars="200"/>
        <w:rPr>
          <w:rFonts w:ascii="宋体" w:cs="宋体"/>
          <w:bCs/>
          <w:sz w:val="22"/>
          <w:szCs w:val="22"/>
        </w:rPr>
      </w:pPr>
      <w:r>
        <w:rPr>
          <w:rFonts w:hint="eastAsia" w:ascii="宋体" w:cs="宋体"/>
          <w:bCs/>
          <w:sz w:val="22"/>
          <w:szCs w:val="22"/>
        </w:rPr>
        <w:t xml:space="preserve">3.   </w:t>
      </w:r>
      <w:r>
        <w:rPr>
          <w:rFonts w:hint="eastAsia" w:ascii="宋体" w:cs="宋体"/>
          <w:b/>
          <w:bCs/>
          <w:sz w:val="22"/>
          <w:szCs w:val="22"/>
        </w:rPr>
        <w:t>签订合同</w:t>
      </w:r>
    </w:p>
    <w:p w14:paraId="2DCBA38B">
      <w:pPr>
        <w:spacing w:line="360" w:lineRule="auto"/>
        <w:ind w:left="550" w:hanging="550" w:hangingChars="250"/>
        <w:rPr>
          <w:rFonts w:ascii="宋体" w:cs="宋体"/>
          <w:bCs/>
          <w:sz w:val="22"/>
          <w:szCs w:val="22"/>
        </w:rPr>
      </w:pPr>
      <w:r>
        <w:rPr>
          <w:rFonts w:hint="eastAsia" w:ascii="宋体" w:cs="宋体"/>
          <w:bCs/>
          <w:sz w:val="22"/>
          <w:szCs w:val="22"/>
        </w:rPr>
        <w:t>3.1  中标供应商应按中标通知书规定的时间、地点与采购人签订合同，同时提交履约保证金。</w:t>
      </w:r>
    </w:p>
    <w:p w14:paraId="4FFA66A6">
      <w:pPr>
        <w:spacing w:line="360" w:lineRule="auto"/>
        <w:ind w:left="550" w:hanging="550" w:hangingChars="250"/>
        <w:rPr>
          <w:rFonts w:ascii="宋体" w:cs="宋体"/>
          <w:bCs/>
          <w:sz w:val="22"/>
          <w:szCs w:val="22"/>
        </w:rPr>
      </w:pPr>
      <w:r>
        <w:rPr>
          <w:rFonts w:hint="eastAsia" w:ascii="宋体" w:cs="宋体"/>
          <w:sz w:val="22"/>
          <w:szCs w:val="22"/>
        </w:rPr>
        <w:t xml:space="preserve">3.2  </w:t>
      </w:r>
      <w:r>
        <w:rPr>
          <w:rFonts w:hint="eastAsia" w:ascii="宋体" w:cs="宋体"/>
          <w:spacing w:val="6"/>
          <w:sz w:val="22"/>
          <w:szCs w:val="22"/>
        </w:rPr>
        <w:t>在签订合同前，采购人有权在中标总价不变的前提下要求中标供应商对商务报价中的不平衡报价和缺漏项进行调整，如果中标供应商无合理理由拒绝调整，其中标资格将被取消，保证金将不予退还，且将导致其它进一步的赔偿和处罚。</w:t>
      </w:r>
    </w:p>
    <w:p w14:paraId="0530ABE4">
      <w:pPr>
        <w:spacing w:line="360" w:lineRule="auto"/>
        <w:ind w:left="550" w:hanging="550" w:hangingChars="250"/>
        <w:rPr>
          <w:rFonts w:ascii="宋体" w:cs="宋体"/>
          <w:bCs/>
          <w:sz w:val="22"/>
          <w:szCs w:val="22"/>
        </w:rPr>
      </w:pPr>
      <w:r>
        <w:rPr>
          <w:rFonts w:hint="eastAsia" w:ascii="宋体" w:cs="宋体"/>
          <w:sz w:val="22"/>
          <w:szCs w:val="22"/>
        </w:rPr>
        <w:t>3.3  采购文件、中标供应商的投标文件、投标修改文件、评标过程中有关澄清文件及经投标供应商和评委双方签字的询标纪要和中标通知书均作为合同附件。</w:t>
      </w:r>
    </w:p>
    <w:p w14:paraId="7979905A">
      <w:pPr>
        <w:spacing w:line="360" w:lineRule="auto"/>
        <w:ind w:left="440" w:hanging="440" w:hangingChars="200"/>
        <w:rPr>
          <w:rFonts w:ascii="宋体" w:cs="宋体"/>
          <w:bCs/>
          <w:sz w:val="22"/>
          <w:szCs w:val="22"/>
        </w:rPr>
      </w:pPr>
      <w:r>
        <w:rPr>
          <w:rFonts w:hint="eastAsia" w:ascii="宋体" w:cs="宋体"/>
          <w:sz w:val="22"/>
          <w:szCs w:val="22"/>
        </w:rPr>
        <w:t>3.4  拒签合同的违约责任</w:t>
      </w:r>
    </w:p>
    <w:p w14:paraId="4231AE7B">
      <w:pPr>
        <w:spacing w:line="360" w:lineRule="auto"/>
        <w:ind w:left="565" w:leftChars="269"/>
        <w:rPr>
          <w:rFonts w:ascii="宋体" w:cs="宋体"/>
          <w:spacing w:val="6"/>
          <w:sz w:val="22"/>
          <w:szCs w:val="22"/>
        </w:rPr>
      </w:pPr>
      <w:r>
        <w:rPr>
          <w:rFonts w:hint="eastAsia" w:ascii="宋体" w:cs="宋体"/>
          <w:spacing w:val="6"/>
          <w:sz w:val="22"/>
          <w:szCs w:val="22"/>
        </w:rPr>
        <w:t>中标供应商接到中标通知书后，在规定时间内借故否认已经承诺的条件而拒签合同的，以违约处理，其投标保证金将不予退还。</w:t>
      </w:r>
    </w:p>
    <w:p w14:paraId="430CD38A">
      <w:pPr>
        <w:spacing w:line="360" w:lineRule="auto"/>
        <w:rPr>
          <w:rFonts w:ascii="宋体" w:cs="宋体"/>
          <w:b/>
          <w:spacing w:val="6"/>
          <w:sz w:val="22"/>
          <w:szCs w:val="22"/>
        </w:rPr>
      </w:pPr>
      <w:r>
        <w:rPr>
          <w:rFonts w:hint="eastAsia" w:ascii="宋体" w:cs="宋体"/>
          <w:spacing w:val="6"/>
          <w:sz w:val="22"/>
          <w:szCs w:val="22"/>
        </w:rPr>
        <w:t xml:space="preserve">4.   </w:t>
      </w:r>
      <w:r>
        <w:rPr>
          <w:rFonts w:hint="eastAsia" w:ascii="宋体" w:cs="宋体"/>
          <w:b/>
          <w:spacing w:val="6"/>
          <w:sz w:val="22"/>
          <w:szCs w:val="22"/>
        </w:rPr>
        <w:t>履约保证金</w:t>
      </w:r>
    </w:p>
    <w:p w14:paraId="72161340">
      <w:pPr>
        <w:spacing w:line="360" w:lineRule="auto"/>
        <w:ind w:left="580" w:hanging="580" w:hangingChars="250"/>
        <w:rPr>
          <w:rFonts w:ascii="宋体" w:cs="宋体"/>
          <w:spacing w:val="6"/>
          <w:sz w:val="22"/>
          <w:szCs w:val="22"/>
        </w:rPr>
      </w:pPr>
      <w:r>
        <w:rPr>
          <w:rFonts w:hint="eastAsia" w:ascii="宋体" w:cs="宋体"/>
          <w:spacing w:val="6"/>
          <w:sz w:val="22"/>
          <w:szCs w:val="22"/>
        </w:rPr>
        <w:t xml:space="preserve">4.1  </w:t>
      </w:r>
      <w:r>
        <w:rPr>
          <w:rFonts w:hint="eastAsia" w:ascii="宋体" w:cs="宋体"/>
          <w:sz w:val="22"/>
          <w:szCs w:val="22"/>
        </w:rPr>
        <w:t>中标供应商须在合同签订后5个工作日内向甲方支付合同总额5%的履约保证金（银行转账）。</w:t>
      </w:r>
    </w:p>
    <w:p w14:paraId="364359B6">
      <w:pPr>
        <w:spacing w:line="360" w:lineRule="auto"/>
        <w:ind w:left="580" w:hanging="580" w:hangingChars="250"/>
        <w:rPr>
          <w:rFonts w:ascii="宋体" w:cs="宋体"/>
          <w:spacing w:val="6"/>
          <w:sz w:val="22"/>
          <w:szCs w:val="22"/>
        </w:rPr>
      </w:pPr>
      <w:r>
        <w:rPr>
          <w:rFonts w:hint="eastAsia" w:ascii="宋体" w:cs="宋体"/>
          <w:spacing w:val="6"/>
          <w:sz w:val="22"/>
          <w:szCs w:val="22"/>
        </w:rPr>
        <w:t>4.2  履约保证金用于补偿采购人因中标供应商不能履行其合同义务而蒙受的损失。</w:t>
      </w:r>
    </w:p>
    <w:p w14:paraId="5554C4CE">
      <w:pPr>
        <w:spacing w:line="360" w:lineRule="auto"/>
        <w:ind w:left="580" w:hanging="580" w:hangingChars="250"/>
        <w:rPr>
          <w:rFonts w:ascii="宋体" w:cs="宋体"/>
          <w:spacing w:val="6"/>
          <w:sz w:val="22"/>
          <w:szCs w:val="22"/>
        </w:rPr>
      </w:pPr>
      <w:r>
        <w:rPr>
          <w:rFonts w:hint="eastAsia" w:ascii="宋体" w:cs="宋体"/>
          <w:spacing w:val="6"/>
          <w:sz w:val="22"/>
          <w:szCs w:val="22"/>
        </w:rPr>
        <w:t xml:space="preserve">4.3  </w:t>
      </w:r>
      <w:r>
        <w:rPr>
          <w:rFonts w:hint="eastAsia" w:ascii="宋体" w:cs="宋体"/>
          <w:sz w:val="22"/>
        </w:rPr>
        <w:t>履约保证金自合同签订之日起至合同期满止有效。有效期满后，采购人应及时将履约保证金无息退还给中标供应商。</w:t>
      </w:r>
    </w:p>
    <w:p w14:paraId="7A7309CD">
      <w:pPr>
        <w:spacing w:line="360" w:lineRule="auto"/>
        <w:ind w:left="550" w:hanging="550" w:hangingChars="250"/>
        <w:rPr>
          <w:rFonts w:ascii="宋体" w:cs="宋体"/>
          <w:b/>
          <w:sz w:val="22"/>
        </w:rPr>
      </w:pPr>
      <w:r>
        <w:rPr>
          <w:rFonts w:hint="eastAsia" w:ascii="宋体" w:cs="宋体"/>
          <w:sz w:val="22"/>
        </w:rPr>
        <w:t xml:space="preserve">5.   </w:t>
      </w:r>
      <w:r>
        <w:rPr>
          <w:rFonts w:hint="eastAsia" w:ascii="宋体" w:cs="宋体"/>
          <w:b/>
          <w:sz w:val="22"/>
        </w:rPr>
        <w:t>质疑与投诉</w:t>
      </w:r>
    </w:p>
    <w:p w14:paraId="7400A639">
      <w:pPr>
        <w:tabs>
          <w:tab w:val="left" w:pos="540"/>
        </w:tabs>
        <w:spacing w:line="360" w:lineRule="auto"/>
        <w:ind w:left="550" w:hanging="550" w:hangingChars="250"/>
        <w:rPr>
          <w:rFonts w:ascii="宋体" w:cs="宋体"/>
          <w:sz w:val="22"/>
          <w:szCs w:val="22"/>
        </w:rPr>
      </w:pPr>
      <w:r>
        <w:rPr>
          <w:rFonts w:hint="eastAsia" w:ascii="宋体" w:cs="宋体"/>
          <w:sz w:val="22"/>
          <w:szCs w:val="22"/>
        </w:rPr>
        <w:t xml:space="preserve">5.1  </w:t>
      </w:r>
      <w:r>
        <w:rPr>
          <w:rFonts w:hint="eastAsia" w:ascii="宋体" w:cs="宋体"/>
          <w:sz w:val="22"/>
          <w:szCs w:val="22"/>
          <w:u w:val="single"/>
        </w:rPr>
        <w:t>投标供应商认为采购文件、采购过程、中标结果使自己的合法权益受到损害的，可以在知道或应知其权益受到损害之日起七个工作日内以书面形式向采购单位提出质疑</w:t>
      </w:r>
      <w:r>
        <w:rPr>
          <w:rFonts w:hint="eastAsia" w:ascii="宋体" w:cs="宋体"/>
          <w:sz w:val="22"/>
          <w:szCs w:val="22"/>
        </w:rPr>
        <w:t>。</w:t>
      </w:r>
    </w:p>
    <w:p w14:paraId="5513F8CA">
      <w:pPr>
        <w:tabs>
          <w:tab w:val="left" w:pos="540"/>
        </w:tabs>
        <w:spacing w:line="360" w:lineRule="auto"/>
        <w:ind w:left="550" w:hanging="550" w:hangingChars="250"/>
        <w:rPr>
          <w:rFonts w:ascii="宋体" w:cs="宋体"/>
          <w:sz w:val="22"/>
          <w:szCs w:val="22"/>
        </w:rPr>
      </w:pPr>
      <w:r>
        <w:rPr>
          <w:rFonts w:hint="eastAsia" w:ascii="宋体" w:cs="宋体"/>
          <w:sz w:val="22"/>
          <w:szCs w:val="22"/>
        </w:rPr>
        <w:t xml:space="preserve">5.2  </w:t>
      </w:r>
      <w:r>
        <w:rPr>
          <w:rFonts w:hint="eastAsia" w:ascii="宋体" w:cs="宋体"/>
          <w:sz w:val="22"/>
          <w:szCs w:val="22"/>
          <w:u w:val="single"/>
        </w:rPr>
        <w:t>采购单位在收到投标供应商的书面质疑后七个工作日内作出答复，但答复的内容不得涉及商业秘密。质疑供应商对采购单位的答复不满意，可以在答复期满后十五个工作日内向采购人（集团）的内设监管职能部门投诉</w:t>
      </w:r>
      <w:r>
        <w:rPr>
          <w:rFonts w:hint="eastAsia" w:ascii="宋体" w:cs="宋体"/>
          <w:sz w:val="22"/>
          <w:szCs w:val="22"/>
        </w:rPr>
        <w:t>。</w:t>
      </w:r>
    </w:p>
    <w:p w14:paraId="3518AAFA">
      <w:pPr>
        <w:tabs>
          <w:tab w:val="left" w:pos="540"/>
        </w:tabs>
        <w:spacing w:line="360" w:lineRule="auto"/>
        <w:ind w:left="550" w:hanging="550" w:hangingChars="250"/>
        <w:rPr>
          <w:rFonts w:ascii="宋体" w:cs="宋体"/>
          <w:sz w:val="22"/>
          <w:szCs w:val="22"/>
        </w:rPr>
      </w:pPr>
      <w:r>
        <w:rPr>
          <w:rFonts w:hint="eastAsia" w:ascii="宋体" w:cs="宋体"/>
          <w:sz w:val="22"/>
          <w:szCs w:val="22"/>
        </w:rPr>
        <w:t xml:space="preserve">5.3  </w:t>
      </w:r>
      <w:r>
        <w:rPr>
          <w:rFonts w:hint="eastAsia" w:ascii="宋体" w:cs="宋体"/>
          <w:sz w:val="22"/>
          <w:szCs w:val="22"/>
          <w:u w:val="single"/>
        </w:rPr>
        <w:t>投诉人投诉时，应提交投诉书，投诉书应当由本人或法定代表人签字盖公章，投诉书应说明具体的投诉事项及事实依据。投诉人对投诉书的真实性负责，恶意投诉将承当相应的法律和民事责任</w:t>
      </w:r>
      <w:r>
        <w:rPr>
          <w:rFonts w:hint="eastAsia" w:ascii="宋体" w:cs="宋体"/>
          <w:sz w:val="22"/>
          <w:szCs w:val="22"/>
        </w:rPr>
        <w:t>。</w:t>
      </w:r>
    </w:p>
    <w:p w14:paraId="74537679">
      <w:pPr>
        <w:spacing w:line="360" w:lineRule="auto"/>
        <w:ind w:left="550" w:hanging="550" w:hangingChars="250"/>
        <w:rPr>
          <w:rFonts w:ascii="宋体" w:cs="宋体"/>
          <w:sz w:val="22"/>
          <w:szCs w:val="22"/>
        </w:rPr>
      </w:pPr>
      <w:r>
        <w:rPr>
          <w:rFonts w:hint="eastAsia" w:ascii="宋体" w:cs="宋体"/>
          <w:sz w:val="22"/>
          <w:szCs w:val="22"/>
        </w:rPr>
        <w:t xml:space="preserve">5.4  </w:t>
      </w:r>
      <w:r>
        <w:rPr>
          <w:rFonts w:hint="eastAsia" w:ascii="宋体" w:cs="宋体"/>
          <w:sz w:val="22"/>
          <w:szCs w:val="22"/>
          <w:u w:val="single"/>
        </w:rPr>
        <w:t>温州市公用事业发展集团有限公司负责对投标供应商反映的企业本部及所属企业在采购活动中出现的违法违规问题进行答疑回复。投标供应商认为温州市公用事业发展集团有限公司答疑回复处理结果不合法的，可以采购人或代理机构为对象依法向人民法院提起诉讼</w:t>
      </w:r>
      <w:r>
        <w:rPr>
          <w:rFonts w:hint="eastAsia" w:ascii="宋体" w:cs="宋体"/>
          <w:sz w:val="22"/>
          <w:szCs w:val="22"/>
        </w:rPr>
        <w:t>。</w:t>
      </w:r>
    </w:p>
    <w:p w14:paraId="55812033">
      <w:pPr>
        <w:spacing w:line="360" w:lineRule="auto"/>
        <w:ind w:left="442" w:hanging="442" w:hangingChars="200"/>
        <w:rPr>
          <w:rFonts w:ascii="宋体" w:cs="宋体"/>
          <w:spacing w:val="6"/>
          <w:sz w:val="22"/>
          <w:szCs w:val="22"/>
        </w:rPr>
      </w:pPr>
      <w:r>
        <w:rPr>
          <w:rFonts w:hint="eastAsia" w:ascii="宋体" w:cs="宋体"/>
          <w:b/>
          <w:bCs/>
          <w:sz w:val="22"/>
          <w:szCs w:val="22"/>
        </w:rPr>
        <w:t>6.   采购代理服务费</w:t>
      </w:r>
    </w:p>
    <w:p w14:paraId="44271E15">
      <w:pPr>
        <w:spacing w:line="360" w:lineRule="auto"/>
        <w:ind w:left="550" w:hanging="550" w:hangingChars="250"/>
        <w:rPr>
          <w:rFonts w:hint="eastAsia" w:ascii="宋体" w:hAnsi="宋体" w:eastAsia="宋体" w:cs="宋体"/>
          <w:spacing w:val="6"/>
          <w:sz w:val="22"/>
          <w:szCs w:val="22"/>
        </w:rPr>
      </w:pPr>
      <w:r>
        <w:rPr>
          <w:rFonts w:hint="eastAsia" w:ascii="宋体" w:hAnsi="宋体" w:eastAsia="宋体" w:cs="宋体"/>
          <w:sz w:val="22"/>
          <w:szCs w:val="22"/>
        </w:rPr>
        <w:t>6.1  采购代理服务费按人民币</w:t>
      </w:r>
      <w:r>
        <w:rPr>
          <w:rFonts w:hint="eastAsia" w:ascii="宋体" w:hAnsi="宋体" w:eastAsia="宋体" w:cs="宋体"/>
          <w:sz w:val="22"/>
          <w:szCs w:val="22"/>
          <w:lang w:eastAsia="zh-CN"/>
        </w:rPr>
        <w:t>壹</w:t>
      </w:r>
      <w:r>
        <w:rPr>
          <w:rFonts w:hint="eastAsia" w:ascii="宋体" w:hAnsi="宋体" w:eastAsia="宋体" w:cs="宋体"/>
          <w:sz w:val="22"/>
          <w:szCs w:val="22"/>
        </w:rPr>
        <w:t>万伍仟元整（￥</w:t>
      </w:r>
      <w:r>
        <w:rPr>
          <w:rFonts w:hint="eastAsia" w:ascii="宋体" w:hAnsi="宋体" w:eastAsia="宋体" w:cs="宋体"/>
          <w:sz w:val="22"/>
          <w:szCs w:val="22"/>
          <w:lang w:val="en-US" w:eastAsia="zh-CN"/>
        </w:rPr>
        <w:t>15000</w:t>
      </w:r>
      <w:r>
        <w:rPr>
          <w:rFonts w:hint="eastAsia" w:ascii="宋体" w:hAnsi="宋体" w:eastAsia="宋体" w:cs="宋体"/>
          <w:sz w:val="22"/>
          <w:szCs w:val="22"/>
        </w:rPr>
        <w:t>.00）标准收取，由中标供应商在领取中标通知书前支付给采购代理机构，采购代理服务费包含在投标报价中。</w:t>
      </w:r>
      <w:bookmarkStart w:id="73" w:name="_Toc208045865"/>
      <w:bookmarkStart w:id="74" w:name="_Toc230773781"/>
      <w:bookmarkStart w:id="75" w:name="_Toc185326503"/>
      <w:bookmarkStart w:id="76" w:name="_Toc351809627"/>
      <w:r>
        <w:rPr>
          <w:rFonts w:hint="eastAsia" w:ascii="宋体" w:hAnsi="宋体" w:eastAsia="宋体" w:cs="宋体"/>
          <w:spacing w:val="6"/>
          <w:sz w:val="22"/>
          <w:szCs w:val="22"/>
        </w:rPr>
        <w:t>代理服务费汇入以下帐号：</w:t>
      </w:r>
    </w:p>
    <w:p w14:paraId="4B394680">
      <w:pPr>
        <w:keepNext w:val="0"/>
        <w:keepLines w:val="0"/>
        <w:pageBreakBefore w:val="0"/>
        <w:kinsoku/>
        <w:wordWrap/>
        <w:overflowPunct/>
        <w:topLinePunct w:val="0"/>
        <w:autoSpaceDE/>
        <w:autoSpaceDN/>
        <w:bidi w:val="0"/>
        <w:adjustRightInd/>
        <w:snapToGrid/>
        <w:spacing w:line="360" w:lineRule="auto"/>
        <w:ind w:left="0" w:firstLine="660" w:firstLineChars="300"/>
        <w:textAlignment w:val="auto"/>
        <w:rPr>
          <w:rFonts w:hint="eastAsia" w:ascii="宋体" w:hAnsi="宋体" w:eastAsia="宋体" w:cs="宋体"/>
          <w:color w:val="auto"/>
          <w:sz w:val="22"/>
          <w:szCs w:val="22"/>
          <w:highlight w:val="none"/>
          <w:shd w:val="clear" w:color="auto" w:fill="FFFFFF"/>
          <w:lang w:val="zh-CN"/>
        </w:rPr>
      </w:pPr>
      <w:r>
        <w:rPr>
          <w:rFonts w:hint="eastAsia" w:ascii="宋体" w:hAnsi="宋体" w:eastAsia="宋体" w:cs="宋体"/>
          <w:color w:val="auto"/>
          <w:sz w:val="22"/>
          <w:szCs w:val="22"/>
          <w:highlight w:val="none"/>
          <w:shd w:val="clear" w:color="auto" w:fill="FFFFFF"/>
          <w:lang w:val="zh-CN"/>
        </w:rPr>
        <w:t>户名：温州建设集团建筑设计院有限公司</w:t>
      </w:r>
    </w:p>
    <w:p w14:paraId="211FF959">
      <w:pPr>
        <w:keepNext w:val="0"/>
        <w:keepLines w:val="0"/>
        <w:pageBreakBefore w:val="0"/>
        <w:kinsoku/>
        <w:wordWrap/>
        <w:overflowPunct/>
        <w:topLinePunct w:val="0"/>
        <w:autoSpaceDE/>
        <w:autoSpaceDN/>
        <w:bidi w:val="0"/>
        <w:adjustRightInd/>
        <w:snapToGrid/>
        <w:spacing w:line="360" w:lineRule="auto"/>
        <w:ind w:left="0" w:firstLine="660" w:firstLineChars="300"/>
        <w:textAlignment w:val="auto"/>
        <w:rPr>
          <w:rFonts w:hint="eastAsia" w:ascii="宋体" w:hAnsi="宋体" w:eastAsia="宋体" w:cs="宋体"/>
          <w:color w:val="auto"/>
          <w:sz w:val="22"/>
          <w:szCs w:val="22"/>
          <w:highlight w:val="none"/>
          <w:shd w:val="clear" w:color="auto" w:fill="FFFFFF"/>
          <w:lang w:val="zh-CN"/>
        </w:rPr>
      </w:pPr>
      <w:r>
        <w:rPr>
          <w:rFonts w:hint="eastAsia" w:ascii="宋体" w:hAnsi="宋体" w:eastAsia="宋体" w:cs="宋体"/>
          <w:color w:val="auto"/>
          <w:sz w:val="22"/>
          <w:szCs w:val="22"/>
          <w:highlight w:val="none"/>
          <w:shd w:val="clear" w:color="auto" w:fill="FFFFFF"/>
          <w:lang w:val="zh-CN"/>
        </w:rPr>
        <w:t>开户行:中国建设银行股份有限公司温州信河支行</w:t>
      </w:r>
    </w:p>
    <w:p w14:paraId="100AFF81">
      <w:pPr>
        <w:keepNext w:val="0"/>
        <w:keepLines w:val="0"/>
        <w:pageBreakBefore w:val="0"/>
        <w:kinsoku/>
        <w:wordWrap/>
        <w:overflowPunct/>
        <w:topLinePunct w:val="0"/>
        <w:autoSpaceDE/>
        <w:autoSpaceDN/>
        <w:bidi w:val="0"/>
        <w:adjustRightInd/>
        <w:snapToGrid/>
        <w:spacing w:line="360" w:lineRule="auto"/>
        <w:ind w:left="0" w:firstLine="660" w:firstLineChars="300"/>
        <w:textAlignment w:val="auto"/>
        <w:rPr>
          <w:rFonts w:hint="eastAsia" w:ascii="宋体" w:hAnsi="宋体" w:eastAsia="宋体" w:cs="宋体"/>
          <w:color w:val="auto"/>
          <w:sz w:val="22"/>
          <w:szCs w:val="22"/>
          <w:highlight w:val="none"/>
          <w:shd w:val="clear" w:color="auto" w:fill="FFFFFF"/>
        </w:rPr>
      </w:pPr>
      <w:r>
        <w:rPr>
          <w:rFonts w:hint="eastAsia" w:ascii="宋体" w:hAnsi="宋体" w:eastAsia="宋体" w:cs="宋体"/>
          <w:color w:val="auto"/>
          <w:sz w:val="22"/>
          <w:szCs w:val="22"/>
          <w:highlight w:val="none"/>
          <w:shd w:val="clear" w:color="auto" w:fill="FFFFFF"/>
          <w:lang w:val="zh-CN"/>
        </w:rPr>
        <w:t>帐号：33050162880800000310</w:t>
      </w:r>
    </w:p>
    <w:p w14:paraId="3B5B3CFF">
      <w:pPr>
        <w:spacing w:line="360" w:lineRule="auto"/>
        <w:rPr>
          <w:rFonts w:hint="eastAsia" w:ascii="宋体" w:hAnsi="宋体" w:eastAsia="宋体" w:cs="宋体"/>
          <w:sz w:val="22"/>
          <w:szCs w:val="22"/>
        </w:rPr>
      </w:pPr>
      <w:r>
        <w:rPr>
          <w:rFonts w:hint="eastAsia" w:ascii="宋体" w:hAnsi="宋体" w:eastAsia="宋体" w:cs="宋体"/>
          <w:sz w:val="22"/>
          <w:szCs w:val="22"/>
        </w:rPr>
        <w:t>6.2  采购代理服务费可以是现金、支票或汇票。</w:t>
      </w:r>
    </w:p>
    <w:p w14:paraId="128AC559">
      <w:pPr>
        <w:spacing w:line="360" w:lineRule="auto"/>
        <w:ind w:left="557" w:hanging="557" w:hangingChars="250"/>
        <w:rPr>
          <w:rFonts w:ascii="宋体" w:hAnsi="宋体"/>
          <w:b/>
          <w:bCs/>
          <w:spacing w:val="6"/>
          <w:szCs w:val="21"/>
        </w:rPr>
      </w:pPr>
      <w:r>
        <w:rPr>
          <w:rFonts w:hint="eastAsia" w:ascii="宋体" w:hAnsi="宋体"/>
          <w:b/>
          <w:bCs/>
          <w:spacing w:val="6"/>
          <w:szCs w:val="21"/>
        </w:rPr>
        <w:t xml:space="preserve">7.   </w:t>
      </w:r>
      <w:r>
        <w:rPr>
          <w:rFonts w:hint="eastAsia" w:ascii="宋体" w:hAnsi="宋体"/>
          <w:b/>
          <w:bCs/>
          <w:spacing w:val="6"/>
          <w:szCs w:val="21"/>
          <w:lang w:eastAsia="zh-CN"/>
        </w:rPr>
        <w:t>乐</w:t>
      </w:r>
      <w:r>
        <w:rPr>
          <w:rFonts w:hint="eastAsia" w:ascii="宋体" w:hAnsi="宋体"/>
          <w:b/>
          <w:bCs/>
          <w:spacing w:val="6"/>
          <w:szCs w:val="21"/>
        </w:rPr>
        <w:t>采云平台技术服务费</w:t>
      </w:r>
    </w:p>
    <w:p w14:paraId="367C0699">
      <w:pPr>
        <w:pStyle w:val="3"/>
        <w:widowControl/>
        <w:spacing w:after="0" w:line="360" w:lineRule="auto"/>
        <w:ind w:firstLine="0" w:firstLineChars="0"/>
        <w:rPr>
          <w:rFonts w:hint="eastAsia" w:hAnsi="宋体" w:cs="宋体"/>
          <w:b/>
          <w:bCs/>
          <w:color w:val="000000" w:themeColor="text1"/>
          <w:kern w:val="2"/>
          <w:sz w:val="22"/>
          <w:szCs w:val="22"/>
          <w14:textFill>
            <w14:solidFill>
              <w14:schemeClr w14:val="tx1"/>
            </w14:solidFill>
          </w14:textFill>
        </w:rPr>
      </w:pPr>
      <w:r>
        <w:rPr>
          <w:rFonts w:hint="eastAsia" w:ascii="宋体" w:hAnsi="宋体" w:cs="宋体"/>
          <w:color w:val="000000" w:themeColor="text1"/>
          <w:spacing w:val="6"/>
          <w:szCs w:val="21"/>
          <w14:textFill>
            <w14:solidFill>
              <w14:schemeClr w14:val="tx1"/>
            </w14:solidFill>
          </w14:textFill>
        </w:rPr>
        <w:t xml:space="preserve">7.1  </w:t>
      </w:r>
      <w:r>
        <w:rPr>
          <w:rFonts w:hint="eastAsia" w:hAnsi="宋体" w:cs="宋体"/>
          <w:b/>
          <w:bCs/>
          <w:color w:val="000000" w:themeColor="text1"/>
          <w:kern w:val="2"/>
          <w:sz w:val="22"/>
          <w:szCs w:val="22"/>
          <w14:textFill>
            <w14:solidFill>
              <w14:schemeClr w14:val="tx1"/>
            </w14:solidFill>
          </w14:textFill>
        </w:rPr>
        <w:t>乐采云技术服务费：乐采云国企采购平台项目采购收费标准(温州市市属国企区）收费标准：</w:t>
      </w:r>
    </w:p>
    <w:p w14:paraId="0C3987CA">
      <w:pPr>
        <w:pStyle w:val="3"/>
        <w:widowControl/>
        <w:spacing w:after="0" w:line="360" w:lineRule="auto"/>
        <w:ind w:firstLine="0" w:firstLineChars="0"/>
        <w:rPr>
          <w:rFonts w:hint="eastAsia" w:hAnsi="宋体" w:cs="宋体"/>
          <w:color w:val="000000" w:themeColor="text1"/>
          <w:kern w:val="2"/>
          <w:sz w:val="22"/>
          <w:szCs w:val="22"/>
          <w14:textFill>
            <w14:solidFill>
              <w14:schemeClr w14:val="tx1"/>
            </w14:solidFill>
          </w14:textFill>
        </w:rPr>
      </w:pPr>
      <w:r>
        <w:rPr>
          <w:rFonts w:hint="eastAsia" w:hAnsi="宋体" w:cs="宋体"/>
          <w:color w:val="000000" w:themeColor="text1"/>
          <w:kern w:val="2"/>
          <w:sz w:val="22"/>
          <w:szCs w:val="22"/>
          <w:lang w:val="en-US" w:eastAsia="zh-CN"/>
          <w14:textFill>
            <w14:solidFill>
              <w14:schemeClr w14:val="tx1"/>
            </w14:solidFill>
          </w14:textFill>
        </w:rPr>
        <w:t>7.1.1</w:t>
      </w:r>
      <w:r>
        <w:rPr>
          <w:rFonts w:hint="eastAsia" w:hAnsi="宋体" w:cs="宋体"/>
          <w:color w:val="000000" w:themeColor="text1"/>
          <w:kern w:val="2"/>
          <w:sz w:val="22"/>
          <w:szCs w:val="22"/>
          <w14:textFill>
            <w14:solidFill>
              <w14:schemeClr w14:val="tx1"/>
            </w14:solidFill>
          </w14:textFill>
        </w:rPr>
        <w:t>、(一)不涉及具体金额的采购项目，技术服务费800元/件:(二) 涉及具体金额的采购项目，根据标的额，按照以下比例收取技术服务费中标价100万元以下 (含100万元的): 按800元收取:中标价超过100万元的: 中标价的千分之(0.1%) ，以30000元封顶。</w:t>
      </w:r>
    </w:p>
    <w:p w14:paraId="7214393F">
      <w:pPr>
        <w:pStyle w:val="3"/>
        <w:widowControl/>
        <w:spacing w:after="0" w:line="360" w:lineRule="auto"/>
        <w:ind w:firstLine="0" w:firstLineChars="0"/>
        <w:rPr>
          <w:rFonts w:hint="eastAsia" w:hAnsi="宋体" w:cs="宋体"/>
          <w:color w:val="000000" w:themeColor="text1"/>
          <w:kern w:val="2"/>
          <w:sz w:val="22"/>
          <w:szCs w:val="22"/>
          <w14:textFill>
            <w14:solidFill>
              <w14:schemeClr w14:val="tx1"/>
            </w14:solidFill>
          </w14:textFill>
        </w:rPr>
      </w:pPr>
      <w:r>
        <w:rPr>
          <w:rFonts w:hint="eastAsia" w:hAnsi="宋体" w:cs="宋体"/>
          <w:color w:val="000000" w:themeColor="text1"/>
          <w:kern w:val="2"/>
          <w:sz w:val="22"/>
          <w:szCs w:val="22"/>
          <w:lang w:val="en-US" w:eastAsia="zh-CN"/>
          <w14:textFill>
            <w14:solidFill>
              <w14:schemeClr w14:val="tx1"/>
            </w14:solidFill>
          </w14:textFill>
        </w:rPr>
        <w:t>7.1.2</w:t>
      </w:r>
      <w:r>
        <w:rPr>
          <w:rFonts w:hint="eastAsia" w:hAnsi="宋体" w:cs="宋体"/>
          <w:color w:val="000000" w:themeColor="text1"/>
          <w:kern w:val="2"/>
          <w:sz w:val="22"/>
          <w:szCs w:val="22"/>
          <w14:textFill>
            <w14:solidFill>
              <w14:schemeClr w14:val="tx1"/>
            </w14:solidFill>
          </w14:textFill>
        </w:rPr>
        <w:t>、收费对象</w:t>
      </w:r>
    </w:p>
    <w:p w14:paraId="0FBD8D06">
      <w:pPr>
        <w:pStyle w:val="3"/>
        <w:widowControl/>
        <w:spacing w:after="0" w:line="360" w:lineRule="auto"/>
        <w:ind w:firstLine="440" w:firstLineChars="200"/>
        <w:rPr>
          <w:rFonts w:hint="eastAsia" w:hAnsi="宋体" w:cs="宋体"/>
          <w:color w:val="000000" w:themeColor="text1"/>
          <w:kern w:val="2"/>
          <w:sz w:val="22"/>
          <w:szCs w:val="22"/>
          <w14:textFill>
            <w14:solidFill>
              <w14:schemeClr w14:val="tx1"/>
            </w14:solidFill>
          </w14:textFill>
        </w:rPr>
      </w:pPr>
      <w:r>
        <w:rPr>
          <w:rFonts w:hint="eastAsia" w:hAnsi="宋体" w:cs="宋体"/>
          <w:color w:val="000000" w:themeColor="text1"/>
          <w:kern w:val="2"/>
          <w:sz w:val="22"/>
          <w:szCs w:val="22"/>
          <w14:textFill>
            <w14:solidFill>
              <w14:schemeClr w14:val="tx1"/>
            </w14:solidFill>
          </w14:textFill>
        </w:rPr>
        <w:t>中标供应商</w:t>
      </w:r>
    </w:p>
    <w:p w14:paraId="259A6A05">
      <w:pPr>
        <w:pStyle w:val="3"/>
        <w:widowControl/>
        <w:spacing w:after="0" w:line="360" w:lineRule="auto"/>
        <w:ind w:firstLine="0" w:firstLineChars="0"/>
        <w:rPr>
          <w:rFonts w:hint="eastAsia" w:hAnsi="宋体" w:cs="宋体"/>
          <w:color w:val="000000" w:themeColor="text1"/>
          <w:kern w:val="2"/>
          <w:sz w:val="22"/>
          <w:szCs w:val="22"/>
          <w14:textFill>
            <w14:solidFill>
              <w14:schemeClr w14:val="tx1"/>
            </w14:solidFill>
          </w14:textFill>
        </w:rPr>
      </w:pPr>
      <w:r>
        <w:rPr>
          <w:rFonts w:hint="eastAsia" w:hAnsi="宋体" w:cs="宋体"/>
          <w:color w:val="000000" w:themeColor="text1"/>
          <w:kern w:val="2"/>
          <w:sz w:val="22"/>
          <w:szCs w:val="22"/>
          <w:lang w:val="en-US" w:eastAsia="zh-CN"/>
          <w14:textFill>
            <w14:solidFill>
              <w14:schemeClr w14:val="tx1"/>
            </w14:solidFill>
          </w14:textFill>
        </w:rPr>
        <w:t>7.1.3</w:t>
      </w:r>
      <w:r>
        <w:rPr>
          <w:rFonts w:hint="eastAsia" w:hAnsi="宋体" w:cs="宋体"/>
          <w:color w:val="000000" w:themeColor="text1"/>
          <w:kern w:val="2"/>
          <w:sz w:val="22"/>
          <w:szCs w:val="22"/>
          <w14:textFill>
            <w14:solidFill>
              <w14:schemeClr w14:val="tx1"/>
            </w14:solidFill>
          </w14:textFill>
        </w:rPr>
        <w:t>、缴款内容</w:t>
      </w:r>
    </w:p>
    <w:p w14:paraId="0F23996B">
      <w:pPr>
        <w:ind w:firstLine="660" w:firstLineChars="300"/>
        <w:rPr>
          <w:color w:val="000000" w:themeColor="text1"/>
          <w14:textFill>
            <w14:solidFill>
              <w14:schemeClr w14:val="tx1"/>
            </w14:solidFill>
          </w14:textFill>
        </w:rPr>
      </w:pPr>
      <w:r>
        <w:rPr>
          <w:rFonts w:hint="eastAsia" w:ascii="宋体" w:hAnsi="宋体" w:cs="宋体"/>
          <w:color w:val="000000" w:themeColor="text1"/>
          <w:sz w:val="22"/>
          <w:szCs w:val="22"/>
          <w14:textFill>
            <w14:solidFill>
              <w14:schemeClr w14:val="tx1"/>
            </w14:solidFill>
          </w14:textFill>
        </w:rPr>
        <w:t>各供应商于每次中标结果公示后支付该项目的技术服务费。</w:t>
      </w:r>
    </w:p>
    <w:p w14:paraId="56ABF9EE">
      <w:pPr>
        <w:rPr>
          <w:rFonts w:ascii="宋体" w:cs="宋体"/>
        </w:rPr>
      </w:pPr>
    </w:p>
    <w:p w14:paraId="7DE586F3"/>
    <w:p w14:paraId="19C3713A">
      <w:pPr>
        <w:rPr>
          <w:rFonts w:cs="宋体"/>
          <w:sz w:val="32"/>
          <w:szCs w:val="32"/>
        </w:rPr>
      </w:pPr>
      <w:bookmarkStart w:id="77" w:name="_Toc17740"/>
      <w:r>
        <w:rPr>
          <w:rFonts w:hint="eastAsia" w:cs="宋体"/>
          <w:sz w:val="32"/>
          <w:szCs w:val="32"/>
        </w:rPr>
        <w:br w:type="page"/>
      </w:r>
    </w:p>
    <w:p w14:paraId="6ADDCAB0">
      <w:pPr>
        <w:pStyle w:val="4"/>
        <w:jc w:val="center"/>
        <w:rPr>
          <w:rFonts w:cs="宋体"/>
          <w:sz w:val="32"/>
          <w:szCs w:val="32"/>
        </w:rPr>
      </w:pPr>
      <w:bookmarkStart w:id="78" w:name="_Toc25803"/>
      <w:r>
        <w:rPr>
          <w:rFonts w:hint="eastAsia" w:cs="宋体"/>
          <w:sz w:val="32"/>
          <w:szCs w:val="32"/>
        </w:rPr>
        <w:t xml:space="preserve">第二部分  </w:t>
      </w:r>
      <w:bookmarkEnd w:id="73"/>
      <w:bookmarkEnd w:id="74"/>
      <w:bookmarkEnd w:id="75"/>
      <w:bookmarkEnd w:id="76"/>
      <w:r>
        <w:rPr>
          <w:rFonts w:hint="eastAsia" w:cs="宋体"/>
          <w:sz w:val="32"/>
          <w:szCs w:val="32"/>
        </w:rPr>
        <w:t>合同主要条款</w:t>
      </w:r>
      <w:bookmarkEnd w:id="77"/>
      <w:bookmarkEnd w:id="78"/>
    </w:p>
    <w:p w14:paraId="7638296C">
      <w:pPr>
        <w:rPr>
          <w:rFonts w:eastAsia="黑体"/>
          <w:sz w:val="28"/>
        </w:rPr>
      </w:pPr>
    </w:p>
    <w:p w14:paraId="1896CB7B">
      <w:pPr>
        <w:ind w:left="-359" w:leftChars="-171" w:right="-328" w:rightChars="-156"/>
        <w:jc w:val="center"/>
        <w:rPr>
          <w:rFonts w:ascii="宋体" w:hAnsi="宋体" w:cs="宋体"/>
          <w:b/>
          <w:sz w:val="40"/>
          <w:szCs w:val="32"/>
        </w:rPr>
      </w:pPr>
      <w:r>
        <w:rPr>
          <w:rFonts w:hint="eastAsia" w:ascii="宋体" w:hAnsi="宋体" w:cs="宋体"/>
          <w:b/>
          <w:sz w:val="44"/>
          <w:szCs w:val="44"/>
        </w:rPr>
        <w:t>合 同 书</w:t>
      </w:r>
    </w:p>
    <w:p w14:paraId="49C46F56">
      <w:pPr>
        <w:pStyle w:val="28"/>
        <w:jc w:val="center"/>
        <w:rPr>
          <w:rFonts w:hAnsi="宋体" w:cs="宋体"/>
          <w:b/>
          <w:sz w:val="40"/>
          <w:szCs w:val="28"/>
        </w:rPr>
      </w:pPr>
    </w:p>
    <w:p w14:paraId="6D848694">
      <w:pPr>
        <w:pStyle w:val="28"/>
        <w:jc w:val="center"/>
        <w:rPr>
          <w:rFonts w:hAnsi="宋体" w:cs="宋体"/>
          <w:b/>
        </w:rPr>
      </w:pPr>
    </w:p>
    <w:p w14:paraId="29D82813">
      <w:pPr>
        <w:pStyle w:val="28"/>
        <w:jc w:val="center"/>
        <w:rPr>
          <w:rFonts w:hAnsi="宋体" w:cs="宋体"/>
          <w:b/>
        </w:rPr>
      </w:pPr>
    </w:p>
    <w:p w14:paraId="1282421E">
      <w:pPr>
        <w:pStyle w:val="16"/>
        <w:rPr>
          <w:rFonts w:ascii="宋体" w:hAnsi="宋体" w:cs="宋体"/>
          <w:b/>
        </w:rPr>
      </w:pPr>
    </w:p>
    <w:p w14:paraId="46056A90">
      <w:pPr>
        <w:pStyle w:val="16"/>
        <w:rPr>
          <w:rFonts w:ascii="宋体" w:hAnsi="宋体" w:cs="宋体"/>
          <w:b/>
        </w:rPr>
      </w:pPr>
    </w:p>
    <w:p w14:paraId="29A7EB22">
      <w:pPr>
        <w:pStyle w:val="28"/>
        <w:rPr>
          <w:rFonts w:hAnsi="宋体" w:cs="宋体"/>
        </w:rPr>
      </w:pPr>
    </w:p>
    <w:p w14:paraId="76997E64">
      <w:pPr>
        <w:ind w:firstLine="1687" w:firstLineChars="600"/>
        <w:rPr>
          <w:rFonts w:ascii="宋体" w:hAnsi="宋体" w:cs="宋体"/>
          <w:b/>
          <w:sz w:val="28"/>
        </w:rPr>
      </w:pPr>
      <w:r>
        <w:rPr>
          <w:rFonts w:hint="eastAsia" w:ascii="宋体" w:hAnsi="宋体" w:cs="宋体"/>
          <w:b/>
          <w:sz w:val="28"/>
        </w:rPr>
        <w:t>甲方：</w:t>
      </w:r>
    </w:p>
    <w:p w14:paraId="6985B5CD">
      <w:pPr>
        <w:ind w:firstLine="1687" w:firstLineChars="600"/>
        <w:rPr>
          <w:rFonts w:ascii="宋体" w:hAnsi="宋体" w:cs="宋体"/>
          <w:b/>
          <w:sz w:val="28"/>
        </w:rPr>
      </w:pPr>
      <w:r>
        <w:rPr>
          <w:rFonts w:hint="eastAsia" w:ascii="宋体" w:hAnsi="宋体" w:cs="宋体"/>
          <w:b/>
          <w:sz w:val="28"/>
        </w:rPr>
        <w:t>乙方：</w:t>
      </w:r>
    </w:p>
    <w:p w14:paraId="19298311">
      <w:pPr>
        <w:jc w:val="center"/>
        <w:rPr>
          <w:rFonts w:ascii="宋体" w:hAnsi="宋体" w:cs="宋体"/>
          <w:b/>
          <w:sz w:val="28"/>
        </w:rPr>
      </w:pPr>
    </w:p>
    <w:p w14:paraId="442C61F1">
      <w:pPr>
        <w:ind w:firstLine="1680" w:firstLineChars="600"/>
        <w:rPr>
          <w:rFonts w:ascii="宋体" w:hAnsi="宋体" w:cs="宋体"/>
          <w:sz w:val="28"/>
        </w:rPr>
      </w:pPr>
      <w:r>
        <w:rPr>
          <w:rFonts w:hint="eastAsia" w:ascii="宋体" w:hAnsi="宋体" w:cs="宋体"/>
          <w:sz w:val="28"/>
        </w:rPr>
        <w:t>合同签订日期：202</w:t>
      </w:r>
      <w:r>
        <w:rPr>
          <w:rFonts w:ascii="宋体" w:hAnsi="宋体" w:cs="宋体"/>
          <w:sz w:val="28"/>
        </w:rPr>
        <w:t>5</w:t>
      </w:r>
      <w:r>
        <w:rPr>
          <w:rFonts w:hint="eastAsia" w:ascii="宋体" w:hAnsi="宋体" w:cs="宋体"/>
          <w:sz w:val="28"/>
        </w:rPr>
        <w:t xml:space="preserve">年  月   </w:t>
      </w:r>
    </w:p>
    <w:p w14:paraId="73273C03">
      <w:pPr>
        <w:rPr>
          <w:rFonts w:ascii="宋体" w:hAnsi="宋体" w:cs="宋体"/>
          <w:szCs w:val="21"/>
        </w:rPr>
        <w:sectPr>
          <w:footerReference r:id="rId8" w:type="first"/>
          <w:footerReference r:id="rId7" w:type="default"/>
          <w:pgSz w:w="11906" w:h="16838"/>
          <w:pgMar w:top="1134" w:right="1134" w:bottom="1134" w:left="1134" w:header="851" w:footer="992" w:gutter="0"/>
          <w:cols w:space="720" w:num="1"/>
          <w:titlePg/>
          <w:docGrid w:type="lines" w:linePitch="312" w:charSpace="0"/>
        </w:sectPr>
      </w:pPr>
    </w:p>
    <w:p w14:paraId="7A15B069">
      <w:pPr>
        <w:spacing w:line="360" w:lineRule="auto"/>
        <w:ind w:firstLine="514" w:firstLineChars="245"/>
        <w:rPr>
          <w:rFonts w:ascii="宋体" w:hAnsi="宋体" w:cs="宋体"/>
          <w:bCs/>
        </w:rPr>
      </w:pPr>
      <w:r>
        <w:rPr>
          <w:rFonts w:hint="eastAsia" w:ascii="宋体" w:hAnsi="宋体" w:cs="宋体"/>
          <w:bCs/>
        </w:rPr>
        <w:t xml:space="preserve">甲方：                          </w:t>
      </w:r>
    </w:p>
    <w:p w14:paraId="70756023">
      <w:pPr>
        <w:spacing w:line="360" w:lineRule="auto"/>
        <w:ind w:firstLine="514" w:firstLineChars="245"/>
        <w:rPr>
          <w:rFonts w:ascii="宋体" w:hAnsi="宋体" w:cs="宋体"/>
          <w:bCs/>
        </w:rPr>
      </w:pPr>
      <w:r>
        <w:rPr>
          <w:rFonts w:hint="eastAsia" w:ascii="宋体" w:hAnsi="宋体" w:cs="宋体"/>
          <w:bCs/>
        </w:rPr>
        <w:t xml:space="preserve">乙方：   </w:t>
      </w:r>
    </w:p>
    <w:p w14:paraId="770496B0">
      <w:pPr>
        <w:spacing w:line="360" w:lineRule="auto"/>
        <w:ind w:firstLine="514" w:firstLineChars="245"/>
        <w:rPr>
          <w:rFonts w:ascii="宋体" w:hAnsi="宋体" w:cs="宋体"/>
          <w:bCs/>
        </w:rPr>
      </w:pPr>
      <w:r>
        <w:rPr>
          <w:rFonts w:hint="eastAsia" w:ascii="宋体" w:hAnsi="宋体" w:cs="宋体"/>
          <w:bCs/>
        </w:rPr>
        <w:t xml:space="preserve">签订地点：温州                   </w:t>
      </w:r>
    </w:p>
    <w:p w14:paraId="37F93E52">
      <w:pPr>
        <w:spacing w:line="360" w:lineRule="auto"/>
        <w:ind w:firstLine="514" w:firstLineChars="245"/>
        <w:rPr>
          <w:rFonts w:ascii="宋体" w:hAnsi="宋体" w:cs="宋体"/>
          <w:bCs/>
        </w:rPr>
      </w:pPr>
      <w:r>
        <w:rPr>
          <w:rFonts w:hint="eastAsia" w:ascii="宋体" w:hAnsi="宋体" w:cs="宋体"/>
          <w:bCs/>
        </w:rPr>
        <w:t>签订日期：    年   月   日</w:t>
      </w:r>
    </w:p>
    <w:p w14:paraId="68AC6CBC">
      <w:pPr>
        <w:spacing w:line="360" w:lineRule="auto"/>
        <w:ind w:firstLine="514" w:firstLineChars="245"/>
        <w:rPr>
          <w:rFonts w:ascii="宋体" w:hAnsi="宋体" w:cs="宋体"/>
          <w:bCs/>
        </w:rPr>
      </w:pPr>
    </w:p>
    <w:p w14:paraId="78618DBC">
      <w:pPr>
        <w:spacing w:line="360" w:lineRule="auto"/>
        <w:ind w:firstLine="514" w:firstLineChars="245"/>
        <w:rPr>
          <w:rFonts w:ascii="宋体" w:hAnsi="宋体" w:cs="宋体"/>
          <w:bCs/>
        </w:rPr>
      </w:pPr>
      <w:r>
        <w:rPr>
          <w:rFonts w:hint="eastAsia" w:ascii="宋体" w:hAnsi="宋体" w:cs="宋体"/>
          <w:bCs/>
        </w:rPr>
        <w:t>甲乙双方根据《中华人民共和国民法典》等法律法规和</w:t>
      </w:r>
      <w:r>
        <w:rPr>
          <w:rFonts w:hint="eastAsia" w:ascii="宋体" w:hAnsi="宋体" w:cs="宋体"/>
          <w:bCs/>
          <w:u w:val="single"/>
        </w:rPr>
        <w:t xml:space="preserve">    </w:t>
      </w:r>
      <w:r>
        <w:rPr>
          <w:rFonts w:hint="eastAsia" w:ascii="宋体" w:hAnsi="宋体" w:cs="宋体"/>
          <w:bCs/>
        </w:rPr>
        <w:t xml:space="preserve">项目的招标文件（项目编号）、投标文件及中标通知书，经友好协商，一致同意订立本合同并共同遵守： </w:t>
      </w:r>
    </w:p>
    <w:p w14:paraId="62BF4153">
      <w:pPr>
        <w:spacing w:line="360" w:lineRule="auto"/>
        <w:ind w:firstLine="517" w:firstLineChars="245"/>
        <w:rPr>
          <w:rFonts w:ascii="宋体" w:hAnsi="宋体" w:cs="宋体"/>
          <w:b/>
          <w:bCs/>
        </w:rPr>
      </w:pPr>
      <w:r>
        <w:rPr>
          <w:rFonts w:hint="eastAsia" w:ascii="宋体" w:hAnsi="宋体" w:cs="宋体"/>
          <w:b/>
          <w:bCs/>
        </w:rPr>
        <w:t>第一条 建设内容</w:t>
      </w:r>
    </w:p>
    <w:p w14:paraId="3C9623B6">
      <w:pPr>
        <w:spacing w:line="360" w:lineRule="auto"/>
        <w:ind w:firstLine="514" w:firstLineChars="245"/>
        <w:rPr>
          <w:rFonts w:ascii="宋体" w:hAnsi="宋体" w:cs="宋体"/>
          <w:bCs/>
        </w:rPr>
      </w:pPr>
      <w:r>
        <w:rPr>
          <w:rFonts w:hint="eastAsia" w:ascii="宋体" w:hAnsi="宋体" w:cs="宋体"/>
          <w:bCs/>
        </w:rPr>
        <w:t>建设内容及数量</w:t>
      </w:r>
    </w:p>
    <w:tbl>
      <w:tblPr>
        <w:tblStyle w:val="50"/>
        <w:tblW w:w="85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2687"/>
        <w:gridCol w:w="2620"/>
        <w:gridCol w:w="2499"/>
      </w:tblGrid>
      <w:tr w14:paraId="0E627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50B7A424">
            <w:pPr>
              <w:spacing w:line="360" w:lineRule="auto"/>
              <w:jc w:val="center"/>
              <w:rPr>
                <w:rFonts w:ascii="宋体" w:hAnsi="宋体" w:cs="宋体"/>
              </w:rPr>
            </w:pPr>
            <w:r>
              <w:rPr>
                <w:rFonts w:hint="eastAsia" w:ascii="宋体" w:hAnsi="宋体" w:cs="宋体"/>
              </w:rPr>
              <w:t>序号</w:t>
            </w:r>
          </w:p>
        </w:tc>
        <w:tc>
          <w:tcPr>
            <w:tcW w:w="2687" w:type="dxa"/>
            <w:vAlign w:val="center"/>
          </w:tcPr>
          <w:p w14:paraId="0E4525C9">
            <w:pPr>
              <w:spacing w:line="360" w:lineRule="auto"/>
              <w:jc w:val="center"/>
              <w:rPr>
                <w:rFonts w:ascii="宋体" w:hAnsi="宋体" w:cs="宋体"/>
              </w:rPr>
            </w:pPr>
            <w:r>
              <w:rPr>
                <w:rFonts w:hint="eastAsia" w:ascii="宋体" w:hAnsi="宋体" w:cs="宋体"/>
              </w:rPr>
              <w:t>服务内容</w:t>
            </w:r>
          </w:p>
        </w:tc>
        <w:tc>
          <w:tcPr>
            <w:tcW w:w="2620" w:type="dxa"/>
            <w:vAlign w:val="center"/>
          </w:tcPr>
          <w:p w14:paraId="705221DD">
            <w:pPr>
              <w:spacing w:line="360" w:lineRule="auto"/>
              <w:jc w:val="center"/>
              <w:rPr>
                <w:rFonts w:ascii="宋体" w:hAnsi="宋体" w:cs="宋体"/>
              </w:rPr>
            </w:pPr>
            <w:r>
              <w:rPr>
                <w:rFonts w:hint="eastAsia" w:ascii="宋体" w:hAnsi="宋体" w:cs="宋体"/>
              </w:rPr>
              <w:t>规格</w:t>
            </w:r>
          </w:p>
        </w:tc>
        <w:tc>
          <w:tcPr>
            <w:tcW w:w="2499" w:type="dxa"/>
            <w:vAlign w:val="center"/>
          </w:tcPr>
          <w:p w14:paraId="53EFF9E6">
            <w:pPr>
              <w:spacing w:line="360" w:lineRule="auto"/>
              <w:jc w:val="center"/>
              <w:rPr>
                <w:rFonts w:ascii="宋体" w:hAnsi="宋体" w:cs="宋体"/>
              </w:rPr>
            </w:pPr>
            <w:r>
              <w:rPr>
                <w:rFonts w:hint="eastAsia" w:ascii="宋体" w:hAnsi="宋体" w:cs="宋体"/>
              </w:rPr>
              <w:t>数量</w:t>
            </w:r>
          </w:p>
        </w:tc>
      </w:tr>
      <w:tr w14:paraId="3B6EC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58B78D2B">
            <w:pPr>
              <w:spacing w:line="360" w:lineRule="auto"/>
              <w:jc w:val="center"/>
              <w:rPr>
                <w:rFonts w:ascii="宋体" w:hAnsi="宋体" w:cs="宋体"/>
              </w:rPr>
            </w:pPr>
            <w:r>
              <w:rPr>
                <w:rFonts w:hint="eastAsia" w:ascii="宋体" w:hAnsi="宋体" w:cs="宋体"/>
              </w:rPr>
              <w:t>1</w:t>
            </w:r>
          </w:p>
        </w:tc>
        <w:tc>
          <w:tcPr>
            <w:tcW w:w="2687" w:type="dxa"/>
            <w:vAlign w:val="center"/>
          </w:tcPr>
          <w:p w14:paraId="257A2460">
            <w:pPr>
              <w:spacing w:line="360" w:lineRule="auto"/>
              <w:jc w:val="center"/>
              <w:rPr>
                <w:rFonts w:ascii="宋体" w:hAnsi="宋体" w:cs="宋体"/>
              </w:rPr>
            </w:pPr>
          </w:p>
        </w:tc>
        <w:tc>
          <w:tcPr>
            <w:tcW w:w="2620" w:type="dxa"/>
            <w:vAlign w:val="center"/>
          </w:tcPr>
          <w:p w14:paraId="3D1B110E">
            <w:pPr>
              <w:spacing w:line="360" w:lineRule="auto"/>
              <w:jc w:val="center"/>
              <w:rPr>
                <w:rFonts w:ascii="宋体" w:hAnsi="宋体" w:cs="宋体"/>
              </w:rPr>
            </w:pPr>
          </w:p>
        </w:tc>
        <w:tc>
          <w:tcPr>
            <w:tcW w:w="2499" w:type="dxa"/>
            <w:vAlign w:val="center"/>
          </w:tcPr>
          <w:p w14:paraId="4EBD969F">
            <w:pPr>
              <w:spacing w:line="360" w:lineRule="auto"/>
              <w:jc w:val="center"/>
              <w:rPr>
                <w:rFonts w:ascii="宋体" w:hAnsi="宋体" w:cs="宋体"/>
              </w:rPr>
            </w:pPr>
          </w:p>
        </w:tc>
      </w:tr>
      <w:tr w14:paraId="374AC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7A78242D">
            <w:pPr>
              <w:spacing w:line="360" w:lineRule="auto"/>
              <w:jc w:val="center"/>
              <w:rPr>
                <w:rFonts w:ascii="宋体" w:hAnsi="宋体" w:cs="宋体"/>
              </w:rPr>
            </w:pPr>
            <w:r>
              <w:rPr>
                <w:rFonts w:hint="eastAsia" w:ascii="宋体" w:hAnsi="宋体" w:cs="宋体"/>
              </w:rPr>
              <w:t>2</w:t>
            </w:r>
          </w:p>
        </w:tc>
        <w:tc>
          <w:tcPr>
            <w:tcW w:w="2687" w:type="dxa"/>
            <w:vAlign w:val="center"/>
          </w:tcPr>
          <w:p w14:paraId="725F456C">
            <w:pPr>
              <w:spacing w:line="360" w:lineRule="auto"/>
              <w:jc w:val="center"/>
              <w:rPr>
                <w:rFonts w:ascii="宋体" w:hAnsi="宋体" w:cs="宋体"/>
              </w:rPr>
            </w:pPr>
          </w:p>
        </w:tc>
        <w:tc>
          <w:tcPr>
            <w:tcW w:w="2620" w:type="dxa"/>
            <w:vAlign w:val="center"/>
          </w:tcPr>
          <w:p w14:paraId="0897427F">
            <w:pPr>
              <w:spacing w:line="360" w:lineRule="auto"/>
              <w:jc w:val="center"/>
              <w:rPr>
                <w:rFonts w:ascii="宋体" w:hAnsi="宋体" w:cs="宋体"/>
              </w:rPr>
            </w:pPr>
          </w:p>
        </w:tc>
        <w:tc>
          <w:tcPr>
            <w:tcW w:w="2499" w:type="dxa"/>
            <w:vAlign w:val="center"/>
          </w:tcPr>
          <w:p w14:paraId="10AA03B3">
            <w:pPr>
              <w:spacing w:line="360" w:lineRule="auto"/>
              <w:jc w:val="center"/>
              <w:rPr>
                <w:rFonts w:ascii="宋体" w:hAnsi="宋体" w:cs="宋体"/>
              </w:rPr>
            </w:pPr>
          </w:p>
        </w:tc>
      </w:tr>
      <w:tr w14:paraId="23F5B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305A2ED5">
            <w:pPr>
              <w:spacing w:line="360" w:lineRule="auto"/>
              <w:jc w:val="center"/>
              <w:rPr>
                <w:rFonts w:ascii="宋体" w:hAnsi="宋体" w:cs="宋体"/>
              </w:rPr>
            </w:pPr>
            <w:r>
              <w:rPr>
                <w:rFonts w:hint="eastAsia" w:ascii="宋体" w:hAnsi="宋体" w:cs="宋体"/>
              </w:rPr>
              <w:t>3</w:t>
            </w:r>
          </w:p>
        </w:tc>
        <w:tc>
          <w:tcPr>
            <w:tcW w:w="2687" w:type="dxa"/>
            <w:vAlign w:val="center"/>
          </w:tcPr>
          <w:p w14:paraId="4496CA0C">
            <w:pPr>
              <w:spacing w:line="360" w:lineRule="auto"/>
              <w:jc w:val="center"/>
              <w:rPr>
                <w:rFonts w:ascii="宋体" w:hAnsi="宋体" w:cs="宋体"/>
              </w:rPr>
            </w:pPr>
          </w:p>
        </w:tc>
        <w:tc>
          <w:tcPr>
            <w:tcW w:w="2620" w:type="dxa"/>
            <w:vAlign w:val="center"/>
          </w:tcPr>
          <w:p w14:paraId="7EB941E2">
            <w:pPr>
              <w:spacing w:line="360" w:lineRule="auto"/>
              <w:jc w:val="center"/>
              <w:rPr>
                <w:rFonts w:ascii="宋体" w:hAnsi="宋体" w:cs="宋体"/>
              </w:rPr>
            </w:pPr>
          </w:p>
        </w:tc>
        <w:tc>
          <w:tcPr>
            <w:tcW w:w="2499" w:type="dxa"/>
            <w:vAlign w:val="center"/>
          </w:tcPr>
          <w:p w14:paraId="7EE4B3E4">
            <w:pPr>
              <w:spacing w:line="360" w:lineRule="auto"/>
              <w:jc w:val="center"/>
              <w:rPr>
                <w:rFonts w:ascii="宋体" w:hAnsi="宋体" w:cs="宋体"/>
              </w:rPr>
            </w:pPr>
          </w:p>
        </w:tc>
      </w:tr>
      <w:tr w14:paraId="736AD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6ECC35D4">
            <w:pPr>
              <w:spacing w:line="360" w:lineRule="auto"/>
              <w:jc w:val="center"/>
              <w:rPr>
                <w:rFonts w:ascii="宋体" w:hAnsi="宋体" w:cs="宋体"/>
              </w:rPr>
            </w:pPr>
            <w:r>
              <w:rPr>
                <w:rFonts w:hint="eastAsia" w:ascii="宋体" w:hAnsi="宋体" w:cs="宋体"/>
              </w:rPr>
              <w:t>4</w:t>
            </w:r>
          </w:p>
        </w:tc>
        <w:tc>
          <w:tcPr>
            <w:tcW w:w="2687" w:type="dxa"/>
            <w:vAlign w:val="center"/>
          </w:tcPr>
          <w:p w14:paraId="58E4F4D4">
            <w:pPr>
              <w:spacing w:line="360" w:lineRule="auto"/>
              <w:jc w:val="center"/>
              <w:rPr>
                <w:rFonts w:ascii="宋体" w:hAnsi="宋体" w:cs="宋体"/>
              </w:rPr>
            </w:pPr>
          </w:p>
        </w:tc>
        <w:tc>
          <w:tcPr>
            <w:tcW w:w="2620" w:type="dxa"/>
            <w:vAlign w:val="center"/>
          </w:tcPr>
          <w:p w14:paraId="368E9FEE">
            <w:pPr>
              <w:spacing w:line="360" w:lineRule="auto"/>
              <w:jc w:val="center"/>
              <w:rPr>
                <w:rFonts w:ascii="宋体" w:hAnsi="宋体" w:cs="宋体"/>
              </w:rPr>
            </w:pPr>
          </w:p>
        </w:tc>
        <w:tc>
          <w:tcPr>
            <w:tcW w:w="2499" w:type="dxa"/>
            <w:vAlign w:val="center"/>
          </w:tcPr>
          <w:p w14:paraId="25E83202">
            <w:pPr>
              <w:spacing w:line="360" w:lineRule="auto"/>
              <w:jc w:val="center"/>
              <w:rPr>
                <w:rFonts w:ascii="宋体" w:hAnsi="宋体" w:cs="宋体"/>
              </w:rPr>
            </w:pPr>
          </w:p>
        </w:tc>
      </w:tr>
      <w:tr w14:paraId="32A5B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58CA1D23">
            <w:pPr>
              <w:spacing w:line="360" w:lineRule="auto"/>
              <w:jc w:val="center"/>
              <w:rPr>
                <w:rFonts w:ascii="宋体" w:hAnsi="宋体" w:cs="宋体"/>
              </w:rPr>
            </w:pPr>
            <w:r>
              <w:rPr>
                <w:rFonts w:hint="eastAsia" w:ascii="宋体" w:hAnsi="宋体" w:cs="宋体"/>
              </w:rPr>
              <w:t>5</w:t>
            </w:r>
          </w:p>
        </w:tc>
        <w:tc>
          <w:tcPr>
            <w:tcW w:w="2687" w:type="dxa"/>
            <w:vAlign w:val="center"/>
          </w:tcPr>
          <w:p w14:paraId="250229C3">
            <w:pPr>
              <w:spacing w:line="360" w:lineRule="auto"/>
              <w:jc w:val="center"/>
              <w:rPr>
                <w:rFonts w:ascii="宋体" w:hAnsi="宋体" w:cs="宋体"/>
              </w:rPr>
            </w:pPr>
          </w:p>
        </w:tc>
        <w:tc>
          <w:tcPr>
            <w:tcW w:w="2620" w:type="dxa"/>
            <w:vAlign w:val="center"/>
          </w:tcPr>
          <w:p w14:paraId="3DA29E41">
            <w:pPr>
              <w:spacing w:line="360" w:lineRule="auto"/>
              <w:jc w:val="center"/>
              <w:rPr>
                <w:rFonts w:ascii="宋体" w:hAnsi="宋体" w:cs="宋体"/>
              </w:rPr>
            </w:pPr>
          </w:p>
        </w:tc>
        <w:tc>
          <w:tcPr>
            <w:tcW w:w="2499" w:type="dxa"/>
            <w:vAlign w:val="center"/>
          </w:tcPr>
          <w:p w14:paraId="6DAC2D9E">
            <w:pPr>
              <w:spacing w:line="360" w:lineRule="auto"/>
              <w:jc w:val="center"/>
              <w:rPr>
                <w:rFonts w:ascii="宋体" w:hAnsi="宋体" w:cs="宋体"/>
              </w:rPr>
            </w:pPr>
          </w:p>
        </w:tc>
      </w:tr>
      <w:tr w14:paraId="6D179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14:paraId="4DB2CBC6">
            <w:pPr>
              <w:spacing w:line="360" w:lineRule="auto"/>
              <w:jc w:val="center"/>
              <w:rPr>
                <w:rFonts w:ascii="宋体" w:hAnsi="宋体" w:cs="宋体"/>
              </w:rPr>
            </w:pPr>
            <w:r>
              <w:rPr>
                <w:rFonts w:hint="eastAsia" w:ascii="宋体" w:hAnsi="宋体" w:cs="宋体"/>
              </w:rPr>
              <w:t>6</w:t>
            </w:r>
          </w:p>
        </w:tc>
        <w:tc>
          <w:tcPr>
            <w:tcW w:w="2687" w:type="dxa"/>
            <w:vAlign w:val="center"/>
          </w:tcPr>
          <w:p w14:paraId="173A70AA">
            <w:pPr>
              <w:spacing w:line="360" w:lineRule="auto"/>
              <w:jc w:val="center"/>
              <w:rPr>
                <w:rFonts w:ascii="宋体" w:hAnsi="宋体" w:cs="宋体"/>
              </w:rPr>
            </w:pPr>
          </w:p>
        </w:tc>
        <w:tc>
          <w:tcPr>
            <w:tcW w:w="2620" w:type="dxa"/>
            <w:vAlign w:val="center"/>
          </w:tcPr>
          <w:p w14:paraId="40B36FA7">
            <w:pPr>
              <w:spacing w:line="360" w:lineRule="auto"/>
              <w:jc w:val="center"/>
              <w:rPr>
                <w:rFonts w:ascii="宋体" w:hAnsi="宋体" w:cs="宋体"/>
              </w:rPr>
            </w:pPr>
          </w:p>
        </w:tc>
        <w:tc>
          <w:tcPr>
            <w:tcW w:w="2499" w:type="dxa"/>
            <w:vAlign w:val="center"/>
          </w:tcPr>
          <w:p w14:paraId="40A68914">
            <w:pPr>
              <w:spacing w:line="360" w:lineRule="auto"/>
              <w:jc w:val="center"/>
              <w:rPr>
                <w:rFonts w:ascii="宋体" w:hAnsi="宋体" w:cs="宋体"/>
              </w:rPr>
            </w:pPr>
          </w:p>
        </w:tc>
      </w:tr>
      <w:tr w14:paraId="5FA29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42" w:type="dxa"/>
            <w:gridSpan w:val="4"/>
            <w:vAlign w:val="center"/>
          </w:tcPr>
          <w:p w14:paraId="3946AB6E">
            <w:pPr>
              <w:spacing w:line="360" w:lineRule="auto"/>
              <w:jc w:val="center"/>
              <w:rPr>
                <w:rFonts w:ascii="宋体" w:hAnsi="宋体" w:cs="宋体"/>
              </w:rPr>
            </w:pPr>
            <w:r>
              <w:rPr>
                <w:rFonts w:hint="eastAsia" w:ascii="宋体" w:hAnsi="宋体" w:cs="宋体"/>
              </w:rPr>
              <w:t>合同额：大写：     元整         小写：       元</w:t>
            </w:r>
          </w:p>
        </w:tc>
      </w:tr>
    </w:tbl>
    <w:p w14:paraId="60905810">
      <w:pPr>
        <w:spacing w:line="360" w:lineRule="auto"/>
        <w:rPr>
          <w:rFonts w:ascii="宋体" w:hAnsi="宋体" w:cs="宋体"/>
          <w:b/>
          <w:bCs/>
        </w:rPr>
      </w:pPr>
    </w:p>
    <w:p w14:paraId="1721A451">
      <w:pPr>
        <w:spacing w:line="360" w:lineRule="auto"/>
        <w:ind w:firstLine="517" w:firstLineChars="245"/>
        <w:rPr>
          <w:rFonts w:ascii="宋体" w:hAnsi="宋体" w:cs="宋体"/>
          <w:b/>
          <w:bCs/>
        </w:rPr>
      </w:pPr>
      <w:r>
        <w:rPr>
          <w:rFonts w:hint="eastAsia" w:ascii="宋体" w:hAnsi="宋体" w:cs="宋体"/>
          <w:b/>
          <w:bCs/>
        </w:rPr>
        <w:t>第二条 双方权利与义务</w:t>
      </w:r>
    </w:p>
    <w:p w14:paraId="6F0A588B">
      <w:pPr>
        <w:spacing w:line="360" w:lineRule="auto"/>
        <w:ind w:firstLine="514" w:firstLineChars="245"/>
        <w:rPr>
          <w:rFonts w:ascii="宋体" w:hAnsi="宋体" w:cs="宋体"/>
          <w:bCs/>
        </w:rPr>
      </w:pPr>
      <w:r>
        <w:rPr>
          <w:rFonts w:hint="eastAsia" w:ascii="宋体" w:hAnsi="宋体" w:cs="宋体"/>
          <w:bCs/>
        </w:rPr>
        <w:t>（一）甲方的权利：</w:t>
      </w:r>
    </w:p>
    <w:p w14:paraId="265D55D8">
      <w:pPr>
        <w:spacing w:line="360" w:lineRule="auto"/>
        <w:ind w:firstLine="514" w:firstLineChars="245"/>
        <w:rPr>
          <w:rFonts w:ascii="宋体" w:hAnsi="宋体" w:cs="宋体"/>
          <w:bCs/>
        </w:rPr>
      </w:pPr>
      <w:r>
        <w:rPr>
          <w:rFonts w:hint="eastAsia" w:ascii="宋体" w:hAnsi="宋体" w:cs="宋体"/>
          <w:bCs/>
        </w:rPr>
        <w:t>1、对乙方承诺的服务和实际提供的服务以及相关事项进行监督检查；</w:t>
      </w:r>
    </w:p>
    <w:p w14:paraId="71076A69">
      <w:pPr>
        <w:spacing w:line="360" w:lineRule="auto"/>
        <w:ind w:firstLine="514" w:firstLineChars="245"/>
        <w:rPr>
          <w:rFonts w:ascii="宋体" w:hAnsi="宋体" w:cs="宋体"/>
          <w:bCs/>
        </w:rPr>
      </w:pPr>
      <w:r>
        <w:rPr>
          <w:rFonts w:hint="eastAsia" w:ascii="宋体" w:hAnsi="宋体" w:cs="宋体"/>
          <w:bCs/>
        </w:rPr>
        <w:t>2、有权了解系统采用的各种技术特性；</w:t>
      </w:r>
    </w:p>
    <w:p w14:paraId="2FA89566">
      <w:pPr>
        <w:spacing w:line="360" w:lineRule="auto"/>
        <w:ind w:firstLine="514" w:firstLineChars="245"/>
      </w:pPr>
      <w:r>
        <w:rPr>
          <w:rFonts w:hint="eastAsia" w:ascii="宋体" w:hAnsi="宋体" w:cs="宋体"/>
          <w:bCs/>
        </w:rPr>
        <w:t>3、有权要求乙方对不符合协议的行为进行调整；</w:t>
      </w:r>
    </w:p>
    <w:p w14:paraId="1EAA62B4">
      <w:pPr>
        <w:spacing w:line="360" w:lineRule="auto"/>
        <w:ind w:firstLine="514" w:firstLineChars="245"/>
        <w:rPr>
          <w:rFonts w:ascii="宋体" w:hAnsi="宋体" w:cs="宋体"/>
          <w:bCs/>
        </w:rPr>
      </w:pPr>
      <w:r>
        <w:rPr>
          <w:rFonts w:hint="eastAsia" w:ascii="宋体" w:hAnsi="宋体" w:cs="宋体"/>
          <w:bCs/>
        </w:rPr>
        <w:t>（二）甲方的义务：</w:t>
      </w:r>
    </w:p>
    <w:p w14:paraId="0204394A">
      <w:pPr>
        <w:spacing w:line="360" w:lineRule="auto"/>
        <w:ind w:firstLine="514" w:firstLineChars="245"/>
        <w:rPr>
          <w:rFonts w:ascii="宋体" w:hAnsi="宋体" w:cs="宋体"/>
          <w:bCs/>
        </w:rPr>
      </w:pPr>
      <w:r>
        <w:rPr>
          <w:rFonts w:hint="eastAsia" w:ascii="宋体" w:hAnsi="宋体" w:cs="宋体"/>
          <w:bCs/>
        </w:rPr>
        <w:t>1、协助乙方获得完成服务所必须的信息；</w:t>
      </w:r>
    </w:p>
    <w:p w14:paraId="4DA66B49">
      <w:pPr>
        <w:spacing w:line="360" w:lineRule="auto"/>
        <w:ind w:firstLine="514" w:firstLineChars="245"/>
        <w:rPr>
          <w:rFonts w:ascii="宋体" w:hAnsi="宋体" w:cs="宋体"/>
          <w:bCs/>
        </w:rPr>
      </w:pPr>
      <w:r>
        <w:rPr>
          <w:rFonts w:hint="eastAsia" w:ascii="宋体" w:hAnsi="宋体" w:cs="宋体"/>
          <w:bCs/>
        </w:rPr>
        <w:t>2、配合乙方进行系统的开发、实施及集成活动，在乙方合理的要求范围内，尽量为乙方提供便利条件；</w:t>
      </w:r>
    </w:p>
    <w:p w14:paraId="1A71CC5E">
      <w:pPr>
        <w:spacing w:line="360" w:lineRule="auto"/>
        <w:ind w:firstLine="514" w:firstLineChars="245"/>
      </w:pPr>
      <w:r>
        <w:rPr>
          <w:rFonts w:hint="eastAsia" w:ascii="宋体" w:hAnsi="宋体" w:cs="宋体"/>
          <w:bCs/>
        </w:rPr>
        <w:t>3、对乙方向甲方提供的内部资料予以保密，且不向任何第三方泄露乙方的商业机密和技术机密；</w:t>
      </w:r>
    </w:p>
    <w:p w14:paraId="675B520C">
      <w:pPr>
        <w:spacing w:line="360" w:lineRule="auto"/>
        <w:ind w:firstLine="514" w:firstLineChars="245"/>
      </w:pPr>
      <w:r>
        <w:rPr>
          <w:rFonts w:hint="eastAsia" w:ascii="宋体" w:hAnsi="宋体" w:cs="宋体"/>
          <w:bCs/>
        </w:rPr>
        <w:t>4、按照合同约定向乙方支付服务费用。</w:t>
      </w:r>
    </w:p>
    <w:p w14:paraId="2AD37F60">
      <w:pPr>
        <w:spacing w:line="360" w:lineRule="auto"/>
        <w:ind w:firstLine="514" w:firstLineChars="245"/>
        <w:rPr>
          <w:rFonts w:ascii="宋体" w:hAnsi="宋体" w:cs="宋体"/>
          <w:bCs/>
        </w:rPr>
      </w:pPr>
      <w:r>
        <w:rPr>
          <w:rFonts w:hint="eastAsia" w:ascii="宋体" w:hAnsi="宋体" w:cs="宋体"/>
          <w:bCs/>
        </w:rPr>
        <w:t>（三）乙方的权利：</w:t>
      </w:r>
    </w:p>
    <w:p w14:paraId="1B44FD0A">
      <w:pPr>
        <w:spacing w:line="360" w:lineRule="auto"/>
        <w:ind w:firstLine="514" w:firstLineChars="245"/>
        <w:rPr>
          <w:rFonts w:ascii="宋体" w:hAnsi="宋体" w:cs="宋体"/>
          <w:bCs/>
        </w:rPr>
      </w:pPr>
      <w:r>
        <w:rPr>
          <w:rFonts w:hint="eastAsia" w:ascii="宋体" w:hAnsi="宋体" w:cs="宋体"/>
          <w:bCs/>
        </w:rPr>
        <w:t>1、对甲方提出的超过协议规定服务范围的要求，乙方有权拒绝；</w:t>
      </w:r>
    </w:p>
    <w:p w14:paraId="05ED58B1">
      <w:pPr>
        <w:spacing w:line="360" w:lineRule="auto"/>
        <w:ind w:firstLine="514" w:firstLineChars="245"/>
        <w:rPr>
          <w:rFonts w:ascii="宋体" w:hAnsi="宋体" w:cs="宋体"/>
          <w:bCs/>
        </w:rPr>
      </w:pPr>
      <w:r>
        <w:rPr>
          <w:rFonts w:hint="eastAsia" w:ascii="宋体" w:hAnsi="宋体" w:cs="宋体"/>
          <w:bCs/>
        </w:rPr>
        <w:t>2、按照合同约定向甲方收取服务费用。</w:t>
      </w:r>
    </w:p>
    <w:p w14:paraId="65A6B031">
      <w:pPr>
        <w:spacing w:line="360" w:lineRule="auto"/>
        <w:ind w:firstLine="514" w:firstLineChars="245"/>
        <w:rPr>
          <w:rFonts w:ascii="宋体" w:hAnsi="宋体" w:cs="宋体"/>
          <w:bCs/>
        </w:rPr>
      </w:pPr>
      <w:r>
        <w:rPr>
          <w:rFonts w:hint="eastAsia" w:ascii="宋体" w:hAnsi="宋体" w:cs="宋体"/>
          <w:bCs/>
        </w:rPr>
        <w:t>（四）乙方的义务：</w:t>
      </w:r>
    </w:p>
    <w:p w14:paraId="3512A2DF">
      <w:pPr>
        <w:spacing w:line="360" w:lineRule="auto"/>
        <w:ind w:firstLine="514" w:firstLineChars="245"/>
        <w:rPr>
          <w:rFonts w:ascii="宋体" w:hAnsi="宋体" w:cs="宋体"/>
          <w:bCs/>
        </w:rPr>
      </w:pPr>
      <w:r>
        <w:rPr>
          <w:rFonts w:hint="eastAsia" w:ascii="宋体" w:hAnsi="宋体" w:cs="宋体"/>
          <w:bCs/>
        </w:rPr>
        <w:t>1、</w:t>
      </w:r>
      <w:r>
        <w:rPr>
          <w:rFonts w:hint="eastAsia" w:ascii="宋体" w:hAnsi="宋体" w:cs="宋体"/>
        </w:rPr>
        <w:t>按合同要求提供服务和服务所需设备；</w:t>
      </w:r>
    </w:p>
    <w:p w14:paraId="5247A60F">
      <w:pPr>
        <w:spacing w:line="360" w:lineRule="auto"/>
        <w:ind w:firstLine="514" w:firstLineChars="245"/>
        <w:rPr>
          <w:rFonts w:ascii="宋体" w:hAnsi="宋体" w:cs="宋体"/>
        </w:rPr>
      </w:pPr>
      <w:r>
        <w:rPr>
          <w:rFonts w:hint="eastAsia" w:ascii="宋体" w:hAnsi="宋体" w:cs="宋体"/>
          <w:bCs/>
        </w:rPr>
        <w:t>2、</w:t>
      </w:r>
      <w:r>
        <w:rPr>
          <w:rFonts w:hint="eastAsia" w:ascii="宋体" w:hAnsi="宋体" w:cs="宋体"/>
        </w:rPr>
        <w:t>对所提供的服务质量问题无条件负责处理；</w:t>
      </w:r>
    </w:p>
    <w:p w14:paraId="3F69F7F7">
      <w:pPr>
        <w:spacing w:line="360" w:lineRule="auto"/>
        <w:ind w:firstLine="514" w:firstLineChars="245"/>
        <w:rPr>
          <w:rFonts w:ascii="宋体" w:hAnsi="宋体" w:cs="宋体"/>
          <w:bCs/>
        </w:rPr>
      </w:pPr>
      <w:r>
        <w:rPr>
          <w:rFonts w:hint="eastAsia" w:ascii="宋体" w:hAnsi="宋体" w:cs="宋体"/>
          <w:bCs/>
        </w:rPr>
        <w:t>3、对甲方的需求调研结果、需求要点说明书、系统体系架构、涉及到的客户资料等以及其它甲方机密信息进行保密。</w:t>
      </w:r>
    </w:p>
    <w:p w14:paraId="554E7ABA">
      <w:pPr>
        <w:spacing w:line="360" w:lineRule="auto"/>
        <w:ind w:firstLine="514" w:firstLineChars="245"/>
      </w:pPr>
      <w:r>
        <w:rPr>
          <w:rFonts w:hint="eastAsia" w:ascii="宋体" w:hAnsi="宋体" w:cs="宋体"/>
          <w:bCs/>
        </w:rPr>
        <w:t>4、乙方应对系统中有可能发生故障的情况尽早作出提示，无论引起的责任是否在乙方，乙方均应配合甲方共同解决问题。</w:t>
      </w:r>
    </w:p>
    <w:p w14:paraId="0845BBD2">
      <w:pPr>
        <w:spacing w:line="360" w:lineRule="auto"/>
        <w:ind w:firstLine="517" w:firstLineChars="245"/>
        <w:rPr>
          <w:rFonts w:ascii="宋体" w:hAnsi="宋体" w:cs="宋体"/>
          <w:b/>
          <w:bCs/>
        </w:rPr>
      </w:pPr>
      <w:r>
        <w:rPr>
          <w:rFonts w:hint="eastAsia" w:ascii="宋体" w:hAnsi="宋体" w:cs="宋体"/>
          <w:b/>
          <w:bCs/>
        </w:rPr>
        <w:t>第三条、履约保证金</w:t>
      </w:r>
    </w:p>
    <w:p w14:paraId="1B9E4663">
      <w:pPr>
        <w:spacing w:line="360" w:lineRule="auto"/>
        <w:ind w:firstLine="514" w:firstLineChars="245"/>
        <w:rPr>
          <w:rFonts w:ascii="宋体" w:hAnsi="宋体" w:cs="宋体"/>
          <w:bCs/>
        </w:rPr>
      </w:pPr>
      <w:r>
        <w:rPr>
          <w:rFonts w:hint="eastAsia" w:ascii="宋体" w:hAnsi="宋体" w:cs="宋体"/>
          <w:bCs/>
        </w:rPr>
        <w:t>1、乙方必须在合同签订后5个工作日内向甲方支付合同总额5%的履约保证金（银行转账），甲方出具合同履约保证金收据；</w:t>
      </w:r>
    </w:p>
    <w:p w14:paraId="0B8DA12E">
      <w:pPr>
        <w:spacing w:line="360" w:lineRule="auto"/>
        <w:ind w:firstLine="514" w:firstLineChars="245"/>
        <w:rPr>
          <w:rFonts w:ascii="宋体" w:hAnsi="宋体" w:cs="宋体"/>
          <w:bCs/>
        </w:rPr>
      </w:pPr>
      <w:r>
        <w:rPr>
          <w:rFonts w:hint="eastAsia" w:ascii="宋体" w:hAnsi="宋体" w:cs="宋体"/>
          <w:bCs/>
        </w:rPr>
        <w:t>2、合同服务期结束并无质量问题后，甲方无息退还履约保证金；</w:t>
      </w:r>
    </w:p>
    <w:p w14:paraId="1BD10A48">
      <w:pPr>
        <w:spacing w:line="360" w:lineRule="auto"/>
        <w:ind w:firstLine="514" w:firstLineChars="245"/>
        <w:rPr>
          <w:rFonts w:ascii="宋体" w:hAnsi="宋体" w:cs="宋体"/>
          <w:bCs/>
        </w:rPr>
      </w:pPr>
      <w:r>
        <w:rPr>
          <w:rFonts w:hint="eastAsia" w:ascii="宋体" w:hAnsi="宋体" w:cs="宋体"/>
          <w:bCs/>
        </w:rPr>
        <w:t>3、乙方不能保质保量完成合同规定业务，除承担相关责任外，甲方可相应扣减合同履约保证金。</w:t>
      </w:r>
    </w:p>
    <w:p w14:paraId="5B2F4ECD">
      <w:pPr>
        <w:spacing w:line="360" w:lineRule="auto"/>
        <w:ind w:firstLine="517" w:firstLineChars="245"/>
        <w:rPr>
          <w:rFonts w:ascii="宋体" w:hAnsi="宋体" w:cs="宋体"/>
          <w:b/>
          <w:bCs/>
        </w:rPr>
      </w:pPr>
      <w:r>
        <w:rPr>
          <w:rFonts w:hint="eastAsia" w:ascii="宋体" w:hAnsi="宋体" w:cs="宋体"/>
          <w:b/>
          <w:bCs/>
        </w:rPr>
        <w:t>第四条 费用及付款方式</w:t>
      </w:r>
    </w:p>
    <w:p w14:paraId="5B9AC0F0">
      <w:pPr>
        <w:spacing w:line="360" w:lineRule="auto"/>
        <w:ind w:firstLine="514" w:firstLineChars="245"/>
        <w:rPr>
          <w:rFonts w:ascii="宋体" w:hAnsi="宋体" w:cs="宋体"/>
          <w:bCs/>
        </w:rPr>
      </w:pPr>
      <w:r>
        <w:rPr>
          <w:rFonts w:hint="eastAsia" w:ascii="宋体" w:hAnsi="宋体" w:cs="宋体"/>
          <w:bCs/>
        </w:rPr>
        <w:t>1、本合同实行固定费用总价包干，共计人民币</w:t>
      </w:r>
      <w:r>
        <w:rPr>
          <w:rFonts w:hint="eastAsia" w:ascii="宋体" w:hAnsi="宋体" w:cs="宋体"/>
          <w:bCs/>
          <w:u w:val="single"/>
        </w:rPr>
        <w:t xml:space="preserve">          </w:t>
      </w:r>
      <w:r>
        <w:rPr>
          <w:rFonts w:hint="eastAsia" w:ascii="宋体" w:hAnsi="宋体" w:cs="宋体"/>
          <w:bCs/>
        </w:rPr>
        <w:t>元（大写：</w:t>
      </w:r>
      <w:r>
        <w:rPr>
          <w:rFonts w:hint="eastAsia" w:ascii="宋体" w:hAnsi="宋体" w:cs="宋体"/>
          <w:bCs/>
          <w:u w:val="single"/>
        </w:rPr>
        <w:t xml:space="preserve">          </w:t>
      </w:r>
      <w:r>
        <w:rPr>
          <w:rFonts w:hint="eastAsia" w:ascii="宋体" w:hAnsi="宋体" w:cs="宋体"/>
          <w:bCs/>
        </w:rPr>
        <w:t>）。</w:t>
      </w:r>
    </w:p>
    <w:p w14:paraId="07A8C3AA">
      <w:pPr>
        <w:spacing w:line="360" w:lineRule="auto"/>
        <w:ind w:firstLine="514" w:firstLineChars="245"/>
        <w:rPr>
          <w:rFonts w:ascii="宋体" w:hAnsi="宋体" w:cs="宋体"/>
          <w:bCs/>
        </w:rPr>
      </w:pPr>
      <w:r>
        <w:rPr>
          <w:rFonts w:hint="eastAsia" w:ascii="宋体" w:hAnsi="宋体" w:cs="宋体"/>
          <w:bCs/>
        </w:rPr>
        <w:t>2、付款方式：</w:t>
      </w:r>
    </w:p>
    <w:p w14:paraId="3DA3342C">
      <w:pPr>
        <w:spacing w:line="360" w:lineRule="auto"/>
        <w:ind w:firstLine="514" w:firstLineChars="245"/>
        <w:rPr>
          <w:rFonts w:ascii="宋体" w:hAnsi="宋体" w:cs="宋体"/>
          <w:bCs/>
        </w:rPr>
      </w:pPr>
      <w:r>
        <w:rPr>
          <w:rFonts w:hint="eastAsia" w:ascii="宋体" w:hAnsi="宋体" w:cs="宋体"/>
          <w:bCs/>
        </w:rPr>
        <w:t>（1）合同签订后，甲方收到增值税专用发票后15日内，向乙方支付合同总价</w:t>
      </w:r>
      <w:r>
        <w:rPr>
          <w:rFonts w:hint="eastAsia" w:ascii="宋体" w:hAnsi="宋体" w:cs="宋体"/>
          <w:bCs/>
          <w:lang w:val="en-US" w:eastAsia="zh-CN"/>
        </w:rPr>
        <w:t>4</w:t>
      </w:r>
      <w:r>
        <w:rPr>
          <w:rFonts w:hint="eastAsia" w:ascii="宋体" w:hAnsi="宋体" w:cs="宋体"/>
          <w:bCs/>
        </w:rPr>
        <w:t>5%的预付款。</w:t>
      </w:r>
    </w:p>
    <w:p w14:paraId="6C344F6A">
      <w:pPr>
        <w:spacing w:line="360" w:lineRule="auto"/>
        <w:ind w:firstLine="514" w:firstLineChars="245"/>
        <w:rPr>
          <w:rFonts w:ascii="宋体" w:hAnsi="宋体" w:cs="宋体"/>
          <w:bCs/>
        </w:rPr>
      </w:pPr>
      <w:r>
        <w:rPr>
          <w:rFonts w:hint="eastAsia" w:ascii="宋体" w:hAnsi="宋体" w:cs="宋体"/>
          <w:bCs/>
        </w:rPr>
        <w:t>（</w:t>
      </w:r>
      <w:r>
        <w:rPr>
          <w:rFonts w:hint="eastAsia" w:ascii="宋体" w:hAnsi="宋体" w:cs="宋体"/>
          <w:bCs/>
          <w:lang w:val="en-US" w:eastAsia="zh-CN"/>
        </w:rPr>
        <w:t>2</w:t>
      </w:r>
      <w:r>
        <w:rPr>
          <w:rFonts w:hint="eastAsia" w:ascii="宋体" w:hAnsi="宋体" w:cs="宋体"/>
          <w:bCs/>
        </w:rPr>
        <w:t>）设备到货、调试完毕并出具设备到货单</w:t>
      </w:r>
      <w:r>
        <w:rPr>
          <w:rFonts w:hint="eastAsia" w:ascii="宋体" w:hAnsi="宋体" w:cs="宋体"/>
          <w:bCs/>
          <w:lang w:eastAsia="zh-CN"/>
        </w:rPr>
        <w:t>、</w:t>
      </w:r>
      <w:r>
        <w:rPr>
          <w:rFonts w:hint="eastAsia" w:ascii="宋体" w:hAnsi="宋体" w:cs="宋体"/>
          <w:bCs/>
        </w:rPr>
        <w:t>项目正式验收并出具项目终验报告后，甲方收到增值税专用发票后15日内，向乙方合同总价</w:t>
      </w:r>
      <w:r>
        <w:rPr>
          <w:rFonts w:hint="eastAsia" w:ascii="宋体" w:hAnsi="宋体" w:cs="宋体"/>
          <w:bCs/>
          <w:lang w:val="en-US" w:eastAsia="zh-CN"/>
        </w:rPr>
        <w:t>5</w:t>
      </w:r>
      <w:r>
        <w:rPr>
          <w:rFonts w:hint="eastAsia" w:ascii="宋体" w:hAnsi="宋体" w:cs="宋体"/>
          <w:bCs/>
        </w:rPr>
        <w:t>5%的款项。</w:t>
      </w:r>
    </w:p>
    <w:p w14:paraId="55E7C4D7">
      <w:pPr>
        <w:spacing w:line="360" w:lineRule="auto"/>
        <w:ind w:firstLine="514" w:firstLineChars="245"/>
        <w:rPr>
          <w:rFonts w:ascii="宋体" w:hAnsi="宋体" w:cs="宋体"/>
          <w:bCs/>
        </w:rPr>
      </w:pPr>
      <w:r>
        <w:rPr>
          <w:rFonts w:hint="eastAsia" w:ascii="宋体" w:hAnsi="宋体" w:cs="宋体"/>
          <w:bCs/>
        </w:rPr>
        <w:t>（</w:t>
      </w:r>
      <w:r>
        <w:rPr>
          <w:rFonts w:hint="eastAsia" w:ascii="宋体" w:hAnsi="宋体" w:cs="宋体"/>
          <w:bCs/>
          <w:lang w:val="en-US" w:eastAsia="zh-CN"/>
        </w:rPr>
        <w:t>3</w:t>
      </w:r>
      <w:r>
        <w:rPr>
          <w:rFonts w:hint="eastAsia" w:ascii="宋体" w:hAnsi="宋体" w:cs="宋体"/>
          <w:bCs/>
        </w:rPr>
        <w:t>）履约保证金在项目验收合格后自动转为质量保证金，在承诺的免费维护期满后，所有系统运行中出现的质量问题均处理好，且经甲方认可后15个工作日内，履约保证金一次性无息支付给乙方。</w:t>
      </w:r>
    </w:p>
    <w:p w14:paraId="3EE21ED6">
      <w:pPr>
        <w:spacing w:line="360" w:lineRule="auto"/>
        <w:ind w:firstLine="514" w:firstLineChars="245"/>
        <w:rPr>
          <w:rFonts w:ascii="宋体" w:hAnsi="宋体" w:cs="宋体"/>
          <w:bCs/>
        </w:rPr>
      </w:pPr>
      <w:r>
        <w:rPr>
          <w:rFonts w:hint="eastAsia" w:ascii="宋体" w:hAnsi="宋体" w:cs="宋体"/>
          <w:bCs/>
        </w:rPr>
        <w:t>3、发票税率：由乙方承担。</w:t>
      </w:r>
    </w:p>
    <w:p w14:paraId="3B713359">
      <w:pPr>
        <w:spacing w:line="360" w:lineRule="auto"/>
        <w:ind w:firstLine="514" w:firstLineChars="245"/>
        <w:rPr>
          <w:rFonts w:ascii="宋体" w:hAnsi="宋体" w:cs="宋体"/>
          <w:bCs/>
        </w:rPr>
      </w:pPr>
      <w:r>
        <w:rPr>
          <w:rFonts w:hint="eastAsia" w:ascii="宋体" w:hAnsi="宋体" w:cs="宋体"/>
          <w:bCs/>
        </w:rPr>
        <w:t>4、乙方开户银行名称、地址和帐号</w:t>
      </w:r>
    </w:p>
    <w:p w14:paraId="351666B5">
      <w:pPr>
        <w:spacing w:line="360" w:lineRule="auto"/>
        <w:ind w:firstLine="514" w:firstLineChars="245"/>
        <w:rPr>
          <w:rFonts w:ascii="宋体" w:hAnsi="宋体" w:cs="宋体"/>
          <w:bCs/>
          <w:u w:val="single"/>
        </w:rPr>
      </w:pPr>
      <w:r>
        <w:rPr>
          <w:rFonts w:hint="eastAsia" w:ascii="宋体" w:hAnsi="宋体" w:cs="宋体"/>
          <w:bCs/>
        </w:rPr>
        <w:t>开户银行：</w:t>
      </w:r>
      <w:r>
        <w:rPr>
          <w:rFonts w:hint="eastAsia" w:ascii="宋体" w:hAnsi="宋体" w:cs="宋体"/>
          <w:bCs/>
          <w:u w:val="single"/>
        </w:rPr>
        <w:t xml:space="preserve">                                          </w:t>
      </w:r>
    </w:p>
    <w:p w14:paraId="304474C3">
      <w:pPr>
        <w:spacing w:line="360" w:lineRule="auto"/>
        <w:ind w:firstLine="514" w:firstLineChars="245"/>
        <w:rPr>
          <w:rFonts w:ascii="宋体" w:hAnsi="宋体" w:cs="宋体"/>
          <w:bCs/>
          <w:u w:val="single"/>
        </w:rPr>
      </w:pPr>
      <w:r>
        <w:rPr>
          <w:rFonts w:hint="eastAsia" w:ascii="宋体" w:hAnsi="宋体" w:cs="宋体"/>
          <w:bCs/>
        </w:rPr>
        <w:t>地址：</w:t>
      </w:r>
      <w:r>
        <w:rPr>
          <w:rFonts w:hint="eastAsia" w:ascii="宋体" w:hAnsi="宋体" w:cs="宋体"/>
          <w:bCs/>
          <w:u w:val="single"/>
        </w:rPr>
        <w:t xml:space="preserve">                                              </w:t>
      </w:r>
    </w:p>
    <w:p w14:paraId="16AD2C14">
      <w:pPr>
        <w:spacing w:line="360" w:lineRule="auto"/>
        <w:ind w:firstLine="514" w:firstLineChars="245"/>
      </w:pPr>
      <w:r>
        <w:rPr>
          <w:rFonts w:hint="eastAsia" w:ascii="宋体" w:hAnsi="宋体" w:cs="宋体"/>
          <w:bCs/>
        </w:rPr>
        <w:t>帐号：</w:t>
      </w:r>
      <w:r>
        <w:rPr>
          <w:rFonts w:hint="eastAsia" w:ascii="宋体" w:hAnsi="宋体" w:cs="宋体"/>
          <w:bCs/>
          <w:u w:val="single"/>
        </w:rPr>
        <w:t xml:space="preserve">                                              </w:t>
      </w:r>
    </w:p>
    <w:p w14:paraId="6B6194CD">
      <w:pPr>
        <w:spacing w:line="360" w:lineRule="auto"/>
        <w:ind w:firstLine="517" w:firstLineChars="245"/>
        <w:rPr>
          <w:rFonts w:ascii="宋体" w:hAnsi="宋体" w:cs="宋体"/>
          <w:b/>
          <w:bCs/>
        </w:rPr>
      </w:pPr>
      <w:r>
        <w:rPr>
          <w:rFonts w:hint="eastAsia" w:ascii="宋体" w:hAnsi="宋体" w:cs="宋体"/>
          <w:b/>
          <w:bCs/>
        </w:rPr>
        <w:t>第五条 工期</w:t>
      </w:r>
    </w:p>
    <w:p w14:paraId="1EB5D704">
      <w:pPr>
        <w:spacing w:line="360" w:lineRule="auto"/>
        <w:ind w:firstLine="514" w:firstLineChars="245"/>
        <w:rPr>
          <w:rFonts w:ascii="宋体" w:hAnsi="宋体" w:cs="宋体"/>
        </w:rPr>
      </w:pPr>
      <w:r>
        <w:rPr>
          <w:rFonts w:hint="eastAsia" w:ascii="宋体" w:hAnsi="宋体" w:cs="宋体"/>
          <w:bCs/>
        </w:rPr>
        <w:t>合同签订后</w:t>
      </w:r>
      <w:r>
        <w:rPr>
          <w:rFonts w:ascii="宋体" w:hAnsi="宋体" w:cs="宋体"/>
          <w:bCs/>
        </w:rPr>
        <w:t>15</w:t>
      </w:r>
      <w:r>
        <w:rPr>
          <w:rFonts w:hint="eastAsia" w:ascii="宋体" w:hAnsi="宋体" w:cs="宋体"/>
          <w:bCs/>
        </w:rPr>
        <w:t>个日历天内完成供货。</w:t>
      </w:r>
    </w:p>
    <w:p w14:paraId="314FDE43">
      <w:pPr>
        <w:spacing w:line="360" w:lineRule="auto"/>
        <w:ind w:firstLine="517" w:firstLineChars="245"/>
        <w:rPr>
          <w:rFonts w:ascii="宋体" w:hAnsi="宋体" w:cs="宋体"/>
          <w:b/>
        </w:rPr>
      </w:pPr>
      <w:r>
        <w:rPr>
          <w:rFonts w:hint="eastAsia" w:ascii="宋体" w:hAnsi="宋体" w:cs="宋体"/>
          <w:b/>
          <w:bCs/>
        </w:rPr>
        <w:t xml:space="preserve">第六条 </w:t>
      </w:r>
      <w:r>
        <w:rPr>
          <w:rFonts w:hint="eastAsia" w:ascii="宋体" w:hAnsi="宋体" w:cs="宋体"/>
          <w:b/>
        </w:rPr>
        <w:t>技术资料</w:t>
      </w:r>
    </w:p>
    <w:p w14:paraId="1C11FA9C">
      <w:pPr>
        <w:adjustRightInd w:val="0"/>
        <w:spacing w:line="360" w:lineRule="auto"/>
        <w:ind w:firstLine="630" w:firstLineChars="300"/>
        <w:rPr>
          <w:rFonts w:ascii="宋体" w:hAnsi="宋体" w:cs="宋体"/>
          <w:szCs w:val="21"/>
        </w:rPr>
      </w:pPr>
      <w:r>
        <w:rPr>
          <w:rFonts w:hint="eastAsia" w:ascii="宋体" w:hAnsi="宋体" w:cs="宋体"/>
          <w:szCs w:val="21"/>
        </w:rPr>
        <w:t>1、乙方应按招标文件规定的时间向甲方提供使用货物的有关技术资料。</w:t>
      </w:r>
    </w:p>
    <w:p w14:paraId="6FB19909">
      <w:pPr>
        <w:spacing w:line="360" w:lineRule="auto"/>
        <w:ind w:firstLine="630" w:firstLineChars="300"/>
        <w:rPr>
          <w:rFonts w:ascii="宋体" w:hAnsi="宋体" w:cs="宋体"/>
          <w:szCs w:val="21"/>
        </w:rPr>
      </w:pPr>
      <w:r>
        <w:rPr>
          <w:rFonts w:hint="eastAsia" w:ascii="宋体" w:hAnsi="宋体" w:cs="宋体"/>
          <w:szCs w:val="21"/>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7857B45C">
      <w:pPr>
        <w:spacing w:line="360" w:lineRule="auto"/>
        <w:ind w:firstLine="517" w:firstLineChars="245"/>
        <w:rPr>
          <w:rFonts w:ascii="宋体" w:hAnsi="宋体" w:cs="宋体"/>
          <w:b/>
          <w:bCs/>
        </w:rPr>
      </w:pPr>
      <w:r>
        <w:rPr>
          <w:rFonts w:hint="eastAsia" w:ascii="宋体" w:hAnsi="宋体" w:cs="宋体"/>
          <w:b/>
          <w:bCs/>
        </w:rPr>
        <w:t>第七条 知识产权</w:t>
      </w:r>
    </w:p>
    <w:p w14:paraId="63BCCDF8">
      <w:pPr>
        <w:spacing w:line="360" w:lineRule="auto"/>
        <w:ind w:firstLine="514" w:firstLineChars="245"/>
        <w:rPr>
          <w:rFonts w:ascii="宋体" w:hAnsi="宋体" w:cs="宋体"/>
        </w:rPr>
      </w:pPr>
      <w:r>
        <w:rPr>
          <w:rFonts w:hint="eastAsia" w:ascii="宋体" w:hAnsi="宋体" w:cs="宋体"/>
          <w:szCs w:val="21"/>
        </w:rPr>
        <w:t>乙方应保证所提供的货物或其任何一部分均不会侵犯任何第三方的知识产权。</w:t>
      </w:r>
    </w:p>
    <w:p w14:paraId="15B5C9AF">
      <w:pPr>
        <w:spacing w:line="360" w:lineRule="auto"/>
        <w:ind w:firstLine="517" w:firstLineChars="245"/>
        <w:rPr>
          <w:rFonts w:ascii="宋体" w:hAnsi="宋体" w:cs="宋体"/>
          <w:b/>
          <w:bCs/>
        </w:rPr>
      </w:pPr>
      <w:r>
        <w:rPr>
          <w:rFonts w:hint="eastAsia" w:ascii="宋体" w:hAnsi="宋体" w:cs="宋体"/>
          <w:b/>
          <w:bCs/>
        </w:rPr>
        <w:t>第八条 免费维护期</w:t>
      </w:r>
    </w:p>
    <w:p w14:paraId="02C77CC6">
      <w:pPr>
        <w:spacing w:line="360" w:lineRule="auto"/>
        <w:ind w:firstLine="514" w:firstLineChars="245"/>
        <w:rPr>
          <w:rFonts w:ascii="宋体" w:hAnsi="宋体" w:cs="宋体"/>
        </w:rPr>
      </w:pPr>
      <w:r>
        <w:rPr>
          <w:rFonts w:hint="eastAsia" w:ascii="宋体" w:hAnsi="宋体" w:cs="宋体"/>
        </w:rPr>
        <w:t>免费维护期3年，自项目正式验收通过之日起。</w:t>
      </w:r>
    </w:p>
    <w:p w14:paraId="347F9FFE">
      <w:pPr>
        <w:pStyle w:val="3"/>
        <w:spacing w:after="0" w:line="360" w:lineRule="auto"/>
        <w:ind w:firstLine="211"/>
        <w:rPr>
          <w:rFonts w:ascii="宋体" w:hAnsi="宋体" w:cs="宋体"/>
        </w:rPr>
      </w:pPr>
      <w:r>
        <w:rPr>
          <w:rFonts w:hint="eastAsia" w:ascii="宋体" w:hAnsi="宋体" w:cs="宋体"/>
          <w:b/>
          <w:bCs/>
        </w:rPr>
        <w:t xml:space="preserve">   第九条 质量保证及售后服务</w:t>
      </w:r>
    </w:p>
    <w:p w14:paraId="426DE454">
      <w:pPr>
        <w:spacing w:line="360" w:lineRule="auto"/>
        <w:ind w:firstLine="514" w:firstLineChars="245"/>
        <w:rPr>
          <w:rFonts w:ascii="宋体" w:hAnsi="宋体" w:cs="宋体"/>
        </w:rPr>
      </w:pPr>
      <w:r>
        <w:rPr>
          <w:rFonts w:hint="eastAsia" w:ascii="宋体" w:hAnsi="宋体" w:cs="宋体"/>
        </w:rPr>
        <w:t>1、乙方应按投标文件承诺的货物性能、技术要求、质量标准向甲方提供未经使用的全新产品。乙方应保证所提供的服务经正常运行和保养，在合同期内应具有使甲方满意的性能，并且确保一次性通过各项检验和测试。在质保期内，乙方应对由于设计、工艺、材料和配套件的缺陷所产生的任何不足或故障负责。</w:t>
      </w:r>
    </w:p>
    <w:p w14:paraId="3215A306">
      <w:pPr>
        <w:spacing w:line="360" w:lineRule="auto"/>
        <w:ind w:firstLine="514" w:firstLineChars="245"/>
        <w:rPr>
          <w:rFonts w:ascii="宋体" w:hAnsi="宋体" w:cs="宋体"/>
        </w:rPr>
      </w:pPr>
      <w:r>
        <w:rPr>
          <w:rFonts w:hint="eastAsia" w:ascii="宋体" w:hAnsi="宋体" w:cs="宋体"/>
        </w:rPr>
        <w:t>2、根据甲方按检验标准检验的结果或当地质检部门检验的结果，或者在质量保证期内，如果服务的数量、质量或规格与合同不符，或证实服务是有缺陷的，包括潜在的缺陷或使用不符合要求的参数等，甲方应尽快以书面形式通知乙方，提出索赔。</w:t>
      </w:r>
    </w:p>
    <w:p w14:paraId="77FE7B33">
      <w:pPr>
        <w:spacing w:line="360" w:lineRule="auto"/>
        <w:ind w:firstLine="514" w:firstLineChars="245"/>
        <w:rPr>
          <w:rFonts w:ascii="宋体" w:hAnsi="宋体" w:cs="宋体"/>
        </w:rPr>
      </w:pPr>
      <w:r>
        <w:rPr>
          <w:rFonts w:hint="eastAsia" w:ascii="宋体" w:hAnsi="宋体" w:cs="宋体"/>
        </w:rPr>
        <w:t>3、质保期内包含系统调试、质量保证、实施维护、现场支撑以及保修，所产生的相关费用由乙方承担，合同内的所有服务要求乙方提供上门服务或者线上服务。</w:t>
      </w:r>
    </w:p>
    <w:p w14:paraId="6A8A13E5">
      <w:pPr>
        <w:spacing w:line="360" w:lineRule="auto"/>
        <w:ind w:firstLine="517" w:firstLineChars="245"/>
        <w:rPr>
          <w:rFonts w:ascii="宋体" w:hAnsi="宋体" w:cs="宋体"/>
          <w:b/>
          <w:bCs/>
        </w:rPr>
      </w:pPr>
      <w:r>
        <w:rPr>
          <w:rFonts w:hint="eastAsia" w:ascii="宋体" w:hAnsi="宋体" w:cs="宋体"/>
          <w:b/>
          <w:bCs/>
        </w:rPr>
        <w:t>第十条 设备到货与调试</w:t>
      </w:r>
    </w:p>
    <w:p w14:paraId="325ECDE8">
      <w:pPr>
        <w:spacing w:line="360" w:lineRule="auto"/>
        <w:ind w:firstLine="514" w:firstLineChars="245"/>
        <w:rPr>
          <w:rFonts w:ascii="宋体" w:hAnsi="宋体" w:cs="宋体"/>
          <w:bCs/>
        </w:rPr>
      </w:pPr>
      <w:r>
        <w:rPr>
          <w:rFonts w:hint="eastAsia" w:ascii="宋体" w:hAnsi="宋体" w:cs="宋体"/>
          <w:bCs/>
        </w:rPr>
        <w:t>1．甲方对乙方提交的货物依据招标文件上的技术规格要求、乙方投标时的技术响应承诺和国家有关质量标准进行现场初步验收，外观、说明书符合招标文件技术要求和投标技术响应的，给予签收，不合格的货物不予签收。货到后，甲方需在五个工作日内出具设备到货单。</w:t>
      </w:r>
    </w:p>
    <w:p w14:paraId="20D84E97">
      <w:pPr>
        <w:spacing w:line="360" w:lineRule="auto"/>
        <w:ind w:firstLine="514" w:firstLineChars="245"/>
        <w:rPr>
          <w:rFonts w:ascii="宋体" w:hAnsi="宋体" w:cs="宋体"/>
          <w:bCs/>
        </w:rPr>
      </w:pPr>
      <w:r>
        <w:rPr>
          <w:rFonts w:hint="eastAsia" w:ascii="宋体" w:hAnsi="宋体" w:cs="宋体"/>
          <w:bCs/>
        </w:rPr>
        <w:t>2．乙方交货前应对产品作出全面检查和对验收文件进行整理，并列出清单，作为甲方收货验收和使用的技术条件依据，检验的结果应随货物交甲方。</w:t>
      </w:r>
    </w:p>
    <w:p w14:paraId="498FEC9E">
      <w:pPr>
        <w:spacing w:line="360" w:lineRule="auto"/>
        <w:ind w:firstLine="514" w:firstLineChars="245"/>
        <w:rPr>
          <w:rFonts w:ascii="宋体" w:hAnsi="宋体" w:cs="宋体"/>
          <w:bCs/>
        </w:rPr>
      </w:pPr>
      <w:r>
        <w:rPr>
          <w:rFonts w:hint="eastAsia" w:ascii="宋体" w:hAnsi="宋体" w:cs="宋体"/>
          <w:bCs/>
        </w:rPr>
        <w:t>3．甲方对乙方提供的货物在使用前进行调试时，乙方需负责安装并培训甲方的使用操作人员，并协助甲方一起调试，直到符合技术要求。</w:t>
      </w:r>
    </w:p>
    <w:p w14:paraId="696B0F17">
      <w:pPr>
        <w:spacing w:line="360" w:lineRule="auto"/>
        <w:ind w:firstLine="514" w:firstLineChars="245"/>
        <w:rPr>
          <w:rFonts w:ascii="宋体" w:hAnsi="宋体" w:cs="宋体"/>
          <w:bCs/>
        </w:rPr>
      </w:pPr>
      <w:r>
        <w:rPr>
          <w:rFonts w:hint="eastAsia" w:ascii="宋体" w:hAnsi="宋体" w:cs="宋体"/>
          <w:bCs/>
        </w:rPr>
        <w:t>4．甲方有权对项目内的产品及设备对照招标参数要求及投标文件设备技术响应参数进行检测。由双方共同认可的有资质的第三方检测机构（或采购监管部门指定的检测机构）进行检测，检测合格的，检测费用由甲方支付。如检测结果不符合国家相关标准或投标文件中的技术性能承诺的，检测费用由乙方支付。</w:t>
      </w:r>
    </w:p>
    <w:p w14:paraId="4780EA3C">
      <w:pPr>
        <w:spacing w:line="360" w:lineRule="auto"/>
        <w:ind w:firstLine="517" w:firstLineChars="245"/>
        <w:rPr>
          <w:rFonts w:ascii="宋体" w:hAnsi="宋体" w:cs="宋体"/>
          <w:b/>
          <w:bCs/>
        </w:rPr>
      </w:pPr>
      <w:r>
        <w:rPr>
          <w:rFonts w:hint="eastAsia" w:ascii="宋体" w:hAnsi="宋体" w:cs="宋体"/>
          <w:b/>
          <w:bCs/>
        </w:rPr>
        <w:t>第十一条 验收</w:t>
      </w:r>
    </w:p>
    <w:p w14:paraId="7B99452A">
      <w:pPr>
        <w:spacing w:line="360" w:lineRule="auto"/>
        <w:ind w:firstLine="514" w:firstLineChars="245"/>
        <w:rPr>
          <w:rFonts w:ascii="宋体" w:hAnsi="宋体" w:cs="宋体"/>
          <w:bCs/>
        </w:rPr>
      </w:pPr>
      <w:r>
        <w:rPr>
          <w:rFonts w:hint="eastAsia" w:ascii="宋体" w:hAnsi="宋体" w:cs="宋体"/>
          <w:bCs/>
        </w:rPr>
        <w:t>1．乙方在</w:t>
      </w:r>
      <w:r>
        <w:rPr>
          <w:rFonts w:ascii="宋体" w:hAnsi="宋体" w:cs="宋体"/>
          <w:bCs/>
        </w:rPr>
        <w:t>1</w:t>
      </w:r>
      <w:r>
        <w:rPr>
          <w:rFonts w:hint="eastAsia" w:ascii="宋体" w:hAnsi="宋体" w:cs="宋体"/>
          <w:bCs/>
        </w:rPr>
        <w:t>个月内完成设备到货、安装、调试使用和软件安装调试使用，提供软件正式授权证书，经测试运行及培训，并通过甲方组织初步验收确认合格，投入试运行。</w:t>
      </w:r>
    </w:p>
    <w:p w14:paraId="35CF1509">
      <w:pPr>
        <w:spacing w:line="360" w:lineRule="auto"/>
        <w:ind w:firstLine="514" w:firstLineChars="245"/>
      </w:pPr>
      <w:r>
        <w:rPr>
          <w:rFonts w:hint="eastAsia" w:ascii="宋体" w:hAnsi="宋体" w:cs="宋体"/>
          <w:bCs/>
        </w:rPr>
        <w:t>2.投入试运行后须正常运行</w:t>
      </w:r>
      <w:r>
        <w:rPr>
          <w:rFonts w:ascii="宋体" w:hAnsi="宋体" w:cs="宋体"/>
          <w:bCs/>
        </w:rPr>
        <w:t>1</w:t>
      </w:r>
      <w:r>
        <w:rPr>
          <w:rFonts w:hint="eastAsia" w:ascii="宋体" w:hAnsi="宋体" w:cs="宋体"/>
          <w:bCs/>
        </w:rPr>
        <w:t>个月，该正常试运行期满后由甲方组织正式验收，乙方须按照正式验收的要求提供本合同甲方要求建设的内容、建设过程中产生的所有技术资料、过程管理资料等供甲方验收。</w:t>
      </w:r>
    </w:p>
    <w:p w14:paraId="609037E0">
      <w:pPr>
        <w:spacing w:line="360" w:lineRule="auto"/>
        <w:ind w:firstLine="514" w:firstLineChars="245"/>
        <w:rPr>
          <w:rFonts w:ascii="宋体" w:hAnsi="宋体" w:cs="宋体"/>
          <w:b/>
          <w:bCs/>
        </w:rPr>
      </w:pPr>
      <w:r>
        <w:rPr>
          <w:rFonts w:hint="eastAsia" w:ascii="宋体" w:hAnsi="宋体" w:cs="宋体"/>
          <w:bCs/>
        </w:rPr>
        <w:t>3.验收时乙方必须在现场，验收完毕后作出验收结果报告；验收费用由乙方负责。</w:t>
      </w:r>
    </w:p>
    <w:p w14:paraId="19BF614D">
      <w:pPr>
        <w:spacing w:line="360" w:lineRule="auto"/>
        <w:ind w:firstLine="517" w:firstLineChars="245"/>
        <w:rPr>
          <w:rFonts w:ascii="宋体" w:hAnsi="宋体" w:cs="宋体"/>
          <w:b/>
          <w:bCs/>
        </w:rPr>
      </w:pPr>
      <w:r>
        <w:rPr>
          <w:rFonts w:hint="eastAsia" w:ascii="宋体" w:hAnsi="宋体" w:cs="宋体"/>
          <w:b/>
          <w:bCs/>
        </w:rPr>
        <w:t>第十二条 争议解决</w:t>
      </w:r>
    </w:p>
    <w:p w14:paraId="34C467B2">
      <w:pPr>
        <w:spacing w:line="360" w:lineRule="auto"/>
        <w:ind w:firstLine="514" w:firstLineChars="245"/>
        <w:rPr>
          <w:rFonts w:ascii="宋体" w:hAnsi="宋体" w:cs="宋体"/>
          <w:bCs/>
        </w:rPr>
      </w:pPr>
      <w:r>
        <w:rPr>
          <w:rFonts w:hint="eastAsia" w:ascii="宋体" w:hAnsi="宋体" w:cs="宋体"/>
          <w:bCs/>
        </w:rPr>
        <w:t>因本合同引起的或与本合同有关的任何争议，先由双方协商解决；如经协商仍无法解决的，提请温州仲裁委员会仲裁。</w:t>
      </w:r>
      <w:r>
        <w:rPr>
          <w:rFonts w:hint="eastAsia" w:ascii="宋体" w:hAnsi="宋体" w:cs="宋体"/>
        </w:rPr>
        <w:t>仲裁费用除仲裁机构另行有裁决外，由败诉方承担。</w:t>
      </w:r>
    </w:p>
    <w:p w14:paraId="78C4358F">
      <w:pPr>
        <w:spacing w:line="360" w:lineRule="auto"/>
        <w:ind w:firstLine="517" w:firstLineChars="245"/>
        <w:rPr>
          <w:rFonts w:ascii="宋体" w:hAnsi="宋体" w:cs="宋体"/>
          <w:b/>
          <w:bCs/>
        </w:rPr>
      </w:pPr>
      <w:r>
        <w:rPr>
          <w:rFonts w:hint="eastAsia" w:ascii="宋体" w:hAnsi="宋体" w:cs="宋体"/>
          <w:b/>
          <w:bCs/>
        </w:rPr>
        <w:t>第十三条 违约责任</w:t>
      </w:r>
    </w:p>
    <w:p w14:paraId="60EEA93E">
      <w:pPr>
        <w:spacing w:line="360" w:lineRule="auto"/>
        <w:ind w:firstLine="514" w:firstLineChars="245"/>
        <w:rPr>
          <w:rFonts w:ascii="宋体" w:hAnsi="宋体" w:cs="宋体"/>
        </w:rPr>
      </w:pPr>
      <w:r>
        <w:rPr>
          <w:rFonts w:hint="eastAsia" w:ascii="宋体" w:hAnsi="宋体" w:cs="宋体"/>
        </w:rPr>
        <w:t>1、除不可抗力外，</w:t>
      </w:r>
      <w:r>
        <w:rPr>
          <w:rFonts w:hint="eastAsia" w:ascii="宋体" w:hAnsi="宋体" w:cs="宋体"/>
          <w:bCs/>
        </w:rPr>
        <w:t>如果乙方没有按照甲方要求的时间提供服务</w:t>
      </w:r>
      <w:r>
        <w:rPr>
          <w:rFonts w:hint="eastAsia" w:ascii="宋体" w:hAnsi="宋体" w:cs="宋体"/>
        </w:rPr>
        <w:t>，每延误一天的赔偿费按迟交设备交货价或未提供服务的服务费用的百分之零点二计收，直至交货或提供服务为止。误期赔偿费最高限额为合同价的百分之十。一旦延到误期赔偿费的最高限额，</w:t>
      </w:r>
      <w:r>
        <w:rPr>
          <w:rFonts w:hint="eastAsia" w:ascii="宋体" w:hAnsi="宋体" w:cs="宋体"/>
          <w:bCs/>
        </w:rPr>
        <w:t>甲方有权解除合同</w:t>
      </w:r>
      <w:r>
        <w:rPr>
          <w:rFonts w:hint="eastAsia" w:ascii="宋体" w:hAnsi="宋体" w:cs="宋体"/>
        </w:rPr>
        <w:t>。</w:t>
      </w:r>
      <w:r>
        <w:rPr>
          <w:rFonts w:hint="eastAsia" w:ascii="宋体" w:hAnsi="宋体" w:cs="宋体"/>
          <w:bCs/>
        </w:rPr>
        <w:t>同时乙方需退还从延误工作之日起至合同服务期届满之日止的合同相应金额，并甲方有权没收履约保证金</w:t>
      </w:r>
      <w:r>
        <w:rPr>
          <w:rFonts w:hint="eastAsia" w:ascii="宋体" w:hAnsi="宋体" w:cs="宋体"/>
        </w:rPr>
        <w:t>。</w:t>
      </w:r>
    </w:p>
    <w:p w14:paraId="42F7E507">
      <w:pPr>
        <w:spacing w:line="360" w:lineRule="auto"/>
        <w:ind w:firstLine="514" w:firstLineChars="245"/>
        <w:rPr>
          <w:rFonts w:ascii="宋体" w:hAnsi="宋体" w:cs="宋体"/>
        </w:rPr>
      </w:pPr>
      <w:r>
        <w:rPr>
          <w:rFonts w:hint="eastAsia" w:ascii="宋体" w:hAnsi="宋体" w:cs="宋体"/>
        </w:rPr>
        <w:t>2、违约解除合同情形：</w:t>
      </w:r>
    </w:p>
    <w:p w14:paraId="705FEEF1">
      <w:pPr>
        <w:spacing w:line="360" w:lineRule="auto"/>
        <w:ind w:firstLine="514" w:firstLineChars="245"/>
        <w:rPr>
          <w:rFonts w:ascii="宋体" w:hAnsi="宋体" w:cs="宋体"/>
        </w:rPr>
      </w:pPr>
      <w:r>
        <w:rPr>
          <w:rFonts w:hint="eastAsia" w:ascii="宋体" w:hAnsi="宋体" w:cs="宋体"/>
        </w:rPr>
        <w:t>（1）甲方在乙方违约的情况下，如果发生下列情况之一，可考虑解除部分或全部合同：</w:t>
      </w:r>
    </w:p>
    <w:p w14:paraId="58369A5E">
      <w:pPr>
        <w:spacing w:line="360" w:lineRule="auto"/>
        <w:ind w:firstLine="514" w:firstLineChars="245"/>
        <w:rPr>
          <w:rFonts w:ascii="宋体" w:hAnsi="宋体" w:cs="宋体"/>
        </w:rPr>
      </w:pPr>
      <w:r>
        <w:rPr>
          <w:rFonts w:hint="eastAsia" w:ascii="宋体" w:hAnsi="宋体" w:cs="宋体"/>
        </w:rPr>
        <w:t>①乙方未能在合同规定的期限内或甲方同意延长的期限内提供全部或部分服务；</w:t>
      </w:r>
    </w:p>
    <w:p w14:paraId="6ACE6C3E">
      <w:pPr>
        <w:spacing w:line="360" w:lineRule="auto"/>
        <w:ind w:firstLine="514" w:firstLineChars="245"/>
        <w:rPr>
          <w:rFonts w:ascii="宋体" w:hAnsi="宋体" w:cs="宋体"/>
        </w:rPr>
      </w:pPr>
      <w:r>
        <w:rPr>
          <w:rFonts w:hint="eastAsia" w:ascii="宋体" w:hAnsi="宋体" w:cs="宋体"/>
        </w:rPr>
        <w:t>②乙方未能履行合同规定的其他任何义务。乙方在收到甲方发出的违约通知后30天内，或经甲方书面认可延长的时间内未能纠正其过失。甲方可向乙方发出书面通知，解除部分或全部合同，在这种情况下，并不影响甲方向乙方提出的索赔。</w:t>
      </w:r>
    </w:p>
    <w:p w14:paraId="4577180F">
      <w:pPr>
        <w:spacing w:line="360" w:lineRule="auto"/>
        <w:ind w:firstLine="514" w:firstLineChars="245"/>
        <w:rPr>
          <w:rFonts w:ascii="宋体" w:hAnsi="宋体" w:cs="宋体"/>
        </w:rPr>
      </w:pPr>
      <w:r>
        <w:rPr>
          <w:rFonts w:hint="eastAsia" w:ascii="宋体" w:hAnsi="宋体" w:cs="宋体"/>
        </w:rPr>
        <w:t>③乙方所交的货物品种、型号、规格、技术参数、质量不符合合同规定及招标文件规定标准和投标响应承诺的，甲方有权拒收该货物，乙方愿意更换货物但逾期交货的，按乙方逾期交货处理。乙方拒绝更换货物的，甲方可单方面解除合同。</w:t>
      </w:r>
    </w:p>
    <w:p w14:paraId="05563CBC">
      <w:pPr>
        <w:spacing w:line="360" w:lineRule="auto"/>
        <w:ind w:firstLine="514" w:firstLineChars="245"/>
        <w:rPr>
          <w:rFonts w:ascii="宋体" w:hAnsi="宋体" w:cs="宋体"/>
        </w:rPr>
      </w:pPr>
      <w:r>
        <w:rPr>
          <w:rFonts w:hint="eastAsia" w:ascii="宋体" w:hAnsi="宋体" w:cs="宋体"/>
        </w:rPr>
        <w:t>（2）如果甲方根据上述的规定，解除了全部或部分合同，甲方可以依其认为适当的条件和方法购买与未交货物类似的货物或服务，乙方应承担甲方因购买类似货物或服务而产生的额外支出。但是，乙方应继续执行合同中未解除的部分。</w:t>
      </w:r>
    </w:p>
    <w:p w14:paraId="72BAE481">
      <w:pPr>
        <w:spacing w:line="360" w:lineRule="auto"/>
        <w:ind w:firstLine="514" w:firstLineChars="245"/>
        <w:rPr>
          <w:rFonts w:ascii="宋体" w:hAnsi="宋体" w:cs="宋体"/>
        </w:rPr>
      </w:pPr>
      <w:r>
        <w:rPr>
          <w:rFonts w:hint="eastAsia" w:ascii="宋体" w:hAnsi="宋体" w:cs="宋体"/>
          <w:bCs/>
        </w:rPr>
        <w:t>3、因乙方或其工作人员泄露甲方数据或其他信息造成损失或社会不良影响的，由乙方负责及时弥补损失、消除影响并承担赔偿等全部法律责任，甲方有权单方提前解除本合同并不承担任何责任、无需支付本合同服务费用，且乙方须按甲方要求将已收取的服务费用全额返还甲方。</w:t>
      </w:r>
    </w:p>
    <w:p w14:paraId="3EF1388F">
      <w:pPr>
        <w:spacing w:line="360" w:lineRule="auto"/>
        <w:ind w:firstLine="517" w:firstLineChars="245"/>
        <w:rPr>
          <w:rFonts w:ascii="宋体" w:hAnsi="宋体" w:cs="宋体"/>
          <w:b/>
          <w:bCs/>
        </w:rPr>
      </w:pPr>
      <w:r>
        <w:rPr>
          <w:rFonts w:hint="eastAsia" w:ascii="宋体" w:hAnsi="宋体" w:cs="宋体"/>
          <w:b/>
          <w:bCs/>
        </w:rPr>
        <w:t>第十四条 适用法律</w:t>
      </w:r>
    </w:p>
    <w:p w14:paraId="01F04CCB">
      <w:pPr>
        <w:spacing w:line="360" w:lineRule="auto"/>
        <w:ind w:firstLine="514" w:firstLineChars="245"/>
        <w:rPr>
          <w:rFonts w:ascii="宋体" w:hAnsi="宋体" w:cs="宋体"/>
          <w:bCs/>
        </w:rPr>
      </w:pPr>
      <w:r>
        <w:rPr>
          <w:rFonts w:hint="eastAsia" w:ascii="宋体" w:hAnsi="宋体" w:cs="宋体"/>
          <w:bCs/>
        </w:rPr>
        <w:t>本合同的订立、履行、解除、解释以及争议解决等均适用中华人民共和国法律规范。</w:t>
      </w:r>
    </w:p>
    <w:p w14:paraId="36C6F197">
      <w:pPr>
        <w:spacing w:line="360" w:lineRule="auto"/>
        <w:ind w:firstLine="517" w:firstLineChars="245"/>
        <w:rPr>
          <w:rFonts w:ascii="宋体" w:hAnsi="宋体" w:cs="宋体"/>
          <w:b/>
          <w:bCs/>
        </w:rPr>
      </w:pPr>
      <w:r>
        <w:rPr>
          <w:rFonts w:hint="eastAsia" w:ascii="宋体" w:hAnsi="宋体" w:cs="宋体"/>
          <w:b/>
          <w:bCs/>
        </w:rPr>
        <w:t>第十五条 合同生效及其他</w:t>
      </w:r>
    </w:p>
    <w:p w14:paraId="696C4DC4">
      <w:pPr>
        <w:spacing w:line="360" w:lineRule="auto"/>
        <w:ind w:firstLine="514" w:firstLineChars="245"/>
        <w:rPr>
          <w:rFonts w:ascii="宋体" w:hAnsi="宋体" w:cs="宋体"/>
          <w:bCs/>
        </w:rPr>
      </w:pPr>
      <w:r>
        <w:rPr>
          <w:rFonts w:hint="eastAsia" w:ascii="宋体" w:hAnsi="宋体" w:cs="宋体"/>
          <w:bCs/>
        </w:rPr>
        <w:t xml:space="preserve">1、本合同经甲乙双方法定代表人或授权代表签署并加盖单位印章后生效。 </w:t>
      </w:r>
    </w:p>
    <w:p w14:paraId="71CB95EC">
      <w:pPr>
        <w:spacing w:line="360" w:lineRule="auto"/>
        <w:ind w:firstLine="514" w:firstLineChars="245"/>
        <w:rPr>
          <w:rFonts w:ascii="宋体" w:hAnsi="宋体" w:cs="宋体"/>
          <w:bCs/>
        </w:rPr>
      </w:pPr>
      <w:r>
        <w:rPr>
          <w:rFonts w:hint="eastAsia" w:ascii="宋体" w:hAnsi="宋体" w:cs="宋体"/>
          <w:bCs/>
        </w:rPr>
        <w:t>2、本合同一式</w:t>
      </w:r>
      <w:r>
        <w:rPr>
          <w:rFonts w:hint="eastAsia" w:ascii="宋体" w:hAnsi="宋体" w:cs="宋体"/>
          <w:bCs/>
          <w:lang w:eastAsia="zh-CN"/>
        </w:rPr>
        <w:t>肆</w:t>
      </w:r>
      <w:r>
        <w:rPr>
          <w:rFonts w:hint="eastAsia" w:ascii="宋体" w:hAnsi="宋体" w:cs="宋体"/>
          <w:bCs/>
        </w:rPr>
        <w:t>份，甲乙双方各执</w:t>
      </w:r>
      <w:r>
        <w:rPr>
          <w:rFonts w:hint="eastAsia" w:ascii="宋体" w:hAnsi="宋体" w:cs="宋体"/>
          <w:bCs/>
          <w:lang w:eastAsia="zh-CN"/>
        </w:rPr>
        <w:t>贰</w:t>
      </w:r>
      <w:r>
        <w:rPr>
          <w:rFonts w:hint="eastAsia" w:ascii="宋体" w:hAnsi="宋体" w:cs="宋体"/>
          <w:bCs/>
        </w:rPr>
        <w:t>份。</w:t>
      </w:r>
    </w:p>
    <w:p w14:paraId="7B44A7DD">
      <w:pPr>
        <w:spacing w:line="360" w:lineRule="auto"/>
        <w:ind w:firstLine="517" w:firstLineChars="245"/>
        <w:rPr>
          <w:rFonts w:ascii="宋体" w:hAnsi="宋体" w:cs="宋体"/>
          <w:b/>
          <w:bCs/>
        </w:rPr>
      </w:pPr>
      <w:r>
        <w:rPr>
          <w:rFonts w:hint="eastAsia" w:ascii="宋体" w:hAnsi="宋体" w:cs="宋体"/>
          <w:b/>
          <w:bCs/>
        </w:rPr>
        <w:t>第十六条 未尽事宜，双方友好协商</w:t>
      </w:r>
    </w:p>
    <w:p w14:paraId="4C4C81A3">
      <w:pPr>
        <w:spacing w:line="360" w:lineRule="auto"/>
        <w:ind w:firstLine="514" w:firstLineChars="245"/>
        <w:rPr>
          <w:rFonts w:ascii="宋体" w:hAnsi="宋体" w:cs="宋体"/>
          <w:bCs/>
        </w:rPr>
      </w:pPr>
      <w:r>
        <w:rPr>
          <w:rFonts w:hint="eastAsia" w:ascii="宋体" w:hAnsi="宋体" w:cs="宋体"/>
          <w:bCs/>
        </w:rPr>
        <w:t xml:space="preserve">1、本合同未注明事宜按照招标文件要求执行。 </w:t>
      </w:r>
    </w:p>
    <w:p w14:paraId="096C96E0">
      <w:pPr>
        <w:spacing w:line="360" w:lineRule="auto"/>
        <w:ind w:firstLine="514" w:firstLineChars="245"/>
        <w:rPr>
          <w:rFonts w:ascii="宋体" w:hAnsi="宋体" w:cs="宋体"/>
          <w:bCs/>
        </w:rPr>
      </w:pPr>
      <w:r>
        <w:rPr>
          <w:rFonts w:hint="eastAsia" w:ascii="宋体" w:hAnsi="宋体" w:cs="宋体"/>
          <w:bCs/>
        </w:rPr>
        <w:t>2、前款所述之外的其他未尽事宜由甲乙双方协商明确。</w:t>
      </w:r>
    </w:p>
    <w:p w14:paraId="28095167">
      <w:pPr>
        <w:spacing w:line="360" w:lineRule="auto"/>
        <w:ind w:firstLine="514" w:firstLineChars="245"/>
        <w:rPr>
          <w:rFonts w:ascii="宋体" w:hAnsi="宋体" w:cs="宋体"/>
          <w:bCs/>
        </w:rPr>
      </w:pPr>
      <w:r>
        <w:rPr>
          <w:rFonts w:hint="eastAsia" w:ascii="宋体" w:hAnsi="宋体" w:cs="宋体"/>
          <w:bCs/>
        </w:rPr>
        <w:t>（以下无正文）</w:t>
      </w:r>
    </w:p>
    <w:p w14:paraId="13DBBE3D">
      <w:pPr>
        <w:spacing w:line="360" w:lineRule="auto"/>
        <w:ind w:firstLine="514" w:firstLineChars="245"/>
        <w:rPr>
          <w:rFonts w:hint="eastAsia" w:ascii="宋体" w:hAnsi="宋体" w:cs="宋体"/>
          <w:bCs/>
          <w:lang w:val="en-US" w:eastAsia="zh-CN"/>
        </w:rPr>
      </w:pPr>
      <w:r>
        <w:rPr>
          <w:rFonts w:hint="eastAsia" w:ascii="宋体" w:hAnsi="宋体" w:cs="宋体"/>
          <w:bCs/>
          <w:lang w:eastAsia="zh-CN"/>
        </w:rPr>
        <w:t>附件</w:t>
      </w:r>
      <w:r>
        <w:rPr>
          <w:rFonts w:hint="eastAsia" w:ascii="宋体" w:hAnsi="宋体" w:cs="宋体"/>
          <w:bCs/>
          <w:lang w:val="en-US" w:eastAsia="zh-CN"/>
        </w:rPr>
        <w:t>1：集成服务供应链安全协议书</w:t>
      </w:r>
    </w:p>
    <w:p w14:paraId="20F305FE">
      <w:pPr>
        <w:spacing w:line="360" w:lineRule="auto"/>
        <w:ind w:firstLine="514" w:firstLineChars="245"/>
        <w:rPr>
          <w:rFonts w:hint="eastAsia" w:ascii="宋体" w:hAnsi="宋体" w:cs="宋体"/>
          <w:bCs/>
          <w:lang w:val="en-US" w:eastAsia="zh-CN"/>
        </w:rPr>
      </w:pPr>
      <w:r>
        <w:rPr>
          <w:rFonts w:hint="eastAsia" w:ascii="宋体" w:hAnsi="宋体" w:cs="宋体"/>
          <w:bCs/>
          <w:lang w:val="en-US" w:eastAsia="zh-CN"/>
        </w:rPr>
        <w:t>附件2：廉洁协议书</w:t>
      </w:r>
    </w:p>
    <w:p w14:paraId="1F2BE0CC">
      <w:pPr>
        <w:spacing w:line="360" w:lineRule="auto"/>
        <w:ind w:firstLine="514" w:firstLineChars="245"/>
        <w:rPr>
          <w:rFonts w:ascii="宋体" w:hAnsi="宋体" w:cs="宋体"/>
          <w:bCs/>
        </w:rPr>
      </w:pPr>
    </w:p>
    <w:p w14:paraId="7DAF7A46">
      <w:pPr>
        <w:spacing w:line="360" w:lineRule="auto"/>
        <w:ind w:firstLine="514" w:firstLineChars="245"/>
        <w:rPr>
          <w:rFonts w:ascii="宋体" w:hAnsi="宋体" w:cs="宋体"/>
          <w:bCs/>
        </w:rPr>
      </w:pPr>
      <w:r>
        <w:rPr>
          <w:rFonts w:hint="eastAsia" w:ascii="宋体" w:hAnsi="宋体" w:cs="宋体"/>
          <w:bCs/>
        </w:rPr>
        <w:t>甲方：                               乙方：</w:t>
      </w:r>
    </w:p>
    <w:p w14:paraId="15A98E00">
      <w:pPr>
        <w:spacing w:line="360" w:lineRule="auto"/>
        <w:ind w:firstLine="514" w:firstLineChars="245"/>
        <w:rPr>
          <w:rFonts w:ascii="宋体" w:hAnsi="宋体" w:cs="宋体"/>
          <w:bCs/>
        </w:rPr>
      </w:pPr>
      <w:r>
        <w:rPr>
          <w:rFonts w:hint="eastAsia" w:ascii="宋体" w:hAnsi="宋体" w:cs="宋体"/>
          <w:bCs/>
        </w:rPr>
        <w:t>法定（委托）代表人（签字）：         法定（委托）代表人（签字）：</w:t>
      </w:r>
    </w:p>
    <w:p w14:paraId="0D08D0A6">
      <w:pPr>
        <w:spacing w:line="360" w:lineRule="auto"/>
        <w:ind w:firstLine="514" w:firstLineChars="245"/>
        <w:rPr>
          <w:rFonts w:ascii="宋体" w:hAnsi="宋体" w:cs="宋体"/>
          <w:bCs/>
        </w:rPr>
      </w:pPr>
    </w:p>
    <w:p w14:paraId="1FDEA35F">
      <w:pPr>
        <w:spacing w:line="360" w:lineRule="auto"/>
        <w:ind w:firstLine="514" w:firstLineChars="245"/>
        <w:rPr>
          <w:rFonts w:ascii="宋体" w:hAnsi="宋体" w:cs="宋体"/>
          <w:bCs/>
        </w:rPr>
      </w:pPr>
      <w:r>
        <w:rPr>
          <w:rFonts w:hint="eastAsia" w:ascii="宋体" w:hAnsi="宋体" w:cs="宋体"/>
          <w:bCs/>
        </w:rPr>
        <w:t>地址：                               地址：</w:t>
      </w:r>
    </w:p>
    <w:p w14:paraId="38387F7B">
      <w:pPr>
        <w:spacing w:line="360" w:lineRule="auto"/>
        <w:ind w:firstLine="514" w:firstLineChars="245"/>
        <w:rPr>
          <w:rFonts w:ascii="宋体" w:hAnsi="宋体" w:cs="宋体"/>
          <w:bCs/>
        </w:rPr>
      </w:pPr>
      <w:r>
        <w:rPr>
          <w:rFonts w:hint="eastAsia" w:ascii="宋体" w:hAnsi="宋体" w:cs="宋体"/>
          <w:bCs/>
        </w:rPr>
        <w:t>电话：                               电话：</w:t>
      </w:r>
    </w:p>
    <w:p w14:paraId="1D5483C0">
      <w:pPr>
        <w:spacing w:line="360" w:lineRule="auto"/>
        <w:ind w:firstLine="514" w:firstLineChars="245"/>
        <w:rPr>
          <w:rFonts w:ascii="宋体" w:hAnsi="宋体" w:cs="宋体"/>
          <w:bCs/>
        </w:rPr>
      </w:pPr>
      <w:r>
        <w:rPr>
          <w:rFonts w:hint="eastAsia" w:ascii="宋体" w:hAnsi="宋体" w:cs="宋体"/>
          <w:bCs/>
        </w:rPr>
        <w:t>开户银行：                           开户银行：</w:t>
      </w:r>
    </w:p>
    <w:p w14:paraId="64FC6428">
      <w:pPr>
        <w:spacing w:line="360" w:lineRule="auto"/>
        <w:ind w:firstLine="514" w:firstLineChars="245"/>
        <w:rPr>
          <w:rFonts w:ascii="宋体" w:hAnsi="宋体" w:cs="宋体"/>
          <w:bCs/>
        </w:rPr>
      </w:pPr>
      <w:r>
        <w:rPr>
          <w:rFonts w:hint="eastAsia" w:ascii="宋体" w:hAnsi="宋体" w:cs="宋体"/>
          <w:bCs/>
        </w:rPr>
        <w:t>帐号：                               帐号：</w:t>
      </w:r>
    </w:p>
    <w:p w14:paraId="0AADD6DF">
      <w:pPr>
        <w:spacing w:line="360" w:lineRule="auto"/>
        <w:ind w:left="630" w:hanging="630" w:hangingChars="300"/>
        <w:rPr>
          <w:rFonts w:hint="eastAsia" w:ascii="宋体" w:hAnsi="宋体" w:cs="宋体"/>
          <w:bCs/>
        </w:rPr>
      </w:pPr>
      <w:r>
        <w:rPr>
          <w:rFonts w:hint="eastAsia" w:ascii="宋体" w:hAnsi="宋体" w:cs="宋体"/>
          <w:bCs/>
        </w:rPr>
        <w:t xml:space="preserve">     日期：                               日期：</w:t>
      </w:r>
    </w:p>
    <w:p w14:paraId="77F93F3C">
      <w:pPr>
        <w:spacing w:line="360" w:lineRule="auto"/>
        <w:ind w:left="630" w:hanging="630" w:hangingChars="300"/>
        <w:rPr>
          <w:rFonts w:hint="eastAsia" w:ascii="宋体" w:hAnsi="宋体" w:cs="宋体"/>
          <w:bCs/>
        </w:rPr>
      </w:pPr>
    </w:p>
    <w:p w14:paraId="718F16E8">
      <w:r>
        <w:br w:type="page"/>
      </w:r>
    </w:p>
    <w:p w14:paraId="3C383651">
      <w:pPr>
        <w:pStyle w:val="3"/>
      </w:pPr>
    </w:p>
    <w:p w14:paraId="05A40E39">
      <w:pPr>
        <w:pStyle w:val="3"/>
      </w:pPr>
    </w:p>
    <w:p w14:paraId="58543081">
      <w:pPr>
        <w:pageBreakBefore w:val="0"/>
        <w:kinsoku/>
        <w:wordWrap/>
        <w:overflowPunct/>
        <w:topLinePunct w:val="0"/>
        <w:bidi w:val="0"/>
        <w:snapToGrid/>
        <w:spacing w:line="240" w:lineRule="auto"/>
        <w:jc w:val="both"/>
        <w:textAlignment w:val="auto"/>
        <w:rPr>
          <w:rFonts w:hint="eastAsia" w:ascii="宋体" w:hAnsi="宋体" w:eastAsia="宋体" w:cs="宋体"/>
          <w:b/>
          <w:bCs w:val="0"/>
          <w:spacing w:val="0"/>
          <w:sz w:val="44"/>
          <w:szCs w:val="40"/>
          <w:highlight w:val="none"/>
          <w:lang w:val="en-US" w:eastAsia="zh-CN"/>
        </w:rPr>
      </w:pPr>
      <w:r>
        <w:rPr>
          <w:rFonts w:hint="eastAsia" w:ascii="宋体" w:hAnsi="宋体" w:eastAsia="宋体" w:cs="宋体"/>
          <w:color w:val="auto"/>
          <w:sz w:val="21"/>
          <w:szCs w:val="21"/>
          <w:highlight w:val="none"/>
          <w:shd w:val="clear" w:color="auto" w:fill="auto"/>
          <w:lang w:val="en-US" w:eastAsia="zh-CN"/>
        </w:rPr>
        <w:t>合同附件</w:t>
      </w:r>
      <w:r>
        <w:rPr>
          <w:rFonts w:hint="eastAsia" w:ascii="宋体" w:hAnsi="宋体" w:cs="宋体"/>
          <w:color w:val="auto"/>
          <w:sz w:val="21"/>
          <w:szCs w:val="21"/>
          <w:highlight w:val="none"/>
          <w:shd w:val="clear" w:color="auto" w:fill="auto"/>
          <w:lang w:val="en-US" w:eastAsia="zh-CN"/>
        </w:rPr>
        <w:t>1</w:t>
      </w:r>
      <w:r>
        <w:rPr>
          <w:rFonts w:hint="eastAsia" w:ascii="宋体" w:hAnsi="宋体" w:eastAsia="宋体" w:cs="宋体"/>
          <w:color w:val="auto"/>
          <w:sz w:val="21"/>
          <w:szCs w:val="21"/>
          <w:highlight w:val="none"/>
          <w:shd w:val="clear" w:color="auto" w:fill="auto"/>
          <w:lang w:val="en-US" w:eastAsia="zh-CN"/>
        </w:rPr>
        <w:t>：</w:t>
      </w:r>
    </w:p>
    <w:p w14:paraId="14EBBBA5">
      <w:pPr>
        <w:pageBreakBefore w:val="0"/>
        <w:kinsoku/>
        <w:wordWrap/>
        <w:overflowPunct/>
        <w:topLinePunct w:val="0"/>
        <w:bidi w:val="0"/>
        <w:snapToGrid/>
        <w:spacing w:line="240" w:lineRule="auto"/>
        <w:jc w:val="center"/>
        <w:textAlignment w:val="auto"/>
        <w:rPr>
          <w:rFonts w:hint="eastAsia" w:ascii="宋体" w:hAnsi="宋体" w:eastAsia="宋体" w:cs="宋体"/>
          <w:b/>
          <w:bCs w:val="0"/>
          <w:spacing w:val="0"/>
          <w:sz w:val="44"/>
          <w:szCs w:val="40"/>
          <w:lang w:val="en-US" w:eastAsia="zh-CN"/>
        </w:rPr>
      </w:pPr>
      <w:r>
        <w:rPr>
          <w:rFonts w:hint="eastAsia" w:ascii="宋体" w:hAnsi="宋体" w:eastAsia="宋体" w:cs="宋体"/>
          <w:b/>
          <w:bCs w:val="0"/>
          <w:spacing w:val="0"/>
          <w:sz w:val="44"/>
          <w:szCs w:val="40"/>
          <w:lang w:val="en-US" w:eastAsia="zh-CN"/>
        </w:rPr>
        <w:t>集成服务供应链安全协议书</w:t>
      </w:r>
    </w:p>
    <w:p w14:paraId="57999994">
      <w:pPr>
        <w:rPr>
          <w:rFonts w:hint="eastAsia" w:ascii="宋体" w:hAnsi="宋体" w:eastAsia="宋体" w:cs="宋体"/>
          <w:b w:val="0"/>
          <w:bCs w:val="0"/>
          <w:sz w:val="24"/>
          <w:szCs w:val="24"/>
        </w:rPr>
      </w:pPr>
    </w:p>
    <w:p w14:paraId="7A19BFF6">
      <w:pPr>
        <w:widowControl/>
        <w:ind w:firstLine="480" w:firstLineChars="200"/>
        <w:jc w:val="left"/>
        <w:rPr>
          <w:rFonts w:hint="eastAsia" w:ascii="宋体" w:hAnsi="宋体" w:eastAsia="宋体" w:cs="宋体"/>
          <w:b w:val="0"/>
          <w:bCs w:val="0"/>
          <w:color w:val="000000"/>
          <w:kern w:val="0"/>
          <w:sz w:val="24"/>
          <w:szCs w:val="24"/>
          <w:lang w:bidi="ar"/>
        </w:rPr>
      </w:pPr>
    </w:p>
    <w:p w14:paraId="74B7A629">
      <w:pPr>
        <w:pageBreakBefore w:val="0"/>
        <w:kinsoku/>
        <w:wordWrap/>
        <w:overflowPunct/>
        <w:topLinePunct w:val="0"/>
        <w:bidi w:val="0"/>
        <w:snapToGrid/>
        <w:spacing w:line="360" w:lineRule="auto"/>
        <w:textAlignment w:val="auto"/>
        <w:rPr>
          <w:rFonts w:hint="eastAsia" w:ascii="宋体" w:hAnsi="宋体" w:eastAsia="宋体" w:cs="宋体"/>
          <w:b w:val="0"/>
          <w:bCs w:val="0"/>
          <w:color w:val="000000"/>
          <w:spacing w:val="0"/>
          <w:kern w:val="0"/>
          <w:sz w:val="24"/>
          <w:szCs w:val="24"/>
          <w:lang w:eastAsia="zh-CN" w:bidi="ar"/>
        </w:rPr>
      </w:pPr>
      <w:r>
        <w:rPr>
          <w:rFonts w:hint="eastAsia" w:ascii="宋体" w:hAnsi="宋体" w:eastAsia="宋体" w:cs="宋体"/>
          <w:b w:val="0"/>
          <w:bCs w:val="0"/>
          <w:color w:val="000000"/>
          <w:spacing w:val="0"/>
          <w:kern w:val="0"/>
          <w:sz w:val="24"/>
          <w:szCs w:val="24"/>
          <w:lang w:bidi="ar"/>
        </w:rPr>
        <w:t>甲方（采购方）：</w:t>
      </w:r>
    </w:p>
    <w:p w14:paraId="0877DC09">
      <w:pPr>
        <w:pageBreakBefore w:val="0"/>
        <w:kinsoku/>
        <w:wordWrap/>
        <w:overflowPunct/>
        <w:topLinePunct w:val="0"/>
        <w:bidi w:val="0"/>
        <w:snapToGrid/>
        <w:spacing w:line="360" w:lineRule="auto"/>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注册地址：</w:t>
      </w:r>
    </w:p>
    <w:p w14:paraId="39CBC2A8">
      <w:pPr>
        <w:pageBreakBefore w:val="0"/>
        <w:kinsoku/>
        <w:wordWrap/>
        <w:overflowPunct/>
        <w:topLinePunct w:val="0"/>
        <w:bidi w:val="0"/>
        <w:snapToGrid/>
        <w:spacing w:line="360" w:lineRule="auto"/>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联系人：</w:t>
      </w:r>
      <w:r>
        <w:rPr>
          <w:rFonts w:hint="eastAsia" w:ascii="宋体" w:hAnsi="宋体" w:eastAsia="宋体" w:cs="宋体"/>
          <w:b w:val="0"/>
          <w:bCs w:val="0"/>
          <w:color w:val="000000"/>
          <w:spacing w:val="0"/>
          <w:kern w:val="0"/>
          <w:sz w:val="24"/>
          <w:szCs w:val="24"/>
          <w:lang w:bidi="ar"/>
        </w:rPr>
        <w:tab/>
      </w:r>
      <w:r>
        <w:rPr>
          <w:rFonts w:hint="eastAsia" w:ascii="宋体" w:hAnsi="宋体" w:eastAsia="宋体" w:cs="宋体"/>
          <w:b w:val="0"/>
          <w:bCs w:val="0"/>
          <w:color w:val="000000"/>
          <w:spacing w:val="0"/>
          <w:kern w:val="0"/>
          <w:sz w:val="24"/>
          <w:szCs w:val="24"/>
          <w:lang w:bidi="ar"/>
        </w:rPr>
        <w:tab/>
      </w:r>
      <w:r>
        <w:rPr>
          <w:rFonts w:hint="eastAsia" w:ascii="宋体" w:hAnsi="宋体" w:eastAsia="宋体" w:cs="宋体"/>
          <w:b w:val="0"/>
          <w:bCs w:val="0"/>
          <w:color w:val="000000"/>
          <w:spacing w:val="0"/>
          <w:kern w:val="0"/>
          <w:sz w:val="24"/>
          <w:szCs w:val="24"/>
          <w:lang w:bidi="ar"/>
        </w:rPr>
        <w:tab/>
      </w:r>
      <w:r>
        <w:rPr>
          <w:rFonts w:hint="eastAsia" w:ascii="宋体" w:hAnsi="宋体" w:eastAsia="宋体" w:cs="宋体"/>
          <w:b w:val="0"/>
          <w:bCs w:val="0"/>
          <w:color w:val="000000"/>
          <w:spacing w:val="0"/>
          <w:kern w:val="0"/>
          <w:sz w:val="24"/>
          <w:szCs w:val="24"/>
          <w:lang w:bidi="ar"/>
        </w:rPr>
        <w:tab/>
      </w:r>
      <w:r>
        <w:rPr>
          <w:rFonts w:hint="eastAsia" w:ascii="宋体" w:hAnsi="宋体" w:eastAsia="宋体" w:cs="宋体"/>
          <w:b w:val="0"/>
          <w:bCs w:val="0"/>
          <w:color w:val="000000"/>
          <w:spacing w:val="0"/>
          <w:kern w:val="0"/>
          <w:sz w:val="24"/>
          <w:szCs w:val="24"/>
          <w:lang w:bidi="ar"/>
        </w:rPr>
        <w:tab/>
      </w:r>
      <w:r>
        <w:rPr>
          <w:rFonts w:hint="eastAsia" w:ascii="宋体" w:hAnsi="宋体" w:eastAsia="宋体" w:cs="宋体"/>
          <w:b w:val="0"/>
          <w:bCs w:val="0"/>
          <w:color w:val="000000"/>
          <w:spacing w:val="0"/>
          <w:kern w:val="0"/>
          <w:sz w:val="24"/>
          <w:szCs w:val="24"/>
          <w:lang w:bidi="ar"/>
        </w:rPr>
        <w:tab/>
      </w:r>
      <w:r>
        <w:rPr>
          <w:rFonts w:hint="eastAsia" w:ascii="宋体" w:hAnsi="宋体" w:eastAsia="宋体" w:cs="宋体"/>
          <w:b w:val="0"/>
          <w:bCs w:val="0"/>
          <w:color w:val="000000"/>
          <w:spacing w:val="0"/>
          <w:kern w:val="0"/>
          <w:sz w:val="24"/>
          <w:szCs w:val="24"/>
          <w:lang w:bidi="ar"/>
        </w:rPr>
        <w:tab/>
      </w:r>
      <w:r>
        <w:rPr>
          <w:rFonts w:hint="eastAsia" w:ascii="宋体" w:hAnsi="宋体" w:eastAsia="宋体" w:cs="宋体"/>
          <w:b w:val="0"/>
          <w:bCs w:val="0"/>
          <w:color w:val="000000"/>
          <w:spacing w:val="0"/>
          <w:kern w:val="0"/>
          <w:sz w:val="24"/>
          <w:szCs w:val="24"/>
          <w:lang w:bidi="ar"/>
        </w:rPr>
        <w:tab/>
      </w:r>
    </w:p>
    <w:p w14:paraId="73E31E90">
      <w:pPr>
        <w:pageBreakBefore w:val="0"/>
        <w:kinsoku/>
        <w:wordWrap/>
        <w:overflowPunct/>
        <w:topLinePunct w:val="0"/>
        <w:bidi w:val="0"/>
        <w:snapToGrid/>
        <w:spacing w:line="360" w:lineRule="auto"/>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联系电话：</w:t>
      </w:r>
    </w:p>
    <w:p w14:paraId="3DE17AB4">
      <w:pPr>
        <w:pageBreakBefore w:val="0"/>
        <w:kinsoku/>
        <w:wordWrap/>
        <w:overflowPunct/>
        <w:topLinePunct w:val="0"/>
        <w:bidi w:val="0"/>
        <w:snapToGrid/>
        <w:spacing w:line="360" w:lineRule="auto"/>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ab/>
      </w:r>
      <w:r>
        <w:rPr>
          <w:rFonts w:hint="eastAsia" w:ascii="宋体" w:hAnsi="宋体" w:eastAsia="宋体" w:cs="宋体"/>
          <w:b w:val="0"/>
          <w:bCs w:val="0"/>
          <w:color w:val="000000"/>
          <w:spacing w:val="0"/>
          <w:kern w:val="0"/>
          <w:sz w:val="24"/>
          <w:szCs w:val="24"/>
          <w:lang w:bidi="ar"/>
        </w:rPr>
        <w:tab/>
      </w:r>
      <w:r>
        <w:rPr>
          <w:rFonts w:hint="eastAsia" w:ascii="宋体" w:hAnsi="宋体" w:eastAsia="宋体" w:cs="宋体"/>
          <w:b w:val="0"/>
          <w:bCs w:val="0"/>
          <w:color w:val="000000"/>
          <w:spacing w:val="0"/>
          <w:kern w:val="0"/>
          <w:sz w:val="24"/>
          <w:szCs w:val="24"/>
          <w:lang w:bidi="ar"/>
        </w:rPr>
        <w:tab/>
      </w:r>
      <w:r>
        <w:rPr>
          <w:rFonts w:hint="eastAsia" w:ascii="宋体" w:hAnsi="宋体" w:eastAsia="宋体" w:cs="宋体"/>
          <w:b w:val="0"/>
          <w:bCs w:val="0"/>
          <w:color w:val="000000"/>
          <w:spacing w:val="0"/>
          <w:kern w:val="0"/>
          <w:sz w:val="24"/>
          <w:szCs w:val="24"/>
          <w:lang w:bidi="ar"/>
        </w:rPr>
        <w:tab/>
      </w:r>
    </w:p>
    <w:p w14:paraId="6B0CBD1C">
      <w:pPr>
        <w:pageBreakBefore w:val="0"/>
        <w:kinsoku/>
        <w:wordWrap/>
        <w:overflowPunct/>
        <w:topLinePunct w:val="0"/>
        <w:bidi w:val="0"/>
        <w:snapToGrid/>
        <w:spacing w:line="360" w:lineRule="auto"/>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乙方（供应链服务商）：</w:t>
      </w:r>
    </w:p>
    <w:p w14:paraId="1D8ED7E4">
      <w:pPr>
        <w:pageBreakBefore w:val="0"/>
        <w:kinsoku/>
        <w:wordWrap/>
        <w:overflowPunct/>
        <w:topLinePunct w:val="0"/>
        <w:bidi w:val="0"/>
        <w:snapToGrid/>
        <w:spacing w:line="360" w:lineRule="auto"/>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注册地址：</w:t>
      </w:r>
    </w:p>
    <w:p w14:paraId="3F6B8891">
      <w:pPr>
        <w:pageBreakBefore w:val="0"/>
        <w:kinsoku/>
        <w:wordWrap/>
        <w:overflowPunct/>
        <w:topLinePunct w:val="0"/>
        <w:bidi w:val="0"/>
        <w:snapToGrid/>
        <w:spacing w:line="360" w:lineRule="auto"/>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联系人：</w:t>
      </w:r>
    </w:p>
    <w:p w14:paraId="2BEF8823">
      <w:pPr>
        <w:pageBreakBefore w:val="0"/>
        <w:kinsoku/>
        <w:wordWrap/>
        <w:overflowPunct/>
        <w:topLinePunct w:val="0"/>
        <w:bidi w:val="0"/>
        <w:snapToGrid/>
        <w:spacing w:line="360" w:lineRule="auto"/>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联系电话：</w:t>
      </w:r>
    </w:p>
    <w:p w14:paraId="2F5134D0">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p>
    <w:p w14:paraId="3E6C8D88">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本着</w:t>
      </w:r>
      <w:r>
        <w:rPr>
          <w:rFonts w:hint="eastAsia" w:ascii="宋体" w:hAnsi="宋体" w:eastAsia="宋体" w:cs="宋体"/>
          <w:b/>
          <w:bCs/>
          <w:color w:val="000000"/>
          <w:spacing w:val="0"/>
          <w:kern w:val="0"/>
          <w:sz w:val="24"/>
          <w:szCs w:val="24"/>
          <w:lang w:val="en-US" w:eastAsia="zh-CN" w:bidi="ar"/>
        </w:rPr>
        <w:t>公平公正</w:t>
      </w:r>
      <w:r>
        <w:rPr>
          <w:rFonts w:hint="eastAsia" w:ascii="宋体" w:hAnsi="宋体" w:eastAsia="宋体" w:cs="宋体"/>
          <w:b/>
          <w:bCs/>
          <w:color w:val="000000"/>
          <w:spacing w:val="0"/>
          <w:kern w:val="0"/>
          <w:sz w:val="24"/>
          <w:szCs w:val="24"/>
          <w:lang w:bidi="ar"/>
        </w:rPr>
        <w:t>、友好合作的原则，双方经友好协商达成一致，甲方确定乙方为产品或服务的供应商，为明确乙方供应链安全责任，特订立本协议。</w:t>
      </w:r>
    </w:p>
    <w:p w14:paraId="1DF00D3C">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p>
    <w:p w14:paraId="1A777BAB">
      <w:pPr>
        <w:pStyle w:val="7"/>
        <w:keepNext/>
        <w:keepLines/>
        <w:pageBreakBefore w:val="0"/>
        <w:widowControl w:val="0"/>
        <w:numPr>
          <w:ilvl w:val="1"/>
          <w:numId w:val="0"/>
        </w:numPr>
        <w:kinsoku/>
        <w:wordWrap/>
        <w:overflowPunct/>
        <w:topLinePunct w:val="0"/>
        <w:autoSpaceDE/>
        <w:autoSpaceDN/>
        <w:bidi w:val="0"/>
        <w:adjustRightInd/>
        <w:snapToGrid/>
        <w:spacing w:before="0" w:after="0" w:line="360" w:lineRule="auto"/>
        <w:ind w:leftChars="0"/>
        <w:textAlignment w:val="auto"/>
        <w:rPr>
          <w:rFonts w:hint="eastAsia" w:ascii="宋体" w:hAnsi="宋体" w:eastAsia="宋体" w:cs="宋体"/>
          <w:b/>
          <w:bCs/>
          <w:sz w:val="32"/>
          <w:szCs w:val="32"/>
          <w:lang w:val="en-US" w:eastAsia="zh-CN"/>
        </w:rPr>
      </w:pPr>
      <w:r>
        <w:rPr>
          <w:rFonts w:hint="eastAsia" w:ascii="宋体" w:hAnsi="宋体" w:eastAsia="宋体" w:cs="宋体"/>
          <w:b/>
          <w:bCs/>
          <w:sz w:val="32"/>
          <w:szCs w:val="32"/>
        </w:rPr>
        <w:t>一、</w:t>
      </w:r>
      <w:r>
        <w:rPr>
          <w:rFonts w:hint="eastAsia" w:ascii="宋体" w:hAnsi="宋体" w:eastAsia="宋体" w:cs="宋体"/>
          <w:b/>
          <w:bCs/>
          <w:sz w:val="32"/>
          <w:szCs w:val="32"/>
          <w:lang w:val="en-US" w:eastAsia="zh-CN"/>
        </w:rPr>
        <w:t>定义</w:t>
      </w:r>
    </w:p>
    <w:p w14:paraId="52469376">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val="en-US" w:eastAsia="zh-CN" w:bidi="ar"/>
        </w:rPr>
        <w:t xml:space="preserve">1.1 </w:t>
      </w:r>
      <w:r>
        <w:rPr>
          <w:rFonts w:hint="eastAsia" w:ascii="宋体" w:hAnsi="宋体" w:eastAsia="宋体" w:cs="宋体"/>
          <w:b w:val="0"/>
          <w:bCs w:val="0"/>
          <w:color w:val="000000"/>
          <w:spacing w:val="0"/>
          <w:kern w:val="0"/>
          <w:sz w:val="24"/>
          <w:szCs w:val="24"/>
          <w:lang w:bidi="ar"/>
        </w:rPr>
        <w:t>目的</w:t>
      </w:r>
    </w:p>
    <w:p w14:paraId="56D30486">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本补充协议旨在对主合同进行补充和细化，以确保甲乙双方能够更加明确地履行各自的安全责任与义务，提高供应链安全集成建设管理的效率和效果，确保集成系统的安全性、完整性和合规性。</w:t>
      </w:r>
    </w:p>
    <w:p w14:paraId="7A914EBE">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val="en-US" w:eastAsia="zh-CN" w:bidi="ar"/>
        </w:rPr>
        <w:t xml:space="preserve">1.2 </w:t>
      </w:r>
      <w:r>
        <w:rPr>
          <w:rFonts w:hint="eastAsia" w:ascii="宋体" w:hAnsi="宋体" w:eastAsia="宋体" w:cs="宋体"/>
          <w:b w:val="0"/>
          <w:bCs w:val="0"/>
          <w:color w:val="000000"/>
          <w:spacing w:val="0"/>
          <w:kern w:val="0"/>
          <w:sz w:val="24"/>
          <w:szCs w:val="24"/>
          <w:lang w:bidi="ar"/>
        </w:rPr>
        <w:t>范围</w:t>
      </w:r>
    </w:p>
    <w:p w14:paraId="6026723F">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本补充协议适用于甲乙双方在主合同合作过程中的所有活动，包括但不限于、设计、</w:t>
      </w:r>
      <w:r>
        <w:rPr>
          <w:rFonts w:hint="eastAsia" w:ascii="宋体" w:hAnsi="宋体" w:eastAsia="宋体" w:cs="宋体"/>
          <w:b w:val="0"/>
          <w:bCs w:val="0"/>
          <w:color w:val="000000"/>
          <w:spacing w:val="0"/>
          <w:kern w:val="0"/>
          <w:sz w:val="24"/>
          <w:szCs w:val="24"/>
          <w:lang w:val="en-US" w:eastAsia="zh-CN" w:bidi="ar"/>
        </w:rPr>
        <w:t>开发、</w:t>
      </w:r>
      <w:r>
        <w:rPr>
          <w:rFonts w:hint="eastAsia" w:ascii="宋体" w:hAnsi="宋体" w:eastAsia="宋体" w:cs="宋体"/>
          <w:b w:val="0"/>
          <w:bCs w:val="0"/>
          <w:color w:val="000000"/>
          <w:spacing w:val="0"/>
          <w:kern w:val="0"/>
          <w:sz w:val="24"/>
          <w:szCs w:val="24"/>
          <w:lang w:bidi="ar"/>
        </w:rPr>
        <w:t>实施、运维等各个阶段的安全管理和服务提供。</w:t>
      </w:r>
    </w:p>
    <w:p w14:paraId="5D725175">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val="en-US" w:eastAsia="zh-CN" w:bidi="ar"/>
        </w:rPr>
        <w:t xml:space="preserve">1.3 </w:t>
      </w:r>
      <w:r>
        <w:rPr>
          <w:rFonts w:hint="eastAsia" w:ascii="宋体" w:hAnsi="宋体" w:eastAsia="宋体" w:cs="宋体"/>
          <w:b w:val="0"/>
          <w:bCs w:val="0"/>
          <w:color w:val="000000"/>
          <w:spacing w:val="0"/>
          <w:kern w:val="0"/>
          <w:sz w:val="24"/>
          <w:szCs w:val="24"/>
          <w:lang w:bidi="ar"/>
        </w:rPr>
        <w:t>术语</w:t>
      </w:r>
    </w:p>
    <w:p w14:paraId="177C1A94">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二级供应商</w:t>
      </w:r>
    </w:p>
    <w:p w14:paraId="5EB91FE1">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在供应链中，直接向主供应商提供产品或服务的企业或个人，通常处于供应链的第二层级。</w:t>
      </w:r>
    </w:p>
    <w:p w14:paraId="3992EBC9">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分包商</w:t>
      </w:r>
    </w:p>
    <w:p w14:paraId="0DFBDEB3">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指在一个软件项目中，承担部分开发、维护或其他相关工作的一方。</w:t>
      </w:r>
    </w:p>
    <w:p w14:paraId="1F6C0DB4">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安全风险评估</w:t>
      </w:r>
    </w:p>
    <w:p w14:paraId="1E6D900C">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是一项系统化的流程，用于识别、分析和评定信息系统面临的潜在安全威胁和脆弱性，以便采取适当的对策降低风险。</w:t>
      </w:r>
    </w:p>
    <w:p w14:paraId="72A310FD">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安全评估周期</w:t>
      </w:r>
    </w:p>
    <w:p w14:paraId="7B98447E">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在该指定期间内定期进行安全评估以检查系统的安全性是否符合既定的标准和政策。</w:t>
      </w:r>
    </w:p>
    <w:p w14:paraId="34CDD3C2">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文档版本管理制度</w:t>
      </w:r>
    </w:p>
    <w:p w14:paraId="6D804F0F">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一种规定如何创建、维护、更新和存档文档的制度，确保文档的最新版本能够被追踪并且旧版本不会被误用。</w:t>
      </w:r>
    </w:p>
    <w:p w14:paraId="56FBCB4B">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变更流程</w:t>
      </w:r>
    </w:p>
    <w:p w14:paraId="0D6B5131">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用于管理和控制信息系统中变更的正式流程，确保所有更改都按照预定的步骤进行，减少风险。</w:t>
      </w:r>
    </w:p>
    <w:p w14:paraId="54E55A4A">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信息访问限制</w:t>
      </w:r>
    </w:p>
    <w:p w14:paraId="6AA218A8">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一种安全措施，确保只有授权用户能够访问特定的信息或系统资源，从而保护敏感信息不被未授权访问。</w:t>
      </w:r>
    </w:p>
    <w:p w14:paraId="5A0852C5">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安全架构</w:t>
      </w:r>
    </w:p>
    <w:p w14:paraId="6ED53C36">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描述一个信息系统如何构建来保护其资产（例如数据、硬件、软件）免受威胁的安全设计。</w:t>
      </w:r>
    </w:p>
    <w:p w14:paraId="16B173A7">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加密传输和储存</w:t>
      </w:r>
    </w:p>
    <w:p w14:paraId="653BC76D">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使用密码学技术保护数据在传输过程中或存储时的安全性，防止数据在未经授权的情况下被读取或篡改。</w:t>
      </w:r>
    </w:p>
    <w:p w14:paraId="5E88C47F">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接口访问控制规则</w:t>
      </w:r>
    </w:p>
    <w:p w14:paraId="45A1D84C">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设计用来限制对系统接口访问的规定，确保只有通过认证和授权的用户可以访问相应的接口。</w:t>
      </w:r>
    </w:p>
    <w:p w14:paraId="17CA763D">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密钥管理</w:t>
      </w:r>
    </w:p>
    <w:p w14:paraId="4787A804">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包括密钥的生成、存储、分发、更新和吊销等一系列过程，以确保使用加密技术时密钥的安全性和有效性。</w:t>
      </w:r>
    </w:p>
    <w:p w14:paraId="252B65FD">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安全测试工具</w:t>
      </w:r>
    </w:p>
    <w:p w14:paraId="12508FF8">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专门用于检测和评估软件或系统安全性的自动化工具。</w:t>
      </w:r>
    </w:p>
    <w:p w14:paraId="6BD0280B">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应急响应计划</w:t>
      </w:r>
    </w:p>
    <w:p w14:paraId="17025B96">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预先准备好的计划，指导组织如何快速有效地处理安全事件或事故，以最小化损害。</w:t>
      </w:r>
    </w:p>
    <w:p w14:paraId="501AF039">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日志和安全事件管理机制</w:t>
      </w:r>
    </w:p>
    <w:p w14:paraId="20E48449">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自动收集系统日志并分析这些数据以检测潜在安全威胁的过程。</w:t>
      </w:r>
    </w:p>
    <w:p w14:paraId="732A8798">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安全需求文档</w:t>
      </w:r>
    </w:p>
    <w:p w14:paraId="1CE998B8">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包含了系统必须满足的安全目标和标准的文档，是设计和实现安全系统的指南。</w:t>
      </w:r>
    </w:p>
    <w:p w14:paraId="30969AFE">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安全补丁更新</w:t>
      </w:r>
    </w:p>
    <w:p w14:paraId="29018658">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对软件进行的小型修改或添加，目的是修复已知的安全漏洞或增强安全性。</w:t>
      </w:r>
    </w:p>
    <w:p w14:paraId="1DC0F237">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服务等级协议（SLA）</w:t>
      </w:r>
    </w:p>
    <w:p w14:paraId="124FF9E9">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SLA是服务提供商和客户之间的协议，用于确定所需的服务和预期的服务水平。</w:t>
      </w:r>
    </w:p>
    <w:p w14:paraId="084D03EF">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部署计划和流程</w:t>
      </w:r>
    </w:p>
    <w:p w14:paraId="1F0B7F2D">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详细描述如何将新的或更新的软件系统安装到生产环境中的计划和步骤，包括可能的回滚机制。</w:t>
      </w:r>
    </w:p>
    <w:p w14:paraId="21E5B7D4">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bidi="ar"/>
        </w:rPr>
      </w:pPr>
      <w:r>
        <w:rPr>
          <w:rFonts w:hint="eastAsia" w:ascii="宋体" w:hAnsi="宋体" w:eastAsia="宋体" w:cs="宋体"/>
          <w:b/>
          <w:bCs/>
          <w:color w:val="000000"/>
          <w:spacing w:val="0"/>
          <w:kern w:val="0"/>
          <w:sz w:val="24"/>
          <w:szCs w:val="24"/>
          <w:lang w:bidi="ar"/>
        </w:rPr>
        <w:t>敏感数据</w:t>
      </w:r>
    </w:p>
    <w:p w14:paraId="1BF147E3">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是指泄漏后可能会给社会或个人带来严重危害的数据。包括个人隐私数据，如姓名、身份证号码、住址、电话、银行账号、邮箱、密码、医疗信息、教育背景等；也包括企业或社会机构不适合公布的数据，如企业的经营情况，企业的网络结构、IP地址列表等。</w:t>
      </w:r>
    </w:p>
    <w:p w14:paraId="3F485D59">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val="en-US" w:eastAsia="zh-CN" w:bidi="ar"/>
        </w:rPr>
        <w:t xml:space="preserve">1.4 </w:t>
      </w:r>
      <w:r>
        <w:rPr>
          <w:rFonts w:hint="eastAsia" w:ascii="宋体" w:hAnsi="宋体" w:eastAsia="宋体" w:cs="宋体"/>
          <w:b w:val="0"/>
          <w:bCs w:val="0"/>
          <w:color w:val="000000"/>
          <w:spacing w:val="0"/>
          <w:kern w:val="0"/>
          <w:sz w:val="24"/>
          <w:szCs w:val="24"/>
          <w:lang w:bidi="ar"/>
        </w:rPr>
        <w:t>法规</w:t>
      </w:r>
    </w:p>
    <w:p w14:paraId="786A0705">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本补充协议依照以下法律法规、标准规范制订：</w:t>
      </w:r>
    </w:p>
    <w:p w14:paraId="5AE03BF0">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《中华人民共和国网络安全法》</w:t>
      </w:r>
    </w:p>
    <w:p w14:paraId="12F6B708">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《中华人民共和国数据安全法》</w:t>
      </w:r>
    </w:p>
    <w:p w14:paraId="167F690E">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《中华人民共和国个人信息保护法》</w:t>
      </w:r>
    </w:p>
    <w:p w14:paraId="0D3FE4E6">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《计算机信息系统安全保护条例》</w:t>
      </w:r>
    </w:p>
    <w:p w14:paraId="3CA84434">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《中华人民共和国密码法》</w:t>
      </w:r>
    </w:p>
    <w:p w14:paraId="18EB7CA5">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GB/T</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31496-2023</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《信息技术</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安全技术</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信息安全管理体系指南》</w:t>
      </w:r>
    </w:p>
    <w:p w14:paraId="02E0AE88">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eastAsia="zh-CN" w:bidi="ar"/>
        </w:rPr>
      </w:pPr>
      <w:r>
        <w:rPr>
          <w:rFonts w:hint="eastAsia" w:ascii="宋体" w:hAnsi="宋体" w:eastAsia="宋体" w:cs="宋体"/>
          <w:b w:val="0"/>
          <w:bCs w:val="0"/>
          <w:color w:val="000000"/>
          <w:spacing w:val="0"/>
          <w:kern w:val="0"/>
          <w:sz w:val="24"/>
          <w:szCs w:val="24"/>
          <w:lang w:bidi="ar"/>
        </w:rPr>
        <w:t>GB/T</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32916-2023</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《信息安全技术</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信息安全控制评估指南》</w:t>
      </w:r>
    </w:p>
    <w:p w14:paraId="42E961E6">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eastAsia="zh-CN" w:bidi="ar"/>
        </w:rPr>
      </w:pPr>
      <w:r>
        <w:rPr>
          <w:rFonts w:hint="eastAsia" w:ascii="宋体" w:hAnsi="宋体" w:eastAsia="宋体" w:cs="宋体"/>
          <w:b w:val="0"/>
          <w:bCs w:val="0"/>
          <w:color w:val="000000"/>
          <w:spacing w:val="0"/>
          <w:kern w:val="0"/>
          <w:sz w:val="24"/>
          <w:szCs w:val="24"/>
          <w:lang w:bidi="ar"/>
        </w:rPr>
        <w:t>GB/T</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24364-2023</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《信息安全技术</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信息安全风险管理实施指南》</w:t>
      </w:r>
    </w:p>
    <w:p w14:paraId="78BF10A3">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GB/T</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20984-2022</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《信息安全技术</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信息安全风险评估方法》</w:t>
      </w:r>
    </w:p>
    <w:p w14:paraId="5466DFD0">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GB/T</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22239-2019</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《信息安全技术</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网络安全等级保护基本要求》</w:t>
      </w:r>
    </w:p>
    <w:p w14:paraId="5A93BCAB">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GB/T</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25070-2019</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《信息安全技术</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信息系统安全等级保护安全设计技术要求》</w:t>
      </w:r>
    </w:p>
    <w:p w14:paraId="18D9E8DD">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GB/T</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22240-2020《信息安全技术</w:t>
      </w:r>
      <w:r>
        <w:rPr>
          <w:rFonts w:hint="eastAsia" w:ascii="宋体" w:hAnsi="宋体" w:eastAsia="宋体" w:cs="宋体"/>
          <w:b w:val="0"/>
          <w:bCs w:val="0"/>
          <w:color w:val="000000"/>
          <w:spacing w:val="0"/>
          <w:kern w:val="0"/>
          <w:sz w:val="24"/>
          <w:szCs w:val="24"/>
          <w:lang w:eastAsia="zh-CN" w:bidi="ar"/>
        </w:rPr>
        <w:t xml:space="preserve"> </w:t>
      </w:r>
      <w:r>
        <w:rPr>
          <w:rFonts w:hint="eastAsia" w:ascii="宋体" w:hAnsi="宋体" w:eastAsia="宋体" w:cs="宋体"/>
          <w:b w:val="0"/>
          <w:bCs w:val="0"/>
          <w:color w:val="000000"/>
          <w:spacing w:val="0"/>
          <w:kern w:val="0"/>
          <w:sz w:val="24"/>
          <w:szCs w:val="24"/>
          <w:lang w:bidi="ar"/>
        </w:rPr>
        <w:t>信息系统安全等级保护定级指南》</w:t>
      </w:r>
    </w:p>
    <w:p w14:paraId="005B3D3F">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val="en-US" w:eastAsia="zh-CN" w:bidi="ar"/>
        </w:rPr>
        <w:t xml:space="preserve">1.5 </w:t>
      </w:r>
      <w:r>
        <w:rPr>
          <w:rFonts w:hint="eastAsia" w:ascii="宋体" w:hAnsi="宋体" w:eastAsia="宋体" w:cs="宋体"/>
          <w:b w:val="0"/>
          <w:bCs w:val="0"/>
          <w:color w:val="000000"/>
          <w:spacing w:val="0"/>
          <w:kern w:val="0"/>
          <w:sz w:val="24"/>
          <w:szCs w:val="24"/>
          <w:lang w:bidi="ar"/>
        </w:rPr>
        <w:t>其他</w:t>
      </w:r>
    </w:p>
    <w:p w14:paraId="5F784EA9">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bidi="ar"/>
        </w:rPr>
        <w:t>在本补充协议中，标有【可选】的条款为进阶条款，它们适用于等保三级及以上、以及需要进行密评的产品或服务。对于这类产品或服务，双方必须签署基础条款以及进阶条款。对于等保三级以下的产品或服务，双方必须签署基础条款，建议签署进阶条款，以提升服务的安全性和完整性。</w:t>
      </w:r>
    </w:p>
    <w:p w14:paraId="574F9BEF">
      <w:pPr>
        <w:pageBreakBefore w:val="0"/>
        <w:widowControl/>
        <w:kinsoku/>
        <w:wordWrap/>
        <w:overflowPunct/>
        <w:topLinePunct w:val="0"/>
        <w:bidi w:val="0"/>
        <w:snapToGrid/>
        <w:spacing w:line="360" w:lineRule="auto"/>
        <w:jc w:val="left"/>
        <w:textAlignment w:val="auto"/>
        <w:rPr>
          <w:rFonts w:hint="eastAsia" w:ascii="宋体" w:hAnsi="宋体" w:eastAsia="宋体" w:cs="宋体"/>
          <w:b w:val="0"/>
          <w:bCs w:val="0"/>
          <w:color w:val="000000"/>
          <w:spacing w:val="0"/>
          <w:kern w:val="0"/>
          <w:sz w:val="24"/>
          <w:szCs w:val="24"/>
          <w:lang w:val="en-US" w:eastAsia="zh-CN" w:bidi="ar"/>
        </w:rPr>
      </w:pPr>
    </w:p>
    <w:p w14:paraId="62D12D91">
      <w:pPr>
        <w:pStyle w:val="7"/>
        <w:keepNext/>
        <w:keepLines/>
        <w:pageBreakBefore w:val="0"/>
        <w:widowControl w:val="0"/>
        <w:numPr>
          <w:ilvl w:val="1"/>
          <w:numId w:val="0"/>
        </w:numPr>
        <w:kinsoku/>
        <w:wordWrap/>
        <w:overflowPunct/>
        <w:topLinePunct w:val="0"/>
        <w:autoSpaceDE/>
        <w:autoSpaceDN/>
        <w:bidi w:val="0"/>
        <w:adjustRightInd/>
        <w:snapToGrid/>
        <w:spacing w:before="0" w:after="0" w:line="360" w:lineRule="auto"/>
        <w:ind w:leftChars="0"/>
        <w:textAlignment w:val="auto"/>
        <w:rPr>
          <w:rFonts w:hint="eastAsia" w:ascii="宋体" w:hAnsi="宋体" w:eastAsia="宋体" w:cs="宋体"/>
          <w:b/>
          <w:bCs/>
          <w:sz w:val="32"/>
          <w:szCs w:val="32"/>
        </w:rPr>
      </w:pPr>
      <w:r>
        <w:rPr>
          <w:rFonts w:hint="eastAsia" w:ascii="宋体" w:hAnsi="宋体" w:eastAsia="宋体" w:cs="宋体"/>
          <w:b/>
          <w:bCs/>
          <w:sz w:val="32"/>
          <w:szCs w:val="32"/>
        </w:rPr>
        <w:t>二、</w:t>
      </w:r>
      <w:r>
        <w:rPr>
          <w:rFonts w:hint="eastAsia" w:ascii="宋体" w:hAnsi="宋体" w:eastAsia="宋体" w:cs="宋体"/>
          <w:b/>
          <w:bCs/>
          <w:sz w:val="32"/>
          <w:szCs w:val="32"/>
          <w:lang w:val="en-US" w:eastAsia="zh-CN"/>
        </w:rPr>
        <w:t>主</w:t>
      </w:r>
      <w:r>
        <w:rPr>
          <w:rFonts w:hint="eastAsia" w:ascii="宋体" w:hAnsi="宋体" w:eastAsia="宋体" w:cs="宋体"/>
          <w:b/>
          <w:bCs/>
          <w:sz w:val="32"/>
          <w:szCs w:val="32"/>
        </w:rPr>
        <w:t>合同基本内容（服务内容、服务期限等）</w:t>
      </w:r>
    </w:p>
    <w:p w14:paraId="77C548EF">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bidi="ar"/>
        </w:rPr>
      </w:pPr>
      <w:r>
        <w:rPr>
          <w:rFonts w:hint="eastAsia" w:ascii="宋体" w:hAnsi="宋体" w:eastAsia="宋体" w:cs="宋体"/>
          <w:b w:val="0"/>
          <w:bCs w:val="0"/>
          <w:color w:val="000000"/>
          <w:spacing w:val="0"/>
          <w:kern w:val="0"/>
          <w:sz w:val="24"/>
          <w:szCs w:val="24"/>
          <w:lang w:val="en-US" w:eastAsia="zh-CN" w:bidi="ar"/>
        </w:rPr>
        <w:t>2</w:t>
      </w:r>
      <w:r>
        <w:rPr>
          <w:rFonts w:hint="eastAsia" w:ascii="宋体" w:hAnsi="宋体" w:eastAsia="宋体" w:cs="宋体"/>
          <w:b w:val="0"/>
          <w:bCs w:val="0"/>
          <w:color w:val="000000"/>
          <w:spacing w:val="0"/>
          <w:kern w:val="0"/>
          <w:sz w:val="24"/>
          <w:szCs w:val="24"/>
          <w:lang w:bidi="ar"/>
        </w:rPr>
        <w:t>.1 主合同名称：</w:t>
      </w:r>
    </w:p>
    <w:p w14:paraId="168310E1">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bidi="ar"/>
        </w:rPr>
      </w:pPr>
      <w:r>
        <w:rPr>
          <w:rFonts w:hint="eastAsia" w:ascii="宋体" w:hAnsi="宋体" w:eastAsia="宋体" w:cs="宋体"/>
          <w:b w:val="0"/>
          <w:bCs w:val="0"/>
          <w:color w:val="000000"/>
          <w:spacing w:val="0"/>
          <w:kern w:val="0"/>
          <w:sz w:val="24"/>
          <w:szCs w:val="24"/>
          <w:lang w:val="en-US" w:eastAsia="zh-CN" w:bidi="ar"/>
        </w:rPr>
        <w:t>2.2 服务内容：本服务涉及的产品/服务内容包括：......</w:t>
      </w:r>
    </w:p>
    <w:p w14:paraId="3457B338">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bidi="ar"/>
        </w:rPr>
      </w:pPr>
      <w:r>
        <w:rPr>
          <w:rFonts w:hint="eastAsia" w:ascii="宋体" w:hAnsi="宋体" w:eastAsia="宋体" w:cs="宋体"/>
          <w:b w:val="0"/>
          <w:bCs w:val="0"/>
          <w:color w:val="000000"/>
          <w:spacing w:val="0"/>
          <w:kern w:val="0"/>
          <w:sz w:val="24"/>
          <w:szCs w:val="24"/>
          <w:lang w:val="en-US" w:eastAsia="zh-CN" w:bidi="ar"/>
        </w:rPr>
        <w:t>2</w:t>
      </w:r>
      <w:r>
        <w:rPr>
          <w:rFonts w:hint="eastAsia" w:ascii="宋体" w:hAnsi="宋体" w:eastAsia="宋体" w:cs="宋体"/>
          <w:b w:val="0"/>
          <w:bCs w:val="0"/>
          <w:color w:val="000000"/>
          <w:spacing w:val="0"/>
          <w:kern w:val="0"/>
          <w:sz w:val="24"/>
          <w:szCs w:val="24"/>
          <w:lang w:bidi="ar"/>
        </w:rPr>
        <w:t>.</w:t>
      </w:r>
      <w:r>
        <w:rPr>
          <w:rFonts w:hint="eastAsia" w:ascii="宋体" w:hAnsi="宋体" w:eastAsia="宋体" w:cs="宋体"/>
          <w:b w:val="0"/>
          <w:bCs w:val="0"/>
          <w:color w:val="000000"/>
          <w:spacing w:val="0"/>
          <w:kern w:val="0"/>
          <w:sz w:val="24"/>
          <w:szCs w:val="24"/>
          <w:lang w:val="en-US" w:eastAsia="zh-CN" w:bidi="ar"/>
        </w:rPr>
        <w:t>3</w:t>
      </w:r>
      <w:r>
        <w:rPr>
          <w:rFonts w:hint="eastAsia" w:ascii="宋体" w:hAnsi="宋体" w:eastAsia="宋体" w:cs="宋体"/>
          <w:b w:val="0"/>
          <w:bCs w:val="0"/>
          <w:color w:val="000000"/>
          <w:spacing w:val="0"/>
          <w:kern w:val="0"/>
          <w:sz w:val="24"/>
          <w:szCs w:val="24"/>
          <w:lang w:bidi="ar"/>
        </w:rPr>
        <w:t xml:space="preserve"> </w:t>
      </w:r>
      <w:r>
        <w:rPr>
          <w:rFonts w:hint="eastAsia" w:ascii="宋体" w:hAnsi="宋体" w:eastAsia="宋体" w:cs="宋体"/>
          <w:b w:val="0"/>
          <w:bCs w:val="0"/>
          <w:color w:val="000000"/>
          <w:spacing w:val="0"/>
          <w:kern w:val="0"/>
          <w:sz w:val="24"/>
          <w:szCs w:val="24"/>
          <w:lang w:val="en-US" w:eastAsia="zh-CN" w:bidi="ar"/>
        </w:rPr>
        <w:t>服务期限：本服务中的采购产品质保/服务期限为......</w:t>
      </w:r>
    </w:p>
    <w:p w14:paraId="51654273">
      <w:pPr>
        <w:spacing w:line="360" w:lineRule="auto"/>
        <w:rPr>
          <w:rFonts w:hint="eastAsia" w:ascii="宋体" w:hAnsi="宋体" w:eastAsia="宋体" w:cs="宋体"/>
          <w:b w:val="0"/>
          <w:bCs w:val="0"/>
          <w:sz w:val="24"/>
          <w:szCs w:val="24"/>
        </w:rPr>
      </w:pPr>
    </w:p>
    <w:p w14:paraId="0C64E692">
      <w:pPr>
        <w:pStyle w:val="7"/>
        <w:keepNext/>
        <w:keepLines/>
        <w:pageBreakBefore w:val="0"/>
        <w:widowControl w:val="0"/>
        <w:numPr>
          <w:ilvl w:val="1"/>
          <w:numId w:val="0"/>
        </w:numPr>
        <w:kinsoku/>
        <w:wordWrap/>
        <w:overflowPunct/>
        <w:topLinePunct w:val="0"/>
        <w:autoSpaceDE/>
        <w:autoSpaceDN/>
        <w:bidi w:val="0"/>
        <w:adjustRightInd/>
        <w:snapToGrid/>
        <w:spacing w:before="0" w:after="0" w:line="360" w:lineRule="auto"/>
        <w:ind w:leftChars="0"/>
        <w:textAlignment w:val="auto"/>
        <w:rPr>
          <w:rFonts w:hint="eastAsia" w:ascii="宋体" w:hAnsi="宋体" w:eastAsia="宋体" w:cs="宋体"/>
          <w:b/>
          <w:bCs/>
          <w:sz w:val="32"/>
          <w:szCs w:val="32"/>
          <w:lang w:val="en-US" w:eastAsia="zh-CN"/>
        </w:rPr>
      </w:pPr>
      <w:r>
        <w:rPr>
          <w:rFonts w:hint="eastAsia" w:ascii="宋体" w:hAnsi="宋体" w:eastAsia="宋体" w:cs="宋体"/>
          <w:b/>
          <w:bCs/>
          <w:sz w:val="32"/>
          <w:szCs w:val="32"/>
        </w:rPr>
        <w:t>三、安全</w:t>
      </w:r>
      <w:r>
        <w:rPr>
          <w:rFonts w:hint="eastAsia" w:ascii="宋体" w:hAnsi="宋体" w:eastAsia="宋体" w:cs="宋体"/>
          <w:b/>
          <w:bCs/>
          <w:sz w:val="32"/>
          <w:szCs w:val="32"/>
          <w:lang w:val="en-US" w:eastAsia="zh-CN"/>
        </w:rPr>
        <w:t xml:space="preserve">要求 </w:t>
      </w:r>
    </w:p>
    <w:p w14:paraId="4E174321">
      <w:pPr>
        <w:pStyle w:val="8"/>
        <w:keepNext/>
        <w:keepLines/>
        <w:pageBreakBefore w:val="0"/>
        <w:widowControl w:val="0"/>
        <w:numPr>
          <w:ilvl w:val="2"/>
          <w:numId w:val="0"/>
        </w:numPr>
        <w:kinsoku/>
        <w:wordWrap/>
        <w:overflowPunct/>
        <w:topLinePunct w:val="0"/>
        <w:autoSpaceDE/>
        <w:autoSpaceDN/>
        <w:bidi w:val="0"/>
        <w:adjustRightInd/>
        <w:snapToGrid/>
        <w:spacing w:before="0" w:after="0" w:line="360" w:lineRule="auto"/>
        <w:ind w:leftChars="0"/>
        <w:jc w:val="left"/>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第一条 集成设计</w:t>
      </w:r>
    </w:p>
    <w:p w14:paraId="6FA7F412">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1.1 乙方应确保集成系统的设计方案符合甲方的总体业务目标和项目目标。</w:t>
      </w:r>
    </w:p>
    <w:p w14:paraId="6F2C78F5">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1.2 乙方应在集成设计阶段进行安全风险评估工作，对集成系统中可能出现的安全威胁和漏洞进行评估，并向甲方提供评估材料。</w:t>
      </w:r>
    </w:p>
    <w:p w14:paraId="472B0707">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1.3 乙方应确保集成设计方案在整个软件生命周期内都遵守适用的法律法规和行业标准。</w:t>
      </w:r>
    </w:p>
    <w:p w14:paraId="200B6C4D">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1.4 乙方在设计过程中应考虑集成系统各单元模块的权限安全，确保每个模块只被授予满足其基本功能需求的最小权限。</w:t>
      </w:r>
    </w:p>
    <w:p w14:paraId="0E7F90AE">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1.5 乙方在设计过程中应考虑用户权限，合理限定每个应用和用户的权限范围和有效时间。</w:t>
      </w:r>
    </w:p>
    <w:p w14:paraId="423E406A">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1.6 乙方在设计中应对集成系统的敏感数据进行加密传输和储存。</w:t>
      </w:r>
    </w:p>
    <w:p w14:paraId="7C8B1F52">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1.7 乙方应要求二级供应商在开发交付产品时明确说明并提供所有必要的接口和功能，包括但不限于API文档、数据格式、调用方式等。</w:t>
      </w:r>
    </w:p>
    <w:p w14:paraId="41CB134B">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1.8 乙方应设计接口访问控制规则，确保经过身份认证和权限认证的用户才能访问相应的接口。</w:t>
      </w:r>
    </w:p>
    <w:p w14:paraId="77B12EF2">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1.9 乙方在设计过程中应考虑为集成系统配备威胁防护措施以防止恶意软件和其他侵入威胁。</w:t>
      </w:r>
    </w:p>
    <w:p w14:paraId="0498ACA6">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1.10 乙方设计中存在密钥相关功能的，应有完整的密钥管理模块，该模块包括密钥的生成、存储、分发、更新、吊销等环节。</w:t>
      </w:r>
    </w:p>
    <w:p w14:paraId="7109F93E">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1.11 乙方在设计过程中应考虑系统参数和配置信息的监控审计机制，及时发现并应对异常行为。</w:t>
      </w:r>
    </w:p>
    <w:p w14:paraId="5A7C6C99">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1.12 乙方在设计中应考虑日志和安全事件管理机制，收集系统和网络设备的日志并建立快速响应机制应对威胁。</w:t>
      </w:r>
    </w:p>
    <w:p w14:paraId="39D69A81">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1.13 乙方在设计中应考虑软件废止的相关管理机制，包括但不限于数据备份迁移策略和数据清理方法等。</w:t>
      </w:r>
    </w:p>
    <w:p w14:paraId="48EACDDD">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1.14【可选】乙方应编制详细的安全需求文档，明确列出集成建设的核心安全目标和参与集成建设的二级供应商必须具备的安全能力和资质。</w:t>
      </w:r>
    </w:p>
    <w:p w14:paraId="0F49C884">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p>
    <w:p w14:paraId="7BB009BE">
      <w:pPr>
        <w:pStyle w:val="8"/>
        <w:keepNext/>
        <w:keepLines/>
        <w:pageBreakBefore w:val="0"/>
        <w:widowControl w:val="0"/>
        <w:numPr>
          <w:ilvl w:val="2"/>
          <w:numId w:val="0"/>
        </w:numPr>
        <w:kinsoku/>
        <w:wordWrap/>
        <w:overflowPunct/>
        <w:topLinePunct w:val="0"/>
        <w:autoSpaceDE/>
        <w:autoSpaceDN/>
        <w:bidi w:val="0"/>
        <w:adjustRightInd/>
        <w:snapToGrid/>
        <w:spacing w:before="0" w:after="0" w:line="360" w:lineRule="auto"/>
        <w:ind w:leftChars="0"/>
        <w:jc w:val="left"/>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第二条 集成实施</w:t>
      </w:r>
    </w:p>
    <w:p w14:paraId="7D7578EF">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bookmarkStart w:id="79" w:name="_Hlk108074405"/>
      <w:r>
        <w:rPr>
          <w:rFonts w:hint="eastAsia" w:ascii="宋体" w:hAnsi="宋体" w:eastAsia="宋体" w:cs="宋体"/>
          <w:b w:val="0"/>
          <w:bCs w:val="0"/>
          <w:color w:val="000000"/>
          <w:spacing w:val="0"/>
          <w:kern w:val="0"/>
          <w:sz w:val="24"/>
          <w:szCs w:val="24"/>
          <w:lang w:val="en-US" w:eastAsia="zh-CN" w:bidi="ar"/>
        </w:rPr>
        <w:t>2.1 乙方应制定详尽的故障恢复和灾难恢复计划，包括数据备份策略、备用系统配置等，并定期进行测试演练，确保能够及时响应突发事件。</w:t>
      </w:r>
    </w:p>
    <w:p w14:paraId="464B45A6">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2.2 乙方应定期对集成系统进行安全补丁更新和系统升级。</w:t>
      </w:r>
    </w:p>
    <w:bookmarkEnd w:id="79"/>
    <w:p w14:paraId="13C01A77">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bookmarkStart w:id="80" w:name="_Hlk108079639"/>
      <w:r>
        <w:rPr>
          <w:rFonts w:hint="eastAsia" w:ascii="宋体" w:hAnsi="宋体" w:eastAsia="宋体" w:cs="宋体"/>
          <w:b w:val="0"/>
          <w:bCs w:val="0"/>
          <w:color w:val="000000"/>
          <w:spacing w:val="0"/>
          <w:kern w:val="0"/>
          <w:sz w:val="24"/>
          <w:szCs w:val="24"/>
          <w:lang w:val="en-US" w:eastAsia="zh-CN" w:bidi="ar"/>
        </w:rPr>
        <w:t>2.3 乙方应</w:t>
      </w:r>
      <w:bookmarkEnd w:id="80"/>
      <w:bookmarkStart w:id="81" w:name="_Hlk108083768"/>
      <w:r>
        <w:rPr>
          <w:rFonts w:hint="eastAsia" w:ascii="宋体" w:hAnsi="宋体" w:eastAsia="宋体" w:cs="宋体"/>
          <w:b w:val="0"/>
          <w:bCs w:val="0"/>
          <w:color w:val="000000"/>
          <w:spacing w:val="0"/>
          <w:kern w:val="0"/>
          <w:sz w:val="24"/>
          <w:szCs w:val="24"/>
          <w:lang w:val="en-US" w:eastAsia="zh-CN" w:bidi="ar"/>
        </w:rPr>
        <w:t>在实施阶段定期使用相关安全工具对集成系统进行安全漏洞扫描并记录存在的安全漏洞。</w:t>
      </w:r>
    </w:p>
    <w:p w14:paraId="49F76C97">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2.4 乙方应对实施阶段发现的漏洞和安全隐患制定修复计划，征得甲方同意后，按照计划进行修复。</w:t>
      </w:r>
      <w:bookmarkEnd w:id="81"/>
    </w:p>
    <w:p w14:paraId="2D76AA49">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2.5 乙方应充分熟悉集成系统中所使用的组件或产品的知识产权，对知识产权进行规范管理，防止侵权。</w:t>
      </w:r>
    </w:p>
    <w:p w14:paraId="727B68EB">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2.6 乙方应及时提供交付环节变化的通报，以及相关的交付途径安全性分析报告，并对可能造成严重后果的变化快速采取补救措施。</w:t>
      </w:r>
    </w:p>
    <w:p w14:paraId="4D297468">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2.7 乙方应在甲乙双方约定的质保期或过渡期内对实施过程中引入的安全漏洞进行修复。</w:t>
      </w:r>
    </w:p>
    <w:p w14:paraId="18C478E7">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2.8 乙方应明确集成系统安全交付条件为满足法律法规、标准规范和甲方需求，禁止开启无关功能、捆绑无关软件等交付约定范围外的内容。</w:t>
      </w:r>
    </w:p>
    <w:p w14:paraId="1407379D">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2.9 乙方应制定详细的部署计划和流程，包括但不限于完善的回滚机制和必要的初始化机制，并定期进行部署演练。</w:t>
      </w:r>
    </w:p>
    <w:p w14:paraId="15DEBF40">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2.10 乙方在部署完成后应协助甲方对集成系统的功能和稳定性进行测试和监控。</w:t>
      </w:r>
    </w:p>
    <w:p w14:paraId="44B41DB8">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2.11 在集成系统上线前，乙方应使用安全检测工具进行扫描检测，确保所有高危及以上的漏洞和安全隐患均已被有效修复，并向甲方提供漏洞修复后的检测报告。</w:t>
      </w:r>
    </w:p>
    <w:p w14:paraId="79627846">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2.12 乙方应在部署新系统或进行系统更新前为甲方提供必要的安全培训和演练。</w:t>
      </w:r>
    </w:p>
    <w:p w14:paraId="0B6FD955">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2.13 涉及到软件废止环节的，乙方应负责开展软件卸载、停用及数据备份、迁移以及销毁工作。</w:t>
      </w:r>
    </w:p>
    <w:p w14:paraId="0B9A6C88">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p>
    <w:p w14:paraId="3438DCF2">
      <w:pPr>
        <w:pStyle w:val="8"/>
        <w:keepNext/>
        <w:keepLines/>
        <w:pageBreakBefore w:val="0"/>
        <w:widowControl w:val="0"/>
        <w:numPr>
          <w:ilvl w:val="2"/>
          <w:numId w:val="0"/>
        </w:numPr>
        <w:kinsoku/>
        <w:wordWrap/>
        <w:overflowPunct/>
        <w:topLinePunct w:val="0"/>
        <w:autoSpaceDE/>
        <w:autoSpaceDN/>
        <w:bidi w:val="0"/>
        <w:adjustRightInd/>
        <w:snapToGrid/>
        <w:spacing w:before="0" w:after="0" w:line="360" w:lineRule="auto"/>
        <w:ind w:leftChars="0"/>
        <w:jc w:val="left"/>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第三条 集成管理</w:t>
      </w:r>
    </w:p>
    <w:p w14:paraId="1C90AB37">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3.1 乙方应定期同步集成建设过程中的信息，包括需求变更、实施进度、风险评估和后续计划等。</w:t>
      </w:r>
    </w:p>
    <w:p w14:paraId="4A4041D6">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3.2 乙方应建立文档版本管理制度，整理所有集成项目相关的文档资料和记录系统历次的更新操作，保证所有操作可溯源。</w:t>
      </w:r>
    </w:p>
    <w:p w14:paraId="326B1C32">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3.3 乙方应确保集成管理中有完善的变更流程，并建立变更的申报和审批控制程序。经甲方同意后，确保服务变更以受控的方式得到评估、批准和实施。</w:t>
      </w:r>
    </w:p>
    <w:p w14:paraId="180D247A">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3.4 乙方应定期更新集成系统的应急响应计划，并建立安全监控机制，对安全事件进行实时监测和响应，包括安全漏洞和即将到期或超过授权、维保期限的软件或组件。</w:t>
      </w:r>
    </w:p>
    <w:p w14:paraId="3A396540">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3.5 在发生突发事件时，乙方应在双方约定的时间范围内恢复服务。</w:t>
      </w:r>
    </w:p>
    <w:p w14:paraId="72A1EF67">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3.6 乙方应明确运维人员的访问权限级别，对其访问范围和授权期限进行严格控制。</w:t>
      </w:r>
    </w:p>
    <w:p w14:paraId="58CC2131">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3.7 乙方应建立并执行离职离岗人员的制度，包括账号、权限、材料等交接、清理。</w:t>
      </w:r>
    </w:p>
    <w:p w14:paraId="73B2BCAD">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3.8 乙方应确保与其合作的所有分包商都承担相应的安全义务，并对分包商可能带来的安全风险承担连带责任。</w:t>
      </w:r>
    </w:p>
    <w:p w14:paraId="7664F68F">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3.9 乙方应对集成系统内的所有子系统和应用进行核查，确保二级供应商所采用的安全政策和程序符合集成系统的安全策略。</w:t>
      </w:r>
    </w:p>
    <w:p w14:paraId="7F8EF8CB">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3.10</w:t>
      </w:r>
      <w:bookmarkStart w:id="82" w:name="OLE_LINK3"/>
      <w:r>
        <w:rPr>
          <w:rFonts w:hint="eastAsia" w:ascii="宋体" w:hAnsi="宋体" w:eastAsia="宋体" w:cs="宋体"/>
          <w:b w:val="0"/>
          <w:bCs w:val="0"/>
          <w:color w:val="000000"/>
          <w:spacing w:val="0"/>
          <w:kern w:val="0"/>
          <w:sz w:val="24"/>
          <w:szCs w:val="24"/>
          <w:lang w:val="en-US" w:eastAsia="zh-CN" w:bidi="ar"/>
        </w:rPr>
        <w:t xml:space="preserve"> 乙方应保证建设的集成系统通过权威的供应链安全检测机构的检测认证。</w:t>
      </w:r>
      <w:bookmarkEnd w:id="82"/>
    </w:p>
    <w:p w14:paraId="52495E76">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3.11 乙方应识别和评估与二级供应商相关的所有潜在风险，并针对供应链安全风险较高或未整改风险的供应商采取额外的监控和审查措施。</w:t>
      </w:r>
    </w:p>
    <w:p w14:paraId="1DA41A3D">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3.12 发现乙方提供的产品或服务存在安全漏洞的情况时，乙方应及时组织技术团队对安全漏洞进行修补，并在确认修补方案后，向甲方提供修补计划。乙方还应提供必要的技术支持，包括但不限于远程协助和现场服务等，确保甲方系统能够尽快恢复正常运行，且漏洞得到妥善解决。</w:t>
      </w:r>
    </w:p>
    <w:p w14:paraId="342039F3">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3.13 乙方应定期对安全测试工具进行评估和更新，确保能够有效地识别到最新的安全威胁和漏洞。</w:t>
      </w:r>
    </w:p>
    <w:p w14:paraId="600B9CF4">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3.14 在乙方无法履行其责任义务或由于其他不可抗力无法继续履行责任义务的情况下，甲方有权直接与二级供应商沟通，在本项目中行使乙方与二级供应商约定的权利。</w:t>
      </w:r>
    </w:p>
    <w:p w14:paraId="0F3E9AC8">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3.15【可选】乙方应对集成建设系统进行周期性安全评估，确保符合现行法律、法规和行业标准，并记录合规性要求。</w:t>
      </w:r>
    </w:p>
    <w:p w14:paraId="1B8B02AB">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3.16【可选】乙方应建立持续的风险监测机制，定期审查和评估集成系统的风险状态和现有风险处置应对措施的有效性。</w:t>
      </w:r>
    </w:p>
    <w:p w14:paraId="20692FAF">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3.17【可选】乙方应定期评估二级供应商的安全事件应对能力和供应产品的安全性，确保供应产品符合安全政策。</w:t>
      </w:r>
    </w:p>
    <w:p w14:paraId="08D3D963">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3.18【可选】乙方应定期审查和更新集成系统的安全架构，评估现有安全架构的健壮性，并采取必要的改进措施。</w:t>
      </w:r>
    </w:p>
    <w:p w14:paraId="5921FD47">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3.19【可选】乙方应定期审查所需硬件在仓储和物流过程中安全措施的有效性，并根据需要进行调整。</w:t>
      </w:r>
    </w:p>
    <w:p w14:paraId="3A6AE566">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p>
    <w:p w14:paraId="796AA1E2">
      <w:pPr>
        <w:pStyle w:val="7"/>
        <w:keepNext/>
        <w:keepLines/>
        <w:pageBreakBefore w:val="0"/>
        <w:widowControl w:val="0"/>
        <w:numPr>
          <w:ilvl w:val="1"/>
          <w:numId w:val="0"/>
        </w:numPr>
        <w:kinsoku/>
        <w:wordWrap/>
        <w:overflowPunct/>
        <w:topLinePunct w:val="0"/>
        <w:autoSpaceDE/>
        <w:autoSpaceDN/>
        <w:bidi w:val="0"/>
        <w:adjustRightInd/>
        <w:snapToGrid/>
        <w:spacing w:before="0" w:after="0" w:line="360" w:lineRule="auto"/>
        <w:ind w:leftChars="0"/>
        <w:textAlignment w:val="auto"/>
        <w:rPr>
          <w:rFonts w:hint="eastAsia" w:ascii="宋体" w:hAnsi="宋体" w:eastAsia="宋体" w:cs="宋体"/>
          <w:b/>
          <w:bCs/>
          <w:sz w:val="32"/>
          <w:szCs w:val="32"/>
          <w:lang w:val="en-US" w:eastAsia="zh-CN"/>
        </w:rPr>
      </w:pPr>
      <w:r>
        <w:rPr>
          <w:rFonts w:hint="eastAsia" w:ascii="宋体" w:hAnsi="宋体" w:eastAsia="宋体" w:cs="宋体"/>
          <w:b/>
          <w:bCs/>
          <w:sz w:val="32"/>
          <w:szCs w:val="32"/>
          <w:lang w:val="en-US" w:eastAsia="zh-CN"/>
        </w:rPr>
        <w:t>四、违约责任</w:t>
      </w:r>
    </w:p>
    <w:p w14:paraId="08927B96">
      <w:pPr>
        <w:pageBreakBefore w:val="0"/>
        <w:numPr>
          <w:ilvl w:val="0"/>
          <w:numId w:val="0"/>
        </w:numPr>
        <w:tabs>
          <w:tab w:val="left" w:pos="0"/>
        </w:tabs>
        <w:kinsoku/>
        <w:wordWrap/>
        <w:overflowPunct/>
        <w:topLinePunct w:val="0"/>
        <w:bidi w:val="0"/>
        <w:snapToGrid/>
        <w:spacing w:line="360" w:lineRule="auto"/>
        <w:ind w:leftChars="0"/>
        <w:jc w:val="left"/>
        <w:textAlignment w:val="auto"/>
        <w:rPr>
          <w:rFonts w:hint="default" w:ascii="宋体" w:hAnsi="宋体" w:eastAsia="宋体" w:cs="宋体"/>
          <w:b w:val="0"/>
          <w:bCs w:val="0"/>
          <w:color w:val="000000"/>
          <w:spacing w:val="0"/>
          <w:kern w:val="0"/>
          <w:sz w:val="24"/>
          <w:szCs w:val="24"/>
          <w:lang w:val="en-US" w:eastAsia="zh-CN" w:bidi="ar"/>
        </w:rPr>
      </w:pPr>
      <w:r>
        <w:rPr>
          <w:rFonts w:hint="eastAsia" w:ascii="宋体" w:hAnsi="宋体" w:eastAsia="宋体" w:cs="宋体"/>
          <w:b w:val="0"/>
          <w:bCs w:val="0"/>
          <w:color w:val="000000"/>
          <w:spacing w:val="0"/>
          <w:kern w:val="0"/>
          <w:sz w:val="24"/>
          <w:szCs w:val="24"/>
          <w:lang w:val="en-US" w:eastAsia="zh-CN" w:bidi="ar"/>
        </w:rPr>
        <w:tab/>
      </w:r>
      <w:r>
        <w:rPr>
          <w:rFonts w:hint="eastAsia" w:ascii="宋体" w:hAnsi="宋体" w:eastAsia="宋体" w:cs="宋体"/>
          <w:b w:val="0"/>
          <w:bCs w:val="0"/>
          <w:color w:val="000000"/>
          <w:spacing w:val="0"/>
          <w:kern w:val="0"/>
          <w:sz w:val="24"/>
          <w:szCs w:val="24"/>
          <w:lang w:val="en-US" w:eastAsia="zh-CN" w:bidi="ar"/>
        </w:rPr>
        <w:t>1、任何一方不履行上述安全要求或者履行不符合约定的，应当承担继续履行、采取补救措施或者赔偿损失等违约责任；</w:t>
      </w:r>
    </w:p>
    <w:p w14:paraId="59A53932">
      <w:pPr>
        <w:pageBreakBefore w:val="0"/>
        <w:numPr>
          <w:ilvl w:val="0"/>
          <w:numId w:val="0"/>
        </w:numPr>
        <w:tabs>
          <w:tab w:val="left" w:pos="0"/>
        </w:tabs>
        <w:kinsoku/>
        <w:wordWrap/>
        <w:overflowPunct/>
        <w:topLinePunct w:val="0"/>
        <w:bidi w:val="0"/>
        <w:snapToGrid/>
        <w:spacing w:line="360" w:lineRule="auto"/>
        <w:ind w:leftChars="0"/>
        <w:jc w:val="left"/>
        <w:textAlignment w:val="auto"/>
        <w:rPr>
          <w:rFonts w:hint="eastAsia" w:ascii="宋体" w:hAnsi="宋体" w:eastAsia="宋体" w:cs="宋体"/>
          <w:b w:val="0"/>
          <w:bCs w:val="0"/>
          <w:spacing w:val="0"/>
          <w:sz w:val="24"/>
          <w:szCs w:val="24"/>
          <w:lang w:val="en-US" w:eastAsia="zh-CN"/>
        </w:rPr>
      </w:pPr>
      <w:r>
        <w:rPr>
          <w:rFonts w:hint="eastAsia" w:ascii="宋体" w:hAnsi="宋体" w:eastAsia="宋体" w:cs="宋体"/>
          <w:b w:val="0"/>
          <w:bCs w:val="0"/>
          <w:spacing w:val="0"/>
          <w:sz w:val="24"/>
          <w:szCs w:val="24"/>
          <w:lang w:val="en-US" w:eastAsia="zh-CN"/>
        </w:rPr>
        <w:tab/>
      </w:r>
      <w:r>
        <w:rPr>
          <w:rFonts w:hint="eastAsia" w:ascii="宋体" w:hAnsi="宋体" w:eastAsia="宋体" w:cs="宋体"/>
          <w:b w:val="0"/>
          <w:bCs w:val="0"/>
          <w:spacing w:val="0"/>
          <w:sz w:val="24"/>
          <w:szCs w:val="24"/>
          <w:lang w:val="en-US" w:eastAsia="zh-CN"/>
        </w:rPr>
        <w:t>2、</w:t>
      </w:r>
      <w:r>
        <w:rPr>
          <w:rFonts w:hint="eastAsia" w:ascii="宋体" w:hAnsi="宋体" w:eastAsia="宋体" w:cs="宋体"/>
          <w:b w:val="0"/>
          <w:bCs w:val="0"/>
          <w:spacing w:val="0"/>
          <w:sz w:val="24"/>
          <w:szCs w:val="24"/>
          <w:lang w:val="en-US" w:eastAsia="zh-Hans"/>
        </w:rPr>
        <w:t>凡因本协议引起的或与本协议有关的一切争议，由双方友好协商解决。协商不成的，任何</w:t>
      </w:r>
      <w:r>
        <w:rPr>
          <w:rFonts w:hint="eastAsia" w:ascii="宋体" w:hAnsi="宋体" w:eastAsia="宋体" w:cs="宋体"/>
          <w:b w:val="0"/>
          <w:bCs w:val="0"/>
          <w:spacing w:val="0"/>
          <w:sz w:val="24"/>
          <w:szCs w:val="24"/>
          <w:lang w:val="en-US" w:eastAsia="zh-CN"/>
        </w:rPr>
        <w:t>一方</w:t>
      </w:r>
      <w:r>
        <w:rPr>
          <w:rFonts w:hint="eastAsia" w:ascii="宋体" w:hAnsi="宋体" w:eastAsia="宋体" w:cs="宋体"/>
          <w:b w:val="0"/>
          <w:bCs w:val="0"/>
          <w:spacing w:val="0"/>
          <w:sz w:val="24"/>
          <w:szCs w:val="24"/>
          <w:lang w:val="en-US" w:eastAsia="zh-Hans"/>
        </w:rPr>
        <w:t>均有权向甲方</w:t>
      </w:r>
      <w:r>
        <w:rPr>
          <w:rFonts w:hint="eastAsia" w:ascii="宋体" w:hAnsi="宋体" w:eastAsia="宋体" w:cs="宋体"/>
          <w:b w:val="0"/>
          <w:bCs w:val="0"/>
          <w:spacing w:val="0"/>
          <w:sz w:val="24"/>
          <w:szCs w:val="24"/>
          <w:lang w:val="en-US" w:eastAsia="zh-CN"/>
        </w:rPr>
        <w:t>所在地</w:t>
      </w:r>
      <w:r>
        <w:rPr>
          <w:rFonts w:hint="eastAsia" w:ascii="宋体" w:hAnsi="宋体" w:eastAsia="宋体" w:cs="宋体"/>
          <w:b w:val="0"/>
          <w:bCs w:val="0"/>
          <w:spacing w:val="0"/>
          <w:sz w:val="24"/>
          <w:szCs w:val="24"/>
          <w:lang w:val="en-US" w:eastAsia="zh-Hans"/>
        </w:rPr>
        <w:t>人民法院起诉。</w:t>
      </w:r>
    </w:p>
    <w:p w14:paraId="2370DEE8">
      <w:pPr>
        <w:pageBreakBefore w:val="0"/>
        <w:numPr>
          <w:ilvl w:val="0"/>
          <w:numId w:val="0"/>
        </w:numPr>
        <w:tabs>
          <w:tab w:val="left" w:pos="0"/>
        </w:tabs>
        <w:kinsoku/>
        <w:wordWrap/>
        <w:overflowPunct/>
        <w:topLinePunct w:val="0"/>
        <w:bidi w:val="0"/>
        <w:snapToGrid/>
        <w:spacing w:line="360" w:lineRule="auto"/>
        <w:ind w:leftChars="0"/>
        <w:jc w:val="left"/>
        <w:textAlignment w:val="auto"/>
        <w:rPr>
          <w:rFonts w:hint="eastAsia" w:ascii="宋体" w:hAnsi="宋体" w:eastAsia="宋体" w:cs="宋体"/>
          <w:b w:val="0"/>
          <w:bCs w:val="0"/>
          <w:spacing w:val="0"/>
          <w:sz w:val="24"/>
          <w:szCs w:val="24"/>
          <w:lang w:val="en-US" w:eastAsia="zh-CN"/>
        </w:rPr>
      </w:pPr>
      <w:r>
        <w:rPr>
          <w:rFonts w:hint="eastAsia" w:ascii="宋体" w:hAnsi="宋体" w:eastAsia="宋体" w:cs="宋体"/>
          <w:b w:val="0"/>
          <w:bCs w:val="0"/>
          <w:spacing w:val="0"/>
          <w:sz w:val="24"/>
          <w:szCs w:val="24"/>
          <w:lang w:val="en-US" w:eastAsia="zh-CN"/>
        </w:rPr>
        <w:tab/>
      </w:r>
      <w:r>
        <w:rPr>
          <w:rFonts w:hint="eastAsia" w:ascii="宋体" w:hAnsi="宋体" w:eastAsia="宋体" w:cs="宋体"/>
          <w:b w:val="0"/>
          <w:bCs w:val="0"/>
          <w:spacing w:val="0"/>
          <w:sz w:val="24"/>
          <w:szCs w:val="24"/>
          <w:lang w:val="en-US" w:eastAsia="zh-CN"/>
        </w:rPr>
        <w:t>3、本协议与主体合同</w:t>
      </w:r>
      <w:r>
        <w:rPr>
          <w:rFonts w:hint="eastAsia" w:ascii="宋体" w:hAnsi="宋体" w:eastAsia="宋体" w:cs="宋体"/>
          <w:b w:val="0"/>
          <w:bCs w:val="0"/>
          <w:spacing w:val="0"/>
          <w:sz w:val="24"/>
          <w:szCs w:val="24"/>
          <w:lang w:val="en-US" w:eastAsia="zh-Hans"/>
        </w:rPr>
        <w:t>约定不一致</w:t>
      </w:r>
      <w:r>
        <w:rPr>
          <w:rFonts w:hint="eastAsia" w:ascii="宋体" w:hAnsi="宋体" w:eastAsia="宋体" w:cs="宋体"/>
          <w:b w:val="0"/>
          <w:bCs w:val="0"/>
          <w:spacing w:val="0"/>
          <w:sz w:val="24"/>
          <w:szCs w:val="24"/>
          <w:lang w:val="en-US" w:eastAsia="zh-CN"/>
        </w:rPr>
        <w:t>的，以本协议约定为准。</w:t>
      </w:r>
    </w:p>
    <w:p w14:paraId="66C82271">
      <w:pPr>
        <w:pageBreakBefore w:val="0"/>
        <w:widowControl/>
        <w:kinsoku/>
        <w:wordWrap/>
        <w:overflowPunct/>
        <w:topLinePunct w:val="0"/>
        <w:bidi w:val="0"/>
        <w:snapToGrid/>
        <w:spacing w:line="360" w:lineRule="auto"/>
        <w:ind w:firstLine="480" w:firstLineChars="200"/>
        <w:jc w:val="left"/>
        <w:textAlignment w:val="auto"/>
        <w:rPr>
          <w:rFonts w:hint="eastAsia" w:ascii="宋体" w:hAnsi="宋体" w:eastAsia="宋体" w:cs="宋体"/>
          <w:b w:val="0"/>
          <w:bCs w:val="0"/>
          <w:color w:val="000000"/>
          <w:spacing w:val="0"/>
          <w:kern w:val="0"/>
          <w:sz w:val="24"/>
          <w:szCs w:val="24"/>
          <w:lang w:val="en-US" w:eastAsia="zh-CN" w:bidi="ar"/>
        </w:rPr>
      </w:pPr>
    </w:p>
    <w:p w14:paraId="2364E2F5">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val="en-US" w:eastAsia="zh-CN" w:bidi="ar"/>
        </w:rPr>
      </w:pPr>
    </w:p>
    <w:p w14:paraId="5A5280D4">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bCs/>
          <w:color w:val="000000"/>
          <w:spacing w:val="0"/>
          <w:kern w:val="0"/>
          <w:sz w:val="24"/>
          <w:szCs w:val="24"/>
          <w:lang w:val="en-US" w:eastAsia="zh-CN" w:bidi="ar"/>
        </w:rPr>
      </w:pPr>
      <w:r>
        <w:rPr>
          <w:rFonts w:hint="eastAsia" w:ascii="宋体" w:hAnsi="宋体" w:eastAsia="宋体" w:cs="宋体"/>
          <w:b/>
          <w:bCs/>
          <w:color w:val="000000"/>
          <w:spacing w:val="0"/>
          <w:kern w:val="0"/>
          <w:sz w:val="24"/>
          <w:szCs w:val="24"/>
          <w:lang w:val="en-US" w:eastAsia="zh-CN" w:bidi="ar"/>
        </w:rPr>
        <w:t>本协议自双方授权代表签字盖章之日起生效，有效期与主合同一致。</w:t>
      </w:r>
    </w:p>
    <w:p w14:paraId="1B73DA68">
      <w:pPr>
        <w:pageBreakBefore w:val="0"/>
        <w:widowControl/>
        <w:kinsoku/>
        <w:wordWrap/>
        <w:overflowPunct/>
        <w:topLinePunct w:val="0"/>
        <w:bidi w:val="0"/>
        <w:snapToGrid/>
        <w:spacing w:line="360" w:lineRule="auto"/>
        <w:ind w:firstLine="482" w:firstLineChars="200"/>
        <w:jc w:val="left"/>
        <w:textAlignment w:val="auto"/>
        <w:rPr>
          <w:rFonts w:hint="eastAsia" w:ascii="宋体" w:hAnsi="宋体" w:eastAsia="宋体" w:cs="宋体"/>
          <w:b w:val="0"/>
          <w:bCs w:val="0"/>
          <w:sz w:val="24"/>
          <w:szCs w:val="24"/>
          <w:lang w:val="en-US" w:eastAsia="zh-CN"/>
        </w:rPr>
      </w:pPr>
      <w:r>
        <w:rPr>
          <w:rFonts w:hint="eastAsia" w:ascii="宋体" w:hAnsi="宋体" w:eastAsia="宋体" w:cs="宋体"/>
          <w:b/>
          <w:bCs/>
          <w:color w:val="000000"/>
          <w:spacing w:val="0"/>
          <w:kern w:val="0"/>
          <w:sz w:val="24"/>
          <w:szCs w:val="24"/>
          <w:lang w:val="en-US" w:eastAsia="zh-CN" w:bidi="ar"/>
        </w:rPr>
        <w:t>本协议是主合同不可分割的一部分，一式两份，与主合同具有同等法律效力。</w:t>
      </w:r>
    </w:p>
    <w:p w14:paraId="539E4AF5">
      <w:pPr>
        <w:pageBreakBefore w:val="0"/>
        <w:widowControl/>
        <w:kinsoku/>
        <w:wordWrap/>
        <w:overflowPunct/>
        <w:topLinePunct w:val="0"/>
        <w:bidi w:val="0"/>
        <w:snapToGrid/>
        <w:spacing w:line="360" w:lineRule="auto"/>
        <w:ind w:firstLine="482" w:firstLineChars="200"/>
        <w:jc w:val="left"/>
        <w:textAlignment w:val="auto"/>
        <w:rPr>
          <w:rFonts w:hint="default" w:ascii="宋体" w:hAnsi="宋体" w:eastAsia="宋体" w:cs="宋体"/>
          <w:b/>
          <w:bCs/>
          <w:color w:val="000000"/>
          <w:spacing w:val="0"/>
          <w:kern w:val="0"/>
          <w:sz w:val="24"/>
          <w:szCs w:val="24"/>
          <w:lang w:val="en-US" w:eastAsia="zh-CN" w:bidi="ar"/>
        </w:rPr>
      </w:pPr>
      <w:r>
        <w:rPr>
          <w:rFonts w:hint="eastAsia" w:ascii="宋体" w:hAnsi="宋体" w:eastAsia="宋体" w:cs="宋体"/>
          <w:b/>
          <w:bCs/>
          <w:color w:val="000000"/>
          <w:spacing w:val="0"/>
          <w:kern w:val="0"/>
          <w:sz w:val="24"/>
          <w:szCs w:val="24"/>
          <w:lang w:val="en-US" w:eastAsia="zh-CN" w:bidi="ar"/>
        </w:rPr>
        <w:t>本协议由公安机关监制。</w:t>
      </w:r>
    </w:p>
    <w:p w14:paraId="38AD5B33">
      <w:pPr>
        <w:pageBreakBefore w:val="0"/>
        <w:numPr>
          <w:ilvl w:val="0"/>
          <w:numId w:val="0"/>
        </w:numPr>
        <w:kinsoku/>
        <w:wordWrap/>
        <w:overflowPunct/>
        <w:topLinePunct w:val="0"/>
        <w:bidi w:val="0"/>
        <w:snapToGrid/>
        <w:spacing w:line="360" w:lineRule="auto"/>
        <w:textAlignment w:val="auto"/>
        <w:rPr>
          <w:rFonts w:hint="eastAsia" w:ascii="宋体" w:hAnsi="宋体" w:eastAsia="宋体" w:cs="宋体"/>
          <w:b w:val="0"/>
          <w:spacing w:val="0"/>
          <w:sz w:val="24"/>
          <w:szCs w:val="24"/>
          <w:lang w:val="en-US" w:eastAsia="zh-CN"/>
        </w:rPr>
      </w:pPr>
      <w:r>
        <w:rPr>
          <w:rFonts w:hint="eastAsia" w:ascii="宋体" w:hAnsi="宋体" w:eastAsia="宋体" w:cs="宋体"/>
          <w:b w:val="0"/>
          <w:spacing w:val="0"/>
          <w:sz w:val="24"/>
          <w:szCs w:val="24"/>
          <w:lang w:val="en-US" w:eastAsia="zh-CN"/>
        </w:rPr>
        <w:t xml:space="preserve">                                </w:t>
      </w:r>
    </w:p>
    <w:p w14:paraId="0BAB493F">
      <w:pPr>
        <w:pageBreakBefore w:val="0"/>
        <w:numPr>
          <w:ilvl w:val="0"/>
          <w:numId w:val="0"/>
        </w:numPr>
        <w:kinsoku/>
        <w:wordWrap/>
        <w:overflowPunct/>
        <w:topLinePunct w:val="0"/>
        <w:bidi w:val="0"/>
        <w:snapToGrid/>
        <w:spacing w:line="360" w:lineRule="auto"/>
        <w:ind w:left="3360" w:leftChars="0" w:firstLine="420" w:firstLineChars="0"/>
        <w:textAlignment w:val="auto"/>
        <w:rPr>
          <w:rFonts w:hint="eastAsia" w:ascii="宋体" w:hAnsi="宋体" w:eastAsia="宋体" w:cs="宋体"/>
          <w:b w:val="0"/>
          <w:i w:val="0"/>
          <w:iCs w:val="0"/>
          <w:caps w:val="0"/>
          <w:color w:val="000000"/>
          <w:spacing w:val="0"/>
          <w:kern w:val="0"/>
          <w:sz w:val="24"/>
          <w:szCs w:val="24"/>
          <w:u w:val="none"/>
          <w:lang w:val="en-US" w:eastAsia="zh-CN" w:bidi="ar"/>
        </w:rPr>
      </w:pPr>
      <w:r>
        <w:rPr>
          <w:rFonts w:hint="eastAsia" w:ascii="宋体" w:hAnsi="宋体" w:eastAsia="宋体" w:cs="宋体"/>
          <w:b w:val="0"/>
          <w:color w:val="000000"/>
          <w:spacing w:val="0"/>
          <w:kern w:val="0"/>
          <w:sz w:val="24"/>
          <w:szCs w:val="24"/>
          <w:lang w:bidi="ar"/>
        </w:rPr>
        <w:t>甲方</w:t>
      </w:r>
      <w:r>
        <w:rPr>
          <w:rFonts w:hint="eastAsia" w:ascii="宋体" w:hAnsi="宋体" w:cs="宋体"/>
          <w:color w:val="auto"/>
          <w:sz w:val="22"/>
          <w:szCs w:val="22"/>
          <w:highlight w:val="none"/>
        </w:rPr>
        <w:t>（盖章）</w:t>
      </w:r>
      <w:r>
        <w:rPr>
          <w:rFonts w:hint="eastAsia" w:ascii="宋体" w:hAnsi="宋体" w:eastAsia="宋体" w:cs="宋体"/>
          <w:b w:val="0"/>
          <w:color w:val="000000"/>
          <w:spacing w:val="0"/>
          <w:kern w:val="0"/>
          <w:sz w:val="24"/>
          <w:szCs w:val="24"/>
          <w:lang w:eastAsia="zh-CN" w:bidi="ar"/>
        </w:rPr>
        <w:t>：</w:t>
      </w:r>
    </w:p>
    <w:p w14:paraId="3EC5433B">
      <w:pPr>
        <w:pageBreakBefore w:val="0"/>
        <w:numPr>
          <w:ilvl w:val="0"/>
          <w:numId w:val="0"/>
        </w:numPr>
        <w:kinsoku/>
        <w:wordWrap/>
        <w:overflowPunct/>
        <w:topLinePunct w:val="0"/>
        <w:bidi w:val="0"/>
        <w:snapToGrid/>
        <w:spacing w:line="360" w:lineRule="auto"/>
        <w:ind w:firstLine="3840" w:firstLineChars="1600"/>
        <w:textAlignment w:val="auto"/>
        <w:rPr>
          <w:rFonts w:hint="eastAsia" w:ascii="宋体" w:hAnsi="宋体" w:eastAsia="宋体" w:cs="宋体"/>
          <w:b w:val="0"/>
          <w:color w:val="000000"/>
          <w:spacing w:val="0"/>
          <w:kern w:val="0"/>
          <w:sz w:val="24"/>
          <w:szCs w:val="24"/>
          <w:lang w:val="en-US" w:eastAsia="zh-CN" w:bidi="ar"/>
        </w:rPr>
      </w:pPr>
      <w:r>
        <w:rPr>
          <w:rFonts w:hint="eastAsia" w:ascii="宋体" w:hAnsi="宋体" w:eastAsia="宋体" w:cs="宋体"/>
          <w:b w:val="0"/>
          <w:i w:val="0"/>
          <w:iCs w:val="0"/>
          <w:caps w:val="0"/>
          <w:color w:val="000000"/>
          <w:spacing w:val="0"/>
          <w:kern w:val="0"/>
          <w:sz w:val="24"/>
          <w:szCs w:val="24"/>
          <w:u w:val="none"/>
          <w:lang w:val="en-US" w:eastAsia="zh-CN" w:bidi="ar"/>
        </w:rPr>
        <w:t>负责人或授权代理人：</w:t>
      </w:r>
    </w:p>
    <w:p w14:paraId="095BD1B3">
      <w:pPr>
        <w:keepNext w:val="0"/>
        <w:keepLines w:val="0"/>
        <w:pageBreakBefore w:val="0"/>
        <w:widowControl/>
        <w:suppressLineNumbers w:val="0"/>
        <w:kinsoku/>
        <w:wordWrap/>
        <w:overflowPunct/>
        <w:topLinePunct w:val="0"/>
        <w:bidi w:val="0"/>
        <w:snapToGrid/>
        <w:spacing w:line="360" w:lineRule="auto"/>
        <w:ind w:firstLine="3840" w:firstLineChars="1600"/>
        <w:jc w:val="both"/>
        <w:textAlignment w:val="auto"/>
        <w:rPr>
          <w:rFonts w:hint="eastAsia" w:ascii="宋体" w:hAnsi="宋体" w:eastAsia="宋体" w:cs="宋体"/>
          <w:b w:val="0"/>
          <w:color w:val="000000"/>
          <w:spacing w:val="0"/>
          <w:kern w:val="0"/>
          <w:sz w:val="24"/>
          <w:szCs w:val="24"/>
          <w:lang w:bidi="ar"/>
        </w:rPr>
      </w:pPr>
      <w:r>
        <w:rPr>
          <w:rFonts w:hint="eastAsia" w:ascii="宋体" w:hAnsi="宋体" w:eastAsia="宋体" w:cs="宋体"/>
          <w:b w:val="0"/>
          <w:i w:val="0"/>
          <w:iCs w:val="0"/>
          <w:caps w:val="0"/>
          <w:color w:val="000000"/>
          <w:spacing w:val="0"/>
          <w:kern w:val="0"/>
          <w:sz w:val="24"/>
          <w:szCs w:val="24"/>
          <w:u w:val="none"/>
          <w:lang w:val="en-US" w:eastAsia="zh-CN" w:bidi="ar"/>
        </w:rPr>
        <w:t xml:space="preserve">日期：    年  月  日 </w:t>
      </w:r>
    </w:p>
    <w:p w14:paraId="21C6D996">
      <w:pPr>
        <w:pageBreakBefore w:val="0"/>
        <w:numPr>
          <w:ilvl w:val="0"/>
          <w:numId w:val="0"/>
        </w:numPr>
        <w:kinsoku/>
        <w:wordWrap/>
        <w:overflowPunct/>
        <w:topLinePunct w:val="0"/>
        <w:bidi w:val="0"/>
        <w:snapToGrid/>
        <w:spacing w:line="360" w:lineRule="auto"/>
        <w:ind w:firstLine="3840" w:firstLineChars="1600"/>
        <w:textAlignment w:val="auto"/>
        <w:rPr>
          <w:rFonts w:hint="eastAsia" w:ascii="宋体" w:hAnsi="宋体" w:eastAsia="宋体" w:cs="宋体"/>
          <w:b w:val="0"/>
          <w:spacing w:val="0"/>
          <w:sz w:val="24"/>
          <w:szCs w:val="24"/>
          <w:lang w:val="en-US" w:eastAsia="zh-CN"/>
        </w:rPr>
      </w:pPr>
      <w:r>
        <w:rPr>
          <w:rFonts w:hint="eastAsia" w:ascii="宋体" w:hAnsi="宋体" w:eastAsia="宋体" w:cs="宋体"/>
          <w:b w:val="0"/>
          <w:color w:val="000000"/>
          <w:spacing w:val="0"/>
          <w:kern w:val="0"/>
          <w:sz w:val="24"/>
          <w:szCs w:val="24"/>
          <w:lang w:bidi="ar"/>
        </w:rPr>
        <w:t>乙方</w:t>
      </w:r>
      <w:r>
        <w:rPr>
          <w:rFonts w:hint="eastAsia" w:ascii="宋体" w:hAnsi="宋体" w:cs="宋体"/>
          <w:color w:val="auto"/>
          <w:sz w:val="22"/>
          <w:szCs w:val="22"/>
          <w:highlight w:val="none"/>
        </w:rPr>
        <w:t>（盖章）</w:t>
      </w:r>
      <w:r>
        <w:rPr>
          <w:rFonts w:hint="eastAsia" w:ascii="宋体" w:hAnsi="宋体" w:eastAsia="宋体" w:cs="宋体"/>
          <w:b w:val="0"/>
          <w:color w:val="000000"/>
          <w:spacing w:val="0"/>
          <w:kern w:val="0"/>
          <w:sz w:val="24"/>
          <w:szCs w:val="24"/>
          <w:lang w:eastAsia="zh-CN" w:bidi="ar"/>
        </w:rPr>
        <w:t>：</w:t>
      </w:r>
    </w:p>
    <w:p w14:paraId="6DCC2BE1">
      <w:pPr>
        <w:pageBreakBefore w:val="0"/>
        <w:numPr>
          <w:ilvl w:val="0"/>
          <w:numId w:val="0"/>
        </w:numPr>
        <w:kinsoku/>
        <w:wordWrap/>
        <w:overflowPunct/>
        <w:topLinePunct w:val="0"/>
        <w:bidi w:val="0"/>
        <w:snapToGrid/>
        <w:spacing w:line="360" w:lineRule="auto"/>
        <w:ind w:firstLine="3840" w:firstLineChars="1600"/>
        <w:textAlignment w:val="auto"/>
        <w:rPr>
          <w:rFonts w:hint="eastAsia" w:ascii="宋体" w:hAnsi="宋体" w:eastAsia="宋体" w:cs="宋体"/>
          <w:b w:val="0"/>
          <w:color w:val="000000"/>
          <w:spacing w:val="0"/>
          <w:kern w:val="0"/>
          <w:sz w:val="24"/>
          <w:szCs w:val="24"/>
          <w:lang w:val="en-US" w:eastAsia="zh-CN" w:bidi="ar"/>
        </w:rPr>
      </w:pPr>
      <w:r>
        <w:rPr>
          <w:rFonts w:hint="eastAsia" w:ascii="宋体" w:hAnsi="宋体" w:eastAsia="宋体" w:cs="宋体"/>
          <w:b w:val="0"/>
          <w:i w:val="0"/>
          <w:iCs w:val="0"/>
          <w:caps w:val="0"/>
          <w:color w:val="000000"/>
          <w:spacing w:val="0"/>
          <w:kern w:val="0"/>
          <w:sz w:val="24"/>
          <w:szCs w:val="24"/>
          <w:u w:val="none"/>
          <w:lang w:val="en-US" w:eastAsia="zh-CN" w:bidi="ar"/>
        </w:rPr>
        <w:t>负责人或授权代理人：</w:t>
      </w:r>
    </w:p>
    <w:p w14:paraId="1F79C1AA">
      <w:pPr>
        <w:keepNext w:val="0"/>
        <w:keepLines w:val="0"/>
        <w:pageBreakBefore w:val="0"/>
        <w:widowControl/>
        <w:suppressLineNumbers w:val="0"/>
        <w:kinsoku/>
        <w:wordWrap/>
        <w:overflowPunct/>
        <w:topLinePunct w:val="0"/>
        <w:bidi w:val="0"/>
        <w:snapToGrid/>
        <w:spacing w:line="360" w:lineRule="auto"/>
        <w:ind w:firstLine="3840" w:firstLineChars="160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i w:val="0"/>
          <w:iCs w:val="0"/>
          <w:caps w:val="0"/>
          <w:color w:val="000000"/>
          <w:spacing w:val="0"/>
          <w:kern w:val="0"/>
          <w:sz w:val="24"/>
          <w:szCs w:val="24"/>
          <w:u w:val="none"/>
          <w:lang w:val="en-US" w:eastAsia="zh-CN" w:bidi="ar"/>
        </w:rPr>
        <w:t>日期：    年  月  日</w:t>
      </w:r>
    </w:p>
    <w:p w14:paraId="761C1ACC">
      <w:pPr>
        <w:pStyle w:val="28"/>
        <w:adjustRightInd w:val="0"/>
        <w:snapToGrid w:val="0"/>
        <w:spacing w:before="0" w:beforeAutospacing="0" w:after="0" w:afterAutospacing="0"/>
        <w:rPr>
          <w:rFonts w:hint="eastAsia"/>
          <w:color w:val="auto"/>
          <w:spacing w:val="-16"/>
          <w:sz w:val="21"/>
          <w:szCs w:val="21"/>
          <w:highlight w:val="none"/>
        </w:rPr>
      </w:pPr>
    </w:p>
    <w:p w14:paraId="3A932C21">
      <w:pPr>
        <w:widowControl/>
        <w:jc w:val="left"/>
        <w:textAlignment w:val="top"/>
        <w:rPr>
          <w:rFonts w:hint="eastAsia" w:ascii="宋体" w:hAnsi="宋体" w:eastAsia="宋体" w:cs="宋体"/>
          <w:color w:val="000000"/>
          <w:kern w:val="0"/>
          <w:sz w:val="18"/>
          <w:szCs w:val="18"/>
          <w:highlight w:val="none"/>
          <w:lang w:bidi="ar"/>
        </w:rPr>
      </w:pPr>
    </w:p>
    <w:p w14:paraId="77F88B73">
      <w:pPr>
        <w:jc w:val="both"/>
        <w:rPr>
          <w:rFonts w:hint="eastAsia" w:ascii="宋体" w:hAnsi="宋体" w:eastAsia="宋体" w:cs="宋体"/>
          <w:color w:val="auto"/>
          <w:sz w:val="21"/>
          <w:szCs w:val="21"/>
          <w:highlight w:val="none"/>
          <w:shd w:val="clear" w:color="auto" w:fill="auto"/>
        </w:rPr>
      </w:pPr>
      <w:r>
        <w:rPr>
          <w:rFonts w:hint="eastAsia" w:ascii="宋体" w:hAnsi="宋体" w:eastAsia="宋体" w:cs="宋体"/>
          <w:color w:val="auto"/>
          <w:sz w:val="21"/>
          <w:szCs w:val="21"/>
          <w:highlight w:val="none"/>
          <w:shd w:val="clear" w:color="auto" w:fill="auto"/>
        </w:rPr>
        <w:br w:type="page"/>
      </w:r>
      <w:bookmarkStart w:id="83" w:name="_Toc227057040"/>
      <w:bookmarkStart w:id="84" w:name="_Toc223933228"/>
      <w:bookmarkStart w:id="85" w:name="_Toc215415537"/>
      <w:bookmarkStart w:id="86" w:name="_Toc223717611"/>
      <w:bookmarkStart w:id="87" w:name="_Toc217460692"/>
      <w:bookmarkStart w:id="88" w:name="_Toc219538620"/>
      <w:bookmarkStart w:id="89" w:name="_Toc477362353"/>
      <w:bookmarkStart w:id="90" w:name="_Toc227056853"/>
      <w:bookmarkStart w:id="91" w:name="_Toc216667827"/>
      <w:bookmarkStart w:id="92" w:name="_Toc218041733"/>
      <w:bookmarkStart w:id="93" w:name="_Toc227489894"/>
      <w:bookmarkStart w:id="94" w:name="_Toc372011514"/>
      <w:r>
        <w:rPr>
          <w:rFonts w:hint="eastAsia" w:ascii="宋体" w:hAnsi="宋体" w:eastAsia="宋体" w:cs="宋体"/>
          <w:color w:val="auto"/>
          <w:sz w:val="21"/>
          <w:szCs w:val="21"/>
          <w:highlight w:val="none"/>
          <w:shd w:val="clear" w:color="auto" w:fill="auto"/>
          <w:lang w:val="en-US" w:eastAsia="zh-CN"/>
        </w:rPr>
        <w:t>合同附件</w:t>
      </w:r>
      <w:r>
        <w:rPr>
          <w:rFonts w:hint="eastAsia" w:ascii="宋体" w:hAnsi="宋体" w:cs="宋体"/>
          <w:color w:val="auto"/>
          <w:sz w:val="21"/>
          <w:szCs w:val="21"/>
          <w:highlight w:val="none"/>
          <w:shd w:val="clear" w:color="auto" w:fill="auto"/>
          <w:lang w:val="en-US" w:eastAsia="zh-CN"/>
        </w:rPr>
        <w:t>2</w:t>
      </w:r>
      <w:r>
        <w:rPr>
          <w:rFonts w:hint="eastAsia" w:ascii="宋体" w:hAnsi="宋体" w:eastAsia="宋体" w:cs="宋体"/>
          <w:color w:val="auto"/>
          <w:sz w:val="21"/>
          <w:szCs w:val="21"/>
          <w:highlight w:val="none"/>
          <w:shd w:val="clear" w:color="auto" w:fill="auto"/>
          <w:lang w:val="en-US" w:eastAsia="zh-CN"/>
        </w:rPr>
        <w:t>：</w:t>
      </w:r>
    </w:p>
    <w:p w14:paraId="4D5497E6">
      <w:pPr>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廉洁协议书</w:t>
      </w:r>
    </w:p>
    <w:p w14:paraId="0B67E559">
      <w:pPr>
        <w:spacing w:line="240" w:lineRule="auto"/>
        <w:rPr>
          <w:rFonts w:hint="eastAsia" w:ascii="宋体" w:hAnsi="宋体" w:eastAsia="宋体" w:cs="宋体"/>
          <w:color w:val="auto"/>
          <w:sz w:val="22"/>
          <w:szCs w:val="22"/>
          <w:highlight w:val="none"/>
        </w:rPr>
      </w:pPr>
    </w:p>
    <w:p w14:paraId="4BB20368">
      <w:pPr>
        <w:spacing w:line="240" w:lineRule="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甲方：</w:t>
      </w:r>
      <w:r>
        <w:rPr>
          <w:rFonts w:hint="eastAsia" w:ascii="宋体" w:hAnsi="宋体" w:cs="宋体"/>
          <w:color w:val="auto"/>
          <w:sz w:val="22"/>
          <w:szCs w:val="22"/>
          <w:highlight w:val="none"/>
          <w:lang w:eastAsia="zh-CN"/>
        </w:rPr>
        <w:t>温州市公用事业发展集团有限公司</w:t>
      </w:r>
    </w:p>
    <w:p w14:paraId="63E28D87">
      <w:pPr>
        <w:spacing w:line="24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乙方：</w:t>
      </w:r>
    </w:p>
    <w:p w14:paraId="6C63B7FC">
      <w:pPr>
        <w:spacing w:line="24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为规范双方工程、货物和服务采购往来活动，建立诚实守信的合作关系，推进廉政建设，维护双方合法权益，经双方共同协商，就双方业务往来中的廉洁事宜达成如下协议</w:t>
      </w:r>
    </w:p>
    <w:p w14:paraId="377FE7C4">
      <w:pPr>
        <w:spacing w:line="240" w:lineRule="auto"/>
        <w:ind w:firstLine="440" w:firstLineChars="200"/>
        <w:rPr>
          <w:rFonts w:hint="eastAsia" w:ascii="宋体" w:hAnsi="宋体" w:eastAsia="宋体" w:cs="宋体"/>
          <w:color w:val="auto"/>
          <w:sz w:val="22"/>
          <w:szCs w:val="22"/>
          <w:highlight w:val="none"/>
        </w:rPr>
      </w:pPr>
    </w:p>
    <w:p w14:paraId="37997752">
      <w:pPr>
        <w:pStyle w:val="79"/>
        <w:numPr>
          <w:ilvl w:val="0"/>
          <w:numId w:val="9"/>
        </w:numPr>
        <w:spacing w:line="240" w:lineRule="auto"/>
        <w:ind w:firstLine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甲乙双方在确立经济（合作）业务关系时应当签署本协议书。</w:t>
      </w:r>
    </w:p>
    <w:p w14:paraId="2876D94F">
      <w:pPr>
        <w:pStyle w:val="79"/>
        <w:numPr>
          <w:ilvl w:val="0"/>
          <w:numId w:val="9"/>
        </w:numPr>
        <w:spacing w:line="240" w:lineRule="auto"/>
        <w:ind w:firstLine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甲乙双方共同的权利和义务</w:t>
      </w:r>
    </w:p>
    <w:p w14:paraId="7E627B63">
      <w:pPr>
        <w:pStyle w:val="79"/>
        <w:numPr>
          <w:ilvl w:val="0"/>
          <w:numId w:val="10"/>
        </w:numPr>
        <w:spacing w:line="240" w:lineRule="auto"/>
        <w:ind w:left="357" w:hanging="374" w:hangingChars="17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严格遵守党和国家的有关法律法规及有关廉政规定。</w:t>
      </w:r>
    </w:p>
    <w:p w14:paraId="5A6E7162">
      <w:pPr>
        <w:pStyle w:val="79"/>
        <w:numPr>
          <w:ilvl w:val="0"/>
          <w:numId w:val="10"/>
        </w:numPr>
        <w:spacing w:line="240" w:lineRule="auto"/>
        <w:ind w:left="357" w:hanging="374" w:hangingChars="17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严格执行工程、货物和服务合同约定，自觉履行合同。</w:t>
      </w:r>
    </w:p>
    <w:p w14:paraId="667864EF">
      <w:pPr>
        <w:pStyle w:val="79"/>
        <w:numPr>
          <w:ilvl w:val="0"/>
          <w:numId w:val="10"/>
        </w:numPr>
        <w:spacing w:line="240" w:lineRule="auto"/>
        <w:ind w:left="357" w:hanging="374" w:hangingChars="17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双方应当对其工作人员进行廉洁从业教育，使其诚信守法、规范行为。</w:t>
      </w:r>
    </w:p>
    <w:p w14:paraId="40C9E570">
      <w:pPr>
        <w:pStyle w:val="79"/>
        <w:numPr>
          <w:ilvl w:val="0"/>
          <w:numId w:val="10"/>
        </w:numPr>
        <w:spacing w:line="240" w:lineRule="auto"/>
        <w:ind w:left="357" w:hanging="374" w:hangingChars="17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双方的业务、工程、采购坚持公开、公正、诚信、透明的原则（商业秘密和合同文件另有规定的除外），不得损害国家和双方利益。</w:t>
      </w:r>
    </w:p>
    <w:p w14:paraId="26E56FF9">
      <w:pPr>
        <w:pStyle w:val="79"/>
        <w:numPr>
          <w:ilvl w:val="0"/>
          <w:numId w:val="10"/>
        </w:numPr>
        <w:spacing w:line="240" w:lineRule="auto"/>
        <w:ind w:left="357" w:hanging="374" w:hangingChars="17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发现对方在业务、工程、采购活动中有违反廉政规定的行为时，可及时要求对方纠正，并且有向对方主管部门举报的权利和义务。</w:t>
      </w:r>
    </w:p>
    <w:p w14:paraId="5FF119DC">
      <w:pPr>
        <w:pStyle w:val="79"/>
        <w:numPr>
          <w:ilvl w:val="0"/>
          <w:numId w:val="10"/>
        </w:numPr>
        <w:spacing w:line="240" w:lineRule="auto"/>
        <w:ind w:left="357" w:hanging="374" w:hangingChars="17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依法保护举报人员，并对举报有功人员予以奖励。</w:t>
      </w:r>
    </w:p>
    <w:p w14:paraId="5BD7917B">
      <w:pPr>
        <w:pStyle w:val="79"/>
        <w:numPr>
          <w:ilvl w:val="0"/>
          <w:numId w:val="9"/>
        </w:numPr>
        <w:spacing w:line="240" w:lineRule="auto"/>
        <w:ind w:firstLine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甲方的义务</w:t>
      </w:r>
    </w:p>
    <w:p w14:paraId="7B8A8994">
      <w:pPr>
        <w:pStyle w:val="79"/>
        <w:numPr>
          <w:ilvl w:val="0"/>
          <w:numId w:val="11"/>
        </w:numPr>
        <w:spacing w:line="240" w:lineRule="auto"/>
        <w:ind w:firstLine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甲方应当严格规范从业人员，不得以任何形式索要或者接受乙方礼金、礼品、有价证券和支付凭证等，难以拒收的，必须按有关规定登记上交</w:t>
      </w:r>
    </w:p>
    <w:p w14:paraId="70D1DF4F">
      <w:pPr>
        <w:pStyle w:val="79"/>
        <w:numPr>
          <w:ilvl w:val="0"/>
          <w:numId w:val="11"/>
        </w:numPr>
        <w:spacing w:line="240" w:lineRule="auto"/>
        <w:ind w:firstLine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甲方及其工作人员不得参加乙方安排的高消费宴请和娱乐活动</w:t>
      </w:r>
    </w:p>
    <w:p w14:paraId="6FEE2B70">
      <w:pPr>
        <w:pStyle w:val="79"/>
        <w:numPr>
          <w:ilvl w:val="0"/>
          <w:numId w:val="11"/>
        </w:numPr>
        <w:spacing w:line="240" w:lineRule="auto"/>
        <w:ind w:firstLine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甲方工作人员的配偶、子女及其亲属不得从事与合同有关的设备材料供应、工程分包、劳务等经济活动</w:t>
      </w:r>
    </w:p>
    <w:p w14:paraId="710F3B5A">
      <w:pPr>
        <w:pStyle w:val="79"/>
        <w:numPr>
          <w:ilvl w:val="0"/>
          <w:numId w:val="9"/>
        </w:numPr>
        <w:spacing w:line="240" w:lineRule="auto"/>
        <w:ind w:firstLine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乙方的义务</w:t>
      </w:r>
    </w:p>
    <w:p w14:paraId="088E248E">
      <w:pPr>
        <w:pStyle w:val="79"/>
        <w:numPr>
          <w:ilvl w:val="0"/>
          <w:numId w:val="12"/>
        </w:numPr>
        <w:spacing w:line="240" w:lineRule="auto"/>
        <w:ind w:firstLine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乙方不得以任何理由向甲方及其工作人员馈赠礼金、礼品、有价证券和支付凭证等。</w:t>
      </w:r>
    </w:p>
    <w:p w14:paraId="255568BB">
      <w:pPr>
        <w:pStyle w:val="79"/>
        <w:numPr>
          <w:ilvl w:val="0"/>
          <w:numId w:val="12"/>
        </w:numPr>
        <w:spacing w:line="240" w:lineRule="auto"/>
        <w:ind w:firstLine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乙方不得以任何理由安排甲方工作人员参加高消费宴请和娱乐活动。</w:t>
      </w:r>
    </w:p>
    <w:p w14:paraId="1360ED27">
      <w:pPr>
        <w:pStyle w:val="79"/>
        <w:numPr>
          <w:ilvl w:val="0"/>
          <w:numId w:val="12"/>
        </w:numPr>
        <w:spacing w:line="240" w:lineRule="auto"/>
        <w:ind w:firstLine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乙方与甲方发生业务、工程、采购往来过程中，不得有弄虚作假、以次充好、虚假结算等违反诚信原则的行为。</w:t>
      </w:r>
    </w:p>
    <w:p w14:paraId="12411BAA">
      <w:pPr>
        <w:pStyle w:val="79"/>
        <w:numPr>
          <w:ilvl w:val="0"/>
          <w:numId w:val="12"/>
        </w:numPr>
        <w:spacing w:line="240" w:lineRule="auto"/>
        <w:ind w:firstLine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乙方不得有其他违反廉洁从业及诚实信用的行为。</w:t>
      </w:r>
    </w:p>
    <w:p w14:paraId="517DCE6F">
      <w:pPr>
        <w:pStyle w:val="79"/>
        <w:numPr>
          <w:ilvl w:val="0"/>
          <w:numId w:val="9"/>
        </w:numPr>
        <w:spacing w:line="240" w:lineRule="auto"/>
        <w:ind w:firstLine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违约责任</w:t>
      </w:r>
    </w:p>
    <w:p w14:paraId="057C14BC">
      <w:pPr>
        <w:pStyle w:val="79"/>
        <w:numPr>
          <w:ilvl w:val="0"/>
          <w:numId w:val="13"/>
        </w:numPr>
        <w:spacing w:line="240" w:lineRule="auto"/>
        <w:ind w:firstLine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甲方及其工作人员有违反本协议规定的，将严格按照公用集团《党风廉政建设责任制实施办法》处理；情节严重的，按照规定承担赔偿责任；涉及犯罪的，将移交司法机关追究法律责任。</w:t>
      </w:r>
    </w:p>
    <w:p w14:paraId="2CC6E8B2">
      <w:pPr>
        <w:pStyle w:val="79"/>
        <w:numPr>
          <w:ilvl w:val="0"/>
          <w:numId w:val="13"/>
        </w:numPr>
        <w:spacing w:line="240" w:lineRule="auto"/>
        <w:ind w:firstLine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乙方及其工作人员违反本协议规定的，甲方可以依据本合同违约条款规定，视为乙方放弃甲方应付但未付的后续款项（包含但是不限于现金、物资）；同时，年度评价一票否决，合同到期将不再续签。涉及犯罪的，将移交司法机关追究法律责任。</w:t>
      </w:r>
    </w:p>
    <w:p w14:paraId="3DC02B04">
      <w:pPr>
        <w:pStyle w:val="79"/>
        <w:numPr>
          <w:ilvl w:val="0"/>
          <w:numId w:val="13"/>
        </w:numPr>
        <w:spacing w:line="240" w:lineRule="auto"/>
        <w:ind w:firstLine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甲方有权根据违约情况解除乙方该项目的业务合同，并在发生违约之日起</w:t>
      </w:r>
      <w:r>
        <w:rPr>
          <w:rFonts w:hint="eastAsia" w:ascii="宋体" w:hAnsi="宋体" w:eastAsia="宋体" w:cs="宋体"/>
          <w:b/>
          <w:bCs/>
          <w:color w:val="auto"/>
          <w:sz w:val="22"/>
          <w:szCs w:val="22"/>
          <w:highlight w:val="none"/>
        </w:rPr>
        <w:t>一</w:t>
      </w:r>
      <w:r>
        <w:rPr>
          <w:rFonts w:hint="eastAsia" w:ascii="宋体" w:hAnsi="宋体" w:eastAsia="宋体" w:cs="宋体"/>
          <w:color w:val="auto"/>
          <w:sz w:val="22"/>
          <w:szCs w:val="22"/>
          <w:highlight w:val="none"/>
        </w:rPr>
        <w:t>年内取消乙方进入甲方市场的准入资格。因取消合同给甲方造成经济损失的，乙方应当予以赔偿。</w:t>
      </w:r>
    </w:p>
    <w:p w14:paraId="293074A5">
      <w:pPr>
        <w:pStyle w:val="79"/>
        <w:numPr>
          <w:ilvl w:val="0"/>
          <w:numId w:val="9"/>
        </w:numPr>
        <w:spacing w:line="240" w:lineRule="auto"/>
        <w:ind w:firstLine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本协议书一式</w:t>
      </w:r>
      <w:r>
        <w:rPr>
          <w:rFonts w:hint="eastAsia" w:ascii="宋体" w:hAnsi="宋体" w:eastAsia="宋体" w:cs="宋体"/>
          <w:color w:val="auto"/>
          <w:sz w:val="22"/>
          <w:szCs w:val="22"/>
          <w:highlight w:val="none"/>
          <w:lang w:val="en-US" w:eastAsia="zh-CN"/>
        </w:rPr>
        <w:t>两</w:t>
      </w:r>
      <w:r>
        <w:rPr>
          <w:rFonts w:hint="eastAsia" w:ascii="宋体" w:hAnsi="宋体" w:eastAsia="宋体" w:cs="宋体"/>
          <w:color w:val="auto"/>
          <w:sz w:val="22"/>
          <w:szCs w:val="22"/>
          <w:highlight w:val="none"/>
        </w:rPr>
        <w:t>份，甲乙双方各执一份，自双方签字盖章之日起生效。</w:t>
      </w:r>
    </w:p>
    <w:p w14:paraId="43238475">
      <w:pPr>
        <w:pStyle w:val="79"/>
        <w:numPr>
          <w:ilvl w:val="0"/>
          <w:numId w:val="9"/>
        </w:numPr>
        <w:spacing w:line="240" w:lineRule="auto"/>
        <w:ind w:firstLineChars="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本协议书作为甲乙双方签订合同、协议、框架协议必备附件，与合同正文具有同等的法律效力。</w:t>
      </w:r>
    </w:p>
    <w:p w14:paraId="4DC92D0B">
      <w:pPr>
        <w:spacing w:line="240" w:lineRule="auto"/>
        <w:rPr>
          <w:rFonts w:hint="eastAsia" w:ascii="宋体" w:hAnsi="宋体" w:eastAsia="宋体" w:cs="宋体"/>
          <w:color w:val="auto"/>
          <w:sz w:val="22"/>
          <w:szCs w:val="22"/>
          <w:highlight w:val="none"/>
        </w:rPr>
      </w:pPr>
    </w:p>
    <w:p w14:paraId="56E53202">
      <w:pPr>
        <w:spacing w:line="24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甲方（</w:t>
      </w:r>
      <w:r>
        <w:rPr>
          <w:rFonts w:hint="eastAsia" w:ascii="宋体" w:hAnsi="宋体" w:eastAsia="宋体" w:cs="宋体"/>
          <w:color w:val="auto"/>
          <w:sz w:val="22"/>
          <w:szCs w:val="22"/>
          <w:highlight w:val="none"/>
          <w:lang w:val="en-US" w:eastAsia="zh-CN"/>
        </w:rPr>
        <w:t>公</w:t>
      </w:r>
      <w:r>
        <w:rPr>
          <w:rFonts w:hint="eastAsia" w:ascii="宋体" w:hAnsi="宋体" w:eastAsia="宋体" w:cs="宋体"/>
          <w:color w:val="auto"/>
          <w:sz w:val="22"/>
          <w:szCs w:val="22"/>
          <w:highlight w:val="none"/>
        </w:rPr>
        <w:t xml:space="preserve">章）           </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 xml:space="preserve">                乙方（</w:t>
      </w:r>
      <w:r>
        <w:rPr>
          <w:rFonts w:hint="eastAsia" w:ascii="宋体" w:hAnsi="宋体" w:eastAsia="宋体" w:cs="宋体"/>
          <w:color w:val="auto"/>
          <w:sz w:val="22"/>
          <w:szCs w:val="22"/>
          <w:highlight w:val="none"/>
          <w:lang w:val="en-US" w:eastAsia="zh-CN"/>
        </w:rPr>
        <w:t>公</w:t>
      </w:r>
      <w:r>
        <w:rPr>
          <w:rFonts w:hint="eastAsia" w:ascii="宋体" w:hAnsi="宋体" w:eastAsia="宋体" w:cs="宋体"/>
          <w:color w:val="auto"/>
          <w:sz w:val="22"/>
          <w:szCs w:val="22"/>
          <w:highlight w:val="none"/>
        </w:rPr>
        <w:t>章）</w:t>
      </w:r>
    </w:p>
    <w:p w14:paraId="3990F087">
      <w:pPr>
        <w:spacing w:line="240" w:lineRule="auto"/>
        <w:rPr>
          <w:rFonts w:hint="eastAsia" w:ascii="宋体" w:hAnsi="宋体" w:eastAsia="宋体" w:cs="宋体"/>
          <w:color w:val="auto"/>
          <w:sz w:val="22"/>
          <w:szCs w:val="22"/>
          <w:highlight w:val="none"/>
        </w:rPr>
      </w:pPr>
    </w:p>
    <w:p w14:paraId="43BEA14E">
      <w:pPr>
        <w:spacing w:line="24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全</w:t>
      </w:r>
      <w:r>
        <w:rPr>
          <w:rFonts w:hint="eastAsia" w:ascii="宋体" w:hAnsi="宋体" w:eastAsia="宋体" w:cs="宋体"/>
          <w:color w:val="auto"/>
          <w:sz w:val="22"/>
          <w:szCs w:val="22"/>
          <w:highlight w:val="none"/>
        </w:rPr>
        <w:t>权代表（签字</w:t>
      </w:r>
      <w:r>
        <w:rPr>
          <w:rFonts w:hint="eastAsia" w:ascii="宋体" w:hAnsi="宋体" w:eastAsia="宋体" w:cs="宋体"/>
          <w:color w:val="auto"/>
          <w:sz w:val="22"/>
          <w:szCs w:val="22"/>
          <w:highlight w:val="none"/>
          <w:lang w:val="en-US" w:eastAsia="zh-CN"/>
        </w:rPr>
        <w:t>或盖章</w:t>
      </w: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lang w:val="en-US" w:eastAsia="zh-CN"/>
        </w:rPr>
        <w:t>全</w:t>
      </w:r>
      <w:r>
        <w:rPr>
          <w:rFonts w:hint="eastAsia" w:ascii="宋体" w:hAnsi="宋体" w:eastAsia="宋体" w:cs="宋体"/>
          <w:color w:val="auto"/>
          <w:sz w:val="22"/>
          <w:szCs w:val="22"/>
          <w:highlight w:val="none"/>
        </w:rPr>
        <w:t>权代表（签字</w:t>
      </w:r>
      <w:r>
        <w:rPr>
          <w:rFonts w:hint="eastAsia" w:ascii="宋体" w:hAnsi="宋体" w:eastAsia="宋体" w:cs="宋体"/>
          <w:color w:val="auto"/>
          <w:sz w:val="22"/>
          <w:szCs w:val="22"/>
          <w:highlight w:val="none"/>
          <w:lang w:val="en-US" w:eastAsia="zh-CN"/>
        </w:rPr>
        <w:t>或盖章</w:t>
      </w:r>
      <w:r>
        <w:rPr>
          <w:rFonts w:hint="eastAsia" w:ascii="宋体" w:hAnsi="宋体" w:eastAsia="宋体" w:cs="宋体"/>
          <w:color w:val="auto"/>
          <w:sz w:val="22"/>
          <w:szCs w:val="22"/>
          <w:highlight w:val="none"/>
        </w:rPr>
        <w:t>）：</w:t>
      </w:r>
    </w:p>
    <w:p w14:paraId="2FD2A738">
      <w:pPr>
        <w:spacing w:line="240" w:lineRule="auto"/>
        <w:rPr>
          <w:rFonts w:hint="eastAsia" w:ascii="宋体" w:hAnsi="宋体" w:eastAsia="宋体" w:cs="宋体"/>
          <w:color w:val="auto"/>
          <w:sz w:val="22"/>
          <w:szCs w:val="22"/>
          <w:highlight w:val="none"/>
        </w:rPr>
      </w:pPr>
    </w:p>
    <w:p w14:paraId="4BC15036">
      <w:pPr>
        <w:spacing w:line="24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日期：                        </w:t>
      </w:r>
      <w:r>
        <w:rPr>
          <w:rFonts w:hint="eastAsia" w:ascii="宋体" w:hAnsi="宋体" w:eastAsia="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 xml:space="preserve">          日期：</w:t>
      </w:r>
    </w:p>
    <w:p w14:paraId="51D3C240">
      <w:pPr>
        <w:pStyle w:val="38"/>
      </w:pPr>
      <w:r>
        <w:rPr>
          <w:rFonts w:hint="eastAsia" w:ascii="宋体" w:hAnsi="宋体" w:eastAsia="宋体" w:cs="宋体"/>
          <w:sz w:val="21"/>
          <w:szCs w:val="21"/>
          <w:highlight w:val="none"/>
        </w:rPr>
        <w:br w:type="page"/>
      </w:r>
      <w:bookmarkEnd w:id="83"/>
      <w:bookmarkEnd w:id="84"/>
      <w:bookmarkEnd w:id="85"/>
      <w:bookmarkEnd w:id="86"/>
      <w:bookmarkEnd w:id="87"/>
      <w:bookmarkEnd w:id="88"/>
      <w:bookmarkEnd w:id="89"/>
      <w:bookmarkEnd w:id="90"/>
      <w:bookmarkEnd w:id="91"/>
      <w:bookmarkEnd w:id="92"/>
      <w:bookmarkEnd w:id="93"/>
      <w:bookmarkEnd w:id="94"/>
    </w:p>
    <w:p w14:paraId="29B3C660">
      <w:pPr>
        <w:pStyle w:val="38"/>
        <w:sectPr>
          <w:headerReference r:id="rId10" w:type="first"/>
          <w:footerReference r:id="rId13" w:type="first"/>
          <w:headerReference r:id="rId9" w:type="default"/>
          <w:footerReference r:id="rId11" w:type="default"/>
          <w:footerReference r:id="rId12" w:type="even"/>
          <w:pgSz w:w="11906" w:h="16838"/>
          <w:pgMar w:top="1134" w:right="1134" w:bottom="1134" w:left="1134" w:header="851" w:footer="851" w:gutter="0"/>
          <w:cols w:space="720" w:num="1"/>
          <w:titlePg/>
          <w:docGrid w:linePitch="312" w:charSpace="0"/>
        </w:sectPr>
      </w:pPr>
    </w:p>
    <w:p w14:paraId="6246C244">
      <w:pPr>
        <w:pStyle w:val="4"/>
        <w:jc w:val="center"/>
        <w:rPr>
          <w:rFonts w:cs="宋体"/>
          <w:sz w:val="32"/>
          <w:szCs w:val="32"/>
        </w:rPr>
      </w:pPr>
      <w:bookmarkStart w:id="95" w:name="_Toc230773783"/>
      <w:bookmarkStart w:id="96" w:name="_Toc5311"/>
      <w:bookmarkStart w:id="97" w:name="_Toc2969"/>
      <w:r>
        <w:rPr>
          <w:rFonts w:hint="eastAsia" w:cs="宋体"/>
          <w:sz w:val="32"/>
          <w:szCs w:val="32"/>
        </w:rPr>
        <w:t>第三部分   附   件</w:t>
      </w:r>
      <w:bookmarkEnd w:id="95"/>
      <w:bookmarkEnd w:id="96"/>
      <w:bookmarkEnd w:id="97"/>
    </w:p>
    <w:p w14:paraId="386211B4">
      <w:pPr>
        <w:pStyle w:val="7"/>
        <w:spacing w:line="240" w:lineRule="auto"/>
        <w:rPr>
          <w:rFonts w:ascii="宋体" w:eastAsia="宋体" w:cs="宋体"/>
          <w:sz w:val="24"/>
          <w:szCs w:val="24"/>
        </w:rPr>
      </w:pPr>
      <w:bookmarkStart w:id="98" w:name="_Toc351809631"/>
      <w:bookmarkStart w:id="99" w:name="_Toc21267"/>
      <w:bookmarkStart w:id="100" w:name="_Toc17012"/>
      <w:bookmarkStart w:id="101" w:name="_Toc511308239"/>
      <w:bookmarkStart w:id="102" w:name="_Toc1246"/>
      <w:bookmarkStart w:id="103" w:name="_Toc14368"/>
      <w:bookmarkStart w:id="104" w:name="_Toc230773784"/>
      <w:bookmarkStart w:id="105" w:name="_Toc25607"/>
      <w:bookmarkStart w:id="106" w:name="_Toc6474"/>
      <w:r>
        <w:rPr>
          <w:rFonts w:hint="eastAsia" w:ascii="宋体" w:eastAsia="宋体" w:cs="宋体"/>
          <w:sz w:val="24"/>
          <w:szCs w:val="24"/>
        </w:rPr>
        <w:t>附件一 投标函</w:t>
      </w:r>
      <w:bookmarkEnd w:id="98"/>
      <w:bookmarkEnd w:id="99"/>
      <w:bookmarkEnd w:id="100"/>
      <w:bookmarkEnd w:id="101"/>
      <w:bookmarkEnd w:id="102"/>
      <w:bookmarkEnd w:id="103"/>
      <w:bookmarkEnd w:id="104"/>
      <w:bookmarkEnd w:id="105"/>
      <w:bookmarkEnd w:id="106"/>
    </w:p>
    <w:p w14:paraId="622A9BA2">
      <w:pPr>
        <w:spacing w:line="460" w:lineRule="exact"/>
        <w:jc w:val="center"/>
        <w:rPr>
          <w:rFonts w:ascii="宋体" w:cs="宋体"/>
          <w:b/>
          <w:bCs/>
          <w:sz w:val="28"/>
          <w:szCs w:val="28"/>
        </w:rPr>
      </w:pPr>
      <w:r>
        <w:rPr>
          <w:rFonts w:hint="eastAsia" w:ascii="宋体" w:cs="宋体"/>
          <w:b/>
          <w:bCs/>
          <w:sz w:val="28"/>
          <w:szCs w:val="28"/>
        </w:rPr>
        <w:t>投 标 函</w:t>
      </w:r>
    </w:p>
    <w:p w14:paraId="66E7F141">
      <w:pPr>
        <w:spacing w:line="360" w:lineRule="auto"/>
        <w:rPr>
          <w:rFonts w:ascii="宋体" w:cs="宋体"/>
          <w:b/>
          <w:sz w:val="24"/>
        </w:rPr>
      </w:pPr>
    </w:p>
    <w:p w14:paraId="41DEDEA7">
      <w:pPr>
        <w:spacing w:line="360" w:lineRule="auto"/>
        <w:rPr>
          <w:rFonts w:ascii="宋体" w:cs="宋体"/>
          <w:b/>
          <w:sz w:val="22"/>
          <w:szCs w:val="22"/>
          <w:u w:val="single"/>
        </w:rPr>
      </w:pPr>
      <w:r>
        <w:rPr>
          <w:rFonts w:hint="eastAsia" w:ascii="宋体" w:cs="宋体"/>
          <w:b/>
          <w:sz w:val="22"/>
          <w:szCs w:val="22"/>
        </w:rPr>
        <w:t>温州市公用事业发展集团有限公司：</w:t>
      </w:r>
    </w:p>
    <w:p w14:paraId="17B86CE4">
      <w:pPr>
        <w:spacing w:line="360" w:lineRule="auto"/>
        <w:rPr>
          <w:rFonts w:ascii="宋体" w:cs="宋体"/>
          <w:b/>
          <w:bCs/>
          <w:sz w:val="22"/>
          <w:szCs w:val="22"/>
        </w:rPr>
      </w:pPr>
      <w:r>
        <w:rPr>
          <w:rFonts w:hint="eastAsia" w:ascii="宋体" w:cs="宋体"/>
          <w:b/>
          <w:bCs/>
          <w:sz w:val="22"/>
          <w:szCs w:val="22"/>
          <w:lang w:eastAsia="zh-CN"/>
        </w:rPr>
        <w:t>温州建设集团建筑设计院有限公司</w:t>
      </w:r>
      <w:r>
        <w:rPr>
          <w:rFonts w:hint="eastAsia" w:ascii="宋体" w:cs="宋体"/>
          <w:b/>
          <w:bCs/>
          <w:sz w:val="22"/>
          <w:szCs w:val="22"/>
        </w:rPr>
        <w:t>：</w:t>
      </w:r>
    </w:p>
    <w:p w14:paraId="77073C07">
      <w:pPr>
        <w:spacing w:line="360" w:lineRule="auto"/>
        <w:ind w:firstLine="550" w:firstLineChars="250"/>
        <w:rPr>
          <w:rFonts w:ascii="宋体" w:cs="宋体"/>
          <w:sz w:val="22"/>
          <w:szCs w:val="22"/>
        </w:rPr>
      </w:pPr>
      <w:r>
        <w:rPr>
          <w:rFonts w:hint="eastAsia" w:ascii="宋体" w:cs="宋体"/>
          <w:sz w:val="22"/>
          <w:szCs w:val="22"/>
        </w:rPr>
        <w:t>根据贵方为</w:t>
      </w:r>
      <w:r>
        <w:rPr>
          <w:rFonts w:hint="eastAsia" w:ascii="宋体" w:cs="宋体"/>
          <w:sz w:val="22"/>
          <w:szCs w:val="22"/>
          <w:u w:val="single"/>
        </w:rPr>
        <w:t xml:space="preserve">                 </w:t>
      </w:r>
      <w:r>
        <w:rPr>
          <w:rFonts w:hint="eastAsia" w:ascii="宋体" w:cs="宋体"/>
          <w:sz w:val="22"/>
          <w:szCs w:val="22"/>
        </w:rPr>
        <w:t>项目（项目编号:</w:t>
      </w:r>
      <w:r>
        <w:rPr>
          <w:rFonts w:hint="eastAsia" w:ascii="宋体" w:cs="宋体"/>
          <w:b/>
          <w:sz w:val="22"/>
          <w:szCs w:val="22"/>
          <w:u w:val="single"/>
        </w:rPr>
        <w:t xml:space="preserve">       </w:t>
      </w:r>
      <w:r>
        <w:rPr>
          <w:rFonts w:hint="eastAsia" w:ascii="宋体" w:cs="宋体"/>
          <w:sz w:val="22"/>
          <w:szCs w:val="22"/>
        </w:rPr>
        <w:t>）的投标邀请，我方</w:t>
      </w:r>
      <w:r>
        <w:rPr>
          <w:rFonts w:hint="eastAsia" w:ascii="宋体" w:cs="宋体"/>
          <w:sz w:val="22"/>
          <w:szCs w:val="22"/>
          <w:u w:val="single"/>
        </w:rPr>
        <w:t xml:space="preserve">           　　　      （投标供应商名称）</w:t>
      </w:r>
      <w:r>
        <w:rPr>
          <w:rFonts w:hint="eastAsia" w:ascii="宋体" w:cs="宋体"/>
          <w:sz w:val="22"/>
          <w:szCs w:val="22"/>
        </w:rPr>
        <w:t>作为投标供应商正式授权</w:t>
      </w:r>
      <w:r>
        <w:rPr>
          <w:rFonts w:hint="eastAsia" w:ascii="宋体" w:cs="宋体"/>
          <w:sz w:val="22"/>
          <w:szCs w:val="22"/>
          <w:u w:val="single"/>
        </w:rPr>
        <w:t xml:space="preserve">　           </w:t>
      </w:r>
      <w:r>
        <w:rPr>
          <w:rFonts w:hint="eastAsia" w:ascii="宋体" w:cs="宋体"/>
          <w:sz w:val="22"/>
          <w:szCs w:val="22"/>
        </w:rPr>
        <w:t>（授权代表全名，职务）代表我方处理有关本投标的一切事宜。</w:t>
      </w:r>
    </w:p>
    <w:p w14:paraId="1897234C">
      <w:pPr>
        <w:pStyle w:val="16"/>
        <w:spacing w:line="360" w:lineRule="auto"/>
        <w:ind w:firstLine="440"/>
        <w:rPr>
          <w:rFonts w:ascii="宋体" w:cs="宋体"/>
          <w:sz w:val="22"/>
          <w:szCs w:val="22"/>
        </w:rPr>
      </w:pPr>
      <w:r>
        <w:rPr>
          <w:rFonts w:hint="eastAsia" w:ascii="宋体" w:cs="宋体"/>
          <w:sz w:val="22"/>
          <w:szCs w:val="22"/>
        </w:rPr>
        <w:t>在此提交的投标文件中，包括如下内容，并已分别密封装袋：</w:t>
      </w:r>
    </w:p>
    <w:p w14:paraId="3943C77F">
      <w:pPr>
        <w:pStyle w:val="2"/>
        <w:adjustRightInd w:val="0"/>
        <w:snapToGrid w:val="0"/>
        <w:spacing w:after="0" w:line="360" w:lineRule="auto"/>
        <w:ind w:firstLine="330" w:firstLineChars="150"/>
        <w:rPr>
          <w:rFonts w:ascii="宋体" w:cs="宋体"/>
          <w:sz w:val="22"/>
          <w:szCs w:val="22"/>
        </w:rPr>
      </w:pPr>
      <w:r>
        <w:rPr>
          <w:rFonts w:hint="eastAsia" w:ascii="宋体" w:cs="宋体"/>
          <w:sz w:val="22"/>
          <w:szCs w:val="22"/>
        </w:rPr>
        <w:t>（—）按“投标供应商须知”要求编制投标文件的技术资信标【正本一份，副本四份】；</w:t>
      </w:r>
    </w:p>
    <w:p w14:paraId="742D4A71">
      <w:pPr>
        <w:spacing w:line="360" w:lineRule="auto"/>
        <w:ind w:firstLine="330" w:firstLineChars="150"/>
        <w:rPr>
          <w:rFonts w:ascii="宋体" w:cs="宋体"/>
          <w:sz w:val="22"/>
          <w:szCs w:val="22"/>
        </w:rPr>
      </w:pPr>
      <w:r>
        <w:rPr>
          <w:rFonts w:hint="eastAsia" w:ascii="宋体" w:cs="宋体"/>
          <w:sz w:val="22"/>
          <w:szCs w:val="22"/>
        </w:rPr>
        <w:t>（二）按“投标供应商须知”要求编制投标文件的商务（报价）标【正本一份，副本四份】；</w:t>
      </w:r>
    </w:p>
    <w:p w14:paraId="0E8D1C43">
      <w:pPr>
        <w:spacing w:line="360" w:lineRule="auto"/>
        <w:ind w:firstLine="440" w:firstLineChars="200"/>
        <w:rPr>
          <w:rFonts w:ascii="宋体" w:cs="宋体"/>
          <w:sz w:val="22"/>
          <w:szCs w:val="22"/>
        </w:rPr>
      </w:pPr>
      <w:r>
        <w:rPr>
          <w:rFonts w:hint="eastAsia" w:ascii="宋体" w:cs="宋体"/>
          <w:sz w:val="22"/>
          <w:szCs w:val="22"/>
        </w:rPr>
        <w:t>我方已完全明白采购文件的所有条款要求，并重申以下几点：</w:t>
      </w:r>
    </w:p>
    <w:p w14:paraId="2D67BEC6">
      <w:pPr>
        <w:spacing w:line="360" w:lineRule="auto"/>
        <w:ind w:left="1019" w:leftChars="171" w:hanging="660" w:hangingChars="300"/>
        <w:rPr>
          <w:rFonts w:ascii="宋体" w:cs="宋体"/>
          <w:sz w:val="22"/>
          <w:szCs w:val="22"/>
        </w:rPr>
      </w:pPr>
      <w:r>
        <w:rPr>
          <w:rFonts w:hint="eastAsia" w:ascii="宋体" w:cs="宋体"/>
          <w:sz w:val="22"/>
          <w:szCs w:val="22"/>
        </w:rPr>
        <w:t>（一）本投标文件的有效期自投标截止日起</w:t>
      </w:r>
      <w:r>
        <w:rPr>
          <w:rFonts w:hint="eastAsia" w:ascii="宋体" w:cs="宋体"/>
          <w:b/>
          <w:sz w:val="22"/>
          <w:szCs w:val="22"/>
          <w:u w:val="single"/>
        </w:rPr>
        <w:t>90</w:t>
      </w:r>
      <w:r>
        <w:rPr>
          <w:rFonts w:hint="eastAsia" w:ascii="宋体" w:cs="宋体"/>
          <w:sz w:val="22"/>
          <w:szCs w:val="22"/>
        </w:rPr>
        <w:t>天内有效，如中标，有效期将延至合同终止日为止；</w:t>
      </w:r>
    </w:p>
    <w:p w14:paraId="748BADA2">
      <w:pPr>
        <w:spacing w:line="360" w:lineRule="auto"/>
        <w:ind w:left="1019" w:leftChars="171" w:hanging="660" w:hangingChars="300"/>
        <w:rPr>
          <w:rFonts w:ascii="宋体" w:cs="宋体"/>
          <w:sz w:val="22"/>
          <w:szCs w:val="22"/>
        </w:rPr>
      </w:pPr>
      <w:r>
        <w:rPr>
          <w:rFonts w:hint="eastAsia" w:ascii="宋体" w:cs="宋体"/>
          <w:sz w:val="22"/>
          <w:szCs w:val="22"/>
        </w:rPr>
        <w:t>（二）我方已详细研究了采购文件的所有内容包括修改书（如有）和所有已提供的参考资料以及有关附件，我方完全理解并同意放弃在此方面提出含糊意见或误解的一切权力；</w:t>
      </w:r>
    </w:p>
    <w:p w14:paraId="75B30881">
      <w:pPr>
        <w:spacing w:line="360" w:lineRule="auto"/>
        <w:ind w:left="1019" w:leftChars="171" w:hanging="660" w:hangingChars="300"/>
        <w:rPr>
          <w:rFonts w:ascii="宋体" w:cs="宋体"/>
          <w:sz w:val="22"/>
          <w:szCs w:val="22"/>
        </w:rPr>
      </w:pPr>
      <w:r>
        <w:rPr>
          <w:rFonts w:hint="eastAsia" w:ascii="宋体" w:cs="宋体"/>
          <w:sz w:val="22"/>
          <w:szCs w:val="22"/>
        </w:rPr>
        <w:t>（三）我方明白并愿意在规定的开标时间之后，在投标有效期内撤回投标，其投标保证金贵方可不予退还；</w:t>
      </w:r>
    </w:p>
    <w:p w14:paraId="3831A786">
      <w:pPr>
        <w:spacing w:line="360" w:lineRule="auto"/>
        <w:ind w:left="359" w:leftChars="171"/>
        <w:rPr>
          <w:rFonts w:ascii="宋体" w:cs="宋体"/>
          <w:sz w:val="22"/>
          <w:szCs w:val="22"/>
        </w:rPr>
      </w:pPr>
      <w:r>
        <w:rPr>
          <w:rFonts w:hint="eastAsia" w:ascii="宋体" w:cs="宋体"/>
          <w:sz w:val="22"/>
          <w:szCs w:val="22"/>
        </w:rPr>
        <w:t>（四）我方同意提供按照贵方可能要求的与投标有关的一切数据或资料；</w:t>
      </w:r>
    </w:p>
    <w:p w14:paraId="5ED9A10B">
      <w:pPr>
        <w:spacing w:line="360" w:lineRule="auto"/>
        <w:ind w:left="359" w:leftChars="171"/>
        <w:rPr>
          <w:rFonts w:ascii="宋体" w:cs="宋体"/>
          <w:sz w:val="22"/>
          <w:szCs w:val="22"/>
        </w:rPr>
      </w:pPr>
      <w:r>
        <w:rPr>
          <w:rFonts w:hint="eastAsia" w:ascii="宋体" w:cs="宋体"/>
          <w:sz w:val="22"/>
          <w:szCs w:val="22"/>
        </w:rPr>
        <w:t>（五）我方理解贵方不一定接受最低报价;</w:t>
      </w:r>
    </w:p>
    <w:p w14:paraId="2D15CDA0">
      <w:pPr>
        <w:spacing w:line="360" w:lineRule="auto"/>
        <w:ind w:left="1019" w:leftChars="171" w:hanging="660" w:hangingChars="300"/>
        <w:rPr>
          <w:rFonts w:ascii="宋体" w:cs="宋体"/>
          <w:sz w:val="22"/>
          <w:szCs w:val="22"/>
        </w:rPr>
      </w:pPr>
      <w:r>
        <w:rPr>
          <w:rFonts w:hint="eastAsia" w:ascii="宋体" w:cs="宋体"/>
          <w:sz w:val="22"/>
          <w:szCs w:val="22"/>
        </w:rPr>
        <w:t>（六）我方如果中标，将保证履行采购文件以及采购文件修改书（如有）中的全部责任和义务，按质、按量、按期完成《合同书》中的全部任务。</w:t>
      </w:r>
    </w:p>
    <w:p w14:paraId="11A6586B">
      <w:pPr>
        <w:spacing w:line="360" w:lineRule="auto"/>
        <w:ind w:left="315"/>
        <w:rPr>
          <w:rFonts w:ascii="宋体" w:cs="宋体"/>
          <w:sz w:val="22"/>
          <w:szCs w:val="22"/>
        </w:rPr>
      </w:pPr>
      <w:r>
        <w:rPr>
          <w:rFonts w:hint="eastAsia" w:ascii="宋体" w:cs="宋体"/>
          <w:sz w:val="22"/>
          <w:szCs w:val="22"/>
        </w:rPr>
        <w:t>（七）所有与本投标有关的函件请发往下列地址：</w:t>
      </w:r>
    </w:p>
    <w:p w14:paraId="4C8873BA">
      <w:pPr>
        <w:spacing w:line="360" w:lineRule="auto"/>
        <w:ind w:firstLine="435"/>
        <w:rPr>
          <w:rFonts w:ascii="宋体" w:cs="宋体"/>
          <w:sz w:val="22"/>
          <w:szCs w:val="22"/>
        </w:rPr>
      </w:pPr>
      <w:r>
        <w:rPr>
          <w:rFonts w:hint="eastAsia" w:ascii="宋体" w:cs="宋体"/>
          <w:sz w:val="22"/>
          <w:szCs w:val="22"/>
        </w:rPr>
        <w:t xml:space="preserve">   地址</w:t>
      </w:r>
      <w:r>
        <w:rPr>
          <w:rFonts w:hint="eastAsia" w:ascii="宋体" w:cs="宋体"/>
          <w:sz w:val="22"/>
          <w:szCs w:val="22"/>
          <w:u w:val="single"/>
        </w:rPr>
        <w:t xml:space="preserve">                           </w:t>
      </w:r>
    </w:p>
    <w:p w14:paraId="63BA0850">
      <w:pPr>
        <w:spacing w:line="360" w:lineRule="auto"/>
        <w:ind w:firstLine="435"/>
        <w:rPr>
          <w:rFonts w:ascii="宋体" w:cs="宋体"/>
          <w:sz w:val="22"/>
          <w:szCs w:val="22"/>
        </w:rPr>
      </w:pPr>
      <w:r>
        <w:rPr>
          <w:rFonts w:hint="eastAsia" w:ascii="宋体" w:cs="宋体"/>
          <w:sz w:val="22"/>
          <w:szCs w:val="22"/>
        </w:rPr>
        <w:t xml:space="preserve">   电话</w:t>
      </w:r>
      <w:r>
        <w:rPr>
          <w:rFonts w:hint="eastAsia" w:ascii="宋体" w:cs="宋体"/>
          <w:sz w:val="22"/>
          <w:szCs w:val="22"/>
          <w:u w:val="single"/>
        </w:rPr>
        <w:t xml:space="preserve">                           </w:t>
      </w:r>
    </w:p>
    <w:p w14:paraId="585213B8">
      <w:pPr>
        <w:spacing w:line="360" w:lineRule="auto"/>
        <w:ind w:firstLine="435"/>
        <w:rPr>
          <w:rFonts w:ascii="宋体" w:cs="宋体"/>
          <w:sz w:val="22"/>
          <w:szCs w:val="22"/>
          <w:u w:val="single"/>
        </w:rPr>
      </w:pPr>
      <w:r>
        <w:rPr>
          <w:rFonts w:hint="eastAsia" w:ascii="宋体" w:cs="宋体"/>
          <w:sz w:val="22"/>
          <w:szCs w:val="22"/>
        </w:rPr>
        <w:t xml:space="preserve">   传真</w:t>
      </w:r>
      <w:r>
        <w:rPr>
          <w:rFonts w:hint="eastAsia" w:ascii="宋体" w:cs="宋体"/>
          <w:sz w:val="22"/>
          <w:szCs w:val="22"/>
          <w:u w:val="single"/>
        </w:rPr>
        <w:t xml:space="preserve">                           </w:t>
      </w:r>
    </w:p>
    <w:p w14:paraId="0424922C">
      <w:pPr>
        <w:spacing w:line="360" w:lineRule="auto"/>
        <w:ind w:firstLine="770" w:firstLineChars="350"/>
        <w:rPr>
          <w:rFonts w:ascii="宋体" w:cs="宋体"/>
          <w:sz w:val="22"/>
          <w:szCs w:val="22"/>
          <w:u w:val="single"/>
        </w:rPr>
      </w:pPr>
      <w:r>
        <w:rPr>
          <w:rFonts w:hint="eastAsia" w:ascii="宋体" w:cs="宋体"/>
          <w:sz w:val="22"/>
          <w:szCs w:val="22"/>
        </w:rPr>
        <w:t>电子邮件</w:t>
      </w:r>
      <w:r>
        <w:rPr>
          <w:rFonts w:hint="eastAsia" w:ascii="宋体" w:cs="宋体"/>
          <w:sz w:val="22"/>
          <w:szCs w:val="22"/>
          <w:u w:val="single"/>
        </w:rPr>
        <w:t xml:space="preserve">                       </w:t>
      </w:r>
    </w:p>
    <w:p w14:paraId="1723480C">
      <w:pPr>
        <w:spacing w:line="360" w:lineRule="auto"/>
        <w:ind w:firstLine="435"/>
        <w:rPr>
          <w:rFonts w:ascii="宋体" w:cs="宋体"/>
          <w:sz w:val="22"/>
          <w:szCs w:val="22"/>
        </w:rPr>
      </w:pPr>
      <w:r>
        <w:rPr>
          <w:rFonts w:hint="eastAsia" w:ascii="宋体" w:cs="宋体"/>
          <w:sz w:val="22"/>
          <w:szCs w:val="22"/>
        </w:rPr>
        <w:t xml:space="preserve">   投标供应商名称</w:t>
      </w:r>
      <w:r>
        <w:rPr>
          <w:rFonts w:hint="eastAsia" w:ascii="宋体" w:cs="宋体"/>
          <w:sz w:val="22"/>
          <w:szCs w:val="22"/>
          <w:u w:val="single"/>
        </w:rPr>
        <w:t xml:space="preserve">                          </w:t>
      </w:r>
    </w:p>
    <w:p w14:paraId="3A9C91EC">
      <w:pPr>
        <w:spacing w:line="360" w:lineRule="auto"/>
        <w:ind w:firstLine="435"/>
        <w:rPr>
          <w:rFonts w:ascii="宋体" w:cs="宋体"/>
          <w:sz w:val="22"/>
          <w:szCs w:val="22"/>
        </w:rPr>
      </w:pPr>
      <w:r>
        <w:rPr>
          <w:rFonts w:hint="eastAsia" w:ascii="宋体" w:cs="宋体"/>
          <w:sz w:val="22"/>
          <w:szCs w:val="22"/>
        </w:rPr>
        <w:t xml:space="preserve">   公章</w:t>
      </w:r>
      <w:r>
        <w:rPr>
          <w:rFonts w:hint="eastAsia" w:ascii="宋体" w:cs="宋体"/>
          <w:sz w:val="22"/>
          <w:szCs w:val="22"/>
          <w:u w:val="single"/>
        </w:rPr>
        <w:t xml:space="preserve">                                    </w:t>
      </w:r>
    </w:p>
    <w:p w14:paraId="44C9FC8C">
      <w:pPr>
        <w:spacing w:line="360" w:lineRule="auto"/>
        <w:ind w:firstLine="435"/>
        <w:rPr>
          <w:rFonts w:ascii="宋体" w:cs="宋体"/>
          <w:sz w:val="22"/>
          <w:szCs w:val="22"/>
        </w:rPr>
      </w:pPr>
      <w:r>
        <w:rPr>
          <w:rFonts w:hint="eastAsia" w:ascii="宋体" w:cs="宋体"/>
          <w:sz w:val="22"/>
          <w:szCs w:val="22"/>
        </w:rPr>
        <w:t xml:space="preserve">   法定代表人或授权代表（签字或盖章）：</w:t>
      </w:r>
      <w:r>
        <w:rPr>
          <w:rFonts w:hint="eastAsia" w:ascii="宋体" w:cs="宋体"/>
          <w:sz w:val="22"/>
          <w:szCs w:val="22"/>
          <w:u w:val="single"/>
        </w:rPr>
        <w:t xml:space="preserve">                  </w:t>
      </w:r>
    </w:p>
    <w:p w14:paraId="416D48C8">
      <w:pPr>
        <w:spacing w:line="360" w:lineRule="auto"/>
        <w:ind w:firstLine="435"/>
        <w:rPr>
          <w:rFonts w:ascii="宋体" w:cs="宋体"/>
          <w:sz w:val="22"/>
          <w:szCs w:val="22"/>
        </w:rPr>
        <w:sectPr>
          <w:headerReference r:id="rId14" w:type="first"/>
          <w:footerReference r:id="rId16" w:type="first"/>
          <w:footerReference r:id="rId15" w:type="default"/>
          <w:pgSz w:w="11906" w:h="16838"/>
          <w:pgMar w:top="1134" w:right="1134" w:bottom="1134" w:left="1134" w:header="851" w:footer="850" w:gutter="284"/>
          <w:cols w:space="720" w:num="1"/>
          <w:titlePg/>
          <w:docGrid w:linePitch="312" w:charSpace="0"/>
        </w:sectPr>
      </w:pPr>
      <w:r>
        <w:rPr>
          <w:rFonts w:hint="eastAsia" w:ascii="宋体" w:cs="宋体"/>
          <w:sz w:val="22"/>
          <w:szCs w:val="22"/>
        </w:rPr>
        <w:t xml:space="preserve">  日期</w:t>
      </w:r>
      <w:r>
        <w:rPr>
          <w:rFonts w:hint="eastAsia" w:ascii="宋体" w:cs="宋体"/>
          <w:sz w:val="22"/>
          <w:szCs w:val="22"/>
          <w:u w:val="single"/>
        </w:rPr>
        <w:t xml:space="preserve">                                   </w:t>
      </w:r>
    </w:p>
    <w:p w14:paraId="48133067">
      <w:pPr>
        <w:pStyle w:val="7"/>
        <w:spacing w:line="240" w:lineRule="auto"/>
        <w:rPr>
          <w:rFonts w:ascii="宋体" w:eastAsia="宋体" w:cs="宋体"/>
          <w:sz w:val="24"/>
          <w:szCs w:val="24"/>
        </w:rPr>
      </w:pPr>
      <w:bookmarkStart w:id="107" w:name="_Toc195336280"/>
      <w:bookmarkStart w:id="108" w:name="_Toc218392089"/>
      <w:bookmarkStart w:id="109" w:name="_Toc351809632"/>
      <w:bookmarkStart w:id="110" w:name="_Toc29672"/>
      <w:bookmarkStart w:id="111" w:name="_Toc7775"/>
      <w:bookmarkStart w:id="112" w:name="_Toc1802"/>
      <w:bookmarkStart w:id="113" w:name="_Toc21359"/>
      <w:bookmarkStart w:id="114" w:name="_Toc6747"/>
      <w:bookmarkStart w:id="115" w:name="_Toc511308240"/>
      <w:bookmarkStart w:id="116" w:name="_Toc230773785"/>
      <w:bookmarkStart w:id="117" w:name="_Toc30748"/>
      <w:r>
        <w:rPr>
          <w:rFonts w:hint="eastAsia" w:ascii="宋体" w:eastAsia="宋体" w:cs="宋体"/>
          <w:sz w:val="24"/>
          <w:szCs w:val="24"/>
        </w:rPr>
        <w:t>附件二</w:t>
      </w:r>
      <w:bookmarkEnd w:id="107"/>
      <w:bookmarkEnd w:id="108"/>
      <w:r>
        <w:rPr>
          <w:rFonts w:hint="eastAsia" w:ascii="宋体" w:eastAsia="宋体" w:cs="宋体"/>
          <w:sz w:val="24"/>
          <w:szCs w:val="24"/>
        </w:rPr>
        <w:t xml:space="preserve"> 投标报价一览表</w:t>
      </w:r>
      <w:bookmarkEnd w:id="109"/>
      <w:bookmarkEnd w:id="110"/>
      <w:bookmarkEnd w:id="111"/>
      <w:bookmarkEnd w:id="112"/>
      <w:bookmarkEnd w:id="113"/>
      <w:bookmarkEnd w:id="114"/>
      <w:bookmarkEnd w:id="115"/>
      <w:bookmarkEnd w:id="116"/>
      <w:bookmarkEnd w:id="117"/>
    </w:p>
    <w:p w14:paraId="283664FD">
      <w:pPr>
        <w:spacing w:line="400" w:lineRule="exact"/>
        <w:jc w:val="center"/>
        <w:rPr>
          <w:rFonts w:ascii="宋体" w:cs="宋体"/>
          <w:b/>
          <w:bCs/>
          <w:sz w:val="28"/>
          <w:szCs w:val="28"/>
        </w:rPr>
      </w:pPr>
      <w:r>
        <w:rPr>
          <w:rFonts w:hint="eastAsia" w:ascii="宋体" w:cs="宋体"/>
          <w:b/>
          <w:bCs/>
          <w:sz w:val="28"/>
          <w:szCs w:val="28"/>
        </w:rPr>
        <w:t>投标报价一览表</w:t>
      </w:r>
    </w:p>
    <w:p w14:paraId="5DA268FE">
      <w:pPr>
        <w:spacing w:line="380" w:lineRule="exact"/>
        <w:jc w:val="center"/>
        <w:rPr>
          <w:rFonts w:ascii="宋体" w:cs="宋体"/>
          <w:b/>
          <w:bCs/>
          <w:sz w:val="28"/>
        </w:rPr>
      </w:pPr>
    </w:p>
    <w:p w14:paraId="4E926EA7">
      <w:pPr>
        <w:spacing w:line="380" w:lineRule="exact"/>
        <w:rPr>
          <w:rFonts w:ascii="宋体" w:cs="宋体"/>
          <w:bCs/>
          <w:sz w:val="22"/>
          <w:szCs w:val="22"/>
        </w:rPr>
      </w:pPr>
      <w:r>
        <w:rPr>
          <w:rFonts w:hint="eastAsia" w:ascii="宋体" w:cs="宋体"/>
          <w:bCs/>
          <w:sz w:val="22"/>
          <w:szCs w:val="22"/>
        </w:rPr>
        <w:t xml:space="preserve">项目编号：                                                     </w:t>
      </w:r>
      <w:r>
        <w:rPr>
          <w:rFonts w:hint="eastAsia" w:ascii="宋体" w:cs="宋体"/>
        </w:rPr>
        <w:t>（价格单位：人民币元）</w:t>
      </w:r>
    </w:p>
    <w:tbl>
      <w:tblPr>
        <w:tblStyle w:val="5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980"/>
        <w:gridCol w:w="5071"/>
        <w:gridCol w:w="1538"/>
      </w:tblGrid>
      <w:tr w14:paraId="271A4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jc w:val="center"/>
        </w:trPr>
        <w:tc>
          <w:tcPr>
            <w:tcW w:w="828" w:type="dxa"/>
            <w:vAlign w:val="center"/>
          </w:tcPr>
          <w:p w14:paraId="172D3FCB">
            <w:pPr>
              <w:spacing w:line="380" w:lineRule="exact"/>
              <w:jc w:val="center"/>
              <w:rPr>
                <w:rFonts w:ascii="宋体" w:cs="宋体"/>
                <w:b/>
                <w:bCs/>
                <w:sz w:val="22"/>
                <w:szCs w:val="22"/>
              </w:rPr>
            </w:pPr>
            <w:r>
              <w:rPr>
                <w:rFonts w:hint="eastAsia" w:ascii="宋体" w:cs="宋体"/>
                <w:b/>
                <w:bCs/>
                <w:sz w:val="22"/>
                <w:szCs w:val="22"/>
              </w:rPr>
              <w:t>序号</w:t>
            </w:r>
          </w:p>
        </w:tc>
        <w:tc>
          <w:tcPr>
            <w:tcW w:w="1980" w:type="dxa"/>
            <w:vAlign w:val="center"/>
          </w:tcPr>
          <w:p w14:paraId="04EC08DD">
            <w:pPr>
              <w:spacing w:line="380" w:lineRule="exact"/>
              <w:jc w:val="center"/>
              <w:rPr>
                <w:rFonts w:ascii="宋体" w:cs="宋体"/>
                <w:b/>
                <w:bCs/>
                <w:sz w:val="22"/>
                <w:szCs w:val="22"/>
              </w:rPr>
            </w:pPr>
            <w:r>
              <w:rPr>
                <w:rFonts w:hint="eastAsia" w:ascii="宋体" w:cs="宋体"/>
                <w:b/>
                <w:bCs/>
                <w:sz w:val="22"/>
                <w:szCs w:val="22"/>
              </w:rPr>
              <w:t>项目名称</w:t>
            </w:r>
          </w:p>
        </w:tc>
        <w:tc>
          <w:tcPr>
            <w:tcW w:w="5071" w:type="dxa"/>
            <w:vAlign w:val="center"/>
          </w:tcPr>
          <w:p w14:paraId="04BF88C7">
            <w:pPr>
              <w:spacing w:line="380" w:lineRule="exact"/>
              <w:jc w:val="center"/>
              <w:rPr>
                <w:rFonts w:ascii="宋体" w:cs="宋体"/>
                <w:b/>
                <w:bCs/>
                <w:sz w:val="22"/>
                <w:szCs w:val="22"/>
              </w:rPr>
            </w:pPr>
            <w:r>
              <w:rPr>
                <w:rFonts w:hint="eastAsia" w:ascii="宋体" w:cs="宋体"/>
                <w:b/>
                <w:bCs/>
                <w:sz w:val="22"/>
                <w:szCs w:val="22"/>
              </w:rPr>
              <w:t>投标报价</w:t>
            </w:r>
          </w:p>
        </w:tc>
        <w:tc>
          <w:tcPr>
            <w:tcW w:w="1538" w:type="dxa"/>
            <w:vAlign w:val="center"/>
          </w:tcPr>
          <w:p w14:paraId="2719F7CE">
            <w:pPr>
              <w:spacing w:line="380" w:lineRule="exact"/>
              <w:jc w:val="center"/>
              <w:rPr>
                <w:rFonts w:ascii="宋体" w:cs="宋体"/>
                <w:b/>
                <w:bCs/>
                <w:sz w:val="22"/>
                <w:szCs w:val="22"/>
              </w:rPr>
            </w:pPr>
            <w:r>
              <w:rPr>
                <w:rFonts w:hint="eastAsia" w:ascii="宋体" w:cs="宋体"/>
                <w:b/>
                <w:bCs/>
                <w:sz w:val="22"/>
                <w:szCs w:val="22"/>
              </w:rPr>
              <w:t>备注</w:t>
            </w:r>
          </w:p>
        </w:tc>
      </w:tr>
      <w:tr w14:paraId="3D1D2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8" w:hRule="atLeast"/>
          <w:jc w:val="center"/>
        </w:trPr>
        <w:tc>
          <w:tcPr>
            <w:tcW w:w="828" w:type="dxa"/>
            <w:vMerge w:val="restart"/>
            <w:vAlign w:val="center"/>
          </w:tcPr>
          <w:p w14:paraId="1EA1BFBE">
            <w:pPr>
              <w:spacing w:line="380" w:lineRule="exact"/>
              <w:jc w:val="center"/>
              <w:rPr>
                <w:rFonts w:ascii="宋体" w:cs="宋体"/>
                <w:bCs/>
                <w:sz w:val="22"/>
                <w:szCs w:val="22"/>
              </w:rPr>
            </w:pPr>
            <w:r>
              <w:rPr>
                <w:rFonts w:hint="eastAsia" w:ascii="宋体" w:cs="宋体"/>
                <w:bCs/>
                <w:sz w:val="22"/>
                <w:szCs w:val="22"/>
              </w:rPr>
              <w:t>1</w:t>
            </w:r>
          </w:p>
        </w:tc>
        <w:tc>
          <w:tcPr>
            <w:tcW w:w="1980" w:type="dxa"/>
            <w:vMerge w:val="restart"/>
            <w:vAlign w:val="center"/>
          </w:tcPr>
          <w:p w14:paraId="06054C75">
            <w:pPr>
              <w:spacing w:line="380" w:lineRule="exact"/>
              <w:jc w:val="center"/>
              <w:rPr>
                <w:rFonts w:ascii="宋体" w:cs="宋体"/>
                <w:kern w:val="0"/>
                <w:sz w:val="22"/>
                <w:szCs w:val="22"/>
              </w:rPr>
            </w:pPr>
          </w:p>
        </w:tc>
        <w:tc>
          <w:tcPr>
            <w:tcW w:w="5071" w:type="dxa"/>
            <w:vAlign w:val="center"/>
          </w:tcPr>
          <w:p w14:paraId="731DC779">
            <w:pPr>
              <w:spacing w:line="380" w:lineRule="exact"/>
              <w:rPr>
                <w:rFonts w:ascii="宋体" w:cs="宋体"/>
                <w:bCs/>
                <w:sz w:val="22"/>
                <w:szCs w:val="22"/>
              </w:rPr>
            </w:pPr>
            <w:r>
              <w:rPr>
                <w:rFonts w:hint="eastAsia" w:ascii="宋体" w:cs="宋体"/>
                <w:bCs/>
                <w:sz w:val="22"/>
                <w:szCs w:val="22"/>
              </w:rPr>
              <w:t>小写：￥</w:t>
            </w:r>
          </w:p>
        </w:tc>
        <w:tc>
          <w:tcPr>
            <w:tcW w:w="1538" w:type="dxa"/>
            <w:vMerge w:val="restart"/>
            <w:vAlign w:val="center"/>
          </w:tcPr>
          <w:p w14:paraId="64B5BB98">
            <w:pPr>
              <w:spacing w:line="380" w:lineRule="exact"/>
              <w:jc w:val="center"/>
              <w:rPr>
                <w:rFonts w:ascii="宋体" w:cs="宋体"/>
                <w:bCs/>
                <w:sz w:val="22"/>
                <w:szCs w:val="22"/>
              </w:rPr>
            </w:pPr>
          </w:p>
        </w:tc>
      </w:tr>
      <w:tr w14:paraId="181B3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6" w:hRule="atLeast"/>
          <w:jc w:val="center"/>
        </w:trPr>
        <w:tc>
          <w:tcPr>
            <w:tcW w:w="828" w:type="dxa"/>
            <w:vMerge w:val="continue"/>
            <w:vAlign w:val="center"/>
          </w:tcPr>
          <w:p w14:paraId="638EE88B"/>
        </w:tc>
        <w:tc>
          <w:tcPr>
            <w:tcW w:w="1980" w:type="dxa"/>
            <w:vMerge w:val="continue"/>
            <w:vAlign w:val="center"/>
          </w:tcPr>
          <w:p w14:paraId="7F9F9EC4"/>
        </w:tc>
        <w:tc>
          <w:tcPr>
            <w:tcW w:w="5071" w:type="dxa"/>
            <w:vAlign w:val="center"/>
          </w:tcPr>
          <w:p w14:paraId="712B0DAC">
            <w:pPr>
              <w:spacing w:line="380" w:lineRule="exact"/>
              <w:rPr>
                <w:rFonts w:ascii="宋体" w:cs="宋体"/>
                <w:bCs/>
                <w:sz w:val="22"/>
                <w:szCs w:val="22"/>
              </w:rPr>
            </w:pPr>
            <w:r>
              <w:rPr>
                <w:rFonts w:hint="eastAsia" w:ascii="宋体" w:cs="宋体"/>
                <w:bCs/>
                <w:sz w:val="22"/>
                <w:szCs w:val="22"/>
              </w:rPr>
              <w:t>大写：</w:t>
            </w:r>
            <w:r>
              <w:rPr>
                <w:rFonts w:hint="eastAsia" w:ascii="宋体" w:cs="宋体"/>
                <w:bCs/>
                <w:sz w:val="22"/>
                <w:szCs w:val="22"/>
                <w:lang w:val="en-US" w:eastAsia="zh-CN"/>
              </w:rPr>
              <w:t xml:space="preserve">                    </w:t>
            </w:r>
            <w:r>
              <w:rPr>
                <w:rFonts w:hint="eastAsia" w:ascii="宋体" w:cs="宋体"/>
                <w:bCs/>
                <w:sz w:val="22"/>
                <w:szCs w:val="22"/>
              </w:rPr>
              <w:t>人民币</w:t>
            </w:r>
          </w:p>
        </w:tc>
        <w:tc>
          <w:tcPr>
            <w:tcW w:w="1538" w:type="dxa"/>
            <w:vMerge w:val="continue"/>
            <w:vAlign w:val="center"/>
          </w:tcPr>
          <w:p w14:paraId="4D3A34B6"/>
        </w:tc>
      </w:tr>
    </w:tbl>
    <w:p w14:paraId="76C2D64F">
      <w:pPr>
        <w:spacing w:line="360" w:lineRule="auto"/>
        <w:ind w:left="526" w:leftChars="38" w:hanging="446" w:hangingChars="203"/>
        <w:rPr>
          <w:rFonts w:ascii="宋体" w:cs="宋体"/>
          <w:bCs/>
          <w:sz w:val="22"/>
          <w:szCs w:val="22"/>
        </w:rPr>
      </w:pPr>
      <w:r>
        <w:rPr>
          <w:rFonts w:hint="eastAsia" w:ascii="宋体" w:cs="宋体"/>
          <w:bCs/>
          <w:sz w:val="22"/>
          <w:szCs w:val="22"/>
        </w:rPr>
        <w:t>说明：</w:t>
      </w:r>
    </w:p>
    <w:p w14:paraId="6BB4E564">
      <w:pPr>
        <w:spacing w:line="360" w:lineRule="auto"/>
        <w:rPr>
          <w:rFonts w:ascii="宋体" w:cs="宋体"/>
          <w:bCs/>
          <w:sz w:val="22"/>
          <w:szCs w:val="22"/>
          <w:lang w:val="zh-CN"/>
        </w:rPr>
      </w:pPr>
      <w:r>
        <w:rPr>
          <w:rFonts w:hint="eastAsia" w:ascii="宋体" w:hAnsi="宋体" w:cs="宋体"/>
          <w:b/>
          <w:bCs/>
          <w:sz w:val="22"/>
          <w:szCs w:val="22"/>
        </w:rPr>
        <w:t>1.</w:t>
      </w:r>
      <w:r>
        <w:rPr>
          <w:rFonts w:hint="eastAsia" w:cs="宋体"/>
          <w:sz w:val="22"/>
          <w:szCs w:val="22"/>
        </w:rPr>
        <w:t>▲</w:t>
      </w:r>
      <w:r>
        <w:rPr>
          <w:rFonts w:hint="eastAsia" w:ascii="宋体" w:hAnsi="宋体"/>
          <w:b/>
          <w:sz w:val="22"/>
          <w:szCs w:val="22"/>
          <w:u w:val="single"/>
        </w:rPr>
        <w:t>投标报价是指供应商在</w:t>
      </w:r>
      <w:r>
        <w:rPr>
          <w:rFonts w:hint="eastAsia" w:hAnsi="宋体"/>
          <w:b/>
          <w:sz w:val="22"/>
          <w:szCs w:val="22"/>
          <w:u w:val="single"/>
        </w:rPr>
        <w:t>正确的完全</w:t>
      </w:r>
      <w:r>
        <w:rPr>
          <w:rFonts w:hint="eastAsia" w:ascii="宋体" w:hAnsi="宋体"/>
          <w:b/>
          <w:sz w:val="22"/>
          <w:szCs w:val="22"/>
          <w:u w:val="single"/>
        </w:rPr>
        <w:t>履行合同义务后采购人应支付给中标供应商所有的服务价款，即应包括软件（设计、开发、升级）费、硬件采购费、人工费、测试、维护、培训、扩展服务</w:t>
      </w:r>
      <w:r>
        <w:rPr>
          <w:rFonts w:hint="eastAsia" w:ascii="宋体" w:hAnsi="宋体" w:cs="Arial"/>
          <w:b/>
          <w:sz w:val="22"/>
          <w:szCs w:val="22"/>
          <w:u w:val="single"/>
        </w:rPr>
        <w:t>、</w:t>
      </w:r>
      <w:r>
        <w:rPr>
          <w:rFonts w:hint="eastAsia" w:ascii="宋体" w:hAnsi="宋体"/>
          <w:b/>
          <w:sz w:val="22"/>
          <w:szCs w:val="22"/>
          <w:u w:val="single"/>
        </w:rPr>
        <w:t>利润、不可预见费、税金、劳动保险费、采购代理服务费等完本项目所需的全部费用，实行固定费用总包干</w:t>
      </w:r>
      <w:r>
        <w:rPr>
          <w:rFonts w:hint="eastAsia" w:ascii="宋体" w:hAnsi="宋体"/>
          <w:b/>
          <w:bCs/>
          <w:sz w:val="22"/>
          <w:szCs w:val="22"/>
          <w:u w:val="single"/>
        </w:rPr>
        <w:t>。</w:t>
      </w:r>
      <w:r>
        <w:rPr>
          <w:rFonts w:hint="eastAsia" w:ascii="宋体" w:hAnsi="宋体" w:cs="宋体"/>
          <w:b/>
          <w:bCs/>
          <w:sz w:val="22"/>
          <w:szCs w:val="22"/>
          <w:u w:val="single"/>
        </w:rPr>
        <w:t>投标供应商应根据上述因素自行考虑含入投标报价。</w:t>
      </w:r>
    </w:p>
    <w:p w14:paraId="6B4B934E">
      <w:pPr>
        <w:pStyle w:val="2"/>
        <w:spacing w:after="0" w:line="360" w:lineRule="auto"/>
        <w:rPr>
          <w:rFonts w:ascii="宋体" w:cs="宋体"/>
          <w:b/>
          <w:sz w:val="22"/>
          <w:szCs w:val="22"/>
        </w:rPr>
      </w:pPr>
      <w:r>
        <w:rPr>
          <w:rFonts w:hint="eastAsia" w:ascii="宋体" w:cs="宋体"/>
          <w:b/>
          <w:sz w:val="22"/>
          <w:szCs w:val="22"/>
        </w:rPr>
        <w:t xml:space="preserve">2. </w:t>
      </w:r>
      <w:r>
        <w:rPr>
          <w:rFonts w:hint="eastAsia" w:ascii="宋体" w:cs="宋体"/>
          <w:b/>
          <w:bCs/>
          <w:sz w:val="22"/>
          <w:szCs w:val="22"/>
        </w:rPr>
        <w:t>此栏内投标报价应与附件三“投标分项报价表”合计总价相一致。</w:t>
      </w:r>
    </w:p>
    <w:p w14:paraId="769BBBEF">
      <w:pPr>
        <w:pStyle w:val="2"/>
        <w:spacing w:after="0" w:line="360" w:lineRule="auto"/>
      </w:pPr>
      <w:r>
        <w:rPr>
          <w:rFonts w:hint="eastAsia" w:ascii="宋体" w:cs="宋体"/>
          <w:b/>
          <w:sz w:val="22"/>
          <w:szCs w:val="22"/>
        </w:rPr>
        <w:t>3.▲</w:t>
      </w:r>
      <w:r>
        <w:rPr>
          <w:rFonts w:hint="eastAsia" w:ascii="宋体" w:cs="宋体"/>
          <w:b/>
          <w:sz w:val="22"/>
          <w:szCs w:val="22"/>
          <w:u w:val="single"/>
        </w:rPr>
        <w:t>不提供投标报价一览表将视为没有实质性响应采购文件</w:t>
      </w:r>
      <w:r>
        <w:rPr>
          <w:rFonts w:hint="eastAsia" w:ascii="宋体" w:cs="宋体"/>
          <w:b/>
          <w:sz w:val="22"/>
          <w:szCs w:val="22"/>
        </w:rPr>
        <w:t>。</w:t>
      </w:r>
    </w:p>
    <w:p w14:paraId="2C0F7343">
      <w:pPr>
        <w:pStyle w:val="2"/>
        <w:spacing w:after="0" w:line="360" w:lineRule="auto"/>
      </w:pPr>
    </w:p>
    <w:p w14:paraId="2A26382F">
      <w:pPr>
        <w:spacing w:line="440" w:lineRule="exact"/>
        <w:ind w:left="549" w:leftChars="5" w:hanging="539" w:hangingChars="245"/>
        <w:rPr>
          <w:rFonts w:ascii="宋体" w:cs="宋体"/>
          <w:bCs/>
          <w:sz w:val="22"/>
          <w:szCs w:val="22"/>
        </w:rPr>
      </w:pPr>
    </w:p>
    <w:p w14:paraId="589CE8C2">
      <w:pPr>
        <w:spacing w:line="440" w:lineRule="exact"/>
        <w:ind w:firstLine="9460" w:firstLineChars="4300"/>
        <w:rPr>
          <w:rFonts w:ascii="宋体" w:cs="宋体"/>
          <w:sz w:val="22"/>
          <w:szCs w:val="22"/>
        </w:rPr>
      </w:pPr>
    </w:p>
    <w:p w14:paraId="35309C04">
      <w:pPr>
        <w:spacing w:line="440" w:lineRule="exact"/>
        <w:rPr>
          <w:rFonts w:ascii="宋体" w:cs="宋体"/>
          <w:sz w:val="22"/>
          <w:szCs w:val="22"/>
        </w:rPr>
      </w:pPr>
      <w:r>
        <w:rPr>
          <w:rFonts w:hint="eastAsia" w:ascii="宋体" w:cs="宋体"/>
          <w:sz w:val="22"/>
          <w:szCs w:val="22"/>
        </w:rPr>
        <w:t>投标供应商全称（公章）：</w:t>
      </w:r>
    </w:p>
    <w:p w14:paraId="5A279362">
      <w:pPr>
        <w:spacing w:line="440" w:lineRule="exact"/>
        <w:rPr>
          <w:rFonts w:ascii="宋体" w:cs="宋体"/>
          <w:sz w:val="22"/>
          <w:szCs w:val="22"/>
        </w:rPr>
      </w:pPr>
      <w:r>
        <w:rPr>
          <w:rFonts w:hint="eastAsia" w:ascii="宋体" w:cs="宋体"/>
          <w:sz w:val="22"/>
          <w:szCs w:val="22"/>
        </w:rPr>
        <w:t>法定代表人或授权代表（签字或盖章）：</w:t>
      </w:r>
    </w:p>
    <w:p w14:paraId="44226289">
      <w:pPr>
        <w:spacing w:line="440" w:lineRule="exact"/>
        <w:rPr>
          <w:rFonts w:ascii="宋体" w:cs="宋体"/>
          <w:sz w:val="22"/>
          <w:szCs w:val="22"/>
        </w:rPr>
      </w:pPr>
      <w:r>
        <w:rPr>
          <w:rFonts w:hint="eastAsia" w:ascii="宋体" w:cs="宋体"/>
          <w:sz w:val="22"/>
          <w:szCs w:val="22"/>
        </w:rPr>
        <w:t xml:space="preserve">日 期：      年   月    </w:t>
      </w:r>
    </w:p>
    <w:p w14:paraId="337AFA46">
      <w:pPr>
        <w:pStyle w:val="3"/>
        <w:ind w:firstLine="210"/>
        <w:sectPr>
          <w:pgSz w:w="11906" w:h="16838"/>
          <w:pgMar w:top="1134" w:right="1134" w:bottom="1134" w:left="1134" w:header="851" w:footer="850" w:gutter="284"/>
          <w:cols w:space="720" w:num="1"/>
          <w:docGrid w:linePitch="312" w:charSpace="0"/>
        </w:sectPr>
      </w:pPr>
    </w:p>
    <w:p w14:paraId="2B652741">
      <w:pPr>
        <w:pStyle w:val="7"/>
        <w:spacing w:line="480" w:lineRule="exact"/>
        <w:rPr>
          <w:rFonts w:ascii="宋体" w:eastAsia="宋体" w:cs="宋体"/>
          <w:sz w:val="24"/>
          <w:szCs w:val="24"/>
        </w:rPr>
      </w:pPr>
      <w:bookmarkStart w:id="118" w:name="_Toc23846"/>
      <w:bookmarkStart w:id="119" w:name="_Toc29300646"/>
      <w:bookmarkStart w:id="120" w:name="_Toc17475"/>
      <w:bookmarkStart w:id="121" w:name="_Toc8554"/>
      <w:bookmarkStart w:id="122" w:name="_Toc11953"/>
      <w:bookmarkStart w:id="123" w:name="_Toc230773787"/>
      <w:bookmarkStart w:id="124" w:name="_Toc184281694"/>
      <w:bookmarkStart w:id="125" w:name="_Toc218392091"/>
      <w:bookmarkStart w:id="126" w:name="_Toc511308242"/>
      <w:bookmarkStart w:id="127" w:name="_Toc22887"/>
      <w:bookmarkStart w:id="128" w:name="_Toc27923"/>
      <w:bookmarkStart w:id="129" w:name="_Toc7390"/>
      <w:bookmarkStart w:id="130" w:name="_Toc351809635"/>
      <w:bookmarkStart w:id="131" w:name="_Toc184281693"/>
      <w:r>
        <w:rPr>
          <w:rFonts w:hint="eastAsia" w:ascii="宋体" w:eastAsia="宋体" w:cs="宋体"/>
          <w:sz w:val="24"/>
          <w:szCs w:val="24"/>
        </w:rPr>
        <w:t>附件三  投标分项报价表</w:t>
      </w:r>
      <w:bookmarkEnd w:id="118"/>
      <w:bookmarkEnd w:id="119"/>
      <w:bookmarkEnd w:id="120"/>
      <w:bookmarkEnd w:id="121"/>
      <w:bookmarkEnd w:id="122"/>
    </w:p>
    <w:p w14:paraId="764139E7">
      <w:pPr>
        <w:spacing w:line="440" w:lineRule="exact"/>
        <w:jc w:val="center"/>
        <w:rPr>
          <w:rFonts w:ascii="宋体" w:cs="宋体"/>
          <w:b/>
          <w:bCs/>
          <w:sz w:val="22"/>
          <w:szCs w:val="22"/>
        </w:rPr>
      </w:pPr>
      <w:r>
        <w:rPr>
          <w:rFonts w:hint="eastAsia" w:ascii="宋体" w:cs="宋体"/>
          <w:b/>
          <w:sz w:val="28"/>
          <w:szCs w:val="28"/>
        </w:rPr>
        <w:t xml:space="preserve"> </w:t>
      </w:r>
      <w:r>
        <w:rPr>
          <w:rFonts w:hint="eastAsia" w:ascii="宋体" w:cs="宋体"/>
          <w:b/>
          <w:bCs/>
          <w:sz w:val="28"/>
          <w:szCs w:val="28"/>
        </w:rPr>
        <w:t>投标分项报价表</w:t>
      </w:r>
    </w:p>
    <w:p w14:paraId="3904B89C">
      <w:pPr>
        <w:spacing w:line="440" w:lineRule="exact"/>
        <w:rPr>
          <w:rFonts w:hint="eastAsia" w:ascii="宋体" w:cs="宋体"/>
          <w:b/>
          <w:bCs/>
          <w:sz w:val="22"/>
          <w:szCs w:val="22"/>
        </w:rPr>
      </w:pPr>
      <w:r>
        <w:rPr>
          <w:rFonts w:hint="eastAsia" w:ascii="宋体" w:cs="宋体"/>
          <w:b/>
          <w:bCs/>
          <w:sz w:val="22"/>
          <w:szCs w:val="22"/>
        </w:rPr>
        <w:t xml:space="preserve">项目名称： </w:t>
      </w:r>
      <w:r>
        <w:rPr>
          <w:rFonts w:hint="eastAsia" w:ascii="宋体" w:cs="宋体"/>
          <w:sz w:val="22"/>
          <w:szCs w:val="22"/>
        </w:rPr>
        <w:t xml:space="preserve">                                   </w:t>
      </w:r>
      <w:r>
        <w:rPr>
          <w:rFonts w:hint="eastAsia" w:ascii="宋体" w:cs="宋体"/>
          <w:b/>
          <w:bCs/>
          <w:sz w:val="22"/>
          <w:szCs w:val="22"/>
        </w:rPr>
        <w:t>项目编号：</w:t>
      </w:r>
    </w:p>
    <w:tbl>
      <w:tblPr>
        <w:tblStyle w:val="50"/>
        <w:tblW w:w="10239" w:type="dxa"/>
        <w:jc w:val="center"/>
        <w:tblLayout w:type="fixed"/>
        <w:tblCellMar>
          <w:top w:w="0" w:type="dxa"/>
          <w:left w:w="108" w:type="dxa"/>
          <w:bottom w:w="0" w:type="dxa"/>
          <w:right w:w="108" w:type="dxa"/>
        </w:tblCellMar>
      </w:tblPr>
      <w:tblGrid>
        <w:gridCol w:w="574"/>
        <w:gridCol w:w="900"/>
        <w:gridCol w:w="2672"/>
        <w:gridCol w:w="1596"/>
        <w:gridCol w:w="682"/>
        <w:gridCol w:w="709"/>
        <w:gridCol w:w="1104"/>
        <w:gridCol w:w="1339"/>
        <w:gridCol w:w="663"/>
      </w:tblGrid>
      <w:tr w14:paraId="3A8AC0AE">
        <w:tblPrEx>
          <w:tblCellMar>
            <w:top w:w="0" w:type="dxa"/>
            <w:left w:w="108" w:type="dxa"/>
            <w:bottom w:w="0" w:type="dxa"/>
            <w:right w:w="108" w:type="dxa"/>
          </w:tblCellMar>
        </w:tblPrEx>
        <w:trPr>
          <w:trHeight w:val="594" w:hRule="atLeast"/>
          <w:jc w:val="center"/>
        </w:trPr>
        <w:tc>
          <w:tcPr>
            <w:tcW w:w="574" w:type="dxa"/>
            <w:tcBorders>
              <w:top w:val="single" w:color="auto" w:sz="4" w:space="0"/>
              <w:left w:val="single" w:color="auto" w:sz="4" w:space="0"/>
              <w:bottom w:val="single" w:color="auto" w:sz="4" w:space="0"/>
              <w:right w:val="single" w:color="auto" w:sz="4" w:space="0"/>
            </w:tcBorders>
            <w:shd w:val="clear" w:color="auto" w:fill="auto"/>
            <w:vAlign w:val="center"/>
          </w:tcPr>
          <w:p w14:paraId="4E013226">
            <w:pPr>
              <w:jc w:val="center"/>
              <w:rPr>
                <w:rFonts w:ascii="宋体" w:hAnsi="宋体" w:cs="宋体"/>
                <w:szCs w:val="21"/>
              </w:rPr>
            </w:pPr>
            <w:r>
              <w:rPr>
                <w:rFonts w:hint="eastAsia" w:ascii="宋体" w:hAnsi="宋体" w:cs="宋体"/>
                <w:sz w:val="22"/>
                <w:szCs w:val="22"/>
              </w:rPr>
              <w:t>序号</w:t>
            </w:r>
          </w:p>
        </w:tc>
        <w:tc>
          <w:tcPr>
            <w:tcW w:w="3572" w:type="dxa"/>
            <w:gridSpan w:val="2"/>
            <w:tcBorders>
              <w:top w:val="single" w:color="auto" w:sz="4" w:space="0"/>
              <w:left w:val="nil"/>
              <w:bottom w:val="single" w:color="auto" w:sz="4" w:space="0"/>
              <w:right w:val="single" w:color="auto" w:sz="4" w:space="0"/>
            </w:tcBorders>
            <w:shd w:val="clear" w:color="auto" w:fill="auto"/>
            <w:vAlign w:val="center"/>
          </w:tcPr>
          <w:p w14:paraId="33E2D341">
            <w:pPr>
              <w:jc w:val="center"/>
              <w:rPr>
                <w:rFonts w:ascii="宋体" w:hAnsi="宋体" w:cs="宋体"/>
                <w:sz w:val="22"/>
                <w:szCs w:val="22"/>
              </w:rPr>
            </w:pPr>
            <w:r>
              <w:rPr>
                <w:rFonts w:hint="eastAsia" w:ascii="宋体" w:hAnsi="宋体" w:cs="宋体"/>
                <w:sz w:val="22"/>
                <w:szCs w:val="22"/>
              </w:rPr>
              <w:t>名称</w:t>
            </w:r>
          </w:p>
        </w:tc>
        <w:tc>
          <w:tcPr>
            <w:tcW w:w="1596" w:type="dxa"/>
            <w:tcBorders>
              <w:top w:val="single" w:color="auto" w:sz="4" w:space="0"/>
              <w:left w:val="nil"/>
              <w:bottom w:val="single" w:color="auto" w:sz="4" w:space="0"/>
              <w:right w:val="single" w:color="auto" w:sz="4" w:space="0"/>
            </w:tcBorders>
            <w:shd w:val="clear" w:color="auto" w:fill="auto"/>
            <w:vAlign w:val="center"/>
          </w:tcPr>
          <w:p w14:paraId="4003F57F">
            <w:pPr>
              <w:jc w:val="center"/>
              <w:rPr>
                <w:rFonts w:ascii="宋体" w:hAnsi="宋体" w:cs="宋体"/>
                <w:sz w:val="22"/>
                <w:szCs w:val="22"/>
              </w:rPr>
            </w:pPr>
            <w:r>
              <w:rPr>
                <w:rFonts w:hint="eastAsia" w:ascii="宋体" w:hAnsi="宋体" w:cs="宋体"/>
                <w:sz w:val="22"/>
                <w:szCs w:val="22"/>
              </w:rPr>
              <w:t>参数</w:t>
            </w:r>
          </w:p>
        </w:tc>
        <w:tc>
          <w:tcPr>
            <w:tcW w:w="682" w:type="dxa"/>
            <w:tcBorders>
              <w:top w:val="single" w:color="auto" w:sz="4" w:space="0"/>
              <w:left w:val="nil"/>
              <w:bottom w:val="single" w:color="auto" w:sz="4" w:space="0"/>
              <w:right w:val="single" w:color="auto" w:sz="4" w:space="0"/>
            </w:tcBorders>
            <w:shd w:val="clear" w:color="auto" w:fill="auto"/>
            <w:vAlign w:val="center"/>
          </w:tcPr>
          <w:p w14:paraId="4733396E">
            <w:pPr>
              <w:jc w:val="center"/>
              <w:rPr>
                <w:rFonts w:ascii="宋体" w:hAnsi="宋体" w:cs="宋体"/>
                <w:sz w:val="22"/>
                <w:szCs w:val="22"/>
              </w:rPr>
            </w:pPr>
            <w:r>
              <w:rPr>
                <w:rFonts w:hint="eastAsia" w:ascii="宋体" w:hAnsi="宋体" w:cs="宋体"/>
                <w:sz w:val="22"/>
                <w:szCs w:val="22"/>
              </w:rPr>
              <w:t>数量</w:t>
            </w:r>
          </w:p>
        </w:tc>
        <w:tc>
          <w:tcPr>
            <w:tcW w:w="709" w:type="dxa"/>
            <w:tcBorders>
              <w:top w:val="single" w:color="auto" w:sz="4" w:space="0"/>
              <w:left w:val="nil"/>
              <w:bottom w:val="single" w:color="auto" w:sz="4" w:space="0"/>
              <w:right w:val="single" w:color="auto" w:sz="4" w:space="0"/>
            </w:tcBorders>
            <w:shd w:val="clear" w:color="auto" w:fill="auto"/>
            <w:vAlign w:val="center"/>
          </w:tcPr>
          <w:p w14:paraId="1611B5A5">
            <w:pPr>
              <w:jc w:val="center"/>
              <w:rPr>
                <w:rFonts w:ascii="宋体" w:hAnsi="宋体" w:cs="宋体"/>
                <w:sz w:val="22"/>
                <w:szCs w:val="22"/>
              </w:rPr>
            </w:pPr>
            <w:r>
              <w:rPr>
                <w:rFonts w:hint="eastAsia" w:ascii="宋体" w:hAnsi="宋体" w:cs="宋体"/>
                <w:sz w:val="22"/>
                <w:szCs w:val="22"/>
              </w:rPr>
              <w:t>单位</w:t>
            </w:r>
          </w:p>
        </w:tc>
        <w:tc>
          <w:tcPr>
            <w:tcW w:w="1104" w:type="dxa"/>
            <w:tcBorders>
              <w:top w:val="single" w:color="auto" w:sz="4" w:space="0"/>
              <w:left w:val="nil"/>
              <w:bottom w:val="single" w:color="auto" w:sz="4" w:space="0"/>
              <w:right w:val="single" w:color="auto" w:sz="4" w:space="0"/>
            </w:tcBorders>
            <w:shd w:val="clear" w:color="auto" w:fill="auto"/>
            <w:vAlign w:val="center"/>
          </w:tcPr>
          <w:p w14:paraId="383FF06B">
            <w:pPr>
              <w:jc w:val="center"/>
              <w:rPr>
                <w:rFonts w:hint="eastAsia" w:ascii="宋体" w:hAnsi="宋体" w:eastAsia="宋体" w:cs="宋体"/>
                <w:sz w:val="22"/>
                <w:szCs w:val="22"/>
                <w:lang w:eastAsia="zh-CN"/>
              </w:rPr>
            </w:pPr>
            <w:r>
              <w:rPr>
                <w:rFonts w:hint="eastAsia" w:ascii="宋体" w:hAnsi="宋体" w:cs="宋体"/>
                <w:sz w:val="22"/>
                <w:szCs w:val="22"/>
                <w:lang w:eastAsia="zh-CN"/>
              </w:rPr>
              <w:t>单价</w:t>
            </w:r>
          </w:p>
        </w:tc>
        <w:tc>
          <w:tcPr>
            <w:tcW w:w="1339" w:type="dxa"/>
            <w:tcBorders>
              <w:top w:val="single" w:color="auto" w:sz="4" w:space="0"/>
              <w:left w:val="nil"/>
              <w:bottom w:val="single" w:color="auto" w:sz="4" w:space="0"/>
              <w:right w:val="single" w:color="auto" w:sz="4" w:space="0"/>
            </w:tcBorders>
            <w:shd w:val="clear" w:color="auto" w:fill="auto"/>
            <w:vAlign w:val="center"/>
          </w:tcPr>
          <w:p w14:paraId="458CD3C4">
            <w:pPr>
              <w:jc w:val="center"/>
              <w:rPr>
                <w:rFonts w:hint="eastAsia" w:ascii="宋体" w:hAnsi="宋体" w:eastAsia="宋体" w:cs="宋体"/>
                <w:sz w:val="22"/>
                <w:szCs w:val="22"/>
                <w:lang w:eastAsia="zh-CN"/>
              </w:rPr>
            </w:pPr>
            <w:r>
              <w:rPr>
                <w:rFonts w:hint="eastAsia" w:ascii="宋体" w:hAnsi="宋体" w:cs="宋体"/>
                <w:sz w:val="22"/>
                <w:szCs w:val="22"/>
                <w:lang w:eastAsia="zh-CN"/>
              </w:rPr>
              <w:t>单项合价</w:t>
            </w:r>
          </w:p>
        </w:tc>
        <w:tc>
          <w:tcPr>
            <w:tcW w:w="663" w:type="dxa"/>
            <w:tcBorders>
              <w:top w:val="single" w:color="auto" w:sz="4" w:space="0"/>
              <w:left w:val="nil"/>
              <w:bottom w:val="single" w:color="auto" w:sz="4" w:space="0"/>
              <w:right w:val="single" w:color="auto" w:sz="4" w:space="0"/>
            </w:tcBorders>
            <w:shd w:val="clear" w:color="auto" w:fill="auto"/>
            <w:vAlign w:val="center"/>
          </w:tcPr>
          <w:p w14:paraId="03B81435">
            <w:pPr>
              <w:jc w:val="center"/>
              <w:rPr>
                <w:rFonts w:hint="eastAsia" w:ascii="宋体" w:hAnsi="宋体" w:cs="宋体"/>
                <w:sz w:val="22"/>
                <w:szCs w:val="22"/>
                <w:lang w:eastAsia="zh-CN"/>
              </w:rPr>
            </w:pPr>
            <w:r>
              <w:rPr>
                <w:rFonts w:hint="eastAsia" w:ascii="宋体" w:hAnsi="宋体" w:cs="宋体"/>
                <w:sz w:val="22"/>
                <w:szCs w:val="22"/>
                <w:lang w:eastAsia="zh-CN"/>
              </w:rPr>
              <w:t>备注</w:t>
            </w:r>
          </w:p>
        </w:tc>
      </w:tr>
      <w:tr w14:paraId="195E78A5">
        <w:tblPrEx>
          <w:tblCellMar>
            <w:top w:w="0" w:type="dxa"/>
            <w:left w:w="108" w:type="dxa"/>
            <w:bottom w:w="0" w:type="dxa"/>
            <w:right w:w="108" w:type="dxa"/>
          </w:tblCellMar>
        </w:tblPrEx>
        <w:trPr>
          <w:trHeight w:val="914" w:hRule="atLeast"/>
          <w:jc w:val="center"/>
        </w:trPr>
        <w:tc>
          <w:tcPr>
            <w:tcW w:w="574" w:type="dxa"/>
            <w:tcBorders>
              <w:top w:val="nil"/>
              <w:left w:val="single" w:color="auto" w:sz="4" w:space="0"/>
              <w:bottom w:val="single" w:color="auto" w:sz="4" w:space="0"/>
              <w:right w:val="single" w:color="auto" w:sz="4" w:space="0"/>
            </w:tcBorders>
            <w:shd w:val="clear" w:color="auto" w:fill="auto"/>
            <w:vAlign w:val="center"/>
          </w:tcPr>
          <w:p w14:paraId="6157C248">
            <w:pPr>
              <w:jc w:val="center"/>
              <w:rPr>
                <w:rFonts w:ascii="宋体" w:hAnsi="宋体" w:cs="宋体"/>
                <w:sz w:val="22"/>
                <w:szCs w:val="22"/>
              </w:rPr>
            </w:pPr>
            <w:r>
              <w:rPr>
                <w:rFonts w:hint="eastAsia" w:ascii="宋体" w:hAnsi="宋体" w:cs="宋体"/>
                <w:sz w:val="22"/>
                <w:szCs w:val="22"/>
              </w:rPr>
              <w:t>1</w:t>
            </w:r>
          </w:p>
        </w:tc>
        <w:tc>
          <w:tcPr>
            <w:tcW w:w="900" w:type="dxa"/>
            <w:tcBorders>
              <w:top w:val="nil"/>
              <w:left w:val="single" w:color="auto" w:sz="4" w:space="0"/>
              <w:bottom w:val="single" w:color="auto" w:sz="4" w:space="0"/>
              <w:right w:val="single" w:color="auto" w:sz="4" w:space="0"/>
            </w:tcBorders>
            <w:shd w:val="clear" w:color="auto" w:fill="auto"/>
            <w:vAlign w:val="center"/>
          </w:tcPr>
          <w:p w14:paraId="430D395C">
            <w:pPr>
              <w:jc w:val="center"/>
              <w:rPr>
                <w:rFonts w:ascii="宋体" w:hAnsi="宋体" w:cs="宋体"/>
                <w:sz w:val="22"/>
                <w:szCs w:val="22"/>
              </w:rPr>
            </w:pPr>
            <w:r>
              <w:rPr>
                <w:rFonts w:hint="eastAsia" w:ascii="宋体" w:hAnsi="宋体" w:cs="宋体"/>
                <w:sz w:val="22"/>
                <w:szCs w:val="22"/>
              </w:rPr>
              <w:t>主机硬件资源</w:t>
            </w:r>
          </w:p>
        </w:tc>
        <w:tc>
          <w:tcPr>
            <w:tcW w:w="2672" w:type="dxa"/>
            <w:tcBorders>
              <w:top w:val="nil"/>
              <w:left w:val="nil"/>
              <w:bottom w:val="single" w:color="auto" w:sz="4" w:space="0"/>
              <w:right w:val="single" w:color="auto" w:sz="4" w:space="0"/>
            </w:tcBorders>
            <w:shd w:val="clear" w:color="auto" w:fill="auto"/>
            <w:vAlign w:val="center"/>
          </w:tcPr>
          <w:p w14:paraId="3B402FAB">
            <w:pPr>
              <w:jc w:val="center"/>
              <w:rPr>
                <w:rFonts w:ascii="宋体" w:hAnsi="宋体" w:cs="宋体"/>
                <w:sz w:val="22"/>
                <w:szCs w:val="22"/>
              </w:rPr>
            </w:pPr>
            <w:r>
              <w:rPr>
                <w:rFonts w:hint="eastAsia" w:ascii="宋体" w:hAnsi="宋体" w:cs="宋体"/>
                <w:sz w:val="22"/>
                <w:szCs w:val="22"/>
              </w:rPr>
              <w:t>信创硬件资源（超融合架构</w:t>
            </w:r>
            <w:r>
              <w:rPr>
                <w:rFonts w:hint="eastAsia" w:ascii="新宋体" w:hAnsi="新宋体" w:eastAsia="新宋体" w:cs="新宋体"/>
                <w:sz w:val="22"/>
                <w:szCs w:val="22"/>
              </w:rPr>
              <w:t>服务器、超融合和应用虚拟化软件授权</w:t>
            </w:r>
            <w:r>
              <w:rPr>
                <w:rFonts w:hint="eastAsia" w:ascii="宋体" w:hAnsi="宋体" w:cs="宋体"/>
                <w:sz w:val="22"/>
                <w:szCs w:val="22"/>
              </w:rPr>
              <w:t>）</w:t>
            </w:r>
          </w:p>
        </w:tc>
        <w:tc>
          <w:tcPr>
            <w:tcW w:w="1596" w:type="dxa"/>
            <w:tcBorders>
              <w:top w:val="nil"/>
              <w:left w:val="nil"/>
              <w:bottom w:val="single" w:color="auto" w:sz="4" w:space="0"/>
              <w:right w:val="single" w:color="auto" w:sz="4" w:space="0"/>
            </w:tcBorders>
            <w:shd w:val="clear" w:color="auto" w:fill="auto"/>
            <w:vAlign w:val="center"/>
          </w:tcPr>
          <w:p w14:paraId="6390F32E">
            <w:pPr>
              <w:jc w:val="center"/>
              <w:rPr>
                <w:rFonts w:ascii="宋体" w:hAnsi="宋体" w:cs="宋体"/>
                <w:sz w:val="22"/>
                <w:szCs w:val="22"/>
              </w:rPr>
            </w:pPr>
            <w:r>
              <w:rPr>
                <w:rFonts w:hint="eastAsia" w:ascii="宋体" w:hAnsi="宋体" w:cs="宋体"/>
                <w:sz w:val="22"/>
                <w:szCs w:val="22"/>
              </w:rPr>
              <w:t>详见技术要求与参数</w:t>
            </w:r>
          </w:p>
        </w:tc>
        <w:tc>
          <w:tcPr>
            <w:tcW w:w="682" w:type="dxa"/>
            <w:tcBorders>
              <w:top w:val="nil"/>
              <w:left w:val="nil"/>
              <w:bottom w:val="single" w:color="auto" w:sz="4" w:space="0"/>
              <w:right w:val="single" w:color="auto" w:sz="4" w:space="0"/>
            </w:tcBorders>
            <w:shd w:val="clear" w:color="auto" w:fill="auto"/>
            <w:vAlign w:val="center"/>
          </w:tcPr>
          <w:p w14:paraId="06E39355">
            <w:pPr>
              <w:jc w:val="center"/>
              <w:rPr>
                <w:rFonts w:ascii="宋体" w:hAnsi="宋体" w:cs="宋体"/>
                <w:sz w:val="22"/>
                <w:szCs w:val="22"/>
              </w:rPr>
            </w:pPr>
            <w:r>
              <w:rPr>
                <w:rFonts w:ascii="宋体" w:hAnsi="宋体" w:cs="宋体"/>
                <w:sz w:val="22"/>
                <w:szCs w:val="22"/>
              </w:rPr>
              <w:t>2</w:t>
            </w:r>
          </w:p>
        </w:tc>
        <w:tc>
          <w:tcPr>
            <w:tcW w:w="709" w:type="dxa"/>
            <w:tcBorders>
              <w:top w:val="nil"/>
              <w:left w:val="nil"/>
              <w:bottom w:val="single" w:color="auto" w:sz="4" w:space="0"/>
              <w:right w:val="single" w:color="auto" w:sz="4" w:space="0"/>
            </w:tcBorders>
            <w:shd w:val="clear" w:color="auto" w:fill="auto"/>
            <w:vAlign w:val="center"/>
          </w:tcPr>
          <w:p w14:paraId="182EB81F">
            <w:pPr>
              <w:jc w:val="center"/>
              <w:rPr>
                <w:rFonts w:ascii="宋体" w:hAnsi="宋体" w:cs="宋体"/>
                <w:sz w:val="22"/>
                <w:szCs w:val="22"/>
              </w:rPr>
            </w:pPr>
            <w:r>
              <w:rPr>
                <w:rFonts w:hint="eastAsia" w:ascii="宋体" w:hAnsi="宋体" w:cs="宋体"/>
                <w:sz w:val="22"/>
                <w:szCs w:val="22"/>
              </w:rPr>
              <w:t>台</w:t>
            </w:r>
          </w:p>
        </w:tc>
        <w:tc>
          <w:tcPr>
            <w:tcW w:w="1104" w:type="dxa"/>
            <w:tcBorders>
              <w:top w:val="nil"/>
              <w:left w:val="nil"/>
              <w:bottom w:val="single" w:color="auto" w:sz="4" w:space="0"/>
              <w:right w:val="single" w:color="auto" w:sz="4" w:space="0"/>
            </w:tcBorders>
            <w:shd w:val="clear" w:color="auto" w:fill="auto"/>
            <w:vAlign w:val="center"/>
          </w:tcPr>
          <w:p w14:paraId="4D0F4DE9">
            <w:pPr>
              <w:jc w:val="center"/>
              <w:rPr>
                <w:rFonts w:hint="eastAsia" w:ascii="宋体" w:hAnsi="宋体" w:cs="宋体"/>
                <w:sz w:val="22"/>
                <w:szCs w:val="22"/>
              </w:rPr>
            </w:pPr>
          </w:p>
        </w:tc>
        <w:tc>
          <w:tcPr>
            <w:tcW w:w="1339" w:type="dxa"/>
            <w:tcBorders>
              <w:top w:val="nil"/>
              <w:left w:val="nil"/>
              <w:bottom w:val="single" w:color="auto" w:sz="4" w:space="0"/>
              <w:right w:val="single" w:color="auto" w:sz="4" w:space="0"/>
            </w:tcBorders>
            <w:shd w:val="clear" w:color="auto" w:fill="auto"/>
            <w:vAlign w:val="center"/>
          </w:tcPr>
          <w:p w14:paraId="4A513BFF">
            <w:pPr>
              <w:jc w:val="center"/>
              <w:rPr>
                <w:rFonts w:hint="eastAsia" w:ascii="宋体" w:hAnsi="宋体" w:cs="宋体"/>
                <w:szCs w:val="21"/>
              </w:rPr>
            </w:pPr>
          </w:p>
        </w:tc>
        <w:tc>
          <w:tcPr>
            <w:tcW w:w="663" w:type="dxa"/>
            <w:tcBorders>
              <w:top w:val="nil"/>
              <w:left w:val="nil"/>
              <w:bottom w:val="single" w:color="auto" w:sz="4" w:space="0"/>
              <w:right w:val="single" w:color="auto" w:sz="4" w:space="0"/>
            </w:tcBorders>
            <w:shd w:val="clear" w:color="auto" w:fill="auto"/>
            <w:vAlign w:val="center"/>
          </w:tcPr>
          <w:p w14:paraId="71F6C79E">
            <w:pPr>
              <w:jc w:val="center"/>
              <w:rPr>
                <w:rFonts w:hint="eastAsia" w:ascii="宋体" w:hAnsi="宋体" w:cs="宋体"/>
                <w:szCs w:val="21"/>
              </w:rPr>
            </w:pPr>
          </w:p>
        </w:tc>
      </w:tr>
      <w:tr w14:paraId="7A607C00">
        <w:tblPrEx>
          <w:tblCellMar>
            <w:top w:w="0" w:type="dxa"/>
            <w:left w:w="108" w:type="dxa"/>
            <w:bottom w:w="0" w:type="dxa"/>
            <w:right w:w="108" w:type="dxa"/>
          </w:tblCellMar>
        </w:tblPrEx>
        <w:trPr>
          <w:trHeight w:val="594" w:hRule="atLeast"/>
          <w:jc w:val="center"/>
        </w:trPr>
        <w:tc>
          <w:tcPr>
            <w:tcW w:w="574" w:type="dxa"/>
            <w:vMerge w:val="restart"/>
            <w:tcBorders>
              <w:top w:val="nil"/>
              <w:left w:val="single" w:color="auto" w:sz="4" w:space="0"/>
              <w:right w:val="single" w:color="auto" w:sz="4" w:space="0"/>
            </w:tcBorders>
            <w:vAlign w:val="center"/>
          </w:tcPr>
          <w:p w14:paraId="3473B5A2">
            <w:pPr>
              <w:jc w:val="center"/>
              <w:rPr>
                <w:rFonts w:ascii="宋体" w:hAnsi="宋体" w:cs="宋体"/>
                <w:sz w:val="22"/>
                <w:szCs w:val="22"/>
              </w:rPr>
            </w:pPr>
            <w:r>
              <w:rPr>
                <w:rFonts w:hint="eastAsia" w:ascii="宋体" w:hAnsi="宋体" w:cs="宋体"/>
                <w:sz w:val="22"/>
                <w:szCs w:val="22"/>
              </w:rPr>
              <w:t>2</w:t>
            </w:r>
          </w:p>
        </w:tc>
        <w:tc>
          <w:tcPr>
            <w:tcW w:w="900" w:type="dxa"/>
            <w:vMerge w:val="restart"/>
            <w:tcBorders>
              <w:top w:val="nil"/>
              <w:left w:val="single" w:color="auto" w:sz="4" w:space="0"/>
              <w:right w:val="single" w:color="auto" w:sz="4" w:space="0"/>
            </w:tcBorders>
            <w:vAlign w:val="center"/>
          </w:tcPr>
          <w:p w14:paraId="479464AC">
            <w:pPr>
              <w:jc w:val="center"/>
              <w:rPr>
                <w:rFonts w:ascii="宋体" w:hAnsi="宋体" w:cs="宋体"/>
                <w:sz w:val="22"/>
                <w:szCs w:val="22"/>
              </w:rPr>
            </w:pPr>
            <w:r>
              <w:rPr>
                <w:rFonts w:hint="eastAsia" w:ascii="宋体" w:hAnsi="宋体" w:cs="宋体"/>
                <w:sz w:val="22"/>
                <w:szCs w:val="22"/>
              </w:rPr>
              <w:t>软件资源</w:t>
            </w:r>
          </w:p>
        </w:tc>
        <w:tc>
          <w:tcPr>
            <w:tcW w:w="2672" w:type="dxa"/>
            <w:tcBorders>
              <w:top w:val="nil"/>
              <w:left w:val="nil"/>
              <w:bottom w:val="single" w:color="auto" w:sz="4" w:space="0"/>
              <w:right w:val="single" w:color="auto" w:sz="4" w:space="0"/>
            </w:tcBorders>
            <w:shd w:val="clear" w:color="auto" w:fill="auto"/>
            <w:vAlign w:val="center"/>
          </w:tcPr>
          <w:p w14:paraId="2185A3F1">
            <w:pPr>
              <w:jc w:val="center"/>
              <w:rPr>
                <w:rFonts w:ascii="宋体" w:hAnsi="宋体" w:cs="宋体"/>
                <w:sz w:val="22"/>
                <w:szCs w:val="22"/>
              </w:rPr>
            </w:pPr>
            <w:r>
              <w:rPr>
                <w:rFonts w:hint="eastAsia" w:ascii="宋体" w:hAnsi="宋体" w:cs="宋体"/>
                <w:sz w:val="22"/>
                <w:szCs w:val="22"/>
              </w:rPr>
              <w:t>国产操作系统授权</w:t>
            </w:r>
          </w:p>
        </w:tc>
        <w:tc>
          <w:tcPr>
            <w:tcW w:w="1596" w:type="dxa"/>
            <w:tcBorders>
              <w:top w:val="nil"/>
              <w:left w:val="nil"/>
              <w:bottom w:val="single" w:color="auto" w:sz="4" w:space="0"/>
              <w:right w:val="single" w:color="auto" w:sz="4" w:space="0"/>
            </w:tcBorders>
            <w:shd w:val="clear" w:color="auto" w:fill="auto"/>
            <w:vAlign w:val="center"/>
          </w:tcPr>
          <w:p w14:paraId="4D74731E">
            <w:pPr>
              <w:jc w:val="center"/>
              <w:rPr>
                <w:rFonts w:ascii="宋体" w:hAnsi="宋体" w:cs="宋体"/>
                <w:sz w:val="22"/>
                <w:szCs w:val="22"/>
              </w:rPr>
            </w:pPr>
            <w:r>
              <w:rPr>
                <w:rFonts w:hint="eastAsia" w:ascii="宋体" w:hAnsi="宋体" w:cs="宋体"/>
                <w:sz w:val="22"/>
                <w:szCs w:val="22"/>
              </w:rPr>
              <w:t>详见技术要求与参数</w:t>
            </w:r>
          </w:p>
        </w:tc>
        <w:tc>
          <w:tcPr>
            <w:tcW w:w="682" w:type="dxa"/>
            <w:tcBorders>
              <w:top w:val="nil"/>
              <w:left w:val="nil"/>
              <w:bottom w:val="single" w:color="auto" w:sz="4" w:space="0"/>
              <w:right w:val="single" w:color="auto" w:sz="4" w:space="0"/>
            </w:tcBorders>
            <w:shd w:val="clear" w:color="auto" w:fill="auto"/>
            <w:vAlign w:val="center"/>
          </w:tcPr>
          <w:p w14:paraId="074F1B23">
            <w:pPr>
              <w:jc w:val="center"/>
              <w:rPr>
                <w:rFonts w:ascii="宋体" w:hAnsi="宋体" w:cs="宋体"/>
                <w:sz w:val="22"/>
                <w:szCs w:val="22"/>
              </w:rPr>
            </w:pPr>
            <w:r>
              <w:rPr>
                <w:rFonts w:ascii="宋体" w:hAnsi="宋体" w:cs="宋体"/>
                <w:sz w:val="22"/>
                <w:szCs w:val="22"/>
              </w:rPr>
              <w:t>36</w:t>
            </w:r>
          </w:p>
        </w:tc>
        <w:tc>
          <w:tcPr>
            <w:tcW w:w="709" w:type="dxa"/>
            <w:tcBorders>
              <w:top w:val="nil"/>
              <w:left w:val="nil"/>
              <w:bottom w:val="single" w:color="auto" w:sz="4" w:space="0"/>
              <w:right w:val="single" w:color="auto" w:sz="4" w:space="0"/>
            </w:tcBorders>
            <w:shd w:val="clear" w:color="auto" w:fill="auto"/>
            <w:vAlign w:val="center"/>
          </w:tcPr>
          <w:p w14:paraId="622499C5">
            <w:pPr>
              <w:jc w:val="center"/>
              <w:rPr>
                <w:rFonts w:ascii="宋体" w:hAnsi="宋体" w:cs="宋体"/>
                <w:sz w:val="22"/>
                <w:szCs w:val="22"/>
              </w:rPr>
            </w:pPr>
            <w:r>
              <w:rPr>
                <w:rFonts w:hint="eastAsia" w:ascii="宋体" w:hAnsi="宋体" w:cs="宋体"/>
                <w:sz w:val="22"/>
                <w:szCs w:val="22"/>
              </w:rPr>
              <w:t>套</w:t>
            </w:r>
          </w:p>
        </w:tc>
        <w:tc>
          <w:tcPr>
            <w:tcW w:w="1104" w:type="dxa"/>
            <w:tcBorders>
              <w:top w:val="nil"/>
              <w:left w:val="nil"/>
              <w:bottom w:val="single" w:color="auto" w:sz="4" w:space="0"/>
              <w:right w:val="single" w:color="auto" w:sz="4" w:space="0"/>
            </w:tcBorders>
            <w:shd w:val="clear" w:color="auto" w:fill="auto"/>
            <w:vAlign w:val="center"/>
          </w:tcPr>
          <w:p w14:paraId="42E4A8DF">
            <w:pPr>
              <w:jc w:val="center"/>
              <w:rPr>
                <w:rFonts w:hint="eastAsia" w:ascii="宋体" w:hAnsi="宋体" w:cs="宋体"/>
                <w:sz w:val="22"/>
                <w:szCs w:val="22"/>
              </w:rPr>
            </w:pPr>
          </w:p>
        </w:tc>
        <w:tc>
          <w:tcPr>
            <w:tcW w:w="1339" w:type="dxa"/>
            <w:tcBorders>
              <w:top w:val="nil"/>
              <w:left w:val="nil"/>
              <w:bottom w:val="single" w:color="auto" w:sz="4" w:space="0"/>
              <w:right w:val="single" w:color="auto" w:sz="4" w:space="0"/>
            </w:tcBorders>
            <w:shd w:val="clear" w:color="auto" w:fill="auto"/>
            <w:vAlign w:val="center"/>
          </w:tcPr>
          <w:p w14:paraId="62C6B35B">
            <w:pPr>
              <w:jc w:val="center"/>
              <w:rPr>
                <w:rFonts w:hint="eastAsia" w:ascii="宋体" w:hAnsi="宋体" w:cs="宋体"/>
                <w:szCs w:val="21"/>
              </w:rPr>
            </w:pPr>
          </w:p>
        </w:tc>
        <w:tc>
          <w:tcPr>
            <w:tcW w:w="663" w:type="dxa"/>
            <w:tcBorders>
              <w:top w:val="nil"/>
              <w:left w:val="nil"/>
              <w:bottom w:val="single" w:color="auto" w:sz="4" w:space="0"/>
              <w:right w:val="single" w:color="auto" w:sz="4" w:space="0"/>
            </w:tcBorders>
            <w:shd w:val="clear" w:color="auto" w:fill="auto"/>
            <w:vAlign w:val="center"/>
          </w:tcPr>
          <w:p w14:paraId="55905C5D">
            <w:pPr>
              <w:jc w:val="center"/>
              <w:rPr>
                <w:rFonts w:hint="eastAsia" w:ascii="宋体" w:hAnsi="宋体" w:cs="宋体"/>
                <w:szCs w:val="21"/>
              </w:rPr>
            </w:pPr>
          </w:p>
        </w:tc>
      </w:tr>
      <w:tr w14:paraId="3D908A7E">
        <w:tblPrEx>
          <w:tblCellMar>
            <w:top w:w="0" w:type="dxa"/>
            <w:left w:w="108" w:type="dxa"/>
            <w:bottom w:w="0" w:type="dxa"/>
            <w:right w:w="108" w:type="dxa"/>
          </w:tblCellMar>
        </w:tblPrEx>
        <w:trPr>
          <w:trHeight w:val="594" w:hRule="atLeast"/>
          <w:jc w:val="center"/>
        </w:trPr>
        <w:tc>
          <w:tcPr>
            <w:tcW w:w="574" w:type="dxa"/>
            <w:vMerge w:val="continue"/>
            <w:tcBorders>
              <w:left w:val="single" w:color="auto" w:sz="4" w:space="0"/>
              <w:right w:val="single" w:color="auto" w:sz="4" w:space="0"/>
            </w:tcBorders>
            <w:vAlign w:val="center"/>
          </w:tcPr>
          <w:p w14:paraId="7723237D">
            <w:pPr>
              <w:jc w:val="center"/>
              <w:rPr>
                <w:rFonts w:ascii="宋体" w:hAnsi="宋体" w:cs="宋体"/>
                <w:sz w:val="22"/>
                <w:szCs w:val="22"/>
              </w:rPr>
            </w:pPr>
          </w:p>
        </w:tc>
        <w:tc>
          <w:tcPr>
            <w:tcW w:w="900" w:type="dxa"/>
            <w:vMerge w:val="continue"/>
            <w:tcBorders>
              <w:left w:val="single" w:color="auto" w:sz="4" w:space="0"/>
              <w:right w:val="single" w:color="auto" w:sz="4" w:space="0"/>
            </w:tcBorders>
            <w:vAlign w:val="center"/>
          </w:tcPr>
          <w:p w14:paraId="49F2BA89">
            <w:pPr>
              <w:jc w:val="center"/>
              <w:rPr>
                <w:rFonts w:ascii="宋体" w:hAnsi="宋体" w:cs="宋体"/>
                <w:sz w:val="22"/>
                <w:szCs w:val="22"/>
              </w:rPr>
            </w:pPr>
          </w:p>
        </w:tc>
        <w:tc>
          <w:tcPr>
            <w:tcW w:w="2672" w:type="dxa"/>
            <w:tcBorders>
              <w:top w:val="nil"/>
              <w:left w:val="nil"/>
              <w:bottom w:val="single" w:color="auto" w:sz="4" w:space="0"/>
              <w:right w:val="single" w:color="auto" w:sz="4" w:space="0"/>
            </w:tcBorders>
            <w:shd w:val="clear" w:color="auto" w:fill="auto"/>
            <w:vAlign w:val="center"/>
          </w:tcPr>
          <w:p w14:paraId="323FF7D6">
            <w:pPr>
              <w:jc w:val="center"/>
              <w:rPr>
                <w:rFonts w:ascii="宋体" w:hAnsi="宋体" w:cs="宋体"/>
                <w:sz w:val="22"/>
                <w:szCs w:val="22"/>
              </w:rPr>
            </w:pPr>
            <w:r>
              <w:rPr>
                <w:rFonts w:hint="eastAsia" w:ascii="宋体" w:hAnsi="宋体" w:cs="宋体"/>
                <w:sz w:val="22"/>
                <w:szCs w:val="22"/>
              </w:rPr>
              <w:t>国产中间件授权</w:t>
            </w:r>
          </w:p>
        </w:tc>
        <w:tc>
          <w:tcPr>
            <w:tcW w:w="1596" w:type="dxa"/>
            <w:tcBorders>
              <w:top w:val="nil"/>
              <w:left w:val="nil"/>
              <w:bottom w:val="single" w:color="auto" w:sz="4" w:space="0"/>
              <w:right w:val="single" w:color="auto" w:sz="4" w:space="0"/>
            </w:tcBorders>
            <w:shd w:val="clear" w:color="auto" w:fill="auto"/>
            <w:vAlign w:val="center"/>
          </w:tcPr>
          <w:p w14:paraId="610BC102">
            <w:pPr>
              <w:jc w:val="center"/>
              <w:rPr>
                <w:rFonts w:ascii="宋体" w:hAnsi="宋体" w:cs="宋体"/>
                <w:sz w:val="22"/>
                <w:szCs w:val="22"/>
              </w:rPr>
            </w:pPr>
            <w:r>
              <w:rPr>
                <w:rFonts w:hint="eastAsia" w:ascii="宋体" w:hAnsi="宋体" w:cs="宋体"/>
                <w:sz w:val="22"/>
                <w:szCs w:val="22"/>
              </w:rPr>
              <w:t>详见技术要求与参数</w:t>
            </w:r>
          </w:p>
        </w:tc>
        <w:tc>
          <w:tcPr>
            <w:tcW w:w="682" w:type="dxa"/>
            <w:tcBorders>
              <w:top w:val="nil"/>
              <w:left w:val="nil"/>
              <w:bottom w:val="single" w:color="auto" w:sz="4" w:space="0"/>
              <w:right w:val="single" w:color="auto" w:sz="4" w:space="0"/>
            </w:tcBorders>
            <w:shd w:val="clear" w:color="auto" w:fill="auto"/>
            <w:vAlign w:val="center"/>
          </w:tcPr>
          <w:p w14:paraId="0A655E5D">
            <w:pPr>
              <w:jc w:val="center"/>
              <w:rPr>
                <w:rFonts w:ascii="宋体" w:hAnsi="宋体" w:cs="宋体"/>
                <w:sz w:val="22"/>
                <w:szCs w:val="22"/>
              </w:rPr>
            </w:pPr>
            <w:r>
              <w:rPr>
                <w:rFonts w:ascii="宋体" w:hAnsi="宋体" w:cs="宋体"/>
                <w:sz w:val="22"/>
                <w:szCs w:val="22"/>
              </w:rPr>
              <w:t>1</w:t>
            </w:r>
          </w:p>
        </w:tc>
        <w:tc>
          <w:tcPr>
            <w:tcW w:w="709" w:type="dxa"/>
            <w:tcBorders>
              <w:top w:val="nil"/>
              <w:left w:val="nil"/>
              <w:bottom w:val="single" w:color="auto" w:sz="4" w:space="0"/>
              <w:right w:val="single" w:color="auto" w:sz="4" w:space="0"/>
            </w:tcBorders>
            <w:shd w:val="clear" w:color="auto" w:fill="auto"/>
            <w:vAlign w:val="center"/>
          </w:tcPr>
          <w:p w14:paraId="63330ADB">
            <w:pPr>
              <w:jc w:val="center"/>
              <w:rPr>
                <w:rFonts w:ascii="宋体" w:hAnsi="宋体" w:cs="宋体"/>
                <w:sz w:val="22"/>
                <w:szCs w:val="22"/>
              </w:rPr>
            </w:pPr>
            <w:r>
              <w:rPr>
                <w:rFonts w:hint="eastAsia" w:ascii="宋体" w:hAnsi="宋体" w:cs="宋体"/>
                <w:sz w:val="22"/>
                <w:szCs w:val="22"/>
              </w:rPr>
              <w:t>套</w:t>
            </w:r>
          </w:p>
        </w:tc>
        <w:tc>
          <w:tcPr>
            <w:tcW w:w="1104" w:type="dxa"/>
            <w:tcBorders>
              <w:top w:val="nil"/>
              <w:left w:val="nil"/>
              <w:bottom w:val="single" w:color="auto" w:sz="4" w:space="0"/>
              <w:right w:val="single" w:color="auto" w:sz="4" w:space="0"/>
            </w:tcBorders>
            <w:shd w:val="clear" w:color="auto" w:fill="auto"/>
            <w:vAlign w:val="center"/>
          </w:tcPr>
          <w:p w14:paraId="06F8B45B">
            <w:pPr>
              <w:jc w:val="center"/>
              <w:rPr>
                <w:rFonts w:hint="eastAsia" w:ascii="宋体" w:hAnsi="宋体" w:cs="宋体"/>
                <w:sz w:val="22"/>
                <w:szCs w:val="22"/>
              </w:rPr>
            </w:pPr>
          </w:p>
        </w:tc>
        <w:tc>
          <w:tcPr>
            <w:tcW w:w="1339" w:type="dxa"/>
            <w:tcBorders>
              <w:top w:val="nil"/>
              <w:left w:val="nil"/>
              <w:bottom w:val="single" w:color="auto" w:sz="4" w:space="0"/>
              <w:right w:val="single" w:color="auto" w:sz="4" w:space="0"/>
            </w:tcBorders>
            <w:shd w:val="clear" w:color="auto" w:fill="auto"/>
            <w:vAlign w:val="center"/>
          </w:tcPr>
          <w:p w14:paraId="4BBC041E">
            <w:pPr>
              <w:jc w:val="center"/>
              <w:rPr>
                <w:rFonts w:hint="eastAsia" w:ascii="宋体" w:hAnsi="宋体" w:cs="宋体"/>
                <w:szCs w:val="21"/>
              </w:rPr>
            </w:pPr>
          </w:p>
        </w:tc>
        <w:tc>
          <w:tcPr>
            <w:tcW w:w="663" w:type="dxa"/>
            <w:tcBorders>
              <w:top w:val="nil"/>
              <w:left w:val="nil"/>
              <w:bottom w:val="single" w:color="auto" w:sz="4" w:space="0"/>
              <w:right w:val="single" w:color="auto" w:sz="4" w:space="0"/>
            </w:tcBorders>
            <w:shd w:val="clear" w:color="auto" w:fill="auto"/>
            <w:vAlign w:val="center"/>
          </w:tcPr>
          <w:p w14:paraId="6240E5A6">
            <w:pPr>
              <w:jc w:val="center"/>
              <w:rPr>
                <w:rFonts w:hint="eastAsia" w:ascii="宋体" w:hAnsi="宋体" w:cs="宋体"/>
                <w:szCs w:val="21"/>
              </w:rPr>
            </w:pPr>
          </w:p>
        </w:tc>
      </w:tr>
      <w:tr w14:paraId="0F83C920">
        <w:tblPrEx>
          <w:tblCellMar>
            <w:top w:w="0" w:type="dxa"/>
            <w:left w:w="108" w:type="dxa"/>
            <w:bottom w:w="0" w:type="dxa"/>
            <w:right w:w="108" w:type="dxa"/>
          </w:tblCellMar>
        </w:tblPrEx>
        <w:trPr>
          <w:trHeight w:val="594" w:hRule="atLeast"/>
          <w:jc w:val="center"/>
        </w:trPr>
        <w:tc>
          <w:tcPr>
            <w:tcW w:w="574" w:type="dxa"/>
            <w:vMerge w:val="continue"/>
            <w:tcBorders>
              <w:left w:val="single" w:color="auto" w:sz="4" w:space="0"/>
              <w:right w:val="single" w:color="auto" w:sz="4" w:space="0"/>
            </w:tcBorders>
            <w:vAlign w:val="center"/>
          </w:tcPr>
          <w:p w14:paraId="25E7B4D3">
            <w:pPr>
              <w:jc w:val="center"/>
              <w:rPr>
                <w:rFonts w:ascii="宋体" w:hAnsi="宋体" w:cs="宋体"/>
                <w:sz w:val="22"/>
                <w:szCs w:val="22"/>
              </w:rPr>
            </w:pPr>
          </w:p>
        </w:tc>
        <w:tc>
          <w:tcPr>
            <w:tcW w:w="900" w:type="dxa"/>
            <w:vMerge w:val="continue"/>
            <w:tcBorders>
              <w:left w:val="single" w:color="auto" w:sz="4" w:space="0"/>
              <w:right w:val="single" w:color="auto" w:sz="4" w:space="0"/>
            </w:tcBorders>
            <w:vAlign w:val="center"/>
          </w:tcPr>
          <w:p w14:paraId="4771E642">
            <w:pPr>
              <w:jc w:val="center"/>
              <w:rPr>
                <w:rFonts w:ascii="宋体" w:hAnsi="宋体" w:cs="宋体"/>
                <w:sz w:val="22"/>
                <w:szCs w:val="22"/>
              </w:rPr>
            </w:pPr>
          </w:p>
        </w:tc>
        <w:tc>
          <w:tcPr>
            <w:tcW w:w="2672" w:type="dxa"/>
            <w:tcBorders>
              <w:top w:val="nil"/>
              <w:left w:val="nil"/>
              <w:bottom w:val="single" w:color="auto" w:sz="4" w:space="0"/>
              <w:right w:val="single" w:color="auto" w:sz="4" w:space="0"/>
            </w:tcBorders>
            <w:shd w:val="clear" w:color="auto" w:fill="auto"/>
            <w:vAlign w:val="center"/>
          </w:tcPr>
          <w:p w14:paraId="772F46E3">
            <w:pPr>
              <w:jc w:val="center"/>
              <w:rPr>
                <w:rFonts w:ascii="宋体" w:hAnsi="宋体" w:cs="宋体"/>
                <w:sz w:val="22"/>
                <w:szCs w:val="22"/>
              </w:rPr>
            </w:pPr>
            <w:r>
              <w:rPr>
                <w:rFonts w:hint="eastAsia" w:ascii="宋体" w:hAnsi="宋体" w:cs="宋体"/>
                <w:sz w:val="22"/>
                <w:szCs w:val="22"/>
              </w:rPr>
              <w:t>国产数据库授权</w:t>
            </w:r>
          </w:p>
        </w:tc>
        <w:tc>
          <w:tcPr>
            <w:tcW w:w="1596" w:type="dxa"/>
            <w:tcBorders>
              <w:top w:val="nil"/>
              <w:left w:val="nil"/>
              <w:bottom w:val="single" w:color="auto" w:sz="4" w:space="0"/>
              <w:right w:val="single" w:color="auto" w:sz="4" w:space="0"/>
            </w:tcBorders>
            <w:shd w:val="clear" w:color="auto" w:fill="auto"/>
            <w:vAlign w:val="center"/>
          </w:tcPr>
          <w:p w14:paraId="2B54A0D1">
            <w:pPr>
              <w:jc w:val="center"/>
              <w:rPr>
                <w:rFonts w:ascii="宋体" w:hAnsi="宋体" w:cs="宋体"/>
                <w:sz w:val="22"/>
                <w:szCs w:val="22"/>
              </w:rPr>
            </w:pPr>
            <w:r>
              <w:rPr>
                <w:rFonts w:hint="eastAsia" w:ascii="宋体" w:hAnsi="宋体" w:cs="宋体"/>
                <w:sz w:val="22"/>
                <w:szCs w:val="22"/>
              </w:rPr>
              <w:t>详见技术要求与参数</w:t>
            </w:r>
          </w:p>
        </w:tc>
        <w:tc>
          <w:tcPr>
            <w:tcW w:w="682" w:type="dxa"/>
            <w:tcBorders>
              <w:top w:val="nil"/>
              <w:left w:val="nil"/>
              <w:bottom w:val="single" w:color="auto" w:sz="4" w:space="0"/>
              <w:right w:val="single" w:color="auto" w:sz="4" w:space="0"/>
            </w:tcBorders>
            <w:shd w:val="clear" w:color="auto" w:fill="auto"/>
            <w:vAlign w:val="center"/>
          </w:tcPr>
          <w:p w14:paraId="2F2FCE2F">
            <w:pPr>
              <w:jc w:val="center"/>
              <w:rPr>
                <w:rFonts w:ascii="宋体" w:hAnsi="宋体" w:cs="宋体"/>
                <w:sz w:val="22"/>
                <w:szCs w:val="22"/>
              </w:rPr>
            </w:pPr>
            <w:r>
              <w:rPr>
                <w:rFonts w:ascii="宋体" w:hAnsi="宋体" w:cs="宋体"/>
                <w:sz w:val="22"/>
                <w:szCs w:val="22"/>
              </w:rPr>
              <w:t>4</w:t>
            </w:r>
          </w:p>
        </w:tc>
        <w:tc>
          <w:tcPr>
            <w:tcW w:w="709" w:type="dxa"/>
            <w:tcBorders>
              <w:top w:val="nil"/>
              <w:left w:val="nil"/>
              <w:bottom w:val="single" w:color="auto" w:sz="4" w:space="0"/>
              <w:right w:val="single" w:color="auto" w:sz="4" w:space="0"/>
            </w:tcBorders>
            <w:shd w:val="clear" w:color="auto" w:fill="auto"/>
            <w:vAlign w:val="center"/>
          </w:tcPr>
          <w:p w14:paraId="05AF48AA">
            <w:pPr>
              <w:jc w:val="center"/>
              <w:rPr>
                <w:rFonts w:ascii="宋体" w:hAnsi="宋体" w:cs="宋体"/>
                <w:sz w:val="22"/>
                <w:szCs w:val="22"/>
              </w:rPr>
            </w:pPr>
            <w:r>
              <w:rPr>
                <w:rFonts w:hint="eastAsia" w:ascii="宋体" w:hAnsi="宋体" w:cs="宋体"/>
                <w:sz w:val="22"/>
                <w:szCs w:val="22"/>
              </w:rPr>
              <w:t>套</w:t>
            </w:r>
          </w:p>
        </w:tc>
        <w:tc>
          <w:tcPr>
            <w:tcW w:w="1104" w:type="dxa"/>
            <w:tcBorders>
              <w:top w:val="nil"/>
              <w:left w:val="nil"/>
              <w:bottom w:val="single" w:color="auto" w:sz="4" w:space="0"/>
              <w:right w:val="single" w:color="auto" w:sz="4" w:space="0"/>
            </w:tcBorders>
            <w:shd w:val="clear" w:color="auto" w:fill="auto"/>
            <w:vAlign w:val="center"/>
          </w:tcPr>
          <w:p w14:paraId="181A7C8B">
            <w:pPr>
              <w:jc w:val="center"/>
              <w:rPr>
                <w:rFonts w:hint="eastAsia" w:ascii="宋体" w:hAnsi="宋体" w:cs="宋体"/>
                <w:sz w:val="22"/>
                <w:szCs w:val="22"/>
              </w:rPr>
            </w:pPr>
          </w:p>
        </w:tc>
        <w:tc>
          <w:tcPr>
            <w:tcW w:w="1339" w:type="dxa"/>
            <w:tcBorders>
              <w:top w:val="nil"/>
              <w:left w:val="nil"/>
              <w:bottom w:val="single" w:color="auto" w:sz="4" w:space="0"/>
              <w:right w:val="single" w:color="auto" w:sz="4" w:space="0"/>
            </w:tcBorders>
            <w:shd w:val="clear" w:color="auto" w:fill="auto"/>
            <w:vAlign w:val="center"/>
          </w:tcPr>
          <w:p w14:paraId="3031994C">
            <w:pPr>
              <w:jc w:val="center"/>
              <w:rPr>
                <w:rFonts w:hint="eastAsia" w:ascii="宋体" w:hAnsi="宋体" w:cs="宋体"/>
                <w:szCs w:val="21"/>
              </w:rPr>
            </w:pPr>
          </w:p>
        </w:tc>
        <w:tc>
          <w:tcPr>
            <w:tcW w:w="663" w:type="dxa"/>
            <w:tcBorders>
              <w:top w:val="nil"/>
              <w:left w:val="nil"/>
              <w:bottom w:val="single" w:color="auto" w:sz="4" w:space="0"/>
              <w:right w:val="single" w:color="auto" w:sz="4" w:space="0"/>
            </w:tcBorders>
            <w:shd w:val="clear" w:color="auto" w:fill="auto"/>
            <w:vAlign w:val="center"/>
          </w:tcPr>
          <w:p w14:paraId="1E8BDA58">
            <w:pPr>
              <w:jc w:val="center"/>
              <w:rPr>
                <w:rFonts w:hint="eastAsia" w:ascii="宋体" w:hAnsi="宋体" w:cs="宋体"/>
                <w:szCs w:val="21"/>
              </w:rPr>
            </w:pPr>
          </w:p>
        </w:tc>
      </w:tr>
      <w:tr w14:paraId="0EABB9F4">
        <w:tblPrEx>
          <w:tblCellMar>
            <w:top w:w="0" w:type="dxa"/>
            <w:left w:w="108" w:type="dxa"/>
            <w:bottom w:w="0" w:type="dxa"/>
            <w:right w:w="108" w:type="dxa"/>
          </w:tblCellMar>
        </w:tblPrEx>
        <w:trPr>
          <w:trHeight w:val="594" w:hRule="atLeast"/>
          <w:jc w:val="center"/>
        </w:trPr>
        <w:tc>
          <w:tcPr>
            <w:tcW w:w="574" w:type="dxa"/>
            <w:vMerge w:val="continue"/>
            <w:tcBorders>
              <w:left w:val="single" w:color="auto" w:sz="4" w:space="0"/>
              <w:bottom w:val="single" w:color="auto" w:sz="4" w:space="0"/>
              <w:right w:val="single" w:color="auto" w:sz="4" w:space="0"/>
            </w:tcBorders>
            <w:shd w:val="clear" w:color="auto" w:fill="auto"/>
            <w:vAlign w:val="center"/>
          </w:tcPr>
          <w:p w14:paraId="76C88119">
            <w:pPr>
              <w:jc w:val="center"/>
              <w:rPr>
                <w:rFonts w:ascii="宋体" w:hAnsi="宋体" w:cs="宋体"/>
                <w:sz w:val="22"/>
                <w:szCs w:val="22"/>
              </w:rPr>
            </w:pPr>
          </w:p>
        </w:tc>
        <w:tc>
          <w:tcPr>
            <w:tcW w:w="900" w:type="dxa"/>
            <w:vMerge w:val="continue"/>
            <w:tcBorders>
              <w:left w:val="single" w:color="auto" w:sz="4" w:space="0"/>
              <w:bottom w:val="single" w:color="auto" w:sz="4" w:space="0"/>
              <w:right w:val="single" w:color="auto" w:sz="4" w:space="0"/>
            </w:tcBorders>
            <w:shd w:val="clear" w:color="auto" w:fill="auto"/>
            <w:vAlign w:val="center"/>
          </w:tcPr>
          <w:p w14:paraId="613D8DBA">
            <w:pPr>
              <w:jc w:val="center"/>
              <w:rPr>
                <w:rFonts w:ascii="宋体" w:hAnsi="宋体" w:cs="宋体"/>
                <w:sz w:val="22"/>
                <w:szCs w:val="22"/>
              </w:rPr>
            </w:pPr>
          </w:p>
        </w:tc>
        <w:tc>
          <w:tcPr>
            <w:tcW w:w="2672" w:type="dxa"/>
            <w:tcBorders>
              <w:top w:val="nil"/>
              <w:left w:val="nil"/>
              <w:bottom w:val="single" w:color="auto" w:sz="4" w:space="0"/>
              <w:right w:val="single" w:color="auto" w:sz="4" w:space="0"/>
            </w:tcBorders>
            <w:shd w:val="clear" w:color="auto" w:fill="auto"/>
            <w:vAlign w:val="center"/>
          </w:tcPr>
          <w:p w14:paraId="4801DE4C">
            <w:pPr>
              <w:jc w:val="center"/>
              <w:rPr>
                <w:rFonts w:ascii="宋体" w:hAnsi="宋体" w:cs="宋体"/>
                <w:sz w:val="22"/>
                <w:szCs w:val="22"/>
              </w:rPr>
            </w:pPr>
            <w:r>
              <w:rPr>
                <w:rFonts w:hint="eastAsia" w:ascii="宋体" w:hAnsi="宋体" w:cs="宋体"/>
                <w:sz w:val="22"/>
                <w:szCs w:val="22"/>
              </w:rPr>
              <w:t>国产数据库集群软件授权</w:t>
            </w:r>
          </w:p>
        </w:tc>
        <w:tc>
          <w:tcPr>
            <w:tcW w:w="1596" w:type="dxa"/>
            <w:tcBorders>
              <w:top w:val="nil"/>
              <w:left w:val="nil"/>
              <w:bottom w:val="single" w:color="auto" w:sz="4" w:space="0"/>
              <w:right w:val="single" w:color="auto" w:sz="4" w:space="0"/>
            </w:tcBorders>
            <w:shd w:val="clear" w:color="auto" w:fill="auto"/>
            <w:vAlign w:val="center"/>
          </w:tcPr>
          <w:p w14:paraId="29C965D0">
            <w:pPr>
              <w:jc w:val="center"/>
              <w:rPr>
                <w:rFonts w:ascii="宋体" w:hAnsi="宋体" w:cs="宋体"/>
                <w:sz w:val="22"/>
                <w:szCs w:val="22"/>
              </w:rPr>
            </w:pPr>
            <w:r>
              <w:rPr>
                <w:rFonts w:hint="eastAsia" w:ascii="宋体" w:hAnsi="宋体" w:cs="宋体"/>
                <w:sz w:val="22"/>
                <w:szCs w:val="22"/>
              </w:rPr>
              <w:t>详见技术要求与参数</w:t>
            </w:r>
          </w:p>
        </w:tc>
        <w:tc>
          <w:tcPr>
            <w:tcW w:w="682" w:type="dxa"/>
            <w:tcBorders>
              <w:top w:val="nil"/>
              <w:left w:val="nil"/>
              <w:bottom w:val="single" w:color="auto" w:sz="4" w:space="0"/>
              <w:right w:val="single" w:color="auto" w:sz="4" w:space="0"/>
            </w:tcBorders>
            <w:shd w:val="clear" w:color="auto" w:fill="auto"/>
            <w:vAlign w:val="center"/>
          </w:tcPr>
          <w:p w14:paraId="38A02A27">
            <w:pPr>
              <w:jc w:val="center"/>
              <w:rPr>
                <w:rFonts w:ascii="宋体" w:hAnsi="宋体" w:cs="宋体"/>
                <w:sz w:val="22"/>
                <w:szCs w:val="22"/>
              </w:rPr>
            </w:pPr>
            <w:r>
              <w:rPr>
                <w:rFonts w:hint="eastAsia" w:ascii="宋体" w:hAnsi="宋体" w:cs="宋体"/>
                <w:sz w:val="22"/>
                <w:szCs w:val="22"/>
              </w:rPr>
              <w:t>2</w:t>
            </w:r>
          </w:p>
        </w:tc>
        <w:tc>
          <w:tcPr>
            <w:tcW w:w="709" w:type="dxa"/>
            <w:tcBorders>
              <w:top w:val="nil"/>
              <w:left w:val="nil"/>
              <w:bottom w:val="single" w:color="auto" w:sz="4" w:space="0"/>
              <w:right w:val="single" w:color="auto" w:sz="4" w:space="0"/>
            </w:tcBorders>
            <w:shd w:val="clear" w:color="auto" w:fill="auto"/>
            <w:vAlign w:val="center"/>
          </w:tcPr>
          <w:p w14:paraId="20501BE5">
            <w:pPr>
              <w:jc w:val="center"/>
              <w:rPr>
                <w:rFonts w:ascii="宋体" w:hAnsi="宋体" w:cs="宋体"/>
                <w:sz w:val="22"/>
                <w:szCs w:val="22"/>
              </w:rPr>
            </w:pPr>
            <w:r>
              <w:rPr>
                <w:rFonts w:hint="eastAsia" w:ascii="宋体" w:hAnsi="宋体" w:cs="宋体"/>
                <w:sz w:val="22"/>
                <w:szCs w:val="22"/>
              </w:rPr>
              <w:t>套</w:t>
            </w:r>
          </w:p>
        </w:tc>
        <w:tc>
          <w:tcPr>
            <w:tcW w:w="1104" w:type="dxa"/>
            <w:tcBorders>
              <w:top w:val="nil"/>
              <w:left w:val="nil"/>
              <w:bottom w:val="single" w:color="auto" w:sz="4" w:space="0"/>
              <w:right w:val="single" w:color="auto" w:sz="4" w:space="0"/>
            </w:tcBorders>
            <w:shd w:val="clear" w:color="auto" w:fill="auto"/>
            <w:vAlign w:val="center"/>
          </w:tcPr>
          <w:p w14:paraId="5AD91684">
            <w:pPr>
              <w:jc w:val="center"/>
              <w:rPr>
                <w:rFonts w:hint="eastAsia" w:ascii="宋体" w:hAnsi="宋体" w:cs="宋体"/>
                <w:sz w:val="22"/>
                <w:szCs w:val="22"/>
              </w:rPr>
            </w:pPr>
          </w:p>
        </w:tc>
        <w:tc>
          <w:tcPr>
            <w:tcW w:w="1339" w:type="dxa"/>
            <w:tcBorders>
              <w:top w:val="nil"/>
              <w:left w:val="nil"/>
              <w:bottom w:val="single" w:color="auto" w:sz="4" w:space="0"/>
              <w:right w:val="single" w:color="auto" w:sz="4" w:space="0"/>
            </w:tcBorders>
            <w:shd w:val="clear" w:color="auto" w:fill="auto"/>
            <w:vAlign w:val="center"/>
          </w:tcPr>
          <w:p w14:paraId="09ADAD3D">
            <w:pPr>
              <w:jc w:val="center"/>
              <w:rPr>
                <w:rFonts w:hint="eastAsia" w:ascii="宋体" w:hAnsi="宋体" w:cs="宋体"/>
                <w:szCs w:val="21"/>
              </w:rPr>
            </w:pPr>
          </w:p>
        </w:tc>
        <w:tc>
          <w:tcPr>
            <w:tcW w:w="663" w:type="dxa"/>
            <w:tcBorders>
              <w:top w:val="nil"/>
              <w:left w:val="nil"/>
              <w:bottom w:val="single" w:color="auto" w:sz="4" w:space="0"/>
              <w:right w:val="single" w:color="auto" w:sz="4" w:space="0"/>
            </w:tcBorders>
            <w:shd w:val="clear" w:color="auto" w:fill="auto"/>
            <w:vAlign w:val="center"/>
          </w:tcPr>
          <w:p w14:paraId="1C1C7F9B">
            <w:pPr>
              <w:jc w:val="center"/>
              <w:rPr>
                <w:rFonts w:hint="eastAsia" w:ascii="宋体" w:hAnsi="宋体" w:cs="宋体"/>
                <w:szCs w:val="21"/>
              </w:rPr>
            </w:pPr>
          </w:p>
        </w:tc>
      </w:tr>
      <w:tr w14:paraId="77C0436C">
        <w:tblPrEx>
          <w:tblCellMar>
            <w:top w:w="0" w:type="dxa"/>
            <w:left w:w="108" w:type="dxa"/>
            <w:bottom w:w="0" w:type="dxa"/>
            <w:right w:w="108" w:type="dxa"/>
          </w:tblCellMar>
        </w:tblPrEx>
        <w:trPr>
          <w:trHeight w:val="594" w:hRule="atLeast"/>
          <w:jc w:val="center"/>
        </w:trPr>
        <w:tc>
          <w:tcPr>
            <w:tcW w:w="574" w:type="dxa"/>
            <w:tcBorders>
              <w:top w:val="single" w:color="auto" w:sz="4" w:space="0"/>
              <w:left w:val="single" w:color="auto" w:sz="4" w:space="0"/>
              <w:bottom w:val="single" w:color="auto" w:sz="4" w:space="0"/>
              <w:right w:val="single" w:color="auto" w:sz="4" w:space="0"/>
            </w:tcBorders>
            <w:shd w:val="clear" w:color="auto" w:fill="auto"/>
            <w:vAlign w:val="center"/>
          </w:tcPr>
          <w:p w14:paraId="71007BB7">
            <w:pPr>
              <w:jc w:val="center"/>
              <w:rPr>
                <w:rFonts w:ascii="宋体" w:hAnsi="宋体" w:cs="宋体"/>
                <w:sz w:val="22"/>
                <w:szCs w:val="22"/>
              </w:rPr>
            </w:pPr>
            <w:r>
              <w:rPr>
                <w:rFonts w:hint="eastAsia" w:ascii="宋体" w:hAnsi="宋体" w:cs="宋体"/>
                <w:sz w:val="22"/>
                <w:szCs w:val="22"/>
              </w:rPr>
              <w:t>3</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14:paraId="348DFC7D">
            <w:pPr>
              <w:jc w:val="center"/>
              <w:rPr>
                <w:rFonts w:ascii="宋体" w:hAnsi="宋体" w:cs="宋体"/>
                <w:sz w:val="22"/>
                <w:szCs w:val="22"/>
              </w:rPr>
            </w:pPr>
            <w:r>
              <w:rPr>
                <w:rFonts w:hint="eastAsia" w:ascii="宋体" w:hAnsi="宋体" w:cs="宋体"/>
                <w:sz w:val="22"/>
                <w:szCs w:val="22"/>
              </w:rPr>
              <w:t>备份资源</w:t>
            </w:r>
          </w:p>
        </w:tc>
        <w:tc>
          <w:tcPr>
            <w:tcW w:w="2672" w:type="dxa"/>
            <w:tcBorders>
              <w:top w:val="single" w:color="auto" w:sz="4" w:space="0"/>
              <w:left w:val="nil"/>
              <w:bottom w:val="single" w:color="auto" w:sz="4" w:space="0"/>
              <w:right w:val="single" w:color="auto" w:sz="4" w:space="0"/>
            </w:tcBorders>
            <w:shd w:val="clear" w:color="auto" w:fill="auto"/>
            <w:vAlign w:val="center"/>
          </w:tcPr>
          <w:p w14:paraId="12A9C41A">
            <w:pPr>
              <w:jc w:val="center"/>
              <w:rPr>
                <w:rFonts w:ascii="宋体" w:hAnsi="宋体" w:cs="宋体"/>
                <w:sz w:val="22"/>
                <w:szCs w:val="22"/>
              </w:rPr>
            </w:pPr>
            <w:r>
              <w:rPr>
                <w:rFonts w:hint="eastAsia" w:ascii="宋体" w:hAnsi="宋体" w:cs="宋体"/>
                <w:sz w:val="22"/>
                <w:szCs w:val="22"/>
              </w:rPr>
              <w:t>国产备份一体机扩容</w:t>
            </w:r>
          </w:p>
        </w:tc>
        <w:tc>
          <w:tcPr>
            <w:tcW w:w="1596" w:type="dxa"/>
            <w:tcBorders>
              <w:top w:val="single" w:color="auto" w:sz="4" w:space="0"/>
              <w:left w:val="nil"/>
              <w:bottom w:val="single" w:color="auto" w:sz="4" w:space="0"/>
              <w:right w:val="single" w:color="auto" w:sz="4" w:space="0"/>
            </w:tcBorders>
            <w:shd w:val="clear" w:color="auto" w:fill="auto"/>
            <w:vAlign w:val="center"/>
          </w:tcPr>
          <w:p w14:paraId="63925F55">
            <w:pPr>
              <w:jc w:val="center"/>
              <w:rPr>
                <w:rFonts w:ascii="宋体" w:hAnsi="宋体" w:cs="宋体"/>
                <w:sz w:val="22"/>
                <w:szCs w:val="22"/>
              </w:rPr>
            </w:pPr>
            <w:r>
              <w:rPr>
                <w:rFonts w:hint="eastAsia" w:ascii="宋体" w:hAnsi="宋体" w:cs="宋体"/>
                <w:sz w:val="22"/>
                <w:szCs w:val="22"/>
              </w:rPr>
              <w:t>详见技术要求与参数</w:t>
            </w:r>
          </w:p>
        </w:tc>
        <w:tc>
          <w:tcPr>
            <w:tcW w:w="682" w:type="dxa"/>
            <w:tcBorders>
              <w:top w:val="single" w:color="auto" w:sz="4" w:space="0"/>
              <w:left w:val="nil"/>
              <w:bottom w:val="single" w:color="auto" w:sz="4" w:space="0"/>
              <w:right w:val="single" w:color="auto" w:sz="4" w:space="0"/>
            </w:tcBorders>
            <w:shd w:val="clear" w:color="auto" w:fill="auto"/>
            <w:vAlign w:val="center"/>
          </w:tcPr>
          <w:p w14:paraId="4DB7AEBD">
            <w:pPr>
              <w:jc w:val="center"/>
              <w:rPr>
                <w:rFonts w:ascii="宋体" w:hAnsi="宋体" w:cs="宋体"/>
                <w:sz w:val="22"/>
                <w:szCs w:val="22"/>
              </w:rPr>
            </w:pPr>
            <w:r>
              <w:rPr>
                <w:rFonts w:ascii="宋体" w:hAnsi="宋体" w:cs="宋体"/>
                <w:sz w:val="22"/>
                <w:szCs w:val="22"/>
              </w:rPr>
              <w:t>1</w:t>
            </w:r>
          </w:p>
        </w:tc>
        <w:tc>
          <w:tcPr>
            <w:tcW w:w="709" w:type="dxa"/>
            <w:tcBorders>
              <w:top w:val="single" w:color="auto" w:sz="4" w:space="0"/>
              <w:left w:val="nil"/>
              <w:bottom w:val="single" w:color="auto" w:sz="4" w:space="0"/>
              <w:right w:val="single" w:color="auto" w:sz="4" w:space="0"/>
            </w:tcBorders>
            <w:shd w:val="clear" w:color="auto" w:fill="auto"/>
            <w:vAlign w:val="center"/>
          </w:tcPr>
          <w:p w14:paraId="351DAD36">
            <w:pPr>
              <w:jc w:val="center"/>
              <w:rPr>
                <w:rFonts w:ascii="宋体" w:hAnsi="宋体" w:cs="宋体"/>
                <w:sz w:val="22"/>
                <w:szCs w:val="22"/>
              </w:rPr>
            </w:pPr>
            <w:r>
              <w:rPr>
                <w:rFonts w:hint="eastAsia" w:ascii="宋体" w:hAnsi="宋体" w:cs="宋体"/>
                <w:sz w:val="22"/>
                <w:szCs w:val="22"/>
              </w:rPr>
              <w:t>台</w:t>
            </w:r>
          </w:p>
        </w:tc>
        <w:tc>
          <w:tcPr>
            <w:tcW w:w="1104" w:type="dxa"/>
            <w:tcBorders>
              <w:top w:val="single" w:color="auto" w:sz="4" w:space="0"/>
              <w:left w:val="nil"/>
              <w:bottom w:val="single" w:color="auto" w:sz="4" w:space="0"/>
              <w:right w:val="single" w:color="auto" w:sz="4" w:space="0"/>
            </w:tcBorders>
            <w:shd w:val="clear" w:color="auto" w:fill="auto"/>
            <w:vAlign w:val="center"/>
          </w:tcPr>
          <w:p w14:paraId="72C3D7F3">
            <w:pPr>
              <w:jc w:val="center"/>
              <w:rPr>
                <w:rFonts w:hint="eastAsia" w:ascii="宋体" w:hAnsi="宋体" w:cs="宋体"/>
                <w:sz w:val="22"/>
                <w:szCs w:val="22"/>
              </w:rPr>
            </w:pPr>
          </w:p>
        </w:tc>
        <w:tc>
          <w:tcPr>
            <w:tcW w:w="1339" w:type="dxa"/>
            <w:tcBorders>
              <w:top w:val="single" w:color="auto" w:sz="4" w:space="0"/>
              <w:left w:val="nil"/>
              <w:bottom w:val="single" w:color="auto" w:sz="4" w:space="0"/>
              <w:right w:val="single" w:color="auto" w:sz="4" w:space="0"/>
            </w:tcBorders>
            <w:shd w:val="clear" w:color="auto" w:fill="auto"/>
            <w:vAlign w:val="center"/>
          </w:tcPr>
          <w:p w14:paraId="1B9013DE">
            <w:pPr>
              <w:jc w:val="center"/>
              <w:rPr>
                <w:rFonts w:hint="eastAsia" w:ascii="宋体" w:hAnsi="宋体" w:cs="宋体"/>
                <w:szCs w:val="21"/>
              </w:rPr>
            </w:pPr>
          </w:p>
        </w:tc>
        <w:tc>
          <w:tcPr>
            <w:tcW w:w="663" w:type="dxa"/>
            <w:tcBorders>
              <w:top w:val="single" w:color="auto" w:sz="4" w:space="0"/>
              <w:left w:val="nil"/>
              <w:bottom w:val="single" w:color="auto" w:sz="4" w:space="0"/>
              <w:right w:val="single" w:color="auto" w:sz="4" w:space="0"/>
            </w:tcBorders>
            <w:shd w:val="clear" w:color="auto" w:fill="auto"/>
            <w:vAlign w:val="center"/>
          </w:tcPr>
          <w:p w14:paraId="7056C067">
            <w:pPr>
              <w:jc w:val="center"/>
              <w:rPr>
                <w:rFonts w:hint="eastAsia" w:ascii="宋体" w:hAnsi="宋体" w:cs="宋体"/>
                <w:szCs w:val="21"/>
              </w:rPr>
            </w:pPr>
          </w:p>
        </w:tc>
      </w:tr>
      <w:tr w14:paraId="0220C571">
        <w:tblPrEx>
          <w:tblCellMar>
            <w:top w:w="0" w:type="dxa"/>
            <w:left w:w="108" w:type="dxa"/>
            <w:bottom w:w="0" w:type="dxa"/>
            <w:right w:w="108" w:type="dxa"/>
          </w:tblCellMar>
        </w:tblPrEx>
        <w:trPr>
          <w:trHeight w:val="594" w:hRule="atLeast"/>
          <w:jc w:val="center"/>
        </w:trPr>
        <w:tc>
          <w:tcPr>
            <w:tcW w:w="574" w:type="dxa"/>
            <w:tcBorders>
              <w:top w:val="single" w:color="auto" w:sz="4" w:space="0"/>
              <w:left w:val="single" w:color="auto" w:sz="4" w:space="0"/>
              <w:bottom w:val="single" w:color="auto" w:sz="4" w:space="0"/>
              <w:right w:val="single" w:color="auto" w:sz="4" w:space="0"/>
            </w:tcBorders>
            <w:shd w:val="clear" w:color="auto" w:fill="auto"/>
            <w:vAlign w:val="center"/>
          </w:tcPr>
          <w:p w14:paraId="045829B3">
            <w:pPr>
              <w:jc w:val="center"/>
              <w:rPr>
                <w:rFonts w:ascii="宋体" w:hAnsi="宋体" w:cs="宋体"/>
                <w:sz w:val="22"/>
                <w:szCs w:val="22"/>
              </w:rPr>
            </w:pPr>
            <w:r>
              <w:rPr>
                <w:rFonts w:hint="eastAsia" w:ascii="宋体" w:hAnsi="宋体" w:cs="宋体"/>
                <w:sz w:val="22"/>
                <w:szCs w:val="22"/>
              </w:rPr>
              <w:t>4</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14:paraId="3F2141FE">
            <w:pPr>
              <w:jc w:val="center"/>
              <w:rPr>
                <w:rFonts w:ascii="宋体" w:hAnsi="宋体" w:cs="宋体"/>
                <w:sz w:val="22"/>
                <w:szCs w:val="22"/>
              </w:rPr>
            </w:pPr>
            <w:r>
              <w:rPr>
                <w:rFonts w:hint="eastAsia" w:ascii="宋体" w:hAnsi="宋体" w:cs="宋体"/>
                <w:sz w:val="22"/>
                <w:szCs w:val="22"/>
              </w:rPr>
              <w:t>系统集成</w:t>
            </w:r>
          </w:p>
        </w:tc>
        <w:tc>
          <w:tcPr>
            <w:tcW w:w="2672" w:type="dxa"/>
            <w:tcBorders>
              <w:top w:val="single" w:color="auto" w:sz="4" w:space="0"/>
              <w:left w:val="nil"/>
              <w:bottom w:val="single" w:color="auto" w:sz="4" w:space="0"/>
              <w:right w:val="single" w:color="auto" w:sz="4" w:space="0"/>
            </w:tcBorders>
            <w:shd w:val="clear" w:color="auto" w:fill="auto"/>
            <w:vAlign w:val="center"/>
          </w:tcPr>
          <w:p w14:paraId="31C970A9">
            <w:pPr>
              <w:jc w:val="center"/>
              <w:rPr>
                <w:rFonts w:ascii="宋体" w:hAnsi="宋体" w:cs="宋体"/>
                <w:sz w:val="22"/>
                <w:szCs w:val="22"/>
              </w:rPr>
            </w:pPr>
            <w:r>
              <w:rPr>
                <w:rFonts w:hint="eastAsia" w:ascii="宋体" w:hAnsi="宋体" w:cs="宋体"/>
                <w:sz w:val="22"/>
                <w:szCs w:val="22"/>
              </w:rPr>
              <w:t>上述软硬件系统集成调试服务</w:t>
            </w:r>
          </w:p>
        </w:tc>
        <w:tc>
          <w:tcPr>
            <w:tcW w:w="1596" w:type="dxa"/>
            <w:tcBorders>
              <w:top w:val="single" w:color="auto" w:sz="4" w:space="0"/>
              <w:left w:val="nil"/>
              <w:bottom w:val="single" w:color="auto" w:sz="4" w:space="0"/>
              <w:right w:val="single" w:color="auto" w:sz="4" w:space="0"/>
            </w:tcBorders>
            <w:shd w:val="clear" w:color="auto" w:fill="auto"/>
            <w:vAlign w:val="center"/>
          </w:tcPr>
          <w:p w14:paraId="723ED3A2">
            <w:pPr>
              <w:jc w:val="center"/>
              <w:rPr>
                <w:rFonts w:ascii="宋体" w:hAnsi="宋体" w:cs="宋体"/>
                <w:sz w:val="22"/>
                <w:szCs w:val="22"/>
              </w:rPr>
            </w:pPr>
            <w:r>
              <w:rPr>
                <w:rFonts w:hint="eastAsia" w:ascii="宋体" w:hAnsi="宋体" w:cs="宋体"/>
                <w:sz w:val="22"/>
                <w:szCs w:val="22"/>
              </w:rPr>
              <w:t>/</w:t>
            </w:r>
          </w:p>
        </w:tc>
        <w:tc>
          <w:tcPr>
            <w:tcW w:w="682" w:type="dxa"/>
            <w:tcBorders>
              <w:top w:val="single" w:color="auto" w:sz="4" w:space="0"/>
              <w:left w:val="nil"/>
              <w:bottom w:val="single" w:color="auto" w:sz="4" w:space="0"/>
              <w:right w:val="single" w:color="auto" w:sz="4" w:space="0"/>
            </w:tcBorders>
            <w:shd w:val="clear" w:color="auto" w:fill="auto"/>
            <w:vAlign w:val="center"/>
          </w:tcPr>
          <w:p w14:paraId="44D0D80D">
            <w:pPr>
              <w:jc w:val="center"/>
              <w:rPr>
                <w:rFonts w:ascii="宋体" w:hAnsi="宋体" w:cs="宋体"/>
                <w:sz w:val="22"/>
                <w:szCs w:val="22"/>
              </w:rPr>
            </w:pPr>
            <w:r>
              <w:rPr>
                <w:rFonts w:hint="eastAsia" w:ascii="宋体" w:hAnsi="宋体" w:cs="宋体"/>
                <w:sz w:val="22"/>
                <w:szCs w:val="22"/>
              </w:rPr>
              <w:t>1</w:t>
            </w:r>
          </w:p>
        </w:tc>
        <w:tc>
          <w:tcPr>
            <w:tcW w:w="709" w:type="dxa"/>
            <w:tcBorders>
              <w:top w:val="single" w:color="auto" w:sz="4" w:space="0"/>
              <w:left w:val="nil"/>
              <w:bottom w:val="single" w:color="auto" w:sz="4" w:space="0"/>
              <w:right w:val="single" w:color="auto" w:sz="4" w:space="0"/>
            </w:tcBorders>
            <w:shd w:val="clear" w:color="auto" w:fill="auto"/>
            <w:vAlign w:val="center"/>
          </w:tcPr>
          <w:p w14:paraId="3FF43266">
            <w:pPr>
              <w:jc w:val="center"/>
              <w:rPr>
                <w:rFonts w:ascii="宋体" w:hAnsi="宋体" w:cs="宋体"/>
                <w:sz w:val="22"/>
                <w:szCs w:val="22"/>
              </w:rPr>
            </w:pPr>
            <w:r>
              <w:rPr>
                <w:rFonts w:hint="eastAsia" w:ascii="宋体" w:hAnsi="宋体" w:cs="宋体"/>
                <w:sz w:val="22"/>
                <w:szCs w:val="22"/>
              </w:rPr>
              <w:t>项</w:t>
            </w:r>
          </w:p>
        </w:tc>
        <w:tc>
          <w:tcPr>
            <w:tcW w:w="1104" w:type="dxa"/>
            <w:tcBorders>
              <w:top w:val="single" w:color="auto" w:sz="4" w:space="0"/>
              <w:left w:val="nil"/>
              <w:bottom w:val="single" w:color="auto" w:sz="4" w:space="0"/>
              <w:right w:val="single" w:color="auto" w:sz="4" w:space="0"/>
            </w:tcBorders>
            <w:shd w:val="clear" w:color="auto" w:fill="auto"/>
            <w:vAlign w:val="center"/>
          </w:tcPr>
          <w:p w14:paraId="262E2170">
            <w:pPr>
              <w:jc w:val="center"/>
              <w:rPr>
                <w:rFonts w:hint="eastAsia" w:ascii="宋体" w:hAnsi="宋体" w:cs="宋体"/>
                <w:sz w:val="22"/>
                <w:szCs w:val="22"/>
              </w:rPr>
            </w:pPr>
          </w:p>
        </w:tc>
        <w:tc>
          <w:tcPr>
            <w:tcW w:w="1339" w:type="dxa"/>
            <w:tcBorders>
              <w:top w:val="single" w:color="auto" w:sz="4" w:space="0"/>
              <w:left w:val="nil"/>
              <w:bottom w:val="single" w:color="auto" w:sz="4" w:space="0"/>
              <w:right w:val="single" w:color="auto" w:sz="4" w:space="0"/>
            </w:tcBorders>
            <w:shd w:val="clear" w:color="auto" w:fill="auto"/>
            <w:vAlign w:val="center"/>
          </w:tcPr>
          <w:p w14:paraId="6331CB72">
            <w:pPr>
              <w:jc w:val="center"/>
              <w:rPr>
                <w:rFonts w:hint="eastAsia" w:ascii="宋体" w:hAnsi="宋体" w:cs="宋体"/>
                <w:szCs w:val="21"/>
              </w:rPr>
            </w:pPr>
          </w:p>
        </w:tc>
        <w:tc>
          <w:tcPr>
            <w:tcW w:w="663" w:type="dxa"/>
            <w:tcBorders>
              <w:top w:val="single" w:color="auto" w:sz="4" w:space="0"/>
              <w:left w:val="nil"/>
              <w:bottom w:val="single" w:color="auto" w:sz="4" w:space="0"/>
              <w:right w:val="single" w:color="auto" w:sz="4" w:space="0"/>
            </w:tcBorders>
            <w:shd w:val="clear" w:color="auto" w:fill="auto"/>
            <w:vAlign w:val="center"/>
          </w:tcPr>
          <w:p w14:paraId="2F5DAEEF">
            <w:pPr>
              <w:jc w:val="center"/>
              <w:rPr>
                <w:rFonts w:hint="eastAsia" w:ascii="宋体" w:hAnsi="宋体" w:cs="宋体"/>
                <w:szCs w:val="21"/>
              </w:rPr>
            </w:pPr>
          </w:p>
        </w:tc>
      </w:tr>
      <w:tr w14:paraId="7F277713">
        <w:tblPrEx>
          <w:tblCellMar>
            <w:top w:w="0" w:type="dxa"/>
            <w:left w:w="108" w:type="dxa"/>
            <w:bottom w:w="0" w:type="dxa"/>
            <w:right w:w="108" w:type="dxa"/>
          </w:tblCellMar>
        </w:tblPrEx>
        <w:trPr>
          <w:trHeight w:val="594" w:hRule="atLeast"/>
          <w:jc w:val="center"/>
        </w:trPr>
        <w:tc>
          <w:tcPr>
            <w:tcW w:w="574" w:type="dxa"/>
            <w:tcBorders>
              <w:top w:val="single" w:color="auto" w:sz="4" w:space="0"/>
              <w:left w:val="single" w:color="auto" w:sz="4" w:space="0"/>
              <w:bottom w:val="single" w:color="auto" w:sz="4" w:space="0"/>
              <w:right w:val="single" w:color="auto" w:sz="4" w:space="0"/>
            </w:tcBorders>
            <w:shd w:val="clear" w:color="auto" w:fill="auto"/>
            <w:vAlign w:val="center"/>
          </w:tcPr>
          <w:p w14:paraId="20FBEF76">
            <w:pPr>
              <w:jc w:val="center"/>
              <w:rPr>
                <w:rFonts w:hint="eastAsia" w:ascii="宋体" w:hAnsi="宋体" w:eastAsia="宋体" w:cs="宋体"/>
                <w:sz w:val="22"/>
                <w:szCs w:val="22"/>
                <w:lang w:val="en-US" w:eastAsia="zh-CN"/>
              </w:rPr>
            </w:pPr>
            <w:r>
              <w:rPr>
                <w:rFonts w:hint="eastAsia" w:ascii="宋体" w:hAnsi="宋体" w:cs="宋体"/>
                <w:sz w:val="22"/>
                <w:szCs w:val="22"/>
                <w:lang w:val="en-US" w:eastAsia="zh-CN"/>
              </w:rPr>
              <w:t>5</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14:paraId="23A21912">
            <w:pPr>
              <w:jc w:val="center"/>
              <w:rPr>
                <w:rFonts w:hint="eastAsia" w:ascii="宋体" w:hAnsi="宋体" w:eastAsia="宋体" w:cs="宋体"/>
                <w:sz w:val="22"/>
                <w:szCs w:val="22"/>
                <w:lang w:eastAsia="zh-CN"/>
              </w:rPr>
            </w:pPr>
            <w:r>
              <w:rPr>
                <w:rFonts w:hint="eastAsia" w:ascii="宋体" w:hAnsi="宋体" w:cs="宋体"/>
                <w:sz w:val="22"/>
                <w:szCs w:val="22"/>
                <w:lang w:eastAsia="zh-CN"/>
              </w:rPr>
              <w:t>人员费用</w:t>
            </w:r>
          </w:p>
        </w:tc>
        <w:tc>
          <w:tcPr>
            <w:tcW w:w="2672" w:type="dxa"/>
            <w:tcBorders>
              <w:top w:val="single" w:color="auto" w:sz="4" w:space="0"/>
              <w:left w:val="nil"/>
              <w:bottom w:val="single" w:color="auto" w:sz="4" w:space="0"/>
              <w:right w:val="single" w:color="auto" w:sz="4" w:space="0"/>
            </w:tcBorders>
            <w:shd w:val="clear" w:color="auto" w:fill="auto"/>
            <w:vAlign w:val="center"/>
          </w:tcPr>
          <w:p w14:paraId="7ED05DD8">
            <w:pPr>
              <w:jc w:val="center"/>
              <w:rPr>
                <w:rFonts w:hint="eastAsia" w:ascii="宋体" w:hAnsi="宋体" w:cs="宋体"/>
                <w:sz w:val="22"/>
                <w:szCs w:val="22"/>
              </w:rPr>
            </w:pPr>
          </w:p>
        </w:tc>
        <w:tc>
          <w:tcPr>
            <w:tcW w:w="1596" w:type="dxa"/>
            <w:tcBorders>
              <w:top w:val="single" w:color="auto" w:sz="4" w:space="0"/>
              <w:left w:val="nil"/>
              <w:bottom w:val="single" w:color="auto" w:sz="4" w:space="0"/>
              <w:right w:val="single" w:color="auto" w:sz="4" w:space="0"/>
            </w:tcBorders>
            <w:shd w:val="clear" w:color="auto" w:fill="auto"/>
            <w:vAlign w:val="center"/>
          </w:tcPr>
          <w:p w14:paraId="06FC4329">
            <w:pPr>
              <w:jc w:val="center"/>
              <w:rPr>
                <w:rFonts w:hint="eastAsia" w:ascii="宋体" w:hAnsi="宋体" w:cs="宋体"/>
                <w:sz w:val="22"/>
                <w:szCs w:val="22"/>
              </w:rPr>
            </w:pPr>
          </w:p>
        </w:tc>
        <w:tc>
          <w:tcPr>
            <w:tcW w:w="682" w:type="dxa"/>
            <w:tcBorders>
              <w:top w:val="single" w:color="auto" w:sz="4" w:space="0"/>
              <w:left w:val="nil"/>
              <w:bottom w:val="single" w:color="auto" w:sz="4" w:space="0"/>
              <w:right w:val="single" w:color="auto" w:sz="4" w:space="0"/>
            </w:tcBorders>
            <w:shd w:val="clear" w:color="auto" w:fill="auto"/>
            <w:vAlign w:val="center"/>
          </w:tcPr>
          <w:p w14:paraId="1CD14EAA">
            <w:pPr>
              <w:jc w:val="center"/>
              <w:rPr>
                <w:rFonts w:hint="eastAsia" w:ascii="宋体" w:hAnsi="宋体" w:cs="宋体"/>
                <w:sz w:val="22"/>
                <w:szCs w:val="22"/>
              </w:rPr>
            </w:pPr>
          </w:p>
        </w:tc>
        <w:tc>
          <w:tcPr>
            <w:tcW w:w="709" w:type="dxa"/>
            <w:tcBorders>
              <w:top w:val="single" w:color="auto" w:sz="4" w:space="0"/>
              <w:left w:val="nil"/>
              <w:bottom w:val="single" w:color="auto" w:sz="4" w:space="0"/>
              <w:right w:val="single" w:color="auto" w:sz="4" w:space="0"/>
            </w:tcBorders>
            <w:shd w:val="clear" w:color="auto" w:fill="auto"/>
            <w:vAlign w:val="center"/>
          </w:tcPr>
          <w:p w14:paraId="0D36A624">
            <w:pPr>
              <w:jc w:val="center"/>
              <w:rPr>
                <w:rFonts w:hint="eastAsia" w:ascii="宋体" w:hAnsi="宋体" w:cs="宋体"/>
                <w:sz w:val="22"/>
                <w:szCs w:val="22"/>
              </w:rPr>
            </w:pPr>
          </w:p>
        </w:tc>
        <w:tc>
          <w:tcPr>
            <w:tcW w:w="1104" w:type="dxa"/>
            <w:tcBorders>
              <w:top w:val="single" w:color="auto" w:sz="4" w:space="0"/>
              <w:left w:val="nil"/>
              <w:bottom w:val="single" w:color="auto" w:sz="4" w:space="0"/>
              <w:right w:val="single" w:color="auto" w:sz="4" w:space="0"/>
            </w:tcBorders>
            <w:shd w:val="clear" w:color="auto" w:fill="auto"/>
            <w:vAlign w:val="center"/>
          </w:tcPr>
          <w:p w14:paraId="0C05F408">
            <w:pPr>
              <w:jc w:val="center"/>
              <w:rPr>
                <w:rFonts w:hint="eastAsia" w:ascii="宋体" w:hAnsi="宋体" w:cs="宋体"/>
                <w:sz w:val="22"/>
                <w:szCs w:val="22"/>
              </w:rPr>
            </w:pPr>
          </w:p>
        </w:tc>
        <w:tc>
          <w:tcPr>
            <w:tcW w:w="1339" w:type="dxa"/>
            <w:tcBorders>
              <w:top w:val="single" w:color="auto" w:sz="4" w:space="0"/>
              <w:left w:val="nil"/>
              <w:bottom w:val="single" w:color="auto" w:sz="4" w:space="0"/>
              <w:right w:val="single" w:color="auto" w:sz="4" w:space="0"/>
            </w:tcBorders>
            <w:shd w:val="clear" w:color="auto" w:fill="auto"/>
            <w:vAlign w:val="center"/>
          </w:tcPr>
          <w:p w14:paraId="34626FD5">
            <w:pPr>
              <w:jc w:val="center"/>
              <w:rPr>
                <w:rFonts w:hint="eastAsia" w:ascii="宋体" w:hAnsi="宋体" w:cs="宋体"/>
                <w:szCs w:val="21"/>
              </w:rPr>
            </w:pPr>
          </w:p>
        </w:tc>
        <w:tc>
          <w:tcPr>
            <w:tcW w:w="663" w:type="dxa"/>
            <w:tcBorders>
              <w:top w:val="single" w:color="auto" w:sz="4" w:space="0"/>
              <w:left w:val="nil"/>
              <w:bottom w:val="single" w:color="auto" w:sz="4" w:space="0"/>
              <w:right w:val="single" w:color="auto" w:sz="4" w:space="0"/>
            </w:tcBorders>
            <w:shd w:val="clear" w:color="auto" w:fill="auto"/>
            <w:vAlign w:val="center"/>
          </w:tcPr>
          <w:p w14:paraId="388417AA">
            <w:pPr>
              <w:jc w:val="center"/>
              <w:rPr>
                <w:rFonts w:hint="eastAsia" w:ascii="宋体" w:hAnsi="宋体" w:cs="宋体"/>
                <w:szCs w:val="21"/>
              </w:rPr>
            </w:pPr>
          </w:p>
        </w:tc>
      </w:tr>
      <w:tr w14:paraId="245ED39A">
        <w:tblPrEx>
          <w:tblCellMar>
            <w:top w:w="0" w:type="dxa"/>
            <w:left w:w="108" w:type="dxa"/>
            <w:bottom w:w="0" w:type="dxa"/>
            <w:right w:w="108" w:type="dxa"/>
          </w:tblCellMar>
        </w:tblPrEx>
        <w:trPr>
          <w:trHeight w:val="594" w:hRule="atLeast"/>
          <w:jc w:val="center"/>
        </w:trPr>
        <w:tc>
          <w:tcPr>
            <w:tcW w:w="574" w:type="dxa"/>
            <w:tcBorders>
              <w:top w:val="single" w:color="auto" w:sz="4" w:space="0"/>
              <w:left w:val="single" w:color="auto" w:sz="4" w:space="0"/>
              <w:bottom w:val="single" w:color="auto" w:sz="4" w:space="0"/>
              <w:right w:val="single" w:color="auto" w:sz="4" w:space="0"/>
            </w:tcBorders>
            <w:shd w:val="clear" w:color="auto" w:fill="auto"/>
            <w:vAlign w:val="center"/>
          </w:tcPr>
          <w:p w14:paraId="55BBEBCD">
            <w:pPr>
              <w:jc w:val="center"/>
              <w:rPr>
                <w:rFonts w:hint="default" w:ascii="宋体" w:hAnsi="宋体" w:cs="宋体"/>
                <w:sz w:val="22"/>
                <w:szCs w:val="22"/>
                <w:lang w:val="en-US" w:eastAsia="zh-CN"/>
              </w:rPr>
            </w:pPr>
            <w:r>
              <w:rPr>
                <w:rFonts w:hint="eastAsia" w:ascii="宋体" w:hAnsi="宋体" w:cs="宋体"/>
                <w:sz w:val="22"/>
                <w:szCs w:val="22"/>
                <w:lang w:val="en-US" w:eastAsia="zh-CN"/>
              </w:rPr>
              <w:t>6</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14:paraId="70F99B3D">
            <w:pPr>
              <w:jc w:val="center"/>
              <w:rPr>
                <w:rFonts w:hint="eastAsia" w:ascii="宋体" w:hAnsi="宋体" w:cs="宋体"/>
                <w:sz w:val="22"/>
                <w:szCs w:val="22"/>
                <w:lang w:eastAsia="zh-CN"/>
              </w:rPr>
            </w:pPr>
            <w:r>
              <w:rPr>
                <w:rFonts w:hint="eastAsia" w:ascii="宋体" w:hAnsi="宋体" w:cs="宋体"/>
                <w:sz w:val="22"/>
                <w:szCs w:val="22"/>
                <w:lang w:eastAsia="zh-CN"/>
              </w:rPr>
              <w:t>税金</w:t>
            </w:r>
          </w:p>
        </w:tc>
        <w:tc>
          <w:tcPr>
            <w:tcW w:w="2672" w:type="dxa"/>
            <w:tcBorders>
              <w:top w:val="single" w:color="auto" w:sz="4" w:space="0"/>
              <w:left w:val="nil"/>
              <w:bottom w:val="single" w:color="auto" w:sz="4" w:space="0"/>
              <w:right w:val="single" w:color="auto" w:sz="4" w:space="0"/>
            </w:tcBorders>
            <w:shd w:val="clear" w:color="auto" w:fill="auto"/>
            <w:vAlign w:val="center"/>
          </w:tcPr>
          <w:p w14:paraId="08DC3C1B">
            <w:pPr>
              <w:jc w:val="center"/>
              <w:rPr>
                <w:rFonts w:hint="eastAsia" w:ascii="宋体" w:hAnsi="宋体" w:cs="宋体"/>
                <w:sz w:val="22"/>
                <w:szCs w:val="22"/>
              </w:rPr>
            </w:pPr>
          </w:p>
        </w:tc>
        <w:tc>
          <w:tcPr>
            <w:tcW w:w="1596" w:type="dxa"/>
            <w:tcBorders>
              <w:top w:val="single" w:color="auto" w:sz="4" w:space="0"/>
              <w:left w:val="nil"/>
              <w:bottom w:val="single" w:color="auto" w:sz="4" w:space="0"/>
              <w:right w:val="single" w:color="auto" w:sz="4" w:space="0"/>
            </w:tcBorders>
            <w:shd w:val="clear" w:color="auto" w:fill="auto"/>
            <w:vAlign w:val="center"/>
          </w:tcPr>
          <w:p w14:paraId="5716B6A9">
            <w:pPr>
              <w:jc w:val="center"/>
              <w:rPr>
                <w:rFonts w:hint="eastAsia" w:ascii="宋体" w:hAnsi="宋体" w:cs="宋体"/>
                <w:sz w:val="22"/>
                <w:szCs w:val="22"/>
              </w:rPr>
            </w:pPr>
          </w:p>
        </w:tc>
        <w:tc>
          <w:tcPr>
            <w:tcW w:w="682" w:type="dxa"/>
            <w:tcBorders>
              <w:top w:val="single" w:color="auto" w:sz="4" w:space="0"/>
              <w:left w:val="nil"/>
              <w:bottom w:val="single" w:color="auto" w:sz="4" w:space="0"/>
              <w:right w:val="single" w:color="auto" w:sz="4" w:space="0"/>
            </w:tcBorders>
            <w:shd w:val="clear" w:color="auto" w:fill="auto"/>
            <w:vAlign w:val="center"/>
          </w:tcPr>
          <w:p w14:paraId="6198B894">
            <w:pPr>
              <w:jc w:val="center"/>
              <w:rPr>
                <w:rFonts w:hint="eastAsia" w:ascii="宋体" w:hAnsi="宋体" w:cs="宋体"/>
                <w:sz w:val="22"/>
                <w:szCs w:val="22"/>
              </w:rPr>
            </w:pPr>
          </w:p>
        </w:tc>
        <w:tc>
          <w:tcPr>
            <w:tcW w:w="709" w:type="dxa"/>
            <w:tcBorders>
              <w:top w:val="single" w:color="auto" w:sz="4" w:space="0"/>
              <w:left w:val="nil"/>
              <w:bottom w:val="single" w:color="auto" w:sz="4" w:space="0"/>
              <w:right w:val="single" w:color="auto" w:sz="4" w:space="0"/>
            </w:tcBorders>
            <w:shd w:val="clear" w:color="auto" w:fill="auto"/>
            <w:vAlign w:val="center"/>
          </w:tcPr>
          <w:p w14:paraId="53D61430">
            <w:pPr>
              <w:jc w:val="center"/>
              <w:rPr>
                <w:rFonts w:hint="eastAsia" w:ascii="宋体" w:hAnsi="宋体" w:cs="宋体"/>
                <w:sz w:val="22"/>
                <w:szCs w:val="22"/>
              </w:rPr>
            </w:pPr>
          </w:p>
        </w:tc>
        <w:tc>
          <w:tcPr>
            <w:tcW w:w="1104" w:type="dxa"/>
            <w:tcBorders>
              <w:top w:val="single" w:color="auto" w:sz="4" w:space="0"/>
              <w:left w:val="nil"/>
              <w:bottom w:val="single" w:color="auto" w:sz="4" w:space="0"/>
              <w:right w:val="single" w:color="auto" w:sz="4" w:space="0"/>
            </w:tcBorders>
            <w:shd w:val="clear" w:color="auto" w:fill="auto"/>
            <w:vAlign w:val="center"/>
          </w:tcPr>
          <w:p w14:paraId="3D939F5C">
            <w:pPr>
              <w:jc w:val="center"/>
              <w:rPr>
                <w:rFonts w:hint="eastAsia" w:ascii="宋体" w:hAnsi="宋体" w:cs="宋体"/>
                <w:sz w:val="22"/>
                <w:szCs w:val="22"/>
              </w:rPr>
            </w:pPr>
          </w:p>
        </w:tc>
        <w:tc>
          <w:tcPr>
            <w:tcW w:w="1339" w:type="dxa"/>
            <w:tcBorders>
              <w:top w:val="single" w:color="auto" w:sz="4" w:space="0"/>
              <w:left w:val="nil"/>
              <w:bottom w:val="single" w:color="auto" w:sz="4" w:space="0"/>
              <w:right w:val="single" w:color="auto" w:sz="4" w:space="0"/>
            </w:tcBorders>
            <w:shd w:val="clear" w:color="auto" w:fill="auto"/>
            <w:vAlign w:val="center"/>
          </w:tcPr>
          <w:p w14:paraId="70E4C475">
            <w:pPr>
              <w:jc w:val="center"/>
              <w:rPr>
                <w:rFonts w:hint="eastAsia" w:ascii="宋体" w:hAnsi="宋体" w:cs="宋体"/>
                <w:szCs w:val="21"/>
              </w:rPr>
            </w:pPr>
          </w:p>
        </w:tc>
        <w:tc>
          <w:tcPr>
            <w:tcW w:w="663" w:type="dxa"/>
            <w:tcBorders>
              <w:top w:val="single" w:color="auto" w:sz="4" w:space="0"/>
              <w:left w:val="nil"/>
              <w:bottom w:val="single" w:color="auto" w:sz="4" w:space="0"/>
              <w:right w:val="single" w:color="auto" w:sz="4" w:space="0"/>
            </w:tcBorders>
            <w:shd w:val="clear" w:color="auto" w:fill="auto"/>
            <w:vAlign w:val="center"/>
          </w:tcPr>
          <w:p w14:paraId="23F4B7ED">
            <w:pPr>
              <w:jc w:val="center"/>
              <w:rPr>
                <w:rFonts w:hint="eastAsia" w:ascii="宋体" w:hAnsi="宋体" w:cs="宋体"/>
                <w:szCs w:val="21"/>
              </w:rPr>
            </w:pPr>
          </w:p>
        </w:tc>
      </w:tr>
      <w:tr w14:paraId="48791067">
        <w:tblPrEx>
          <w:tblCellMar>
            <w:top w:w="0" w:type="dxa"/>
            <w:left w:w="108" w:type="dxa"/>
            <w:bottom w:w="0" w:type="dxa"/>
            <w:right w:w="108" w:type="dxa"/>
          </w:tblCellMar>
        </w:tblPrEx>
        <w:trPr>
          <w:trHeight w:val="447" w:hRule="atLeast"/>
          <w:jc w:val="center"/>
        </w:trPr>
        <w:tc>
          <w:tcPr>
            <w:tcW w:w="574" w:type="dxa"/>
            <w:tcBorders>
              <w:top w:val="single" w:color="auto" w:sz="4" w:space="0"/>
              <w:left w:val="single" w:color="auto" w:sz="4" w:space="0"/>
              <w:bottom w:val="single" w:color="auto" w:sz="4" w:space="0"/>
              <w:right w:val="single" w:color="auto" w:sz="4" w:space="0"/>
            </w:tcBorders>
            <w:shd w:val="clear" w:color="auto" w:fill="auto"/>
            <w:vAlign w:val="center"/>
          </w:tcPr>
          <w:p w14:paraId="48631FD2">
            <w:pPr>
              <w:jc w:val="center"/>
              <w:rPr>
                <w:rFonts w:hint="eastAsia" w:ascii="宋体" w:hAnsi="宋体" w:eastAsia="宋体" w:cs="宋体"/>
                <w:sz w:val="22"/>
                <w:szCs w:val="22"/>
                <w:lang w:val="en-US" w:eastAsia="zh-CN"/>
              </w:rPr>
            </w:pPr>
            <w:r>
              <w:rPr>
                <w:rFonts w:hint="eastAsia" w:ascii="宋体" w:hAnsi="宋体" w:cs="宋体"/>
                <w:sz w:val="22"/>
                <w:szCs w:val="22"/>
                <w:lang w:val="en-US" w:eastAsia="zh-CN"/>
              </w:rPr>
              <w:t>7</w:t>
            </w:r>
          </w:p>
        </w:tc>
        <w:tc>
          <w:tcPr>
            <w:tcW w:w="900" w:type="dxa"/>
            <w:tcBorders>
              <w:top w:val="single" w:color="auto" w:sz="4" w:space="0"/>
              <w:left w:val="single" w:color="auto" w:sz="4" w:space="0"/>
              <w:bottom w:val="single" w:color="auto" w:sz="4" w:space="0"/>
              <w:right w:val="single" w:color="auto" w:sz="4" w:space="0"/>
            </w:tcBorders>
            <w:shd w:val="clear" w:color="auto" w:fill="auto"/>
            <w:vAlign w:val="center"/>
          </w:tcPr>
          <w:p w14:paraId="1C357BBF">
            <w:pPr>
              <w:jc w:val="center"/>
              <w:rPr>
                <w:rFonts w:hint="eastAsia" w:ascii="宋体" w:hAnsi="宋体" w:eastAsia="宋体" w:cs="宋体"/>
                <w:sz w:val="22"/>
                <w:szCs w:val="22"/>
                <w:lang w:eastAsia="zh-CN"/>
              </w:rPr>
            </w:pPr>
            <w:r>
              <w:rPr>
                <w:rFonts w:hint="eastAsia" w:ascii="宋体" w:hAnsi="宋体" w:cs="宋体"/>
                <w:sz w:val="22"/>
                <w:szCs w:val="22"/>
                <w:lang w:eastAsia="zh-CN"/>
              </w:rPr>
              <w:t>其他</w:t>
            </w:r>
          </w:p>
        </w:tc>
        <w:tc>
          <w:tcPr>
            <w:tcW w:w="2672" w:type="dxa"/>
            <w:tcBorders>
              <w:top w:val="single" w:color="auto" w:sz="4" w:space="0"/>
              <w:left w:val="nil"/>
              <w:bottom w:val="single" w:color="auto" w:sz="4" w:space="0"/>
              <w:right w:val="single" w:color="auto" w:sz="4" w:space="0"/>
            </w:tcBorders>
            <w:shd w:val="clear" w:color="auto" w:fill="auto"/>
            <w:vAlign w:val="center"/>
          </w:tcPr>
          <w:p w14:paraId="57B25B0F">
            <w:pPr>
              <w:jc w:val="left"/>
              <w:rPr>
                <w:rFonts w:hint="eastAsia" w:ascii="宋体" w:hAnsi="宋体" w:cs="宋体"/>
                <w:sz w:val="22"/>
                <w:szCs w:val="22"/>
              </w:rPr>
            </w:pPr>
          </w:p>
        </w:tc>
        <w:tc>
          <w:tcPr>
            <w:tcW w:w="1596" w:type="dxa"/>
            <w:tcBorders>
              <w:top w:val="single" w:color="auto" w:sz="4" w:space="0"/>
              <w:left w:val="nil"/>
              <w:bottom w:val="single" w:color="auto" w:sz="4" w:space="0"/>
              <w:right w:val="single" w:color="auto" w:sz="4" w:space="0"/>
            </w:tcBorders>
            <w:shd w:val="clear" w:color="auto" w:fill="auto"/>
            <w:vAlign w:val="center"/>
          </w:tcPr>
          <w:p w14:paraId="65E70A19">
            <w:pPr>
              <w:jc w:val="center"/>
              <w:rPr>
                <w:rFonts w:hint="eastAsia" w:ascii="宋体" w:hAnsi="宋体" w:cs="宋体"/>
                <w:sz w:val="22"/>
                <w:szCs w:val="22"/>
              </w:rPr>
            </w:pPr>
          </w:p>
        </w:tc>
        <w:tc>
          <w:tcPr>
            <w:tcW w:w="682" w:type="dxa"/>
            <w:tcBorders>
              <w:top w:val="single" w:color="auto" w:sz="4" w:space="0"/>
              <w:left w:val="nil"/>
              <w:bottom w:val="single" w:color="auto" w:sz="4" w:space="0"/>
              <w:right w:val="single" w:color="auto" w:sz="4" w:space="0"/>
            </w:tcBorders>
            <w:shd w:val="clear" w:color="auto" w:fill="auto"/>
            <w:vAlign w:val="center"/>
          </w:tcPr>
          <w:p w14:paraId="4952CBA9">
            <w:pPr>
              <w:jc w:val="center"/>
              <w:rPr>
                <w:rFonts w:hint="eastAsia" w:ascii="宋体" w:hAnsi="宋体" w:cs="宋体"/>
                <w:sz w:val="22"/>
                <w:szCs w:val="22"/>
              </w:rPr>
            </w:pPr>
          </w:p>
        </w:tc>
        <w:tc>
          <w:tcPr>
            <w:tcW w:w="709" w:type="dxa"/>
            <w:tcBorders>
              <w:top w:val="single" w:color="auto" w:sz="4" w:space="0"/>
              <w:left w:val="nil"/>
              <w:bottom w:val="single" w:color="auto" w:sz="4" w:space="0"/>
              <w:right w:val="single" w:color="auto" w:sz="4" w:space="0"/>
            </w:tcBorders>
            <w:shd w:val="clear" w:color="auto" w:fill="auto"/>
            <w:vAlign w:val="center"/>
          </w:tcPr>
          <w:p w14:paraId="0D2DB10D">
            <w:pPr>
              <w:jc w:val="center"/>
              <w:rPr>
                <w:rFonts w:hint="eastAsia" w:ascii="宋体" w:hAnsi="宋体" w:cs="宋体"/>
                <w:sz w:val="22"/>
                <w:szCs w:val="22"/>
              </w:rPr>
            </w:pPr>
          </w:p>
        </w:tc>
        <w:tc>
          <w:tcPr>
            <w:tcW w:w="1104" w:type="dxa"/>
            <w:tcBorders>
              <w:top w:val="single" w:color="auto" w:sz="4" w:space="0"/>
              <w:left w:val="nil"/>
              <w:bottom w:val="single" w:color="auto" w:sz="4" w:space="0"/>
              <w:right w:val="single" w:color="auto" w:sz="4" w:space="0"/>
            </w:tcBorders>
            <w:shd w:val="clear" w:color="auto" w:fill="auto"/>
            <w:vAlign w:val="center"/>
          </w:tcPr>
          <w:p w14:paraId="110AD817">
            <w:pPr>
              <w:jc w:val="center"/>
              <w:rPr>
                <w:rFonts w:hint="eastAsia" w:ascii="宋体" w:hAnsi="宋体" w:cs="宋体"/>
                <w:sz w:val="22"/>
                <w:szCs w:val="22"/>
              </w:rPr>
            </w:pPr>
          </w:p>
        </w:tc>
        <w:tc>
          <w:tcPr>
            <w:tcW w:w="1339" w:type="dxa"/>
            <w:tcBorders>
              <w:top w:val="single" w:color="auto" w:sz="4" w:space="0"/>
              <w:left w:val="nil"/>
              <w:bottom w:val="single" w:color="auto" w:sz="4" w:space="0"/>
              <w:right w:val="single" w:color="auto" w:sz="4" w:space="0"/>
            </w:tcBorders>
            <w:shd w:val="clear" w:color="auto" w:fill="auto"/>
            <w:vAlign w:val="center"/>
          </w:tcPr>
          <w:p w14:paraId="2842068F">
            <w:pPr>
              <w:jc w:val="center"/>
              <w:rPr>
                <w:rFonts w:hint="eastAsia" w:ascii="宋体" w:hAnsi="宋体" w:cs="宋体"/>
                <w:szCs w:val="21"/>
              </w:rPr>
            </w:pPr>
          </w:p>
        </w:tc>
        <w:tc>
          <w:tcPr>
            <w:tcW w:w="663" w:type="dxa"/>
            <w:tcBorders>
              <w:top w:val="single" w:color="auto" w:sz="4" w:space="0"/>
              <w:left w:val="nil"/>
              <w:bottom w:val="single" w:color="auto" w:sz="4" w:space="0"/>
              <w:right w:val="single" w:color="auto" w:sz="4" w:space="0"/>
            </w:tcBorders>
            <w:shd w:val="clear" w:color="auto" w:fill="auto"/>
            <w:vAlign w:val="center"/>
          </w:tcPr>
          <w:p w14:paraId="6119ECC9">
            <w:pPr>
              <w:jc w:val="center"/>
              <w:rPr>
                <w:rFonts w:hint="eastAsia" w:ascii="宋体" w:hAnsi="宋体" w:cs="宋体"/>
                <w:szCs w:val="21"/>
              </w:rPr>
            </w:pPr>
          </w:p>
        </w:tc>
      </w:tr>
      <w:tr w14:paraId="24175819">
        <w:tblPrEx>
          <w:tblCellMar>
            <w:top w:w="0" w:type="dxa"/>
            <w:left w:w="108" w:type="dxa"/>
            <w:bottom w:w="0" w:type="dxa"/>
            <w:right w:w="108" w:type="dxa"/>
          </w:tblCellMar>
        </w:tblPrEx>
        <w:trPr>
          <w:trHeight w:val="1017" w:hRule="atLeast"/>
          <w:jc w:val="center"/>
        </w:trPr>
        <w:tc>
          <w:tcPr>
            <w:tcW w:w="5742" w:type="dxa"/>
            <w:gridSpan w:val="4"/>
            <w:tcBorders>
              <w:top w:val="single" w:color="auto" w:sz="4" w:space="0"/>
              <w:left w:val="single" w:color="auto" w:sz="4" w:space="0"/>
              <w:bottom w:val="single" w:color="auto" w:sz="4" w:space="0"/>
              <w:right w:val="single" w:color="auto" w:sz="4" w:space="0"/>
            </w:tcBorders>
            <w:shd w:val="clear" w:color="auto" w:fill="auto"/>
            <w:vAlign w:val="center"/>
          </w:tcPr>
          <w:p w14:paraId="780CCF39">
            <w:pPr>
              <w:jc w:val="center"/>
              <w:rPr>
                <w:rFonts w:hint="eastAsia" w:ascii="宋体" w:hAnsi="宋体" w:cs="宋体"/>
                <w:szCs w:val="21"/>
              </w:rPr>
            </w:pPr>
            <w:r>
              <w:rPr>
                <w:rFonts w:hint="eastAsia" w:ascii="宋体" w:hAnsi="宋体" w:cs="宋体"/>
                <w:sz w:val="22"/>
                <w:szCs w:val="22"/>
              </w:rPr>
              <w:t>合计总价</w:t>
            </w:r>
          </w:p>
        </w:tc>
        <w:tc>
          <w:tcPr>
            <w:tcW w:w="4497" w:type="dxa"/>
            <w:gridSpan w:val="5"/>
            <w:tcBorders>
              <w:top w:val="single" w:color="auto" w:sz="4" w:space="0"/>
              <w:left w:val="nil"/>
              <w:bottom w:val="single" w:color="auto" w:sz="4" w:space="0"/>
              <w:right w:val="single" w:color="auto" w:sz="4" w:space="0"/>
            </w:tcBorders>
            <w:shd w:val="clear" w:color="auto" w:fill="auto"/>
            <w:vAlign w:val="center"/>
          </w:tcPr>
          <w:p w14:paraId="17191919">
            <w:pPr>
              <w:jc w:val="center"/>
              <w:rPr>
                <w:rFonts w:hint="eastAsia" w:ascii="宋体" w:hAnsi="宋体" w:cs="宋体"/>
                <w:szCs w:val="21"/>
              </w:rPr>
            </w:pPr>
          </w:p>
        </w:tc>
      </w:tr>
    </w:tbl>
    <w:p w14:paraId="62DC935B">
      <w:pPr>
        <w:spacing w:line="440" w:lineRule="exact"/>
        <w:rPr>
          <w:rFonts w:hint="eastAsia" w:ascii="宋体" w:cs="宋体"/>
          <w:b/>
          <w:bCs/>
          <w:sz w:val="22"/>
          <w:szCs w:val="22"/>
        </w:rPr>
      </w:pPr>
    </w:p>
    <w:p w14:paraId="0D662D33">
      <w:pPr>
        <w:spacing w:line="440" w:lineRule="exact"/>
        <w:rPr>
          <w:rFonts w:hint="eastAsia" w:ascii="宋体" w:cs="宋体"/>
          <w:b/>
          <w:bCs/>
          <w:sz w:val="22"/>
          <w:szCs w:val="22"/>
        </w:rPr>
      </w:pPr>
      <w:r>
        <w:rPr>
          <w:rFonts w:hint="eastAsia" w:ascii="宋体" w:cs="宋体"/>
          <w:b/>
          <w:bCs/>
          <w:sz w:val="22"/>
          <w:szCs w:val="22"/>
        </w:rPr>
        <w:t>说明：</w:t>
      </w:r>
    </w:p>
    <w:p w14:paraId="6CB4013E">
      <w:pPr>
        <w:spacing w:line="440" w:lineRule="exact"/>
        <w:rPr>
          <w:rFonts w:hint="eastAsia" w:ascii="宋体" w:cs="宋体"/>
          <w:b/>
          <w:bCs/>
          <w:sz w:val="22"/>
          <w:szCs w:val="22"/>
          <w:u w:val="single"/>
        </w:rPr>
      </w:pPr>
      <w:r>
        <w:rPr>
          <w:rFonts w:hint="eastAsia" w:ascii="宋体" w:cs="宋体"/>
          <w:b/>
          <w:sz w:val="22"/>
          <w:szCs w:val="22"/>
          <w:u w:val="single"/>
        </w:rPr>
        <w:t>▲</w:t>
      </w:r>
      <w:r>
        <w:rPr>
          <w:rFonts w:hint="eastAsia" w:ascii="宋体" w:cs="宋体"/>
          <w:b/>
          <w:bCs/>
          <w:sz w:val="22"/>
          <w:szCs w:val="22"/>
          <w:u w:val="single"/>
        </w:rPr>
        <w:t>1.不提供详细分项报价将视为没有实质性响应采购文件。</w:t>
      </w:r>
    </w:p>
    <w:p w14:paraId="0FBE67B7">
      <w:pPr>
        <w:spacing w:line="440" w:lineRule="exact"/>
        <w:rPr>
          <w:rFonts w:ascii="宋体" w:cs="宋体"/>
          <w:b/>
          <w:bCs/>
          <w:sz w:val="22"/>
          <w:szCs w:val="22"/>
        </w:rPr>
      </w:pPr>
      <w:r>
        <w:rPr>
          <w:rFonts w:hint="eastAsia" w:ascii="宋体" w:cs="宋体"/>
          <w:b/>
          <w:bCs/>
          <w:sz w:val="22"/>
          <w:szCs w:val="22"/>
        </w:rPr>
        <w:t>2.此表的总计价应与附件二“投标报价一览表”中的投标报价相一致。</w:t>
      </w:r>
    </w:p>
    <w:p w14:paraId="2F06D0D9">
      <w:pPr>
        <w:spacing w:line="440" w:lineRule="exact"/>
        <w:rPr>
          <w:rFonts w:ascii="宋体" w:cs="宋体"/>
          <w:sz w:val="24"/>
        </w:rPr>
      </w:pPr>
      <w:r>
        <w:rPr>
          <w:rFonts w:hint="eastAsia" w:ascii="宋体" w:cs="宋体"/>
          <w:sz w:val="22"/>
          <w:szCs w:val="22"/>
        </w:rPr>
        <w:t>3.如果免费请在该备注栏内注明“免”，如果含在产品价格中则填“含”，如无此项内容则填“无”，不留空白。</w:t>
      </w:r>
    </w:p>
    <w:p w14:paraId="2678E5AF">
      <w:pPr>
        <w:spacing w:line="440" w:lineRule="exact"/>
        <w:rPr>
          <w:rFonts w:ascii="宋体" w:cs="宋体"/>
          <w:sz w:val="22"/>
          <w:szCs w:val="22"/>
        </w:rPr>
      </w:pPr>
    </w:p>
    <w:p w14:paraId="0A85921B">
      <w:pPr>
        <w:spacing w:line="440" w:lineRule="exact"/>
        <w:rPr>
          <w:rFonts w:ascii="宋体" w:cs="宋体"/>
          <w:sz w:val="22"/>
          <w:szCs w:val="22"/>
        </w:rPr>
      </w:pPr>
      <w:r>
        <w:rPr>
          <w:rFonts w:hint="eastAsia" w:ascii="宋体" w:cs="宋体"/>
          <w:sz w:val="22"/>
          <w:szCs w:val="22"/>
        </w:rPr>
        <w:t>投标供应商全称（公章）：</w:t>
      </w:r>
    </w:p>
    <w:p w14:paraId="4B993DEB">
      <w:pPr>
        <w:spacing w:line="440" w:lineRule="exact"/>
        <w:rPr>
          <w:rFonts w:ascii="宋体" w:cs="宋体"/>
          <w:sz w:val="22"/>
          <w:szCs w:val="22"/>
        </w:rPr>
      </w:pPr>
      <w:r>
        <w:rPr>
          <w:rFonts w:hint="eastAsia" w:ascii="宋体" w:cs="宋体"/>
          <w:sz w:val="22"/>
          <w:szCs w:val="22"/>
        </w:rPr>
        <w:t>法定代表人或授权代表（签字或盖章）：</w:t>
      </w:r>
    </w:p>
    <w:p w14:paraId="1421FF96">
      <w:pPr>
        <w:spacing w:line="440" w:lineRule="exact"/>
        <w:rPr>
          <w:rFonts w:ascii="宋体" w:cs="宋体"/>
          <w:sz w:val="22"/>
          <w:szCs w:val="22"/>
        </w:rPr>
      </w:pPr>
      <w:r>
        <w:rPr>
          <w:rFonts w:hint="eastAsia" w:ascii="宋体" w:cs="宋体"/>
          <w:sz w:val="22"/>
          <w:szCs w:val="22"/>
        </w:rPr>
        <w:t>日 期：      年   月    日</w:t>
      </w:r>
    </w:p>
    <w:p w14:paraId="5BA9767A">
      <w:pPr>
        <w:spacing w:line="440" w:lineRule="exact"/>
        <w:rPr>
          <w:rFonts w:ascii="宋体" w:cs="宋体"/>
          <w:sz w:val="24"/>
        </w:rPr>
      </w:pPr>
    </w:p>
    <w:p w14:paraId="652F7267">
      <w:pPr>
        <w:rPr>
          <w:rFonts w:ascii="宋体" w:cs="宋体"/>
          <w:sz w:val="24"/>
        </w:rPr>
      </w:pPr>
      <w:r>
        <w:rPr>
          <w:rFonts w:ascii="宋体" w:cs="宋体"/>
          <w:sz w:val="24"/>
        </w:rPr>
        <w:br w:type="page"/>
      </w:r>
    </w:p>
    <w:p w14:paraId="18533774">
      <w:pPr>
        <w:pStyle w:val="7"/>
        <w:spacing w:line="480" w:lineRule="exact"/>
        <w:rPr>
          <w:rFonts w:ascii="宋体" w:eastAsia="宋体" w:cs="宋体"/>
          <w:sz w:val="24"/>
          <w:szCs w:val="24"/>
        </w:rPr>
      </w:pPr>
      <w:bookmarkStart w:id="132" w:name="_Toc28737"/>
      <w:bookmarkStart w:id="133" w:name="_Toc30554"/>
      <w:bookmarkStart w:id="134" w:name="_Toc27901"/>
      <w:r>
        <w:rPr>
          <w:rFonts w:hint="eastAsia" w:ascii="宋体" w:eastAsia="宋体" w:cs="宋体"/>
          <w:sz w:val="24"/>
          <w:szCs w:val="24"/>
        </w:rPr>
        <w:t>附件</w:t>
      </w:r>
      <w:bookmarkEnd w:id="123"/>
      <w:bookmarkEnd w:id="124"/>
      <w:bookmarkEnd w:id="125"/>
      <w:bookmarkEnd w:id="126"/>
      <w:r>
        <w:rPr>
          <w:rFonts w:hint="eastAsia" w:ascii="宋体" w:eastAsia="宋体" w:cs="宋体"/>
          <w:sz w:val="24"/>
          <w:szCs w:val="24"/>
        </w:rPr>
        <w:t>四  资格证明文件</w:t>
      </w:r>
      <w:bookmarkEnd w:id="127"/>
      <w:bookmarkEnd w:id="128"/>
      <w:bookmarkEnd w:id="129"/>
      <w:bookmarkEnd w:id="132"/>
      <w:bookmarkEnd w:id="133"/>
      <w:bookmarkEnd w:id="134"/>
    </w:p>
    <w:p w14:paraId="6581FAB4">
      <w:pPr>
        <w:rPr>
          <w:rFonts w:ascii="宋体" w:cs="宋体"/>
        </w:rPr>
      </w:pPr>
    </w:p>
    <w:p w14:paraId="61A7B4E8">
      <w:pPr>
        <w:spacing w:line="380" w:lineRule="exact"/>
        <w:jc w:val="center"/>
        <w:rPr>
          <w:rFonts w:ascii="宋体" w:cs="宋体"/>
          <w:b/>
          <w:sz w:val="24"/>
        </w:rPr>
      </w:pPr>
      <w:r>
        <w:rPr>
          <w:rFonts w:hint="eastAsia" w:ascii="宋体" w:cs="宋体"/>
          <w:b/>
          <w:sz w:val="24"/>
        </w:rPr>
        <w:t>（一）法定代表人授权书</w:t>
      </w:r>
    </w:p>
    <w:p w14:paraId="3718B1B4">
      <w:pPr>
        <w:spacing w:line="460" w:lineRule="exact"/>
        <w:rPr>
          <w:rFonts w:ascii="宋体" w:cs="宋体"/>
          <w:sz w:val="22"/>
          <w:szCs w:val="22"/>
        </w:rPr>
      </w:pPr>
    </w:p>
    <w:p w14:paraId="54442DB7">
      <w:pPr>
        <w:spacing w:line="460" w:lineRule="exact"/>
        <w:rPr>
          <w:rFonts w:ascii="宋体" w:cs="宋体"/>
          <w:b/>
          <w:sz w:val="24"/>
        </w:rPr>
      </w:pPr>
      <w:r>
        <w:rPr>
          <w:rFonts w:hint="eastAsia" w:ascii="宋体" w:cs="宋体"/>
          <w:b/>
          <w:bCs/>
          <w:sz w:val="22"/>
          <w:szCs w:val="22"/>
        </w:rPr>
        <w:t>温州市公用事业发展集团有限公司：</w:t>
      </w:r>
    </w:p>
    <w:p w14:paraId="0F6382FB">
      <w:pPr>
        <w:spacing w:line="440" w:lineRule="exact"/>
        <w:rPr>
          <w:rFonts w:ascii="宋体" w:cs="宋体"/>
          <w:b/>
          <w:bCs/>
          <w:sz w:val="22"/>
          <w:szCs w:val="22"/>
        </w:rPr>
      </w:pPr>
      <w:r>
        <w:rPr>
          <w:rFonts w:hint="eastAsia" w:ascii="宋体" w:cs="宋体"/>
          <w:b/>
          <w:bCs/>
          <w:sz w:val="22"/>
          <w:szCs w:val="22"/>
          <w:lang w:eastAsia="zh-CN"/>
        </w:rPr>
        <w:t>温州建设集团建筑设计院有限公司</w:t>
      </w:r>
      <w:r>
        <w:rPr>
          <w:rFonts w:hint="eastAsia" w:ascii="宋体" w:cs="宋体"/>
          <w:b/>
          <w:bCs/>
          <w:sz w:val="22"/>
          <w:szCs w:val="22"/>
        </w:rPr>
        <w:t>：</w:t>
      </w:r>
    </w:p>
    <w:p w14:paraId="35FDBC1F">
      <w:pPr>
        <w:spacing w:line="440" w:lineRule="exact"/>
        <w:ind w:firstLine="550" w:firstLineChars="250"/>
        <w:rPr>
          <w:rFonts w:ascii="宋体" w:cs="宋体"/>
          <w:sz w:val="22"/>
          <w:szCs w:val="22"/>
        </w:rPr>
      </w:pPr>
      <w:r>
        <w:rPr>
          <w:rFonts w:hint="eastAsia" w:ascii="宋体" w:cs="宋体"/>
          <w:sz w:val="22"/>
          <w:szCs w:val="22"/>
          <w:u w:val="single"/>
        </w:rPr>
        <w:t xml:space="preserve">                      </w:t>
      </w:r>
      <w:r>
        <w:rPr>
          <w:rFonts w:hint="eastAsia" w:ascii="宋体" w:cs="宋体"/>
          <w:sz w:val="22"/>
          <w:szCs w:val="22"/>
        </w:rPr>
        <w:t>（投标供应商全称）法定代表人</w:t>
      </w:r>
      <w:r>
        <w:rPr>
          <w:rFonts w:hint="eastAsia" w:ascii="宋体" w:cs="宋体"/>
          <w:sz w:val="22"/>
          <w:szCs w:val="22"/>
          <w:u w:val="single"/>
        </w:rPr>
        <w:t xml:space="preserve">            </w:t>
      </w:r>
      <w:r>
        <w:rPr>
          <w:rFonts w:hint="eastAsia" w:ascii="宋体" w:cs="宋体"/>
          <w:sz w:val="22"/>
          <w:szCs w:val="22"/>
        </w:rPr>
        <w:t>授权</w:t>
      </w:r>
      <w:r>
        <w:rPr>
          <w:rFonts w:hint="eastAsia" w:ascii="宋体" w:cs="宋体"/>
          <w:sz w:val="22"/>
          <w:szCs w:val="22"/>
          <w:u w:val="single"/>
        </w:rPr>
        <w:t xml:space="preserve">           </w:t>
      </w:r>
      <w:r>
        <w:rPr>
          <w:rFonts w:hint="eastAsia" w:ascii="宋体" w:cs="宋体"/>
          <w:sz w:val="22"/>
          <w:szCs w:val="22"/>
        </w:rPr>
        <w:t>（全权代表姓名）为全权代表，参加贵处组织的</w:t>
      </w:r>
      <w:r>
        <w:rPr>
          <w:rFonts w:hint="eastAsia" w:ascii="宋体" w:cs="宋体"/>
          <w:sz w:val="22"/>
          <w:szCs w:val="22"/>
          <w:u w:val="single"/>
        </w:rPr>
        <w:t xml:space="preserve">               </w:t>
      </w:r>
      <w:r>
        <w:rPr>
          <w:rFonts w:hint="eastAsia" w:ascii="宋体" w:cs="宋体"/>
          <w:sz w:val="22"/>
          <w:szCs w:val="22"/>
        </w:rPr>
        <w:t>（项目名称、编号）的采购活动，全权代表我方处理采购活动中的一切事宜。</w:t>
      </w:r>
    </w:p>
    <w:p w14:paraId="33132D96">
      <w:pPr>
        <w:spacing w:line="440" w:lineRule="exact"/>
        <w:rPr>
          <w:rFonts w:ascii="宋体" w:cs="宋体"/>
          <w:sz w:val="22"/>
          <w:szCs w:val="22"/>
        </w:rPr>
      </w:pPr>
      <w:r>
        <w:rPr>
          <w:rFonts w:hint="eastAsia" w:ascii="宋体" w:cs="宋体"/>
          <w:sz w:val="22"/>
          <w:szCs w:val="22"/>
        </w:rPr>
        <w:t xml:space="preserve">    本授权书于</w:t>
      </w:r>
      <w:r>
        <w:rPr>
          <w:rFonts w:hint="eastAsia" w:ascii="宋体" w:cs="宋体"/>
          <w:sz w:val="22"/>
          <w:szCs w:val="22"/>
          <w:u w:val="single"/>
        </w:rPr>
        <w:t xml:space="preserve">      </w:t>
      </w:r>
      <w:r>
        <w:rPr>
          <w:rFonts w:hint="eastAsia" w:ascii="宋体" w:cs="宋体"/>
          <w:sz w:val="22"/>
          <w:szCs w:val="22"/>
        </w:rPr>
        <w:t>年</w:t>
      </w:r>
      <w:r>
        <w:rPr>
          <w:rFonts w:hint="eastAsia" w:ascii="宋体" w:cs="宋体"/>
          <w:sz w:val="22"/>
          <w:szCs w:val="22"/>
          <w:u w:val="single"/>
        </w:rPr>
        <w:t xml:space="preserve">    </w:t>
      </w:r>
      <w:r>
        <w:rPr>
          <w:rFonts w:hint="eastAsia" w:ascii="宋体" w:cs="宋体"/>
          <w:sz w:val="22"/>
          <w:szCs w:val="22"/>
        </w:rPr>
        <w:t>月</w:t>
      </w:r>
      <w:r>
        <w:rPr>
          <w:rFonts w:hint="eastAsia" w:ascii="宋体" w:cs="宋体"/>
          <w:sz w:val="22"/>
          <w:szCs w:val="22"/>
          <w:u w:val="single"/>
        </w:rPr>
        <w:t xml:space="preserve">    </w:t>
      </w:r>
      <w:r>
        <w:rPr>
          <w:rFonts w:hint="eastAsia" w:ascii="宋体" w:cs="宋体"/>
          <w:sz w:val="22"/>
          <w:szCs w:val="22"/>
        </w:rPr>
        <w:t>日签字生效，特此说明。</w:t>
      </w:r>
    </w:p>
    <w:p w14:paraId="37EF72B7">
      <w:pPr>
        <w:spacing w:line="440" w:lineRule="exact"/>
        <w:ind w:firstLine="2955"/>
        <w:rPr>
          <w:rFonts w:ascii="宋体" w:cs="宋体"/>
          <w:sz w:val="22"/>
          <w:szCs w:val="22"/>
        </w:rPr>
      </w:pPr>
      <w:r>
        <w:rPr>
          <w:rFonts w:hint="eastAsia" w:ascii="宋体" w:cs="宋体"/>
          <w:sz w:val="22"/>
          <w:szCs w:val="22"/>
        </w:rPr>
        <w:t xml:space="preserve">          </w:t>
      </w:r>
    </w:p>
    <w:p w14:paraId="2E95E6C0">
      <w:pPr>
        <w:spacing w:line="440" w:lineRule="exact"/>
        <w:ind w:firstLine="4188" w:firstLineChars="1904"/>
        <w:rPr>
          <w:rFonts w:ascii="宋体" w:cs="宋体"/>
          <w:sz w:val="22"/>
          <w:szCs w:val="22"/>
        </w:rPr>
      </w:pPr>
      <w:r>
        <w:rPr>
          <w:rFonts w:hint="eastAsia" w:ascii="宋体" w:cs="宋体"/>
          <w:sz w:val="22"/>
          <w:szCs w:val="22"/>
        </w:rPr>
        <w:t>法定代表人 (签字或盖章)：</w:t>
      </w:r>
    </w:p>
    <w:p w14:paraId="28A85576">
      <w:pPr>
        <w:spacing w:line="440" w:lineRule="exact"/>
        <w:ind w:firstLine="2955"/>
        <w:rPr>
          <w:rFonts w:ascii="宋体" w:cs="宋体"/>
          <w:sz w:val="22"/>
          <w:szCs w:val="22"/>
        </w:rPr>
      </w:pPr>
      <w:r>
        <w:rPr>
          <w:rFonts w:hint="eastAsia" w:ascii="宋体" w:cs="宋体"/>
          <w:sz w:val="22"/>
          <w:szCs w:val="22"/>
        </w:rPr>
        <w:t xml:space="preserve">           投标供应商全称（公章）：</w:t>
      </w:r>
    </w:p>
    <w:p w14:paraId="2A9A3EBE">
      <w:pPr>
        <w:spacing w:line="440" w:lineRule="exact"/>
        <w:ind w:firstLine="2955"/>
        <w:rPr>
          <w:rFonts w:ascii="宋体" w:cs="宋体"/>
          <w:sz w:val="22"/>
          <w:szCs w:val="22"/>
        </w:rPr>
      </w:pPr>
      <w:r>
        <w:rPr>
          <w:rFonts w:hint="eastAsia" w:ascii="宋体" w:cs="宋体"/>
          <w:sz w:val="22"/>
          <w:szCs w:val="22"/>
        </w:rPr>
        <w:t xml:space="preserve">           日期：      年    月    日</w:t>
      </w:r>
    </w:p>
    <w:p w14:paraId="44BEA2EC">
      <w:pPr>
        <w:spacing w:line="440" w:lineRule="exact"/>
        <w:rPr>
          <w:rFonts w:ascii="宋体" w:cs="宋体"/>
          <w:sz w:val="22"/>
          <w:szCs w:val="22"/>
        </w:rPr>
      </w:pPr>
    </w:p>
    <w:p w14:paraId="6F3E99B8">
      <w:pPr>
        <w:spacing w:line="440" w:lineRule="exact"/>
        <w:rPr>
          <w:rFonts w:ascii="宋体" w:cs="宋体"/>
          <w:sz w:val="22"/>
          <w:szCs w:val="22"/>
        </w:rPr>
      </w:pPr>
    </w:p>
    <w:p w14:paraId="4812AD1F">
      <w:pPr>
        <w:spacing w:line="440" w:lineRule="exact"/>
        <w:rPr>
          <w:rFonts w:ascii="宋体" w:cs="宋体"/>
          <w:sz w:val="22"/>
          <w:szCs w:val="22"/>
        </w:rPr>
      </w:pPr>
      <w:r>
        <w:rPr>
          <w:rFonts w:hint="eastAsia" w:ascii="宋体" w:cs="宋体"/>
          <w:sz w:val="22"/>
          <w:szCs w:val="22"/>
        </w:rPr>
        <w:t>附：</w:t>
      </w:r>
    </w:p>
    <w:p w14:paraId="5C33113D">
      <w:pPr>
        <w:spacing w:line="440" w:lineRule="exact"/>
        <w:ind w:firstLine="220" w:firstLineChars="100"/>
        <w:rPr>
          <w:rFonts w:ascii="宋体" w:cs="宋体"/>
          <w:sz w:val="22"/>
          <w:szCs w:val="22"/>
        </w:rPr>
      </w:pPr>
      <w:r>
        <w:rPr>
          <w:rFonts w:hint="eastAsia" w:ascii="宋体" w:cs="宋体"/>
          <w:sz w:val="22"/>
          <w:szCs w:val="22"/>
        </w:rPr>
        <w:t>授权代表姓名（签字）：</w:t>
      </w:r>
    </w:p>
    <w:tbl>
      <w:tblPr>
        <w:tblStyle w:val="50"/>
        <w:tblpPr w:leftFromText="180" w:rightFromText="180" w:vertAnchor="text" w:horzAnchor="margin" w:tblpXSpec="right" w:tblpY="110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0"/>
      </w:tblGrid>
      <w:tr w14:paraId="0804C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5" w:hRule="atLeast"/>
        </w:trPr>
        <w:tc>
          <w:tcPr>
            <w:tcW w:w="5040" w:type="dxa"/>
          </w:tcPr>
          <w:p w14:paraId="5F06E615">
            <w:pPr>
              <w:spacing w:line="440" w:lineRule="exact"/>
              <w:rPr>
                <w:rFonts w:ascii="宋体" w:cs="宋体"/>
                <w:sz w:val="22"/>
                <w:szCs w:val="22"/>
              </w:rPr>
            </w:pPr>
          </w:p>
          <w:p w14:paraId="08867543">
            <w:pPr>
              <w:spacing w:line="440" w:lineRule="exact"/>
              <w:rPr>
                <w:rFonts w:ascii="宋体" w:cs="宋体"/>
                <w:sz w:val="22"/>
                <w:szCs w:val="22"/>
              </w:rPr>
            </w:pPr>
          </w:p>
          <w:p w14:paraId="7D5754A9">
            <w:pPr>
              <w:spacing w:line="440" w:lineRule="exact"/>
              <w:rPr>
                <w:rFonts w:ascii="宋体" w:cs="宋体"/>
                <w:sz w:val="22"/>
                <w:szCs w:val="22"/>
              </w:rPr>
            </w:pPr>
          </w:p>
          <w:p w14:paraId="46E1930D">
            <w:pPr>
              <w:spacing w:line="440" w:lineRule="exact"/>
              <w:ind w:firstLine="1100" w:firstLineChars="500"/>
              <w:rPr>
                <w:rFonts w:ascii="宋体" w:cs="宋体"/>
                <w:sz w:val="22"/>
                <w:szCs w:val="22"/>
              </w:rPr>
            </w:pPr>
            <w:r>
              <w:rPr>
                <w:rFonts w:hint="eastAsia" w:ascii="宋体" w:cs="宋体"/>
                <w:sz w:val="22"/>
                <w:szCs w:val="22"/>
              </w:rPr>
              <w:t>投标供应商代表身份证双面复印件</w:t>
            </w:r>
          </w:p>
          <w:p w14:paraId="12AD031C">
            <w:pPr>
              <w:spacing w:line="440" w:lineRule="exact"/>
              <w:ind w:firstLine="1760" w:firstLineChars="800"/>
              <w:rPr>
                <w:rFonts w:ascii="宋体" w:cs="宋体"/>
                <w:sz w:val="22"/>
                <w:szCs w:val="22"/>
              </w:rPr>
            </w:pPr>
            <w:r>
              <w:rPr>
                <w:rFonts w:hint="eastAsia" w:ascii="宋体" w:cs="宋体"/>
                <w:sz w:val="22"/>
                <w:szCs w:val="22"/>
              </w:rPr>
              <w:t>（粘贴处）</w:t>
            </w:r>
          </w:p>
        </w:tc>
      </w:tr>
    </w:tbl>
    <w:p w14:paraId="5A2D382A">
      <w:pPr>
        <w:spacing w:line="440" w:lineRule="exact"/>
        <w:ind w:firstLine="220" w:firstLineChars="100"/>
        <w:rPr>
          <w:rFonts w:ascii="宋体" w:cs="宋体"/>
          <w:sz w:val="22"/>
          <w:szCs w:val="22"/>
        </w:rPr>
      </w:pPr>
      <w:r>
        <w:rPr>
          <w:rFonts w:hint="eastAsia" w:ascii="宋体" w:cs="宋体"/>
          <w:sz w:val="22"/>
          <w:szCs w:val="22"/>
        </w:rPr>
        <w:t>职务：</w:t>
      </w:r>
    </w:p>
    <w:p w14:paraId="5C550AD6">
      <w:pPr>
        <w:spacing w:line="440" w:lineRule="exact"/>
        <w:ind w:firstLine="220" w:firstLineChars="100"/>
        <w:rPr>
          <w:rFonts w:ascii="宋体" w:cs="宋体"/>
          <w:sz w:val="22"/>
          <w:szCs w:val="22"/>
        </w:rPr>
      </w:pPr>
      <w:r>
        <w:rPr>
          <w:rFonts w:hint="eastAsia" w:ascii="宋体" w:cs="宋体"/>
          <w:sz w:val="22"/>
          <w:szCs w:val="22"/>
        </w:rPr>
        <w:t>详细通讯地址：</w:t>
      </w:r>
    </w:p>
    <w:p w14:paraId="36844BD9">
      <w:pPr>
        <w:spacing w:line="440" w:lineRule="exact"/>
        <w:ind w:firstLine="220" w:firstLineChars="100"/>
        <w:rPr>
          <w:rFonts w:ascii="宋体" w:cs="宋体"/>
          <w:sz w:val="22"/>
          <w:szCs w:val="22"/>
        </w:rPr>
      </w:pPr>
      <w:r>
        <w:rPr>
          <w:rFonts w:hint="eastAsia" w:ascii="宋体" w:cs="宋体"/>
          <w:sz w:val="22"/>
          <w:szCs w:val="22"/>
        </w:rPr>
        <w:t>电话：</w:t>
      </w:r>
    </w:p>
    <w:p w14:paraId="618DA08F">
      <w:pPr>
        <w:spacing w:line="440" w:lineRule="exact"/>
        <w:ind w:firstLine="220" w:firstLineChars="100"/>
        <w:rPr>
          <w:rFonts w:ascii="宋体" w:cs="宋体"/>
          <w:sz w:val="22"/>
          <w:szCs w:val="22"/>
        </w:rPr>
      </w:pPr>
      <w:r>
        <w:rPr>
          <w:rFonts w:hint="eastAsia" w:ascii="宋体" w:cs="宋体"/>
          <w:sz w:val="22"/>
          <w:szCs w:val="22"/>
        </w:rPr>
        <w:t>传真：</w:t>
      </w:r>
    </w:p>
    <w:p w14:paraId="3A275EB4">
      <w:pPr>
        <w:spacing w:line="440" w:lineRule="exact"/>
        <w:ind w:firstLine="220" w:firstLineChars="100"/>
        <w:rPr>
          <w:rFonts w:ascii="宋体" w:cs="宋体"/>
          <w:sz w:val="22"/>
          <w:szCs w:val="22"/>
        </w:rPr>
      </w:pPr>
      <w:r>
        <w:rPr>
          <w:rFonts w:hint="eastAsia" w:ascii="宋体" w:cs="宋体"/>
          <w:sz w:val="22"/>
          <w:szCs w:val="22"/>
        </w:rPr>
        <w:t>邮政编码:</w:t>
      </w:r>
    </w:p>
    <w:p w14:paraId="06377532">
      <w:pPr>
        <w:spacing w:line="440" w:lineRule="exact"/>
        <w:rPr>
          <w:rFonts w:ascii="宋体" w:cs="宋体"/>
          <w:sz w:val="22"/>
          <w:szCs w:val="22"/>
        </w:rPr>
      </w:pPr>
    </w:p>
    <w:p w14:paraId="736F92C8">
      <w:pPr>
        <w:spacing w:line="440" w:lineRule="exact"/>
        <w:rPr>
          <w:rFonts w:ascii="宋体" w:cs="宋体"/>
          <w:b/>
          <w:bCs/>
          <w:sz w:val="22"/>
          <w:szCs w:val="22"/>
        </w:rPr>
      </w:pPr>
    </w:p>
    <w:p w14:paraId="0FA7FD88">
      <w:pPr>
        <w:spacing w:line="440" w:lineRule="exact"/>
        <w:rPr>
          <w:rFonts w:ascii="宋体" w:cs="宋体"/>
          <w:b/>
          <w:bCs/>
          <w:sz w:val="22"/>
          <w:szCs w:val="22"/>
        </w:rPr>
      </w:pPr>
    </w:p>
    <w:p w14:paraId="1B34652D">
      <w:pPr>
        <w:spacing w:line="440" w:lineRule="exact"/>
        <w:rPr>
          <w:rFonts w:ascii="宋体" w:cs="宋体"/>
          <w:b/>
          <w:bCs/>
          <w:sz w:val="22"/>
          <w:szCs w:val="22"/>
        </w:rPr>
      </w:pPr>
    </w:p>
    <w:p w14:paraId="4247EC05">
      <w:pPr>
        <w:spacing w:line="440" w:lineRule="exact"/>
        <w:rPr>
          <w:rFonts w:ascii="宋体" w:cs="宋体"/>
          <w:b/>
          <w:bCs/>
          <w:sz w:val="22"/>
          <w:szCs w:val="22"/>
        </w:rPr>
      </w:pPr>
    </w:p>
    <w:p w14:paraId="5B84D415">
      <w:pPr>
        <w:spacing w:line="380" w:lineRule="exact"/>
        <w:jc w:val="center"/>
        <w:rPr>
          <w:rFonts w:ascii="宋体" w:cs="宋体"/>
          <w:b/>
          <w:sz w:val="24"/>
        </w:rPr>
      </w:pPr>
    </w:p>
    <w:p w14:paraId="71C86190">
      <w:pPr>
        <w:spacing w:line="380" w:lineRule="exact"/>
        <w:jc w:val="center"/>
        <w:rPr>
          <w:rFonts w:ascii="宋体" w:cs="宋体"/>
          <w:b/>
          <w:sz w:val="24"/>
        </w:rPr>
      </w:pPr>
    </w:p>
    <w:p w14:paraId="282374A4">
      <w:pPr>
        <w:spacing w:line="380" w:lineRule="exact"/>
        <w:jc w:val="center"/>
        <w:rPr>
          <w:rFonts w:ascii="宋体" w:cs="宋体"/>
          <w:b/>
          <w:sz w:val="24"/>
        </w:rPr>
      </w:pPr>
    </w:p>
    <w:p w14:paraId="459BF3F8">
      <w:pPr>
        <w:spacing w:line="380" w:lineRule="exact"/>
        <w:jc w:val="center"/>
        <w:rPr>
          <w:rFonts w:ascii="宋体" w:cs="宋体"/>
          <w:b/>
          <w:sz w:val="24"/>
        </w:rPr>
      </w:pPr>
    </w:p>
    <w:p w14:paraId="69D0F47B">
      <w:pPr>
        <w:spacing w:line="380" w:lineRule="exact"/>
        <w:jc w:val="center"/>
        <w:rPr>
          <w:rFonts w:ascii="宋体" w:cs="宋体"/>
          <w:b/>
          <w:sz w:val="24"/>
        </w:rPr>
      </w:pPr>
    </w:p>
    <w:p w14:paraId="39809F31">
      <w:pPr>
        <w:spacing w:line="380" w:lineRule="exact"/>
        <w:jc w:val="center"/>
        <w:rPr>
          <w:rFonts w:ascii="宋体" w:cs="宋体"/>
          <w:b/>
          <w:sz w:val="24"/>
        </w:rPr>
        <w:sectPr>
          <w:footerReference r:id="rId17" w:type="default"/>
          <w:footerReference r:id="rId18" w:type="even"/>
          <w:pgSz w:w="11906" w:h="16838"/>
          <w:pgMar w:top="1134" w:right="1134" w:bottom="1134" w:left="1134" w:header="851" w:footer="850" w:gutter="284"/>
          <w:cols w:space="720" w:num="1"/>
          <w:docGrid w:linePitch="312" w:charSpace="0"/>
        </w:sectPr>
      </w:pPr>
    </w:p>
    <w:p w14:paraId="76C2BC2F">
      <w:pPr>
        <w:spacing w:line="380" w:lineRule="exact"/>
        <w:rPr>
          <w:rFonts w:ascii="宋体" w:cs="宋体"/>
          <w:b/>
          <w:sz w:val="22"/>
          <w:szCs w:val="22"/>
        </w:rPr>
      </w:pPr>
    </w:p>
    <w:p w14:paraId="3318A3AF">
      <w:pPr>
        <w:spacing w:line="360" w:lineRule="auto"/>
        <w:rPr>
          <w:rFonts w:ascii="宋体" w:cs="宋体"/>
          <w:b/>
          <w:sz w:val="24"/>
        </w:rPr>
      </w:pPr>
      <w:r>
        <w:rPr>
          <w:rFonts w:hint="eastAsia" w:ascii="宋体" w:cs="宋体"/>
          <w:b/>
          <w:sz w:val="24"/>
        </w:rPr>
        <w:t>（二）投标供应商有效的营业执照副本（复印件加盖公章）</w:t>
      </w:r>
    </w:p>
    <w:p w14:paraId="46C314A4">
      <w:pPr>
        <w:spacing w:line="360" w:lineRule="auto"/>
        <w:rPr>
          <w:rFonts w:ascii="宋体" w:cs="宋体"/>
          <w:b/>
          <w:sz w:val="24"/>
        </w:rPr>
      </w:pPr>
      <w:r>
        <w:rPr>
          <w:rFonts w:hint="eastAsia" w:ascii="宋体" w:cs="宋体"/>
          <w:b/>
          <w:sz w:val="24"/>
        </w:rPr>
        <w:t>（三）</w:t>
      </w:r>
      <w:r>
        <w:rPr>
          <w:rFonts w:hint="eastAsia" w:ascii="宋体" w:cs="宋体"/>
          <w:b/>
          <w:bCs/>
          <w:sz w:val="24"/>
        </w:rPr>
        <w:t>供应商“信用中国”(www.creditchina.gov.cn)；“中国政府采购网”（http://www.ccgp.gov.cn/）信用记录网页截图（采购公告发布之日至投标截止时间前）</w:t>
      </w:r>
    </w:p>
    <w:p w14:paraId="01B81391">
      <w:pPr>
        <w:spacing w:line="380" w:lineRule="exact"/>
        <w:rPr>
          <w:rFonts w:ascii="宋体" w:cs="宋体"/>
          <w:b/>
          <w:sz w:val="24"/>
        </w:rPr>
      </w:pPr>
    </w:p>
    <w:p w14:paraId="1E9DDCFA">
      <w:pPr>
        <w:spacing w:before="240" w:after="240" w:line="360" w:lineRule="auto"/>
        <w:jc w:val="center"/>
        <w:rPr>
          <w:rFonts w:ascii="宋体" w:cs="宋体"/>
          <w:b/>
          <w:sz w:val="24"/>
        </w:rPr>
      </w:pPr>
    </w:p>
    <w:p w14:paraId="26DE2428">
      <w:pPr>
        <w:spacing w:before="240" w:after="240" w:line="360" w:lineRule="auto"/>
        <w:jc w:val="center"/>
        <w:rPr>
          <w:rFonts w:ascii="宋体" w:cs="宋体"/>
          <w:b/>
          <w:sz w:val="24"/>
        </w:rPr>
      </w:pPr>
    </w:p>
    <w:p w14:paraId="2E404F43">
      <w:pPr>
        <w:spacing w:before="240" w:after="240" w:line="360" w:lineRule="auto"/>
        <w:jc w:val="center"/>
        <w:rPr>
          <w:rFonts w:ascii="宋体" w:cs="宋体"/>
          <w:b/>
          <w:sz w:val="24"/>
        </w:rPr>
      </w:pPr>
    </w:p>
    <w:p w14:paraId="1AE7557C">
      <w:pPr>
        <w:spacing w:before="240" w:after="240" w:line="360" w:lineRule="auto"/>
        <w:jc w:val="center"/>
        <w:rPr>
          <w:rFonts w:ascii="宋体" w:cs="宋体"/>
          <w:b/>
          <w:sz w:val="24"/>
        </w:rPr>
      </w:pPr>
    </w:p>
    <w:p w14:paraId="02963965">
      <w:pPr>
        <w:spacing w:before="240" w:after="240" w:line="360" w:lineRule="auto"/>
        <w:jc w:val="center"/>
        <w:rPr>
          <w:rFonts w:ascii="宋体" w:cs="宋体"/>
          <w:b/>
          <w:sz w:val="24"/>
        </w:rPr>
      </w:pPr>
    </w:p>
    <w:p w14:paraId="556A6783">
      <w:pPr>
        <w:spacing w:before="240" w:after="240" w:line="360" w:lineRule="auto"/>
        <w:jc w:val="center"/>
        <w:rPr>
          <w:rFonts w:ascii="宋体" w:cs="宋体"/>
          <w:b/>
          <w:sz w:val="24"/>
        </w:rPr>
      </w:pPr>
    </w:p>
    <w:p w14:paraId="01A53CB6">
      <w:pPr>
        <w:spacing w:before="240" w:after="240" w:line="360" w:lineRule="auto"/>
        <w:jc w:val="center"/>
        <w:rPr>
          <w:rFonts w:ascii="宋体" w:cs="宋体"/>
          <w:b/>
          <w:sz w:val="24"/>
        </w:rPr>
      </w:pPr>
    </w:p>
    <w:p w14:paraId="32AE04CE">
      <w:pPr>
        <w:spacing w:before="240" w:after="240" w:line="360" w:lineRule="auto"/>
        <w:jc w:val="center"/>
        <w:rPr>
          <w:rFonts w:ascii="宋体" w:cs="宋体"/>
          <w:b/>
          <w:sz w:val="24"/>
        </w:rPr>
      </w:pPr>
    </w:p>
    <w:p w14:paraId="07CF4BFE">
      <w:pPr>
        <w:spacing w:before="240" w:after="240" w:line="360" w:lineRule="auto"/>
        <w:jc w:val="center"/>
        <w:rPr>
          <w:rFonts w:ascii="宋体" w:cs="宋体"/>
          <w:b/>
          <w:sz w:val="24"/>
        </w:rPr>
      </w:pPr>
    </w:p>
    <w:p w14:paraId="7789D533">
      <w:pPr>
        <w:spacing w:before="240" w:after="240" w:line="360" w:lineRule="auto"/>
        <w:jc w:val="center"/>
        <w:rPr>
          <w:rFonts w:ascii="宋体" w:cs="宋体"/>
          <w:b/>
          <w:sz w:val="24"/>
        </w:rPr>
      </w:pPr>
    </w:p>
    <w:p w14:paraId="54F6CF77">
      <w:pPr>
        <w:spacing w:before="240" w:after="240" w:line="360" w:lineRule="auto"/>
        <w:jc w:val="center"/>
        <w:rPr>
          <w:rFonts w:ascii="宋体" w:cs="宋体"/>
          <w:b/>
          <w:sz w:val="24"/>
        </w:rPr>
      </w:pPr>
    </w:p>
    <w:p w14:paraId="177B2767">
      <w:pPr>
        <w:spacing w:before="240" w:after="240" w:line="360" w:lineRule="auto"/>
        <w:jc w:val="center"/>
        <w:rPr>
          <w:rFonts w:ascii="宋体" w:cs="宋体"/>
          <w:b/>
          <w:sz w:val="24"/>
        </w:rPr>
      </w:pPr>
    </w:p>
    <w:p w14:paraId="5FD5E6EB">
      <w:pPr>
        <w:spacing w:before="240" w:after="240" w:line="360" w:lineRule="auto"/>
        <w:jc w:val="center"/>
        <w:rPr>
          <w:rFonts w:ascii="宋体" w:cs="宋体"/>
          <w:b/>
          <w:sz w:val="24"/>
        </w:rPr>
      </w:pPr>
    </w:p>
    <w:p w14:paraId="3CDF0F59">
      <w:pPr>
        <w:spacing w:before="240" w:after="240" w:line="360" w:lineRule="auto"/>
        <w:jc w:val="center"/>
        <w:rPr>
          <w:rFonts w:ascii="宋体" w:cs="宋体"/>
          <w:b/>
          <w:sz w:val="24"/>
        </w:rPr>
      </w:pPr>
    </w:p>
    <w:p w14:paraId="1D6460FD">
      <w:pPr>
        <w:spacing w:before="240" w:after="240" w:line="360" w:lineRule="auto"/>
        <w:jc w:val="center"/>
        <w:rPr>
          <w:rFonts w:ascii="宋体" w:cs="宋体"/>
          <w:b/>
          <w:sz w:val="24"/>
        </w:rPr>
      </w:pPr>
    </w:p>
    <w:p w14:paraId="00883ABA">
      <w:pPr>
        <w:spacing w:before="240" w:after="240" w:line="360" w:lineRule="auto"/>
        <w:jc w:val="center"/>
        <w:rPr>
          <w:rFonts w:ascii="宋体" w:cs="宋体"/>
          <w:b/>
          <w:sz w:val="24"/>
        </w:rPr>
      </w:pPr>
    </w:p>
    <w:p w14:paraId="109BDF3F">
      <w:pPr>
        <w:spacing w:before="240" w:after="240" w:line="360" w:lineRule="auto"/>
        <w:jc w:val="center"/>
        <w:rPr>
          <w:rFonts w:ascii="宋体" w:cs="宋体"/>
          <w:b/>
          <w:sz w:val="24"/>
        </w:rPr>
      </w:pPr>
    </w:p>
    <w:p w14:paraId="5E3D8DFF">
      <w:pPr>
        <w:spacing w:before="240" w:after="240" w:line="360" w:lineRule="auto"/>
        <w:jc w:val="center"/>
        <w:rPr>
          <w:rFonts w:ascii="宋体" w:cs="宋体"/>
          <w:b/>
          <w:sz w:val="24"/>
        </w:rPr>
      </w:pPr>
    </w:p>
    <w:p w14:paraId="0CABB173">
      <w:pPr>
        <w:spacing w:before="240" w:after="240" w:line="360" w:lineRule="auto"/>
        <w:jc w:val="center"/>
        <w:rPr>
          <w:rFonts w:ascii="宋体" w:cs="宋体"/>
          <w:spacing w:val="-6"/>
          <w:sz w:val="22"/>
          <w:szCs w:val="22"/>
        </w:rPr>
      </w:pPr>
      <w:r>
        <w:rPr>
          <w:rFonts w:hint="eastAsia" w:ascii="宋体" w:cs="宋体"/>
          <w:b/>
          <w:sz w:val="24"/>
        </w:rPr>
        <w:t>（四）关于符合</w:t>
      </w:r>
      <w:r>
        <w:rPr>
          <w:rFonts w:hint="eastAsia" w:ascii="宋体" w:cs="宋体"/>
          <w:b/>
          <w:sz w:val="24"/>
          <w:lang w:eastAsia="zh-CN"/>
        </w:rPr>
        <w:t>《温州市市属国有企业采购管理办法》</w:t>
      </w:r>
      <w:r>
        <w:rPr>
          <w:rFonts w:hint="eastAsia" w:ascii="宋体" w:cs="宋体"/>
          <w:b/>
          <w:sz w:val="24"/>
        </w:rPr>
        <w:t>第十</w:t>
      </w:r>
      <w:r>
        <w:rPr>
          <w:rFonts w:hint="eastAsia" w:ascii="宋体" w:cs="宋体"/>
          <w:b/>
          <w:sz w:val="24"/>
          <w:lang w:eastAsia="zh-CN"/>
        </w:rPr>
        <w:t>八</w:t>
      </w:r>
      <w:r>
        <w:rPr>
          <w:rFonts w:hint="eastAsia" w:ascii="宋体" w:cs="宋体"/>
          <w:b/>
          <w:sz w:val="24"/>
        </w:rPr>
        <w:t>条规定的承诺函</w:t>
      </w:r>
    </w:p>
    <w:p w14:paraId="6D8D4159">
      <w:pPr>
        <w:spacing w:line="360" w:lineRule="auto"/>
        <w:rPr>
          <w:rFonts w:ascii="宋体" w:cs="宋体"/>
          <w:spacing w:val="-6"/>
          <w:sz w:val="22"/>
          <w:szCs w:val="22"/>
        </w:rPr>
      </w:pPr>
    </w:p>
    <w:p w14:paraId="38E70D82">
      <w:pPr>
        <w:spacing w:line="360" w:lineRule="auto"/>
        <w:rPr>
          <w:rFonts w:ascii="宋体" w:cs="宋体"/>
          <w:b/>
          <w:bCs/>
          <w:spacing w:val="-6"/>
          <w:sz w:val="22"/>
          <w:szCs w:val="22"/>
        </w:rPr>
      </w:pPr>
      <w:r>
        <w:rPr>
          <w:rFonts w:hint="eastAsia" w:ascii="宋体" w:cs="宋体"/>
          <w:b/>
          <w:bCs/>
          <w:spacing w:val="-6"/>
          <w:sz w:val="22"/>
          <w:szCs w:val="22"/>
        </w:rPr>
        <w:t>温州市公用事业发展集团有限公司：</w:t>
      </w:r>
    </w:p>
    <w:p w14:paraId="2D11F174">
      <w:pPr>
        <w:spacing w:line="360" w:lineRule="auto"/>
        <w:rPr>
          <w:rFonts w:ascii="宋体" w:cs="宋体"/>
          <w:b/>
          <w:bCs/>
          <w:spacing w:val="-6"/>
          <w:sz w:val="22"/>
          <w:szCs w:val="22"/>
        </w:rPr>
      </w:pPr>
      <w:r>
        <w:rPr>
          <w:rFonts w:hint="eastAsia" w:ascii="宋体" w:cs="宋体"/>
          <w:b/>
          <w:bCs/>
          <w:sz w:val="22"/>
          <w:szCs w:val="22"/>
          <w:lang w:eastAsia="zh-CN"/>
        </w:rPr>
        <w:t>温州建设集团建筑设计院有限公司</w:t>
      </w:r>
      <w:r>
        <w:rPr>
          <w:rFonts w:hint="eastAsia" w:ascii="宋体" w:cs="宋体"/>
          <w:b/>
          <w:bCs/>
          <w:spacing w:val="-6"/>
          <w:sz w:val="22"/>
          <w:szCs w:val="22"/>
        </w:rPr>
        <w:t>：</w:t>
      </w:r>
    </w:p>
    <w:p w14:paraId="10351818">
      <w:pPr>
        <w:spacing w:line="360" w:lineRule="auto"/>
        <w:ind w:firstLine="440" w:firstLineChars="200"/>
        <w:rPr>
          <w:rFonts w:ascii="宋体" w:cs="宋体"/>
          <w:sz w:val="22"/>
          <w:szCs w:val="22"/>
        </w:rPr>
      </w:pPr>
      <w:r>
        <w:rPr>
          <w:rFonts w:hint="eastAsia" w:ascii="宋体" w:cs="宋体"/>
          <w:sz w:val="22"/>
          <w:szCs w:val="22"/>
        </w:rPr>
        <w:t>我单位就</w:t>
      </w:r>
      <w:r>
        <w:rPr>
          <w:rFonts w:hint="eastAsia" w:ascii="宋体" w:cs="宋体"/>
          <w:sz w:val="22"/>
          <w:szCs w:val="22"/>
          <w:u w:val="single"/>
        </w:rPr>
        <w:t xml:space="preserve">            （项目名称）           （项目编号）</w:t>
      </w:r>
      <w:r>
        <w:rPr>
          <w:rFonts w:hint="eastAsia" w:ascii="宋体" w:cs="宋体"/>
          <w:sz w:val="22"/>
          <w:szCs w:val="22"/>
        </w:rPr>
        <w:t>项目承诺具备下列条件：</w:t>
      </w:r>
    </w:p>
    <w:p w14:paraId="45DF6B47">
      <w:pPr>
        <w:pStyle w:val="42"/>
        <w:spacing w:before="0" w:beforeAutospacing="0" w:after="0" w:afterAutospacing="0" w:line="360" w:lineRule="auto"/>
        <w:ind w:firstLine="440" w:firstLineChars="200"/>
        <w:rPr>
          <w:bCs/>
          <w:kern w:val="2"/>
          <w:sz w:val="22"/>
          <w:szCs w:val="22"/>
        </w:rPr>
      </w:pPr>
      <w:r>
        <w:rPr>
          <w:rFonts w:hint="eastAsia"/>
          <w:bCs/>
          <w:kern w:val="2"/>
          <w:sz w:val="22"/>
          <w:szCs w:val="22"/>
        </w:rPr>
        <w:t>（一）具有独立承担民事责任的能力；</w:t>
      </w:r>
    </w:p>
    <w:p w14:paraId="5073040F">
      <w:pPr>
        <w:pStyle w:val="42"/>
        <w:spacing w:before="0" w:beforeAutospacing="0" w:after="0" w:afterAutospacing="0" w:line="360" w:lineRule="auto"/>
        <w:ind w:firstLine="440" w:firstLineChars="200"/>
        <w:rPr>
          <w:bCs/>
          <w:kern w:val="2"/>
          <w:sz w:val="22"/>
          <w:szCs w:val="22"/>
        </w:rPr>
      </w:pPr>
      <w:r>
        <w:rPr>
          <w:rFonts w:hint="eastAsia"/>
          <w:bCs/>
          <w:kern w:val="2"/>
          <w:sz w:val="22"/>
          <w:szCs w:val="22"/>
        </w:rPr>
        <w:t>（二）具有良好的商业信誉和健全的财务会计制度；</w:t>
      </w:r>
    </w:p>
    <w:p w14:paraId="547D2AC7">
      <w:pPr>
        <w:pStyle w:val="42"/>
        <w:spacing w:before="0" w:beforeAutospacing="0" w:after="0" w:afterAutospacing="0" w:line="360" w:lineRule="auto"/>
        <w:ind w:firstLine="440" w:firstLineChars="200"/>
        <w:rPr>
          <w:bCs/>
          <w:kern w:val="2"/>
          <w:sz w:val="22"/>
          <w:szCs w:val="22"/>
        </w:rPr>
      </w:pPr>
      <w:r>
        <w:rPr>
          <w:rFonts w:hint="eastAsia"/>
          <w:bCs/>
          <w:kern w:val="2"/>
          <w:sz w:val="22"/>
          <w:szCs w:val="22"/>
        </w:rPr>
        <w:t>（三）具有履行合同所必需的设备和专业技术、售后保障等能力；</w:t>
      </w:r>
    </w:p>
    <w:p w14:paraId="7370D492">
      <w:pPr>
        <w:pStyle w:val="42"/>
        <w:spacing w:before="0" w:beforeAutospacing="0" w:after="0" w:afterAutospacing="0" w:line="360" w:lineRule="auto"/>
        <w:ind w:firstLine="440" w:firstLineChars="200"/>
        <w:rPr>
          <w:bCs/>
          <w:kern w:val="2"/>
          <w:sz w:val="22"/>
          <w:szCs w:val="22"/>
        </w:rPr>
      </w:pPr>
      <w:r>
        <w:rPr>
          <w:rFonts w:hint="eastAsia"/>
          <w:bCs/>
          <w:kern w:val="2"/>
          <w:sz w:val="22"/>
          <w:szCs w:val="22"/>
        </w:rPr>
        <w:t>（四）有依法缴纳税收和社会保障资金的良好记录；</w:t>
      </w:r>
    </w:p>
    <w:p w14:paraId="398A659E">
      <w:pPr>
        <w:pStyle w:val="42"/>
        <w:spacing w:before="0" w:beforeAutospacing="0" w:after="0" w:afterAutospacing="0" w:line="360" w:lineRule="auto"/>
        <w:ind w:firstLine="440" w:firstLineChars="200"/>
        <w:rPr>
          <w:bCs/>
          <w:kern w:val="2"/>
          <w:sz w:val="22"/>
          <w:szCs w:val="22"/>
        </w:rPr>
      </w:pPr>
      <w:r>
        <w:rPr>
          <w:rFonts w:hint="eastAsia"/>
          <w:bCs/>
          <w:kern w:val="2"/>
          <w:sz w:val="22"/>
          <w:szCs w:val="22"/>
        </w:rPr>
        <w:t>（五）参加采购、招投标等活动前三年内，在经营活动中没有重大违法记录、严重失信行为和行贿记录；</w:t>
      </w:r>
    </w:p>
    <w:p w14:paraId="52174DAB">
      <w:pPr>
        <w:pStyle w:val="42"/>
        <w:spacing w:before="0" w:beforeAutospacing="0" w:after="0" w:afterAutospacing="0" w:line="360" w:lineRule="auto"/>
        <w:ind w:firstLine="440" w:firstLineChars="200"/>
        <w:rPr>
          <w:bCs/>
          <w:kern w:val="2"/>
          <w:sz w:val="22"/>
          <w:szCs w:val="22"/>
        </w:rPr>
      </w:pPr>
      <w:r>
        <w:rPr>
          <w:rFonts w:hint="eastAsia"/>
          <w:bCs/>
          <w:kern w:val="2"/>
          <w:sz w:val="22"/>
          <w:szCs w:val="22"/>
        </w:rPr>
        <w:t>（六）法律、行政法规规定的其他条件。</w:t>
      </w:r>
    </w:p>
    <w:p w14:paraId="60755A04">
      <w:pPr>
        <w:pStyle w:val="42"/>
        <w:spacing w:before="0" w:beforeAutospacing="0" w:after="0" w:afterAutospacing="0" w:line="360" w:lineRule="auto"/>
        <w:ind w:firstLine="442" w:firstLineChars="200"/>
        <w:rPr>
          <w:b/>
          <w:sz w:val="22"/>
          <w:szCs w:val="22"/>
        </w:rPr>
      </w:pPr>
      <w:r>
        <w:rPr>
          <w:rFonts w:hint="eastAsia"/>
          <w:b/>
          <w:kern w:val="2"/>
          <w:sz w:val="22"/>
          <w:szCs w:val="22"/>
        </w:rPr>
        <w:t>如有虚假，采购人可取消我单位任何资格（投标/中标/签订合同</w:t>
      </w:r>
      <w:r>
        <w:rPr>
          <w:rFonts w:hint="eastAsia"/>
          <w:b/>
          <w:sz w:val="22"/>
          <w:szCs w:val="22"/>
        </w:rPr>
        <w:t>），我单位对此无任何异议。</w:t>
      </w:r>
    </w:p>
    <w:p w14:paraId="6DE4C45B">
      <w:pPr>
        <w:snapToGrid w:val="0"/>
        <w:spacing w:line="360" w:lineRule="auto"/>
        <w:ind w:firstLine="442" w:firstLineChars="200"/>
        <w:rPr>
          <w:rFonts w:ascii="宋体" w:cs="宋体"/>
          <w:sz w:val="22"/>
          <w:szCs w:val="22"/>
        </w:rPr>
      </w:pPr>
      <w:r>
        <w:rPr>
          <w:rFonts w:hint="eastAsia" w:ascii="宋体" w:cs="宋体"/>
          <w:b/>
          <w:sz w:val="22"/>
          <w:szCs w:val="22"/>
        </w:rPr>
        <w:t>特此承诺！</w:t>
      </w:r>
    </w:p>
    <w:p w14:paraId="1E8CAF3D">
      <w:pPr>
        <w:rPr>
          <w:rFonts w:ascii="宋体" w:cs="宋体"/>
        </w:rPr>
      </w:pPr>
    </w:p>
    <w:p w14:paraId="150F7354">
      <w:pPr>
        <w:pStyle w:val="22"/>
        <w:spacing w:line="480" w:lineRule="auto"/>
        <w:jc w:val="both"/>
        <w:rPr>
          <w:rFonts w:ascii="宋体" w:cs="宋体"/>
        </w:rPr>
      </w:pPr>
    </w:p>
    <w:p w14:paraId="2D4A6B0E">
      <w:pPr>
        <w:pStyle w:val="22"/>
        <w:spacing w:line="480" w:lineRule="auto"/>
        <w:jc w:val="both"/>
        <w:rPr>
          <w:rFonts w:ascii="宋体" w:cs="宋体"/>
        </w:rPr>
      </w:pPr>
      <w:r>
        <w:rPr>
          <w:rFonts w:hint="eastAsia" w:ascii="宋体" w:cs="宋体"/>
        </w:rPr>
        <w:t>投标供应商全称（公章）：</w:t>
      </w:r>
    </w:p>
    <w:p w14:paraId="381A1596">
      <w:pPr>
        <w:pStyle w:val="22"/>
        <w:spacing w:line="480" w:lineRule="auto"/>
        <w:jc w:val="both"/>
        <w:rPr>
          <w:rFonts w:ascii="宋体" w:cs="宋体"/>
        </w:rPr>
      </w:pPr>
      <w:r>
        <w:rPr>
          <w:rFonts w:hint="eastAsia" w:ascii="宋体" w:cs="宋体"/>
        </w:rPr>
        <w:t>法定代表人或授权代表（签字或盖章）：</w:t>
      </w:r>
    </w:p>
    <w:p w14:paraId="42DEF2B6">
      <w:pPr>
        <w:pStyle w:val="22"/>
        <w:spacing w:line="480" w:lineRule="auto"/>
        <w:jc w:val="both"/>
        <w:rPr>
          <w:rFonts w:ascii="宋体" w:cs="宋体"/>
        </w:rPr>
      </w:pPr>
      <w:r>
        <w:rPr>
          <w:rFonts w:hint="eastAsia" w:ascii="宋体" w:cs="宋体"/>
        </w:rPr>
        <w:t>日 期：      年   月    日</w:t>
      </w:r>
    </w:p>
    <w:p w14:paraId="6EA2CB36">
      <w:pPr>
        <w:pStyle w:val="22"/>
        <w:spacing w:line="480" w:lineRule="auto"/>
        <w:jc w:val="both"/>
        <w:rPr>
          <w:rFonts w:ascii="宋体" w:cs="宋体"/>
        </w:rPr>
      </w:pPr>
    </w:p>
    <w:p w14:paraId="10482928">
      <w:r>
        <w:rPr>
          <w:rFonts w:hint="eastAsia" w:ascii="宋体" w:cs="宋体"/>
          <w:b/>
          <w:szCs w:val="21"/>
        </w:rPr>
        <w:t>▲</w:t>
      </w:r>
      <w:r>
        <w:rPr>
          <w:rFonts w:hint="eastAsia" w:ascii="宋体" w:cs="宋体"/>
          <w:b/>
          <w:szCs w:val="21"/>
          <w:u w:val="single"/>
        </w:rPr>
        <w:t>承诺函内容不得自行更改，不提供承诺函或更改承诺函内容将被视为没有实质性响应采购文件。</w:t>
      </w:r>
    </w:p>
    <w:p w14:paraId="31DCD513"/>
    <w:p w14:paraId="5F470F24"/>
    <w:p w14:paraId="3E0A9B66"/>
    <w:p w14:paraId="74C32D78"/>
    <w:p w14:paraId="01EF8BE8"/>
    <w:p w14:paraId="068D273C"/>
    <w:p w14:paraId="3A7AFB9A"/>
    <w:p w14:paraId="67E26C2F"/>
    <w:p w14:paraId="35396C4D"/>
    <w:p w14:paraId="3738EEC8"/>
    <w:p w14:paraId="4A4676FE"/>
    <w:p w14:paraId="0C87FC8B"/>
    <w:p w14:paraId="5B573502"/>
    <w:p w14:paraId="06B4B4E1"/>
    <w:p w14:paraId="7B80F281"/>
    <w:p w14:paraId="4897868D"/>
    <w:p w14:paraId="7C108DB0">
      <w:pPr>
        <w:pStyle w:val="7"/>
        <w:spacing w:line="240" w:lineRule="auto"/>
        <w:rPr>
          <w:rFonts w:ascii="宋体" w:eastAsia="宋体" w:cs="宋体"/>
          <w:sz w:val="21"/>
          <w:szCs w:val="21"/>
        </w:rPr>
      </w:pPr>
      <w:bookmarkStart w:id="135" w:name="_Toc20037"/>
      <w:bookmarkStart w:id="136" w:name="_Toc511308243"/>
      <w:bookmarkStart w:id="137" w:name="_Toc25160"/>
      <w:bookmarkStart w:id="138" w:name="_Toc18805"/>
      <w:bookmarkStart w:id="139" w:name="_Toc13383"/>
      <w:bookmarkStart w:id="140" w:name="_Toc13565"/>
      <w:bookmarkStart w:id="141" w:name="_Toc14016"/>
      <w:r>
        <w:rPr>
          <w:rFonts w:hint="eastAsia" w:ascii="宋体" w:eastAsia="宋体" w:cs="宋体"/>
          <w:sz w:val="24"/>
          <w:szCs w:val="24"/>
        </w:rPr>
        <w:t>附件五  商务条款、技术规格偏离表</w:t>
      </w:r>
      <w:bookmarkEnd w:id="130"/>
      <w:bookmarkEnd w:id="135"/>
      <w:bookmarkEnd w:id="136"/>
      <w:bookmarkEnd w:id="137"/>
      <w:bookmarkEnd w:id="138"/>
      <w:bookmarkEnd w:id="139"/>
      <w:bookmarkEnd w:id="140"/>
      <w:bookmarkEnd w:id="141"/>
    </w:p>
    <w:p w14:paraId="58128804">
      <w:pPr>
        <w:spacing w:line="440" w:lineRule="exact"/>
        <w:ind w:firstLine="437"/>
        <w:jc w:val="center"/>
        <w:rPr>
          <w:rFonts w:ascii="宋体" w:cs="宋体"/>
          <w:b/>
          <w:bCs/>
          <w:sz w:val="28"/>
          <w:szCs w:val="28"/>
        </w:rPr>
      </w:pPr>
      <w:r>
        <w:rPr>
          <w:rFonts w:hint="eastAsia" w:ascii="宋体" w:cs="宋体"/>
          <w:b/>
          <w:bCs/>
          <w:sz w:val="28"/>
          <w:szCs w:val="28"/>
        </w:rPr>
        <w:t>商务条款、技术规格偏离表</w:t>
      </w:r>
    </w:p>
    <w:p w14:paraId="49EBF18F">
      <w:pPr>
        <w:spacing w:line="560" w:lineRule="exact"/>
        <w:rPr>
          <w:rFonts w:ascii="宋体" w:cs="宋体"/>
          <w:b/>
          <w:bCs/>
          <w:sz w:val="22"/>
          <w:szCs w:val="22"/>
        </w:rPr>
      </w:pPr>
      <w:r>
        <w:rPr>
          <w:rFonts w:hint="eastAsia" w:ascii="宋体" w:cs="宋体"/>
          <w:b/>
          <w:sz w:val="22"/>
          <w:szCs w:val="22"/>
        </w:rPr>
        <w:t>项目名称：                                             项目编号：</w:t>
      </w:r>
    </w:p>
    <w:tbl>
      <w:tblPr>
        <w:tblStyle w:val="5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54"/>
        <w:gridCol w:w="1954"/>
        <w:gridCol w:w="1980"/>
        <w:gridCol w:w="1800"/>
        <w:gridCol w:w="1800"/>
      </w:tblGrid>
      <w:tr w14:paraId="77370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1754" w:type="dxa"/>
            <w:shd w:val="clear" w:color="auto" w:fill="D9D9D9"/>
            <w:vAlign w:val="center"/>
          </w:tcPr>
          <w:p w14:paraId="71FB56B1">
            <w:pPr>
              <w:jc w:val="center"/>
              <w:rPr>
                <w:rFonts w:ascii="宋体" w:cs="宋体"/>
                <w:sz w:val="22"/>
                <w:szCs w:val="22"/>
              </w:rPr>
            </w:pPr>
            <w:r>
              <w:rPr>
                <w:rFonts w:hint="eastAsia" w:ascii="宋体" w:cs="宋体"/>
                <w:sz w:val="22"/>
                <w:szCs w:val="22"/>
              </w:rPr>
              <w:t>内   容</w:t>
            </w:r>
          </w:p>
        </w:tc>
        <w:tc>
          <w:tcPr>
            <w:tcW w:w="1954" w:type="dxa"/>
            <w:shd w:val="clear" w:color="auto" w:fill="D9D9D9"/>
            <w:vAlign w:val="center"/>
          </w:tcPr>
          <w:p w14:paraId="1494A752">
            <w:pPr>
              <w:jc w:val="center"/>
              <w:rPr>
                <w:rFonts w:ascii="宋体" w:cs="宋体"/>
                <w:sz w:val="22"/>
                <w:szCs w:val="22"/>
              </w:rPr>
            </w:pPr>
            <w:r>
              <w:rPr>
                <w:rFonts w:hint="eastAsia" w:ascii="宋体" w:cs="宋体"/>
                <w:sz w:val="22"/>
                <w:szCs w:val="22"/>
              </w:rPr>
              <w:t>采购文件</w:t>
            </w:r>
          </w:p>
          <w:p w14:paraId="084EC6F6">
            <w:pPr>
              <w:jc w:val="center"/>
              <w:rPr>
                <w:rFonts w:ascii="宋体" w:cs="宋体"/>
                <w:sz w:val="22"/>
                <w:szCs w:val="22"/>
              </w:rPr>
            </w:pPr>
            <w:r>
              <w:rPr>
                <w:rFonts w:hint="eastAsia" w:ascii="宋体" w:cs="宋体"/>
                <w:sz w:val="22"/>
                <w:szCs w:val="22"/>
              </w:rPr>
              <w:t>条目</w:t>
            </w:r>
          </w:p>
        </w:tc>
        <w:tc>
          <w:tcPr>
            <w:tcW w:w="1980" w:type="dxa"/>
            <w:shd w:val="clear" w:color="auto" w:fill="D9D9D9"/>
            <w:vAlign w:val="center"/>
          </w:tcPr>
          <w:p w14:paraId="11495739">
            <w:pPr>
              <w:jc w:val="center"/>
              <w:rPr>
                <w:rFonts w:ascii="宋体" w:cs="宋体"/>
                <w:sz w:val="22"/>
                <w:szCs w:val="22"/>
              </w:rPr>
            </w:pPr>
            <w:r>
              <w:rPr>
                <w:rFonts w:hint="eastAsia" w:ascii="宋体" w:cs="宋体"/>
                <w:sz w:val="22"/>
                <w:szCs w:val="22"/>
              </w:rPr>
              <w:t>采购文件</w:t>
            </w:r>
          </w:p>
          <w:p w14:paraId="0E6A8B75">
            <w:pPr>
              <w:jc w:val="center"/>
              <w:rPr>
                <w:rFonts w:ascii="宋体" w:cs="宋体"/>
                <w:sz w:val="22"/>
                <w:szCs w:val="22"/>
              </w:rPr>
            </w:pPr>
            <w:r>
              <w:rPr>
                <w:rFonts w:hint="eastAsia" w:ascii="宋体" w:cs="宋体"/>
                <w:sz w:val="22"/>
                <w:szCs w:val="22"/>
              </w:rPr>
              <w:t>规格要求</w:t>
            </w:r>
          </w:p>
        </w:tc>
        <w:tc>
          <w:tcPr>
            <w:tcW w:w="1800" w:type="dxa"/>
            <w:shd w:val="clear" w:color="auto" w:fill="D9D9D9"/>
            <w:vAlign w:val="center"/>
          </w:tcPr>
          <w:p w14:paraId="06ED915B">
            <w:pPr>
              <w:jc w:val="center"/>
              <w:rPr>
                <w:rFonts w:ascii="宋体" w:cs="宋体"/>
                <w:sz w:val="22"/>
                <w:szCs w:val="22"/>
              </w:rPr>
            </w:pPr>
            <w:r>
              <w:rPr>
                <w:rFonts w:hint="eastAsia" w:ascii="宋体" w:cs="宋体"/>
                <w:sz w:val="22"/>
                <w:szCs w:val="22"/>
              </w:rPr>
              <w:t>投标文件</w:t>
            </w:r>
          </w:p>
          <w:p w14:paraId="234F0B1A">
            <w:pPr>
              <w:jc w:val="center"/>
              <w:rPr>
                <w:rFonts w:ascii="宋体" w:cs="宋体"/>
                <w:sz w:val="22"/>
                <w:szCs w:val="22"/>
              </w:rPr>
            </w:pPr>
            <w:r>
              <w:rPr>
                <w:rFonts w:hint="eastAsia" w:ascii="宋体" w:cs="宋体"/>
                <w:sz w:val="22"/>
                <w:szCs w:val="22"/>
              </w:rPr>
              <w:t>对应规格</w:t>
            </w:r>
          </w:p>
        </w:tc>
        <w:tc>
          <w:tcPr>
            <w:tcW w:w="1800" w:type="dxa"/>
            <w:shd w:val="clear" w:color="auto" w:fill="D9D9D9"/>
            <w:vAlign w:val="center"/>
          </w:tcPr>
          <w:p w14:paraId="38FDB65C">
            <w:pPr>
              <w:jc w:val="center"/>
              <w:rPr>
                <w:rFonts w:ascii="宋体" w:cs="宋体"/>
                <w:sz w:val="22"/>
                <w:szCs w:val="22"/>
              </w:rPr>
            </w:pPr>
            <w:r>
              <w:rPr>
                <w:rFonts w:hint="eastAsia" w:ascii="宋体" w:cs="宋体"/>
                <w:sz w:val="22"/>
                <w:szCs w:val="22"/>
              </w:rPr>
              <w:t>说   明</w:t>
            </w:r>
          </w:p>
        </w:tc>
      </w:tr>
      <w:tr w14:paraId="7A452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jc w:val="center"/>
        </w:trPr>
        <w:tc>
          <w:tcPr>
            <w:tcW w:w="1754" w:type="dxa"/>
            <w:vMerge w:val="restart"/>
            <w:vAlign w:val="center"/>
          </w:tcPr>
          <w:p w14:paraId="6F3E2C96">
            <w:pPr>
              <w:ind w:firstLine="240" w:firstLineChars="100"/>
              <w:rPr>
                <w:rFonts w:ascii="宋体" w:cs="宋体"/>
                <w:sz w:val="24"/>
              </w:rPr>
            </w:pPr>
            <w:r>
              <w:rPr>
                <w:rFonts w:hint="eastAsia" w:ascii="宋体" w:cs="宋体"/>
                <w:sz w:val="24"/>
              </w:rPr>
              <w:t>商务条款</w:t>
            </w:r>
          </w:p>
        </w:tc>
        <w:tc>
          <w:tcPr>
            <w:tcW w:w="1954" w:type="dxa"/>
            <w:vAlign w:val="center"/>
          </w:tcPr>
          <w:p w14:paraId="73659181">
            <w:pPr>
              <w:jc w:val="center"/>
              <w:rPr>
                <w:rFonts w:ascii="宋体" w:cs="宋体"/>
                <w:sz w:val="22"/>
                <w:szCs w:val="22"/>
              </w:rPr>
            </w:pPr>
          </w:p>
        </w:tc>
        <w:tc>
          <w:tcPr>
            <w:tcW w:w="1980" w:type="dxa"/>
            <w:vAlign w:val="center"/>
          </w:tcPr>
          <w:p w14:paraId="24AC6814">
            <w:pPr>
              <w:jc w:val="center"/>
              <w:rPr>
                <w:rFonts w:ascii="宋体" w:cs="宋体"/>
                <w:sz w:val="22"/>
                <w:szCs w:val="22"/>
              </w:rPr>
            </w:pPr>
          </w:p>
        </w:tc>
        <w:tc>
          <w:tcPr>
            <w:tcW w:w="1800" w:type="dxa"/>
            <w:vAlign w:val="center"/>
          </w:tcPr>
          <w:p w14:paraId="404FF4EA">
            <w:pPr>
              <w:jc w:val="center"/>
              <w:rPr>
                <w:rFonts w:ascii="宋体" w:cs="宋体"/>
                <w:sz w:val="22"/>
                <w:szCs w:val="22"/>
              </w:rPr>
            </w:pPr>
          </w:p>
        </w:tc>
        <w:tc>
          <w:tcPr>
            <w:tcW w:w="1800" w:type="dxa"/>
            <w:vAlign w:val="center"/>
          </w:tcPr>
          <w:p w14:paraId="22DF67CE">
            <w:pPr>
              <w:jc w:val="center"/>
              <w:rPr>
                <w:rFonts w:ascii="宋体" w:cs="宋体"/>
                <w:sz w:val="22"/>
                <w:szCs w:val="22"/>
              </w:rPr>
            </w:pPr>
          </w:p>
        </w:tc>
      </w:tr>
      <w:tr w14:paraId="38FDE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jc w:val="center"/>
        </w:trPr>
        <w:tc>
          <w:tcPr>
            <w:tcW w:w="1754" w:type="dxa"/>
            <w:vMerge w:val="continue"/>
            <w:vAlign w:val="center"/>
          </w:tcPr>
          <w:p w14:paraId="4CE0D75C"/>
        </w:tc>
        <w:tc>
          <w:tcPr>
            <w:tcW w:w="1954" w:type="dxa"/>
            <w:vAlign w:val="center"/>
          </w:tcPr>
          <w:p w14:paraId="54FEDE9D">
            <w:pPr>
              <w:jc w:val="center"/>
              <w:rPr>
                <w:rFonts w:ascii="宋体" w:cs="宋体"/>
                <w:sz w:val="22"/>
                <w:szCs w:val="22"/>
              </w:rPr>
            </w:pPr>
          </w:p>
        </w:tc>
        <w:tc>
          <w:tcPr>
            <w:tcW w:w="1980" w:type="dxa"/>
            <w:vAlign w:val="center"/>
          </w:tcPr>
          <w:p w14:paraId="5434EFB2">
            <w:pPr>
              <w:jc w:val="center"/>
              <w:rPr>
                <w:rFonts w:ascii="宋体" w:cs="宋体"/>
                <w:sz w:val="22"/>
                <w:szCs w:val="22"/>
              </w:rPr>
            </w:pPr>
          </w:p>
        </w:tc>
        <w:tc>
          <w:tcPr>
            <w:tcW w:w="1800" w:type="dxa"/>
            <w:vAlign w:val="center"/>
          </w:tcPr>
          <w:p w14:paraId="5CA810B4">
            <w:pPr>
              <w:jc w:val="center"/>
              <w:rPr>
                <w:rFonts w:ascii="宋体" w:cs="宋体"/>
                <w:sz w:val="22"/>
                <w:szCs w:val="22"/>
              </w:rPr>
            </w:pPr>
          </w:p>
        </w:tc>
        <w:tc>
          <w:tcPr>
            <w:tcW w:w="1800" w:type="dxa"/>
            <w:vAlign w:val="center"/>
          </w:tcPr>
          <w:p w14:paraId="0EA5CF11">
            <w:pPr>
              <w:jc w:val="center"/>
              <w:rPr>
                <w:rFonts w:ascii="宋体" w:cs="宋体"/>
                <w:sz w:val="22"/>
                <w:szCs w:val="22"/>
              </w:rPr>
            </w:pPr>
          </w:p>
        </w:tc>
      </w:tr>
      <w:tr w14:paraId="64083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jc w:val="center"/>
        </w:trPr>
        <w:tc>
          <w:tcPr>
            <w:tcW w:w="1754" w:type="dxa"/>
            <w:vMerge w:val="continue"/>
            <w:vAlign w:val="center"/>
          </w:tcPr>
          <w:p w14:paraId="2147F17D"/>
        </w:tc>
        <w:tc>
          <w:tcPr>
            <w:tcW w:w="1954" w:type="dxa"/>
            <w:vAlign w:val="center"/>
          </w:tcPr>
          <w:p w14:paraId="15B310D4">
            <w:pPr>
              <w:jc w:val="center"/>
              <w:rPr>
                <w:rFonts w:ascii="宋体" w:cs="宋体"/>
                <w:sz w:val="22"/>
                <w:szCs w:val="22"/>
              </w:rPr>
            </w:pPr>
          </w:p>
        </w:tc>
        <w:tc>
          <w:tcPr>
            <w:tcW w:w="1980" w:type="dxa"/>
            <w:vAlign w:val="center"/>
          </w:tcPr>
          <w:p w14:paraId="38D71490">
            <w:pPr>
              <w:jc w:val="center"/>
              <w:rPr>
                <w:rFonts w:ascii="宋体" w:cs="宋体"/>
                <w:sz w:val="22"/>
                <w:szCs w:val="22"/>
              </w:rPr>
            </w:pPr>
          </w:p>
        </w:tc>
        <w:tc>
          <w:tcPr>
            <w:tcW w:w="1800" w:type="dxa"/>
            <w:vAlign w:val="center"/>
          </w:tcPr>
          <w:p w14:paraId="2A3AA8A9">
            <w:pPr>
              <w:jc w:val="center"/>
              <w:rPr>
                <w:rFonts w:ascii="宋体" w:cs="宋体"/>
                <w:sz w:val="22"/>
                <w:szCs w:val="22"/>
              </w:rPr>
            </w:pPr>
          </w:p>
        </w:tc>
        <w:tc>
          <w:tcPr>
            <w:tcW w:w="1800" w:type="dxa"/>
            <w:vAlign w:val="center"/>
          </w:tcPr>
          <w:p w14:paraId="660E23FD">
            <w:pPr>
              <w:jc w:val="center"/>
              <w:rPr>
                <w:rFonts w:ascii="宋体" w:cs="宋体"/>
                <w:sz w:val="22"/>
                <w:szCs w:val="22"/>
              </w:rPr>
            </w:pPr>
          </w:p>
        </w:tc>
      </w:tr>
      <w:tr w14:paraId="07C63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jc w:val="center"/>
        </w:trPr>
        <w:tc>
          <w:tcPr>
            <w:tcW w:w="1754" w:type="dxa"/>
            <w:vMerge w:val="continue"/>
            <w:vAlign w:val="center"/>
          </w:tcPr>
          <w:p w14:paraId="205468E9"/>
        </w:tc>
        <w:tc>
          <w:tcPr>
            <w:tcW w:w="1954" w:type="dxa"/>
            <w:vAlign w:val="center"/>
          </w:tcPr>
          <w:p w14:paraId="2D8EA25E">
            <w:pPr>
              <w:jc w:val="center"/>
              <w:rPr>
                <w:rFonts w:ascii="宋体" w:cs="宋体"/>
                <w:sz w:val="22"/>
                <w:szCs w:val="22"/>
              </w:rPr>
            </w:pPr>
          </w:p>
        </w:tc>
        <w:tc>
          <w:tcPr>
            <w:tcW w:w="1980" w:type="dxa"/>
            <w:vAlign w:val="center"/>
          </w:tcPr>
          <w:p w14:paraId="30638F2B">
            <w:pPr>
              <w:jc w:val="center"/>
              <w:rPr>
                <w:rFonts w:ascii="宋体" w:cs="宋体"/>
                <w:sz w:val="22"/>
                <w:szCs w:val="22"/>
              </w:rPr>
            </w:pPr>
          </w:p>
        </w:tc>
        <w:tc>
          <w:tcPr>
            <w:tcW w:w="1800" w:type="dxa"/>
            <w:vAlign w:val="center"/>
          </w:tcPr>
          <w:p w14:paraId="432FC9C7">
            <w:pPr>
              <w:jc w:val="center"/>
              <w:rPr>
                <w:rFonts w:ascii="宋体" w:cs="宋体"/>
                <w:sz w:val="22"/>
                <w:szCs w:val="22"/>
              </w:rPr>
            </w:pPr>
          </w:p>
        </w:tc>
        <w:tc>
          <w:tcPr>
            <w:tcW w:w="1800" w:type="dxa"/>
            <w:vAlign w:val="center"/>
          </w:tcPr>
          <w:p w14:paraId="197C9B9C">
            <w:pPr>
              <w:jc w:val="center"/>
              <w:rPr>
                <w:rFonts w:ascii="宋体" w:cs="宋体"/>
                <w:sz w:val="22"/>
                <w:szCs w:val="22"/>
              </w:rPr>
            </w:pPr>
          </w:p>
        </w:tc>
      </w:tr>
      <w:tr w14:paraId="30352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jc w:val="center"/>
        </w:trPr>
        <w:tc>
          <w:tcPr>
            <w:tcW w:w="1754" w:type="dxa"/>
            <w:vMerge w:val="continue"/>
            <w:vAlign w:val="center"/>
          </w:tcPr>
          <w:p w14:paraId="4941F938"/>
        </w:tc>
        <w:tc>
          <w:tcPr>
            <w:tcW w:w="1954" w:type="dxa"/>
            <w:vAlign w:val="center"/>
          </w:tcPr>
          <w:p w14:paraId="24FC4B0B">
            <w:pPr>
              <w:jc w:val="center"/>
              <w:rPr>
                <w:rFonts w:ascii="宋体" w:cs="宋体"/>
                <w:sz w:val="22"/>
                <w:szCs w:val="22"/>
              </w:rPr>
            </w:pPr>
          </w:p>
        </w:tc>
        <w:tc>
          <w:tcPr>
            <w:tcW w:w="1980" w:type="dxa"/>
            <w:vAlign w:val="center"/>
          </w:tcPr>
          <w:p w14:paraId="7688F355">
            <w:pPr>
              <w:jc w:val="center"/>
              <w:rPr>
                <w:rFonts w:ascii="宋体" w:cs="宋体"/>
                <w:sz w:val="22"/>
                <w:szCs w:val="22"/>
              </w:rPr>
            </w:pPr>
          </w:p>
        </w:tc>
        <w:tc>
          <w:tcPr>
            <w:tcW w:w="1800" w:type="dxa"/>
            <w:vAlign w:val="center"/>
          </w:tcPr>
          <w:p w14:paraId="5ACFD85C">
            <w:pPr>
              <w:jc w:val="center"/>
              <w:rPr>
                <w:rFonts w:ascii="宋体" w:cs="宋体"/>
                <w:sz w:val="22"/>
                <w:szCs w:val="22"/>
              </w:rPr>
            </w:pPr>
          </w:p>
        </w:tc>
        <w:tc>
          <w:tcPr>
            <w:tcW w:w="1800" w:type="dxa"/>
            <w:vAlign w:val="center"/>
          </w:tcPr>
          <w:p w14:paraId="3413F1E4">
            <w:pPr>
              <w:jc w:val="center"/>
              <w:rPr>
                <w:rFonts w:ascii="宋体" w:cs="宋体"/>
                <w:sz w:val="22"/>
                <w:szCs w:val="22"/>
              </w:rPr>
            </w:pPr>
          </w:p>
        </w:tc>
      </w:tr>
      <w:tr w14:paraId="4C276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jc w:val="center"/>
        </w:trPr>
        <w:tc>
          <w:tcPr>
            <w:tcW w:w="1754" w:type="dxa"/>
            <w:vMerge w:val="restart"/>
            <w:vAlign w:val="center"/>
          </w:tcPr>
          <w:p w14:paraId="49F0ED9B">
            <w:pPr>
              <w:ind w:firstLine="240" w:firstLineChars="100"/>
              <w:rPr>
                <w:rFonts w:ascii="宋体" w:cs="宋体"/>
                <w:sz w:val="24"/>
              </w:rPr>
            </w:pPr>
            <w:r>
              <w:rPr>
                <w:rFonts w:hint="eastAsia" w:ascii="宋体" w:cs="宋体"/>
                <w:sz w:val="24"/>
              </w:rPr>
              <w:t>技术规格</w:t>
            </w:r>
          </w:p>
        </w:tc>
        <w:tc>
          <w:tcPr>
            <w:tcW w:w="1954" w:type="dxa"/>
            <w:vAlign w:val="center"/>
          </w:tcPr>
          <w:p w14:paraId="7BFC0AB3">
            <w:pPr>
              <w:jc w:val="center"/>
              <w:rPr>
                <w:rFonts w:ascii="宋体" w:cs="宋体"/>
                <w:sz w:val="22"/>
                <w:szCs w:val="22"/>
              </w:rPr>
            </w:pPr>
          </w:p>
        </w:tc>
        <w:tc>
          <w:tcPr>
            <w:tcW w:w="1980" w:type="dxa"/>
            <w:vAlign w:val="center"/>
          </w:tcPr>
          <w:p w14:paraId="028C4BCB">
            <w:pPr>
              <w:jc w:val="center"/>
              <w:rPr>
                <w:rFonts w:ascii="宋体" w:cs="宋体"/>
                <w:sz w:val="22"/>
                <w:szCs w:val="22"/>
              </w:rPr>
            </w:pPr>
          </w:p>
        </w:tc>
        <w:tc>
          <w:tcPr>
            <w:tcW w:w="1800" w:type="dxa"/>
            <w:vAlign w:val="center"/>
          </w:tcPr>
          <w:p w14:paraId="6C1B23A2">
            <w:pPr>
              <w:jc w:val="center"/>
              <w:rPr>
                <w:rFonts w:ascii="宋体" w:cs="宋体"/>
                <w:sz w:val="22"/>
                <w:szCs w:val="22"/>
              </w:rPr>
            </w:pPr>
          </w:p>
        </w:tc>
        <w:tc>
          <w:tcPr>
            <w:tcW w:w="1800" w:type="dxa"/>
            <w:vAlign w:val="center"/>
          </w:tcPr>
          <w:p w14:paraId="17F48E39">
            <w:pPr>
              <w:jc w:val="center"/>
              <w:rPr>
                <w:rFonts w:ascii="宋体" w:cs="宋体"/>
                <w:sz w:val="22"/>
                <w:szCs w:val="22"/>
              </w:rPr>
            </w:pPr>
          </w:p>
        </w:tc>
      </w:tr>
      <w:tr w14:paraId="12B75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jc w:val="center"/>
        </w:trPr>
        <w:tc>
          <w:tcPr>
            <w:tcW w:w="1754" w:type="dxa"/>
            <w:vMerge w:val="continue"/>
            <w:vAlign w:val="center"/>
          </w:tcPr>
          <w:p w14:paraId="38FFB37F"/>
        </w:tc>
        <w:tc>
          <w:tcPr>
            <w:tcW w:w="1954" w:type="dxa"/>
            <w:vAlign w:val="center"/>
          </w:tcPr>
          <w:p w14:paraId="2F7C286C">
            <w:pPr>
              <w:jc w:val="center"/>
              <w:rPr>
                <w:rFonts w:ascii="宋体" w:cs="宋体"/>
                <w:sz w:val="22"/>
                <w:szCs w:val="22"/>
              </w:rPr>
            </w:pPr>
          </w:p>
        </w:tc>
        <w:tc>
          <w:tcPr>
            <w:tcW w:w="1980" w:type="dxa"/>
            <w:vAlign w:val="center"/>
          </w:tcPr>
          <w:p w14:paraId="7D11AF4B">
            <w:pPr>
              <w:jc w:val="center"/>
              <w:rPr>
                <w:rFonts w:ascii="宋体" w:cs="宋体"/>
                <w:sz w:val="22"/>
                <w:szCs w:val="22"/>
              </w:rPr>
            </w:pPr>
          </w:p>
        </w:tc>
        <w:tc>
          <w:tcPr>
            <w:tcW w:w="1800" w:type="dxa"/>
            <w:vAlign w:val="center"/>
          </w:tcPr>
          <w:p w14:paraId="73307090">
            <w:pPr>
              <w:jc w:val="center"/>
              <w:rPr>
                <w:rFonts w:ascii="宋体" w:cs="宋体"/>
                <w:sz w:val="22"/>
                <w:szCs w:val="22"/>
              </w:rPr>
            </w:pPr>
          </w:p>
        </w:tc>
        <w:tc>
          <w:tcPr>
            <w:tcW w:w="1800" w:type="dxa"/>
            <w:vAlign w:val="center"/>
          </w:tcPr>
          <w:p w14:paraId="341C0300">
            <w:pPr>
              <w:jc w:val="center"/>
              <w:rPr>
                <w:rFonts w:ascii="宋体" w:cs="宋体"/>
                <w:sz w:val="22"/>
                <w:szCs w:val="22"/>
              </w:rPr>
            </w:pPr>
          </w:p>
        </w:tc>
      </w:tr>
      <w:tr w14:paraId="7A36E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jc w:val="center"/>
        </w:trPr>
        <w:tc>
          <w:tcPr>
            <w:tcW w:w="1754" w:type="dxa"/>
            <w:vMerge w:val="continue"/>
            <w:vAlign w:val="center"/>
          </w:tcPr>
          <w:p w14:paraId="5AE1F3FF"/>
        </w:tc>
        <w:tc>
          <w:tcPr>
            <w:tcW w:w="1954" w:type="dxa"/>
            <w:vAlign w:val="center"/>
          </w:tcPr>
          <w:p w14:paraId="3EC8C979">
            <w:pPr>
              <w:jc w:val="center"/>
              <w:rPr>
                <w:rFonts w:ascii="宋体" w:cs="宋体"/>
                <w:sz w:val="22"/>
                <w:szCs w:val="22"/>
              </w:rPr>
            </w:pPr>
          </w:p>
        </w:tc>
        <w:tc>
          <w:tcPr>
            <w:tcW w:w="1980" w:type="dxa"/>
            <w:vAlign w:val="center"/>
          </w:tcPr>
          <w:p w14:paraId="46C40532">
            <w:pPr>
              <w:jc w:val="center"/>
              <w:rPr>
                <w:rFonts w:ascii="宋体" w:cs="宋体"/>
                <w:sz w:val="22"/>
                <w:szCs w:val="22"/>
              </w:rPr>
            </w:pPr>
          </w:p>
        </w:tc>
        <w:tc>
          <w:tcPr>
            <w:tcW w:w="1800" w:type="dxa"/>
            <w:vAlign w:val="center"/>
          </w:tcPr>
          <w:p w14:paraId="5E38A0F2">
            <w:pPr>
              <w:jc w:val="center"/>
              <w:rPr>
                <w:rFonts w:ascii="宋体" w:cs="宋体"/>
                <w:sz w:val="22"/>
                <w:szCs w:val="22"/>
              </w:rPr>
            </w:pPr>
          </w:p>
        </w:tc>
        <w:tc>
          <w:tcPr>
            <w:tcW w:w="1800" w:type="dxa"/>
            <w:vAlign w:val="center"/>
          </w:tcPr>
          <w:p w14:paraId="11B43380">
            <w:pPr>
              <w:jc w:val="center"/>
              <w:rPr>
                <w:rFonts w:ascii="宋体" w:cs="宋体"/>
                <w:sz w:val="22"/>
                <w:szCs w:val="22"/>
              </w:rPr>
            </w:pPr>
          </w:p>
        </w:tc>
      </w:tr>
      <w:tr w14:paraId="15759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jc w:val="center"/>
        </w:trPr>
        <w:tc>
          <w:tcPr>
            <w:tcW w:w="1754" w:type="dxa"/>
            <w:vMerge w:val="continue"/>
            <w:vAlign w:val="center"/>
          </w:tcPr>
          <w:p w14:paraId="48DF193D"/>
        </w:tc>
        <w:tc>
          <w:tcPr>
            <w:tcW w:w="1954" w:type="dxa"/>
            <w:vAlign w:val="center"/>
          </w:tcPr>
          <w:p w14:paraId="2DF85E53">
            <w:pPr>
              <w:jc w:val="center"/>
              <w:rPr>
                <w:rFonts w:ascii="宋体" w:cs="宋体"/>
                <w:sz w:val="22"/>
                <w:szCs w:val="22"/>
              </w:rPr>
            </w:pPr>
          </w:p>
        </w:tc>
        <w:tc>
          <w:tcPr>
            <w:tcW w:w="1980" w:type="dxa"/>
            <w:vAlign w:val="center"/>
          </w:tcPr>
          <w:p w14:paraId="0D38AC5E">
            <w:pPr>
              <w:jc w:val="center"/>
              <w:rPr>
                <w:rFonts w:ascii="宋体" w:cs="宋体"/>
                <w:sz w:val="22"/>
                <w:szCs w:val="22"/>
              </w:rPr>
            </w:pPr>
          </w:p>
        </w:tc>
        <w:tc>
          <w:tcPr>
            <w:tcW w:w="1800" w:type="dxa"/>
            <w:vAlign w:val="center"/>
          </w:tcPr>
          <w:p w14:paraId="4CBBE363">
            <w:pPr>
              <w:jc w:val="center"/>
              <w:rPr>
                <w:rFonts w:ascii="宋体" w:cs="宋体"/>
                <w:sz w:val="22"/>
                <w:szCs w:val="22"/>
              </w:rPr>
            </w:pPr>
          </w:p>
        </w:tc>
        <w:tc>
          <w:tcPr>
            <w:tcW w:w="1800" w:type="dxa"/>
            <w:vAlign w:val="center"/>
          </w:tcPr>
          <w:p w14:paraId="060B659E">
            <w:pPr>
              <w:jc w:val="center"/>
              <w:rPr>
                <w:rFonts w:ascii="宋体" w:cs="宋体"/>
                <w:sz w:val="22"/>
                <w:szCs w:val="22"/>
              </w:rPr>
            </w:pPr>
          </w:p>
        </w:tc>
      </w:tr>
      <w:tr w14:paraId="16692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jc w:val="center"/>
        </w:trPr>
        <w:tc>
          <w:tcPr>
            <w:tcW w:w="1754" w:type="dxa"/>
            <w:vMerge w:val="continue"/>
            <w:vAlign w:val="center"/>
          </w:tcPr>
          <w:p w14:paraId="222445C9"/>
        </w:tc>
        <w:tc>
          <w:tcPr>
            <w:tcW w:w="1954" w:type="dxa"/>
            <w:vAlign w:val="center"/>
          </w:tcPr>
          <w:p w14:paraId="132F2F3A">
            <w:pPr>
              <w:jc w:val="center"/>
              <w:rPr>
                <w:rFonts w:ascii="宋体" w:cs="宋体"/>
                <w:sz w:val="22"/>
                <w:szCs w:val="22"/>
              </w:rPr>
            </w:pPr>
          </w:p>
        </w:tc>
        <w:tc>
          <w:tcPr>
            <w:tcW w:w="1980" w:type="dxa"/>
            <w:vAlign w:val="center"/>
          </w:tcPr>
          <w:p w14:paraId="05F88C21">
            <w:pPr>
              <w:jc w:val="center"/>
              <w:rPr>
                <w:rFonts w:ascii="宋体" w:cs="宋体"/>
                <w:sz w:val="22"/>
                <w:szCs w:val="22"/>
              </w:rPr>
            </w:pPr>
          </w:p>
        </w:tc>
        <w:tc>
          <w:tcPr>
            <w:tcW w:w="1800" w:type="dxa"/>
            <w:vAlign w:val="center"/>
          </w:tcPr>
          <w:p w14:paraId="50A13B86">
            <w:pPr>
              <w:jc w:val="center"/>
              <w:rPr>
                <w:rFonts w:ascii="宋体" w:cs="宋体"/>
                <w:sz w:val="22"/>
                <w:szCs w:val="22"/>
              </w:rPr>
            </w:pPr>
          </w:p>
        </w:tc>
        <w:tc>
          <w:tcPr>
            <w:tcW w:w="1800" w:type="dxa"/>
            <w:vAlign w:val="center"/>
          </w:tcPr>
          <w:p w14:paraId="6C0507C1">
            <w:pPr>
              <w:jc w:val="center"/>
              <w:rPr>
                <w:rFonts w:ascii="宋体" w:cs="宋体"/>
                <w:sz w:val="22"/>
                <w:szCs w:val="22"/>
              </w:rPr>
            </w:pPr>
          </w:p>
        </w:tc>
      </w:tr>
      <w:tr w14:paraId="689EA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jc w:val="center"/>
        </w:trPr>
        <w:tc>
          <w:tcPr>
            <w:tcW w:w="1754" w:type="dxa"/>
            <w:vMerge w:val="continue"/>
            <w:vAlign w:val="center"/>
          </w:tcPr>
          <w:p w14:paraId="5A14F632"/>
        </w:tc>
        <w:tc>
          <w:tcPr>
            <w:tcW w:w="1954" w:type="dxa"/>
            <w:vAlign w:val="center"/>
          </w:tcPr>
          <w:p w14:paraId="024C9B09">
            <w:pPr>
              <w:jc w:val="center"/>
              <w:rPr>
                <w:rFonts w:ascii="宋体" w:cs="宋体"/>
                <w:sz w:val="22"/>
                <w:szCs w:val="22"/>
              </w:rPr>
            </w:pPr>
          </w:p>
        </w:tc>
        <w:tc>
          <w:tcPr>
            <w:tcW w:w="1980" w:type="dxa"/>
            <w:vAlign w:val="center"/>
          </w:tcPr>
          <w:p w14:paraId="2CABC529">
            <w:pPr>
              <w:jc w:val="center"/>
              <w:rPr>
                <w:rFonts w:ascii="宋体" w:cs="宋体"/>
                <w:sz w:val="22"/>
                <w:szCs w:val="22"/>
              </w:rPr>
            </w:pPr>
          </w:p>
        </w:tc>
        <w:tc>
          <w:tcPr>
            <w:tcW w:w="1800" w:type="dxa"/>
            <w:vAlign w:val="center"/>
          </w:tcPr>
          <w:p w14:paraId="4CFC9336">
            <w:pPr>
              <w:jc w:val="center"/>
              <w:rPr>
                <w:rFonts w:ascii="宋体" w:cs="宋体"/>
                <w:sz w:val="22"/>
                <w:szCs w:val="22"/>
              </w:rPr>
            </w:pPr>
          </w:p>
        </w:tc>
        <w:tc>
          <w:tcPr>
            <w:tcW w:w="1800" w:type="dxa"/>
            <w:vAlign w:val="center"/>
          </w:tcPr>
          <w:p w14:paraId="783B1F42">
            <w:pPr>
              <w:jc w:val="center"/>
              <w:rPr>
                <w:rFonts w:ascii="宋体" w:cs="宋体"/>
                <w:sz w:val="22"/>
                <w:szCs w:val="22"/>
              </w:rPr>
            </w:pPr>
          </w:p>
        </w:tc>
      </w:tr>
    </w:tbl>
    <w:p w14:paraId="18D6E544">
      <w:pPr>
        <w:pStyle w:val="28"/>
        <w:spacing w:line="440" w:lineRule="exact"/>
        <w:ind w:left="537" w:hanging="537" w:hangingChars="243"/>
        <w:rPr>
          <w:rFonts w:cs="宋体"/>
          <w:b/>
          <w:sz w:val="22"/>
          <w:szCs w:val="22"/>
        </w:rPr>
      </w:pPr>
      <w:r>
        <w:rPr>
          <w:rFonts w:hint="eastAsia" w:cs="宋体"/>
          <w:b/>
          <w:sz w:val="22"/>
          <w:szCs w:val="22"/>
        </w:rPr>
        <w:t>注： 如有偏离，必须在偏离表中进行详细对比说明并注明正偏离和负偏离，如不说明偏离情况，视为完全响应采购文件要求无偏离。</w:t>
      </w:r>
    </w:p>
    <w:p w14:paraId="661E1FEF">
      <w:pPr>
        <w:spacing w:line="440" w:lineRule="exact"/>
        <w:ind w:firstLine="4400" w:firstLineChars="2000"/>
        <w:rPr>
          <w:rFonts w:ascii="宋体" w:cs="宋体"/>
          <w:sz w:val="22"/>
          <w:szCs w:val="22"/>
        </w:rPr>
      </w:pPr>
      <w:r>
        <w:rPr>
          <w:rFonts w:hint="eastAsia" w:ascii="宋体" w:cs="宋体"/>
          <w:sz w:val="22"/>
          <w:szCs w:val="22"/>
        </w:rPr>
        <w:t>投标供应商全称（盖章）：</w:t>
      </w:r>
    </w:p>
    <w:p w14:paraId="18A20A83">
      <w:pPr>
        <w:spacing w:line="440" w:lineRule="exact"/>
        <w:ind w:firstLine="4400" w:firstLineChars="2000"/>
        <w:rPr>
          <w:rFonts w:ascii="宋体" w:cs="宋体"/>
          <w:sz w:val="22"/>
          <w:szCs w:val="22"/>
        </w:rPr>
      </w:pPr>
      <w:r>
        <w:rPr>
          <w:rFonts w:hint="eastAsia" w:ascii="宋体" w:cs="宋体"/>
          <w:sz w:val="22"/>
          <w:szCs w:val="22"/>
        </w:rPr>
        <w:t>法定代表人或授权代表（签字或盖章）：</w:t>
      </w:r>
    </w:p>
    <w:p w14:paraId="1EDBCC4B">
      <w:pPr>
        <w:spacing w:line="440" w:lineRule="exact"/>
        <w:ind w:firstLine="4400" w:firstLineChars="2000"/>
        <w:rPr>
          <w:rFonts w:ascii="宋体" w:cs="宋体"/>
          <w:sz w:val="22"/>
          <w:szCs w:val="22"/>
        </w:rPr>
      </w:pPr>
      <w:r>
        <w:rPr>
          <w:rFonts w:hint="eastAsia" w:ascii="宋体" w:cs="宋体"/>
          <w:sz w:val="22"/>
          <w:szCs w:val="22"/>
        </w:rPr>
        <w:t>日期：      年     月    日</w:t>
      </w:r>
    </w:p>
    <w:bookmarkEnd w:id="131"/>
    <w:p w14:paraId="4B713AE8">
      <w:pPr>
        <w:spacing w:line="360" w:lineRule="auto"/>
        <w:rPr>
          <w:rFonts w:ascii="宋体" w:cs="宋体"/>
          <w:sz w:val="22"/>
          <w:szCs w:val="22"/>
        </w:rPr>
      </w:pPr>
      <w:bookmarkStart w:id="142" w:name="_Toc25608"/>
      <w:bookmarkStart w:id="143" w:name="_Toc230773793"/>
    </w:p>
    <w:bookmarkEnd w:id="142"/>
    <w:p w14:paraId="2F0095D9">
      <w:pPr>
        <w:rPr>
          <w:rFonts w:ascii="宋体" w:cs="宋体"/>
          <w:b/>
          <w:bCs/>
          <w:sz w:val="24"/>
        </w:rPr>
      </w:pPr>
      <w:bookmarkStart w:id="144" w:name="_Toc420830619"/>
      <w:bookmarkStart w:id="145" w:name="_Toc230773790"/>
      <w:bookmarkStart w:id="146" w:name="_Toc474769413"/>
      <w:bookmarkStart w:id="147" w:name="_Toc467313843"/>
      <w:bookmarkStart w:id="148" w:name="_Toc352704743"/>
      <w:bookmarkStart w:id="149" w:name="_Toc17552"/>
      <w:bookmarkStart w:id="150" w:name="_Toc2252"/>
      <w:r>
        <w:rPr>
          <w:rFonts w:hint="eastAsia" w:ascii="宋体" w:cs="宋体"/>
          <w:b/>
          <w:bCs/>
          <w:sz w:val="24"/>
        </w:rPr>
        <w:t>附件六  类似项目业绩</w:t>
      </w:r>
    </w:p>
    <w:p w14:paraId="33B2D6ED">
      <w:pPr>
        <w:spacing w:line="440" w:lineRule="exact"/>
        <w:jc w:val="center"/>
        <w:rPr>
          <w:rFonts w:ascii="宋体" w:cs="宋体"/>
          <w:sz w:val="28"/>
          <w:szCs w:val="28"/>
        </w:rPr>
      </w:pPr>
      <w:r>
        <w:rPr>
          <w:rFonts w:hint="eastAsia" w:ascii="宋体" w:cs="宋体"/>
          <w:b/>
          <w:sz w:val="30"/>
          <w:szCs w:val="30"/>
        </w:rPr>
        <w:t>类似项目业绩</w:t>
      </w:r>
    </w:p>
    <w:p w14:paraId="23698BCC">
      <w:pPr>
        <w:spacing w:line="560" w:lineRule="exact"/>
        <w:rPr>
          <w:rFonts w:ascii="宋体" w:cs="宋体"/>
          <w:sz w:val="22"/>
          <w:szCs w:val="22"/>
        </w:rPr>
      </w:pPr>
      <w:r>
        <w:rPr>
          <w:rFonts w:hint="eastAsia" w:ascii="宋体" w:cs="宋体"/>
          <w:sz w:val="22"/>
          <w:szCs w:val="22"/>
        </w:rPr>
        <w:t>项目名称：                                               项目编号：</w:t>
      </w:r>
    </w:p>
    <w:tbl>
      <w:tblPr>
        <w:tblStyle w:val="5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2192"/>
        <w:gridCol w:w="1984"/>
        <w:gridCol w:w="720"/>
        <w:gridCol w:w="1123"/>
        <w:gridCol w:w="1134"/>
        <w:gridCol w:w="1727"/>
      </w:tblGrid>
      <w:tr w14:paraId="098EC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tcBorders>
              <w:top w:val="single" w:color="auto" w:sz="4" w:space="0"/>
              <w:left w:val="single" w:color="auto" w:sz="4" w:space="0"/>
              <w:bottom w:val="single" w:color="auto" w:sz="4" w:space="0"/>
              <w:right w:val="single" w:color="auto" w:sz="4" w:space="0"/>
            </w:tcBorders>
            <w:shd w:val="clear" w:color="auto" w:fill="D9D9D9"/>
            <w:vAlign w:val="center"/>
          </w:tcPr>
          <w:p w14:paraId="4AABFD0A">
            <w:pPr>
              <w:spacing w:line="380" w:lineRule="exact"/>
              <w:jc w:val="center"/>
              <w:rPr>
                <w:rFonts w:ascii="宋体" w:cs="宋体"/>
                <w:sz w:val="22"/>
              </w:rPr>
            </w:pPr>
            <w:r>
              <w:rPr>
                <w:rFonts w:hint="eastAsia" w:ascii="宋体" w:cs="宋体"/>
                <w:sz w:val="22"/>
                <w:szCs w:val="22"/>
              </w:rPr>
              <w:t>序号</w:t>
            </w:r>
          </w:p>
        </w:tc>
        <w:tc>
          <w:tcPr>
            <w:tcW w:w="2192" w:type="dxa"/>
            <w:tcBorders>
              <w:top w:val="single" w:color="auto" w:sz="4" w:space="0"/>
              <w:left w:val="single" w:color="auto" w:sz="4" w:space="0"/>
              <w:bottom w:val="single" w:color="auto" w:sz="4" w:space="0"/>
              <w:right w:val="single" w:color="auto" w:sz="4" w:space="0"/>
            </w:tcBorders>
            <w:shd w:val="clear" w:color="auto" w:fill="D9D9D9"/>
            <w:vAlign w:val="center"/>
          </w:tcPr>
          <w:p w14:paraId="3DF6278B">
            <w:pPr>
              <w:spacing w:line="380" w:lineRule="exact"/>
              <w:jc w:val="center"/>
              <w:rPr>
                <w:rFonts w:ascii="宋体" w:cs="宋体"/>
                <w:sz w:val="22"/>
              </w:rPr>
            </w:pPr>
            <w:r>
              <w:rPr>
                <w:rFonts w:hint="eastAsia" w:ascii="宋体" w:cs="宋体"/>
                <w:sz w:val="22"/>
                <w:szCs w:val="22"/>
              </w:rPr>
              <w:t>项目名称</w:t>
            </w:r>
          </w:p>
        </w:tc>
        <w:tc>
          <w:tcPr>
            <w:tcW w:w="1984" w:type="dxa"/>
            <w:tcBorders>
              <w:top w:val="single" w:color="auto" w:sz="4" w:space="0"/>
              <w:left w:val="single" w:color="auto" w:sz="4" w:space="0"/>
              <w:bottom w:val="single" w:color="auto" w:sz="4" w:space="0"/>
              <w:right w:val="single" w:color="auto" w:sz="4" w:space="0"/>
            </w:tcBorders>
            <w:shd w:val="clear" w:color="auto" w:fill="D9D9D9"/>
            <w:vAlign w:val="center"/>
          </w:tcPr>
          <w:p w14:paraId="2F5ABEC0">
            <w:pPr>
              <w:spacing w:line="380" w:lineRule="exact"/>
              <w:jc w:val="center"/>
              <w:rPr>
                <w:rFonts w:ascii="宋体" w:cs="宋体"/>
                <w:sz w:val="22"/>
              </w:rPr>
            </w:pPr>
            <w:r>
              <w:rPr>
                <w:rFonts w:hint="eastAsia" w:ascii="宋体" w:cs="宋体"/>
                <w:sz w:val="22"/>
                <w:szCs w:val="22"/>
              </w:rPr>
              <w:t>用户单位</w:t>
            </w:r>
          </w:p>
        </w:tc>
        <w:tc>
          <w:tcPr>
            <w:tcW w:w="720" w:type="dxa"/>
            <w:tcBorders>
              <w:top w:val="single" w:color="auto" w:sz="4" w:space="0"/>
              <w:left w:val="single" w:color="auto" w:sz="4" w:space="0"/>
              <w:bottom w:val="single" w:color="auto" w:sz="4" w:space="0"/>
              <w:right w:val="single" w:color="auto" w:sz="4" w:space="0"/>
            </w:tcBorders>
            <w:shd w:val="clear" w:color="auto" w:fill="D9D9D9"/>
            <w:vAlign w:val="center"/>
          </w:tcPr>
          <w:p w14:paraId="3B2AA2AA">
            <w:pPr>
              <w:spacing w:line="380" w:lineRule="exact"/>
              <w:jc w:val="center"/>
              <w:rPr>
                <w:rFonts w:ascii="宋体" w:cs="宋体"/>
                <w:sz w:val="22"/>
              </w:rPr>
            </w:pPr>
            <w:r>
              <w:rPr>
                <w:rFonts w:hint="eastAsia" w:ascii="宋体" w:cs="宋体"/>
                <w:sz w:val="22"/>
                <w:szCs w:val="22"/>
              </w:rPr>
              <w:t>数量</w:t>
            </w:r>
          </w:p>
        </w:tc>
        <w:tc>
          <w:tcPr>
            <w:tcW w:w="1123" w:type="dxa"/>
            <w:tcBorders>
              <w:top w:val="single" w:color="auto" w:sz="4" w:space="0"/>
              <w:left w:val="single" w:color="auto" w:sz="4" w:space="0"/>
              <w:bottom w:val="single" w:color="auto" w:sz="4" w:space="0"/>
              <w:right w:val="single" w:color="auto" w:sz="4" w:space="0"/>
            </w:tcBorders>
            <w:shd w:val="clear" w:color="auto" w:fill="D9D9D9"/>
            <w:vAlign w:val="center"/>
          </w:tcPr>
          <w:p w14:paraId="28AE1C50">
            <w:pPr>
              <w:spacing w:line="380" w:lineRule="exact"/>
              <w:jc w:val="center"/>
              <w:rPr>
                <w:rFonts w:ascii="宋体" w:cs="宋体"/>
                <w:sz w:val="22"/>
              </w:rPr>
            </w:pPr>
            <w:r>
              <w:rPr>
                <w:rFonts w:hint="eastAsia" w:ascii="宋体" w:cs="宋体"/>
                <w:sz w:val="22"/>
                <w:szCs w:val="22"/>
              </w:rPr>
              <w:t>合同金额</w:t>
            </w:r>
          </w:p>
        </w:tc>
        <w:tc>
          <w:tcPr>
            <w:tcW w:w="1134" w:type="dxa"/>
            <w:tcBorders>
              <w:top w:val="single" w:color="auto" w:sz="4" w:space="0"/>
              <w:left w:val="single" w:color="auto" w:sz="4" w:space="0"/>
              <w:bottom w:val="single" w:color="auto" w:sz="4" w:space="0"/>
              <w:right w:val="single" w:color="auto" w:sz="4" w:space="0"/>
            </w:tcBorders>
            <w:shd w:val="clear" w:color="auto" w:fill="D9D9D9"/>
            <w:vAlign w:val="center"/>
          </w:tcPr>
          <w:p w14:paraId="350DA235">
            <w:pPr>
              <w:spacing w:line="380" w:lineRule="exact"/>
              <w:jc w:val="center"/>
              <w:rPr>
                <w:rFonts w:ascii="宋体" w:cs="宋体"/>
                <w:sz w:val="22"/>
              </w:rPr>
            </w:pPr>
            <w:r>
              <w:rPr>
                <w:rFonts w:hint="eastAsia" w:ascii="宋体" w:cs="宋体"/>
                <w:sz w:val="22"/>
                <w:szCs w:val="22"/>
              </w:rPr>
              <w:t>合同签订时间</w:t>
            </w:r>
          </w:p>
        </w:tc>
        <w:tc>
          <w:tcPr>
            <w:tcW w:w="1727" w:type="dxa"/>
            <w:tcBorders>
              <w:top w:val="single" w:color="auto" w:sz="4" w:space="0"/>
              <w:left w:val="single" w:color="auto" w:sz="4" w:space="0"/>
              <w:bottom w:val="single" w:color="auto" w:sz="4" w:space="0"/>
              <w:right w:val="single" w:color="auto" w:sz="4" w:space="0"/>
            </w:tcBorders>
            <w:shd w:val="clear" w:color="auto" w:fill="D9D9D9"/>
            <w:vAlign w:val="center"/>
          </w:tcPr>
          <w:p w14:paraId="740C5F95">
            <w:pPr>
              <w:spacing w:line="380" w:lineRule="exact"/>
              <w:jc w:val="center"/>
              <w:rPr>
                <w:rFonts w:ascii="宋体" w:cs="宋体"/>
                <w:sz w:val="22"/>
              </w:rPr>
            </w:pPr>
            <w:r>
              <w:rPr>
                <w:rFonts w:hint="eastAsia" w:ascii="宋体" w:cs="宋体"/>
                <w:sz w:val="22"/>
                <w:szCs w:val="22"/>
              </w:rPr>
              <w:t>用户联系人/联系方式</w:t>
            </w:r>
          </w:p>
        </w:tc>
      </w:tr>
      <w:tr w14:paraId="2F74F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tcBorders>
              <w:top w:val="single" w:color="auto" w:sz="4" w:space="0"/>
              <w:left w:val="single" w:color="auto" w:sz="4" w:space="0"/>
              <w:bottom w:val="single" w:color="auto" w:sz="4" w:space="0"/>
              <w:right w:val="single" w:color="auto" w:sz="4" w:space="0"/>
            </w:tcBorders>
            <w:vAlign w:val="center"/>
          </w:tcPr>
          <w:p w14:paraId="28FB39CD">
            <w:pPr>
              <w:spacing w:line="380" w:lineRule="exact"/>
              <w:jc w:val="center"/>
              <w:rPr>
                <w:rFonts w:ascii="宋体" w:cs="宋体"/>
                <w:sz w:val="22"/>
              </w:rPr>
            </w:pPr>
          </w:p>
        </w:tc>
        <w:tc>
          <w:tcPr>
            <w:tcW w:w="2192" w:type="dxa"/>
            <w:tcBorders>
              <w:top w:val="single" w:color="auto" w:sz="4" w:space="0"/>
              <w:left w:val="single" w:color="auto" w:sz="4" w:space="0"/>
              <w:bottom w:val="single" w:color="auto" w:sz="4" w:space="0"/>
              <w:right w:val="single" w:color="auto" w:sz="4" w:space="0"/>
            </w:tcBorders>
            <w:vAlign w:val="center"/>
          </w:tcPr>
          <w:p w14:paraId="60499C44">
            <w:pPr>
              <w:spacing w:line="380" w:lineRule="exact"/>
              <w:jc w:val="center"/>
              <w:rPr>
                <w:rFonts w:ascii="宋体" w:cs="宋体"/>
                <w:sz w:val="22"/>
              </w:rPr>
            </w:pPr>
          </w:p>
        </w:tc>
        <w:tc>
          <w:tcPr>
            <w:tcW w:w="1984" w:type="dxa"/>
            <w:tcBorders>
              <w:top w:val="single" w:color="auto" w:sz="4" w:space="0"/>
              <w:left w:val="single" w:color="auto" w:sz="4" w:space="0"/>
              <w:bottom w:val="single" w:color="auto" w:sz="4" w:space="0"/>
              <w:right w:val="single" w:color="auto" w:sz="4" w:space="0"/>
            </w:tcBorders>
            <w:vAlign w:val="center"/>
          </w:tcPr>
          <w:p w14:paraId="2CF4DBE7">
            <w:pPr>
              <w:spacing w:line="380" w:lineRule="exact"/>
              <w:jc w:val="center"/>
              <w:rPr>
                <w:rFonts w:ascii="宋体" w:cs="宋体"/>
                <w:sz w:val="22"/>
              </w:rPr>
            </w:pPr>
          </w:p>
        </w:tc>
        <w:tc>
          <w:tcPr>
            <w:tcW w:w="720" w:type="dxa"/>
            <w:tcBorders>
              <w:top w:val="single" w:color="auto" w:sz="4" w:space="0"/>
              <w:left w:val="single" w:color="auto" w:sz="4" w:space="0"/>
              <w:bottom w:val="single" w:color="auto" w:sz="4" w:space="0"/>
              <w:right w:val="single" w:color="auto" w:sz="4" w:space="0"/>
            </w:tcBorders>
            <w:vAlign w:val="center"/>
          </w:tcPr>
          <w:p w14:paraId="591F234E">
            <w:pPr>
              <w:spacing w:line="380" w:lineRule="exact"/>
              <w:jc w:val="center"/>
              <w:rPr>
                <w:rFonts w:ascii="宋体" w:cs="宋体"/>
                <w:sz w:val="22"/>
              </w:rPr>
            </w:pPr>
          </w:p>
        </w:tc>
        <w:tc>
          <w:tcPr>
            <w:tcW w:w="1123" w:type="dxa"/>
            <w:tcBorders>
              <w:top w:val="single" w:color="auto" w:sz="4" w:space="0"/>
              <w:left w:val="single" w:color="auto" w:sz="4" w:space="0"/>
              <w:bottom w:val="single" w:color="auto" w:sz="4" w:space="0"/>
              <w:right w:val="single" w:color="auto" w:sz="4" w:space="0"/>
            </w:tcBorders>
            <w:vAlign w:val="center"/>
          </w:tcPr>
          <w:p w14:paraId="64617AB2">
            <w:pPr>
              <w:spacing w:line="380" w:lineRule="exact"/>
              <w:jc w:val="center"/>
              <w:rPr>
                <w:rFonts w:ascii="宋体" w:cs="宋体"/>
                <w:sz w:val="22"/>
              </w:rPr>
            </w:pPr>
          </w:p>
        </w:tc>
        <w:tc>
          <w:tcPr>
            <w:tcW w:w="1134" w:type="dxa"/>
            <w:tcBorders>
              <w:top w:val="single" w:color="auto" w:sz="4" w:space="0"/>
              <w:left w:val="single" w:color="auto" w:sz="4" w:space="0"/>
              <w:bottom w:val="single" w:color="auto" w:sz="4" w:space="0"/>
              <w:right w:val="single" w:color="auto" w:sz="4" w:space="0"/>
            </w:tcBorders>
            <w:vAlign w:val="center"/>
          </w:tcPr>
          <w:p w14:paraId="2A056F50">
            <w:pPr>
              <w:spacing w:line="380" w:lineRule="exact"/>
              <w:jc w:val="center"/>
              <w:rPr>
                <w:rFonts w:ascii="宋体" w:cs="宋体"/>
                <w:sz w:val="22"/>
              </w:rPr>
            </w:pPr>
          </w:p>
        </w:tc>
        <w:tc>
          <w:tcPr>
            <w:tcW w:w="1727" w:type="dxa"/>
            <w:tcBorders>
              <w:top w:val="single" w:color="auto" w:sz="4" w:space="0"/>
              <w:left w:val="single" w:color="auto" w:sz="4" w:space="0"/>
              <w:bottom w:val="single" w:color="auto" w:sz="4" w:space="0"/>
              <w:right w:val="single" w:color="auto" w:sz="4" w:space="0"/>
            </w:tcBorders>
            <w:vAlign w:val="center"/>
          </w:tcPr>
          <w:p w14:paraId="3B4C3798">
            <w:pPr>
              <w:spacing w:line="380" w:lineRule="exact"/>
              <w:jc w:val="center"/>
              <w:rPr>
                <w:rFonts w:ascii="宋体" w:cs="宋体"/>
                <w:sz w:val="22"/>
              </w:rPr>
            </w:pPr>
          </w:p>
        </w:tc>
      </w:tr>
      <w:tr w14:paraId="10A10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tcBorders>
              <w:top w:val="single" w:color="auto" w:sz="4" w:space="0"/>
              <w:left w:val="single" w:color="auto" w:sz="4" w:space="0"/>
              <w:bottom w:val="single" w:color="auto" w:sz="4" w:space="0"/>
              <w:right w:val="single" w:color="auto" w:sz="4" w:space="0"/>
            </w:tcBorders>
            <w:vAlign w:val="center"/>
          </w:tcPr>
          <w:p w14:paraId="7F2227E8">
            <w:pPr>
              <w:spacing w:line="380" w:lineRule="exact"/>
              <w:jc w:val="center"/>
              <w:rPr>
                <w:rFonts w:ascii="宋体" w:cs="宋体"/>
                <w:sz w:val="22"/>
              </w:rPr>
            </w:pPr>
          </w:p>
        </w:tc>
        <w:tc>
          <w:tcPr>
            <w:tcW w:w="2192" w:type="dxa"/>
            <w:tcBorders>
              <w:top w:val="single" w:color="auto" w:sz="4" w:space="0"/>
              <w:left w:val="single" w:color="auto" w:sz="4" w:space="0"/>
              <w:bottom w:val="single" w:color="auto" w:sz="4" w:space="0"/>
              <w:right w:val="single" w:color="auto" w:sz="4" w:space="0"/>
            </w:tcBorders>
            <w:vAlign w:val="center"/>
          </w:tcPr>
          <w:p w14:paraId="7F132868">
            <w:pPr>
              <w:spacing w:line="380" w:lineRule="exact"/>
              <w:jc w:val="center"/>
              <w:rPr>
                <w:rFonts w:ascii="宋体" w:cs="宋体"/>
                <w:sz w:val="22"/>
              </w:rPr>
            </w:pPr>
          </w:p>
        </w:tc>
        <w:tc>
          <w:tcPr>
            <w:tcW w:w="1984" w:type="dxa"/>
            <w:tcBorders>
              <w:top w:val="single" w:color="auto" w:sz="4" w:space="0"/>
              <w:left w:val="single" w:color="auto" w:sz="4" w:space="0"/>
              <w:bottom w:val="single" w:color="auto" w:sz="4" w:space="0"/>
              <w:right w:val="single" w:color="auto" w:sz="4" w:space="0"/>
            </w:tcBorders>
            <w:vAlign w:val="center"/>
          </w:tcPr>
          <w:p w14:paraId="13C8317A">
            <w:pPr>
              <w:spacing w:line="380" w:lineRule="exact"/>
              <w:jc w:val="center"/>
              <w:rPr>
                <w:rFonts w:ascii="宋体" w:cs="宋体"/>
                <w:sz w:val="22"/>
              </w:rPr>
            </w:pPr>
          </w:p>
        </w:tc>
        <w:tc>
          <w:tcPr>
            <w:tcW w:w="720" w:type="dxa"/>
            <w:tcBorders>
              <w:top w:val="single" w:color="auto" w:sz="4" w:space="0"/>
              <w:left w:val="single" w:color="auto" w:sz="4" w:space="0"/>
              <w:bottom w:val="single" w:color="auto" w:sz="4" w:space="0"/>
              <w:right w:val="single" w:color="auto" w:sz="4" w:space="0"/>
            </w:tcBorders>
            <w:vAlign w:val="center"/>
          </w:tcPr>
          <w:p w14:paraId="02ACAE08">
            <w:pPr>
              <w:spacing w:line="380" w:lineRule="exact"/>
              <w:jc w:val="center"/>
              <w:rPr>
                <w:rFonts w:ascii="宋体" w:cs="宋体"/>
                <w:sz w:val="22"/>
              </w:rPr>
            </w:pPr>
          </w:p>
        </w:tc>
        <w:tc>
          <w:tcPr>
            <w:tcW w:w="1123" w:type="dxa"/>
            <w:tcBorders>
              <w:top w:val="single" w:color="auto" w:sz="4" w:space="0"/>
              <w:left w:val="single" w:color="auto" w:sz="4" w:space="0"/>
              <w:bottom w:val="single" w:color="auto" w:sz="4" w:space="0"/>
              <w:right w:val="single" w:color="auto" w:sz="4" w:space="0"/>
            </w:tcBorders>
            <w:vAlign w:val="center"/>
          </w:tcPr>
          <w:p w14:paraId="7F9462BF">
            <w:pPr>
              <w:spacing w:line="380" w:lineRule="exact"/>
              <w:jc w:val="center"/>
              <w:rPr>
                <w:rFonts w:ascii="宋体" w:cs="宋体"/>
                <w:sz w:val="22"/>
              </w:rPr>
            </w:pPr>
          </w:p>
        </w:tc>
        <w:tc>
          <w:tcPr>
            <w:tcW w:w="1134" w:type="dxa"/>
            <w:tcBorders>
              <w:top w:val="single" w:color="auto" w:sz="4" w:space="0"/>
              <w:left w:val="single" w:color="auto" w:sz="4" w:space="0"/>
              <w:bottom w:val="single" w:color="auto" w:sz="4" w:space="0"/>
              <w:right w:val="single" w:color="auto" w:sz="4" w:space="0"/>
            </w:tcBorders>
            <w:vAlign w:val="center"/>
          </w:tcPr>
          <w:p w14:paraId="5F157900">
            <w:pPr>
              <w:spacing w:line="380" w:lineRule="exact"/>
              <w:jc w:val="center"/>
              <w:rPr>
                <w:rFonts w:ascii="宋体" w:cs="宋体"/>
                <w:sz w:val="22"/>
              </w:rPr>
            </w:pPr>
          </w:p>
        </w:tc>
        <w:tc>
          <w:tcPr>
            <w:tcW w:w="1727" w:type="dxa"/>
            <w:tcBorders>
              <w:top w:val="single" w:color="auto" w:sz="4" w:space="0"/>
              <w:left w:val="single" w:color="auto" w:sz="4" w:space="0"/>
              <w:bottom w:val="single" w:color="auto" w:sz="4" w:space="0"/>
              <w:right w:val="single" w:color="auto" w:sz="4" w:space="0"/>
            </w:tcBorders>
            <w:vAlign w:val="center"/>
          </w:tcPr>
          <w:p w14:paraId="450DFE81">
            <w:pPr>
              <w:spacing w:line="380" w:lineRule="exact"/>
              <w:jc w:val="center"/>
              <w:rPr>
                <w:rFonts w:ascii="宋体" w:cs="宋体"/>
                <w:sz w:val="22"/>
              </w:rPr>
            </w:pPr>
          </w:p>
        </w:tc>
      </w:tr>
      <w:tr w14:paraId="38F22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tcBorders>
              <w:top w:val="single" w:color="auto" w:sz="4" w:space="0"/>
              <w:left w:val="single" w:color="auto" w:sz="4" w:space="0"/>
              <w:bottom w:val="single" w:color="auto" w:sz="4" w:space="0"/>
              <w:right w:val="single" w:color="auto" w:sz="4" w:space="0"/>
            </w:tcBorders>
            <w:vAlign w:val="center"/>
          </w:tcPr>
          <w:p w14:paraId="198A665E">
            <w:pPr>
              <w:spacing w:line="380" w:lineRule="exact"/>
              <w:jc w:val="center"/>
              <w:rPr>
                <w:rFonts w:ascii="宋体" w:cs="宋体"/>
                <w:sz w:val="22"/>
              </w:rPr>
            </w:pPr>
          </w:p>
        </w:tc>
        <w:tc>
          <w:tcPr>
            <w:tcW w:w="2192" w:type="dxa"/>
            <w:tcBorders>
              <w:top w:val="single" w:color="auto" w:sz="4" w:space="0"/>
              <w:left w:val="single" w:color="auto" w:sz="4" w:space="0"/>
              <w:bottom w:val="single" w:color="auto" w:sz="4" w:space="0"/>
              <w:right w:val="single" w:color="auto" w:sz="4" w:space="0"/>
            </w:tcBorders>
            <w:vAlign w:val="center"/>
          </w:tcPr>
          <w:p w14:paraId="3175FF01">
            <w:pPr>
              <w:spacing w:line="380" w:lineRule="exact"/>
              <w:jc w:val="center"/>
              <w:rPr>
                <w:rFonts w:ascii="宋体" w:cs="宋体"/>
                <w:sz w:val="22"/>
              </w:rPr>
            </w:pPr>
          </w:p>
        </w:tc>
        <w:tc>
          <w:tcPr>
            <w:tcW w:w="1984" w:type="dxa"/>
            <w:tcBorders>
              <w:top w:val="single" w:color="auto" w:sz="4" w:space="0"/>
              <w:left w:val="single" w:color="auto" w:sz="4" w:space="0"/>
              <w:bottom w:val="single" w:color="auto" w:sz="4" w:space="0"/>
              <w:right w:val="single" w:color="auto" w:sz="4" w:space="0"/>
            </w:tcBorders>
            <w:vAlign w:val="center"/>
          </w:tcPr>
          <w:p w14:paraId="02FA27B7">
            <w:pPr>
              <w:spacing w:line="380" w:lineRule="exact"/>
              <w:jc w:val="center"/>
              <w:rPr>
                <w:rFonts w:ascii="宋体" w:cs="宋体"/>
                <w:sz w:val="22"/>
              </w:rPr>
            </w:pPr>
          </w:p>
        </w:tc>
        <w:tc>
          <w:tcPr>
            <w:tcW w:w="720" w:type="dxa"/>
            <w:tcBorders>
              <w:top w:val="single" w:color="auto" w:sz="4" w:space="0"/>
              <w:left w:val="single" w:color="auto" w:sz="4" w:space="0"/>
              <w:bottom w:val="single" w:color="auto" w:sz="4" w:space="0"/>
              <w:right w:val="single" w:color="auto" w:sz="4" w:space="0"/>
            </w:tcBorders>
            <w:vAlign w:val="center"/>
          </w:tcPr>
          <w:p w14:paraId="75E54A67">
            <w:pPr>
              <w:spacing w:line="380" w:lineRule="exact"/>
              <w:jc w:val="center"/>
              <w:rPr>
                <w:rFonts w:ascii="宋体" w:cs="宋体"/>
                <w:sz w:val="22"/>
              </w:rPr>
            </w:pPr>
          </w:p>
        </w:tc>
        <w:tc>
          <w:tcPr>
            <w:tcW w:w="1123" w:type="dxa"/>
            <w:tcBorders>
              <w:top w:val="single" w:color="auto" w:sz="4" w:space="0"/>
              <w:left w:val="single" w:color="auto" w:sz="4" w:space="0"/>
              <w:bottom w:val="single" w:color="auto" w:sz="4" w:space="0"/>
              <w:right w:val="single" w:color="auto" w:sz="4" w:space="0"/>
            </w:tcBorders>
            <w:vAlign w:val="center"/>
          </w:tcPr>
          <w:p w14:paraId="3DEFED6F">
            <w:pPr>
              <w:spacing w:line="380" w:lineRule="exact"/>
              <w:jc w:val="center"/>
              <w:rPr>
                <w:rFonts w:ascii="宋体" w:cs="宋体"/>
                <w:sz w:val="22"/>
              </w:rPr>
            </w:pPr>
          </w:p>
        </w:tc>
        <w:tc>
          <w:tcPr>
            <w:tcW w:w="1134" w:type="dxa"/>
            <w:tcBorders>
              <w:top w:val="single" w:color="auto" w:sz="4" w:space="0"/>
              <w:left w:val="single" w:color="auto" w:sz="4" w:space="0"/>
              <w:bottom w:val="single" w:color="auto" w:sz="4" w:space="0"/>
              <w:right w:val="single" w:color="auto" w:sz="4" w:space="0"/>
            </w:tcBorders>
            <w:vAlign w:val="center"/>
          </w:tcPr>
          <w:p w14:paraId="6756DA3D">
            <w:pPr>
              <w:spacing w:line="380" w:lineRule="exact"/>
              <w:jc w:val="center"/>
              <w:rPr>
                <w:rFonts w:ascii="宋体" w:cs="宋体"/>
                <w:sz w:val="22"/>
              </w:rPr>
            </w:pPr>
          </w:p>
        </w:tc>
        <w:tc>
          <w:tcPr>
            <w:tcW w:w="1727" w:type="dxa"/>
            <w:tcBorders>
              <w:top w:val="single" w:color="auto" w:sz="4" w:space="0"/>
              <w:left w:val="single" w:color="auto" w:sz="4" w:space="0"/>
              <w:bottom w:val="single" w:color="auto" w:sz="4" w:space="0"/>
              <w:right w:val="single" w:color="auto" w:sz="4" w:space="0"/>
            </w:tcBorders>
            <w:vAlign w:val="center"/>
          </w:tcPr>
          <w:p w14:paraId="24FD8EB8">
            <w:pPr>
              <w:spacing w:line="380" w:lineRule="exact"/>
              <w:jc w:val="center"/>
              <w:rPr>
                <w:rFonts w:ascii="宋体" w:cs="宋体"/>
                <w:sz w:val="22"/>
              </w:rPr>
            </w:pPr>
          </w:p>
        </w:tc>
      </w:tr>
      <w:tr w14:paraId="48F58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tcBorders>
              <w:top w:val="single" w:color="auto" w:sz="4" w:space="0"/>
              <w:left w:val="single" w:color="auto" w:sz="4" w:space="0"/>
              <w:bottom w:val="single" w:color="auto" w:sz="4" w:space="0"/>
              <w:right w:val="single" w:color="auto" w:sz="4" w:space="0"/>
            </w:tcBorders>
            <w:vAlign w:val="center"/>
          </w:tcPr>
          <w:p w14:paraId="383CC2B8">
            <w:pPr>
              <w:spacing w:line="380" w:lineRule="exact"/>
              <w:jc w:val="center"/>
              <w:rPr>
                <w:rFonts w:ascii="宋体" w:cs="宋体"/>
                <w:sz w:val="22"/>
              </w:rPr>
            </w:pPr>
          </w:p>
        </w:tc>
        <w:tc>
          <w:tcPr>
            <w:tcW w:w="2192" w:type="dxa"/>
            <w:tcBorders>
              <w:top w:val="single" w:color="auto" w:sz="4" w:space="0"/>
              <w:left w:val="single" w:color="auto" w:sz="4" w:space="0"/>
              <w:bottom w:val="single" w:color="auto" w:sz="4" w:space="0"/>
              <w:right w:val="single" w:color="auto" w:sz="4" w:space="0"/>
            </w:tcBorders>
            <w:vAlign w:val="center"/>
          </w:tcPr>
          <w:p w14:paraId="5EF70378">
            <w:pPr>
              <w:spacing w:line="380" w:lineRule="exact"/>
              <w:jc w:val="center"/>
              <w:rPr>
                <w:rFonts w:ascii="宋体" w:cs="宋体"/>
                <w:sz w:val="22"/>
              </w:rPr>
            </w:pPr>
          </w:p>
        </w:tc>
        <w:tc>
          <w:tcPr>
            <w:tcW w:w="1984" w:type="dxa"/>
            <w:tcBorders>
              <w:top w:val="single" w:color="auto" w:sz="4" w:space="0"/>
              <w:left w:val="single" w:color="auto" w:sz="4" w:space="0"/>
              <w:bottom w:val="single" w:color="auto" w:sz="4" w:space="0"/>
              <w:right w:val="single" w:color="auto" w:sz="4" w:space="0"/>
            </w:tcBorders>
            <w:vAlign w:val="center"/>
          </w:tcPr>
          <w:p w14:paraId="7664C70F">
            <w:pPr>
              <w:spacing w:line="380" w:lineRule="exact"/>
              <w:jc w:val="center"/>
              <w:rPr>
                <w:rFonts w:ascii="宋体" w:cs="宋体"/>
                <w:sz w:val="22"/>
              </w:rPr>
            </w:pPr>
          </w:p>
        </w:tc>
        <w:tc>
          <w:tcPr>
            <w:tcW w:w="720" w:type="dxa"/>
            <w:tcBorders>
              <w:top w:val="single" w:color="auto" w:sz="4" w:space="0"/>
              <w:left w:val="single" w:color="auto" w:sz="4" w:space="0"/>
              <w:bottom w:val="single" w:color="auto" w:sz="4" w:space="0"/>
              <w:right w:val="single" w:color="auto" w:sz="4" w:space="0"/>
            </w:tcBorders>
            <w:vAlign w:val="center"/>
          </w:tcPr>
          <w:p w14:paraId="32893897">
            <w:pPr>
              <w:spacing w:line="380" w:lineRule="exact"/>
              <w:jc w:val="center"/>
              <w:rPr>
                <w:rFonts w:ascii="宋体" w:cs="宋体"/>
                <w:sz w:val="22"/>
              </w:rPr>
            </w:pPr>
          </w:p>
        </w:tc>
        <w:tc>
          <w:tcPr>
            <w:tcW w:w="1123" w:type="dxa"/>
            <w:tcBorders>
              <w:top w:val="single" w:color="auto" w:sz="4" w:space="0"/>
              <w:left w:val="single" w:color="auto" w:sz="4" w:space="0"/>
              <w:bottom w:val="single" w:color="auto" w:sz="4" w:space="0"/>
              <w:right w:val="single" w:color="auto" w:sz="4" w:space="0"/>
            </w:tcBorders>
            <w:vAlign w:val="center"/>
          </w:tcPr>
          <w:p w14:paraId="7FE3A2A0">
            <w:pPr>
              <w:spacing w:line="380" w:lineRule="exact"/>
              <w:jc w:val="center"/>
              <w:rPr>
                <w:rFonts w:ascii="宋体" w:cs="宋体"/>
                <w:sz w:val="22"/>
              </w:rPr>
            </w:pPr>
          </w:p>
        </w:tc>
        <w:tc>
          <w:tcPr>
            <w:tcW w:w="1134" w:type="dxa"/>
            <w:tcBorders>
              <w:top w:val="single" w:color="auto" w:sz="4" w:space="0"/>
              <w:left w:val="single" w:color="auto" w:sz="4" w:space="0"/>
              <w:bottom w:val="single" w:color="auto" w:sz="4" w:space="0"/>
              <w:right w:val="single" w:color="auto" w:sz="4" w:space="0"/>
            </w:tcBorders>
            <w:vAlign w:val="center"/>
          </w:tcPr>
          <w:p w14:paraId="440BAB11">
            <w:pPr>
              <w:spacing w:line="380" w:lineRule="exact"/>
              <w:jc w:val="center"/>
              <w:rPr>
                <w:rFonts w:ascii="宋体" w:cs="宋体"/>
                <w:sz w:val="22"/>
              </w:rPr>
            </w:pPr>
          </w:p>
        </w:tc>
        <w:tc>
          <w:tcPr>
            <w:tcW w:w="1727" w:type="dxa"/>
            <w:tcBorders>
              <w:top w:val="single" w:color="auto" w:sz="4" w:space="0"/>
              <w:left w:val="single" w:color="auto" w:sz="4" w:space="0"/>
              <w:bottom w:val="single" w:color="auto" w:sz="4" w:space="0"/>
              <w:right w:val="single" w:color="auto" w:sz="4" w:space="0"/>
            </w:tcBorders>
            <w:vAlign w:val="center"/>
          </w:tcPr>
          <w:p w14:paraId="653F3E39">
            <w:pPr>
              <w:spacing w:line="380" w:lineRule="exact"/>
              <w:jc w:val="center"/>
              <w:rPr>
                <w:rFonts w:ascii="宋体" w:cs="宋体"/>
                <w:sz w:val="22"/>
              </w:rPr>
            </w:pPr>
          </w:p>
        </w:tc>
      </w:tr>
      <w:tr w14:paraId="7CE9C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tcBorders>
              <w:top w:val="single" w:color="auto" w:sz="4" w:space="0"/>
              <w:left w:val="single" w:color="auto" w:sz="4" w:space="0"/>
              <w:bottom w:val="single" w:color="auto" w:sz="4" w:space="0"/>
              <w:right w:val="single" w:color="auto" w:sz="4" w:space="0"/>
            </w:tcBorders>
            <w:vAlign w:val="center"/>
          </w:tcPr>
          <w:p w14:paraId="54A45909">
            <w:pPr>
              <w:spacing w:line="380" w:lineRule="exact"/>
              <w:jc w:val="center"/>
              <w:rPr>
                <w:rFonts w:ascii="宋体" w:cs="宋体"/>
                <w:sz w:val="22"/>
              </w:rPr>
            </w:pPr>
          </w:p>
        </w:tc>
        <w:tc>
          <w:tcPr>
            <w:tcW w:w="2192" w:type="dxa"/>
            <w:tcBorders>
              <w:top w:val="single" w:color="auto" w:sz="4" w:space="0"/>
              <w:left w:val="single" w:color="auto" w:sz="4" w:space="0"/>
              <w:bottom w:val="single" w:color="auto" w:sz="4" w:space="0"/>
              <w:right w:val="single" w:color="auto" w:sz="4" w:space="0"/>
            </w:tcBorders>
            <w:vAlign w:val="center"/>
          </w:tcPr>
          <w:p w14:paraId="6EB99718">
            <w:pPr>
              <w:spacing w:line="380" w:lineRule="exact"/>
              <w:jc w:val="center"/>
              <w:rPr>
                <w:rFonts w:ascii="宋体" w:cs="宋体"/>
                <w:sz w:val="22"/>
              </w:rPr>
            </w:pPr>
          </w:p>
        </w:tc>
        <w:tc>
          <w:tcPr>
            <w:tcW w:w="1984" w:type="dxa"/>
            <w:tcBorders>
              <w:top w:val="single" w:color="auto" w:sz="4" w:space="0"/>
              <w:left w:val="single" w:color="auto" w:sz="4" w:space="0"/>
              <w:bottom w:val="single" w:color="auto" w:sz="4" w:space="0"/>
              <w:right w:val="single" w:color="auto" w:sz="4" w:space="0"/>
            </w:tcBorders>
            <w:vAlign w:val="center"/>
          </w:tcPr>
          <w:p w14:paraId="50593302">
            <w:pPr>
              <w:spacing w:line="380" w:lineRule="exact"/>
              <w:jc w:val="center"/>
              <w:rPr>
                <w:rFonts w:ascii="宋体" w:cs="宋体"/>
                <w:sz w:val="22"/>
              </w:rPr>
            </w:pPr>
          </w:p>
        </w:tc>
        <w:tc>
          <w:tcPr>
            <w:tcW w:w="720" w:type="dxa"/>
            <w:tcBorders>
              <w:top w:val="single" w:color="auto" w:sz="4" w:space="0"/>
              <w:left w:val="single" w:color="auto" w:sz="4" w:space="0"/>
              <w:bottom w:val="single" w:color="auto" w:sz="4" w:space="0"/>
              <w:right w:val="single" w:color="auto" w:sz="4" w:space="0"/>
            </w:tcBorders>
            <w:vAlign w:val="center"/>
          </w:tcPr>
          <w:p w14:paraId="3C069DD9">
            <w:pPr>
              <w:spacing w:line="380" w:lineRule="exact"/>
              <w:jc w:val="center"/>
              <w:rPr>
                <w:rFonts w:ascii="宋体" w:cs="宋体"/>
                <w:sz w:val="22"/>
              </w:rPr>
            </w:pPr>
          </w:p>
        </w:tc>
        <w:tc>
          <w:tcPr>
            <w:tcW w:w="1123" w:type="dxa"/>
            <w:tcBorders>
              <w:top w:val="single" w:color="auto" w:sz="4" w:space="0"/>
              <w:left w:val="single" w:color="auto" w:sz="4" w:space="0"/>
              <w:bottom w:val="single" w:color="auto" w:sz="4" w:space="0"/>
              <w:right w:val="single" w:color="auto" w:sz="4" w:space="0"/>
            </w:tcBorders>
            <w:vAlign w:val="center"/>
          </w:tcPr>
          <w:p w14:paraId="1F760C9B">
            <w:pPr>
              <w:spacing w:line="380" w:lineRule="exact"/>
              <w:jc w:val="center"/>
              <w:rPr>
                <w:rFonts w:ascii="宋体" w:cs="宋体"/>
                <w:sz w:val="22"/>
              </w:rPr>
            </w:pPr>
          </w:p>
        </w:tc>
        <w:tc>
          <w:tcPr>
            <w:tcW w:w="1134" w:type="dxa"/>
            <w:tcBorders>
              <w:top w:val="single" w:color="auto" w:sz="4" w:space="0"/>
              <w:left w:val="single" w:color="auto" w:sz="4" w:space="0"/>
              <w:bottom w:val="single" w:color="auto" w:sz="4" w:space="0"/>
              <w:right w:val="single" w:color="auto" w:sz="4" w:space="0"/>
            </w:tcBorders>
            <w:vAlign w:val="center"/>
          </w:tcPr>
          <w:p w14:paraId="7EBB43ED">
            <w:pPr>
              <w:spacing w:line="380" w:lineRule="exact"/>
              <w:jc w:val="center"/>
              <w:rPr>
                <w:rFonts w:ascii="宋体" w:cs="宋体"/>
                <w:sz w:val="22"/>
              </w:rPr>
            </w:pPr>
          </w:p>
        </w:tc>
        <w:tc>
          <w:tcPr>
            <w:tcW w:w="1727" w:type="dxa"/>
            <w:tcBorders>
              <w:top w:val="single" w:color="auto" w:sz="4" w:space="0"/>
              <w:left w:val="single" w:color="auto" w:sz="4" w:space="0"/>
              <w:bottom w:val="single" w:color="auto" w:sz="4" w:space="0"/>
              <w:right w:val="single" w:color="auto" w:sz="4" w:space="0"/>
            </w:tcBorders>
            <w:vAlign w:val="center"/>
          </w:tcPr>
          <w:p w14:paraId="6F5C757B">
            <w:pPr>
              <w:spacing w:line="380" w:lineRule="exact"/>
              <w:jc w:val="center"/>
              <w:rPr>
                <w:rFonts w:ascii="宋体" w:cs="宋体"/>
                <w:sz w:val="22"/>
              </w:rPr>
            </w:pPr>
          </w:p>
        </w:tc>
      </w:tr>
      <w:tr w14:paraId="209E9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tcBorders>
              <w:top w:val="single" w:color="auto" w:sz="4" w:space="0"/>
              <w:left w:val="single" w:color="auto" w:sz="4" w:space="0"/>
              <w:bottom w:val="single" w:color="auto" w:sz="4" w:space="0"/>
              <w:right w:val="single" w:color="auto" w:sz="4" w:space="0"/>
            </w:tcBorders>
            <w:vAlign w:val="center"/>
          </w:tcPr>
          <w:p w14:paraId="22534A1F">
            <w:pPr>
              <w:spacing w:line="380" w:lineRule="exact"/>
              <w:jc w:val="center"/>
              <w:rPr>
                <w:rFonts w:ascii="宋体" w:cs="宋体"/>
                <w:sz w:val="22"/>
              </w:rPr>
            </w:pPr>
          </w:p>
        </w:tc>
        <w:tc>
          <w:tcPr>
            <w:tcW w:w="2192" w:type="dxa"/>
            <w:tcBorders>
              <w:top w:val="single" w:color="auto" w:sz="4" w:space="0"/>
              <w:left w:val="single" w:color="auto" w:sz="4" w:space="0"/>
              <w:bottom w:val="single" w:color="auto" w:sz="4" w:space="0"/>
              <w:right w:val="single" w:color="auto" w:sz="4" w:space="0"/>
            </w:tcBorders>
            <w:vAlign w:val="center"/>
          </w:tcPr>
          <w:p w14:paraId="1716E066">
            <w:pPr>
              <w:spacing w:line="380" w:lineRule="exact"/>
              <w:jc w:val="center"/>
              <w:rPr>
                <w:rFonts w:ascii="宋体" w:cs="宋体"/>
                <w:sz w:val="22"/>
              </w:rPr>
            </w:pPr>
          </w:p>
        </w:tc>
        <w:tc>
          <w:tcPr>
            <w:tcW w:w="1984" w:type="dxa"/>
            <w:tcBorders>
              <w:top w:val="single" w:color="auto" w:sz="4" w:space="0"/>
              <w:left w:val="single" w:color="auto" w:sz="4" w:space="0"/>
              <w:bottom w:val="single" w:color="auto" w:sz="4" w:space="0"/>
              <w:right w:val="single" w:color="auto" w:sz="4" w:space="0"/>
            </w:tcBorders>
            <w:vAlign w:val="center"/>
          </w:tcPr>
          <w:p w14:paraId="7D9D8E8B">
            <w:pPr>
              <w:spacing w:line="380" w:lineRule="exact"/>
              <w:jc w:val="center"/>
              <w:rPr>
                <w:rFonts w:ascii="宋体" w:cs="宋体"/>
                <w:sz w:val="22"/>
              </w:rPr>
            </w:pPr>
          </w:p>
        </w:tc>
        <w:tc>
          <w:tcPr>
            <w:tcW w:w="720" w:type="dxa"/>
            <w:tcBorders>
              <w:top w:val="single" w:color="auto" w:sz="4" w:space="0"/>
              <w:left w:val="single" w:color="auto" w:sz="4" w:space="0"/>
              <w:bottom w:val="single" w:color="auto" w:sz="4" w:space="0"/>
              <w:right w:val="single" w:color="auto" w:sz="4" w:space="0"/>
            </w:tcBorders>
            <w:vAlign w:val="center"/>
          </w:tcPr>
          <w:p w14:paraId="2E341817">
            <w:pPr>
              <w:spacing w:line="380" w:lineRule="exact"/>
              <w:jc w:val="center"/>
              <w:rPr>
                <w:rFonts w:ascii="宋体" w:cs="宋体"/>
                <w:sz w:val="22"/>
              </w:rPr>
            </w:pPr>
          </w:p>
        </w:tc>
        <w:tc>
          <w:tcPr>
            <w:tcW w:w="1123" w:type="dxa"/>
            <w:tcBorders>
              <w:top w:val="single" w:color="auto" w:sz="4" w:space="0"/>
              <w:left w:val="single" w:color="auto" w:sz="4" w:space="0"/>
              <w:bottom w:val="single" w:color="auto" w:sz="4" w:space="0"/>
              <w:right w:val="single" w:color="auto" w:sz="4" w:space="0"/>
            </w:tcBorders>
            <w:vAlign w:val="center"/>
          </w:tcPr>
          <w:p w14:paraId="4300C8A2">
            <w:pPr>
              <w:spacing w:line="380" w:lineRule="exact"/>
              <w:jc w:val="center"/>
              <w:rPr>
                <w:rFonts w:ascii="宋体" w:cs="宋体"/>
                <w:sz w:val="22"/>
              </w:rPr>
            </w:pPr>
          </w:p>
        </w:tc>
        <w:tc>
          <w:tcPr>
            <w:tcW w:w="1134" w:type="dxa"/>
            <w:tcBorders>
              <w:top w:val="single" w:color="auto" w:sz="4" w:space="0"/>
              <w:left w:val="single" w:color="auto" w:sz="4" w:space="0"/>
              <w:bottom w:val="single" w:color="auto" w:sz="4" w:space="0"/>
              <w:right w:val="single" w:color="auto" w:sz="4" w:space="0"/>
            </w:tcBorders>
            <w:vAlign w:val="center"/>
          </w:tcPr>
          <w:p w14:paraId="1664FFEC">
            <w:pPr>
              <w:spacing w:line="380" w:lineRule="exact"/>
              <w:jc w:val="center"/>
              <w:rPr>
                <w:rFonts w:ascii="宋体" w:cs="宋体"/>
                <w:sz w:val="22"/>
              </w:rPr>
            </w:pPr>
          </w:p>
        </w:tc>
        <w:tc>
          <w:tcPr>
            <w:tcW w:w="1727" w:type="dxa"/>
            <w:tcBorders>
              <w:top w:val="single" w:color="auto" w:sz="4" w:space="0"/>
              <w:left w:val="single" w:color="auto" w:sz="4" w:space="0"/>
              <w:bottom w:val="single" w:color="auto" w:sz="4" w:space="0"/>
              <w:right w:val="single" w:color="auto" w:sz="4" w:space="0"/>
            </w:tcBorders>
            <w:vAlign w:val="center"/>
          </w:tcPr>
          <w:p w14:paraId="0F5D3C96">
            <w:pPr>
              <w:spacing w:line="380" w:lineRule="exact"/>
              <w:jc w:val="center"/>
              <w:rPr>
                <w:rFonts w:ascii="宋体" w:cs="宋体"/>
                <w:sz w:val="22"/>
              </w:rPr>
            </w:pPr>
          </w:p>
        </w:tc>
      </w:tr>
      <w:tr w14:paraId="25E105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tcBorders>
              <w:top w:val="single" w:color="auto" w:sz="4" w:space="0"/>
              <w:left w:val="single" w:color="auto" w:sz="4" w:space="0"/>
              <w:bottom w:val="single" w:color="auto" w:sz="4" w:space="0"/>
              <w:right w:val="single" w:color="auto" w:sz="4" w:space="0"/>
            </w:tcBorders>
            <w:vAlign w:val="center"/>
          </w:tcPr>
          <w:p w14:paraId="7282039B">
            <w:pPr>
              <w:spacing w:line="380" w:lineRule="exact"/>
              <w:jc w:val="center"/>
              <w:rPr>
                <w:rFonts w:ascii="宋体" w:cs="宋体"/>
                <w:sz w:val="22"/>
              </w:rPr>
            </w:pPr>
          </w:p>
        </w:tc>
        <w:tc>
          <w:tcPr>
            <w:tcW w:w="2192" w:type="dxa"/>
            <w:tcBorders>
              <w:top w:val="single" w:color="auto" w:sz="4" w:space="0"/>
              <w:left w:val="single" w:color="auto" w:sz="4" w:space="0"/>
              <w:bottom w:val="single" w:color="auto" w:sz="4" w:space="0"/>
              <w:right w:val="single" w:color="auto" w:sz="4" w:space="0"/>
            </w:tcBorders>
            <w:vAlign w:val="center"/>
          </w:tcPr>
          <w:p w14:paraId="0FA62749">
            <w:pPr>
              <w:spacing w:line="380" w:lineRule="exact"/>
              <w:jc w:val="center"/>
              <w:rPr>
                <w:rFonts w:ascii="宋体" w:cs="宋体"/>
                <w:sz w:val="22"/>
              </w:rPr>
            </w:pPr>
          </w:p>
        </w:tc>
        <w:tc>
          <w:tcPr>
            <w:tcW w:w="1984" w:type="dxa"/>
            <w:tcBorders>
              <w:top w:val="single" w:color="auto" w:sz="4" w:space="0"/>
              <w:left w:val="single" w:color="auto" w:sz="4" w:space="0"/>
              <w:bottom w:val="single" w:color="auto" w:sz="4" w:space="0"/>
              <w:right w:val="single" w:color="auto" w:sz="4" w:space="0"/>
            </w:tcBorders>
            <w:vAlign w:val="center"/>
          </w:tcPr>
          <w:p w14:paraId="3F757DB7">
            <w:pPr>
              <w:spacing w:line="380" w:lineRule="exact"/>
              <w:jc w:val="center"/>
              <w:rPr>
                <w:rFonts w:ascii="宋体" w:cs="宋体"/>
                <w:sz w:val="22"/>
              </w:rPr>
            </w:pPr>
          </w:p>
        </w:tc>
        <w:tc>
          <w:tcPr>
            <w:tcW w:w="720" w:type="dxa"/>
            <w:tcBorders>
              <w:top w:val="single" w:color="auto" w:sz="4" w:space="0"/>
              <w:left w:val="single" w:color="auto" w:sz="4" w:space="0"/>
              <w:bottom w:val="single" w:color="auto" w:sz="4" w:space="0"/>
              <w:right w:val="single" w:color="auto" w:sz="4" w:space="0"/>
            </w:tcBorders>
            <w:vAlign w:val="center"/>
          </w:tcPr>
          <w:p w14:paraId="6479A19B">
            <w:pPr>
              <w:spacing w:line="380" w:lineRule="exact"/>
              <w:jc w:val="center"/>
              <w:rPr>
                <w:rFonts w:ascii="宋体" w:cs="宋体"/>
                <w:sz w:val="22"/>
              </w:rPr>
            </w:pPr>
          </w:p>
        </w:tc>
        <w:tc>
          <w:tcPr>
            <w:tcW w:w="1123" w:type="dxa"/>
            <w:tcBorders>
              <w:top w:val="single" w:color="auto" w:sz="4" w:space="0"/>
              <w:left w:val="single" w:color="auto" w:sz="4" w:space="0"/>
              <w:bottom w:val="single" w:color="auto" w:sz="4" w:space="0"/>
              <w:right w:val="single" w:color="auto" w:sz="4" w:space="0"/>
            </w:tcBorders>
            <w:vAlign w:val="center"/>
          </w:tcPr>
          <w:p w14:paraId="334B2BC0">
            <w:pPr>
              <w:spacing w:line="380" w:lineRule="exact"/>
              <w:jc w:val="center"/>
              <w:rPr>
                <w:rFonts w:ascii="宋体" w:cs="宋体"/>
                <w:sz w:val="22"/>
              </w:rPr>
            </w:pPr>
          </w:p>
        </w:tc>
        <w:tc>
          <w:tcPr>
            <w:tcW w:w="1134" w:type="dxa"/>
            <w:tcBorders>
              <w:top w:val="single" w:color="auto" w:sz="4" w:space="0"/>
              <w:left w:val="single" w:color="auto" w:sz="4" w:space="0"/>
              <w:bottom w:val="single" w:color="auto" w:sz="4" w:space="0"/>
              <w:right w:val="single" w:color="auto" w:sz="4" w:space="0"/>
            </w:tcBorders>
            <w:vAlign w:val="center"/>
          </w:tcPr>
          <w:p w14:paraId="4E879939">
            <w:pPr>
              <w:spacing w:line="380" w:lineRule="exact"/>
              <w:jc w:val="center"/>
              <w:rPr>
                <w:rFonts w:ascii="宋体" w:cs="宋体"/>
                <w:sz w:val="22"/>
              </w:rPr>
            </w:pPr>
          </w:p>
        </w:tc>
        <w:tc>
          <w:tcPr>
            <w:tcW w:w="1727" w:type="dxa"/>
            <w:tcBorders>
              <w:top w:val="single" w:color="auto" w:sz="4" w:space="0"/>
              <w:left w:val="single" w:color="auto" w:sz="4" w:space="0"/>
              <w:bottom w:val="single" w:color="auto" w:sz="4" w:space="0"/>
              <w:right w:val="single" w:color="auto" w:sz="4" w:space="0"/>
            </w:tcBorders>
            <w:vAlign w:val="center"/>
          </w:tcPr>
          <w:p w14:paraId="4F3DE5CF">
            <w:pPr>
              <w:spacing w:line="380" w:lineRule="exact"/>
              <w:jc w:val="center"/>
              <w:rPr>
                <w:rFonts w:ascii="宋体" w:cs="宋体"/>
                <w:sz w:val="22"/>
              </w:rPr>
            </w:pPr>
          </w:p>
        </w:tc>
      </w:tr>
      <w:tr w14:paraId="75ABC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tcBorders>
              <w:top w:val="single" w:color="auto" w:sz="4" w:space="0"/>
              <w:left w:val="single" w:color="auto" w:sz="4" w:space="0"/>
              <w:bottom w:val="single" w:color="auto" w:sz="4" w:space="0"/>
              <w:right w:val="single" w:color="auto" w:sz="4" w:space="0"/>
            </w:tcBorders>
            <w:vAlign w:val="center"/>
          </w:tcPr>
          <w:p w14:paraId="449FAAC3">
            <w:pPr>
              <w:spacing w:line="380" w:lineRule="exact"/>
              <w:jc w:val="center"/>
              <w:rPr>
                <w:rFonts w:ascii="宋体" w:cs="宋体"/>
                <w:sz w:val="22"/>
              </w:rPr>
            </w:pPr>
          </w:p>
        </w:tc>
        <w:tc>
          <w:tcPr>
            <w:tcW w:w="2192" w:type="dxa"/>
            <w:tcBorders>
              <w:top w:val="single" w:color="auto" w:sz="4" w:space="0"/>
              <w:left w:val="single" w:color="auto" w:sz="4" w:space="0"/>
              <w:bottom w:val="single" w:color="auto" w:sz="4" w:space="0"/>
              <w:right w:val="single" w:color="auto" w:sz="4" w:space="0"/>
            </w:tcBorders>
            <w:vAlign w:val="center"/>
          </w:tcPr>
          <w:p w14:paraId="4E3F2215">
            <w:pPr>
              <w:spacing w:line="380" w:lineRule="exact"/>
              <w:jc w:val="center"/>
              <w:rPr>
                <w:rFonts w:ascii="宋体" w:cs="宋体"/>
                <w:sz w:val="22"/>
              </w:rPr>
            </w:pPr>
          </w:p>
        </w:tc>
        <w:tc>
          <w:tcPr>
            <w:tcW w:w="1984" w:type="dxa"/>
            <w:tcBorders>
              <w:top w:val="single" w:color="auto" w:sz="4" w:space="0"/>
              <w:left w:val="single" w:color="auto" w:sz="4" w:space="0"/>
              <w:bottom w:val="single" w:color="auto" w:sz="4" w:space="0"/>
              <w:right w:val="single" w:color="auto" w:sz="4" w:space="0"/>
            </w:tcBorders>
            <w:vAlign w:val="center"/>
          </w:tcPr>
          <w:p w14:paraId="467FBC25">
            <w:pPr>
              <w:spacing w:line="380" w:lineRule="exact"/>
              <w:jc w:val="center"/>
              <w:rPr>
                <w:rFonts w:ascii="宋体" w:cs="宋体"/>
                <w:sz w:val="22"/>
              </w:rPr>
            </w:pPr>
          </w:p>
        </w:tc>
        <w:tc>
          <w:tcPr>
            <w:tcW w:w="720" w:type="dxa"/>
            <w:tcBorders>
              <w:top w:val="single" w:color="auto" w:sz="4" w:space="0"/>
              <w:left w:val="single" w:color="auto" w:sz="4" w:space="0"/>
              <w:bottom w:val="single" w:color="auto" w:sz="4" w:space="0"/>
              <w:right w:val="single" w:color="auto" w:sz="4" w:space="0"/>
            </w:tcBorders>
            <w:vAlign w:val="center"/>
          </w:tcPr>
          <w:p w14:paraId="7F48323A">
            <w:pPr>
              <w:spacing w:line="380" w:lineRule="exact"/>
              <w:jc w:val="center"/>
              <w:rPr>
                <w:rFonts w:ascii="宋体" w:cs="宋体"/>
                <w:sz w:val="22"/>
              </w:rPr>
            </w:pPr>
          </w:p>
        </w:tc>
        <w:tc>
          <w:tcPr>
            <w:tcW w:w="1123" w:type="dxa"/>
            <w:tcBorders>
              <w:top w:val="single" w:color="auto" w:sz="4" w:space="0"/>
              <w:left w:val="single" w:color="auto" w:sz="4" w:space="0"/>
              <w:bottom w:val="single" w:color="auto" w:sz="4" w:space="0"/>
              <w:right w:val="single" w:color="auto" w:sz="4" w:space="0"/>
            </w:tcBorders>
            <w:vAlign w:val="center"/>
          </w:tcPr>
          <w:p w14:paraId="1C1B0B12">
            <w:pPr>
              <w:spacing w:line="380" w:lineRule="exact"/>
              <w:jc w:val="center"/>
              <w:rPr>
                <w:rFonts w:ascii="宋体" w:cs="宋体"/>
                <w:sz w:val="22"/>
              </w:rPr>
            </w:pPr>
          </w:p>
        </w:tc>
        <w:tc>
          <w:tcPr>
            <w:tcW w:w="1134" w:type="dxa"/>
            <w:tcBorders>
              <w:top w:val="single" w:color="auto" w:sz="4" w:space="0"/>
              <w:left w:val="single" w:color="auto" w:sz="4" w:space="0"/>
              <w:bottom w:val="single" w:color="auto" w:sz="4" w:space="0"/>
              <w:right w:val="single" w:color="auto" w:sz="4" w:space="0"/>
            </w:tcBorders>
            <w:vAlign w:val="center"/>
          </w:tcPr>
          <w:p w14:paraId="5AE96946">
            <w:pPr>
              <w:spacing w:line="380" w:lineRule="exact"/>
              <w:jc w:val="center"/>
              <w:rPr>
                <w:rFonts w:ascii="宋体" w:cs="宋体"/>
                <w:sz w:val="22"/>
              </w:rPr>
            </w:pPr>
          </w:p>
        </w:tc>
        <w:tc>
          <w:tcPr>
            <w:tcW w:w="1727" w:type="dxa"/>
            <w:tcBorders>
              <w:top w:val="single" w:color="auto" w:sz="4" w:space="0"/>
              <w:left w:val="single" w:color="auto" w:sz="4" w:space="0"/>
              <w:bottom w:val="single" w:color="auto" w:sz="4" w:space="0"/>
              <w:right w:val="single" w:color="auto" w:sz="4" w:space="0"/>
            </w:tcBorders>
            <w:vAlign w:val="center"/>
          </w:tcPr>
          <w:p w14:paraId="5CC9EC06">
            <w:pPr>
              <w:spacing w:line="380" w:lineRule="exact"/>
              <w:jc w:val="center"/>
              <w:rPr>
                <w:rFonts w:ascii="宋体" w:cs="宋体"/>
                <w:sz w:val="22"/>
              </w:rPr>
            </w:pPr>
          </w:p>
        </w:tc>
      </w:tr>
      <w:tr w14:paraId="03BE3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tcBorders>
              <w:top w:val="single" w:color="auto" w:sz="4" w:space="0"/>
              <w:left w:val="single" w:color="auto" w:sz="4" w:space="0"/>
              <w:bottom w:val="single" w:color="auto" w:sz="4" w:space="0"/>
              <w:right w:val="single" w:color="auto" w:sz="4" w:space="0"/>
            </w:tcBorders>
            <w:vAlign w:val="center"/>
          </w:tcPr>
          <w:p w14:paraId="08CAA4C9">
            <w:pPr>
              <w:spacing w:line="380" w:lineRule="exact"/>
              <w:jc w:val="center"/>
              <w:rPr>
                <w:rFonts w:ascii="宋体" w:cs="宋体"/>
                <w:sz w:val="22"/>
              </w:rPr>
            </w:pPr>
          </w:p>
        </w:tc>
        <w:tc>
          <w:tcPr>
            <w:tcW w:w="2192" w:type="dxa"/>
            <w:tcBorders>
              <w:top w:val="single" w:color="auto" w:sz="4" w:space="0"/>
              <w:left w:val="single" w:color="auto" w:sz="4" w:space="0"/>
              <w:bottom w:val="single" w:color="auto" w:sz="4" w:space="0"/>
              <w:right w:val="single" w:color="auto" w:sz="4" w:space="0"/>
            </w:tcBorders>
            <w:vAlign w:val="center"/>
          </w:tcPr>
          <w:p w14:paraId="4759FD0C">
            <w:pPr>
              <w:spacing w:line="380" w:lineRule="exact"/>
              <w:jc w:val="center"/>
              <w:rPr>
                <w:rFonts w:ascii="宋体" w:cs="宋体"/>
                <w:sz w:val="22"/>
              </w:rPr>
            </w:pPr>
          </w:p>
        </w:tc>
        <w:tc>
          <w:tcPr>
            <w:tcW w:w="1984" w:type="dxa"/>
            <w:tcBorders>
              <w:top w:val="single" w:color="auto" w:sz="4" w:space="0"/>
              <w:left w:val="single" w:color="auto" w:sz="4" w:space="0"/>
              <w:bottom w:val="single" w:color="auto" w:sz="4" w:space="0"/>
              <w:right w:val="single" w:color="auto" w:sz="4" w:space="0"/>
            </w:tcBorders>
            <w:vAlign w:val="center"/>
          </w:tcPr>
          <w:p w14:paraId="7FB486C1">
            <w:pPr>
              <w:spacing w:line="380" w:lineRule="exact"/>
              <w:jc w:val="center"/>
              <w:rPr>
                <w:rFonts w:ascii="宋体" w:cs="宋体"/>
                <w:sz w:val="22"/>
              </w:rPr>
            </w:pPr>
          </w:p>
        </w:tc>
        <w:tc>
          <w:tcPr>
            <w:tcW w:w="720" w:type="dxa"/>
            <w:tcBorders>
              <w:top w:val="single" w:color="auto" w:sz="4" w:space="0"/>
              <w:left w:val="single" w:color="auto" w:sz="4" w:space="0"/>
              <w:bottom w:val="single" w:color="auto" w:sz="4" w:space="0"/>
              <w:right w:val="single" w:color="auto" w:sz="4" w:space="0"/>
            </w:tcBorders>
            <w:vAlign w:val="center"/>
          </w:tcPr>
          <w:p w14:paraId="75D4C778">
            <w:pPr>
              <w:spacing w:line="380" w:lineRule="exact"/>
              <w:jc w:val="center"/>
              <w:rPr>
                <w:rFonts w:ascii="宋体" w:cs="宋体"/>
                <w:sz w:val="22"/>
              </w:rPr>
            </w:pPr>
          </w:p>
        </w:tc>
        <w:tc>
          <w:tcPr>
            <w:tcW w:w="1123" w:type="dxa"/>
            <w:tcBorders>
              <w:top w:val="single" w:color="auto" w:sz="4" w:space="0"/>
              <w:left w:val="single" w:color="auto" w:sz="4" w:space="0"/>
              <w:bottom w:val="single" w:color="auto" w:sz="4" w:space="0"/>
              <w:right w:val="single" w:color="auto" w:sz="4" w:space="0"/>
            </w:tcBorders>
            <w:vAlign w:val="center"/>
          </w:tcPr>
          <w:p w14:paraId="48A9119C">
            <w:pPr>
              <w:spacing w:line="380" w:lineRule="exact"/>
              <w:jc w:val="center"/>
              <w:rPr>
                <w:rFonts w:ascii="宋体" w:cs="宋体"/>
                <w:sz w:val="22"/>
              </w:rPr>
            </w:pPr>
          </w:p>
        </w:tc>
        <w:tc>
          <w:tcPr>
            <w:tcW w:w="1134" w:type="dxa"/>
            <w:tcBorders>
              <w:top w:val="single" w:color="auto" w:sz="4" w:space="0"/>
              <w:left w:val="single" w:color="auto" w:sz="4" w:space="0"/>
              <w:bottom w:val="single" w:color="auto" w:sz="4" w:space="0"/>
              <w:right w:val="single" w:color="auto" w:sz="4" w:space="0"/>
            </w:tcBorders>
            <w:vAlign w:val="center"/>
          </w:tcPr>
          <w:p w14:paraId="1104D158">
            <w:pPr>
              <w:spacing w:line="380" w:lineRule="exact"/>
              <w:jc w:val="center"/>
              <w:rPr>
                <w:rFonts w:ascii="宋体" w:cs="宋体"/>
                <w:sz w:val="22"/>
              </w:rPr>
            </w:pPr>
          </w:p>
        </w:tc>
        <w:tc>
          <w:tcPr>
            <w:tcW w:w="1727" w:type="dxa"/>
            <w:tcBorders>
              <w:top w:val="single" w:color="auto" w:sz="4" w:space="0"/>
              <w:left w:val="single" w:color="auto" w:sz="4" w:space="0"/>
              <w:bottom w:val="single" w:color="auto" w:sz="4" w:space="0"/>
              <w:right w:val="single" w:color="auto" w:sz="4" w:space="0"/>
            </w:tcBorders>
            <w:vAlign w:val="center"/>
          </w:tcPr>
          <w:p w14:paraId="069B640D">
            <w:pPr>
              <w:spacing w:line="380" w:lineRule="exact"/>
              <w:jc w:val="center"/>
              <w:rPr>
                <w:rFonts w:ascii="宋体" w:cs="宋体"/>
                <w:sz w:val="22"/>
              </w:rPr>
            </w:pPr>
          </w:p>
        </w:tc>
      </w:tr>
      <w:tr w14:paraId="124B9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tcBorders>
              <w:top w:val="single" w:color="auto" w:sz="4" w:space="0"/>
              <w:left w:val="single" w:color="auto" w:sz="4" w:space="0"/>
              <w:bottom w:val="single" w:color="auto" w:sz="4" w:space="0"/>
              <w:right w:val="single" w:color="auto" w:sz="4" w:space="0"/>
            </w:tcBorders>
            <w:vAlign w:val="center"/>
          </w:tcPr>
          <w:p w14:paraId="138BD49B">
            <w:pPr>
              <w:spacing w:line="380" w:lineRule="exact"/>
              <w:jc w:val="center"/>
              <w:rPr>
                <w:rFonts w:ascii="宋体" w:cs="宋体"/>
                <w:sz w:val="22"/>
              </w:rPr>
            </w:pPr>
          </w:p>
        </w:tc>
        <w:tc>
          <w:tcPr>
            <w:tcW w:w="2192" w:type="dxa"/>
            <w:tcBorders>
              <w:top w:val="single" w:color="auto" w:sz="4" w:space="0"/>
              <w:left w:val="single" w:color="auto" w:sz="4" w:space="0"/>
              <w:bottom w:val="single" w:color="auto" w:sz="4" w:space="0"/>
              <w:right w:val="single" w:color="auto" w:sz="4" w:space="0"/>
            </w:tcBorders>
            <w:vAlign w:val="center"/>
          </w:tcPr>
          <w:p w14:paraId="41D157FA">
            <w:pPr>
              <w:spacing w:line="380" w:lineRule="exact"/>
              <w:jc w:val="center"/>
              <w:rPr>
                <w:rFonts w:ascii="宋体" w:cs="宋体"/>
                <w:sz w:val="22"/>
              </w:rPr>
            </w:pPr>
          </w:p>
        </w:tc>
        <w:tc>
          <w:tcPr>
            <w:tcW w:w="1984" w:type="dxa"/>
            <w:tcBorders>
              <w:top w:val="single" w:color="auto" w:sz="4" w:space="0"/>
              <w:left w:val="single" w:color="auto" w:sz="4" w:space="0"/>
              <w:bottom w:val="single" w:color="auto" w:sz="4" w:space="0"/>
              <w:right w:val="single" w:color="auto" w:sz="4" w:space="0"/>
            </w:tcBorders>
            <w:vAlign w:val="center"/>
          </w:tcPr>
          <w:p w14:paraId="36039332">
            <w:pPr>
              <w:spacing w:line="380" w:lineRule="exact"/>
              <w:jc w:val="center"/>
              <w:rPr>
                <w:rFonts w:ascii="宋体" w:cs="宋体"/>
                <w:sz w:val="22"/>
              </w:rPr>
            </w:pPr>
          </w:p>
        </w:tc>
        <w:tc>
          <w:tcPr>
            <w:tcW w:w="720" w:type="dxa"/>
            <w:tcBorders>
              <w:top w:val="single" w:color="auto" w:sz="4" w:space="0"/>
              <w:left w:val="single" w:color="auto" w:sz="4" w:space="0"/>
              <w:bottom w:val="single" w:color="auto" w:sz="4" w:space="0"/>
              <w:right w:val="single" w:color="auto" w:sz="4" w:space="0"/>
            </w:tcBorders>
            <w:vAlign w:val="center"/>
          </w:tcPr>
          <w:p w14:paraId="4CCE8A09">
            <w:pPr>
              <w:spacing w:line="380" w:lineRule="exact"/>
              <w:jc w:val="center"/>
              <w:rPr>
                <w:rFonts w:ascii="宋体" w:cs="宋体"/>
                <w:sz w:val="22"/>
              </w:rPr>
            </w:pPr>
          </w:p>
        </w:tc>
        <w:tc>
          <w:tcPr>
            <w:tcW w:w="1123" w:type="dxa"/>
            <w:tcBorders>
              <w:top w:val="single" w:color="auto" w:sz="4" w:space="0"/>
              <w:left w:val="single" w:color="auto" w:sz="4" w:space="0"/>
              <w:bottom w:val="single" w:color="auto" w:sz="4" w:space="0"/>
              <w:right w:val="single" w:color="auto" w:sz="4" w:space="0"/>
            </w:tcBorders>
            <w:vAlign w:val="center"/>
          </w:tcPr>
          <w:p w14:paraId="5C9F3F96">
            <w:pPr>
              <w:spacing w:line="380" w:lineRule="exact"/>
              <w:jc w:val="center"/>
              <w:rPr>
                <w:rFonts w:ascii="宋体" w:cs="宋体"/>
                <w:sz w:val="22"/>
              </w:rPr>
            </w:pPr>
          </w:p>
        </w:tc>
        <w:tc>
          <w:tcPr>
            <w:tcW w:w="1134" w:type="dxa"/>
            <w:tcBorders>
              <w:top w:val="single" w:color="auto" w:sz="4" w:space="0"/>
              <w:left w:val="single" w:color="auto" w:sz="4" w:space="0"/>
              <w:bottom w:val="single" w:color="auto" w:sz="4" w:space="0"/>
              <w:right w:val="single" w:color="auto" w:sz="4" w:space="0"/>
            </w:tcBorders>
            <w:vAlign w:val="center"/>
          </w:tcPr>
          <w:p w14:paraId="066F758B">
            <w:pPr>
              <w:spacing w:line="380" w:lineRule="exact"/>
              <w:jc w:val="center"/>
              <w:rPr>
                <w:rFonts w:ascii="宋体" w:cs="宋体"/>
                <w:sz w:val="22"/>
              </w:rPr>
            </w:pPr>
          </w:p>
        </w:tc>
        <w:tc>
          <w:tcPr>
            <w:tcW w:w="1727" w:type="dxa"/>
            <w:tcBorders>
              <w:top w:val="single" w:color="auto" w:sz="4" w:space="0"/>
              <w:left w:val="single" w:color="auto" w:sz="4" w:space="0"/>
              <w:bottom w:val="single" w:color="auto" w:sz="4" w:space="0"/>
              <w:right w:val="single" w:color="auto" w:sz="4" w:space="0"/>
            </w:tcBorders>
            <w:vAlign w:val="center"/>
          </w:tcPr>
          <w:p w14:paraId="017801CA">
            <w:pPr>
              <w:spacing w:line="380" w:lineRule="exact"/>
              <w:jc w:val="center"/>
              <w:rPr>
                <w:rFonts w:ascii="宋体" w:cs="宋体"/>
                <w:sz w:val="22"/>
              </w:rPr>
            </w:pPr>
          </w:p>
        </w:tc>
      </w:tr>
      <w:tr w14:paraId="18C0E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tcBorders>
              <w:top w:val="single" w:color="auto" w:sz="4" w:space="0"/>
              <w:left w:val="single" w:color="auto" w:sz="4" w:space="0"/>
              <w:bottom w:val="single" w:color="auto" w:sz="4" w:space="0"/>
              <w:right w:val="single" w:color="auto" w:sz="4" w:space="0"/>
            </w:tcBorders>
            <w:vAlign w:val="center"/>
          </w:tcPr>
          <w:p w14:paraId="38596866">
            <w:pPr>
              <w:spacing w:line="380" w:lineRule="exact"/>
              <w:jc w:val="center"/>
              <w:rPr>
                <w:rFonts w:ascii="宋体" w:cs="宋体"/>
                <w:sz w:val="22"/>
              </w:rPr>
            </w:pPr>
          </w:p>
        </w:tc>
        <w:tc>
          <w:tcPr>
            <w:tcW w:w="2192" w:type="dxa"/>
            <w:tcBorders>
              <w:top w:val="single" w:color="auto" w:sz="4" w:space="0"/>
              <w:left w:val="single" w:color="auto" w:sz="4" w:space="0"/>
              <w:bottom w:val="single" w:color="auto" w:sz="4" w:space="0"/>
              <w:right w:val="single" w:color="auto" w:sz="4" w:space="0"/>
            </w:tcBorders>
            <w:vAlign w:val="center"/>
          </w:tcPr>
          <w:p w14:paraId="40766A0B">
            <w:pPr>
              <w:spacing w:line="380" w:lineRule="exact"/>
              <w:jc w:val="center"/>
              <w:rPr>
                <w:rFonts w:ascii="宋体" w:cs="宋体"/>
                <w:sz w:val="22"/>
              </w:rPr>
            </w:pPr>
          </w:p>
        </w:tc>
        <w:tc>
          <w:tcPr>
            <w:tcW w:w="1984" w:type="dxa"/>
            <w:tcBorders>
              <w:top w:val="single" w:color="auto" w:sz="4" w:space="0"/>
              <w:left w:val="single" w:color="auto" w:sz="4" w:space="0"/>
              <w:bottom w:val="single" w:color="auto" w:sz="4" w:space="0"/>
              <w:right w:val="single" w:color="auto" w:sz="4" w:space="0"/>
            </w:tcBorders>
            <w:vAlign w:val="center"/>
          </w:tcPr>
          <w:p w14:paraId="2EFE7FA1">
            <w:pPr>
              <w:spacing w:line="380" w:lineRule="exact"/>
              <w:jc w:val="center"/>
              <w:rPr>
                <w:rFonts w:ascii="宋体" w:cs="宋体"/>
                <w:sz w:val="22"/>
              </w:rPr>
            </w:pPr>
          </w:p>
        </w:tc>
        <w:tc>
          <w:tcPr>
            <w:tcW w:w="720" w:type="dxa"/>
            <w:tcBorders>
              <w:top w:val="single" w:color="auto" w:sz="4" w:space="0"/>
              <w:left w:val="single" w:color="auto" w:sz="4" w:space="0"/>
              <w:bottom w:val="single" w:color="auto" w:sz="4" w:space="0"/>
              <w:right w:val="single" w:color="auto" w:sz="4" w:space="0"/>
            </w:tcBorders>
            <w:vAlign w:val="center"/>
          </w:tcPr>
          <w:p w14:paraId="4315CE31">
            <w:pPr>
              <w:spacing w:line="380" w:lineRule="exact"/>
              <w:jc w:val="center"/>
              <w:rPr>
                <w:rFonts w:ascii="宋体" w:cs="宋体"/>
                <w:sz w:val="22"/>
              </w:rPr>
            </w:pPr>
          </w:p>
        </w:tc>
        <w:tc>
          <w:tcPr>
            <w:tcW w:w="1123" w:type="dxa"/>
            <w:tcBorders>
              <w:top w:val="single" w:color="auto" w:sz="4" w:space="0"/>
              <w:left w:val="single" w:color="auto" w:sz="4" w:space="0"/>
              <w:bottom w:val="single" w:color="auto" w:sz="4" w:space="0"/>
              <w:right w:val="single" w:color="auto" w:sz="4" w:space="0"/>
            </w:tcBorders>
            <w:vAlign w:val="center"/>
          </w:tcPr>
          <w:p w14:paraId="02C361FC">
            <w:pPr>
              <w:spacing w:line="380" w:lineRule="exact"/>
              <w:jc w:val="center"/>
              <w:rPr>
                <w:rFonts w:ascii="宋体" w:cs="宋体"/>
                <w:sz w:val="22"/>
              </w:rPr>
            </w:pPr>
          </w:p>
        </w:tc>
        <w:tc>
          <w:tcPr>
            <w:tcW w:w="1134" w:type="dxa"/>
            <w:tcBorders>
              <w:top w:val="single" w:color="auto" w:sz="4" w:space="0"/>
              <w:left w:val="single" w:color="auto" w:sz="4" w:space="0"/>
              <w:bottom w:val="single" w:color="auto" w:sz="4" w:space="0"/>
              <w:right w:val="single" w:color="auto" w:sz="4" w:space="0"/>
            </w:tcBorders>
            <w:vAlign w:val="center"/>
          </w:tcPr>
          <w:p w14:paraId="733DF86E">
            <w:pPr>
              <w:spacing w:line="380" w:lineRule="exact"/>
              <w:jc w:val="center"/>
              <w:rPr>
                <w:rFonts w:ascii="宋体" w:cs="宋体"/>
                <w:sz w:val="22"/>
              </w:rPr>
            </w:pPr>
          </w:p>
        </w:tc>
        <w:tc>
          <w:tcPr>
            <w:tcW w:w="1727" w:type="dxa"/>
            <w:tcBorders>
              <w:top w:val="single" w:color="auto" w:sz="4" w:space="0"/>
              <w:left w:val="single" w:color="auto" w:sz="4" w:space="0"/>
              <w:bottom w:val="single" w:color="auto" w:sz="4" w:space="0"/>
              <w:right w:val="single" w:color="auto" w:sz="4" w:space="0"/>
            </w:tcBorders>
            <w:vAlign w:val="center"/>
          </w:tcPr>
          <w:p w14:paraId="18203C85">
            <w:pPr>
              <w:spacing w:line="380" w:lineRule="exact"/>
              <w:jc w:val="center"/>
              <w:rPr>
                <w:rFonts w:ascii="宋体" w:cs="宋体"/>
                <w:sz w:val="22"/>
              </w:rPr>
            </w:pPr>
          </w:p>
        </w:tc>
      </w:tr>
    </w:tbl>
    <w:p w14:paraId="0A78AFA6">
      <w:pPr>
        <w:spacing w:line="440" w:lineRule="exact"/>
        <w:ind w:left="660" w:hanging="660" w:hangingChars="300"/>
        <w:rPr>
          <w:rFonts w:ascii="宋体" w:cs="宋体"/>
          <w:sz w:val="22"/>
          <w:szCs w:val="22"/>
        </w:rPr>
      </w:pPr>
      <w:r>
        <w:rPr>
          <w:rFonts w:hint="eastAsia" w:ascii="宋体" w:cs="宋体"/>
          <w:sz w:val="22"/>
          <w:szCs w:val="22"/>
        </w:rPr>
        <w:t>注：1.根据评分细则要求提供相关证明材料（复印件加盖公章）。</w:t>
      </w:r>
    </w:p>
    <w:p w14:paraId="6F568A4B">
      <w:pPr>
        <w:spacing w:line="440" w:lineRule="exact"/>
        <w:ind w:left="732" w:leftChars="200" w:hanging="312" w:hangingChars="142"/>
        <w:rPr>
          <w:rFonts w:ascii="宋体" w:cs="宋体"/>
          <w:sz w:val="22"/>
          <w:szCs w:val="22"/>
        </w:rPr>
      </w:pPr>
      <w:r>
        <w:rPr>
          <w:rFonts w:hint="eastAsia" w:ascii="宋体" w:cs="宋体"/>
          <w:sz w:val="22"/>
          <w:szCs w:val="22"/>
        </w:rPr>
        <w:t>2.投标供应商可按此表格式复制。</w:t>
      </w:r>
    </w:p>
    <w:p w14:paraId="43FCF24F">
      <w:pPr>
        <w:spacing w:line="440" w:lineRule="exact"/>
        <w:rPr>
          <w:rFonts w:ascii="宋体" w:cs="宋体"/>
          <w:sz w:val="22"/>
          <w:szCs w:val="22"/>
        </w:rPr>
      </w:pPr>
    </w:p>
    <w:p w14:paraId="6AC60314">
      <w:pPr>
        <w:spacing w:line="440" w:lineRule="exact"/>
        <w:rPr>
          <w:rFonts w:ascii="宋体" w:cs="宋体"/>
          <w:sz w:val="22"/>
          <w:szCs w:val="22"/>
        </w:rPr>
      </w:pPr>
      <w:r>
        <w:rPr>
          <w:rFonts w:hint="eastAsia" w:ascii="宋体" w:cs="宋体"/>
          <w:sz w:val="22"/>
          <w:szCs w:val="22"/>
        </w:rPr>
        <w:t>投标供应商全称（公章）：</w:t>
      </w:r>
    </w:p>
    <w:p w14:paraId="1F47C4D3">
      <w:pPr>
        <w:spacing w:line="440" w:lineRule="exact"/>
        <w:rPr>
          <w:rFonts w:ascii="宋体" w:cs="宋体"/>
          <w:sz w:val="22"/>
          <w:szCs w:val="22"/>
        </w:rPr>
      </w:pPr>
      <w:r>
        <w:rPr>
          <w:rFonts w:hint="eastAsia" w:ascii="宋体" w:cs="宋体"/>
          <w:sz w:val="22"/>
          <w:szCs w:val="22"/>
        </w:rPr>
        <w:t>法定代表人或授权代表（签字或盖章）：</w:t>
      </w:r>
    </w:p>
    <w:p w14:paraId="4942DD02">
      <w:pPr>
        <w:spacing w:line="440" w:lineRule="exact"/>
        <w:rPr>
          <w:rFonts w:ascii="宋体" w:cs="宋体"/>
          <w:sz w:val="22"/>
          <w:szCs w:val="22"/>
        </w:rPr>
      </w:pPr>
      <w:r>
        <w:rPr>
          <w:rFonts w:hint="eastAsia" w:ascii="宋体" w:cs="宋体"/>
          <w:sz w:val="22"/>
          <w:szCs w:val="22"/>
        </w:rPr>
        <w:t>日 期：      年     月    日</w:t>
      </w:r>
    </w:p>
    <w:p w14:paraId="6FCCE2E5">
      <w:pPr>
        <w:rPr>
          <w:rFonts w:ascii="宋体" w:cs="宋体"/>
          <w:sz w:val="22"/>
          <w:szCs w:val="22"/>
        </w:rPr>
      </w:pPr>
    </w:p>
    <w:p w14:paraId="6BE73C30">
      <w:pPr>
        <w:rPr>
          <w:rFonts w:ascii="宋体" w:cs="宋体"/>
          <w:sz w:val="22"/>
          <w:szCs w:val="22"/>
        </w:rPr>
      </w:pPr>
    </w:p>
    <w:p w14:paraId="667A3C02">
      <w:pPr>
        <w:rPr>
          <w:rFonts w:ascii="宋体" w:cs="宋体"/>
          <w:sz w:val="22"/>
          <w:szCs w:val="22"/>
        </w:rPr>
      </w:pPr>
    </w:p>
    <w:p w14:paraId="50882341">
      <w:pPr>
        <w:rPr>
          <w:rFonts w:ascii="宋体" w:cs="宋体"/>
          <w:sz w:val="22"/>
          <w:szCs w:val="22"/>
        </w:rPr>
      </w:pPr>
    </w:p>
    <w:p w14:paraId="25B31A17">
      <w:pPr>
        <w:pStyle w:val="59"/>
      </w:pPr>
    </w:p>
    <w:p w14:paraId="46F2AE78">
      <w:pPr>
        <w:rPr>
          <w:rFonts w:ascii="宋体" w:cs="宋体"/>
          <w:sz w:val="22"/>
          <w:szCs w:val="22"/>
        </w:rPr>
      </w:pPr>
    </w:p>
    <w:bookmarkEnd w:id="144"/>
    <w:bookmarkEnd w:id="145"/>
    <w:bookmarkEnd w:id="146"/>
    <w:bookmarkEnd w:id="147"/>
    <w:bookmarkEnd w:id="148"/>
    <w:p w14:paraId="1FAB15D8">
      <w:pPr>
        <w:pStyle w:val="28"/>
        <w:spacing w:line="400" w:lineRule="atLeast"/>
        <w:rPr>
          <w:rFonts w:hAnsi="宋体" w:cs="宋体"/>
          <w:b/>
          <w:sz w:val="24"/>
          <w:szCs w:val="24"/>
        </w:rPr>
      </w:pPr>
      <w:r>
        <w:rPr>
          <w:rFonts w:hint="eastAsia" w:hAnsi="宋体" w:cs="宋体"/>
          <w:b/>
          <w:sz w:val="24"/>
          <w:szCs w:val="24"/>
        </w:rPr>
        <w:t>附件七 项目人员配备</w:t>
      </w:r>
    </w:p>
    <w:p w14:paraId="4C7DE82D">
      <w:pPr>
        <w:pStyle w:val="28"/>
        <w:spacing w:line="400" w:lineRule="atLeast"/>
        <w:ind w:left="2629" w:firstLine="281" w:firstLineChars="100"/>
        <w:rPr>
          <w:rFonts w:hAnsi="宋体" w:cs="宋体"/>
          <w:b/>
          <w:sz w:val="28"/>
        </w:rPr>
      </w:pPr>
      <w:r>
        <w:rPr>
          <w:rFonts w:hint="eastAsia" w:hAnsi="宋体" w:cs="宋体"/>
          <w:b/>
          <w:sz w:val="28"/>
        </w:rPr>
        <w:t>（1）拟派项目负责人情况表</w:t>
      </w:r>
    </w:p>
    <w:p w14:paraId="1AE5A013">
      <w:pPr>
        <w:pStyle w:val="28"/>
        <w:spacing w:line="400" w:lineRule="atLeast"/>
        <w:ind w:left="2629"/>
        <w:rPr>
          <w:rFonts w:hAnsi="宋体" w:cs="宋体"/>
          <w:b/>
          <w:sz w:val="28"/>
        </w:rPr>
      </w:pPr>
    </w:p>
    <w:p w14:paraId="0B2D623C">
      <w:pPr>
        <w:pStyle w:val="28"/>
        <w:spacing w:line="400" w:lineRule="atLeast"/>
        <w:ind w:left="663" w:hanging="663" w:hangingChars="300"/>
        <w:rPr>
          <w:rFonts w:hAnsi="宋体" w:cs="宋体"/>
          <w:b/>
          <w:sz w:val="22"/>
        </w:rPr>
      </w:pPr>
      <w:r>
        <w:rPr>
          <w:rFonts w:hint="eastAsia" w:hAnsi="宋体" w:cs="宋体"/>
          <w:b/>
          <w:sz w:val="22"/>
        </w:rPr>
        <w:t>项目名称：                                        项目编号：</w:t>
      </w:r>
    </w:p>
    <w:tbl>
      <w:tblPr>
        <w:tblStyle w:val="5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04"/>
        <w:gridCol w:w="1636"/>
        <w:gridCol w:w="1632"/>
        <w:gridCol w:w="1744"/>
        <w:gridCol w:w="1561"/>
        <w:gridCol w:w="1677"/>
      </w:tblGrid>
      <w:tr w14:paraId="71891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exact"/>
          <w:jc w:val="center"/>
        </w:trPr>
        <w:tc>
          <w:tcPr>
            <w:tcW w:w="1604" w:type="dxa"/>
            <w:tcBorders>
              <w:top w:val="single" w:color="auto" w:sz="12" w:space="0"/>
              <w:left w:val="single" w:color="auto" w:sz="12" w:space="0"/>
              <w:bottom w:val="single" w:color="auto" w:sz="6" w:space="0"/>
              <w:right w:val="single" w:color="auto" w:sz="6" w:space="0"/>
            </w:tcBorders>
            <w:vAlign w:val="center"/>
          </w:tcPr>
          <w:p w14:paraId="0F55381B">
            <w:pPr>
              <w:pStyle w:val="28"/>
              <w:spacing w:line="400" w:lineRule="atLeast"/>
              <w:ind w:left="660" w:hanging="660" w:hangingChars="300"/>
              <w:jc w:val="center"/>
              <w:rPr>
                <w:rFonts w:hAnsi="宋体" w:cs="宋体"/>
                <w:sz w:val="22"/>
              </w:rPr>
            </w:pPr>
            <w:r>
              <w:rPr>
                <w:rFonts w:hint="eastAsia" w:hAnsi="宋体" w:cs="宋体"/>
                <w:sz w:val="22"/>
              </w:rPr>
              <w:t>姓 名</w:t>
            </w:r>
          </w:p>
        </w:tc>
        <w:tc>
          <w:tcPr>
            <w:tcW w:w="1636" w:type="dxa"/>
            <w:tcBorders>
              <w:top w:val="single" w:color="auto" w:sz="12" w:space="0"/>
              <w:left w:val="single" w:color="auto" w:sz="6" w:space="0"/>
              <w:bottom w:val="single" w:color="auto" w:sz="6" w:space="0"/>
              <w:right w:val="single" w:color="auto" w:sz="6" w:space="0"/>
            </w:tcBorders>
            <w:vAlign w:val="center"/>
          </w:tcPr>
          <w:p w14:paraId="4A68B539">
            <w:pPr>
              <w:pStyle w:val="28"/>
              <w:spacing w:line="400" w:lineRule="atLeast"/>
              <w:ind w:left="660" w:hanging="660" w:hangingChars="300"/>
              <w:jc w:val="center"/>
              <w:rPr>
                <w:rFonts w:hAnsi="宋体" w:cs="宋体"/>
                <w:sz w:val="22"/>
              </w:rPr>
            </w:pPr>
          </w:p>
        </w:tc>
        <w:tc>
          <w:tcPr>
            <w:tcW w:w="1632" w:type="dxa"/>
            <w:tcBorders>
              <w:top w:val="single" w:color="auto" w:sz="12" w:space="0"/>
              <w:left w:val="single" w:color="auto" w:sz="6" w:space="0"/>
              <w:bottom w:val="single" w:color="auto" w:sz="6" w:space="0"/>
              <w:right w:val="single" w:color="auto" w:sz="6" w:space="0"/>
            </w:tcBorders>
            <w:vAlign w:val="center"/>
          </w:tcPr>
          <w:p w14:paraId="73BE502A">
            <w:pPr>
              <w:pStyle w:val="28"/>
              <w:spacing w:line="400" w:lineRule="atLeast"/>
              <w:ind w:left="660" w:hanging="660" w:hangingChars="300"/>
              <w:jc w:val="center"/>
              <w:rPr>
                <w:rFonts w:hAnsi="宋体" w:cs="宋体"/>
                <w:sz w:val="22"/>
              </w:rPr>
            </w:pPr>
            <w:r>
              <w:rPr>
                <w:rFonts w:hint="eastAsia" w:hAnsi="宋体" w:cs="宋体"/>
                <w:sz w:val="22"/>
              </w:rPr>
              <w:t>性 别</w:t>
            </w:r>
          </w:p>
        </w:tc>
        <w:tc>
          <w:tcPr>
            <w:tcW w:w="1744" w:type="dxa"/>
            <w:tcBorders>
              <w:top w:val="single" w:color="auto" w:sz="12" w:space="0"/>
              <w:left w:val="single" w:color="auto" w:sz="6" w:space="0"/>
              <w:bottom w:val="single" w:color="auto" w:sz="6" w:space="0"/>
              <w:right w:val="single" w:color="auto" w:sz="6" w:space="0"/>
            </w:tcBorders>
            <w:vAlign w:val="center"/>
          </w:tcPr>
          <w:p w14:paraId="6AA38F46">
            <w:pPr>
              <w:pStyle w:val="28"/>
              <w:spacing w:line="400" w:lineRule="atLeast"/>
              <w:ind w:left="660" w:hanging="660" w:hangingChars="300"/>
              <w:jc w:val="center"/>
              <w:rPr>
                <w:rFonts w:hAnsi="宋体" w:cs="宋体"/>
                <w:sz w:val="22"/>
              </w:rPr>
            </w:pPr>
          </w:p>
        </w:tc>
        <w:tc>
          <w:tcPr>
            <w:tcW w:w="1561" w:type="dxa"/>
            <w:tcBorders>
              <w:top w:val="single" w:color="auto" w:sz="12" w:space="0"/>
              <w:left w:val="single" w:color="auto" w:sz="6" w:space="0"/>
              <w:bottom w:val="single" w:color="auto" w:sz="6" w:space="0"/>
              <w:right w:val="single" w:color="auto" w:sz="6" w:space="0"/>
            </w:tcBorders>
            <w:vAlign w:val="center"/>
          </w:tcPr>
          <w:p w14:paraId="6D0756E9">
            <w:pPr>
              <w:pStyle w:val="28"/>
              <w:spacing w:line="400" w:lineRule="atLeast"/>
              <w:ind w:left="660" w:hanging="660" w:hangingChars="300"/>
              <w:jc w:val="center"/>
              <w:rPr>
                <w:rFonts w:hAnsi="宋体" w:cs="宋体"/>
                <w:sz w:val="22"/>
              </w:rPr>
            </w:pPr>
            <w:r>
              <w:rPr>
                <w:rFonts w:hint="eastAsia" w:hAnsi="宋体" w:cs="宋体"/>
                <w:sz w:val="22"/>
              </w:rPr>
              <w:t>年 龄</w:t>
            </w:r>
          </w:p>
        </w:tc>
        <w:tc>
          <w:tcPr>
            <w:tcW w:w="1677" w:type="dxa"/>
            <w:tcBorders>
              <w:top w:val="single" w:color="auto" w:sz="12" w:space="0"/>
              <w:left w:val="single" w:color="auto" w:sz="6" w:space="0"/>
              <w:bottom w:val="single" w:color="auto" w:sz="6" w:space="0"/>
              <w:right w:val="single" w:color="auto" w:sz="12" w:space="0"/>
            </w:tcBorders>
            <w:vAlign w:val="center"/>
          </w:tcPr>
          <w:p w14:paraId="565B10AE">
            <w:pPr>
              <w:pStyle w:val="28"/>
              <w:spacing w:line="400" w:lineRule="atLeast"/>
              <w:ind w:left="660" w:hanging="660" w:hangingChars="300"/>
              <w:jc w:val="center"/>
              <w:rPr>
                <w:rFonts w:hAnsi="宋体" w:cs="宋体"/>
                <w:sz w:val="22"/>
              </w:rPr>
            </w:pPr>
          </w:p>
        </w:tc>
      </w:tr>
      <w:tr w14:paraId="0084E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exact"/>
          <w:jc w:val="center"/>
        </w:trPr>
        <w:tc>
          <w:tcPr>
            <w:tcW w:w="1604" w:type="dxa"/>
            <w:tcBorders>
              <w:top w:val="single" w:color="auto" w:sz="6" w:space="0"/>
              <w:left w:val="single" w:color="auto" w:sz="12" w:space="0"/>
              <w:bottom w:val="single" w:color="auto" w:sz="6" w:space="0"/>
              <w:right w:val="single" w:color="auto" w:sz="6" w:space="0"/>
            </w:tcBorders>
            <w:vAlign w:val="center"/>
          </w:tcPr>
          <w:p w14:paraId="529E9E7C">
            <w:pPr>
              <w:pStyle w:val="28"/>
              <w:spacing w:line="400" w:lineRule="atLeast"/>
              <w:ind w:left="660" w:hanging="660" w:hangingChars="300"/>
              <w:jc w:val="center"/>
              <w:rPr>
                <w:rFonts w:hAnsi="宋体" w:cs="宋体"/>
                <w:sz w:val="22"/>
              </w:rPr>
            </w:pPr>
            <w:r>
              <w:rPr>
                <w:rFonts w:hint="eastAsia" w:hAnsi="宋体" w:cs="宋体"/>
                <w:sz w:val="22"/>
              </w:rPr>
              <w:t>学 历</w:t>
            </w:r>
          </w:p>
        </w:tc>
        <w:tc>
          <w:tcPr>
            <w:tcW w:w="1636" w:type="dxa"/>
            <w:tcBorders>
              <w:top w:val="single" w:color="auto" w:sz="6" w:space="0"/>
              <w:left w:val="single" w:color="auto" w:sz="6" w:space="0"/>
              <w:bottom w:val="single" w:color="auto" w:sz="6" w:space="0"/>
              <w:right w:val="single" w:color="auto" w:sz="6" w:space="0"/>
            </w:tcBorders>
            <w:vAlign w:val="center"/>
          </w:tcPr>
          <w:p w14:paraId="20CF939D">
            <w:pPr>
              <w:pStyle w:val="28"/>
              <w:spacing w:line="400" w:lineRule="atLeast"/>
              <w:ind w:left="660" w:hanging="660" w:hangingChars="300"/>
              <w:jc w:val="center"/>
              <w:rPr>
                <w:rFonts w:hAnsi="宋体" w:cs="宋体"/>
                <w:sz w:val="22"/>
              </w:rPr>
            </w:pPr>
          </w:p>
        </w:tc>
        <w:tc>
          <w:tcPr>
            <w:tcW w:w="1632" w:type="dxa"/>
            <w:tcBorders>
              <w:top w:val="single" w:color="auto" w:sz="6" w:space="0"/>
              <w:left w:val="single" w:color="auto" w:sz="6" w:space="0"/>
              <w:bottom w:val="single" w:color="auto" w:sz="6" w:space="0"/>
              <w:right w:val="single" w:color="auto" w:sz="6" w:space="0"/>
            </w:tcBorders>
            <w:vAlign w:val="center"/>
          </w:tcPr>
          <w:p w14:paraId="51271AA7">
            <w:pPr>
              <w:pStyle w:val="28"/>
              <w:spacing w:line="400" w:lineRule="atLeast"/>
              <w:ind w:left="660" w:hanging="660" w:hangingChars="300"/>
              <w:jc w:val="center"/>
              <w:rPr>
                <w:rFonts w:hAnsi="宋体" w:cs="宋体"/>
                <w:sz w:val="22"/>
              </w:rPr>
            </w:pPr>
            <w:r>
              <w:rPr>
                <w:rFonts w:hint="eastAsia" w:hAnsi="宋体" w:cs="宋体"/>
                <w:sz w:val="22"/>
              </w:rPr>
              <w:t>职 称</w:t>
            </w:r>
          </w:p>
        </w:tc>
        <w:tc>
          <w:tcPr>
            <w:tcW w:w="1744" w:type="dxa"/>
            <w:tcBorders>
              <w:top w:val="single" w:color="auto" w:sz="6" w:space="0"/>
              <w:left w:val="single" w:color="auto" w:sz="6" w:space="0"/>
              <w:bottom w:val="single" w:color="auto" w:sz="6" w:space="0"/>
              <w:right w:val="single" w:color="auto" w:sz="6" w:space="0"/>
            </w:tcBorders>
            <w:vAlign w:val="center"/>
          </w:tcPr>
          <w:p w14:paraId="733D360A">
            <w:pPr>
              <w:pStyle w:val="28"/>
              <w:spacing w:line="400" w:lineRule="atLeast"/>
              <w:ind w:left="660" w:hanging="660" w:hangingChars="300"/>
              <w:jc w:val="center"/>
              <w:rPr>
                <w:rFonts w:hAnsi="宋体" w:cs="宋体"/>
                <w:sz w:val="22"/>
              </w:rPr>
            </w:pPr>
          </w:p>
        </w:tc>
        <w:tc>
          <w:tcPr>
            <w:tcW w:w="1561" w:type="dxa"/>
            <w:tcBorders>
              <w:top w:val="single" w:color="auto" w:sz="6" w:space="0"/>
              <w:left w:val="single" w:color="auto" w:sz="6" w:space="0"/>
              <w:bottom w:val="single" w:color="auto" w:sz="6" w:space="0"/>
              <w:right w:val="single" w:color="auto" w:sz="6" w:space="0"/>
            </w:tcBorders>
            <w:vAlign w:val="center"/>
          </w:tcPr>
          <w:p w14:paraId="3A5BB62E">
            <w:pPr>
              <w:pStyle w:val="28"/>
              <w:spacing w:line="400" w:lineRule="atLeast"/>
              <w:ind w:left="660" w:hanging="660" w:hangingChars="300"/>
              <w:jc w:val="center"/>
              <w:rPr>
                <w:rFonts w:hAnsi="宋体" w:cs="宋体"/>
                <w:sz w:val="22"/>
              </w:rPr>
            </w:pPr>
            <w:r>
              <w:rPr>
                <w:rFonts w:hint="eastAsia" w:hAnsi="宋体" w:cs="宋体"/>
                <w:sz w:val="22"/>
              </w:rPr>
              <w:t>职 务</w:t>
            </w:r>
          </w:p>
        </w:tc>
        <w:tc>
          <w:tcPr>
            <w:tcW w:w="1677" w:type="dxa"/>
            <w:tcBorders>
              <w:top w:val="single" w:color="auto" w:sz="6" w:space="0"/>
              <w:left w:val="single" w:color="auto" w:sz="6" w:space="0"/>
              <w:bottom w:val="single" w:color="auto" w:sz="6" w:space="0"/>
              <w:right w:val="single" w:color="auto" w:sz="12" w:space="0"/>
            </w:tcBorders>
            <w:vAlign w:val="center"/>
          </w:tcPr>
          <w:p w14:paraId="70213312">
            <w:pPr>
              <w:pStyle w:val="28"/>
              <w:spacing w:line="400" w:lineRule="atLeast"/>
              <w:ind w:left="660" w:hanging="660" w:hangingChars="300"/>
              <w:jc w:val="center"/>
              <w:rPr>
                <w:rFonts w:hAnsi="宋体" w:cs="宋体"/>
                <w:sz w:val="22"/>
              </w:rPr>
            </w:pPr>
          </w:p>
        </w:tc>
      </w:tr>
      <w:tr w14:paraId="2EA54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exact"/>
          <w:jc w:val="center"/>
        </w:trPr>
        <w:tc>
          <w:tcPr>
            <w:tcW w:w="1604" w:type="dxa"/>
            <w:tcBorders>
              <w:top w:val="single" w:color="auto" w:sz="6" w:space="0"/>
              <w:left w:val="single" w:color="auto" w:sz="12" w:space="0"/>
              <w:bottom w:val="single" w:color="auto" w:sz="6" w:space="0"/>
              <w:right w:val="single" w:color="auto" w:sz="6" w:space="0"/>
            </w:tcBorders>
            <w:vAlign w:val="center"/>
          </w:tcPr>
          <w:p w14:paraId="00A16105">
            <w:pPr>
              <w:pStyle w:val="28"/>
              <w:spacing w:line="400" w:lineRule="atLeast"/>
              <w:ind w:left="660" w:hanging="660" w:hangingChars="300"/>
              <w:jc w:val="center"/>
              <w:rPr>
                <w:rFonts w:hAnsi="宋体" w:cs="宋体"/>
                <w:sz w:val="22"/>
              </w:rPr>
            </w:pPr>
            <w:r>
              <w:rPr>
                <w:rFonts w:hint="eastAsia" w:hAnsi="宋体" w:cs="宋体"/>
                <w:sz w:val="22"/>
              </w:rPr>
              <w:t>联系电话</w:t>
            </w:r>
          </w:p>
        </w:tc>
        <w:tc>
          <w:tcPr>
            <w:tcW w:w="3268" w:type="dxa"/>
            <w:gridSpan w:val="2"/>
            <w:tcBorders>
              <w:top w:val="single" w:color="auto" w:sz="6" w:space="0"/>
              <w:left w:val="single" w:color="auto" w:sz="6" w:space="0"/>
              <w:bottom w:val="single" w:color="auto" w:sz="6" w:space="0"/>
              <w:right w:val="single" w:color="auto" w:sz="6" w:space="0"/>
            </w:tcBorders>
            <w:vAlign w:val="center"/>
          </w:tcPr>
          <w:p w14:paraId="6587B579">
            <w:pPr>
              <w:pStyle w:val="28"/>
              <w:spacing w:line="400" w:lineRule="atLeast"/>
              <w:ind w:left="660" w:hanging="660" w:hangingChars="300"/>
              <w:jc w:val="center"/>
              <w:rPr>
                <w:rFonts w:hAnsi="宋体" w:cs="宋体"/>
                <w:sz w:val="22"/>
              </w:rPr>
            </w:pPr>
          </w:p>
        </w:tc>
        <w:tc>
          <w:tcPr>
            <w:tcW w:w="1744" w:type="dxa"/>
            <w:tcBorders>
              <w:top w:val="single" w:color="auto" w:sz="6" w:space="0"/>
              <w:left w:val="single" w:color="auto" w:sz="6" w:space="0"/>
              <w:bottom w:val="single" w:color="auto" w:sz="6" w:space="0"/>
              <w:right w:val="single" w:color="auto" w:sz="6" w:space="0"/>
            </w:tcBorders>
            <w:vAlign w:val="center"/>
          </w:tcPr>
          <w:p w14:paraId="0CC3C356">
            <w:pPr>
              <w:pStyle w:val="28"/>
              <w:spacing w:line="400" w:lineRule="atLeast"/>
              <w:ind w:left="660" w:hanging="660" w:hangingChars="300"/>
              <w:jc w:val="center"/>
              <w:rPr>
                <w:rFonts w:hAnsi="宋体" w:cs="宋体"/>
                <w:sz w:val="22"/>
              </w:rPr>
            </w:pPr>
            <w:r>
              <w:rPr>
                <w:rFonts w:hint="eastAsia" w:hAnsi="宋体" w:cs="宋体"/>
                <w:sz w:val="22"/>
              </w:rPr>
              <w:t>手 机</w:t>
            </w:r>
          </w:p>
        </w:tc>
        <w:tc>
          <w:tcPr>
            <w:tcW w:w="3238" w:type="dxa"/>
            <w:gridSpan w:val="2"/>
            <w:tcBorders>
              <w:top w:val="single" w:color="auto" w:sz="6" w:space="0"/>
              <w:left w:val="single" w:color="auto" w:sz="6" w:space="0"/>
              <w:bottom w:val="single" w:color="auto" w:sz="6" w:space="0"/>
              <w:right w:val="single" w:color="auto" w:sz="12" w:space="0"/>
            </w:tcBorders>
            <w:vAlign w:val="center"/>
          </w:tcPr>
          <w:p w14:paraId="2C3A21C1">
            <w:pPr>
              <w:pStyle w:val="28"/>
              <w:spacing w:line="400" w:lineRule="atLeast"/>
              <w:ind w:left="660" w:hanging="660" w:hangingChars="300"/>
              <w:jc w:val="center"/>
              <w:rPr>
                <w:rFonts w:hAnsi="宋体" w:cs="宋体"/>
                <w:sz w:val="22"/>
              </w:rPr>
            </w:pPr>
          </w:p>
        </w:tc>
      </w:tr>
      <w:tr w14:paraId="6886C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3" w:hRule="atLeast"/>
          <w:jc w:val="center"/>
        </w:trPr>
        <w:tc>
          <w:tcPr>
            <w:tcW w:w="9854" w:type="dxa"/>
            <w:gridSpan w:val="6"/>
            <w:tcBorders>
              <w:top w:val="single" w:color="auto" w:sz="6" w:space="0"/>
              <w:left w:val="single" w:color="auto" w:sz="12" w:space="0"/>
              <w:bottom w:val="single" w:color="auto" w:sz="12" w:space="0"/>
              <w:right w:val="single" w:color="auto" w:sz="12" w:space="0"/>
            </w:tcBorders>
          </w:tcPr>
          <w:p w14:paraId="3B0E8EBD">
            <w:pPr>
              <w:pStyle w:val="28"/>
              <w:spacing w:line="400" w:lineRule="atLeast"/>
              <w:ind w:left="660" w:hanging="660" w:hangingChars="300"/>
              <w:rPr>
                <w:rFonts w:hAnsi="宋体" w:cs="宋体"/>
                <w:sz w:val="22"/>
              </w:rPr>
            </w:pPr>
            <w:r>
              <w:rPr>
                <w:rFonts w:hint="eastAsia" w:hAnsi="宋体" w:cs="宋体"/>
                <w:sz w:val="22"/>
              </w:rPr>
              <w:t>近五年从事相关工作经历及业绩：</w:t>
            </w:r>
          </w:p>
        </w:tc>
      </w:tr>
    </w:tbl>
    <w:p w14:paraId="75E5A346">
      <w:pPr>
        <w:pStyle w:val="28"/>
        <w:spacing w:line="340" w:lineRule="exact"/>
        <w:rPr>
          <w:rFonts w:hAnsi="宋体" w:cs="宋体"/>
          <w:sz w:val="22"/>
        </w:rPr>
      </w:pPr>
      <w:r>
        <w:rPr>
          <w:rFonts w:hint="eastAsia" w:hAnsi="宋体" w:cs="宋体"/>
          <w:sz w:val="22"/>
        </w:rPr>
        <w:t xml:space="preserve">  注：</w:t>
      </w:r>
      <w:r>
        <w:rPr>
          <w:rFonts w:hint="eastAsia" w:hAnsi="宋体" w:cs="宋体"/>
        </w:rPr>
        <w:t>根据评分细则提供相关证明</w:t>
      </w:r>
      <w:r>
        <w:rPr>
          <w:rFonts w:hint="eastAsia" w:hAnsi="宋体" w:cs="宋体"/>
          <w:bCs/>
          <w:sz w:val="22"/>
          <w:szCs w:val="22"/>
        </w:rPr>
        <w:t>材料复印件加盖公章。</w:t>
      </w:r>
      <w:r>
        <w:rPr>
          <w:rFonts w:hint="eastAsia" w:hAnsi="宋体" w:cs="宋体"/>
          <w:sz w:val="22"/>
        </w:rPr>
        <w:t xml:space="preserve">                                      </w:t>
      </w:r>
    </w:p>
    <w:p w14:paraId="2E229FA4">
      <w:pPr>
        <w:pStyle w:val="28"/>
        <w:spacing w:line="340" w:lineRule="exact"/>
        <w:ind w:left="660" w:hanging="660" w:hangingChars="300"/>
        <w:rPr>
          <w:rFonts w:hAnsi="宋体" w:cs="宋体"/>
          <w:sz w:val="22"/>
        </w:rPr>
      </w:pPr>
    </w:p>
    <w:p w14:paraId="1852D22D">
      <w:pPr>
        <w:pStyle w:val="28"/>
        <w:spacing w:line="340" w:lineRule="exact"/>
        <w:ind w:left="660" w:hanging="660" w:hangingChars="300"/>
        <w:rPr>
          <w:rFonts w:hAnsi="宋体" w:cs="宋体"/>
          <w:sz w:val="22"/>
        </w:rPr>
      </w:pPr>
    </w:p>
    <w:p w14:paraId="73A72177">
      <w:pPr>
        <w:spacing w:before="240" w:beforeLines="100" w:line="360" w:lineRule="auto"/>
        <w:ind w:right="-21" w:rightChars="-10"/>
        <w:rPr>
          <w:rFonts w:ascii="宋体" w:hAnsi="宋体"/>
          <w:sz w:val="22"/>
          <w:szCs w:val="22"/>
        </w:rPr>
      </w:pPr>
      <w:r>
        <w:rPr>
          <w:rFonts w:hint="eastAsia" w:ascii="宋体" w:hAnsi="宋体"/>
          <w:sz w:val="22"/>
          <w:szCs w:val="22"/>
        </w:rPr>
        <w:t>投标供应商全称（公章）：</w:t>
      </w:r>
    </w:p>
    <w:p w14:paraId="42FF9117">
      <w:pPr>
        <w:spacing w:before="120" w:beforeLines="50" w:line="360" w:lineRule="auto"/>
        <w:ind w:right="-10"/>
        <w:rPr>
          <w:rFonts w:ascii="宋体" w:hAnsi="宋体"/>
          <w:sz w:val="22"/>
          <w:szCs w:val="22"/>
        </w:rPr>
      </w:pPr>
      <w:r>
        <w:rPr>
          <w:rFonts w:hint="eastAsia" w:ascii="宋体" w:hAnsi="宋体"/>
          <w:sz w:val="22"/>
          <w:szCs w:val="22"/>
        </w:rPr>
        <w:t>法定代表人或授权代表（签字或盖章）：</w:t>
      </w:r>
    </w:p>
    <w:p w14:paraId="4432F1D7">
      <w:pPr>
        <w:spacing w:line="440" w:lineRule="exact"/>
        <w:rPr>
          <w:rFonts w:ascii="宋体" w:hAnsi="宋体" w:cs="宋体"/>
          <w:szCs w:val="21"/>
        </w:rPr>
      </w:pPr>
      <w:r>
        <w:rPr>
          <w:rFonts w:hint="eastAsia" w:ascii="宋体" w:hAnsi="宋体"/>
          <w:sz w:val="22"/>
          <w:szCs w:val="22"/>
        </w:rPr>
        <w:t>日期：  年  月  日</w:t>
      </w:r>
    </w:p>
    <w:p w14:paraId="5C2EFDAC">
      <w:pPr>
        <w:pStyle w:val="28"/>
        <w:tabs>
          <w:tab w:val="left" w:pos="0"/>
          <w:tab w:val="left" w:pos="540"/>
        </w:tabs>
        <w:spacing w:line="340" w:lineRule="exact"/>
        <w:rPr>
          <w:rFonts w:hAnsi="宋体" w:cs="宋体"/>
          <w:sz w:val="22"/>
        </w:rPr>
      </w:pPr>
    </w:p>
    <w:p w14:paraId="28E8C72B">
      <w:pPr>
        <w:ind w:left="420"/>
        <w:rPr>
          <w:rFonts w:ascii="宋体" w:hAnsi="宋体" w:cs="宋体"/>
          <w:b/>
          <w:sz w:val="28"/>
        </w:rPr>
      </w:pPr>
      <w:r>
        <w:rPr>
          <w:rFonts w:hint="eastAsia" w:ascii="宋体" w:hAnsi="宋体" w:cs="宋体"/>
          <w:b/>
          <w:sz w:val="28"/>
        </w:rPr>
        <w:br w:type="page"/>
      </w:r>
    </w:p>
    <w:p w14:paraId="187AFB83">
      <w:pPr>
        <w:ind w:left="420" w:firstLine="2249" w:firstLineChars="800"/>
        <w:rPr>
          <w:rFonts w:ascii="宋体" w:hAnsi="宋体" w:cs="宋体"/>
          <w:b/>
          <w:sz w:val="28"/>
        </w:rPr>
      </w:pPr>
      <w:r>
        <w:rPr>
          <w:rFonts w:hint="eastAsia" w:ascii="宋体" w:hAnsi="宋体" w:cs="宋体"/>
          <w:b/>
          <w:sz w:val="28"/>
        </w:rPr>
        <w:t>（2）拟投入本项目的服务人员名单</w:t>
      </w:r>
    </w:p>
    <w:p w14:paraId="4D156050">
      <w:pPr>
        <w:ind w:left="420"/>
        <w:rPr>
          <w:rFonts w:ascii="宋体" w:hAnsi="宋体" w:cs="宋体"/>
          <w:b/>
          <w:sz w:val="28"/>
        </w:rPr>
      </w:pPr>
    </w:p>
    <w:p w14:paraId="2033D298">
      <w:pPr>
        <w:rPr>
          <w:rFonts w:ascii="宋体" w:hAnsi="宋体" w:cs="宋体"/>
          <w:sz w:val="22"/>
        </w:rPr>
      </w:pPr>
      <w:r>
        <w:rPr>
          <w:rFonts w:hint="eastAsia" w:ascii="宋体" w:hAnsi="宋体" w:cs="宋体"/>
          <w:b/>
          <w:sz w:val="24"/>
        </w:rPr>
        <w:t>项目名称：</w:t>
      </w:r>
      <w:r>
        <w:rPr>
          <w:rFonts w:hint="eastAsia" w:ascii="宋体" w:hAnsi="宋体" w:cs="宋体"/>
          <w:b/>
          <w:sz w:val="22"/>
        </w:rPr>
        <w:t xml:space="preserve">                                         项目编号：</w:t>
      </w:r>
      <w:r>
        <w:rPr>
          <w:rFonts w:hint="eastAsia" w:ascii="宋体" w:hAnsi="宋体" w:cs="宋体"/>
          <w:sz w:val="22"/>
        </w:rPr>
        <w:t xml:space="preserve"> </w:t>
      </w:r>
    </w:p>
    <w:tbl>
      <w:tblPr>
        <w:tblStyle w:val="50"/>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66"/>
        <w:gridCol w:w="958"/>
        <w:gridCol w:w="958"/>
        <w:gridCol w:w="767"/>
        <w:gridCol w:w="767"/>
        <w:gridCol w:w="1340"/>
        <w:gridCol w:w="1326"/>
        <w:gridCol w:w="1825"/>
        <w:gridCol w:w="1147"/>
      </w:tblGrid>
      <w:tr w14:paraId="521C70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5" w:hRule="atLeast"/>
          <w:jc w:val="center"/>
        </w:trPr>
        <w:tc>
          <w:tcPr>
            <w:tcW w:w="766" w:type="dxa"/>
            <w:vAlign w:val="center"/>
          </w:tcPr>
          <w:p w14:paraId="4DF028CF">
            <w:pPr>
              <w:spacing w:line="360" w:lineRule="auto"/>
              <w:jc w:val="center"/>
              <w:rPr>
                <w:rFonts w:ascii="宋体" w:hAnsi="宋体" w:cs="宋体"/>
                <w:sz w:val="22"/>
              </w:rPr>
            </w:pPr>
            <w:r>
              <w:rPr>
                <w:rFonts w:hint="eastAsia" w:ascii="宋体" w:hAnsi="宋体" w:cs="宋体"/>
                <w:sz w:val="22"/>
              </w:rPr>
              <w:t>序号</w:t>
            </w:r>
          </w:p>
        </w:tc>
        <w:tc>
          <w:tcPr>
            <w:tcW w:w="958" w:type="dxa"/>
            <w:vAlign w:val="center"/>
          </w:tcPr>
          <w:p w14:paraId="081C193C">
            <w:pPr>
              <w:spacing w:line="360" w:lineRule="auto"/>
              <w:jc w:val="center"/>
              <w:rPr>
                <w:rFonts w:ascii="宋体" w:hAnsi="宋体" w:cs="宋体"/>
                <w:sz w:val="22"/>
              </w:rPr>
            </w:pPr>
            <w:r>
              <w:rPr>
                <w:rFonts w:hint="eastAsia" w:ascii="宋体" w:hAnsi="宋体" w:cs="宋体"/>
                <w:sz w:val="22"/>
              </w:rPr>
              <w:t>姓名</w:t>
            </w:r>
          </w:p>
        </w:tc>
        <w:tc>
          <w:tcPr>
            <w:tcW w:w="958" w:type="dxa"/>
            <w:vAlign w:val="center"/>
          </w:tcPr>
          <w:p w14:paraId="1DA881A3">
            <w:pPr>
              <w:spacing w:line="360" w:lineRule="auto"/>
              <w:jc w:val="center"/>
              <w:rPr>
                <w:rFonts w:ascii="宋体" w:hAnsi="宋体" w:cs="宋体"/>
                <w:sz w:val="22"/>
              </w:rPr>
            </w:pPr>
            <w:r>
              <w:rPr>
                <w:rFonts w:hint="eastAsia" w:ascii="宋体" w:hAnsi="宋体" w:cs="宋体"/>
                <w:sz w:val="22"/>
              </w:rPr>
              <w:t>性别</w:t>
            </w:r>
          </w:p>
        </w:tc>
        <w:tc>
          <w:tcPr>
            <w:tcW w:w="767" w:type="dxa"/>
            <w:vAlign w:val="center"/>
          </w:tcPr>
          <w:p w14:paraId="426CD2EA">
            <w:pPr>
              <w:spacing w:line="360" w:lineRule="auto"/>
              <w:jc w:val="center"/>
              <w:rPr>
                <w:rFonts w:ascii="宋体" w:hAnsi="宋体" w:cs="宋体"/>
                <w:sz w:val="22"/>
              </w:rPr>
            </w:pPr>
            <w:r>
              <w:rPr>
                <w:rFonts w:hint="eastAsia" w:ascii="宋体" w:hAnsi="宋体" w:cs="宋体"/>
                <w:sz w:val="22"/>
              </w:rPr>
              <w:t>年龄</w:t>
            </w:r>
          </w:p>
        </w:tc>
        <w:tc>
          <w:tcPr>
            <w:tcW w:w="767" w:type="dxa"/>
            <w:vAlign w:val="center"/>
          </w:tcPr>
          <w:p w14:paraId="486D1D34">
            <w:pPr>
              <w:spacing w:line="360" w:lineRule="auto"/>
              <w:jc w:val="center"/>
              <w:rPr>
                <w:rFonts w:ascii="宋体" w:hAnsi="宋体" w:cs="宋体"/>
                <w:sz w:val="22"/>
              </w:rPr>
            </w:pPr>
            <w:r>
              <w:rPr>
                <w:rFonts w:hint="eastAsia" w:ascii="宋体" w:hAnsi="宋体" w:cs="宋体"/>
                <w:sz w:val="22"/>
              </w:rPr>
              <w:t>学历</w:t>
            </w:r>
          </w:p>
        </w:tc>
        <w:tc>
          <w:tcPr>
            <w:tcW w:w="1340" w:type="dxa"/>
            <w:vAlign w:val="center"/>
          </w:tcPr>
          <w:p w14:paraId="6FAC8367">
            <w:pPr>
              <w:spacing w:line="280" w:lineRule="exact"/>
              <w:jc w:val="center"/>
              <w:rPr>
                <w:rFonts w:ascii="宋体" w:hAnsi="宋体" w:cs="宋体"/>
                <w:sz w:val="22"/>
              </w:rPr>
            </w:pPr>
            <w:r>
              <w:rPr>
                <w:rFonts w:hint="eastAsia" w:ascii="宋体" w:hAnsi="宋体" w:cs="宋体"/>
                <w:sz w:val="22"/>
              </w:rPr>
              <w:t>职称/职务</w:t>
            </w:r>
          </w:p>
        </w:tc>
        <w:tc>
          <w:tcPr>
            <w:tcW w:w="1326" w:type="dxa"/>
            <w:vAlign w:val="center"/>
          </w:tcPr>
          <w:p w14:paraId="1DFAEF35">
            <w:pPr>
              <w:spacing w:line="280" w:lineRule="exact"/>
              <w:jc w:val="center"/>
              <w:rPr>
                <w:rFonts w:ascii="宋体" w:hAnsi="宋体" w:cs="宋体"/>
                <w:sz w:val="22"/>
              </w:rPr>
            </w:pPr>
            <w:r>
              <w:rPr>
                <w:rFonts w:hint="eastAsia" w:ascii="宋体" w:hAnsi="宋体" w:cs="宋体"/>
              </w:rPr>
              <w:t>本项目中的岗位</w:t>
            </w:r>
          </w:p>
        </w:tc>
        <w:tc>
          <w:tcPr>
            <w:tcW w:w="1825" w:type="dxa"/>
            <w:vAlign w:val="center"/>
          </w:tcPr>
          <w:p w14:paraId="6491A0BE">
            <w:pPr>
              <w:spacing w:line="360" w:lineRule="auto"/>
              <w:jc w:val="center"/>
              <w:rPr>
                <w:rFonts w:ascii="宋体" w:hAnsi="宋体" w:cs="宋体"/>
                <w:sz w:val="22"/>
              </w:rPr>
            </w:pPr>
            <w:r>
              <w:rPr>
                <w:rFonts w:hint="eastAsia" w:ascii="宋体" w:hAnsi="宋体" w:cs="宋体"/>
                <w:sz w:val="22"/>
              </w:rPr>
              <w:t>从事专业年限</w:t>
            </w:r>
          </w:p>
        </w:tc>
        <w:tc>
          <w:tcPr>
            <w:tcW w:w="1147" w:type="dxa"/>
            <w:vAlign w:val="center"/>
          </w:tcPr>
          <w:p w14:paraId="5F5EEB33">
            <w:pPr>
              <w:spacing w:line="360" w:lineRule="auto"/>
              <w:jc w:val="center"/>
              <w:rPr>
                <w:rFonts w:ascii="宋体" w:hAnsi="宋体" w:cs="宋体"/>
                <w:sz w:val="22"/>
              </w:rPr>
            </w:pPr>
            <w:r>
              <w:rPr>
                <w:rFonts w:hint="eastAsia" w:ascii="宋体" w:hAnsi="宋体" w:cs="宋体"/>
                <w:sz w:val="22"/>
              </w:rPr>
              <w:t>备注</w:t>
            </w:r>
          </w:p>
        </w:tc>
      </w:tr>
      <w:tr w14:paraId="4E0374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14:paraId="4E70857F">
            <w:pPr>
              <w:spacing w:line="360" w:lineRule="auto"/>
              <w:jc w:val="center"/>
              <w:rPr>
                <w:rFonts w:ascii="宋体" w:hAnsi="宋体" w:cs="宋体"/>
                <w:sz w:val="22"/>
              </w:rPr>
            </w:pPr>
          </w:p>
        </w:tc>
        <w:tc>
          <w:tcPr>
            <w:tcW w:w="958" w:type="dxa"/>
            <w:vAlign w:val="center"/>
          </w:tcPr>
          <w:p w14:paraId="3EFD3099">
            <w:pPr>
              <w:spacing w:line="360" w:lineRule="auto"/>
              <w:jc w:val="center"/>
              <w:rPr>
                <w:rFonts w:ascii="宋体" w:hAnsi="宋体" w:cs="宋体"/>
                <w:sz w:val="22"/>
              </w:rPr>
            </w:pPr>
          </w:p>
        </w:tc>
        <w:tc>
          <w:tcPr>
            <w:tcW w:w="958" w:type="dxa"/>
            <w:vAlign w:val="center"/>
          </w:tcPr>
          <w:p w14:paraId="5A052D35">
            <w:pPr>
              <w:spacing w:line="360" w:lineRule="auto"/>
              <w:jc w:val="center"/>
              <w:rPr>
                <w:rFonts w:ascii="宋体" w:hAnsi="宋体" w:cs="宋体"/>
                <w:sz w:val="22"/>
              </w:rPr>
            </w:pPr>
          </w:p>
        </w:tc>
        <w:tc>
          <w:tcPr>
            <w:tcW w:w="767" w:type="dxa"/>
            <w:vAlign w:val="center"/>
          </w:tcPr>
          <w:p w14:paraId="4343A035">
            <w:pPr>
              <w:spacing w:line="360" w:lineRule="auto"/>
              <w:jc w:val="center"/>
              <w:rPr>
                <w:rFonts w:ascii="宋体" w:hAnsi="宋体" w:cs="宋体"/>
                <w:sz w:val="22"/>
              </w:rPr>
            </w:pPr>
          </w:p>
        </w:tc>
        <w:tc>
          <w:tcPr>
            <w:tcW w:w="767" w:type="dxa"/>
            <w:vAlign w:val="center"/>
          </w:tcPr>
          <w:p w14:paraId="17FB3946">
            <w:pPr>
              <w:spacing w:line="360" w:lineRule="auto"/>
              <w:jc w:val="center"/>
              <w:rPr>
                <w:rFonts w:ascii="宋体" w:hAnsi="宋体" w:cs="宋体"/>
                <w:sz w:val="22"/>
              </w:rPr>
            </w:pPr>
          </w:p>
        </w:tc>
        <w:tc>
          <w:tcPr>
            <w:tcW w:w="1340" w:type="dxa"/>
            <w:vAlign w:val="center"/>
          </w:tcPr>
          <w:p w14:paraId="5FF61A81">
            <w:pPr>
              <w:spacing w:line="360" w:lineRule="auto"/>
              <w:jc w:val="center"/>
              <w:rPr>
                <w:rFonts w:ascii="宋体" w:hAnsi="宋体" w:cs="宋体"/>
                <w:sz w:val="22"/>
              </w:rPr>
            </w:pPr>
          </w:p>
        </w:tc>
        <w:tc>
          <w:tcPr>
            <w:tcW w:w="1326" w:type="dxa"/>
            <w:vAlign w:val="center"/>
          </w:tcPr>
          <w:p w14:paraId="5E7ACFEA">
            <w:pPr>
              <w:spacing w:line="360" w:lineRule="auto"/>
              <w:jc w:val="center"/>
              <w:rPr>
                <w:rFonts w:ascii="宋体" w:hAnsi="宋体" w:cs="宋体"/>
                <w:sz w:val="22"/>
              </w:rPr>
            </w:pPr>
          </w:p>
        </w:tc>
        <w:tc>
          <w:tcPr>
            <w:tcW w:w="1825" w:type="dxa"/>
          </w:tcPr>
          <w:p w14:paraId="77093E09">
            <w:pPr>
              <w:spacing w:line="360" w:lineRule="auto"/>
              <w:jc w:val="center"/>
              <w:rPr>
                <w:rFonts w:ascii="宋体" w:hAnsi="宋体" w:cs="宋体"/>
                <w:sz w:val="22"/>
              </w:rPr>
            </w:pPr>
          </w:p>
        </w:tc>
        <w:tc>
          <w:tcPr>
            <w:tcW w:w="1147" w:type="dxa"/>
            <w:vAlign w:val="center"/>
          </w:tcPr>
          <w:p w14:paraId="2D889CE8">
            <w:pPr>
              <w:spacing w:line="360" w:lineRule="auto"/>
              <w:jc w:val="center"/>
              <w:rPr>
                <w:rFonts w:ascii="宋体" w:hAnsi="宋体" w:cs="宋体"/>
                <w:sz w:val="22"/>
              </w:rPr>
            </w:pPr>
          </w:p>
        </w:tc>
      </w:tr>
      <w:tr w14:paraId="7C3778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14:paraId="4562D0A9">
            <w:pPr>
              <w:spacing w:line="360" w:lineRule="auto"/>
              <w:jc w:val="center"/>
              <w:rPr>
                <w:rFonts w:ascii="宋体" w:hAnsi="宋体" w:cs="宋体"/>
                <w:sz w:val="22"/>
              </w:rPr>
            </w:pPr>
          </w:p>
        </w:tc>
        <w:tc>
          <w:tcPr>
            <w:tcW w:w="958" w:type="dxa"/>
            <w:vAlign w:val="center"/>
          </w:tcPr>
          <w:p w14:paraId="5DB7AFB6">
            <w:pPr>
              <w:spacing w:line="360" w:lineRule="auto"/>
              <w:jc w:val="center"/>
              <w:rPr>
                <w:rFonts w:ascii="宋体" w:hAnsi="宋体" w:cs="宋体"/>
                <w:sz w:val="22"/>
              </w:rPr>
            </w:pPr>
          </w:p>
        </w:tc>
        <w:tc>
          <w:tcPr>
            <w:tcW w:w="958" w:type="dxa"/>
            <w:vAlign w:val="center"/>
          </w:tcPr>
          <w:p w14:paraId="570DB717">
            <w:pPr>
              <w:spacing w:line="360" w:lineRule="auto"/>
              <w:jc w:val="center"/>
              <w:rPr>
                <w:rFonts w:ascii="宋体" w:hAnsi="宋体" w:cs="宋体"/>
                <w:sz w:val="22"/>
              </w:rPr>
            </w:pPr>
          </w:p>
        </w:tc>
        <w:tc>
          <w:tcPr>
            <w:tcW w:w="767" w:type="dxa"/>
            <w:vAlign w:val="center"/>
          </w:tcPr>
          <w:p w14:paraId="6A9C6F6A">
            <w:pPr>
              <w:spacing w:line="360" w:lineRule="auto"/>
              <w:jc w:val="center"/>
              <w:rPr>
                <w:rFonts w:ascii="宋体" w:hAnsi="宋体" w:cs="宋体"/>
                <w:sz w:val="22"/>
              </w:rPr>
            </w:pPr>
          </w:p>
        </w:tc>
        <w:tc>
          <w:tcPr>
            <w:tcW w:w="767" w:type="dxa"/>
            <w:vAlign w:val="center"/>
          </w:tcPr>
          <w:p w14:paraId="21DD5D73">
            <w:pPr>
              <w:spacing w:line="360" w:lineRule="auto"/>
              <w:jc w:val="center"/>
              <w:rPr>
                <w:rFonts w:ascii="宋体" w:hAnsi="宋体" w:cs="宋体"/>
                <w:sz w:val="22"/>
              </w:rPr>
            </w:pPr>
          </w:p>
        </w:tc>
        <w:tc>
          <w:tcPr>
            <w:tcW w:w="1340" w:type="dxa"/>
            <w:vAlign w:val="center"/>
          </w:tcPr>
          <w:p w14:paraId="7E08F722">
            <w:pPr>
              <w:spacing w:line="360" w:lineRule="auto"/>
              <w:jc w:val="center"/>
              <w:rPr>
                <w:rFonts w:ascii="宋体" w:hAnsi="宋体" w:cs="宋体"/>
                <w:sz w:val="22"/>
              </w:rPr>
            </w:pPr>
          </w:p>
        </w:tc>
        <w:tc>
          <w:tcPr>
            <w:tcW w:w="1326" w:type="dxa"/>
            <w:vAlign w:val="center"/>
          </w:tcPr>
          <w:p w14:paraId="698E9C60">
            <w:pPr>
              <w:spacing w:line="360" w:lineRule="auto"/>
              <w:jc w:val="center"/>
              <w:rPr>
                <w:rFonts w:ascii="宋体" w:hAnsi="宋体" w:cs="宋体"/>
                <w:sz w:val="22"/>
              </w:rPr>
            </w:pPr>
          </w:p>
        </w:tc>
        <w:tc>
          <w:tcPr>
            <w:tcW w:w="1825" w:type="dxa"/>
          </w:tcPr>
          <w:p w14:paraId="51EAD767">
            <w:pPr>
              <w:spacing w:line="360" w:lineRule="auto"/>
              <w:jc w:val="center"/>
              <w:rPr>
                <w:rFonts w:ascii="宋体" w:hAnsi="宋体" w:cs="宋体"/>
                <w:sz w:val="22"/>
              </w:rPr>
            </w:pPr>
          </w:p>
        </w:tc>
        <w:tc>
          <w:tcPr>
            <w:tcW w:w="1147" w:type="dxa"/>
            <w:vAlign w:val="center"/>
          </w:tcPr>
          <w:p w14:paraId="20D06E9F">
            <w:pPr>
              <w:spacing w:line="360" w:lineRule="auto"/>
              <w:jc w:val="center"/>
              <w:rPr>
                <w:rFonts w:ascii="宋体" w:hAnsi="宋体" w:cs="宋体"/>
                <w:sz w:val="22"/>
              </w:rPr>
            </w:pPr>
          </w:p>
        </w:tc>
      </w:tr>
      <w:tr w14:paraId="3824E3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14:paraId="13EB8070">
            <w:pPr>
              <w:spacing w:line="360" w:lineRule="auto"/>
              <w:jc w:val="center"/>
              <w:rPr>
                <w:rFonts w:ascii="宋体" w:hAnsi="宋体" w:cs="宋体"/>
                <w:sz w:val="22"/>
              </w:rPr>
            </w:pPr>
          </w:p>
        </w:tc>
        <w:tc>
          <w:tcPr>
            <w:tcW w:w="958" w:type="dxa"/>
            <w:vAlign w:val="center"/>
          </w:tcPr>
          <w:p w14:paraId="34FE1D4D">
            <w:pPr>
              <w:spacing w:line="360" w:lineRule="auto"/>
              <w:jc w:val="center"/>
              <w:rPr>
                <w:rFonts w:ascii="宋体" w:hAnsi="宋体" w:cs="宋体"/>
                <w:sz w:val="22"/>
              </w:rPr>
            </w:pPr>
          </w:p>
        </w:tc>
        <w:tc>
          <w:tcPr>
            <w:tcW w:w="958" w:type="dxa"/>
            <w:vAlign w:val="center"/>
          </w:tcPr>
          <w:p w14:paraId="353D68F0">
            <w:pPr>
              <w:spacing w:line="360" w:lineRule="auto"/>
              <w:jc w:val="center"/>
              <w:rPr>
                <w:rFonts w:ascii="宋体" w:hAnsi="宋体" w:cs="宋体"/>
                <w:sz w:val="22"/>
              </w:rPr>
            </w:pPr>
          </w:p>
        </w:tc>
        <w:tc>
          <w:tcPr>
            <w:tcW w:w="767" w:type="dxa"/>
            <w:vAlign w:val="center"/>
          </w:tcPr>
          <w:p w14:paraId="5FE3E3BF">
            <w:pPr>
              <w:spacing w:line="360" w:lineRule="auto"/>
              <w:jc w:val="center"/>
              <w:rPr>
                <w:rFonts w:ascii="宋体" w:hAnsi="宋体" w:cs="宋体"/>
                <w:sz w:val="22"/>
              </w:rPr>
            </w:pPr>
          </w:p>
        </w:tc>
        <w:tc>
          <w:tcPr>
            <w:tcW w:w="767" w:type="dxa"/>
            <w:vAlign w:val="center"/>
          </w:tcPr>
          <w:p w14:paraId="2637E8BE">
            <w:pPr>
              <w:spacing w:line="360" w:lineRule="auto"/>
              <w:jc w:val="center"/>
              <w:rPr>
                <w:rFonts w:ascii="宋体" w:hAnsi="宋体" w:cs="宋体"/>
                <w:sz w:val="22"/>
              </w:rPr>
            </w:pPr>
          </w:p>
        </w:tc>
        <w:tc>
          <w:tcPr>
            <w:tcW w:w="1340" w:type="dxa"/>
            <w:vAlign w:val="center"/>
          </w:tcPr>
          <w:p w14:paraId="443A6FD5">
            <w:pPr>
              <w:spacing w:line="360" w:lineRule="auto"/>
              <w:jc w:val="center"/>
              <w:rPr>
                <w:rFonts w:ascii="宋体" w:hAnsi="宋体" w:cs="宋体"/>
                <w:sz w:val="22"/>
              </w:rPr>
            </w:pPr>
          </w:p>
        </w:tc>
        <w:tc>
          <w:tcPr>
            <w:tcW w:w="1326" w:type="dxa"/>
            <w:vAlign w:val="center"/>
          </w:tcPr>
          <w:p w14:paraId="066FE2CB">
            <w:pPr>
              <w:spacing w:line="360" w:lineRule="auto"/>
              <w:jc w:val="center"/>
              <w:rPr>
                <w:rFonts w:ascii="宋体" w:hAnsi="宋体" w:cs="宋体"/>
                <w:sz w:val="22"/>
              </w:rPr>
            </w:pPr>
          </w:p>
        </w:tc>
        <w:tc>
          <w:tcPr>
            <w:tcW w:w="1825" w:type="dxa"/>
          </w:tcPr>
          <w:p w14:paraId="348E8D7E">
            <w:pPr>
              <w:spacing w:line="360" w:lineRule="auto"/>
              <w:jc w:val="center"/>
              <w:rPr>
                <w:rFonts w:ascii="宋体" w:hAnsi="宋体" w:cs="宋体"/>
                <w:sz w:val="22"/>
              </w:rPr>
            </w:pPr>
          </w:p>
        </w:tc>
        <w:tc>
          <w:tcPr>
            <w:tcW w:w="1147" w:type="dxa"/>
            <w:vAlign w:val="center"/>
          </w:tcPr>
          <w:p w14:paraId="222515D4">
            <w:pPr>
              <w:spacing w:line="360" w:lineRule="auto"/>
              <w:jc w:val="center"/>
              <w:rPr>
                <w:rFonts w:ascii="宋体" w:hAnsi="宋体" w:cs="宋体"/>
                <w:sz w:val="22"/>
              </w:rPr>
            </w:pPr>
          </w:p>
        </w:tc>
      </w:tr>
      <w:tr w14:paraId="588786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14:paraId="4729800A">
            <w:pPr>
              <w:spacing w:line="360" w:lineRule="auto"/>
              <w:jc w:val="center"/>
              <w:rPr>
                <w:rFonts w:ascii="宋体" w:hAnsi="宋体" w:cs="宋体"/>
                <w:sz w:val="22"/>
              </w:rPr>
            </w:pPr>
          </w:p>
        </w:tc>
        <w:tc>
          <w:tcPr>
            <w:tcW w:w="958" w:type="dxa"/>
            <w:vAlign w:val="center"/>
          </w:tcPr>
          <w:p w14:paraId="01FCFC7B">
            <w:pPr>
              <w:spacing w:line="360" w:lineRule="auto"/>
              <w:jc w:val="center"/>
              <w:rPr>
                <w:rFonts w:ascii="宋体" w:hAnsi="宋体" w:cs="宋体"/>
                <w:sz w:val="22"/>
              </w:rPr>
            </w:pPr>
          </w:p>
        </w:tc>
        <w:tc>
          <w:tcPr>
            <w:tcW w:w="958" w:type="dxa"/>
            <w:vAlign w:val="center"/>
          </w:tcPr>
          <w:p w14:paraId="3F3DFE4C">
            <w:pPr>
              <w:spacing w:line="360" w:lineRule="auto"/>
              <w:jc w:val="center"/>
              <w:rPr>
                <w:rFonts w:ascii="宋体" w:hAnsi="宋体" w:cs="宋体"/>
                <w:sz w:val="22"/>
              </w:rPr>
            </w:pPr>
          </w:p>
        </w:tc>
        <w:tc>
          <w:tcPr>
            <w:tcW w:w="767" w:type="dxa"/>
            <w:vAlign w:val="center"/>
          </w:tcPr>
          <w:p w14:paraId="7A8D29D0">
            <w:pPr>
              <w:spacing w:line="360" w:lineRule="auto"/>
              <w:jc w:val="center"/>
              <w:rPr>
                <w:rFonts w:ascii="宋体" w:hAnsi="宋体" w:cs="宋体"/>
                <w:sz w:val="22"/>
              </w:rPr>
            </w:pPr>
          </w:p>
        </w:tc>
        <w:tc>
          <w:tcPr>
            <w:tcW w:w="767" w:type="dxa"/>
            <w:vAlign w:val="center"/>
          </w:tcPr>
          <w:p w14:paraId="3D526956">
            <w:pPr>
              <w:spacing w:line="360" w:lineRule="auto"/>
              <w:jc w:val="center"/>
              <w:rPr>
                <w:rFonts w:ascii="宋体" w:hAnsi="宋体" w:cs="宋体"/>
                <w:sz w:val="22"/>
              </w:rPr>
            </w:pPr>
          </w:p>
        </w:tc>
        <w:tc>
          <w:tcPr>
            <w:tcW w:w="1340" w:type="dxa"/>
            <w:vAlign w:val="center"/>
          </w:tcPr>
          <w:p w14:paraId="22C5585C">
            <w:pPr>
              <w:spacing w:line="360" w:lineRule="auto"/>
              <w:jc w:val="center"/>
              <w:rPr>
                <w:rFonts w:ascii="宋体" w:hAnsi="宋体" w:cs="宋体"/>
                <w:sz w:val="22"/>
              </w:rPr>
            </w:pPr>
          </w:p>
        </w:tc>
        <w:tc>
          <w:tcPr>
            <w:tcW w:w="1326" w:type="dxa"/>
            <w:vAlign w:val="center"/>
          </w:tcPr>
          <w:p w14:paraId="2C9FC5F2">
            <w:pPr>
              <w:spacing w:line="360" w:lineRule="auto"/>
              <w:jc w:val="center"/>
              <w:rPr>
                <w:rFonts w:ascii="宋体" w:hAnsi="宋体" w:cs="宋体"/>
                <w:sz w:val="22"/>
              </w:rPr>
            </w:pPr>
          </w:p>
        </w:tc>
        <w:tc>
          <w:tcPr>
            <w:tcW w:w="1825" w:type="dxa"/>
          </w:tcPr>
          <w:p w14:paraId="6C8E6D22">
            <w:pPr>
              <w:spacing w:line="360" w:lineRule="auto"/>
              <w:jc w:val="center"/>
              <w:rPr>
                <w:rFonts w:ascii="宋体" w:hAnsi="宋体" w:cs="宋体"/>
                <w:sz w:val="22"/>
              </w:rPr>
            </w:pPr>
          </w:p>
        </w:tc>
        <w:tc>
          <w:tcPr>
            <w:tcW w:w="1147" w:type="dxa"/>
            <w:vAlign w:val="center"/>
          </w:tcPr>
          <w:p w14:paraId="730E9830">
            <w:pPr>
              <w:spacing w:line="360" w:lineRule="auto"/>
              <w:jc w:val="center"/>
              <w:rPr>
                <w:rFonts w:ascii="宋体" w:hAnsi="宋体" w:cs="宋体"/>
                <w:sz w:val="22"/>
              </w:rPr>
            </w:pPr>
          </w:p>
        </w:tc>
      </w:tr>
      <w:tr w14:paraId="109643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14:paraId="4A95C393">
            <w:pPr>
              <w:spacing w:line="360" w:lineRule="auto"/>
              <w:jc w:val="center"/>
              <w:rPr>
                <w:rFonts w:ascii="宋体" w:hAnsi="宋体" w:cs="宋体"/>
                <w:sz w:val="22"/>
              </w:rPr>
            </w:pPr>
          </w:p>
        </w:tc>
        <w:tc>
          <w:tcPr>
            <w:tcW w:w="958" w:type="dxa"/>
            <w:vAlign w:val="center"/>
          </w:tcPr>
          <w:p w14:paraId="6E4B7AE6">
            <w:pPr>
              <w:spacing w:line="360" w:lineRule="auto"/>
              <w:jc w:val="center"/>
              <w:rPr>
                <w:rFonts w:ascii="宋体" w:hAnsi="宋体" w:cs="宋体"/>
                <w:sz w:val="22"/>
              </w:rPr>
            </w:pPr>
          </w:p>
        </w:tc>
        <w:tc>
          <w:tcPr>
            <w:tcW w:w="958" w:type="dxa"/>
            <w:vAlign w:val="center"/>
          </w:tcPr>
          <w:p w14:paraId="0E2EE0F5">
            <w:pPr>
              <w:spacing w:line="360" w:lineRule="auto"/>
              <w:jc w:val="center"/>
              <w:rPr>
                <w:rFonts w:ascii="宋体" w:hAnsi="宋体" w:cs="宋体"/>
                <w:sz w:val="22"/>
              </w:rPr>
            </w:pPr>
          </w:p>
        </w:tc>
        <w:tc>
          <w:tcPr>
            <w:tcW w:w="767" w:type="dxa"/>
            <w:vAlign w:val="center"/>
          </w:tcPr>
          <w:p w14:paraId="269C45C8">
            <w:pPr>
              <w:spacing w:line="360" w:lineRule="auto"/>
              <w:jc w:val="center"/>
              <w:rPr>
                <w:rFonts w:ascii="宋体" w:hAnsi="宋体" w:cs="宋体"/>
                <w:sz w:val="22"/>
              </w:rPr>
            </w:pPr>
          </w:p>
        </w:tc>
        <w:tc>
          <w:tcPr>
            <w:tcW w:w="767" w:type="dxa"/>
            <w:vAlign w:val="center"/>
          </w:tcPr>
          <w:p w14:paraId="7E65C885">
            <w:pPr>
              <w:spacing w:line="360" w:lineRule="auto"/>
              <w:jc w:val="center"/>
              <w:rPr>
                <w:rFonts w:ascii="宋体" w:hAnsi="宋体" w:cs="宋体"/>
                <w:sz w:val="22"/>
              </w:rPr>
            </w:pPr>
          </w:p>
        </w:tc>
        <w:tc>
          <w:tcPr>
            <w:tcW w:w="1340" w:type="dxa"/>
            <w:vAlign w:val="center"/>
          </w:tcPr>
          <w:p w14:paraId="00E5E07A">
            <w:pPr>
              <w:spacing w:line="360" w:lineRule="auto"/>
              <w:jc w:val="center"/>
              <w:rPr>
                <w:rFonts w:ascii="宋体" w:hAnsi="宋体" w:cs="宋体"/>
                <w:sz w:val="22"/>
              </w:rPr>
            </w:pPr>
          </w:p>
        </w:tc>
        <w:tc>
          <w:tcPr>
            <w:tcW w:w="1326" w:type="dxa"/>
            <w:vAlign w:val="center"/>
          </w:tcPr>
          <w:p w14:paraId="2A3A13CC">
            <w:pPr>
              <w:spacing w:line="360" w:lineRule="auto"/>
              <w:jc w:val="center"/>
              <w:rPr>
                <w:rFonts w:ascii="宋体" w:hAnsi="宋体" w:cs="宋体"/>
                <w:sz w:val="22"/>
              </w:rPr>
            </w:pPr>
          </w:p>
        </w:tc>
        <w:tc>
          <w:tcPr>
            <w:tcW w:w="1825" w:type="dxa"/>
          </w:tcPr>
          <w:p w14:paraId="1C2C4F66">
            <w:pPr>
              <w:spacing w:line="360" w:lineRule="auto"/>
              <w:jc w:val="center"/>
              <w:rPr>
                <w:rFonts w:ascii="宋体" w:hAnsi="宋体" w:cs="宋体"/>
                <w:sz w:val="22"/>
              </w:rPr>
            </w:pPr>
          </w:p>
        </w:tc>
        <w:tc>
          <w:tcPr>
            <w:tcW w:w="1147" w:type="dxa"/>
            <w:vAlign w:val="center"/>
          </w:tcPr>
          <w:p w14:paraId="20041476">
            <w:pPr>
              <w:spacing w:line="360" w:lineRule="auto"/>
              <w:jc w:val="center"/>
              <w:rPr>
                <w:rFonts w:ascii="宋体" w:hAnsi="宋体" w:cs="宋体"/>
                <w:sz w:val="22"/>
              </w:rPr>
            </w:pPr>
          </w:p>
        </w:tc>
      </w:tr>
      <w:tr w14:paraId="1C37F2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14:paraId="06D62A70">
            <w:pPr>
              <w:spacing w:line="360" w:lineRule="auto"/>
              <w:jc w:val="center"/>
              <w:rPr>
                <w:rFonts w:ascii="宋体" w:hAnsi="宋体" w:cs="宋体"/>
                <w:sz w:val="22"/>
              </w:rPr>
            </w:pPr>
          </w:p>
        </w:tc>
        <w:tc>
          <w:tcPr>
            <w:tcW w:w="958" w:type="dxa"/>
            <w:vAlign w:val="center"/>
          </w:tcPr>
          <w:p w14:paraId="79A28FB9">
            <w:pPr>
              <w:spacing w:line="360" w:lineRule="auto"/>
              <w:jc w:val="center"/>
              <w:rPr>
                <w:rFonts w:ascii="宋体" w:hAnsi="宋体" w:cs="宋体"/>
                <w:sz w:val="22"/>
              </w:rPr>
            </w:pPr>
          </w:p>
        </w:tc>
        <w:tc>
          <w:tcPr>
            <w:tcW w:w="958" w:type="dxa"/>
            <w:vAlign w:val="center"/>
          </w:tcPr>
          <w:p w14:paraId="5DD70BC9">
            <w:pPr>
              <w:spacing w:line="360" w:lineRule="auto"/>
              <w:jc w:val="center"/>
              <w:rPr>
                <w:rFonts w:ascii="宋体" w:hAnsi="宋体" w:cs="宋体"/>
                <w:sz w:val="22"/>
              </w:rPr>
            </w:pPr>
          </w:p>
        </w:tc>
        <w:tc>
          <w:tcPr>
            <w:tcW w:w="767" w:type="dxa"/>
            <w:vAlign w:val="center"/>
          </w:tcPr>
          <w:p w14:paraId="69A6195E">
            <w:pPr>
              <w:spacing w:line="360" w:lineRule="auto"/>
              <w:jc w:val="center"/>
              <w:rPr>
                <w:rFonts w:ascii="宋体" w:hAnsi="宋体" w:cs="宋体"/>
                <w:sz w:val="22"/>
              </w:rPr>
            </w:pPr>
          </w:p>
        </w:tc>
        <w:tc>
          <w:tcPr>
            <w:tcW w:w="767" w:type="dxa"/>
            <w:vAlign w:val="center"/>
          </w:tcPr>
          <w:p w14:paraId="61576209">
            <w:pPr>
              <w:spacing w:line="360" w:lineRule="auto"/>
              <w:jc w:val="center"/>
              <w:rPr>
                <w:rFonts w:ascii="宋体" w:hAnsi="宋体" w:cs="宋体"/>
                <w:sz w:val="22"/>
              </w:rPr>
            </w:pPr>
          </w:p>
        </w:tc>
        <w:tc>
          <w:tcPr>
            <w:tcW w:w="1340" w:type="dxa"/>
            <w:vAlign w:val="center"/>
          </w:tcPr>
          <w:p w14:paraId="385AED53">
            <w:pPr>
              <w:spacing w:line="360" w:lineRule="auto"/>
              <w:jc w:val="center"/>
              <w:rPr>
                <w:rFonts w:ascii="宋体" w:hAnsi="宋体" w:cs="宋体"/>
                <w:sz w:val="22"/>
              </w:rPr>
            </w:pPr>
          </w:p>
        </w:tc>
        <w:tc>
          <w:tcPr>
            <w:tcW w:w="1326" w:type="dxa"/>
            <w:vAlign w:val="center"/>
          </w:tcPr>
          <w:p w14:paraId="500C4940">
            <w:pPr>
              <w:spacing w:line="360" w:lineRule="auto"/>
              <w:jc w:val="center"/>
              <w:rPr>
                <w:rFonts w:ascii="宋体" w:hAnsi="宋体" w:cs="宋体"/>
                <w:sz w:val="22"/>
              </w:rPr>
            </w:pPr>
          </w:p>
        </w:tc>
        <w:tc>
          <w:tcPr>
            <w:tcW w:w="1825" w:type="dxa"/>
          </w:tcPr>
          <w:p w14:paraId="54949922">
            <w:pPr>
              <w:spacing w:line="360" w:lineRule="auto"/>
              <w:jc w:val="center"/>
              <w:rPr>
                <w:rFonts w:ascii="宋体" w:hAnsi="宋体" w:cs="宋体"/>
                <w:sz w:val="22"/>
              </w:rPr>
            </w:pPr>
          </w:p>
        </w:tc>
        <w:tc>
          <w:tcPr>
            <w:tcW w:w="1147" w:type="dxa"/>
            <w:vAlign w:val="center"/>
          </w:tcPr>
          <w:p w14:paraId="197A1EB8">
            <w:pPr>
              <w:spacing w:line="360" w:lineRule="auto"/>
              <w:jc w:val="center"/>
              <w:rPr>
                <w:rFonts w:ascii="宋体" w:hAnsi="宋体" w:cs="宋体"/>
                <w:sz w:val="22"/>
              </w:rPr>
            </w:pPr>
          </w:p>
        </w:tc>
      </w:tr>
      <w:tr w14:paraId="1C6832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14:paraId="0D91698A">
            <w:pPr>
              <w:spacing w:line="360" w:lineRule="auto"/>
              <w:jc w:val="center"/>
              <w:rPr>
                <w:rFonts w:ascii="宋体" w:hAnsi="宋体" w:cs="宋体"/>
                <w:sz w:val="22"/>
              </w:rPr>
            </w:pPr>
          </w:p>
        </w:tc>
        <w:tc>
          <w:tcPr>
            <w:tcW w:w="958" w:type="dxa"/>
            <w:vAlign w:val="center"/>
          </w:tcPr>
          <w:p w14:paraId="2BDD931D">
            <w:pPr>
              <w:spacing w:line="360" w:lineRule="auto"/>
              <w:jc w:val="center"/>
              <w:rPr>
                <w:rFonts w:ascii="宋体" w:hAnsi="宋体" w:cs="宋体"/>
                <w:sz w:val="22"/>
              </w:rPr>
            </w:pPr>
          </w:p>
        </w:tc>
        <w:tc>
          <w:tcPr>
            <w:tcW w:w="958" w:type="dxa"/>
            <w:vAlign w:val="center"/>
          </w:tcPr>
          <w:p w14:paraId="24825165">
            <w:pPr>
              <w:spacing w:line="360" w:lineRule="auto"/>
              <w:jc w:val="center"/>
              <w:rPr>
                <w:rFonts w:ascii="宋体" w:hAnsi="宋体" w:cs="宋体"/>
                <w:sz w:val="22"/>
              </w:rPr>
            </w:pPr>
          </w:p>
        </w:tc>
        <w:tc>
          <w:tcPr>
            <w:tcW w:w="767" w:type="dxa"/>
            <w:vAlign w:val="center"/>
          </w:tcPr>
          <w:p w14:paraId="36D66B4E">
            <w:pPr>
              <w:spacing w:line="360" w:lineRule="auto"/>
              <w:jc w:val="center"/>
              <w:rPr>
                <w:rFonts w:ascii="宋体" w:hAnsi="宋体" w:cs="宋体"/>
                <w:sz w:val="22"/>
              </w:rPr>
            </w:pPr>
          </w:p>
        </w:tc>
        <w:tc>
          <w:tcPr>
            <w:tcW w:w="767" w:type="dxa"/>
            <w:vAlign w:val="center"/>
          </w:tcPr>
          <w:p w14:paraId="03A925CE">
            <w:pPr>
              <w:spacing w:line="360" w:lineRule="auto"/>
              <w:jc w:val="center"/>
              <w:rPr>
                <w:rFonts w:ascii="宋体" w:hAnsi="宋体" w:cs="宋体"/>
                <w:sz w:val="22"/>
              </w:rPr>
            </w:pPr>
          </w:p>
        </w:tc>
        <w:tc>
          <w:tcPr>
            <w:tcW w:w="1340" w:type="dxa"/>
            <w:vAlign w:val="center"/>
          </w:tcPr>
          <w:p w14:paraId="26A4DDAF">
            <w:pPr>
              <w:spacing w:line="360" w:lineRule="auto"/>
              <w:jc w:val="center"/>
              <w:rPr>
                <w:rFonts w:ascii="宋体" w:hAnsi="宋体" w:cs="宋体"/>
                <w:sz w:val="22"/>
              </w:rPr>
            </w:pPr>
          </w:p>
        </w:tc>
        <w:tc>
          <w:tcPr>
            <w:tcW w:w="1326" w:type="dxa"/>
            <w:vAlign w:val="center"/>
          </w:tcPr>
          <w:p w14:paraId="7B53A310">
            <w:pPr>
              <w:spacing w:line="360" w:lineRule="auto"/>
              <w:jc w:val="center"/>
              <w:rPr>
                <w:rFonts w:ascii="宋体" w:hAnsi="宋体" w:cs="宋体"/>
                <w:sz w:val="22"/>
              </w:rPr>
            </w:pPr>
          </w:p>
        </w:tc>
        <w:tc>
          <w:tcPr>
            <w:tcW w:w="1825" w:type="dxa"/>
          </w:tcPr>
          <w:p w14:paraId="6A8AFED3">
            <w:pPr>
              <w:spacing w:line="360" w:lineRule="auto"/>
              <w:jc w:val="center"/>
              <w:rPr>
                <w:rFonts w:ascii="宋体" w:hAnsi="宋体" w:cs="宋体"/>
                <w:sz w:val="22"/>
              </w:rPr>
            </w:pPr>
          </w:p>
        </w:tc>
        <w:tc>
          <w:tcPr>
            <w:tcW w:w="1147" w:type="dxa"/>
            <w:vAlign w:val="center"/>
          </w:tcPr>
          <w:p w14:paraId="70A34CEC">
            <w:pPr>
              <w:spacing w:line="360" w:lineRule="auto"/>
              <w:jc w:val="center"/>
              <w:rPr>
                <w:rFonts w:ascii="宋体" w:hAnsi="宋体" w:cs="宋体"/>
                <w:sz w:val="22"/>
              </w:rPr>
            </w:pPr>
          </w:p>
        </w:tc>
      </w:tr>
      <w:tr w14:paraId="165920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14:paraId="5FADA75D">
            <w:pPr>
              <w:spacing w:line="360" w:lineRule="auto"/>
              <w:jc w:val="center"/>
              <w:rPr>
                <w:rFonts w:ascii="宋体" w:hAnsi="宋体" w:cs="宋体"/>
                <w:sz w:val="22"/>
              </w:rPr>
            </w:pPr>
          </w:p>
        </w:tc>
        <w:tc>
          <w:tcPr>
            <w:tcW w:w="958" w:type="dxa"/>
            <w:vAlign w:val="center"/>
          </w:tcPr>
          <w:p w14:paraId="2B52C124">
            <w:pPr>
              <w:spacing w:line="360" w:lineRule="auto"/>
              <w:jc w:val="center"/>
              <w:rPr>
                <w:rFonts w:ascii="宋体" w:hAnsi="宋体" w:cs="宋体"/>
                <w:sz w:val="22"/>
              </w:rPr>
            </w:pPr>
          </w:p>
        </w:tc>
        <w:tc>
          <w:tcPr>
            <w:tcW w:w="958" w:type="dxa"/>
            <w:vAlign w:val="center"/>
          </w:tcPr>
          <w:p w14:paraId="70D89845">
            <w:pPr>
              <w:spacing w:line="360" w:lineRule="auto"/>
              <w:jc w:val="center"/>
              <w:rPr>
                <w:rFonts w:ascii="宋体" w:hAnsi="宋体" w:cs="宋体"/>
                <w:sz w:val="22"/>
              </w:rPr>
            </w:pPr>
          </w:p>
        </w:tc>
        <w:tc>
          <w:tcPr>
            <w:tcW w:w="767" w:type="dxa"/>
            <w:vAlign w:val="center"/>
          </w:tcPr>
          <w:p w14:paraId="3D686EA5">
            <w:pPr>
              <w:spacing w:line="360" w:lineRule="auto"/>
              <w:jc w:val="center"/>
              <w:rPr>
                <w:rFonts w:ascii="宋体" w:hAnsi="宋体" w:cs="宋体"/>
                <w:sz w:val="22"/>
              </w:rPr>
            </w:pPr>
          </w:p>
        </w:tc>
        <w:tc>
          <w:tcPr>
            <w:tcW w:w="767" w:type="dxa"/>
            <w:vAlign w:val="center"/>
          </w:tcPr>
          <w:p w14:paraId="72FE8C27">
            <w:pPr>
              <w:spacing w:line="360" w:lineRule="auto"/>
              <w:jc w:val="center"/>
              <w:rPr>
                <w:rFonts w:ascii="宋体" w:hAnsi="宋体" w:cs="宋体"/>
                <w:sz w:val="22"/>
              </w:rPr>
            </w:pPr>
          </w:p>
        </w:tc>
        <w:tc>
          <w:tcPr>
            <w:tcW w:w="1340" w:type="dxa"/>
            <w:vAlign w:val="center"/>
          </w:tcPr>
          <w:p w14:paraId="779C1973">
            <w:pPr>
              <w:spacing w:line="360" w:lineRule="auto"/>
              <w:jc w:val="center"/>
              <w:rPr>
                <w:rFonts w:ascii="宋体" w:hAnsi="宋体" w:cs="宋体"/>
                <w:sz w:val="22"/>
              </w:rPr>
            </w:pPr>
          </w:p>
        </w:tc>
        <w:tc>
          <w:tcPr>
            <w:tcW w:w="1326" w:type="dxa"/>
            <w:vAlign w:val="center"/>
          </w:tcPr>
          <w:p w14:paraId="613AE13F">
            <w:pPr>
              <w:spacing w:line="360" w:lineRule="auto"/>
              <w:jc w:val="center"/>
              <w:rPr>
                <w:rFonts w:ascii="宋体" w:hAnsi="宋体" w:cs="宋体"/>
                <w:sz w:val="22"/>
              </w:rPr>
            </w:pPr>
          </w:p>
        </w:tc>
        <w:tc>
          <w:tcPr>
            <w:tcW w:w="1825" w:type="dxa"/>
          </w:tcPr>
          <w:p w14:paraId="35285CBA">
            <w:pPr>
              <w:spacing w:line="360" w:lineRule="auto"/>
              <w:jc w:val="center"/>
              <w:rPr>
                <w:rFonts w:ascii="宋体" w:hAnsi="宋体" w:cs="宋体"/>
                <w:sz w:val="22"/>
              </w:rPr>
            </w:pPr>
          </w:p>
        </w:tc>
        <w:tc>
          <w:tcPr>
            <w:tcW w:w="1147" w:type="dxa"/>
            <w:vAlign w:val="center"/>
          </w:tcPr>
          <w:p w14:paraId="18B601D6">
            <w:pPr>
              <w:spacing w:line="360" w:lineRule="auto"/>
              <w:jc w:val="center"/>
              <w:rPr>
                <w:rFonts w:ascii="宋体" w:hAnsi="宋体" w:cs="宋体"/>
                <w:sz w:val="22"/>
              </w:rPr>
            </w:pPr>
          </w:p>
        </w:tc>
      </w:tr>
      <w:tr w14:paraId="0CFE21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14:paraId="38E5B4C1">
            <w:pPr>
              <w:spacing w:line="360" w:lineRule="auto"/>
              <w:jc w:val="center"/>
              <w:rPr>
                <w:rFonts w:ascii="宋体" w:hAnsi="宋体" w:cs="宋体"/>
                <w:sz w:val="22"/>
              </w:rPr>
            </w:pPr>
          </w:p>
        </w:tc>
        <w:tc>
          <w:tcPr>
            <w:tcW w:w="958" w:type="dxa"/>
            <w:vAlign w:val="center"/>
          </w:tcPr>
          <w:p w14:paraId="1D59F3E9">
            <w:pPr>
              <w:spacing w:line="360" w:lineRule="auto"/>
              <w:jc w:val="center"/>
              <w:rPr>
                <w:rFonts w:ascii="宋体" w:hAnsi="宋体" w:cs="宋体"/>
                <w:sz w:val="22"/>
              </w:rPr>
            </w:pPr>
          </w:p>
        </w:tc>
        <w:tc>
          <w:tcPr>
            <w:tcW w:w="958" w:type="dxa"/>
            <w:vAlign w:val="center"/>
          </w:tcPr>
          <w:p w14:paraId="3F1792A2">
            <w:pPr>
              <w:spacing w:line="360" w:lineRule="auto"/>
              <w:jc w:val="center"/>
              <w:rPr>
                <w:rFonts w:ascii="宋体" w:hAnsi="宋体" w:cs="宋体"/>
                <w:sz w:val="22"/>
              </w:rPr>
            </w:pPr>
          </w:p>
        </w:tc>
        <w:tc>
          <w:tcPr>
            <w:tcW w:w="767" w:type="dxa"/>
            <w:vAlign w:val="center"/>
          </w:tcPr>
          <w:p w14:paraId="6797DF15">
            <w:pPr>
              <w:spacing w:line="360" w:lineRule="auto"/>
              <w:jc w:val="center"/>
              <w:rPr>
                <w:rFonts w:ascii="宋体" w:hAnsi="宋体" w:cs="宋体"/>
                <w:sz w:val="22"/>
              </w:rPr>
            </w:pPr>
          </w:p>
        </w:tc>
        <w:tc>
          <w:tcPr>
            <w:tcW w:w="767" w:type="dxa"/>
            <w:vAlign w:val="center"/>
          </w:tcPr>
          <w:p w14:paraId="31B89233">
            <w:pPr>
              <w:spacing w:line="360" w:lineRule="auto"/>
              <w:jc w:val="center"/>
              <w:rPr>
                <w:rFonts w:ascii="宋体" w:hAnsi="宋体" w:cs="宋体"/>
                <w:sz w:val="22"/>
              </w:rPr>
            </w:pPr>
          </w:p>
        </w:tc>
        <w:tc>
          <w:tcPr>
            <w:tcW w:w="1340" w:type="dxa"/>
            <w:vAlign w:val="center"/>
          </w:tcPr>
          <w:p w14:paraId="513A0053">
            <w:pPr>
              <w:spacing w:line="360" w:lineRule="auto"/>
              <w:jc w:val="center"/>
              <w:rPr>
                <w:rFonts w:ascii="宋体" w:hAnsi="宋体" w:cs="宋体"/>
                <w:sz w:val="22"/>
              </w:rPr>
            </w:pPr>
          </w:p>
        </w:tc>
        <w:tc>
          <w:tcPr>
            <w:tcW w:w="1326" w:type="dxa"/>
            <w:vAlign w:val="center"/>
          </w:tcPr>
          <w:p w14:paraId="35843430">
            <w:pPr>
              <w:spacing w:line="360" w:lineRule="auto"/>
              <w:jc w:val="center"/>
              <w:rPr>
                <w:rFonts w:ascii="宋体" w:hAnsi="宋体" w:cs="宋体"/>
                <w:sz w:val="22"/>
              </w:rPr>
            </w:pPr>
          </w:p>
        </w:tc>
        <w:tc>
          <w:tcPr>
            <w:tcW w:w="1825" w:type="dxa"/>
          </w:tcPr>
          <w:p w14:paraId="468A3607">
            <w:pPr>
              <w:spacing w:line="360" w:lineRule="auto"/>
              <w:jc w:val="center"/>
              <w:rPr>
                <w:rFonts w:ascii="宋体" w:hAnsi="宋体" w:cs="宋体"/>
                <w:sz w:val="22"/>
              </w:rPr>
            </w:pPr>
          </w:p>
        </w:tc>
        <w:tc>
          <w:tcPr>
            <w:tcW w:w="1147" w:type="dxa"/>
            <w:vAlign w:val="center"/>
          </w:tcPr>
          <w:p w14:paraId="0BD8BFA3">
            <w:pPr>
              <w:spacing w:line="360" w:lineRule="auto"/>
              <w:jc w:val="center"/>
              <w:rPr>
                <w:rFonts w:ascii="宋体" w:hAnsi="宋体" w:cs="宋体"/>
                <w:sz w:val="22"/>
              </w:rPr>
            </w:pPr>
          </w:p>
        </w:tc>
      </w:tr>
      <w:tr w14:paraId="7D3BAC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14:paraId="15AD3C27">
            <w:pPr>
              <w:spacing w:line="360" w:lineRule="auto"/>
              <w:jc w:val="center"/>
              <w:rPr>
                <w:rFonts w:ascii="宋体" w:hAnsi="宋体" w:cs="宋体"/>
                <w:sz w:val="22"/>
              </w:rPr>
            </w:pPr>
          </w:p>
        </w:tc>
        <w:tc>
          <w:tcPr>
            <w:tcW w:w="958" w:type="dxa"/>
            <w:vAlign w:val="center"/>
          </w:tcPr>
          <w:p w14:paraId="5D4D1B4E">
            <w:pPr>
              <w:spacing w:line="360" w:lineRule="auto"/>
              <w:jc w:val="center"/>
              <w:rPr>
                <w:rFonts w:ascii="宋体" w:hAnsi="宋体" w:cs="宋体"/>
                <w:sz w:val="22"/>
              </w:rPr>
            </w:pPr>
          </w:p>
        </w:tc>
        <w:tc>
          <w:tcPr>
            <w:tcW w:w="958" w:type="dxa"/>
            <w:vAlign w:val="center"/>
          </w:tcPr>
          <w:p w14:paraId="59DE999D">
            <w:pPr>
              <w:spacing w:line="360" w:lineRule="auto"/>
              <w:jc w:val="center"/>
              <w:rPr>
                <w:rFonts w:ascii="宋体" w:hAnsi="宋体" w:cs="宋体"/>
                <w:sz w:val="22"/>
              </w:rPr>
            </w:pPr>
          </w:p>
        </w:tc>
        <w:tc>
          <w:tcPr>
            <w:tcW w:w="767" w:type="dxa"/>
            <w:vAlign w:val="center"/>
          </w:tcPr>
          <w:p w14:paraId="7EDF2747">
            <w:pPr>
              <w:spacing w:line="360" w:lineRule="auto"/>
              <w:jc w:val="center"/>
              <w:rPr>
                <w:rFonts w:ascii="宋体" w:hAnsi="宋体" w:cs="宋体"/>
                <w:sz w:val="22"/>
              </w:rPr>
            </w:pPr>
          </w:p>
        </w:tc>
        <w:tc>
          <w:tcPr>
            <w:tcW w:w="767" w:type="dxa"/>
            <w:vAlign w:val="center"/>
          </w:tcPr>
          <w:p w14:paraId="0144393D">
            <w:pPr>
              <w:spacing w:line="360" w:lineRule="auto"/>
              <w:jc w:val="center"/>
              <w:rPr>
                <w:rFonts w:ascii="宋体" w:hAnsi="宋体" w:cs="宋体"/>
                <w:sz w:val="22"/>
              </w:rPr>
            </w:pPr>
          </w:p>
        </w:tc>
        <w:tc>
          <w:tcPr>
            <w:tcW w:w="1340" w:type="dxa"/>
            <w:vAlign w:val="center"/>
          </w:tcPr>
          <w:p w14:paraId="334F2166">
            <w:pPr>
              <w:spacing w:line="360" w:lineRule="auto"/>
              <w:jc w:val="center"/>
              <w:rPr>
                <w:rFonts w:ascii="宋体" w:hAnsi="宋体" w:cs="宋体"/>
                <w:sz w:val="22"/>
              </w:rPr>
            </w:pPr>
          </w:p>
        </w:tc>
        <w:tc>
          <w:tcPr>
            <w:tcW w:w="1326" w:type="dxa"/>
            <w:vAlign w:val="center"/>
          </w:tcPr>
          <w:p w14:paraId="400B3944">
            <w:pPr>
              <w:spacing w:line="360" w:lineRule="auto"/>
              <w:jc w:val="center"/>
              <w:rPr>
                <w:rFonts w:ascii="宋体" w:hAnsi="宋体" w:cs="宋体"/>
                <w:sz w:val="22"/>
              </w:rPr>
            </w:pPr>
          </w:p>
        </w:tc>
        <w:tc>
          <w:tcPr>
            <w:tcW w:w="1825" w:type="dxa"/>
          </w:tcPr>
          <w:p w14:paraId="456B93DD">
            <w:pPr>
              <w:spacing w:line="360" w:lineRule="auto"/>
              <w:jc w:val="center"/>
              <w:rPr>
                <w:rFonts w:ascii="宋体" w:hAnsi="宋体" w:cs="宋体"/>
                <w:sz w:val="22"/>
              </w:rPr>
            </w:pPr>
          </w:p>
        </w:tc>
        <w:tc>
          <w:tcPr>
            <w:tcW w:w="1147" w:type="dxa"/>
            <w:vAlign w:val="center"/>
          </w:tcPr>
          <w:p w14:paraId="79932088">
            <w:pPr>
              <w:spacing w:line="360" w:lineRule="auto"/>
              <w:jc w:val="center"/>
              <w:rPr>
                <w:rFonts w:ascii="宋体" w:hAnsi="宋体" w:cs="宋体"/>
                <w:sz w:val="22"/>
              </w:rPr>
            </w:pPr>
          </w:p>
        </w:tc>
      </w:tr>
      <w:tr w14:paraId="0938B5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14:paraId="06F84013">
            <w:pPr>
              <w:spacing w:line="360" w:lineRule="auto"/>
              <w:jc w:val="center"/>
              <w:rPr>
                <w:rFonts w:ascii="宋体" w:hAnsi="宋体" w:cs="宋体"/>
                <w:sz w:val="22"/>
              </w:rPr>
            </w:pPr>
          </w:p>
        </w:tc>
        <w:tc>
          <w:tcPr>
            <w:tcW w:w="958" w:type="dxa"/>
            <w:vAlign w:val="center"/>
          </w:tcPr>
          <w:p w14:paraId="73093C22">
            <w:pPr>
              <w:spacing w:line="360" w:lineRule="auto"/>
              <w:jc w:val="center"/>
              <w:rPr>
                <w:rFonts w:ascii="宋体" w:hAnsi="宋体" w:cs="宋体"/>
                <w:sz w:val="22"/>
              </w:rPr>
            </w:pPr>
          </w:p>
        </w:tc>
        <w:tc>
          <w:tcPr>
            <w:tcW w:w="958" w:type="dxa"/>
            <w:vAlign w:val="center"/>
          </w:tcPr>
          <w:p w14:paraId="47F5EA2E">
            <w:pPr>
              <w:spacing w:line="360" w:lineRule="auto"/>
              <w:jc w:val="center"/>
              <w:rPr>
                <w:rFonts w:ascii="宋体" w:hAnsi="宋体" w:cs="宋体"/>
                <w:sz w:val="22"/>
              </w:rPr>
            </w:pPr>
          </w:p>
        </w:tc>
        <w:tc>
          <w:tcPr>
            <w:tcW w:w="767" w:type="dxa"/>
            <w:vAlign w:val="center"/>
          </w:tcPr>
          <w:p w14:paraId="339B6FDD">
            <w:pPr>
              <w:spacing w:line="360" w:lineRule="auto"/>
              <w:jc w:val="center"/>
              <w:rPr>
                <w:rFonts w:ascii="宋体" w:hAnsi="宋体" w:cs="宋体"/>
                <w:sz w:val="22"/>
              </w:rPr>
            </w:pPr>
          </w:p>
        </w:tc>
        <w:tc>
          <w:tcPr>
            <w:tcW w:w="767" w:type="dxa"/>
            <w:vAlign w:val="center"/>
          </w:tcPr>
          <w:p w14:paraId="1F71840F">
            <w:pPr>
              <w:spacing w:line="360" w:lineRule="auto"/>
              <w:jc w:val="center"/>
              <w:rPr>
                <w:rFonts w:ascii="宋体" w:hAnsi="宋体" w:cs="宋体"/>
                <w:sz w:val="22"/>
              </w:rPr>
            </w:pPr>
          </w:p>
        </w:tc>
        <w:tc>
          <w:tcPr>
            <w:tcW w:w="1340" w:type="dxa"/>
            <w:vAlign w:val="center"/>
          </w:tcPr>
          <w:p w14:paraId="3FDA42C7">
            <w:pPr>
              <w:spacing w:line="360" w:lineRule="auto"/>
              <w:jc w:val="center"/>
              <w:rPr>
                <w:rFonts w:ascii="宋体" w:hAnsi="宋体" w:cs="宋体"/>
                <w:sz w:val="22"/>
              </w:rPr>
            </w:pPr>
          </w:p>
        </w:tc>
        <w:tc>
          <w:tcPr>
            <w:tcW w:w="1326" w:type="dxa"/>
            <w:vAlign w:val="center"/>
          </w:tcPr>
          <w:p w14:paraId="663CBA1D">
            <w:pPr>
              <w:spacing w:line="360" w:lineRule="auto"/>
              <w:jc w:val="center"/>
              <w:rPr>
                <w:rFonts w:ascii="宋体" w:hAnsi="宋体" w:cs="宋体"/>
                <w:sz w:val="22"/>
              </w:rPr>
            </w:pPr>
          </w:p>
        </w:tc>
        <w:tc>
          <w:tcPr>
            <w:tcW w:w="1825" w:type="dxa"/>
          </w:tcPr>
          <w:p w14:paraId="00899A50">
            <w:pPr>
              <w:spacing w:line="360" w:lineRule="auto"/>
              <w:jc w:val="center"/>
              <w:rPr>
                <w:rFonts w:ascii="宋体" w:hAnsi="宋体" w:cs="宋体"/>
                <w:sz w:val="22"/>
              </w:rPr>
            </w:pPr>
          </w:p>
        </w:tc>
        <w:tc>
          <w:tcPr>
            <w:tcW w:w="1147" w:type="dxa"/>
            <w:vAlign w:val="center"/>
          </w:tcPr>
          <w:p w14:paraId="516FB344">
            <w:pPr>
              <w:spacing w:line="360" w:lineRule="auto"/>
              <w:jc w:val="center"/>
              <w:rPr>
                <w:rFonts w:ascii="宋体" w:hAnsi="宋体" w:cs="宋体"/>
                <w:sz w:val="22"/>
              </w:rPr>
            </w:pPr>
          </w:p>
        </w:tc>
      </w:tr>
      <w:tr w14:paraId="330275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14:paraId="67084424">
            <w:pPr>
              <w:spacing w:line="360" w:lineRule="auto"/>
              <w:jc w:val="center"/>
              <w:rPr>
                <w:rFonts w:ascii="宋体" w:hAnsi="宋体" w:cs="宋体"/>
                <w:sz w:val="22"/>
              </w:rPr>
            </w:pPr>
          </w:p>
        </w:tc>
        <w:tc>
          <w:tcPr>
            <w:tcW w:w="958" w:type="dxa"/>
            <w:vAlign w:val="center"/>
          </w:tcPr>
          <w:p w14:paraId="16A78EB0">
            <w:pPr>
              <w:spacing w:line="360" w:lineRule="auto"/>
              <w:jc w:val="center"/>
              <w:rPr>
                <w:rFonts w:ascii="宋体" w:hAnsi="宋体" w:cs="宋体"/>
                <w:sz w:val="22"/>
              </w:rPr>
            </w:pPr>
          </w:p>
        </w:tc>
        <w:tc>
          <w:tcPr>
            <w:tcW w:w="958" w:type="dxa"/>
            <w:vAlign w:val="center"/>
          </w:tcPr>
          <w:p w14:paraId="113AA770">
            <w:pPr>
              <w:spacing w:line="360" w:lineRule="auto"/>
              <w:jc w:val="center"/>
              <w:rPr>
                <w:rFonts w:ascii="宋体" w:hAnsi="宋体" w:cs="宋体"/>
                <w:sz w:val="22"/>
              </w:rPr>
            </w:pPr>
          </w:p>
        </w:tc>
        <w:tc>
          <w:tcPr>
            <w:tcW w:w="767" w:type="dxa"/>
            <w:vAlign w:val="center"/>
          </w:tcPr>
          <w:p w14:paraId="1675BBC5">
            <w:pPr>
              <w:spacing w:line="360" w:lineRule="auto"/>
              <w:jc w:val="center"/>
              <w:rPr>
                <w:rFonts w:ascii="宋体" w:hAnsi="宋体" w:cs="宋体"/>
                <w:sz w:val="22"/>
              </w:rPr>
            </w:pPr>
          </w:p>
        </w:tc>
        <w:tc>
          <w:tcPr>
            <w:tcW w:w="767" w:type="dxa"/>
            <w:vAlign w:val="center"/>
          </w:tcPr>
          <w:p w14:paraId="4163CD25">
            <w:pPr>
              <w:spacing w:line="360" w:lineRule="auto"/>
              <w:jc w:val="center"/>
              <w:rPr>
                <w:rFonts w:ascii="宋体" w:hAnsi="宋体" w:cs="宋体"/>
                <w:sz w:val="22"/>
              </w:rPr>
            </w:pPr>
          </w:p>
        </w:tc>
        <w:tc>
          <w:tcPr>
            <w:tcW w:w="1340" w:type="dxa"/>
            <w:vAlign w:val="center"/>
          </w:tcPr>
          <w:p w14:paraId="338CADD7">
            <w:pPr>
              <w:spacing w:line="360" w:lineRule="auto"/>
              <w:jc w:val="center"/>
              <w:rPr>
                <w:rFonts w:ascii="宋体" w:hAnsi="宋体" w:cs="宋体"/>
                <w:sz w:val="22"/>
              </w:rPr>
            </w:pPr>
          </w:p>
        </w:tc>
        <w:tc>
          <w:tcPr>
            <w:tcW w:w="1326" w:type="dxa"/>
            <w:vAlign w:val="center"/>
          </w:tcPr>
          <w:p w14:paraId="43B321CF">
            <w:pPr>
              <w:spacing w:line="360" w:lineRule="auto"/>
              <w:jc w:val="center"/>
              <w:rPr>
                <w:rFonts w:ascii="宋体" w:hAnsi="宋体" w:cs="宋体"/>
                <w:sz w:val="22"/>
              </w:rPr>
            </w:pPr>
          </w:p>
        </w:tc>
        <w:tc>
          <w:tcPr>
            <w:tcW w:w="1825" w:type="dxa"/>
          </w:tcPr>
          <w:p w14:paraId="3F3D2B16">
            <w:pPr>
              <w:spacing w:line="360" w:lineRule="auto"/>
              <w:jc w:val="center"/>
              <w:rPr>
                <w:rFonts w:ascii="宋体" w:hAnsi="宋体" w:cs="宋体"/>
                <w:sz w:val="22"/>
              </w:rPr>
            </w:pPr>
          </w:p>
        </w:tc>
        <w:tc>
          <w:tcPr>
            <w:tcW w:w="1147" w:type="dxa"/>
            <w:vAlign w:val="center"/>
          </w:tcPr>
          <w:p w14:paraId="2437458B">
            <w:pPr>
              <w:spacing w:line="360" w:lineRule="auto"/>
              <w:jc w:val="center"/>
              <w:rPr>
                <w:rFonts w:ascii="宋体" w:hAnsi="宋体" w:cs="宋体"/>
                <w:sz w:val="22"/>
              </w:rPr>
            </w:pPr>
          </w:p>
        </w:tc>
      </w:tr>
      <w:tr w14:paraId="289342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vAlign w:val="center"/>
          </w:tcPr>
          <w:p w14:paraId="0EBF4A17">
            <w:pPr>
              <w:spacing w:line="360" w:lineRule="auto"/>
              <w:jc w:val="center"/>
              <w:rPr>
                <w:rFonts w:ascii="宋体" w:hAnsi="宋体" w:cs="宋体"/>
                <w:sz w:val="22"/>
              </w:rPr>
            </w:pPr>
          </w:p>
        </w:tc>
        <w:tc>
          <w:tcPr>
            <w:tcW w:w="958" w:type="dxa"/>
            <w:vAlign w:val="center"/>
          </w:tcPr>
          <w:p w14:paraId="2C3BD66E">
            <w:pPr>
              <w:spacing w:line="360" w:lineRule="auto"/>
              <w:jc w:val="center"/>
              <w:rPr>
                <w:rFonts w:ascii="宋体" w:hAnsi="宋体" w:cs="宋体"/>
                <w:sz w:val="22"/>
              </w:rPr>
            </w:pPr>
          </w:p>
        </w:tc>
        <w:tc>
          <w:tcPr>
            <w:tcW w:w="958" w:type="dxa"/>
            <w:vAlign w:val="center"/>
          </w:tcPr>
          <w:p w14:paraId="6FD656A0">
            <w:pPr>
              <w:spacing w:line="360" w:lineRule="auto"/>
              <w:jc w:val="center"/>
              <w:rPr>
                <w:rFonts w:ascii="宋体" w:hAnsi="宋体" w:cs="宋体"/>
                <w:sz w:val="22"/>
              </w:rPr>
            </w:pPr>
          </w:p>
        </w:tc>
        <w:tc>
          <w:tcPr>
            <w:tcW w:w="767" w:type="dxa"/>
            <w:vAlign w:val="center"/>
          </w:tcPr>
          <w:p w14:paraId="58C7B80E">
            <w:pPr>
              <w:spacing w:line="360" w:lineRule="auto"/>
              <w:jc w:val="center"/>
              <w:rPr>
                <w:rFonts w:ascii="宋体" w:hAnsi="宋体" w:cs="宋体"/>
                <w:sz w:val="22"/>
              </w:rPr>
            </w:pPr>
          </w:p>
        </w:tc>
        <w:tc>
          <w:tcPr>
            <w:tcW w:w="767" w:type="dxa"/>
            <w:vAlign w:val="center"/>
          </w:tcPr>
          <w:p w14:paraId="3D5E4D75">
            <w:pPr>
              <w:spacing w:line="360" w:lineRule="auto"/>
              <w:jc w:val="center"/>
              <w:rPr>
                <w:rFonts w:ascii="宋体" w:hAnsi="宋体" w:cs="宋体"/>
                <w:sz w:val="22"/>
              </w:rPr>
            </w:pPr>
          </w:p>
        </w:tc>
        <w:tc>
          <w:tcPr>
            <w:tcW w:w="1340" w:type="dxa"/>
            <w:vAlign w:val="center"/>
          </w:tcPr>
          <w:p w14:paraId="5BF872B9">
            <w:pPr>
              <w:spacing w:line="360" w:lineRule="auto"/>
              <w:jc w:val="center"/>
              <w:rPr>
                <w:rFonts w:ascii="宋体" w:hAnsi="宋体" w:cs="宋体"/>
                <w:sz w:val="22"/>
              </w:rPr>
            </w:pPr>
          </w:p>
        </w:tc>
        <w:tc>
          <w:tcPr>
            <w:tcW w:w="1326" w:type="dxa"/>
            <w:vAlign w:val="center"/>
          </w:tcPr>
          <w:p w14:paraId="648C91EF">
            <w:pPr>
              <w:spacing w:line="360" w:lineRule="auto"/>
              <w:jc w:val="center"/>
              <w:rPr>
                <w:rFonts w:ascii="宋体" w:hAnsi="宋体" w:cs="宋体"/>
                <w:sz w:val="22"/>
              </w:rPr>
            </w:pPr>
          </w:p>
        </w:tc>
        <w:tc>
          <w:tcPr>
            <w:tcW w:w="1825" w:type="dxa"/>
          </w:tcPr>
          <w:p w14:paraId="18E0A8CD">
            <w:pPr>
              <w:spacing w:line="360" w:lineRule="auto"/>
              <w:jc w:val="center"/>
              <w:rPr>
                <w:rFonts w:ascii="宋体" w:hAnsi="宋体" w:cs="宋体"/>
                <w:sz w:val="22"/>
              </w:rPr>
            </w:pPr>
          </w:p>
        </w:tc>
        <w:tc>
          <w:tcPr>
            <w:tcW w:w="1147" w:type="dxa"/>
            <w:vAlign w:val="center"/>
          </w:tcPr>
          <w:p w14:paraId="593509A2">
            <w:pPr>
              <w:spacing w:line="360" w:lineRule="auto"/>
              <w:jc w:val="center"/>
              <w:rPr>
                <w:rFonts w:ascii="宋体" w:hAnsi="宋体" w:cs="宋体"/>
                <w:sz w:val="22"/>
              </w:rPr>
            </w:pPr>
          </w:p>
        </w:tc>
      </w:tr>
    </w:tbl>
    <w:p w14:paraId="1552D28C">
      <w:pPr>
        <w:spacing w:line="360" w:lineRule="exact"/>
        <w:rPr>
          <w:rFonts w:ascii="宋体" w:hAnsi="宋体" w:cs="宋体"/>
        </w:rPr>
      </w:pPr>
      <w:r>
        <w:rPr>
          <w:rFonts w:hint="eastAsia" w:hAnsi="宋体" w:cs="宋体"/>
          <w:sz w:val="22"/>
        </w:rPr>
        <w:t>注：</w:t>
      </w:r>
      <w:r>
        <w:rPr>
          <w:rFonts w:hint="eastAsia" w:ascii="宋体" w:hAnsi="宋体" w:cs="宋体"/>
        </w:rPr>
        <w:t>1.列入本表人员如要更换，需经采购人同意，擅自更换或不到位属违约行为；</w:t>
      </w:r>
    </w:p>
    <w:p w14:paraId="6AF744F7">
      <w:pPr>
        <w:pStyle w:val="28"/>
        <w:spacing w:line="400" w:lineRule="atLeast"/>
        <w:ind w:left="630" w:hanging="630" w:hangingChars="300"/>
        <w:rPr>
          <w:rFonts w:hAnsi="宋体" w:cs="宋体"/>
          <w:sz w:val="22"/>
        </w:rPr>
      </w:pPr>
      <w:r>
        <w:rPr>
          <w:rFonts w:hint="eastAsia" w:hAnsi="宋体" w:cs="宋体"/>
        </w:rPr>
        <w:t>2.根据评分细则提供相关证明</w:t>
      </w:r>
      <w:r>
        <w:rPr>
          <w:rFonts w:hint="eastAsia" w:hAnsi="宋体" w:cs="宋体"/>
          <w:bCs/>
          <w:sz w:val="22"/>
          <w:szCs w:val="22"/>
        </w:rPr>
        <w:t>材料复印件加盖公章。</w:t>
      </w:r>
    </w:p>
    <w:p w14:paraId="432C568E">
      <w:pPr>
        <w:pStyle w:val="28"/>
        <w:spacing w:line="400" w:lineRule="atLeast"/>
        <w:ind w:left="660" w:hanging="660" w:hangingChars="300"/>
        <w:rPr>
          <w:rFonts w:hAnsi="宋体" w:cs="宋体"/>
          <w:sz w:val="22"/>
        </w:rPr>
      </w:pPr>
      <w:r>
        <w:rPr>
          <w:rFonts w:hint="eastAsia" w:hAnsi="宋体" w:cs="宋体"/>
          <w:sz w:val="22"/>
        </w:rPr>
        <w:t>3.此表仅提供了表格形式，投标供应商可按此表格复制。</w:t>
      </w:r>
    </w:p>
    <w:p w14:paraId="236E2A3E">
      <w:pPr>
        <w:spacing w:line="276" w:lineRule="auto"/>
        <w:rPr>
          <w:rFonts w:ascii="宋体" w:hAnsi="宋体" w:cs="Arial"/>
        </w:rPr>
      </w:pPr>
    </w:p>
    <w:p w14:paraId="06BAFE1A">
      <w:pPr>
        <w:spacing w:before="240" w:beforeLines="100" w:line="360" w:lineRule="auto"/>
        <w:ind w:right="-21" w:rightChars="-10"/>
        <w:rPr>
          <w:rFonts w:ascii="宋体" w:hAnsi="宋体"/>
          <w:sz w:val="22"/>
          <w:szCs w:val="22"/>
        </w:rPr>
      </w:pPr>
      <w:r>
        <w:rPr>
          <w:rFonts w:hint="eastAsia" w:ascii="宋体" w:hAnsi="宋体"/>
          <w:sz w:val="22"/>
          <w:szCs w:val="22"/>
        </w:rPr>
        <w:t>投标供应商全称（公章）：</w:t>
      </w:r>
    </w:p>
    <w:p w14:paraId="5D19DC97">
      <w:pPr>
        <w:spacing w:before="120" w:beforeLines="50" w:line="360" w:lineRule="auto"/>
        <w:ind w:right="-10"/>
        <w:rPr>
          <w:rFonts w:ascii="宋体" w:hAnsi="宋体"/>
          <w:sz w:val="22"/>
          <w:szCs w:val="22"/>
        </w:rPr>
      </w:pPr>
      <w:r>
        <w:rPr>
          <w:rFonts w:hint="eastAsia" w:ascii="宋体" w:hAnsi="宋体"/>
          <w:sz w:val="22"/>
          <w:szCs w:val="22"/>
        </w:rPr>
        <w:t>法定代表人或授权代表（签字或盖章）：</w:t>
      </w:r>
    </w:p>
    <w:p w14:paraId="7CF56820">
      <w:pPr>
        <w:spacing w:before="120" w:beforeLines="50" w:line="360" w:lineRule="auto"/>
        <w:ind w:right="-10"/>
        <w:rPr>
          <w:rFonts w:ascii="宋体" w:cs="宋体"/>
          <w:b/>
          <w:bCs/>
          <w:sz w:val="24"/>
        </w:rPr>
      </w:pPr>
      <w:r>
        <w:rPr>
          <w:rFonts w:hint="eastAsia" w:ascii="宋体" w:hAnsi="宋体"/>
          <w:sz w:val="22"/>
          <w:szCs w:val="22"/>
        </w:rPr>
        <w:t>日期：  年  月  日</w:t>
      </w:r>
    </w:p>
    <w:p w14:paraId="05B3FB17">
      <w:pPr>
        <w:rPr>
          <w:rFonts w:ascii="宋体" w:cs="宋体"/>
          <w:b/>
          <w:bCs/>
          <w:sz w:val="24"/>
        </w:rPr>
      </w:pPr>
    </w:p>
    <w:p w14:paraId="243DFC14">
      <w:pPr>
        <w:rPr>
          <w:rFonts w:ascii="宋体" w:cs="宋体"/>
          <w:b/>
          <w:bCs/>
          <w:sz w:val="24"/>
        </w:rPr>
      </w:pPr>
    </w:p>
    <w:p w14:paraId="29C24D61">
      <w:pPr>
        <w:pStyle w:val="40"/>
      </w:pPr>
    </w:p>
    <w:p w14:paraId="46118D82"/>
    <w:bookmarkEnd w:id="149"/>
    <w:bookmarkEnd w:id="150"/>
    <w:p w14:paraId="0A5244EB"/>
    <w:bookmarkEnd w:id="143"/>
    <w:p w14:paraId="2053A375">
      <w:pPr>
        <w:spacing w:line="440" w:lineRule="exact"/>
        <w:rPr>
          <w:rFonts w:ascii="宋体" w:cs="宋体"/>
          <w:sz w:val="22"/>
          <w:szCs w:val="22"/>
        </w:rPr>
      </w:pPr>
    </w:p>
    <w:sectPr>
      <w:pgSz w:w="11906" w:h="16838"/>
      <w:pgMar w:top="1134" w:right="1134" w:bottom="1134" w:left="1134" w:header="851" w:footer="850" w:gutter="284"/>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2">
    <w:p>
      <w:r>
        <w:separator/>
      </w:r>
    </w:p>
  </w:endnote>
  <w:endnote w:type="continuationSeparator" w:id="3">
    <w:p>
      <w:r>
        <w:continuationSeparator/>
      </w:r>
    </w:p>
  </w:endnote>
  <w:endnote w:id="0">
    <w:p w14:paraId="7FA773C7"/>
    <w:p w14:paraId="54871408">
      <w:pPr>
        <w:pStyle w:val="4"/>
        <w:ind w:firstLine="2249" w:firstLineChars="700"/>
        <w:rPr>
          <w:rFonts w:cs="宋体"/>
          <w:sz w:val="32"/>
          <w:szCs w:val="32"/>
        </w:rPr>
      </w:pPr>
      <w:r>
        <w:rPr>
          <w:rFonts w:hint="eastAsia" w:cs="宋体"/>
          <w:sz w:val="32"/>
          <w:szCs w:val="32"/>
        </w:rPr>
        <w:t>第四部分   采购内容及要求</w:t>
      </w:r>
    </w:p>
    <w:p w14:paraId="452D6386">
      <w:pPr>
        <w:autoSpaceDE w:val="0"/>
        <w:autoSpaceDN w:val="0"/>
        <w:adjustRightInd w:val="0"/>
        <w:snapToGrid w:val="0"/>
        <w:jc w:val="left"/>
        <w:rPr>
          <w:rFonts w:ascii="宋体" w:hAnsi="宋体" w:cs="宋体"/>
          <w:b/>
          <w:bCs/>
          <w:kern w:val="0"/>
          <w:szCs w:val="21"/>
        </w:rPr>
      </w:pPr>
      <w:r>
        <w:rPr>
          <w:rFonts w:hint="eastAsia" w:ascii="宋体" w:hAnsi="宋体" w:cs="宋体"/>
          <w:b/>
          <w:bCs/>
          <w:kern w:val="0"/>
          <w:szCs w:val="21"/>
        </w:rPr>
        <w:t>一、总说明</w:t>
      </w:r>
    </w:p>
    <w:p w14:paraId="0504B9B7">
      <w:pPr>
        <w:ind w:firstLine="420" w:firstLineChars="200"/>
        <w:rPr>
          <w:rFonts w:ascii="宋体" w:hAnsi="宋体" w:cs="宋体"/>
          <w:szCs w:val="21"/>
        </w:rPr>
      </w:pPr>
      <w:r>
        <w:rPr>
          <w:rFonts w:hint="eastAsia" w:ascii="宋体" w:hAnsi="宋体" w:cs="宋体"/>
          <w:szCs w:val="21"/>
        </w:rPr>
        <w:t>1、技术指标只是货物及安装的一些原则性规定，并不是详尽的要求，投标供应商有责任对该设备设计符合技术规格书要求负责。</w:t>
      </w:r>
    </w:p>
    <w:p w14:paraId="4F148524">
      <w:pPr>
        <w:ind w:firstLine="420" w:firstLineChars="200"/>
        <w:rPr>
          <w:rFonts w:ascii="宋体" w:hAnsi="宋体" w:cs="宋体"/>
          <w:szCs w:val="21"/>
        </w:rPr>
      </w:pPr>
      <w:r>
        <w:rPr>
          <w:rFonts w:hint="eastAsia" w:ascii="宋体" w:hAnsi="宋体" w:cs="宋体"/>
          <w:szCs w:val="21"/>
        </w:rPr>
        <w:t>2、采购的货物所涉及的产品标准、规范，验收标准、规范，应符合国家有关条例及规范，如有新的标准应采纳新标准，如是国外相应标准应征得采购人认可。</w:t>
      </w:r>
    </w:p>
    <w:p w14:paraId="0B330DED">
      <w:pPr>
        <w:ind w:firstLine="420" w:firstLineChars="200"/>
        <w:rPr>
          <w:rFonts w:ascii="宋体" w:hAnsi="宋体" w:cs="宋体"/>
          <w:szCs w:val="21"/>
        </w:rPr>
      </w:pPr>
      <w:r>
        <w:rPr>
          <w:rFonts w:hint="eastAsia" w:ascii="宋体" w:hAnsi="宋体" w:cs="宋体"/>
          <w:szCs w:val="21"/>
        </w:rPr>
        <w:t>3、投标供应商应根据采购文件所提出的技术规格、参数、数量和服务要求，综合考虑货物的适应性，选择具有最佳性能价格比的货物前来投标。</w:t>
      </w:r>
      <w:r>
        <w:rPr>
          <w:rFonts w:hint="eastAsia" w:ascii="宋体" w:hAnsi="宋体" w:cs="宋体"/>
          <w:b/>
          <w:bCs/>
          <w:szCs w:val="21"/>
        </w:rPr>
        <w:t>如果在技术参数或配置中引用了特定产品的独有名称，则仅为说明此项功能与用途，仅供参考并非指定,投标供应商可以提供替代的方案并作出相关说明，但这种替代整体上要优于或相当招标文件的相关要求</w:t>
      </w:r>
      <w:r>
        <w:rPr>
          <w:rFonts w:hint="eastAsia" w:ascii="宋体" w:hAnsi="宋体" w:cs="宋体"/>
          <w:szCs w:val="21"/>
        </w:rPr>
        <w:t>。希望供应商以精良的货物、优良的服务和优惠的价格，充分显示自身的竞争实力。</w:t>
      </w:r>
    </w:p>
    <w:p w14:paraId="10AC10B3">
      <w:pPr>
        <w:ind w:firstLine="420" w:firstLineChars="200"/>
        <w:rPr>
          <w:rFonts w:ascii="宋体" w:hAnsi="宋体" w:cs="宋体"/>
          <w:szCs w:val="21"/>
        </w:rPr>
      </w:pPr>
      <w:r>
        <w:rPr>
          <w:rFonts w:hint="eastAsia" w:ascii="宋体" w:hAnsi="宋体" w:cs="宋体"/>
          <w:szCs w:val="21"/>
        </w:rPr>
        <w:t>4、</w:t>
      </w:r>
      <w:r>
        <w:rPr>
          <w:rFonts w:hint="eastAsia" w:ascii="宋体" w:hAnsi="宋体" w:cs="宋体"/>
          <w:b/>
          <w:bCs/>
          <w:szCs w:val="21"/>
          <w:u w:val="single"/>
        </w:rPr>
        <w:t>▲本项目只设一个标段，投标供应商必须对全部内容进行报价。</w:t>
      </w:r>
    </w:p>
    <w:p w14:paraId="219BFA97">
      <w:pPr>
        <w:ind w:firstLine="420" w:firstLineChars="200"/>
        <w:rPr>
          <w:rFonts w:ascii="宋体" w:hAnsi="宋体" w:cs="宋体"/>
          <w:szCs w:val="21"/>
        </w:rPr>
      </w:pPr>
      <w:r>
        <w:rPr>
          <w:rFonts w:hint="eastAsia" w:ascii="宋体" w:hAnsi="宋体" w:cs="宋体"/>
          <w:szCs w:val="21"/>
        </w:rPr>
        <w:t>5、投标供应商报价产品及主要部件的名称、品牌、型号、技术参数、性能、数量、单价、合价、厂商、产地、质保期等应在投标文件中明确，对采购文件的技术条款及要求应予以实质性响应，如有偏离应在偏离表中注明。</w:t>
      </w:r>
    </w:p>
    <w:p w14:paraId="478C69BF">
      <w:pPr>
        <w:ind w:firstLine="422" w:firstLineChars="200"/>
        <w:rPr>
          <w:rFonts w:ascii="宋体" w:hAnsi="宋体" w:cs="宋体"/>
          <w:b/>
          <w:bCs/>
          <w:szCs w:val="21"/>
          <w:u w:val="single"/>
        </w:rPr>
      </w:pPr>
      <w:r>
        <w:rPr>
          <w:rFonts w:hint="eastAsia" w:ascii="宋体" w:hAnsi="宋体" w:cs="宋体"/>
          <w:b/>
          <w:bCs/>
          <w:szCs w:val="21"/>
        </w:rPr>
        <w:t>6、</w:t>
      </w:r>
      <w:r>
        <w:rPr>
          <w:rFonts w:hint="eastAsia" w:ascii="宋体" w:hAnsi="宋体" w:cs="宋体"/>
          <w:b/>
          <w:bCs/>
          <w:szCs w:val="21"/>
          <w:u w:val="single"/>
        </w:rPr>
        <w:t>▲禁止虚假应标，如果产品实际功能与投标文件功能不符，应承担违约责任，并上报国企采购失信名单。</w:t>
      </w:r>
    </w:p>
    <w:p w14:paraId="61530338">
      <w:pPr>
        <w:ind w:firstLine="422" w:firstLineChars="200"/>
        <w:rPr>
          <w:rFonts w:ascii="宋体" w:hAnsi="宋体" w:cs="宋体"/>
          <w:b/>
          <w:bCs/>
          <w:szCs w:val="21"/>
          <w:u w:val="single"/>
        </w:rPr>
      </w:pPr>
      <w:r>
        <w:rPr>
          <w:rFonts w:hint="eastAsia" w:ascii="宋体" w:hAnsi="宋体" w:cs="宋体"/>
          <w:b/>
          <w:bCs/>
          <w:szCs w:val="21"/>
          <w:u w:val="single"/>
        </w:rPr>
        <w:t>7、▲合同签订后</w:t>
      </w:r>
      <w:r>
        <w:rPr>
          <w:rFonts w:ascii="宋体" w:hAnsi="宋体" w:cs="宋体"/>
          <w:b/>
          <w:bCs/>
          <w:szCs w:val="21"/>
          <w:u w:val="single"/>
        </w:rPr>
        <w:t>15</w:t>
      </w:r>
      <w:r>
        <w:rPr>
          <w:rFonts w:hint="eastAsia" w:ascii="宋体" w:hAnsi="宋体" w:cs="宋体"/>
          <w:b/>
          <w:bCs/>
          <w:szCs w:val="21"/>
          <w:u w:val="single"/>
        </w:rPr>
        <w:t>个日历天内完成供货，合同签订前需提供原厂商对本项目的授权函及服务承诺函原件加盖原厂公章。</w:t>
      </w:r>
    </w:p>
    <w:p w14:paraId="0C2351B1">
      <w:pPr>
        <w:ind w:firstLine="422" w:firstLineChars="200"/>
        <w:rPr>
          <w:rFonts w:hint="eastAsia" w:ascii="宋体" w:hAnsi="宋体" w:cs="宋体"/>
          <w:b/>
          <w:bCs/>
          <w:szCs w:val="21"/>
          <w:u w:val="single"/>
        </w:rPr>
      </w:pPr>
      <w:r>
        <w:rPr>
          <w:rStyle w:val="102"/>
          <w:rFonts w:hint="eastAsia" w:ascii="宋体" w:hAnsi="宋体" w:cs="宋体"/>
          <w:b/>
          <w:bCs/>
          <w:szCs w:val="21"/>
          <w:u w:val="single"/>
        </w:rPr>
        <w:t>8、</w:t>
      </w:r>
      <w:r>
        <w:rPr>
          <w:rFonts w:hint="eastAsia" w:ascii="宋体" w:hAnsi="宋体" w:cs="宋体"/>
          <w:b/>
          <w:bCs/>
          <w:szCs w:val="21"/>
          <w:u w:val="single"/>
        </w:rPr>
        <w:t>投标供应商报价时必须充分考虑供货、安装、调试和售后服务过程中产生的人员交通和食宿，供货时间冲突等各种费用及风险。如中标，中标供应商必须按采购文件及采购人要求供货并提供售后服务。</w:t>
      </w:r>
    </w:p>
    <w:p w14:paraId="20612364">
      <w:pPr>
        <w:ind w:firstLine="422" w:firstLineChars="200"/>
        <w:rPr>
          <w:rFonts w:hint="eastAsia" w:ascii="宋体" w:hAnsi="宋体" w:eastAsia="宋体" w:cs="宋体"/>
          <w:b/>
          <w:bCs/>
          <w:szCs w:val="21"/>
          <w:u w:val="single"/>
          <w:lang w:val="en-US" w:eastAsia="zh-CN"/>
        </w:rPr>
      </w:pPr>
      <w:r>
        <w:rPr>
          <w:rFonts w:hint="eastAsia" w:ascii="宋体" w:hAnsi="宋体" w:cs="宋体"/>
          <w:b/>
          <w:bCs/>
          <w:szCs w:val="21"/>
          <w:u w:val="single"/>
          <w:lang w:val="en-US" w:eastAsia="zh-CN"/>
        </w:rPr>
        <w:t>9、</w:t>
      </w:r>
      <w:r>
        <w:rPr>
          <w:rFonts w:hint="eastAsia" w:ascii="宋体" w:hAnsi="宋体" w:cs="宋体"/>
          <w:b/>
          <w:bCs/>
          <w:szCs w:val="21"/>
          <w:u w:val="single"/>
        </w:rPr>
        <w:t>▲</w:t>
      </w:r>
      <w:r>
        <w:rPr>
          <w:rFonts w:hint="eastAsia" w:ascii="宋体" w:hAnsi="宋体" w:cs="宋体"/>
          <w:b/>
          <w:bCs/>
          <w:szCs w:val="21"/>
          <w:u w:val="single"/>
          <w:lang w:val="en-US" w:eastAsia="zh-CN"/>
        </w:rPr>
        <w:t>免费维护期3年。</w:t>
      </w:r>
    </w:p>
    <w:p w14:paraId="060842EF">
      <w:pPr>
        <w:pStyle w:val="101"/>
        <w:ind w:firstLine="0" w:firstLineChars="0"/>
        <w:rPr>
          <w:rFonts w:ascii="宋体" w:hAnsi="宋体" w:cs="宋体"/>
          <w:b/>
          <w:bCs/>
          <w:kern w:val="0"/>
        </w:rPr>
      </w:pPr>
      <w:r>
        <w:rPr>
          <w:rFonts w:hint="eastAsia" w:ascii="宋体" w:hAnsi="宋体" w:cs="宋体"/>
          <w:b/>
          <w:bCs/>
          <w:kern w:val="0"/>
        </w:rPr>
        <w:t>二、项目概况</w:t>
      </w:r>
    </w:p>
    <w:p w14:paraId="0B04F61E">
      <w:pPr>
        <w:adjustRightInd w:val="0"/>
        <w:snapToGrid w:val="0"/>
        <w:ind w:firstLine="420" w:firstLineChars="200"/>
      </w:pPr>
      <w:r>
        <w:t xml:space="preserve"> </w:t>
      </w:r>
      <w:r>
        <w:rPr>
          <w:rFonts w:hint="eastAsia"/>
        </w:rPr>
        <w:t>国家及行业信创政策要求旨在全面推动信息技术应用创新发展，保障国家信息安全和产业自主可控，有着明确且坚实的实际依据。</w:t>
      </w:r>
    </w:p>
    <w:p w14:paraId="4699F062">
      <w:pPr>
        <w:adjustRightInd w:val="0"/>
        <w:snapToGrid w:val="0"/>
        <w:ind w:firstLine="420" w:firstLineChars="200"/>
      </w:pPr>
      <w:r>
        <w:rPr>
          <w:rFonts w:hint="eastAsia"/>
        </w:rPr>
        <w:t>从国家层面来看，《中华人民共和国国民经济和社会发展第十四个五年规划和 2035 年远景目标纲要》明确提出，要强化国家战略科技力量，加强原创性引领性科技攻关，集中攻克关键核心技术，这为信创产业的发展提供了宏观战略指引。信创产业作为信息技术领域关键核心技术突破的重要着力点，国家大力支持其发展，要求在政务、金融、能源等重要领域逐步提升国产信息技术产品和服务的应用比例。例如在政务领域，国家通过相关政策推动政府部门采购国产操作系统、数据库、办公软件等，构建安全可靠的信息技术体系，减少对国外技术的依赖，像多地政府已经开展了大规模的信创政务办公系统改造项目。</w:t>
      </w:r>
    </w:p>
    <w:p w14:paraId="0E568A1B">
      <w:pPr>
        <w:adjustRightInd w:val="0"/>
        <w:snapToGrid w:val="0"/>
        <w:ind w:firstLine="420" w:firstLineChars="200"/>
      </w:pPr>
      <w:r>
        <w:rPr>
          <w:rFonts w:hint="eastAsia"/>
        </w:rPr>
        <w:t>各行业也积极响应国家号召，依据国家总体方针制定细化的行业信创政策要求。在金融行业，中国人民银行等监管机构发布了一系列金融科技发展规划和信创指导意见，要求金融机构加强信息技术创新应用，提升金融基础设施的自主可控能力。例如，大型银行纷纷加大对国产数据库、金融科技解决方案的应用和研发投入，保障金融数据安全和业务稳定运行。在能源行业，国家能源局等部门鼓励能源企业推进数字化转型，应用国产的工业控制系统、能源管理软件等，提高能源生产和利用效率，保障国家能源安全，如一些大型能源集团已经开始逐步替换原有进口系统，采用国产信创产品。</w:t>
      </w:r>
    </w:p>
    <w:p w14:paraId="4C288039">
      <w:pPr>
        <w:ind w:firstLine="420" w:firstLineChars="200"/>
        <w:rPr>
          <w:rFonts w:ascii="宋体" w:hAnsi="宋体" w:cs="宋体"/>
          <w:szCs w:val="21"/>
        </w:rPr>
      </w:pPr>
      <w:r>
        <w:rPr>
          <w:rFonts w:hint="eastAsia" w:ascii="宋体" w:hAnsi="宋体" w:cs="宋体"/>
          <w:szCs w:val="21"/>
        </w:rPr>
        <w:t>目前，温州市公用集团已初步构建信创资源池，IDC机房内部署超融合平台，国产数据库，国产中间件，国产服务器操作系统，满足国产化综合办公系统，集团版G</w:t>
      </w:r>
      <w:r>
        <w:rPr>
          <w:rFonts w:ascii="宋体" w:hAnsi="宋体" w:cs="宋体"/>
          <w:szCs w:val="21"/>
        </w:rPr>
        <w:t>IS</w:t>
      </w:r>
      <w:r>
        <w:rPr>
          <w:rFonts w:hint="eastAsia" w:ascii="宋体" w:hAnsi="宋体" w:cs="宋体"/>
          <w:szCs w:val="21"/>
        </w:rPr>
        <w:t>系统，集团版工程管理系统等部署资源需求，同时保证平台资源高可用性和冗余能力。然而，随着集团业务的不断拓展和信息化程度的加深，现有的信创资源池在计算能力、存储容量及国产数据库、中间件、操作系统等软件授权逐渐难以满足日益后续增长的业务需求。资源池内的服务器、内存和CPU核心数有限，无法高效处理大量并发业务请求。</w:t>
      </w:r>
    </w:p>
    <w:p w14:paraId="0EC9D0FD">
      <w:pPr>
        <w:ind w:firstLine="420" w:firstLineChars="200"/>
        <w:rPr>
          <w:rFonts w:ascii="宋体" w:hAnsi="宋体" w:cs="宋体"/>
          <w:b/>
          <w:bCs/>
          <w:kern w:val="0"/>
          <w:szCs w:val="21"/>
        </w:rPr>
      </w:pPr>
      <w:r>
        <w:rPr>
          <w:rFonts w:hint="eastAsia" w:ascii="宋体" w:hAnsi="宋体" w:cs="宋体"/>
          <w:szCs w:val="21"/>
        </w:rPr>
        <w:t>因此，为保障温州市公用事业一体化改革全覆盖工作需要，需要启动信创资源池扩容工作。</w:t>
      </w:r>
    </w:p>
    <w:p w14:paraId="5A65953E">
      <w:pPr>
        <w:numPr>
          <w:ilvl w:val="0"/>
          <w:numId w:val="1"/>
        </w:numPr>
        <w:rPr>
          <w:rFonts w:ascii="宋体" w:hAnsi="宋体" w:cs="宋体"/>
          <w:szCs w:val="21"/>
        </w:rPr>
      </w:pPr>
      <w:r>
        <w:rPr>
          <w:rFonts w:hint="eastAsia" w:ascii="宋体" w:hAnsi="宋体" w:cs="宋体"/>
          <w:b/>
          <w:bCs/>
          <w:kern w:val="0"/>
          <w:sz w:val="22"/>
          <w:szCs w:val="22"/>
        </w:rPr>
        <w:t>采购内容</w:t>
      </w:r>
    </w:p>
    <w:tbl>
      <w:tblPr>
        <w:tblStyle w:val="50"/>
        <w:tblW w:w="9403" w:type="dxa"/>
        <w:jc w:val="center"/>
        <w:tblLayout w:type="fixed"/>
        <w:tblCellMar>
          <w:top w:w="0" w:type="dxa"/>
          <w:left w:w="108" w:type="dxa"/>
          <w:bottom w:w="0" w:type="dxa"/>
          <w:right w:w="108" w:type="dxa"/>
        </w:tblCellMar>
      </w:tblPr>
      <w:tblGrid>
        <w:gridCol w:w="795"/>
        <w:gridCol w:w="1589"/>
        <w:gridCol w:w="2658"/>
        <w:gridCol w:w="2426"/>
        <w:gridCol w:w="885"/>
        <w:gridCol w:w="1050"/>
      </w:tblGrid>
      <w:tr w14:paraId="5B97597E">
        <w:tblPrEx>
          <w:tblCellMar>
            <w:top w:w="0" w:type="dxa"/>
            <w:left w:w="108" w:type="dxa"/>
            <w:bottom w:w="0" w:type="dxa"/>
            <w:right w:w="108" w:type="dxa"/>
          </w:tblCellMar>
        </w:tblPrEx>
        <w:trPr>
          <w:trHeight w:val="380" w:hRule="atLeast"/>
          <w:jc w:val="center"/>
        </w:trPr>
        <w:tc>
          <w:tcPr>
            <w:tcW w:w="795" w:type="dxa"/>
            <w:tcBorders>
              <w:top w:val="single" w:color="auto" w:sz="4" w:space="0"/>
              <w:left w:val="single" w:color="auto" w:sz="4" w:space="0"/>
              <w:bottom w:val="single" w:color="auto" w:sz="4" w:space="0"/>
              <w:right w:val="single" w:color="auto" w:sz="4" w:space="0"/>
            </w:tcBorders>
            <w:shd w:val="clear" w:color="auto" w:fill="auto"/>
            <w:vAlign w:val="center"/>
          </w:tcPr>
          <w:p w14:paraId="7BC5A6E8">
            <w:pPr>
              <w:jc w:val="center"/>
              <w:rPr>
                <w:rFonts w:ascii="宋体" w:hAnsi="宋体" w:cs="宋体"/>
                <w:szCs w:val="21"/>
              </w:rPr>
            </w:pPr>
            <w:r>
              <w:rPr>
                <w:rFonts w:hint="eastAsia" w:ascii="宋体" w:hAnsi="宋体" w:cs="宋体"/>
                <w:szCs w:val="21"/>
              </w:rPr>
              <w:t>序号</w:t>
            </w:r>
          </w:p>
        </w:tc>
        <w:tc>
          <w:tcPr>
            <w:tcW w:w="4247" w:type="dxa"/>
            <w:gridSpan w:val="2"/>
            <w:tcBorders>
              <w:top w:val="single" w:color="auto" w:sz="4" w:space="0"/>
              <w:left w:val="nil"/>
              <w:bottom w:val="single" w:color="auto" w:sz="4" w:space="0"/>
              <w:right w:val="single" w:color="auto" w:sz="4" w:space="0"/>
            </w:tcBorders>
            <w:shd w:val="clear" w:color="auto" w:fill="auto"/>
            <w:vAlign w:val="center"/>
          </w:tcPr>
          <w:p w14:paraId="37506003">
            <w:pPr>
              <w:jc w:val="center"/>
              <w:rPr>
                <w:rFonts w:ascii="宋体" w:hAnsi="宋体" w:cs="宋体"/>
                <w:szCs w:val="21"/>
              </w:rPr>
            </w:pPr>
            <w:r>
              <w:rPr>
                <w:rFonts w:hint="eastAsia" w:ascii="宋体" w:hAnsi="宋体" w:cs="宋体"/>
                <w:szCs w:val="21"/>
              </w:rPr>
              <w:t>名称</w:t>
            </w:r>
          </w:p>
        </w:tc>
        <w:tc>
          <w:tcPr>
            <w:tcW w:w="2426" w:type="dxa"/>
            <w:tcBorders>
              <w:top w:val="single" w:color="auto" w:sz="4" w:space="0"/>
              <w:left w:val="nil"/>
              <w:bottom w:val="single" w:color="auto" w:sz="4" w:space="0"/>
              <w:right w:val="single" w:color="auto" w:sz="4" w:space="0"/>
            </w:tcBorders>
            <w:shd w:val="clear" w:color="auto" w:fill="auto"/>
            <w:vAlign w:val="center"/>
          </w:tcPr>
          <w:p w14:paraId="4B11CB19">
            <w:pPr>
              <w:jc w:val="center"/>
              <w:rPr>
                <w:rFonts w:ascii="宋体" w:hAnsi="宋体" w:cs="宋体"/>
                <w:szCs w:val="21"/>
              </w:rPr>
            </w:pPr>
            <w:r>
              <w:rPr>
                <w:rFonts w:hint="eastAsia" w:ascii="宋体" w:hAnsi="宋体" w:cs="宋体"/>
                <w:szCs w:val="21"/>
              </w:rPr>
              <w:t>参数</w:t>
            </w:r>
          </w:p>
        </w:tc>
        <w:tc>
          <w:tcPr>
            <w:tcW w:w="885" w:type="dxa"/>
            <w:tcBorders>
              <w:top w:val="single" w:color="auto" w:sz="4" w:space="0"/>
              <w:left w:val="nil"/>
              <w:bottom w:val="single" w:color="auto" w:sz="4" w:space="0"/>
              <w:right w:val="single" w:color="auto" w:sz="4" w:space="0"/>
            </w:tcBorders>
            <w:shd w:val="clear" w:color="auto" w:fill="auto"/>
            <w:vAlign w:val="center"/>
          </w:tcPr>
          <w:p w14:paraId="5B952812">
            <w:pPr>
              <w:jc w:val="center"/>
              <w:rPr>
                <w:rFonts w:ascii="宋体" w:hAnsi="宋体" w:cs="宋体"/>
                <w:szCs w:val="21"/>
              </w:rPr>
            </w:pPr>
            <w:r>
              <w:rPr>
                <w:rFonts w:hint="eastAsia" w:ascii="宋体" w:hAnsi="宋体" w:cs="宋体"/>
                <w:szCs w:val="21"/>
              </w:rPr>
              <w:t>数量</w:t>
            </w:r>
          </w:p>
        </w:tc>
        <w:tc>
          <w:tcPr>
            <w:tcW w:w="1050" w:type="dxa"/>
            <w:tcBorders>
              <w:top w:val="single" w:color="auto" w:sz="4" w:space="0"/>
              <w:left w:val="nil"/>
              <w:bottom w:val="single" w:color="auto" w:sz="4" w:space="0"/>
              <w:right w:val="single" w:color="auto" w:sz="4" w:space="0"/>
            </w:tcBorders>
            <w:shd w:val="clear" w:color="auto" w:fill="auto"/>
            <w:vAlign w:val="center"/>
          </w:tcPr>
          <w:p w14:paraId="7458348A">
            <w:pPr>
              <w:jc w:val="center"/>
              <w:rPr>
                <w:rFonts w:ascii="宋体" w:hAnsi="宋体" w:cs="宋体"/>
                <w:szCs w:val="21"/>
              </w:rPr>
            </w:pPr>
            <w:r>
              <w:rPr>
                <w:rFonts w:hint="eastAsia" w:ascii="宋体" w:hAnsi="宋体" w:cs="宋体"/>
                <w:szCs w:val="21"/>
              </w:rPr>
              <w:t>单位</w:t>
            </w:r>
          </w:p>
        </w:tc>
      </w:tr>
      <w:tr w14:paraId="457532F2">
        <w:tblPrEx>
          <w:tblCellMar>
            <w:top w:w="0" w:type="dxa"/>
            <w:left w:w="108" w:type="dxa"/>
            <w:bottom w:w="0" w:type="dxa"/>
            <w:right w:w="108" w:type="dxa"/>
          </w:tblCellMar>
        </w:tblPrEx>
        <w:trPr>
          <w:trHeight w:val="589" w:hRule="atLeast"/>
          <w:jc w:val="center"/>
        </w:trPr>
        <w:tc>
          <w:tcPr>
            <w:tcW w:w="795" w:type="dxa"/>
            <w:tcBorders>
              <w:top w:val="nil"/>
              <w:left w:val="single" w:color="auto" w:sz="4" w:space="0"/>
              <w:bottom w:val="single" w:color="auto" w:sz="4" w:space="0"/>
              <w:right w:val="single" w:color="auto" w:sz="4" w:space="0"/>
            </w:tcBorders>
            <w:shd w:val="clear" w:color="auto" w:fill="auto"/>
            <w:vAlign w:val="center"/>
          </w:tcPr>
          <w:p w14:paraId="6F2B922F">
            <w:pPr>
              <w:jc w:val="center"/>
              <w:rPr>
                <w:rFonts w:ascii="宋体" w:hAnsi="宋体" w:cs="宋体"/>
                <w:szCs w:val="21"/>
              </w:rPr>
            </w:pPr>
            <w:r>
              <w:rPr>
                <w:rFonts w:hint="eastAsia" w:ascii="宋体" w:hAnsi="宋体" w:cs="宋体"/>
                <w:szCs w:val="21"/>
              </w:rPr>
              <w:t>1</w:t>
            </w:r>
          </w:p>
        </w:tc>
        <w:tc>
          <w:tcPr>
            <w:tcW w:w="1589" w:type="dxa"/>
            <w:tcBorders>
              <w:top w:val="nil"/>
              <w:left w:val="single" w:color="auto" w:sz="4" w:space="0"/>
              <w:bottom w:val="single" w:color="auto" w:sz="4" w:space="0"/>
              <w:right w:val="single" w:color="auto" w:sz="4" w:space="0"/>
            </w:tcBorders>
            <w:shd w:val="clear" w:color="auto" w:fill="auto"/>
            <w:vAlign w:val="center"/>
          </w:tcPr>
          <w:p w14:paraId="1E37100E">
            <w:pPr>
              <w:jc w:val="center"/>
              <w:rPr>
                <w:rFonts w:ascii="宋体" w:hAnsi="宋体" w:cs="宋体"/>
                <w:szCs w:val="21"/>
              </w:rPr>
            </w:pPr>
            <w:r>
              <w:rPr>
                <w:rFonts w:hint="eastAsia" w:ascii="宋体" w:hAnsi="宋体" w:cs="宋体"/>
                <w:szCs w:val="21"/>
              </w:rPr>
              <w:t>主机硬件资源</w:t>
            </w:r>
          </w:p>
        </w:tc>
        <w:tc>
          <w:tcPr>
            <w:tcW w:w="2658" w:type="dxa"/>
            <w:tcBorders>
              <w:top w:val="nil"/>
              <w:left w:val="nil"/>
              <w:bottom w:val="single" w:color="auto" w:sz="4" w:space="0"/>
              <w:right w:val="single" w:color="auto" w:sz="4" w:space="0"/>
            </w:tcBorders>
            <w:shd w:val="clear" w:color="auto" w:fill="auto"/>
            <w:vAlign w:val="center"/>
          </w:tcPr>
          <w:p w14:paraId="5986E4E9">
            <w:pPr>
              <w:jc w:val="left"/>
              <w:rPr>
                <w:rFonts w:ascii="宋体" w:hAnsi="宋体" w:cs="宋体"/>
                <w:szCs w:val="21"/>
              </w:rPr>
            </w:pPr>
            <w:r>
              <w:rPr>
                <w:rFonts w:hint="eastAsia" w:ascii="宋体" w:hAnsi="宋体" w:cs="宋体"/>
                <w:szCs w:val="21"/>
              </w:rPr>
              <w:t>信创硬件资源（超融合架构</w:t>
            </w:r>
            <w:r>
              <w:rPr>
                <w:rFonts w:hint="eastAsia" w:ascii="新宋体" w:hAnsi="新宋体" w:eastAsia="新宋体" w:cs="新宋体"/>
                <w:sz w:val="22"/>
                <w:szCs w:val="22"/>
              </w:rPr>
              <w:t>服务器、超融合和应用虚拟化软件授权</w:t>
            </w:r>
            <w:r>
              <w:rPr>
                <w:rFonts w:hint="eastAsia" w:ascii="宋体" w:hAnsi="宋体" w:cs="宋体"/>
                <w:szCs w:val="21"/>
              </w:rPr>
              <w:t>）</w:t>
            </w:r>
          </w:p>
        </w:tc>
        <w:tc>
          <w:tcPr>
            <w:tcW w:w="2426" w:type="dxa"/>
            <w:tcBorders>
              <w:top w:val="nil"/>
              <w:left w:val="nil"/>
              <w:bottom w:val="single" w:color="auto" w:sz="4" w:space="0"/>
              <w:right w:val="single" w:color="auto" w:sz="4" w:space="0"/>
            </w:tcBorders>
            <w:shd w:val="clear" w:color="auto" w:fill="auto"/>
            <w:vAlign w:val="center"/>
          </w:tcPr>
          <w:p w14:paraId="6F1005FC">
            <w:pPr>
              <w:jc w:val="center"/>
              <w:rPr>
                <w:rFonts w:ascii="宋体" w:hAnsi="宋体" w:cs="宋体"/>
                <w:szCs w:val="21"/>
              </w:rPr>
            </w:pPr>
            <w:r>
              <w:rPr>
                <w:rFonts w:hint="eastAsia" w:ascii="宋体" w:hAnsi="宋体" w:cs="宋体"/>
                <w:szCs w:val="21"/>
              </w:rPr>
              <w:t>详见技术要求与参数</w:t>
            </w:r>
          </w:p>
        </w:tc>
        <w:tc>
          <w:tcPr>
            <w:tcW w:w="885" w:type="dxa"/>
            <w:tcBorders>
              <w:top w:val="nil"/>
              <w:left w:val="nil"/>
              <w:bottom w:val="single" w:color="auto" w:sz="4" w:space="0"/>
              <w:right w:val="single" w:color="auto" w:sz="4" w:space="0"/>
            </w:tcBorders>
            <w:shd w:val="clear" w:color="auto" w:fill="auto"/>
            <w:vAlign w:val="center"/>
          </w:tcPr>
          <w:p w14:paraId="2E2DCF58">
            <w:pPr>
              <w:jc w:val="center"/>
              <w:rPr>
                <w:rFonts w:ascii="宋体" w:hAnsi="宋体" w:cs="宋体"/>
                <w:szCs w:val="21"/>
              </w:rPr>
            </w:pPr>
            <w:r>
              <w:rPr>
                <w:rFonts w:ascii="宋体" w:hAnsi="宋体" w:cs="宋体"/>
                <w:szCs w:val="21"/>
              </w:rPr>
              <w:t>2</w:t>
            </w:r>
          </w:p>
        </w:tc>
        <w:tc>
          <w:tcPr>
            <w:tcW w:w="1050" w:type="dxa"/>
            <w:tcBorders>
              <w:top w:val="nil"/>
              <w:left w:val="nil"/>
              <w:bottom w:val="single" w:color="auto" w:sz="4" w:space="0"/>
              <w:right w:val="single" w:color="auto" w:sz="4" w:space="0"/>
            </w:tcBorders>
            <w:shd w:val="clear" w:color="auto" w:fill="auto"/>
            <w:vAlign w:val="center"/>
          </w:tcPr>
          <w:p w14:paraId="2CCF0B56">
            <w:pPr>
              <w:jc w:val="center"/>
              <w:rPr>
                <w:rFonts w:ascii="宋体" w:hAnsi="宋体" w:cs="宋体"/>
                <w:szCs w:val="21"/>
              </w:rPr>
            </w:pPr>
            <w:r>
              <w:rPr>
                <w:rFonts w:hint="eastAsia" w:ascii="宋体" w:hAnsi="宋体" w:cs="宋体"/>
                <w:szCs w:val="21"/>
              </w:rPr>
              <w:t>台</w:t>
            </w:r>
          </w:p>
        </w:tc>
      </w:tr>
      <w:tr w14:paraId="1B6C84AF">
        <w:tblPrEx>
          <w:tblCellMar>
            <w:top w:w="0" w:type="dxa"/>
            <w:left w:w="108" w:type="dxa"/>
            <w:bottom w:w="0" w:type="dxa"/>
            <w:right w:w="108" w:type="dxa"/>
          </w:tblCellMar>
        </w:tblPrEx>
        <w:trPr>
          <w:trHeight w:val="201" w:hRule="atLeast"/>
          <w:jc w:val="center"/>
        </w:trPr>
        <w:tc>
          <w:tcPr>
            <w:tcW w:w="795" w:type="dxa"/>
            <w:vMerge w:val="restart"/>
            <w:tcBorders>
              <w:top w:val="nil"/>
              <w:left w:val="single" w:color="auto" w:sz="4" w:space="0"/>
              <w:right w:val="single" w:color="auto" w:sz="4" w:space="0"/>
            </w:tcBorders>
            <w:vAlign w:val="center"/>
          </w:tcPr>
          <w:p w14:paraId="2531BE53">
            <w:pPr>
              <w:jc w:val="center"/>
              <w:rPr>
                <w:rFonts w:ascii="宋体" w:hAnsi="宋体" w:cs="宋体"/>
                <w:szCs w:val="21"/>
              </w:rPr>
            </w:pPr>
            <w:r>
              <w:rPr>
                <w:rFonts w:hint="eastAsia" w:ascii="宋体" w:hAnsi="宋体" w:cs="宋体"/>
                <w:szCs w:val="21"/>
              </w:rPr>
              <w:t>2</w:t>
            </w:r>
          </w:p>
        </w:tc>
        <w:tc>
          <w:tcPr>
            <w:tcW w:w="1589" w:type="dxa"/>
            <w:vMerge w:val="restart"/>
            <w:tcBorders>
              <w:top w:val="nil"/>
              <w:left w:val="single" w:color="auto" w:sz="4" w:space="0"/>
              <w:right w:val="single" w:color="auto" w:sz="4" w:space="0"/>
            </w:tcBorders>
            <w:vAlign w:val="center"/>
          </w:tcPr>
          <w:p w14:paraId="1FF6F845">
            <w:pPr>
              <w:jc w:val="center"/>
              <w:rPr>
                <w:rFonts w:ascii="宋体" w:hAnsi="宋体" w:cs="宋体"/>
                <w:szCs w:val="21"/>
              </w:rPr>
            </w:pPr>
            <w:r>
              <w:rPr>
                <w:rFonts w:hint="eastAsia" w:ascii="宋体" w:hAnsi="宋体" w:cs="宋体"/>
                <w:szCs w:val="21"/>
              </w:rPr>
              <w:t>软件资源</w:t>
            </w:r>
          </w:p>
        </w:tc>
        <w:tc>
          <w:tcPr>
            <w:tcW w:w="2658" w:type="dxa"/>
            <w:tcBorders>
              <w:top w:val="nil"/>
              <w:left w:val="nil"/>
              <w:bottom w:val="single" w:color="auto" w:sz="4" w:space="0"/>
              <w:right w:val="single" w:color="auto" w:sz="4" w:space="0"/>
            </w:tcBorders>
            <w:shd w:val="clear" w:color="auto" w:fill="auto"/>
            <w:vAlign w:val="center"/>
          </w:tcPr>
          <w:p w14:paraId="7258F3A4">
            <w:pPr>
              <w:jc w:val="left"/>
              <w:rPr>
                <w:rFonts w:ascii="宋体" w:hAnsi="宋体" w:cs="宋体"/>
                <w:szCs w:val="21"/>
              </w:rPr>
            </w:pPr>
            <w:r>
              <w:rPr>
                <w:rFonts w:hint="eastAsia" w:ascii="宋体" w:hAnsi="宋体" w:cs="宋体"/>
                <w:szCs w:val="21"/>
              </w:rPr>
              <w:t>国产操作系统授权</w:t>
            </w:r>
          </w:p>
        </w:tc>
        <w:tc>
          <w:tcPr>
            <w:tcW w:w="2426" w:type="dxa"/>
            <w:tcBorders>
              <w:top w:val="nil"/>
              <w:left w:val="nil"/>
              <w:bottom w:val="single" w:color="auto" w:sz="4" w:space="0"/>
              <w:right w:val="single" w:color="auto" w:sz="4" w:space="0"/>
            </w:tcBorders>
            <w:shd w:val="clear" w:color="auto" w:fill="auto"/>
            <w:vAlign w:val="center"/>
          </w:tcPr>
          <w:p w14:paraId="3F150432">
            <w:pPr>
              <w:jc w:val="center"/>
              <w:rPr>
                <w:rFonts w:ascii="宋体" w:hAnsi="宋体" w:cs="宋体"/>
                <w:szCs w:val="21"/>
              </w:rPr>
            </w:pPr>
            <w:r>
              <w:rPr>
                <w:rFonts w:hint="eastAsia" w:ascii="宋体" w:hAnsi="宋体" w:cs="宋体"/>
                <w:szCs w:val="21"/>
              </w:rPr>
              <w:t>详见技术要求与参数</w:t>
            </w:r>
          </w:p>
        </w:tc>
        <w:tc>
          <w:tcPr>
            <w:tcW w:w="885" w:type="dxa"/>
            <w:tcBorders>
              <w:top w:val="nil"/>
              <w:left w:val="nil"/>
              <w:bottom w:val="single" w:color="auto" w:sz="4" w:space="0"/>
              <w:right w:val="single" w:color="auto" w:sz="4" w:space="0"/>
            </w:tcBorders>
            <w:shd w:val="clear" w:color="auto" w:fill="auto"/>
          </w:tcPr>
          <w:p w14:paraId="57F41D0D">
            <w:pPr>
              <w:jc w:val="center"/>
              <w:rPr>
                <w:rFonts w:ascii="宋体" w:hAnsi="宋体" w:cs="宋体"/>
                <w:szCs w:val="21"/>
              </w:rPr>
            </w:pPr>
            <w:r>
              <w:rPr>
                <w:rFonts w:ascii="宋体" w:hAnsi="宋体" w:cs="宋体"/>
                <w:szCs w:val="21"/>
              </w:rPr>
              <w:t>36</w:t>
            </w:r>
          </w:p>
        </w:tc>
        <w:tc>
          <w:tcPr>
            <w:tcW w:w="1050" w:type="dxa"/>
            <w:tcBorders>
              <w:top w:val="nil"/>
              <w:left w:val="nil"/>
              <w:bottom w:val="single" w:color="auto" w:sz="4" w:space="0"/>
              <w:right w:val="single" w:color="auto" w:sz="4" w:space="0"/>
            </w:tcBorders>
            <w:shd w:val="clear" w:color="auto" w:fill="auto"/>
          </w:tcPr>
          <w:p w14:paraId="0300148A">
            <w:pPr>
              <w:jc w:val="center"/>
              <w:rPr>
                <w:rFonts w:ascii="宋体" w:hAnsi="宋体" w:cs="宋体"/>
                <w:szCs w:val="21"/>
              </w:rPr>
            </w:pPr>
            <w:r>
              <w:rPr>
                <w:rFonts w:hint="eastAsia" w:ascii="宋体" w:hAnsi="宋体" w:cs="宋体"/>
                <w:szCs w:val="21"/>
              </w:rPr>
              <w:t>套</w:t>
            </w:r>
          </w:p>
        </w:tc>
      </w:tr>
      <w:tr w14:paraId="3A939C14">
        <w:tblPrEx>
          <w:tblCellMar>
            <w:top w:w="0" w:type="dxa"/>
            <w:left w:w="108" w:type="dxa"/>
            <w:bottom w:w="0" w:type="dxa"/>
            <w:right w:w="108" w:type="dxa"/>
          </w:tblCellMar>
        </w:tblPrEx>
        <w:trPr>
          <w:trHeight w:val="201" w:hRule="atLeast"/>
          <w:jc w:val="center"/>
        </w:trPr>
        <w:tc>
          <w:tcPr>
            <w:tcW w:w="795" w:type="dxa"/>
            <w:vMerge w:val="continue"/>
            <w:tcBorders>
              <w:left w:val="single" w:color="auto" w:sz="4" w:space="0"/>
              <w:right w:val="single" w:color="auto" w:sz="4" w:space="0"/>
            </w:tcBorders>
            <w:vAlign w:val="center"/>
          </w:tcPr>
          <w:p w14:paraId="13DD72E6">
            <w:pPr>
              <w:jc w:val="center"/>
              <w:rPr>
                <w:rFonts w:ascii="宋体" w:hAnsi="宋体" w:cs="宋体"/>
                <w:szCs w:val="21"/>
              </w:rPr>
            </w:pPr>
          </w:p>
        </w:tc>
        <w:tc>
          <w:tcPr>
            <w:tcW w:w="1589" w:type="dxa"/>
            <w:vMerge w:val="continue"/>
            <w:tcBorders>
              <w:left w:val="single" w:color="auto" w:sz="4" w:space="0"/>
              <w:right w:val="single" w:color="auto" w:sz="4" w:space="0"/>
            </w:tcBorders>
            <w:vAlign w:val="center"/>
          </w:tcPr>
          <w:p w14:paraId="6CD1CD27">
            <w:pPr>
              <w:jc w:val="center"/>
              <w:rPr>
                <w:rFonts w:ascii="宋体" w:hAnsi="宋体" w:cs="宋体"/>
                <w:szCs w:val="21"/>
              </w:rPr>
            </w:pPr>
          </w:p>
        </w:tc>
        <w:tc>
          <w:tcPr>
            <w:tcW w:w="2658" w:type="dxa"/>
            <w:tcBorders>
              <w:top w:val="nil"/>
              <w:left w:val="nil"/>
              <w:bottom w:val="single" w:color="auto" w:sz="4" w:space="0"/>
              <w:right w:val="single" w:color="auto" w:sz="4" w:space="0"/>
            </w:tcBorders>
            <w:shd w:val="clear" w:color="auto" w:fill="auto"/>
            <w:vAlign w:val="center"/>
          </w:tcPr>
          <w:p w14:paraId="16D28DDF">
            <w:pPr>
              <w:jc w:val="left"/>
              <w:rPr>
                <w:rFonts w:ascii="宋体" w:hAnsi="宋体" w:cs="宋体"/>
                <w:szCs w:val="21"/>
              </w:rPr>
            </w:pPr>
            <w:r>
              <w:rPr>
                <w:rFonts w:hint="eastAsia" w:ascii="宋体" w:hAnsi="宋体" w:cs="宋体"/>
                <w:szCs w:val="21"/>
              </w:rPr>
              <w:t>国产中间件授权</w:t>
            </w:r>
          </w:p>
        </w:tc>
        <w:tc>
          <w:tcPr>
            <w:tcW w:w="2426" w:type="dxa"/>
            <w:tcBorders>
              <w:top w:val="nil"/>
              <w:left w:val="nil"/>
              <w:bottom w:val="single" w:color="auto" w:sz="4" w:space="0"/>
              <w:right w:val="single" w:color="auto" w:sz="4" w:space="0"/>
            </w:tcBorders>
            <w:shd w:val="clear" w:color="auto" w:fill="auto"/>
            <w:vAlign w:val="center"/>
          </w:tcPr>
          <w:p w14:paraId="0C49AFBE">
            <w:pPr>
              <w:jc w:val="center"/>
              <w:rPr>
                <w:rFonts w:ascii="宋体" w:hAnsi="宋体" w:cs="宋体"/>
                <w:szCs w:val="21"/>
              </w:rPr>
            </w:pPr>
            <w:r>
              <w:rPr>
                <w:rFonts w:hint="eastAsia" w:ascii="宋体" w:hAnsi="宋体" w:cs="宋体"/>
                <w:szCs w:val="21"/>
              </w:rPr>
              <w:t>详见技术要求与参数</w:t>
            </w:r>
          </w:p>
        </w:tc>
        <w:tc>
          <w:tcPr>
            <w:tcW w:w="885" w:type="dxa"/>
            <w:tcBorders>
              <w:top w:val="nil"/>
              <w:left w:val="nil"/>
              <w:bottom w:val="single" w:color="auto" w:sz="4" w:space="0"/>
              <w:right w:val="single" w:color="auto" w:sz="4" w:space="0"/>
            </w:tcBorders>
            <w:shd w:val="clear" w:color="auto" w:fill="auto"/>
          </w:tcPr>
          <w:p w14:paraId="049CDD6B">
            <w:pPr>
              <w:jc w:val="center"/>
              <w:rPr>
                <w:rFonts w:ascii="宋体" w:hAnsi="宋体" w:cs="宋体"/>
                <w:szCs w:val="21"/>
              </w:rPr>
            </w:pPr>
            <w:r>
              <w:rPr>
                <w:rFonts w:ascii="宋体" w:hAnsi="宋体" w:cs="宋体"/>
                <w:szCs w:val="21"/>
              </w:rPr>
              <w:t>1</w:t>
            </w:r>
          </w:p>
        </w:tc>
        <w:tc>
          <w:tcPr>
            <w:tcW w:w="1050" w:type="dxa"/>
            <w:tcBorders>
              <w:top w:val="nil"/>
              <w:left w:val="nil"/>
              <w:bottom w:val="single" w:color="auto" w:sz="4" w:space="0"/>
              <w:right w:val="single" w:color="auto" w:sz="4" w:space="0"/>
            </w:tcBorders>
            <w:shd w:val="clear" w:color="auto" w:fill="auto"/>
          </w:tcPr>
          <w:p w14:paraId="0FA86EAA">
            <w:pPr>
              <w:jc w:val="center"/>
              <w:rPr>
                <w:rFonts w:ascii="宋体" w:hAnsi="宋体" w:cs="宋体"/>
                <w:szCs w:val="21"/>
              </w:rPr>
            </w:pPr>
            <w:r>
              <w:rPr>
                <w:rFonts w:hint="eastAsia" w:ascii="宋体" w:hAnsi="宋体" w:cs="宋体"/>
                <w:szCs w:val="21"/>
              </w:rPr>
              <w:t>套</w:t>
            </w:r>
          </w:p>
        </w:tc>
      </w:tr>
      <w:tr w14:paraId="5A1B3510">
        <w:tblPrEx>
          <w:tblCellMar>
            <w:top w:w="0" w:type="dxa"/>
            <w:left w:w="108" w:type="dxa"/>
            <w:bottom w:w="0" w:type="dxa"/>
            <w:right w:w="108" w:type="dxa"/>
          </w:tblCellMar>
        </w:tblPrEx>
        <w:trPr>
          <w:trHeight w:val="201" w:hRule="atLeast"/>
          <w:jc w:val="center"/>
        </w:trPr>
        <w:tc>
          <w:tcPr>
            <w:tcW w:w="795" w:type="dxa"/>
            <w:vMerge w:val="continue"/>
            <w:tcBorders>
              <w:left w:val="single" w:color="auto" w:sz="4" w:space="0"/>
              <w:right w:val="single" w:color="auto" w:sz="4" w:space="0"/>
            </w:tcBorders>
            <w:vAlign w:val="center"/>
          </w:tcPr>
          <w:p w14:paraId="2DC863D6">
            <w:pPr>
              <w:jc w:val="center"/>
              <w:rPr>
                <w:rFonts w:ascii="宋体" w:hAnsi="宋体" w:cs="宋体"/>
                <w:szCs w:val="21"/>
              </w:rPr>
            </w:pPr>
          </w:p>
        </w:tc>
        <w:tc>
          <w:tcPr>
            <w:tcW w:w="1589" w:type="dxa"/>
            <w:vMerge w:val="continue"/>
            <w:tcBorders>
              <w:left w:val="single" w:color="auto" w:sz="4" w:space="0"/>
              <w:right w:val="single" w:color="auto" w:sz="4" w:space="0"/>
            </w:tcBorders>
            <w:vAlign w:val="center"/>
          </w:tcPr>
          <w:p w14:paraId="0B362501">
            <w:pPr>
              <w:jc w:val="center"/>
              <w:rPr>
                <w:rFonts w:ascii="宋体" w:hAnsi="宋体" w:cs="宋体"/>
                <w:szCs w:val="21"/>
              </w:rPr>
            </w:pPr>
          </w:p>
        </w:tc>
        <w:tc>
          <w:tcPr>
            <w:tcW w:w="2658" w:type="dxa"/>
            <w:tcBorders>
              <w:top w:val="nil"/>
              <w:left w:val="nil"/>
              <w:bottom w:val="single" w:color="auto" w:sz="4" w:space="0"/>
              <w:right w:val="single" w:color="auto" w:sz="4" w:space="0"/>
            </w:tcBorders>
            <w:shd w:val="clear" w:color="auto" w:fill="auto"/>
            <w:vAlign w:val="center"/>
          </w:tcPr>
          <w:p w14:paraId="6190FA2C">
            <w:pPr>
              <w:jc w:val="left"/>
              <w:rPr>
                <w:rFonts w:ascii="宋体" w:hAnsi="宋体" w:cs="宋体"/>
                <w:szCs w:val="21"/>
              </w:rPr>
            </w:pPr>
            <w:r>
              <w:rPr>
                <w:rFonts w:hint="eastAsia" w:ascii="宋体" w:hAnsi="宋体" w:cs="宋体"/>
                <w:szCs w:val="21"/>
              </w:rPr>
              <w:t>国产数据库授权</w:t>
            </w:r>
          </w:p>
        </w:tc>
        <w:tc>
          <w:tcPr>
            <w:tcW w:w="2426" w:type="dxa"/>
            <w:tcBorders>
              <w:top w:val="nil"/>
              <w:left w:val="nil"/>
              <w:bottom w:val="single" w:color="auto" w:sz="4" w:space="0"/>
              <w:right w:val="single" w:color="auto" w:sz="4" w:space="0"/>
            </w:tcBorders>
            <w:shd w:val="clear" w:color="auto" w:fill="auto"/>
            <w:vAlign w:val="center"/>
          </w:tcPr>
          <w:p w14:paraId="59AFC27B">
            <w:pPr>
              <w:jc w:val="center"/>
              <w:rPr>
                <w:rFonts w:ascii="宋体" w:hAnsi="宋体" w:cs="宋体"/>
                <w:szCs w:val="21"/>
              </w:rPr>
            </w:pPr>
            <w:r>
              <w:rPr>
                <w:rFonts w:hint="eastAsia" w:ascii="宋体" w:hAnsi="宋体" w:cs="宋体"/>
                <w:szCs w:val="21"/>
              </w:rPr>
              <w:t>详见技术要求与参数</w:t>
            </w:r>
          </w:p>
        </w:tc>
        <w:tc>
          <w:tcPr>
            <w:tcW w:w="885" w:type="dxa"/>
            <w:tcBorders>
              <w:top w:val="nil"/>
              <w:left w:val="nil"/>
              <w:bottom w:val="single" w:color="auto" w:sz="4" w:space="0"/>
              <w:right w:val="single" w:color="auto" w:sz="4" w:space="0"/>
            </w:tcBorders>
            <w:shd w:val="clear" w:color="auto" w:fill="auto"/>
          </w:tcPr>
          <w:p w14:paraId="2780318A">
            <w:pPr>
              <w:jc w:val="center"/>
              <w:rPr>
                <w:rFonts w:ascii="宋体" w:hAnsi="宋体" w:cs="宋体"/>
                <w:szCs w:val="21"/>
              </w:rPr>
            </w:pPr>
            <w:r>
              <w:rPr>
                <w:rFonts w:ascii="宋体" w:hAnsi="宋体" w:cs="宋体"/>
                <w:szCs w:val="21"/>
              </w:rPr>
              <w:t>4</w:t>
            </w:r>
          </w:p>
        </w:tc>
        <w:tc>
          <w:tcPr>
            <w:tcW w:w="1050" w:type="dxa"/>
            <w:tcBorders>
              <w:top w:val="nil"/>
              <w:left w:val="nil"/>
              <w:bottom w:val="single" w:color="auto" w:sz="4" w:space="0"/>
              <w:right w:val="single" w:color="auto" w:sz="4" w:space="0"/>
            </w:tcBorders>
            <w:shd w:val="clear" w:color="auto" w:fill="auto"/>
          </w:tcPr>
          <w:p w14:paraId="287481BE">
            <w:pPr>
              <w:jc w:val="center"/>
              <w:rPr>
                <w:rFonts w:ascii="宋体" w:hAnsi="宋体" w:cs="宋体"/>
                <w:szCs w:val="21"/>
              </w:rPr>
            </w:pPr>
            <w:r>
              <w:rPr>
                <w:rFonts w:hint="eastAsia" w:ascii="宋体" w:hAnsi="宋体" w:cs="宋体"/>
                <w:szCs w:val="21"/>
              </w:rPr>
              <w:t>套</w:t>
            </w:r>
          </w:p>
        </w:tc>
      </w:tr>
      <w:tr w14:paraId="408D9920">
        <w:tblPrEx>
          <w:tblCellMar>
            <w:top w:w="0" w:type="dxa"/>
            <w:left w:w="108" w:type="dxa"/>
            <w:bottom w:w="0" w:type="dxa"/>
            <w:right w:w="108" w:type="dxa"/>
          </w:tblCellMar>
        </w:tblPrEx>
        <w:trPr>
          <w:trHeight w:val="416" w:hRule="atLeast"/>
          <w:jc w:val="center"/>
        </w:trPr>
        <w:tc>
          <w:tcPr>
            <w:tcW w:w="795" w:type="dxa"/>
            <w:vMerge w:val="continue"/>
            <w:tcBorders>
              <w:left w:val="single" w:color="auto" w:sz="4" w:space="0"/>
              <w:bottom w:val="single" w:color="auto" w:sz="4" w:space="0"/>
              <w:right w:val="single" w:color="auto" w:sz="4" w:space="0"/>
            </w:tcBorders>
            <w:shd w:val="clear" w:color="auto" w:fill="auto"/>
            <w:vAlign w:val="center"/>
          </w:tcPr>
          <w:p w14:paraId="33B3878E">
            <w:pPr>
              <w:jc w:val="center"/>
              <w:rPr>
                <w:rFonts w:ascii="宋体" w:hAnsi="宋体" w:cs="宋体"/>
                <w:szCs w:val="21"/>
              </w:rPr>
            </w:pPr>
          </w:p>
        </w:tc>
        <w:tc>
          <w:tcPr>
            <w:tcW w:w="1589" w:type="dxa"/>
            <w:vMerge w:val="continue"/>
            <w:tcBorders>
              <w:left w:val="single" w:color="auto" w:sz="4" w:space="0"/>
              <w:bottom w:val="single" w:color="auto" w:sz="4" w:space="0"/>
              <w:right w:val="single" w:color="auto" w:sz="4" w:space="0"/>
            </w:tcBorders>
            <w:shd w:val="clear" w:color="auto" w:fill="auto"/>
            <w:vAlign w:val="center"/>
          </w:tcPr>
          <w:p w14:paraId="197BD362">
            <w:pPr>
              <w:jc w:val="center"/>
              <w:rPr>
                <w:rFonts w:ascii="宋体" w:hAnsi="宋体" w:cs="宋体"/>
                <w:szCs w:val="21"/>
              </w:rPr>
            </w:pPr>
          </w:p>
        </w:tc>
        <w:tc>
          <w:tcPr>
            <w:tcW w:w="2658" w:type="dxa"/>
            <w:tcBorders>
              <w:top w:val="nil"/>
              <w:left w:val="nil"/>
              <w:bottom w:val="single" w:color="auto" w:sz="4" w:space="0"/>
              <w:right w:val="single" w:color="auto" w:sz="4" w:space="0"/>
            </w:tcBorders>
            <w:shd w:val="clear" w:color="auto" w:fill="auto"/>
            <w:vAlign w:val="center"/>
          </w:tcPr>
          <w:p w14:paraId="797B1250">
            <w:pPr>
              <w:jc w:val="left"/>
              <w:rPr>
                <w:rFonts w:ascii="宋体" w:hAnsi="宋体" w:cs="宋体"/>
                <w:szCs w:val="21"/>
              </w:rPr>
            </w:pPr>
            <w:r>
              <w:rPr>
                <w:rFonts w:hint="eastAsia" w:ascii="宋体" w:hAnsi="宋体" w:cs="宋体"/>
                <w:szCs w:val="21"/>
              </w:rPr>
              <w:t>国产数据库集群软件授权</w:t>
            </w:r>
          </w:p>
        </w:tc>
        <w:tc>
          <w:tcPr>
            <w:tcW w:w="2426" w:type="dxa"/>
            <w:tcBorders>
              <w:top w:val="nil"/>
              <w:left w:val="nil"/>
              <w:bottom w:val="single" w:color="auto" w:sz="4" w:space="0"/>
              <w:right w:val="single" w:color="auto" w:sz="4" w:space="0"/>
            </w:tcBorders>
            <w:shd w:val="clear" w:color="auto" w:fill="auto"/>
            <w:vAlign w:val="center"/>
          </w:tcPr>
          <w:p w14:paraId="040E18F5">
            <w:pPr>
              <w:jc w:val="center"/>
              <w:rPr>
                <w:rFonts w:ascii="宋体" w:hAnsi="宋体" w:cs="宋体"/>
                <w:szCs w:val="21"/>
              </w:rPr>
            </w:pPr>
            <w:r>
              <w:rPr>
                <w:rFonts w:hint="eastAsia" w:ascii="宋体" w:hAnsi="宋体" w:cs="宋体"/>
                <w:szCs w:val="21"/>
              </w:rPr>
              <w:t>详见技术要求与参数</w:t>
            </w:r>
          </w:p>
        </w:tc>
        <w:tc>
          <w:tcPr>
            <w:tcW w:w="885" w:type="dxa"/>
            <w:tcBorders>
              <w:top w:val="nil"/>
              <w:left w:val="nil"/>
              <w:bottom w:val="single" w:color="auto" w:sz="4" w:space="0"/>
              <w:right w:val="single" w:color="auto" w:sz="4" w:space="0"/>
            </w:tcBorders>
            <w:shd w:val="clear" w:color="auto" w:fill="auto"/>
            <w:vAlign w:val="center"/>
          </w:tcPr>
          <w:p w14:paraId="4BA2B2CB">
            <w:pPr>
              <w:jc w:val="center"/>
              <w:rPr>
                <w:rFonts w:ascii="宋体" w:hAnsi="宋体" w:cs="宋体"/>
                <w:szCs w:val="21"/>
              </w:rPr>
            </w:pPr>
            <w:r>
              <w:rPr>
                <w:rFonts w:hint="eastAsia" w:ascii="宋体" w:hAnsi="宋体" w:cs="宋体"/>
                <w:szCs w:val="21"/>
              </w:rPr>
              <w:t>2</w:t>
            </w:r>
          </w:p>
        </w:tc>
        <w:tc>
          <w:tcPr>
            <w:tcW w:w="1050" w:type="dxa"/>
            <w:tcBorders>
              <w:top w:val="nil"/>
              <w:left w:val="nil"/>
              <w:bottom w:val="single" w:color="auto" w:sz="4" w:space="0"/>
              <w:right w:val="single" w:color="auto" w:sz="4" w:space="0"/>
            </w:tcBorders>
            <w:shd w:val="clear" w:color="auto" w:fill="auto"/>
            <w:vAlign w:val="center"/>
          </w:tcPr>
          <w:p w14:paraId="2A53093F">
            <w:pPr>
              <w:jc w:val="center"/>
              <w:rPr>
                <w:rFonts w:ascii="宋体" w:hAnsi="宋体" w:cs="宋体"/>
                <w:szCs w:val="21"/>
              </w:rPr>
            </w:pPr>
            <w:r>
              <w:rPr>
                <w:rFonts w:hint="eastAsia" w:ascii="宋体" w:hAnsi="宋体" w:cs="宋体"/>
                <w:szCs w:val="21"/>
              </w:rPr>
              <w:t>套</w:t>
            </w:r>
          </w:p>
        </w:tc>
      </w:tr>
      <w:tr w14:paraId="6E6C4D6B">
        <w:tblPrEx>
          <w:tblCellMar>
            <w:top w:w="0" w:type="dxa"/>
            <w:left w:w="108" w:type="dxa"/>
            <w:bottom w:w="0" w:type="dxa"/>
            <w:right w:w="108" w:type="dxa"/>
          </w:tblCellMar>
        </w:tblPrEx>
        <w:trPr>
          <w:trHeight w:val="407" w:hRule="atLeast"/>
          <w:jc w:val="center"/>
        </w:trPr>
        <w:tc>
          <w:tcPr>
            <w:tcW w:w="795" w:type="dxa"/>
            <w:tcBorders>
              <w:top w:val="single" w:color="auto" w:sz="4" w:space="0"/>
              <w:left w:val="single" w:color="auto" w:sz="4" w:space="0"/>
              <w:bottom w:val="single" w:color="auto" w:sz="4" w:space="0"/>
              <w:right w:val="single" w:color="auto" w:sz="4" w:space="0"/>
            </w:tcBorders>
            <w:shd w:val="clear" w:color="auto" w:fill="auto"/>
            <w:vAlign w:val="center"/>
          </w:tcPr>
          <w:p w14:paraId="252EA73C">
            <w:pPr>
              <w:jc w:val="center"/>
              <w:rPr>
                <w:rFonts w:ascii="宋体" w:hAnsi="宋体" w:cs="宋体"/>
                <w:szCs w:val="21"/>
              </w:rPr>
            </w:pPr>
            <w:r>
              <w:rPr>
                <w:rFonts w:hint="eastAsia" w:ascii="宋体" w:hAnsi="宋体" w:cs="宋体"/>
                <w:szCs w:val="21"/>
              </w:rPr>
              <w:t>3</w:t>
            </w:r>
          </w:p>
        </w:tc>
        <w:tc>
          <w:tcPr>
            <w:tcW w:w="1589" w:type="dxa"/>
            <w:tcBorders>
              <w:top w:val="single" w:color="auto" w:sz="4" w:space="0"/>
              <w:left w:val="single" w:color="auto" w:sz="4" w:space="0"/>
              <w:bottom w:val="single" w:color="auto" w:sz="4" w:space="0"/>
              <w:right w:val="single" w:color="auto" w:sz="4" w:space="0"/>
            </w:tcBorders>
            <w:shd w:val="clear" w:color="auto" w:fill="auto"/>
            <w:vAlign w:val="center"/>
          </w:tcPr>
          <w:p w14:paraId="79384316">
            <w:pPr>
              <w:jc w:val="center"/>
              <w:rPr>
                <w:rFonts w:ascii="宋体" w:hAnsi="宋体" w:cs="宋体"/>
                <w:szCs w:val="21"/>
              </w:rPr>
            </w:pPr>
            <w:r>
              <w:rPr>
                <w:rFonts w:hint="eastAsia" w:ascii="宋体" w:hAnsi="宋体" w:cs="宋体"/>
                <w:szCs w:val="21"/>
              </w:rPr>
              <w:t>备份资源</w:t>
            </w:r>
          </w:p>
        </w:tc>
        <w:tc>
          <w:tcPr>
            <w:tcW w:w="2658" w:type="dxa"/>
            <w:tcBorders>
              <w:top w:val="single" w:color="auto" w:sz="4" w:space="0"/>
              <w:left w:val="nil"/>
              <w:bottom w:val="single" w:color="auto" w:sz="4" w:space="0"/>
              <w:right w:val="single" w:color="auto" w:sz="4" w:space="0"/>
            </w:tcBorders>
            <w:shd w:val="clear" w:color="auto" w:fill="auto"/>
            <w:vAlign w:val="center"/>
          </w:tcPr>
          <w:p w14:paraId="6F1F5D2C">
            <w:pPr>
              <w:jc w:val="left"/>
              <w:rPr>
                <w:rFonts w:ascii="宋体" w:hAnsi="宋体" w:cs="宋体"/>
                <w:szCs w:val="21"/>
              </w:rPr>
            </w:pPr>
            <w:r>
              <w:rPr>
                <w:rFonts w:hint="eastAsia" w:ascii="宋体" w:hAnsi="宋体" w:cs="宋体"/>
                <w:szCs w:val="21"/>
              </w:rPr>
              <w:t>国产备份一体机扩容</w:t>
            </w:r>
          </w:p>
        </w:tc>
        <w:tc>
          <w:tcPr>
            <w:tcW w:w="2426" w:type="dxa"/>
            <w:tcBorders>
              <w:top w:val="single" w:color="auto" w:sz="4" w:space="0"/>
              <w:left w:val="nil"/>
              <w:bottom w:val="single" w:color="auto" w:sz="4" w:space="0"/>
              <w:right w:val="single" w:color="auto" w:sz="4" w:space="0"/>
            </w:tcBorders>
            <w:shd w:val="clear" w:color="auto" w:fill="auto"/>
            <w:vAlign w:val="center"/>
          </w:tcPr>
          <w:p w14:paraId="6A6DF63A">
            <w:pPr>
              <w:jc w:val="center"/>
              <w:rPr>
                <w:rFonts w:ascii="宋体" w:hAnsi="宋体" w:cs="宋体"/>
                <w:szCs w:val="21"/>
              </w:rPr>
            </w:pPr>
            <w:r>
              <w:rPr>
                <w:rFonts w:hint="eastAsia" w:ascii="宋体" w:hAnsi="宋体" w:cs="宋体"/>
                <w:szCs w:val="21"/>
              </w:rPr>
              <w:t>详见技术要求与参数</w:t>
            </w:r>
          </w:p>
        </w:tc>
        <w:tc>
          <w:tcPr>
            <w:tcW w:w="885" w:type="dxa"/>
            <w:tcBorders>
              <w:top w:val="single" w:color="auto" w:sz="4" w:space="0"/>
              <w:left w:val="nil"/>
              <w:bottom w:val="single" w:color="auto" w:sz="4" w:space="0"/>
              <w:right w:val="single" w:color="auto" w:sz="4" w:space="0"/>
            </w:tcBorders>
            <w:shd w:val="clear" w:color="auto" w:fill="auto"/>
            <w:vAlign w:val="center"/>
          </w:tcPr>
          <w:p w14:paraId="67AACB6C">
            <w:pPr>
              <w:jc w:val="center"/>
              <w:rPr>
                <w:rFonts w:ascii="宋体" w:hAnsi="宋体" w:cs="宋体"/>
                <w:szCs w:val="21"/>
              </w:rPr>
            </w:pPr>
            <w:r>
              <w:rPr>
                <w:rFonts w:ascii="宋体" w:hAnsi="宋体" w:cs="宋体"/>
                <w:szCs w:val="21"/>
              </w:rPr>
              <w:t>1</w:t>
            </w:r>
          </w:p>
        </w:tc>
        <w:tc>
          <w:tcPr>
            <w:tcW w:w="1050" w:type="dxa"/>
            <w:tcBorders>
              <w:top w:val="single" w:color="auto" w:sz="4" w:space="0"/>
              <w:left w:val="nil"/>
              <w:bottom w:val="single" w:color="auto" w:sz="4" w:space="0"/>
              <w:right w:val="single" w:color="auto" w:sz="4" w:space="0"/>
            </w:tcBorders>
            <w:shd w:val="clear" w:color="auto" w:fill="auto"/>
            <w:vAlign w:val="center"/>
          </w:tcPr>
          <w:p w14:paraId="55FC4E73">
            <w:pPr>
              <w:jc w:val="center"/>
              <w:rPr>
                <w:rFonts w:ascii="宋体" w:hAnsi="宋体" w:cs="宋体"/>
                <w:szCs w:val="21"/>
              </w:rPr>
            </w:pPr>
            <w:r>
              <w:rPr>
                <w:rFonts w:hint="eastAsia" w:ascii="宋体" w:hAnsi="宋体" w:cs="宋体"/>
                <w:szCs w:val="21"/>
              </w:rPr>
              <w:t>台</w:t>
            </w:r>
          </w:p>
        </w:tc>
      </w:tr>
      <w:tr w14:paraId="65A808B1">
        <w:tblPrEx>
          <w:tblCellMar>
            <w:top w:w="0" w:type="dxa"/>
            <w:left w:w="108" w:type="dxa"/>
            <w:bottom w:w="0" w:type="dxa"/>
            <w:right w:w="108" w:type="dxa"/>
          </w:tblCellMar>
        </w:tblPrEx>
        <w:trPr>
          <w:trHeight w:val="407" w:hRule="atLeast"/>
          <w:jc w:val="center"/>
        </w:trPr>
        <w:tc>
          <w:tcPr>
            <w:tcW w:w="795" w:type="dxa"/>
            <w:tcBorders>
              <w:top w:val="single" w:color="auto" w:sz="4" w:space="0"/>
              <w:left w:val="single" w:color="auto" w:sz="4" w:space="0"/>
              <w:bottom w:val="single" w:color="auto" w:sz="4" w:space="0"/>
              <w:right w:val="single" w:color="auto" w:sz="4" w:space="0"/>
            </w:tcBorders>
            <w:shd w:val="clear" w:color="auto" w:fill="auto"/>
            <w:vAlign w:val="center"/>
          </w:tcPr>
          <w:p w14:paraId="7845D68C">
            <w:pPr>
              <w:jc w:val="center"/>
              <w:rPr>
                <w:rFonts w:ascii="宋体" w:hAnsi="宋体" w:cs="宋体"/>
                <w:szCs w:val="21"/>
              </w:rPr>
            </w:pPr>
            <w:r>
              <w:rPr>
                <w:rFonts w:hint="eastAsia" w:ascii="宋体" w:hAnsi="宋体" w:cs="宋体"/>
                <w:szCs w:val="21"/>
              </w:rPr>
              <w:t>4</w:t>
            </w:r>
          </w:p>
        </w:tc>
        <w:tc>
          <w:tcPr>
            <w:tcW w:w="1589" w:type="dxa"/>
            <w:tcBorders>
              <w:top w:val="single" w:color="auto" w:sz="4" w:space="0"/>
              <w:left w:val="single" w:color="auto" w:sz="4" w:space="0"/>
              <w:bottom w:val="single" w:color="auto" w:sz="4" w:space="0"/>
              <w:right w:val="single" w:color="auto" w:sz="4" w:space="0"/>
            </w:tcBorders>
            <w:shd w:val="clear" w:color="auto" w:fill="auto"/>
            <w:vAlign w:val="center"/>
          </w:tcPr>
          <w:p w14:paraId="43CC8504">
            <w:pPr>
              <w:jc w:val="center"/>
              <w:rPr>
                <w:rFonts w:ascii="宋体" w:hAnsi="宋体" w:cs="宋体"/>
                <w:szCs w:val="21"/>
              </w:rPr>
            </w:pPr>
            <w:r>
              <w:rPr>
                <w:rFonts w:hint="eastAsia" w:ascii="宋体" w:hAnsi="宋体" w:cs="宋体"/>
                <w:szCs w:val="21"/>
              </w:rPr>
              <w:t>系统集成</w:t>
            </w:r>
          </w:p>
        </w:tc>
        <w:tc>
          <w:tcPr>
            <w:tcW w:w="2658" w:type="dxa"/>
            <w:tcBorders>
              <w:top w:val="single" w:color="auto" w:sz="4" w:space="0"/>
              <w:left w:val="nil"/>
              <w:bottom w:val="single" w:color="auto" w:sz="4" w:space="0"/>
              <w:right w:val="single" w:color="auto" w:sz="4" w:space="0"/>
            </w:tcBorders>
            <w:shd w:val="clear" w:color="auto" w:fill="auto"/>
            <w:vAlign w:val="center"/>
          </w:tcPr>
          <w:p w14:paraId="452779D0">
            <w:pPr>
              <w:jc w:val="left"/>
              <w:rPr>
                <w:rFonts w:ascii="宋体" w:hAnsi="宋体" w:cs="宋体"/>
                <w:szCs w:val="21"/>
              </w:rPr>
            </w:pPr>
            <w:r>
              <w:rPr>
                <w:rFonts w:hint="eastAsia" w:ascii="宋体" w:hAnsi="宋体" w:cs="宋体"/>
                <w:szCs w:val="21"/>
              </w:rPr>
              <w:t>上述软硬件系统集成调试服务</w:t>
            </w:r>
          </w:p>
        </w:tc>
        <w:tc>
          <w:tcPr>
            <w:tcW w:w="2426" w:type="dxa"/>
            <w:tcBorders>
              <w:top w:val="single" w:color="auto" w:sz="4" w:space="0"/>
              <w:left w:val="nil"/>
              <w:bottom w:val="single" w:color="auto" w:sz="4" w:space="0"/>
              <w:right w:val="single" w:color="auto" w:sz="4" w:space="0"/>
            </w:tcBorders>
            <w:shd w:val="clear" w:color="auto" w:fill="auto"/>
            <w:vAlign w:val="center"/>
          </w:tcPr>
          <w:p w14:paraId="689E00D0">
            <w:pPr>
              <w:jc w:val="center"/>
              <w:rPr>
                <w:rFonts w:ascii="宋体" w:hAnsi="宋体" w:cs="宋体"/>
                <w:szCs w:val="21"/>
              </w:rPr>
            </w:pPr>
            <w:r>
              <w:rPr>
                <w:rFonts w:hint="eastAsia" w:ascii="宋体" w:hAnsi="宋体" w:cs="宋体"/>
                <w:szCs w:val="21"/>
              </w:rPr>
              <w:t>/</w:t>
            </w:r>
          </w:p>
        </w:tc>
        <w:tc>
          <w:tcPr>
            <w:tcW w:w="885" w:type="dxa"/>
            <w:tcBorders>
              <w:top w:val="single" w:color="auto" w:sz="4" w:space="0"/>
              <w:left w:val="nil"/>
              <w:bottom w:val="single" w:color="auto" w:sz="4" w:space="0"/>
              <w:right w:val="single" w:color="auto" w:sz="4" w:space="0"/>
            </w:tcBorders>
            <w:shd w:val="clear" w:color="auto" w:fill="auto"/>
            <w:vAlign w:val="center"/>
          </w:tcPr>
          <w:p w14:paraId="73ABC664">
            <w:pPr>
              <w:jc w:val="center"/>
              <w:rPr>
                <w:rFonts w:ascii="宋体" w:hAnsi="宋体" w:cs="宋体"/>
                <w:szCs w:val="21"/>
              </w:rPr>
            </w:pPr>
            <w:r>
              <w:rPr>
                <w:rFonts w:hint="eastAsia" w:ascii="宋体" w:hAnsi="宋体" w:cs="宋体"/>
                <w:szCs w:val="21"/>
              </w:rPr>
              <w:t>1</w:t>
            </w:r>
          </w:p>
        </w:tc>
        <w:tc>
          <w:tcPr>
            <w:tcW w:w="1050" w:type="dxa"/>
            <w:tcBorders>
              <w:top w:val="single" w:color="auto" w:sz="4" w:space="0"/>
              <w:left w:val="nil"/>
              <w:bottom w:val="single" w:color="auto" w:sz="4" w:space="0"/>
              <w:right w:val="single" w:color="auto" w:sz="4" w:space="0"/>
            </w:tcBorders>
            <w:shd w:val="clear" w:color="auto" w:fill="auto"/>
            <w:vAlign w:val="center"/>
          </w:tcPr>
          <w:p w14:paraId="7B97AF4E">
            <w:pPr>
              <w:jc w:val="center"/>
              <w:rPr>
                <w:rFonts w:ascii="宋体" w:hAnsi="宋体" w:cs="宋体"/>
                <w:szCs w:val="21"/>
              </w:rPr>
            </w:pPr>
            <w:r>
              <w:rPr>
                <w:rFonts w:hint="eastAsia" w:ascii="宋体" w:hAnsi="宋体" w:cs="宋体"/>
                <w:szCs w:val="21"/>
              </w:rPr>
              <w:t>项</w:t>
            </w:r>
          </w:p>
        </w:tc>
      </w:tr>
    </w:tbl>
    <w:p w14:paraId="02B0160B">
      <w:pPr>
        <w:rPr>
          <w:rFonts w:ascii="宋体" w:hAnsi="宋体" w:cs="宋体"/>
          <w:szCs w:val="21"/>
        </w:rPr>
      </w:pPr>
      <w:r>
        <w:rPr>
          <w:rFonts w:hint="eastAsia" w:ascii="宋体" w:hAnsi="宋体" w:cs="宋体"/>
          <w:szCs w:val="21"/>
        </w:rPr>
        <w:t>注：1.以上产品需提供</w:t>
      </w:r>
      <w:r>
        <w:rPr>
          <w:rFonts w:ascii="宋体" w:hAnsi="宋体" w:cs="宋体"/>
          <w:szCs w:val="21"/>
        </w:rPr>
        <w:t>3</w:t>
      </w:r>
      <w:r>
        <w:rPr>
          <w:rFonts w:hint="eastAsia" w:ascii="宋体" w:hAnsi="宋体" w:cs="宋体"/>
          <w:szCs w:val="21"/>
        </w:rPr>
        <w:t>年质保服务，设备内置所有规则库</w:t>
      </w:r>
      <w:r>
        <w:rPr>
          <w:rFonts w:ascii="宋体" w:hAnsi="宋体" w:cs="宋体"/>
          <w:szCs w:val="21"/>
        </w:rPr>
        <w:t>3</w:t>
      </w:r>
      <w:r>
        <w:rPr>
          <w:rFonts w:hint="eastAsia" w:ascii="宋体" w:hAnsi="宋体" w:cs="宋体"/>
          <w:szCs w:val="21"/>
        </w:rPr>
        <w:t>年升级服务，其他建设集成服务提供3年服务。</w:t>
      </w:r>
    </w:p>
    <w:p w14:paraId="2BF9133A">
      <w:pPr>
        <w:rPr>
          <w:rFonts w:ascii="宋体" w:hAnsi="宋体" w:cs="宋体"/>
          <w:szCs w:val="21"/>
        </w:rPr>
      </w:pPr>
      <w:r>
        <w:rPr>
          <w:rFonts w:hint="eastAsia" w:ascii="宋体" w:hAnsi="宋体" w:cs="宋体"/>
          <w:szCs w:val="21"/>
        </w:rPr>
        <w:t>2.除了列出的基本参数要求外，供应商需结合方案和现场情况，根据系统集成的合理性配套提供相关且必需的连接设备、端口模块、连接线缆等，所有相关费用已经包括在总报价中。</w:t>
      </w:r>
    </w:p>
    <w:p w14:paraId="17F9B50B">
      <w:pPr>
        <w:rPr>
          <w:rFonts w:ascii="宋体" w:hAnsi="宋体" w:cs="宋体"/>
          <w:b/>
          <w:szCs w:val="21"/>
        </w:rPr>
      </w:pPr>
      <w:r>
        <w:rPr>
          <w:rFonts w:hint="eastAsia" w:ascii="宋体" w:hAnsi="宋体" w:cs="宋体"/>
          <w:b/>
          <w:szCs w:val="21"/>
        </w:rPr>
        <w:t>四、技术要求及参数</w:t>
      </w:r>
    </w:p>
    <w:p w14:paraId="60780160">
      <w:pPr>
        <w:pStyle w:val="5"/>
        <w:spacing w:before="0" w:beforeLines="0" w:after="0" w:afterLines="0" w:line="240" w:lineRule="auto"/>
        <w:ind w:firstLine="0" w:firstLineChars="0"/>
        <w:rPr>
          <w:rFonts w:ascii="宋体" w:hAnsi="宋体" w:cs="宋体"/>
          <w:b/>
        </w:rPr>
      </w:pPr>
      <w:r>
        <w:rPr>
          <w:rFonts w:hint="eastAsia" w:ascii="宋体" w:hAnsi="宋体" w:cs="宋体"/>
          <w:b/>
        </w:rPr>
        <w:t>1、</w:t>
      </w:r>
      <w:r>
        <w:rPr>
          <w:rFonts w:hint="eastAsia" w:ascii="宋体" w:hAnsi="宋体" w:cs="宋体"/>
        </w:rPr>
        <w:t>信创硬件资源（超融合架构</w:t>
      </w:r>
      <w:r>
        <w:rPr>
          <w:rFonts w:hint="eastAsia" w:ascii="新宋体" w:hAnsi="新宋体" w:eastAsia="新宋体" w:cs="新宋体"/>
          <w:sz w:val="22"/>
          <w:szCs w:val="22"/>
        </w:rPr>
        <w:t>服务器、超融合和应用虚拟化软件授权</w:t>
      </w:r>
      <w:r>
        <w:rPr>
          <w:rFonts w:hint="eastAsia" w:ascii="宋体" w:hAnsi="宋体" w:cs="宋体"/>
        </w:rPr>
        <w:t>）</w:t>
      </w:r>
    </w:p>
    <w:tbl>
      <w:tblPr>
        <w:tblStyle w:val="50"/>
        <w:tblW w:w="9356"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2"/>
        <w:gridCol w:w="761"/>
        <w:gridCol w:w="7583"/>
      </w:tblGrid>
      <w:tr w14:paraId="45239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shd w:val="clear" w:color="auto" w:fill="auto"/>
            <w:noWrap/>
            <w:vAlign w:val="center"/>
          </w:tcPr>
          <w:p w14:paraId="7FEE309A">
            <w:pPr>
              <w:widowControl/>
              <w:jc w:val="center"/>
              <w:textAlignment w:val="center"/>
              <w:rPr>
                <w:rFonts w:ascii="宋体" w:hAnsi="宋体"/>
              </w:rPr>
            </w:pPr>
            <w:r>
              <w:rPr>
                <w:rFonts w:hint="eastAsia" w:ascii="宋体" w:hAnsi="宋体" w:cs="宋体"/>
                <w:kern w:val="0"/>
                <w:szCs w:val="21"/>
                <w:lang w:bidi="ar"/>
              </w:rPr>
              <w:t>功能项</w:t>
            </w:r>
          </w:p>
        </w:tc>
        <w:tc>
          <w:tcPr>
            <w:tcW w:w="8344" w:type="dxa"/>
            <w:gridSpan w:val="2"/>
            <w:shd w:val="clear" w:color="auto" w:fill="auto"/>
            <w:vAlign w:val="center"/>
          </w:tcPr>
          <w:p w14:paraId="280EB735">
            <w:pPr>
              <w:widowControl/>
              <w:jc w:val="center"/>
              <w:textAlignment w:val="center"/>
              <w:rPr>
                <w:rFonts w:ascii="宋体" w:hAnsi="宋体"/>
              </w:rPr>
            </w:pPr>
            <w:r>
              <w:rPr>
                <w:rFonts w:hint="eastAsia" w:ascii="宋体" w:hAnsi="宋体" w:cs="宋体"/>
                <w:kern w:val="0"/>
                <w:szCs w:val="21"/>
                <w:lang w:bidi="ar"/>
              </w:rPr>
              <w:t>功能项说明</w:t>
            </w:r>
          </w:p>
        </w:tc>
      </w:tr>
      <w:tr w14:paraId="7627D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vMerge w:val="restart"/>
            <w:shd w:val="clear" w:color="auto" w:fill="auto"/>
            <w:vAlign w:val="center"/>
          </w:tcPr>
          <w:p w14:paraId="37927D74">
            <w:pPr>
              <w:widowControl/>
              <w:jc w:val="center"/>
              <w:textAlignment w:val="center"/>
              <w:rPr>
                <w:rFonts w:ascii="宋体" w:hAnsi="宋体"/>
              </w:rPr>
            </w:pPr>
            <w:r>
              <w:rPr>
                <w:rFonts w:hint="eastAsia" w:ascii="宋体" w:hAnsi="宋体" w:cs="宋体"/>
                <w:kern w:val="0"/>
                <w:szCs w:val="21"/>
                <w:lang w:bidi="ar"/>
              </w:rPr>
              <w:t>硬件要求</w:t>
            </w:r>
          </w:p>
        </w:tc>
        <w:tc>
          <w:tcPr>
            <w:tcW w:w="761" w:type="dxa"/>
            <w:shd w:val="clear" w:color="auto" w:fill="auto"/>
            <w:vAlign w:val="center"/>
          </w:tcPr>
          <w:p w14:paraId="522523E2">
            <w:pPr>
              <w:widowControl/>
              <w:jc w:val="left"/>
              <w:textAlignment w:val="center"/>
              <w:rPr>
                <w:rFonts w:ascii="宋体" w:hAnsi="宋体"/>
              </w:rPr>
            </w:pPr>
            <w:r>
              <w:rPr>
                <w:rFonts w:hint="eastAsia" w:ascii="宋体" w:hAnsi="宋体" w:cs="宋体"/>
                <w:kern w:val="0"/>
                <w:szCs w:val="21"/>
                <w:lang w:bidi="ar"/>
              </w:rPr>
              <w:t>CPU</w:t>
            </w:r>
          </w:p>
        </w:tc>
        <w:tc>
          <w:tcPr>
            <w:tcW w:w="7583" w:type="dxa"/>
            <w:shd w:val="clear" w:color="auto" w:fill="auto"/>
            <w:vAlign w:val="center"/>
          </w:tcPr>
          <w:p w14:paraId="476E7DA4">
            <w:pPr>
              <w:widowControl/>
              <w:jc w:val="left"/>
              <w:textAlignment w:val="center"/>
              <w:rPr>
                <w:rFonts w:ascii="宋体" w:hAnsi="宋体"/>
                <w:lang w:bidi="ar"/>
              </w:rPr>
            </w:pPr>
            <w:r>
              <w:rPr>
                <w:rFonts w:hint="eastAsia" w:ascii="宋体" w:hAnsi="宋体" w:cs="宋体"/>
                <w:kern w:val="0"/>
                <w:szCs w:val="21"/>
                <w:lang w:bidi="ar"/>
              </w:rPr>
              <w:t>2U，配置≥2颗 国产芯片处理器，主频不低于2.7GHz，单CPU≥32核</w:t>
            </w:r>
          </w:p>
        </w:tc>
      </w:tr>
      <w:tr w14:paraId="27A8D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vMerge w:val="continue"/>
            <w:shd w:val="clear" w:color="auto" w:fill="auto"/>
            <w:vAlign w:val="center"/>
          </w:tcPr>
          <w:p w14:paraId="320025A9">
            <w:pPr>
              <w:widowControl/>
              <w:jc w:val="left"/>
              <w:textAlignment w:val="center"/>
              <w:rPr>
                <w:rFonts w:ascii="宋体" w:hAnsi="宋体"/>
              </w:rPr>
            </w:pPr>
          </w:p>
        </w:tc>
        <w:tc>
          <w:tcPr>
            <w:tcW w:w="761" w:type="dxa"/>
            <w:shd w:val="clear" w:color="auto" w:fill="auto"/>
            <w:vAlign w:val="center"/>
          </w:tcPr>
          <w:p w14:paraId="19B19DEF">
            <w:pPr>
              <w:widowControl/>
              <w:jc w:val="left"/>
              <w:textAlignment w:val="center"/>
              <w:rPr>
                <w:rFonts w:ascii="宋体" w:hAnsi="宋体"/>
              </w:rPr>
            </w:pPr>
            <w:r>
              <w:rPr>
                <w:rFonts w:hint="eastAsia" w:ascii="宋体" w:hAnsi="宋体" w:cs="宋体"/>
                <w:szCs w:val="21"/>
              </w:rPr>
              <w:t>内存</w:t>
            </w:r>
          </w:p>
        </w:tc>
        <w:tc>
          <w:tcPr>
            <w:tcW w:w="7583" w:type="dxa"/>
            <w:shd w:val="clear" w:color="auto" w:fill="auto"/>
            <w:vAlign w:val="center"/>
          </w:tcPr>
          <w:p w14:paraId="6616FA1A">
            <w:pPr>
              <w:widowControl/>
              <w:jc w:val="left"/>
              <w:textAlignment w:val="center"/>
              <w:rPr>
                <w:rFonts w:ascii="宋体" w:hAnsi="宋体"/>
                <w:lang w:bidi="ar"/>
              </w:rPr>
            </w:pPr>
            <w:r>
              <w:rPr>
                <w:rFonts w:hint="eastAsia" w:ascii="宋体" w:hAnsi="宋体" w:cs="宋体"/>
                <w:kern w:val="0"/>
                <w:szCs w:val="21"/>
                <w:lang w:bidi="ar"/>
              </w:rPr>
              <w:t>内存配置≥32条32GB DDR4, 工作主频：3200MT/s及以上；单机内存最大可扩展≥32根DDR4内存插槽；</w:t>
            </w:r>
          </w:p>
        </w:tc>
      </w:tr>
      <w:tr w14:paraId="4FD1B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vMerge w:val="continue"/>
            <w:shd w:val="clear" w:color="auto" w:fill="auto"/>
            <w:vAlign w:val="center"/>
          </w:tcPr>
          <w:p w14:paraId="2F126516">
            <w:pPr>
              <w:widowControl/>
              <w:jc w:val="left"/>
              <w:textAlignment w:val="center"/>
              <w:rPr>
                <w:rFonts w:ascii="宋体" w:hAnsi="宋体"/>
                <w:lang w:bidi="ar"/>
              </w:rPr>
            </w:pPr>
          </w:p>
        </w:tc>
        <w:tc>
          <w:tcPr>
            <w:tcW w:w="761" w:type="dxa"/>
            <w:shd w:val="clear" w:color="auto" w:fill="auto"/>
            <w:vAlign w:val="center"/>
          </w:tcPr>
          <w:p w14:paraId="46468606">
            <w:pPr>
              <w:widowControl/>
              <w:jc w:val="left"/>
              <w:textAlignment w:val="center"/>
              <w:rPr>
                <w:rFonts w:ascii="宋体" w:hAnsi="宋体"/>
                <w:lang w:bidi="ar"/>
              </w:rPr>
            </w:pPr>
            <w:r>
              <w:rPr>
                <w:rFonts w:hint="eastAsia" w:ascii="宋体" w:hAnsi="宋体" w:cs="宋体"/>
                <w:kern w:val="0"/>
                <w:szCs w:val="21"/>
                <w:lang w:bidi="ar"/>
              </w:rPr>
              <w:t>磁盘</w:t>
            </w:r>
          </w:p>
        </w:tc>
        <w:tc>
          <w:tcPr>
            <w:tcW w:w="7583" w:type="dxa"/>
            <w:shd w:val="clear" w:color="auto" w:fill="auto"/>
            <w:vAlign w:val="center"/>
          </w:tcPr>
          <w:p w14:paraId="6B41D566">
            <w:pPr>
              <w:widowControl/>
              <w:jc w:val="left"/>
              <w:textAlignment w:val="center"/>
              <w:rPr>
                <w:rFonts w:ascii="宋体" w:hAnsi="宋体"/>
                <w:lang w:bidi="ar"/>
              </w:rPr>
            </w:pPr>
            <w:r>
              <w:rPr>
                <w:rFonts w:hint="eastAsia" w:ascii="宋体" w:hAnsi="宋体" w:cs="宋体"/>
                <w:kern w:val="0"/>
                <w:szCs w:val="21"/>
                <w:lang w:bidi="ar"/>
              </w:rPr>
              <w:t>配置≥2块240GB SSD（系统盘）；≥4块960GB SSD, ≥8块8TB HDD磁盘</w:t>
            </w:r>
          </w:p>
        </w:tc>
      </w:tr>
      <w:tr w14:paraId="14A91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1012" w:type="dxa"/>
            <w:vMerge w:val="continue"/>
            <w:shd w:val="clear" w:color="auto" w:fill="auto"/>
            <w:vAlign w:val="center"/>
          </w:tcPr>
          <w:p w14:paraId="4A50A218">
            <w:pPr>
              <w:widowControl/>
              <w:jc w:val="left"/>
              <w:textAlignment w:val="center"/>
              <w:rPr>
                <w:rFonts w:ascii="宋体" w:hAnsi="宋体"/>
                <w:lang w:bidi="ar"/>
              </w:rPr>
            </w:pPr>
          </w:p>
        </w:tc>
        <w:tc>
          <w:tcPr>
            <w:tcW w:w="761" w:type="dxa"/>
            <w:shd w:val="clear" w:color="auto" w:fill="auto"/>
            <w:vAlign w:val="center"/>
          </w:tcPr>
          <w:p w14:paraId="02F08CA3">
            <w:pPr>
              <w:widowControl/>
              <w:jc w:val="left"/>
              <w:textAlignment w:val="center"/>
              <w:rPr>
                <w:rFonts w:ascii="宋体" w:hAnsi="宋体"/>
                <w:lang w:bidi="ar"/>
              </w:rPr>
            </w:pPr>
            <w:r>
              <w:rPr>
                <w:rFonts w:hint="eastAsia" w:ascii="宋体" w:hAnsi="宋体"/>
                <w:lang w:bidi="ar"/>
              </w:rPr>
              <w:t>网卡</w:t>
            </w:r>
          </w:p>
        </w:tc>
        <w:tc>
          <w:tcPr>
            <w:tcW w:w="7583" w:type="dxa"/>
            <w:shd w:val="clear" w:color="auto" w:fill="auto"/>
            <w:vAlign w:val="center"/>
          </w:tcPr>
          <w:p w14:paraId="25CC7906">
            <w:pPr>
              <w:widowControl/>
              <w:jc w:val="left"/>
              <w:textAlignment w:val="center"/>
              <w:rPr>
                <w:rFonts w:ascii="宋体" w:hAnsi="宋体" w:cs="宋体"/>
                <w:kern w:val="0"/>
                <w:szCs w:val="21"/>
                <w:lang w:bidi="ar"/>
              </w:rPr>
            </w:pPr>
            <w:r>
              <w:rPr>
                <w:rFonts w:hint="eastAsia" w:ascii="宋体" w:hAnsi="宋体" w:cs="宋体"/>
                <w:kern w:val="0"/>
                <w:szCs w:val="21"/>
                <w:lang w:bidi="ar"/>
              </w:rPr>
              <w:t>配置≥4个千兆电口，≥4个10GB光口</w:t>
            </w:r>
          </w:p>
        </w:tc>
      </w:tr>
      <w:tr w14:paraId="44EEC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 w:hRule="atLeast"/>
        </w:trPr>
        <w:tc>
          <w:tcPr>
            <w:tcW w:w="1012" w:type="dxa"/>
            <w:vMerge w:val="continue"/>
            <w:shd w:val="clear" w:color="auto" w:fill="auto"/>
            <w:vAlign w:val="center"/>
          </w:tcPr>
          <w:p w14:paraId="565D5752">
            <w:pPr>
              <w:widowControl/>
              <w:jc w:val="left"/>
              <w:textAlignment w:val="center"/>
              <w:rPr>
                <w:rFonts w:ascii="宋体" w:hAnsi="宋体"/>
                <w:lang w:bidi="ar"/>
              </w:rPr>
            </w:pPr>
          </w:p>
        </w:tc>
        <w:tc>
          <w:tcPr>
            <w:tcW w:w="761" w:type="dxa"/>
            <w:shd w:val="clear" w:color="auto" w:fill="auto"/>
            <w:vAlign w:val="center"/>
          </w:tcPr>
          <w:p w14:paraId="53729E7C">
            <w:pPr>
              <w:widowControl/>
              <w:jc w:val="left"/>
              <w:textAlignment w:val="center"/>
              <w:rPr>
                <w:rFonts w:ascii="宋体" w:hAnsi="宋体" w:cs="宋体"/>
                <w:kern w:val="0"/>
                <w:szCs w:val="21"/>
                <w:lang w:bidi="ar"/>
              </w:rPr>
            </w:pPr>
            <w:r>
              <w:rPr>
                <w:rFonts w:hint="eastAsia" w:ascii="宋体" w:hAnsi="宋体" w:cs="宋体"/>
                <w:kern w:val="0"/>
                <w:szCs w:val="21"/>
                <w:lang w:bidi="ar"/>
              </w:rPr>
              <w:t>电源</w:t>
            </w:r>
          </w:p>
        </w:tc>
        <w:tc>
          <w:tcPr>
            <w:tcW w:w="7583" w:type="dxa"/>
            <w:shd w:val="clear" w:color="auto" w:fill="auto"/>
            <w:vAlign w:val="center"/>
          </w:tcPr>
          <w:p w14:paraId="51E74C22">
            <w:pPr>
              <w:jc w:val="left"/>
              <w:textAlignment w:val="center"/>
              <w:rPr>
                <w:rFonts w:ascii="宋体" w:hAnsi="宋体" w:cs="宋体"/>
                <w:kern w:val="0"/>
                <w:szCs w:val="21"/>
                <w:lang w:bidi="ar"/>
              </w:rPr>
            </w:pPr>
            <w:r>
              <w:rPr>
                <w:rFonts w:hint="eastAsia" w:ascii="宋体" w:hAnsi="宋体" w:cs="宋体"/>
                <w:kern w:val="0"/>
                <w:szCs w:val="21"/>
                <w:lang w:bidi="ar"/>
              </w:rPr>
              <w:t>电源：冗余电源 ≥2</w:t>
            </w:r>
          </w:p>
        </w:tc>
      </w:tr>
      <w:tr w14:paraId="13901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shd w:val="clear" w:color="auto" w:fill="auto"/>
            <w:vAlign w:val="center"/>
          </w:tcPr>
          <w:p w14:paraId="3FD16528">
            <w:pPr>
              <w:widowControl/>
              <w:jc w:val="center"/>
              <w:textAlignment w:val="center"/>
              <w:rPr>
                <w:rFonts w:ascii="宋体" w:hAnsi="宋体"/>
              </w:rPr>
            </w:pPr>
            <w:r>
              <w:rPr>
                <w:rFonts w:hint="eastAsia" w:ascii="宋体" w:hAnsi="宋体" w:cs="宋体"/>
                <w:kern w:val="0"/>
                <w:szCs w:val="21"/>
                <w:lang w:bidi="ar"/>
              </w:rPr>
              <w:t>授权要求</w:t>
            </w:r>
          </w:p>
        </w:tc>
        <w:tc>
          <w:tcPr>
            <w:tcW w:w="8344" w:type="dxa"/>
            <w:gridSpan w:val="2"/>
            <w:shd w:val="clear" w:color="auto" w:fill="auto"/>
            <w:vAlign w:val="center"/>
          </w:tcPr>
          <w:p w14:paraId="62B01682">
            <w:pPr>
              <w:widowControl/>
              <w:jc w:val="left"/>
              <w:textAlignment w:val="center"/>
              <w:rPr>
                <w:rFonts w:ascii="宋体" w:hAnsi="宋体"/>
              </w:rPr>
            </w:pPr>
            <w:r>
              <w:rPr>
                <w:rFonts w:hint="eastAsia" w:ascii="宋体" w:hAnsi="宋体" w:cs="宋体"/>
                <w:kern w:val="0"/>
                <w:szCs w:val="21"/>
                <w:lang w:bidi="ar"/>
              </w:rPr>
              <w:t>★所投产品为国产品牌，要求服务器虚拟化按照物理服务器CPU颗数进行授权，本次提供4颗正版CPU的计算、存储、网络、安全、云管虚拟化软件授权</w:t>
            </w:r>
            <w:r>
              <w:rPr>
                <w:rFonts w:hint="eastAsia" w:ascii="宋体" w:hAnsi="宋体" w:cs="宋体"/>
                <w:szCs w:val="21"/>
              </w:rPr>
              <w:t>，</w:t>
            </w:r>
            <w:r>
              <w:rPr>
                <w:rFonts w:hint="eastAsia" w:ascii="宋体" w:hAnsi="宋体" w:cs="宋体"/>
                <w:kern w:val="0"/>
                <w:szCs w:val="21"/>
                <w:lang w:bidi="ar"/>
              </w:rPr>
              <w:t>软件为同一品牌且完全自主研发，并提供相应的计算机软件著作权登记证书</w:t>
            </w:r>
            <w:r>
              <w:rPr>
                <w:rFonts w:hint="eastAsia" w:ascii="宋体" w:hAnsi="宋体" w:cs="宋体"/>
                <w:szCs w:val="21"/>
              </w:rPr>
              <w:t>。</w:t>
            </w:r>
          </w:p>
        </w:tc>
      </w:tr>
      <w:tr w14:paraId="4A5CC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vMerge w:val="restart"/>
            <w:shd w:val="clear" w:color="auto" w:fill="auto"/>
            <w:vAlign w:val="center"/>
          </w:tcPr>
          <w:p w14:paraId="76BE1CF0">
            <w:pPr>
              <w:jc w:val="center"/>
              <w:rPr>
                <w:rFonts w:ascii="宋体" w:hAnsi="宋体"/>
              </w:rPr>
            </w:pPr>
            <w:r>
              <w:rPr>
                <w:rFonts w:hint="eastAsia" w:ascii="宋体" w:hAnsi="宋体" w:cs="宋体"/>
                <w:szCs w:val="21"/>
              </w:rPr>
              <w:t>计算虚拟化</w:t>
            </w:r>
          </w:p>
        </w:tc>
        <w:tc>
          <w:tcPr>
            <w:tcW w:w="8344" w:type="dxa"/>
            <w:gridSpan w:val="2"/>
            <w:shd w:val="clear" w:color="auto" w:fill="auto"/>
            <w:vAlign w:val="center"/>
          </w:tcPr>
          <w:p w14:paraId="1CAEC857">
            <w:pPr>
              <w:widowControl/>
              <w:jc w:val="left"/>
              <w:textAlignment w:val="center"/>
              <w:rPr>
                <w:rFonts w:ascii="宋体" w:hAnsi="宋体"/>
                <w:lang w:bidi="ar"/>
              </w:rPr>
            </w:pPr>
            <w:r>
              <w:rPr>
                <w:rFonts w:hint="eastAsia" w:ascii="宋体" w:hAnsi="宋体" w:cs="宋体"/>
                <w:kern w:val="0"/>
                <w:szCs w:val="21"/>
                <w:lang w:bidi="ar"/>
              </w:rPr>
              <w:t>无需安装插件或代理软件，支持虚拟机的无代理备份，无备份数据容量限制，可直接将虚拟机备份到存储，并支持生成全新虚拟机的方式进行恢复（</w:t>
            </w:r>
            <w:r>
              <w:rPr>
                <w:rFonts w:hint="eastAsia" w:hAnsi="宋体"/>
                <w:sz w:val="21"/>
                <w:szCs w:val="21"/>
              </w:rPr>
              <w:t>提供相关功能截图证明并加盖投标人公章</w:t>
            </w:r>
            <w:r>
              <w:rPr>
                <w:rFonts w:hint="eastAsia" w:ascii="宋体" w:hAnsi="宋体" w:cs="宋体"/>
                <w:kern w:val="0"/>
                <w:szCs w:val="21"/>
                <w:lang w:bidi="ar"/>
              </w:rPr>
              <w:t>）</w:t>
            </w:r>
          </w:p>
        </w:tc>
      </w:tr>
      <w:tr w14:paraId="19FE1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vMerge w:val="continue"/>
            <w:shd w:val="clear" w:color="auto" w:fill="auto"/>
            <w:vAlign w:val="center"/>
          </w:tcPr>
          <w:p w14:paraId="67C0475F">
            <w:pPr>
              <w:jc w:val="center"/>
              <w:rPr>
                <w:rFonts w:ascii="宋体" w:hAnsi="宋体"/>
              </w:rPr>
            </w:pPr>
          </w:p>
        </w:tc>
        <w:tc>
          <w:tcPr>
            <w:tcW w:w="8344" w:type="dxa"/>
            <w:gridSpan w:val="2"/>
            <w:shd w:val="clear" w:color="auto" w:fill="auto"/>
            <w:vAlign w:val="center"/>
          </w:tcPr>
          <w:p w14:paraId="380024AC">
            <w:pPr>
              <w:widowControl/>
              <w:jc w:val="left"/>
              <w:textAlignment w:val="center"/>
              <w:rPr>
                <w:rFonts w:ascii="宋体" w:hAnsi="宋体"/>
                <w:lang w:bidi="ar"/>
              </w:rPr>
            </w:pPr>
            <w:r>
              <w:rPr>
                <w:rFonts w:hint="eastAsia" w:ascii="宋体" w:hAnsi="宋体" w:cs="宋体"/>
                <w:kern w:val="0"/>
                <w:szCs w:val="21"/>
                <w:lang w:bidi="ar"/>
              </w:rPr>
              <w:t>虚拟机迁移支持指定网口迁移、限制迁移速度、启用压缩传输，同时虚拟机迁移过程中如因数据写入量过大迁移不完，可支持强制切换操作。（</w:t>
            </w:r>
            <w:r>
              <w:rPr>
                <w:rFonts w:hint="eastAsia" w:hAnsi="宋体"/>
                <w:sz w:val="21"/>
                <w:szCs w:val="21"/>
              </w:rPr>
              <w:t>提供相关功能截图证明并加盖投标人公章</w:t>
            </w:r>
            <w:r>
              <w:rPr>
                <w:rFonts w:hint="eastAsia" w:ascii="宋体" w:hAnsi="宋体" w:cs="宋体"/>
                <w:kern w:val="0"/>
                <w:szCs w:val="21"/>
                <w:lang w:bidi="ar"/>
              </w:rPr>
              <w:t>）</w:t>
            </w:r>
          </w:p>
        </w:tc>
      </w:tr>
      <w:tr w14:paraId="55405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vMerge w:val="continue"/>
            <w:shd w:val="clear" w:color="auto" w:fill="auto"/>
            <w:vAlign w:val="center"/>
          </w:tcPr>
          <w:p w14:paraId="207043FE">
            <w:pPr>
              <w:jc w:val="center"/>
              <w:rPr>
                <w:rFonts w:ascii="宋体" w:hAnsi="宋体"/>
              </w:rPr>
            </w:pPr>
          </w:p>
        </w:tc>
        <w:tc>
          <w:tcPr>
            <w:tcW w:w="8344" w:type="dxa"/>
            <w:gridSpan w:val="2"/>
            <w:shd w:val="clear" w:color="auto" w:fill="auto"/>
            <w:vAlign w:val="center"/>
          </w:tcPr>
          <w:p w14:paraId="5500BE4D">
            <w:pPr>
              <w:widowControl/>
              <w:jc w:val="left"/>
              <w:textAlignment w:val="center"/>
              <w:rPr>
                <w:rFonts w:ascii="宋体" w:hAnsi="宋体"/>
                <w:lang w:bidi="ar"/>
              </w:rPr>
            </w:pPr>
            <w:r>
              <w:rPr>
                <w:rFonts w:hint="eastAsia" w:ascii="宋体" w:hAnsi="宋体" w:cs="宋体"/>
                <w:kern w:val="0"/>
                <w:szCs w:val="21"/>
                <w:lang w:bidi="ar"/>
              </w:rPr>
              <w:t>★超融合平台需支持在线升级不影响业务；为保证升级时间与步骤可控，升级过程中支持对升级节点进行升级顺序编排、升级暂停（</w:t>
            </w:r>
            <w:r>
              <w:rPr>
                <w:rFonts w:hint="eastAsia" w:hAnsi="宋体"/>
                <w:sz w:val="21"/>
                <w:szCs w:val="21"/>
              </w:rPr>
              <w:t>提供相关功能截图证明并加盖投标人公章</w:t>
            </w:r>
            <w:r>
              <w:rPr>
                <w:rFonts w:hint="eastAsia" w:ascii="宋体" w:hAnsi="宋体" w:cs="宋体"/>
                <w:kern w:val="0"/>
                <w:szCs w:val="21"/>
                <w:lang w:bidi="ar"/>
              </w:rPr>
              <w:t>）</w:t>
            </w:r>
          </w:p>
        </w:tc>
      </w:tr>
      <w:tr w14:paraId="6E5F5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vMerge w:val="restart"/>
            <w:shd w:val="clear" w:color="auto" w:fill="auto"/>
            <w:vAlign w:val="center"/>
          </w:tcPr>
          <w:p w14:paraId="0BB8C513">
            <w:pPr>
              <w:widowControl/>
              <w:jc w:val="center"/>
              <w:textAlignment w:val="center"/>
              <w:rPr>
                <w:rFonts w:ascii="宋体" w:hAnsi="宋体"/>
              </w:rPr>
            </w:pPr>
            <w:r>
              <w:rPr>
                <w:rFonts w:hint="eastAsia" w:ascii="宋体" w:hAnsi="宋体" w:cs="宋体"/>
                <w:kern w:val="0"/>
                <w:szCs w:val="21"/>
                <w:lang w:bidi="ar"/>
              </w:rPr>
              <w:t>网络虚拟化</w:t>
            </w:r>
          </w:p>
        </w:tc>
        <w:tc>
          <w:tcPr>
            <w:tcW w:w="8344" w:type="dxa"/>
            <w:gridSpan w:val="2"/>
            <w:shd w:val="clear" w:color="auto" w:fill="auto"/>
            <w:vAlign w:val="center"/>
          </w:tcPr>
          <w:p w14:paraId="422BBE85">
            <w:pPr>
              <w:widowControl/>
              <w:jc w:val="left"/>
              <w:textAlignment w:val="center"/>
              <w:rPr>
                <w:rFonts w:ascii="宋体" w:hAnsi="宋体"/>
              </w:rPr>
            </w:pPr>
            <w:r>
              <w:rPr>
                <w:rFonts w:hint="eastAsia" w:ascii="宋体" w:hAnsi="宋体" w:cs="宋体"/>
                <w:szCs w:val="21"/>
              </w:rPr>
              <w:t>超融合应支持微隔离策略推荐，自动通过访问关系、历史流量和用户配置来生成最适合的微隔离规则，并且可以预发布策略，预览访问关系和防护状况，在二次确认后发布推荐策略。（需提供产品功能截图）</w:t>
            </w:r>
          </w:p>
        </w:tc>
      </w:tr>
      <w:tr w14:paraId="0B6EC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vMerge w:val="continue"/>
            <w:shd w:val="clear" w:color="auto" w:fill="auto"/>
            <w:vAlign w:val="center"/>
          </w:tcPr>
          <w:p w14:paraId="20EFDA4D">
            <w:pPr>
              <w:jc w:val="center"/>
              <w:rPr>
                <w:rFonts w:ascii="宋体" w:hAnsi="宋体"/>
              </w:rPr>
            </w:pPr>
          </w:p>
        </w:tc>
        <w:tc>
          <w:tcPr>
            <w:tcW w:w="8344" w:type="dxa"/>
            <w:gridSpan w:val="2"/>
            <w:shd w:val="clear" w:color="auto" w:fill="auto"/>
            <w:vAlign w:val="center"/>
          </w:tcPr>
          <w:p w14:paraId="45B19410">
            <w:pPr>
              <w:widowControl/>
              <w:jc w:val="left"/>
              <w:textAlignment w:val="center"/>
              <w:rPr>
                <w:rFonts w:ascii="宋体" w:hAnsi="宋体"/>
              </w:rPr>
            </w:pPr>
            <w:r>
              <w:rPr>
                <w:rFonts w:hint="eastAsia" w:ascii="宋体" w:hAnsi="宋体" w:cs="宋体"/>
                <w:kern w:val="0"/>
                <w:szCs w:val="21"/>
                <w:lang w:bidi="ar"/>
              </w:rPr>
              <w:t>★为了提升运维人员部署效率，需要能够在图形化管理平台上，通过托、拉、拽方式完成虚拟网络拓扑构建，可以在网络拓扑页面通过功能按键，实现虚拟网络连接、开启和关闭等操作。（</w:t>
            </w:r>
            <w:r>
              <w:rPr>
                <w:rFonts w:hint="eastAsia" w:ascii="宋体" w:hAnsi="宋体" w:cs="宋体"/>
                <w:szCs w:val="21"/>
              </w:rPr>
              <w:t>需提供具有CNAS、CMA</w:t>
            </w:r>
            <w:r>
              <w:rPr>
                <w:rFonts w:hint="eastAsia" w:ascii="宋体" w:hAnsi="宋体" w:cs="宋体"/>
                <w:szCs w:val="21"/>
                <w:lang w:val="en-US" w:eastAsia="zh-CN"/>
              </w:rPr>
              <w:t>等</w:t>
            </w:r>
            <w:r>
              <w:rPr>
                <w:rFonts w:hint="eastAsia" w:ascii="宋体" w:hAnsi="宋体" w:cs="宋体"/>
                <w:szCs w:val="21"/>
              </w:rPr>
              <w:t>资质的第三方测试机构的证明材料</w:t>
            </w:r>
            <w:r>
              <w:rPr>
                <w:rFonts w:hint="eastAsia" w:ascii="宋体" w:hAnsi="宋体" w:cs="宋体"/>
                <w:kern w:val="0"/>
                <w:szCs w:val="21"/>
                <w:lang w:bidi="ar"/>
              </w:rPr>
              <w:t>，至少包含报告首页，对应功能测试页和报告尾页）。</w:t>
            </w:r>
          </w:p>
        </w:tc>
      </w:tr>
      <w:tr w14:paraId="6BC19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vMerge w:val="restart"/>
            <w:shd w:val="clear" w:color="auto" w:fill="auto"/>
            <w:vAlign w:val="center"/>
          </w:tcPr>
          <w:p w14:paraId="60B2940D">
            <w:pPr>
              <w:widowControl/>
              <w:jc w:val="center"/>
              <w:textAlignment w:val="center"/>
              <w:rPr>
                <w:rFonts w:ascii="宋体" w:hAnsi="宋体"/>
              </w:rPr>
            </w:pPr>
            <w:r>
              <w:rPr>
                <w:rFonts w:hint="eastAsia" w:ascii="宋体" w:hAnsi="宋体" w:cs="宋体"/>
                <w:kern w:val="0"/>
                <w:szCs w:val="21"/>
                <w:lang w:bidi="ar"/>
              </w:rPr>
              <w:t>存储虚拟化</w:t>
            </w:r>
          </w:p>
        </w:tc>
        <w:tc>
          <w:tcPr>
            <w:tcW w:w="8344" w:type="dxa"/>
            <w:gridSpan w:val="2"/>
            <w:shd w:val="clear" w:color="auto" w:fill="auto"/>
            <w:vAlign w:val="center"/>
          </w:tcPr>
          <w:p w14:paraId="47E0350A">
            <w:pPr>
              <w:widowControl/>
              <w:jc w:val="left"/>
              <w:textAlignment w:val="center"/>
              <w:rPr>
                <w:rFonts w:ascii="宋体" w:hAnsi="宋体"/>
              </w:rPr>
            </w:pPr>
            <w:r>
              <w:rPr>
                <w:rFonts w:hint="eastAsia" w:ascii="宋体" w:hAnsi="宋体" w:cs="宋体"/>
                <w:kern w:val="0"/>
                <w:szCs w:val="21"/>
                <w:lang w:bidi="ar"/>
              </w:rPr>
              <w:t>★硬件故障对平台影响较大，也会影响数据安全，为保障业务在硬件故障后尽快恢复冗余数据保障，支持进行数据重建操作，重建速率达到30分钟/TB；重建过程中可以查看数据重建任务列表信息，包括对象名称、对象类型、数据量和优先级等；支持点击操作中的优先级对数据重建进行优先重建（</w:t>
            </w:r>
            <w:r>
              <w:rPr>
                <w:rFonts w:hint="eastAsia" w:ascii="宋体" w:hAnsi="宋体" w:cs="宋体"/>
                <w:szCs w:val="21"/>
              </w:rPr>
              <w:t>需提供具有CNAS、CMA</w:t>
            </w:r>
            <w:r>
              <w:rPr>
                <w:rFonts w:hint="eastAsia" w:ascii="宋体" w:hAnsi="宋体" w:cs="宋体"/>
                <w:szCs w:val="21"/>
                <w:lang w:val="en-US" w:eastAsia="zh-CN"/>
              </w:rPr>
              <w:t>等</w:t>
            </w:r>
            <w:r>
              <w:rPr>
                <w:rFonts w:hint="eastAsia" w:ascii="宋体" w:hAnsi="宋体" w:cs="宋体"/>
                <w:szCs w:val="21"/>
              </w:rPr>
              <w:t>资质的第三方测试机构的证明材料</w:t>
            </w:r>
            <w:r>
              <w:rPr>
                <w:rFonts w:hint="eastAsia" w:ascii="宋体" w:hAnsi="宋体" w:cs="宋体"/>
                <w:kern w:val="0"/>
                <w:szCs w:val="21"/>
                <w:lang w:bidi="ar"/>
              </w:rPr>
              <w:t>，至少包含报告首页，对应功能测试页和报告尾页）</w:t>
            </w:r>
          </w:p>
        </w:tc>
      </w:tr>
      <w:tr w14:paraId="28BE4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vMerge w:val="continue"/>
            <w:shd w:val="clear" w:color="auto" w:fill="auto"/>
            <w:vAlign w:val="center"/>
          </w:tcPr>
          <w:p w14:paraId="3E93D24F">
            <w:pPr>
              <w:jc w:val="center"/>
              <w:rPr>
                <w:rFonts w:ascii="宋体" w:hAnsi="宋体"/>
              </w:rPr>
            </w:pPr>
          </w:p>
        </w:tc>
        <w:tc>
          <w:tcPr>
            <w:tcW w:w="8344" w:type="dxa"/>
            <w:gridSpan w:val="2"/>
            <w:shd w:val="clear" w:color="auto" w:fill="auto"/>
            <w:vAlign w:val="center"/>
          </w:tcPr>
          <w:p w14:paraId="2F435A84">
            <w:pPr>
              <w:widowControl/>
              <w:jc w:val="left"/>
              <w:textAlignment w:val="center"/>
              <w:rPr>
                <w:rFonts w:ascii="宋体" w:hAnsi="宋体"/>
              </w:rPr>
            </w:pPr>
            <w:r>
              <w:rPr>
                <w:rFonts w:hint="eastAsia" w:ascii="宋体" w:hAnsi="宋体" w:cs="宋体"/>
                <w:kern w:val="0"/>
                <w:szCs w:val="21"/>
                <w:lang w:bidi="ar"/>
              </w:rPr>
              <w:t>为保障业务在硬件故障情况下的性能稳定性，当存在迁移、重建、定时快照等非业务流量时，系统将根据业务的IO情况智能调整非业务流量，避免数据重建过程中IO性能占用导致对业务的性能造成影响。（</w:t>
            </w:r>
            <w:r>
              <w:rPr>
                <w:rFonts w:hint="eastAsia" w:hAnsi="宋体"/>
                <w:sz w:val="21"/>
                <w:szCs w:val="21"/>
              </w:rPr>
              <w:t>提供相关功能截图证明并加盖投标人公章</w:t>
            </w:r>
            <w:r>
              <w:rPr>
                <w:rFonts w:hint="eastAsia" w:ascii="宋体" w:hAnsi="宋体" w:cs="宋体"/>
                <w:kern w:val="0"/>
                <w:szCs w:val="21"/>
                <w:lang w:bidi="ar"/>
              </w:rPr>
              <w:t>）</w:t>
            </w:r>
          </w:p>
        </w:tc>
      </w:tr>
      <w:tr w14:paraId="7EBF2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vMerge w:val="continue"/>
            <w:shd w:val="clear" w:color="auto" w:fill="auto"/>
            <w:vAlign w:val="center"/>
          </w:tcPr>
          <w:p w14:paraId="5721D115">
            <w:pPr>
              <w:jc w:val="center"/>
              <w:rPr>
                <w:rFonts w:ascii="宋体" w:hAnsi="宋体"/>
              </w:rPr>
            </w:pPr>
          </w:p>
        </w:tc>
        <w:tc>
          <w:tcPr>
            <w:tcW w:w="8344" w:type="dxa"/>
            <w:gridSpan w:val="2"/>
            <w:shd w:val="clear" w:color="auto" w:fill="auto"/>
            <w:vAlign w:val="center"/>
          </w:tcPr>
          <w:p w14:paraId="6176B9BD">
            <w:pPr>
              <w:widowControl/>
              <w:jc w:val="left"/>
              <w:textAlignment w:val="center"/>
              <w:rPr>
                <w:rFonts w:ascii="宋体" w:hAnsi="宋体"/>
              </w:rPr>
            </w:pPr>
            <w:r>
              <w:rPr>
                <w:rFonts w:hint="eastAsia" w:ascii="宋体" w:hAnsi="宋体" w:cs="宋体"/>
                <w:kern w:val="0"/>
                <w:szCs w:val="21"/>
                <w:lang w:bidi="ar"/>
              </w:rPr>
              <w:t>★</w:t>
            </w:r>
            <w:r>
              <w:rPr>
                <w:rFonts w:hint="eastAsia" w:ascii="宋体" w:hAnsi="宋体" w:cs="宋体"/>
                <w:szCs w:val="21"/>
              </w:rPr>
              <w:t>为保证磁盘健康，支持坏道扫描功能，可以在定时坏道扫描界面设置执行时间并执行坏道扫描任务，由用户设置扫描的扫描时间段定期对集群的硬盘进行扫描，及时发现潜藏的坏道。并支持发现坏道后，主动修复坏道区域数据。 （需提供具有CNAS、CMA</w:t>
            </w:r>
            <w:r>
              <w:rPr>
                <w:rFonts w:hint="eastAsia" w:ascii="宋体" w:hAnsi="宋体" w:cs="宋体"/>
                <w:szCs w:val="21"/>
                <w:lang w:val="en-US" w:eastAsia="zh-CN"/>
              </w:rPr>
              <w:t>等</w:t>
            </w:r>
            <w:r>
              <w:rPr>
                <w:rFonts w:hint="eastAsia" w:ascii="宋体" w:hAnsi="宋体" w:cs="宋体"/>
                <w:szCs w:val="21"/>
              </w:rPr>
              <w:t>资质的第三方测试机构的证明材料，至少包含报告首页，对应功能测试页和报告尾页）</w:t>
            </w:r>
          </w:p>
        </w:tc>
      </w:tr>
      <w:tr w14:paraId="65ED4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vMerge w:val="restart"/>
            <w:shd w:val="clear" w:color="auto" w:fill="auto"/>
            <w:vAlign w:val="center"/>
          </w:tcPr>
          <w:p w14:paraId="05ABF364">
            <w:pPr>
              <w:widowControl/>
              <w:jc w:val="center"/>
              <w:textAlignment w:val="center"/>
              <w:rPr>
                <w:rFonts w:ascii="宋体" w:hAnsi="宋体"/>
              </w:rPr>
            </w:pPr>
            <w:r>
              <w:rPr>
                <w:rFonts w:hint="eastAsia" w:ascii="宋体" w:hAnsi="宋体" w:cs="宋体"/>
                <w:kern w:val="0"/>
                <w:szCs w:val="21"/>
                <w:lang w:bidi="ar"/>
              </w:rPr>
              <w:t>超融合云管理平台</w:t>
            </w:r>
          </w:p>
        </w:tc>
        <w:tc>
          <w:tcPr>
            <w:tcW w:w="8344" w:type="dxa"/>
            <w:gridSpan w:val="2"/>
            <w:shd w:val="clear" w:color="auto" w:fill="auto"/>
            <w:vAlign w:val="center"/>
          </w:tcPr>
          <w:p w14:paraId="78B474BE">
            <w:pPr>
              <w:widowControl/>
              <w:jc w:val="left"/>
              <w:textAlignment w:val="center"/>
              <w:rPr>
                <w:rFonts w:ascii="宋体" w:hAnsi="宋体"/>
              </w:rPr>
            </w:pPr>
            <w:r>
              <w:rPr>
                <w:rFonts w:hint="eastAsia" w:ascii="宋体" w:hAnsi="宋体" w:cs="宋体"/>
                <w:kern w:val="0"/>
                <w:szCs w:val="21"/>
                <w:lang w:bidi="ar"/>
              </w:rPr>
              <w:t>为保证用户业务系统的高可靠性，云管平台应具备完善的可靠性功能，需支持无代理持续数据保护CDP、本地备份、异地容灾、云容灾等高可用服务，当主平台发生故障时，能够切换到备平台，保障云平台稳定运行（</w:t>
            </w:r>
            <w:r>
              <w:rPr>
                <w:rFonts w:hint="eastAsia" w:hAnsi="宋体"/>
                <w:sz w:val="21"/>
                <w:szCs w:val="21"/>
              </w:rPr>
              <w:t>提供相关功能截图证明并加盖投标人公章</w:t>
            </w:r>
            <w:r>
              <w:rPr>
                <w:rFonts w:hint="eastAsia" w:ascii="宋体" w:hAnsi="宋体" w:cs="宋体"/>
                <w:kern w:val="0"/>
                <w:szCs w:val="21"/>
                <w:lang w:bidi="ar"/>
              </w:rPr>
              <w:t>）</w:t>
            </w:r>
          </w:p>
        </w:tc>
      </w:tr>
      <w:tr w14:paraId="222B4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vMerge w:val="continue"/>
            <w:shd w:val="clear" w:color="auto" w:fill="auto"/>
            <w:vAlign w:val="center"/>
          </w:tcPr>
          <w:p w14:paraId="52573F3B">
            <w:pPr>
              <w:jc w:val="center"/>
              <w:rPr>
                <w:rFonts w:ascii="宋体" w:hAnsi="宋体"/>
              </w:rPr>
            </w:pPr>
          </w:p>
        </w:tc>
        <w:tc>
          <w:tcPr>
            <w:tcW w:w="8344" w:type="dxa"/>
            <w:gridSpan w:val="2"/>
            <w:shd w:val="clear" w:color="auto" w:fill="auto"/>
            <w:vAlign w:val="center"/>
          </w:tcPr>
          <w:p w14:paraId="0C3AD88B">
            <w:pPr>
              <w:widowControl/>
              <w:jc w:val="left"/>
              <w:textAlignment w:val="center"/>
              <w:rPr>
                <w:rFonts w:ascii="宋体" w:hAnsi="宋体"/>
              </w:rPr>
            </w:pPr>
            <w:r>
              <w:rPr>
                <w:rFonts w:hint="eastAsia" w:ascii="宋体" w:hAnsi="宋体" w:cs="宋体"/>
                <w:kern w:val="0"/>
                <w:szCs w:val="21"/>
                <w:lang w:bidi="ar"/>
              </w:rPr>
              <w:t>支持上传或利用现有云主机创建镜像，可对镜像进行管理、关联资源池等操作，可通过镜像实现一键快速创建云主机及安全组件</w:t>
            </w:r>
          </w:p>
        </w:tc>
      </w:tr>
      <w:tr w14:paraId="58A1D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vMerge w:val="restart"/>
            <w:shd w:val="clear" w:color="auto" w:fill="auto"/>
            <w:vAlign w:val="center"/>
          </w:tcPr>
          <w:p w14:paraId="27D112A0">
            <w:pPr>
              <w:widowControl/>
              <w:jc w:val="left"/>
              <w:textAlignment w:val="center"/>
              <w:rPr>
                <w:rFonts w:ascii="宋体" w:hAnsi="宋体"/>
              </w:rPr>
            </w:pPr>
            <w:r>
              <w:rPr>
                <w:rFonts w:hint="eastAsia" w:ascii="宋体" w:hAnsi="宋体" w:cs="宋体"/>
                <w:kern w:val="0"/>
                <w:szCs w:val="21"/>
                <w:lang w:bidi="ar"/>
              </w:rPr>
              <w:t>安全虚拟化</w:t>
            </w:r>
          </w:p>
        </w:tc>
        <w:tc>
          <w:tcPr>
            <w:tcW w:w="8344" w:type="dxa"/>
            <w:gridSpan w:val="2"/>
            <w:shd w:val="clear" w:color="auto" w:fill="auto"/>
            <w:vAlign w:val="center"/>
          </w:tcPr>
          <w:p w14:paraId="11BDC011">
            <w:pPr>
              <w:widowControl/>
              <w:jc w:val="left"/>
              <w:textAlignment w:val="center"/>
              <w:rPr>
                <w:rFonts w:ascii="宋体" w:hAnsi="宋体"/>
              </w:rPr>
            </w:pPr>
            <w:r>
              <w:rPr>
                <w:rFonts w:hint="eastAsia" w:ascii="宋体" w:hAnsi="宋体" w:cs="宋体"/>
                <w:szCs w:val="21"/>
              </w:rPr>
              <w:t>★基于虚拟化业务安全考虑，云平台与安全能力应支持联动以达到最佳安全效果，需提供同一品牌云安全中心，无需界面跳转即可实现安全统一管理提升安全运维效率，需提供一站式工作台展示云上资产安全防护情况展示，包括安全风险分布，以及病毒、攻击、漏洞等风险的TOP 5云主机（</w:t>
            </w:r>
            <w:r>
              <w:rPr>
                <w:rFonts w:hint="eastAsia" w:hAnsi="宋体"/>
                <w:sz w:val="21"/>
                <w:szCs w:val="21"/>
              </w:rPr>
              <w:t>提供相关功能截图证明并加盖投标人公章</w:t>
            </w:r>
            <w:r>
              <w:rPr>
                <w:rFonts w:hint="eastAsia" w:ascii="宋体" w:hAnsi="宋体" w:cs="宋体"/>
                <w:szCs w:val="21"/>
              </w:rPr>
              <w:t>）</w:t>
            </w:r>
          </w:p>
        </w:tc>
      </w:tr>
      <w:tr w14:paraId="141D0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vMerge w:val="continue"/>
            <w:shd w:val="clear" w:color="auto" w:fill="auto"/>
            <w:vAlign w:val="center"/>
          </w:tcPr>
          <w:p w14:paraId="41840378">
            <w:pPr>
              <w:widowControl/>
              <w:jc w:val="left"/>
              <w:textAlignment w:val="center"/>
              <w:rPr>
                <w:rFonts w:ascii="宋体" w:hAnsi="宋体"/>
                <w:lang w:bidi="ar"/>
              </w:rPr>
            </w:pPr>
          </w:p>
        </w:tc>
        <w:tc>
          <w:tcPr>
            <w:tcW w:w="8344" w:type="dxa"/>
            <w:gridSpan w:val="2"/>
            <w:shd w:val="clear" w:color="auto" w:fill="auto"/>
            <w:vAlign w:val="center"/>
          </w:tcPr>
          <w:p w14:paraId="0835E6B8">
            <w:pPr>
              <w:widowControl/>
              <w:jc w:val="left"/>
              <w:textAlignment w:val="center"/>
              <w:rPr>
                <w:rFonts w:ascii="宋体" w:hAnsi="宋体"/>
              </w:rPr>
            </w:pPr>
            <w:r>
              <w:rPr>
                <w:rFonts w:hint="eastAsia" w:ascii="宋体" w:hAnsi="宋体" w:cs="宋体"/>
                <w:szCs w:val="21"/>
              </w:rPr>
              <w:t>★提供向导化勒索病毒处理流程，包括紧急隔离、保留当前状态、恢复云主机、扫描病毒、恢复网络。并支持事前勒索病毒防护、事中检测疑似勒索可打自动对虚拟机打快照、事后勒索病毒向导化处理（需提供具有CNAS、CMA</w:t>
            </w:r>
            <w:r>
              <w:rPr>
                <w:rFonts w:hint="eastAsia" w:ascii="宋体" w:hAnsi="宋体" w:cs="宋体"/>
                <w:szCs w:val="21"/>
                <w:lang w:val="en-US" w:eastAsia="zh-CN"/>
              </w:rPr>
              <w:t>等</w:t>
            </w:r>
            <w:r>
              <w:rPr>
                <w:rFonts w:hint="eastAsia" w:ascii="宋体" w:hAnsi="宋体" w:cs="宋体"/>
                <w:szCs w:val="21"/>
              </w:rPr>
              <w:t>资质的第三方测试机构的证明材料，至少包含报告首页，对应功能测试页和报告尾页）</w:t>
            </w:r>
          </w:p>
        </w:tc>
      </w:tr>
      <w:tr w14:paraId="1540F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vMerge w:val="continue"/>
            <w:shd w:val="clear" w:color="auto" w:fill="auto"/>
            <w:vAlign w:val="center"/>
          </w:tcPr>
          <w:p w14:paraId="3A16325D">
            <w:pPr>
              <w:widowControl/>
              <w:jc w:val="left"/>
              <w:textAlignment w:val="center"/>
              <w:rPr>
                <w:rFonts w:ascii="宋体" w:hAnsi="宋体"/>
                <w:lang w:bidi="ar"/>
              </w:rPr>
            </w:pPr>
          </w:p>
        </w:tc>
        <w:tc>
          <w:tcPr>
            <w:tcW w:w="8344" w:type="dxa"/>
            <w:gridSpan w:val="2"/>
            <w:shd w:val="clear" w:color="auto" w:fill="auto"/>
            <w:vAlign w:val="center"/>
          </w:tcPr>
          <w:p w14:paraId="51201C3D">
            <w:pPr>
              <w:widowControl/>
              <w:jc w:val="left"/>
              <w:textAlignment w:val="center"/>
              <w:rPr>
                <w:rFonts w:ascii="宋体" w:hAnsi="宋体"/>
              </w:rPr>
            </w:pPr>
            <w:r>
              <w:rPr>
                <w:rFonts w:hint="eastAsia" w:ascii="宋体" w:hAnsi="宋体" w:cs="宋体"/>
                <w:szCs w:val="21"/>
              </w:rPr>
              <w:t>基于云平台网络安全考虑，云平台需内置分布式七层网络攻击防护能力。支持以虚拟机为粒度，对指定虚拟机、批量虚拟机、指定IP、指定IP范围开启网络防护功能，且不因IP地址变更或迁移等情况导致安全能力失效。支持为租户VPC网络配置网络攻击防护策略。（</w:t>
            </w:r>
            <w:r>
              <w:rPr>
                <w:rFonts w:hint="eastAsia" w:hAnsi="宋体"/>
                <w:sz w:val="21"/>
                <w:szCs w:val="21"/>
              </w:rPr>
              <w:t>提供相关功能截图证明并加盖投标人公章</w:t>
            </w:r>
            <w:r>
              <w:rPr>
                <w:rFonts w:hint="eastAsia" w:ascii="宋体" w:hAnsi="宋体" w:cs="宋体"/>
                <w:szCs w:val="21"/>
              </w:rPr>
              <w:t>）</w:t>
            </w:r>
          </w:p>
        </w:tc>
      </w:tr>
      <w:tr w14:paraId="25172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vMerge w:val="continue"/>
            <w:shd w:val="clear" w:color="auto" w:fill="auto"/>
            <w:vAlign w:val="center"/>
          </w:tcPr>
          <w:p w14:paraId="423A561B">
            <w:pPr>
              <w:widowControl/>
              <w:jc w:val="left"/>
              <w:textAlignment w:val="center"/>
              <w:rPr>
                <w:rFonts w:ascii="宋体" w:hAnsi="宋体"/>
                <w:lang w:bidi="ar"/>
              </w:rPr>
            </w:pPr>
          </w:p>
        </w:tc>
        <w:tc>
          <w:tcPr>
            <w:tcW w:w="8344" w:type="dxa"/>
            <w:gridSpan w:val="2"/>
            <w:shd w:val="clear" w:color="auto" w:fill="auto"/>
            <w:vAlign w:val="center"/>
          </w:tcPr>
          <w:p w14:paraId="5A858F6B">
            <w:pPr>
              <w:widowControl/>
              <w:jc w:val="left"/>
              <w:textAlignment w:val="center"/>
              <w:rPr>
                <w:rFonts w:ascii="宋体" w:hAnsi="宋体"/>
              </w:rPr>
            </w:pPr>
            <w:r>
              <w:rPr>
                <w:rFonts w:hint="eastAsia" w:ascii="宋体" w:hAnsi="宋体" w:cs="宋体"/>
                <w:szCs w:val="21"/>
              </w:rPr>
              <w:t>由于本单位多数业务在云平台需要无中断、安全运行，当出现网络攻击时，云平台需具备虚拟补丁能力，可以在主机操作系统不打补丁的情况下直接在网络层对指定虚拟机开启虚拟补丁防护。（</w:t>
            </w:r>
            <w:r>
              <w:rPr>
                <w:rFonts w:hint="eastAsia" w:hAnsi="宋体"/>
                <w:sz w:val="21"/>
                <w:szCs w:val="21"/>
              </w:rPr>
              <w:t>提供相关功能截图证明并加盖投标人公章</w:t>
            </w:r>
            <w:r>
              <w:rPr>
                <w:rFonts w:hint="eastAsia" w:ascii="宋体" w:hAnsi="宋体" w:cs="宋体"/>
                <w:szCs w:val="21"/>
              </w:rPr>
              <w:t>）</w:t>
            </w:r>
          </w:p>
        </w:tc>
      </w:tr>
      <w:tr w14:paraId="39379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2" w:type="dxa"/>
            <w:shd w:val="clear" w:color="auto" w:fill="auto"/>
            <w:vAlign w:val="center"/>
          </w:tcPr>
          <w:p w14:paraId="7134857F">
            <w:pPr>
              <w:widowControl/>
              <w:jc w:val="center"/>
              <w:textAlignment w:val="center"/>
              <w:rPr>
                <w:rFonts w:ascii="宋体" w:hAnsi="宋体" w:cs="宋体"/>
                <w:kern w:val="0"/>
                <w:szCs w:val="21"/>
                <w:lang w:bidi="ar"/>
              </w:rPr>
            </w:pPr>
            <w:r>
              <w:rPr>
                <w:rFonts w:hint="eastAsia" w:ascii="宋体" w:hAnsi="宋体" w:cs="宋体"/>
                <w:kern w:val="0"/>
                <w:szCs w:val="21"/>
                <w:lang w:bidi="ar"/>
              </w:rPr>
              <w:t>其他</w:t>
            </w:r>
          </w:p>
        </w:tc>
        <w:tc>
          <w:tcPr>
            <w:tcW w:w="8344" w:type="dxa"/>
            <w:gridSpan w:val="2"/>
            <w:shd w:val="clear" w:color="auto" w:fill="auto"/>
            <w:vAlign w:val="center"/>
          </w:tcPr>
          <w:p w14:paraId="5C813FE0">
            <w:pPr>
              <w:widowControl/>
              <w:jc w:val="left"/>
              <w:textAlignment w:val="center"/>
              <w:rPr>
                <w:rFonts w:ascii="宋体" w:hAnsi="宋体" w:cs="宋体"/>
                <w:kern w:val="0"/>
                <w:szCs w:val="21"/>
                <w:highlight w:val="none"/>
                <w:lang w:bidi="ar"/>
              </w:rPr>
            </w:pPr>
            <w:r>
              <w:rPr>
                <w:rFonts w:hint="eastAsia" w:ascii="宋体" w:cs="宋体"/>
                <w:b/>
                <w:bCs/>
                <w:kern w:val="0"/>
                <w:sz w:val="22"/>
                <w:szCs w:val="22"/>
                <w:highlight w:val="none"/>
                <w:u w:val="single"/>
              </w:rPr>
              <w:t>▲</w:t>
            </w:r>
            <w:r>
              <w:rPr>
                <w:rFonts w:hint="eastAsia" w:ascii="宋体" w:hAnsi="宋体" w:cs="宋体"/>
                <w:b/>
                <w:bCs/>
                <w:kern w:val="0"/>
                <w:szCs w:val="21"/>
                <w:highlight w:val="none"/>
                <w:u w:val="single"/>
                <w:lang w:bidi="ar"/>
              </w:rPr>
              <w:t>要求与公用集团原有的信创资源池超融合平台兼容。</w:t>
            </w:r>
            <w:r>
              <w:rPr>
                <w:rFonts w:hint="eastAsia" w:ascii="宋体" w:hAnsi="宋体" w:cs="宋体"/>
                <w:kern w:val="0"/>
                <w:szCs w:val="21"/>
                <w:highlight w:val="none"/>
                <w:lang w:bidi="ar"/>
              </w:rPr>
              <w:t>在兼容的过程中所产生的人工费用、开发费用以及第三方费用，均由中标人承担。</w:t>
            </w:r>
          </w:p>
        </w:tc>
      </w:tr>
    </w:tbl>
    <w:p w14:paraId="5B6ECD41">
      <w:pPr>
        <w:pStyle w:val="5"/>
        <w:spacing w:before="0" w:beforeLines="0" w:after="0" w:afterLines="0" w:line="240" w:lineRule="auto"/>
        <w:ind w:firstLine="0" w:firstLineChars="0"/>
        <w:rPr>
          <w:rFonts w:ascii="宋体" w:hAnsi="宋体" w:cs="宋体"/>
          <w:b/>
        </w:rPr>
      </w:pPr>
    </w:p>
    <w:p w14:paraId="1AD8F503">
      <w:pPr>
        <w:pStyle w:val="5"/>
        <w:spacing w:before="0" w:beforeLines="0" w:after="0" w:afterLines="0" w:line="240" w:lineRule="auto"/>
        <w:ind w:firstLine="0" w:firstLineChars="0"/>
        <w:rPr>
          <w:rFonts w:ascii="宋体" w:hAnsi="宋体" w:cs="宋体"/>
        </w:rPr>
      </w:pPr>
      <w:r>
        <w:rPr>
          <w:rFonts w:hint="eastAsia" w:ascii="宋体" w:hAnsi="宋体" w:cs="宋体"/>
          <w:b/>
        </w:rPr>
        <w:t>2、</w:t>
      </w:r>
      <w:r>
        <w:rPr>
          <w:rFonts w:hint="eastAsia" w:ascii="宋体" w:hAnsi="宋体" w:cs="宋体"/>
        </w:rPr>
        <w:t>软件资源</w:t>
      </w:r>
    </w:p>
    <w:p w14:paraId="25E55680">
      <w:pPr>
        <w:pStyle w:val="2"/>
        <w:ind w:firstLine="420" w:firstLineChars="200"/>
      </w:pPr>
      <w:r>
        <w:rPr>
          <w:rFonts w:hint="eastAsia"/>
        </w:rPr>
        <w:t>2</w:t>
      </w:r>
      <w:r>
        <w:t>.1</w:t>
      </w:r>
      <w:r>
        <w:rPr>
          <w:rFonts w:hint="eastAsia"/>
        </w:rPr>
        <w:t>国产操作系统授权</w:t>
      </w:r>
    </w:p>
    <w:tbl>
      <w:tblPr>
        <w:tblStyle w:val="50"/>
        <w:tblW w:w="9356"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7"/>
        <w:gridCol w:w="7689"/>
      </w:tblGrid>
      <w:tr w14:paraId="468C9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7" w:type="dxa"/>
            <w:vAlign w:val="center"/>
          </w:tcPr>
          <w:p w14:paraId="51033D82">
            <w:pPr>
              <w:pStyle w:val="108"/>
              <w:ind w:firstLine="46"/>
              <w:jc w:val="center"/>
              <w:rPr>
                <w:rFonts w:ascii="新宋体" w:hAnsi="新宋体" w:eastAsia="新宋体" w:cs="新宋体"/>
                <w:sz w:val="22"/>
                <w:szCs w:val="22"/>
              </w:rPr>
            </w:pPr>
            <w:r>
              <w:rPr>
                <w:rFonts w:hint="eastAsia" w:ascii="新宋体" w:hAnsi="新宋体" w:eastAsia="新宋体" w:cs="新宋体"/>
                <w:sz w:val="22"/>
                <w:szCs w:val="22"/>
              </w:rPr>
              <w:t>功能项</w:t>
            </w:r>
          </w:p>
        </w:tc>
        <w:tc>
          <w:tcPr>
            <w:tcW w:w="7689" w:type="dxa"/>
          </w:tcPr>
          <w:p w14:paraId="07188FC7">
            <w:pPr>
              <w:pStyle w:val="108"/>
              <w:ind w:firstLine="46"/>
              <w:jc w:val="center"/>
              <w:rPr>
                <w:rFonts w:ascii="新宋体" w:hAnsi="新宋体" w:eastAsia="新宋体" w:cs="新宋体"/>
                <w:sz w:val="22"/>
                <w:szCs w:val="22"/>
              </w:rPr>
            </w:pPr>
            <w:r>
              <w:rPr>
                <w:rFonts w:hint="eastAsia" w:ascii="新宋体" w:hAnsi="新宋体" w:eastAsia="新宋体" w:cs="新宋体"/>
                <w:sz w:val="22"/>
                <w:szCs w:val="22"/>
              </w:rPr>
              <w:t>功能项说明</w:t>
            </w:r>
          </w:p>
        </w:tc>
      </w:tr>
      <w:tr w14:paraId="4BAF9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7" w:type="dxa"/>
            <w:vAlign w:val="center"/>
          </w:tcPr>
          <w:p w14:paraId="17E29F7E">
            <w:pPr>
              <w:jc w:val="left"/>
              <w:rPr>
                <w:rFonts w:ascii="新宋体" w:hAnsi="新宋体" w:eastAsia="新宋体" w:cs="新宋体"/>
                <w:bCs/>
                <w:kern w:val="0"/>
                <w:sz w:val="22"/>
                <w:szCs w:val="22"/>
              </w:rPr>
            </w:pPr>
            <w:r>
              <w:rPr>
                <w:rFonts w:hint="eastAsia" w:ascii="新宋体" w:hAnsi="新宋体" w:eastAsia="新宋体" w:cs="新宋体"/>
                <w:sz w:val="22"/>
                <w:szCs w:val="22"/>
              </w:rPr>
              <w:t>基本要求</w:t>
            </w:r>
          </w:p>
        </w:tc>
        <w:tc>
          <w:tcPr>
            <w:tcW w:w="7689" w:type="dxa"/>
            <w:vAlign w:val="center"/>
          </w:tcPr>
          <w:p w14:paraId="0533ED89">
            <w:pPr>
              <w:rPr>
                <w:rFonts w:hint="default" w:ascii="新宋体" w:hAnsi="新宋体" w:eastAsia="新宋体" w:cs="新宋体"/>
                <w:bCs/>
                <w:kern w:val="0"/>
                <w:sz w:val="22"/>
                <w:szCs w:val="22"/>
                <w:lang w:val="en-US" w:eastAsia="zh-CN"/>
              </w:rPr>
            </w:pPr>
            <w:r>
              <w:rPr>
                <w:rFonts w:hint="eastAsia" w:ascii="新宋体" w:hAnsi="新宋体" w:eastAsia="新宋体" w:cs="新宋体"/>
                <w:sz w:val="22"/>
                <w:szCs w:val="22"/>
              </w:rPr>
              <w:t>操作系统通过中国信息安全测评中心安全可靠测评，符合当前国家信创工作政策，同时符合中国信息安全测评中心的安全可靠测评结果（2023年第1号）和安全可靠测评结果（2024年第1号），提供测评公告链接和截图证明</w:t>
            </w:r>
            <w:r>
              <w:rPr>
                <w:rFonts w:hint="eastAsia" w:ascii="新宋体" w:hAnsi="新宋体" w:eastAsia="新宋体" w:cs="新宋体"/>
                <w:sz w:val="22"/>
                <w:szCs w:val="22"/>
                <w:lang w:val="en-US" w:eastAsia="zh-CN"/>
              </w:rPr>
              <w:t>(</w:t>
            </w:r>
            <w:r>
              <w:rPr>
                <w:rFonts w:hint="eastAsia" w:hAnsi="宋体"/>
                <w:sz w:val="21"/>
                <w:szCs w:val="21"/>
              </w:rPr>
              <w:t>加盖投标人公章</w:t>
            </w:r>
            <w:r>
              <w:rPr>
                <w:rFonts w:hint="eastAsia" w:ascii="新宋体" w:hAnsi="新宋体" w:eastAsia="新宋体" w:cs="新宋体"/>
                <w:sz w:val="22"/>
                <w:szCs w:val="22"/>
                <w:lang w:val="en-US" w:eastAsia="zh-CN"/>
              </w:rPr>
              <w:t>)</w:t>
            </w:r>
          </w:p>
        </w:tc>
      </w:tr>
      <w:tr w14:paraId="6124B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7" w:type="dxa"/>
            <w:vAlign w:val="center"/>
          </w:tcPr>
          <w:p w14:paraId="29B2A704">
            <w:pPr>
              <w:jc w:val="left"/>
              <w:rPr>
                <w:rFonts w:ascii="新宋体" w:hAnsi="新宋体" w:eastAsia="新宋体" w:cs="新宋体"/>
                <w:bCs/>
                <w:kern w:val="0"/>
                <w:sz w:val="22"/>
                <w:szCs w:val="22"/>
              </w:rPr>
            </w:pPr>
            <w:r>
              <w:rPr>
                <w:rFonts w:hint="eastAsia" w:ascii="新宋体" w:hAnsi="新宋体" w:eastAsia="新宋体" w:cs="新宋体"/>
                <w:bCs/>
                <w:kern w:val="0"/>
                <w:sz w:val="22"/>
                <w:szCs w:val="22"/>
              </w:rPr>
              <w:t>等保要求</w:t>
            </w:r>
          </w:p>
        </w:tc>
        <w:tc>
          <w:tcPr>
            <w:tcW w:w="7689" w:type="dxa"/>
          </w:tcPr>
          <w:p w14:paraId="0016360E">
            <w:pPr>
              <w:rPr>
                <w:rFonts w:ascii="新宋体" w:hAnsi="新宋体" w:eastAsia="新宋体" w:cs="新宋体"/>
                <w:sz w:val="22"/>
                <w:szCs w:val="22"/>
              </w:rPr>
            </w:pPr>
            <w:r>
              <w:rPr>
                <w:rFonts w:hint="eastAsia" w:ascii="新宋体" w:hAnsi="新宋体" w:eastAsia="新宋体" w:cs="新宋体"/>
                <w:sz w:val="22"/>
                <w:szCs w:val="22"/>
              </w:rPr>
              <w:t>操作系统产品符合GB/T 20272-2019《信息安全技术 操作系统安全技术要求》第四级测评要求，提供检验检测报告证明</w:t>
            </w:r>
          </w:p>
        </w:tc>
      </w:tr>
      <w:tr w14:paraId="4B164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7" w:type="dxa"/>
          </w:tcPr>
          <w:p w14:paraId="7217DC7A">
            <w:pPr>
              <w:jc w:val="left"/>
              <w:rPr>
                <w:rFonts w:ascii="新宋体" w:hAnsi="新宋体" w:eastAsia="新宋体" w:cs="新宋体"/>
                <w:sz w:val="22"/>
                <w:szCs w:val="22"/>
              </w:rPr>
            </w:pPr>
            <w:r>
              <w:rPr>
                <w:rFonts w:hint="eastAsia" w:ascii="新宋体" w:hAnsi="新宋体" w:eastAsia="新宋体" w:cs="新宋体"/>
                <w:sz w:val="22"/>
                <w:szCs w:val="22"/>
              </w:rPr>
              <w:t>支持多CPU架构要求</w:t>
            </w:r>
          </w:p>
        </w:tc>
        <w:tc>
          <w:tcPr>
            <w:tcW w:w="7689" w:type="dxa"/>
          </w:tcPr>
          <w:p w14:paraId="4642F9CF">
            <w:pPr>
              <w:rPr>
                <w:rFonts w:ascii="新宋体" w:hAnsi="新宋体" w:eastAsia="新宋体" w:cs="新宋体"/>
                <w:sz w:val="22"/>
                <w:szCs w:val="22"/>
              </w:rPr>
            </w:pPr>
            <w:r>
              <w:rPr>
                <w:rFonts w:hint="eastAsia" w:ascii="新宋体" w:hAnsi="新宋体" w:eastAsia="新宋体" w:cs="新宋体"/>
                <w:sz w:val="22"/>
                <w:szCs w:val="22"/>
              </w:rPr>
              <w:t>操作系统支持x86、ARM、LoongArch、SW64架构的CPU，提供操作系统支持飞腾、鲲鹏、兆芯、海光、龙芯、申威等主流CPU平台软著证明</w:t>
            </w:r>
          </w:p>
        </w:tc>
      </w:tr>
      <w:tr w14:paraId="3C42B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7" w:type="dxa"/>
          </w:tcPr>
          <w:p w14:paraId="221678CF">
            <w:pPr>
              <w:jc w:val="left"/>
              <w:rPr>
                <w:rFonts w:ascii="新宋体" w:hAnsi="新宋体" w:eastAsia="新宋体" w:cs="新宋体"/>
                <w:sz w:val="22"/>
                <w:szCs w:val="22"/>
              </w:rPr>
            </w:pPr>
            <w:r>
              <w:rPr>
                <w:rFonts w:hint="eastAsia" w:ascii="新宋体" w:hAnsi="新宋体" w:eastAsia="新宋体" w:cs="新宋体"/>
                <w:sz w:val="22"/>
                <w:szCs w:val="22"/>
              </w:rPr>
              <w:t>基本功能</w:t>
            </w:r>
          </w:p>
        </w:tc>
        <w:tc>
          <w:tcPr>
            <w:tcW w:w="7689" w:type="dxa"/>
          </w:tcPr>
          <w:p w14:paraId="4D1D77C5">
            <w:pPr>
              <w:rPr>
                <w:rFonts w:ascii="新宋体" w:hAnsi="新宋体" w:eastAsia="新宋体" w:cs="新宋体"/>
                <w:sz w:val="22"/>
                <w:szCs w:val="22"/>
              </w:rPr>
            </w:pPr>
            <w:r>
              <w:rPr>
                <w:rFonts w:hint="eastAsia" w:ascii="新宋体" w:hAnsi="新宋体" w:eastAsia="新宋体" w:cs="新宋体"/>
                <w:sz w:val="22"/>
                <w:szCs w:val="22"/>
              </w:rPr>
              <w:t>操作系统支持Linux kernel 4.19 及以上，具备文件管理系统、日志管理、网络管理、集成开发环境，提供QT、GCC、GBD、Python、Openjdk等集成开发平台，提供丰富的开发工具，支持Java, C, C++, Python, Perl, Shell, Ruby, PHP等编程语言，提供一个完整的开发环境</w:t>
            </w:r>
          </w:p>
        </w:tc>
      </w:tr>
      <w:tr w14:paraId="5FA7E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7" w:type="dxa"/>
          </w:tcPr>
          <w:p w14:paraId="5357E18E">
            <w:pPr>
              <w:jc w:val="left"/>
              <w:rPr>
                <w:rFonts w:ascii="新宋体" w:hAnsi="新宋体" w:eastAsia="新宋体" w:cs="新宋体"/>
                <w:sz w:val="22"/>
                <w:szCs w:val="22"/>
              </w:rPr>
            </w:pPr>
            <w:r>
              <w:rPr>
                <w:rFonts w:hint="eastAsia" w:ascii="新宋体" w:hAnsi="新宋体" w:eastAsia="新宋体" w:cs="新宋体"/>
                <w:sz w:val="22"/>
                <w:szCs w:val="22"/>
              </w:rPr>
              <w:t>安全要求</w:t>
            </w:r>
          </w:p>
        </w:tc>
        <w:tc>
          <w:tcPr>
            <w:tcW w:w="7689" w:type="dxa"/>
          </w:tcPr>
          <w:p w14:paraId="44717DEA">
            <w:pPr>
              <w:pStyle w:val="59"/>
              <w:spacing w:before="120" w:after="120"/>
              <w:rPr>
                <w:rFonts w:ascii="新宋体" w:hAnsi="新宋体" w:eastAsia="新宋体" w:cs="新宋体"/>
                <w:sz w:val="22"/>
                <w:szCs w:val="22"/>
              </w:rPr>
            </w:pPr>
            <w:r>
              <w:rPr>
                <w:rFonts w:hint="eastAsia" w:ascii="新宋体" w:hAnsi="新宋体" w:eastAsia="新宋体" w:cs="新宋体"/>
                <w:sz w:val="22"/>
                <w:szCs w:val="22"/>
              </w:rPr>
              <w:t>★操作系统具备主机安全加固功能，实现USB设备监控、危险指令监控、ssh路径追踪与阻断等功能，需提供软件著作权</w:t>
            </w:r>
          </w:p>
        </w:tc>
      </w:tr>
      <w:tr w14:paraId="3FF94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7" w:type="dxa"/>
          </w:tcPr>
          <w:p w14:paraId="5F87375C">
            <w:pPr>
              <w:jc w:val="left"/>
              <w:rPr>
                <w:rFonts w:ascii="新宋体" w:hAnsi="新宋体" w:eastAsia="新宋体" w:cs="新宋体"/>
                <w:sz w:val="22"/>
                <w:szCs w:val="22"/>
              </w:rPr>
            </w:pPr>
            <w:r>
              <w:rPr>
                <w:rFonts w:hint="eastAsia" w:ascii="新宋体" w:hAnsi="新宋体" w:eastAsia="新宋体" w:cs="新宋体"/>
                <w:sz w:val="22"/>
                <w:szCs w:val="22"/>
              </w:rPr>
              <w:t>安全要求</w:t>
            </w:r>
          </w:p>
        </w:tc>
        <w:tc>
          <w:tcPr>
            <w:tcW w:w="7689" w:type="dxa"/>
          </w:tcPr>
          <w:p w14:paraId="28703366">
            <w:pPr>
              <w:pStyle w:val="108"/>
              <w:ind w:firstLine="46"/>
              <w:jc w:val="both"/>
              <w:rPr>
                <w:rFonts w:ascii="新宋体" w:hAnsi="新宋体" w:eastAsia="新宋体" w:cs="新宋体"/>
                <w:kern w:val="2"/>
                <w:sz w:val="22"/>
                <w:szCs w:val="22"/>
              </w:rPr>
            </w:pPr>
            <w:r>
              <w:rPr>
                <w:rFonts w:hint="eastAsia" w:ascii="新宋体" w:hAnsi="新宋体" w:eastAsia="新宋体" w:cs="新宋体"/>
                <w:kern w:val="2"/>
                <w:sz w:val="22"/>
                <w:szCs w:val="22"/>
              </w:rPr>
              <w:t>★操作系统支持指令流安全预检测功能，通过实时监控内存指令执行序列，发现未知漏洞利用攻击，保障系统安全运行，</w:t>
            </w:r>
            <w:r>
              <w:rPr>
                <w:rFonts w:hint="eastAsia" w:hAnsi="宋体"/>
                <w:sz w:val="21"/>
                <w:szCs w:val="21"/>
              </w:rPr>
              <w:t>提供相关功能截图证明并加盖投标人公章</w:t>
            </w:r>
          </w:p>
        </w:tc>
      </w:tr>
      <w:tr w14:paraId="6E296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7" w:type="dxa"/>
          </w:tcPr>
          <w:p w14:paraId="4695D8EF">
            <w:pPr>
              <w:jc w:val="left"/>
              <w:rPr>
                <w:rFonts w:ascii="新宋体" w:hAnsi="新宋体" w:eastAsia="新宋体" w:cs="新宋体"/>
                <w:sz w:val="22"/>
                <w:szCs w:val="22"/>
              </w:rPr>
            </w:pPr>
            <w:r>
              <w:rPr>
                <w:rFonts w:hint="eastAsia" w:ascii="新宋体" w:hAnsi="新宋体" w:eastAsia="新宋体" w:cs="新宋体"/>
                <w:sz w:val="22"/>
                <w:szCs w:val="22"/>
              </w:rPr>
              <w:t>安全要求</w:t>
            </w:r>
          </w:p>
        </w:tc>
        <w:tc>
          <w:tcPr>
            <w:tcW w:w="7689" w:type="dxa"/>
          </w:tcPr>
          <w:p w14:paraId="2FF6BAFD">
            <w:pPr>
              <w:rPr>
                <w:rFonts w:ascii="新宋体" w:hAnsi="新宋体" w:eastAsia="新宋体" w:cs="新宋体"/>
                <w:sz w:val="22"/>
                <w:szCs w:val="22"/>
              </w:rPr>
            </w:pPr>
            <w:r>
              <w:rPr>
                <w:rFonts w:hint="eastAsia" w:ascii="新宋体" w:hAnsi="新宋体" w:eastAsia="新宋体" w:cs="新宋体"/>
                <w:sz w:val="22"/>
                <w:szCs w:val="22"/>
              </w:rPr>
              <w:t>★所投操作系统产品的安全授权管理工具、安全白名单共享库、系统安全配置修改工具、安全模块等组件功能开源率为0%需提供中国软件评测中心授权的软件产品源代码溯源扫描评估报告。</w:t>
            </w:r>
          </w:p>
        </w:tc>
      </w:tr>
      <w:tr w14:paraId="029D2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7" w:type="dxa"/>
          </w:tcPr>
          <w:p w14:paraId="4C0FDE20">
            <w:pPr>
              <w:jc w:val="left"/>
              <w:rPr>
                <w:rFonts w:ascii="新宋体" w:hAnsi="新宋体" w:eastAsia="新宋体" w:cs="新宋体"/>
                <w:sz w:val="22"/>
                <w:szCs w:val="22"/>
              </w:rPr>
            </w:pPr>
            <w:r>
              <w:rPr>
                <w:rFonts w:hint="eastAsia" w:ascii="新宋体" w:hAnsi="新宋体" w:eastAsia="新宋体" w:cs="新宋体"/>
                <w:sz w:val="22"/>
                <w:szCs w:val="22"/>
              </w:rPr>
              <w:t>安全要求</w:t>
            </w:r>
          </w:p>
        </w:tc>
        <w:tc>
          <w:tcPr>
            <w:tcW w:w="7689" w:type="dxa"/>
          </w:tcPr>
          <w:p w14:paraId="1BA81B64">
            <w:pPr>
              <w:pStyle w:val="108"/>
              <w:ind w:firstLine="46"/>
              <w:jc w:val="both"/>
              <w:rPr>
                <w:rFonts w:ascii="新宋体" w:hAnsi="新宋体" w:eastAsia="新宋体" w:cs="新宋体"/>
                <w:kern w:val="2"/>
                <w:sz w:val="22"/>
                <w:szCs w:val="22"/>
              </w:rPr>
            </w:pPr>
            <w:r>
              <w:rPr>
                <w:rFonts w:hint="eastAsia" w:ascii="新宋体" w:hAnsi="新宋体" w:eastAsia="新宋体" w:cs="新宋体"/>
                <w:kern w:val="2"/>
                <w:sz w:val="22"/>
                <w:szCs w:val="22"/>
              </w:rPr>
              <w:t>★操作系统支持统一访问控制安全框架，提供应用程序执行控制功能，支持命令或图形化界面设置未认证应用的执行策略，阻止执行未认证的可执行程序、共享库、可执行脚本和内核模块文件，</w:t>
            </w:r>
            <w:r>
              <w:rPr>
                <w:rFonts w:hint="eastAsia" w:hAnsi="宋体"/>
                <w:sz w:val="21"/>
                <w:szCs w:val="21"/>
              </w:rPr>
              <w:t>提供相关功能截图证明并加盖投标人公章</w:t>
            </w:r>
          </w:p>
        </w:tc>
      </w:tr>
      <w:tr w14:paraId="41077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7" w:type="dxa"/>
          </w:tcPr>
          <w:p w14:paraId="50A2F472">
            <w:pPr>
              <w:jc w:val="left"/>
              <w:rPr>
                <w:rFonts w:ascii="新宋体" w:hAnsi="新宋体" w:eastAsia="新宋体" w:cs="新宋体"/>
                <w:sz w:val="22"/>
                <w:szCs w:val="22"/>
              </w:rPr>
            </w:pPr>
            <w:r>
              <w:rPr>
                <w:rFonts w:hint="eastAsia" w:ascii="新宋体" w:hAnsi="新宋体" w:eastAsia="新宋体" w:cs="新宋体"/>
                <w:sz w:val="22"/>
                <w:szCs w:val="22"/>
              </w:rPr>
              <w:t>高安全性</w:t>
            </w:r>
          </w:p>
        </w:tc>
        <w:tc>
          <w:tcPr>
            <w:tcW w:w="7689" w:type="dxa"/>
          </w:tcPr>
          <w:p w14:paraId="470F7DC6">
            <w:pPr>
              <w:pStyle w:val="108"/>
              <w:ind w:firstLine="46"/>
              <w:jc w:val="both"/>
              <w:rPr>
                <w:rFonts w:ascii="新宋体" w:hAnsi="新宋体" w:eastAsia="新宋体" w:cs="新宋体"/>
                <w:kern w:val="2"/>
                <w:sz w:val="22"/>
                <w:szCs w:val="22"/>
              </w:rPr>
            </w:pPr>
            <w:r>
              <w:rPr>
                <w:rFonts w:hint="eastAsia" w:ascii="新宋体" w:hAnsi="新宋体" w:eastAsia="新宋体" w:cs="新宋体"/>
                <w:kern w:val="2"/>
                <w:sz w:val="22"/>
                <w:szCs w:val="22"/>
              </w:rPr>
              <w:t>★操作系统提供同品牌自研的可信增强系统软件，包含可信验证、可信管理平台功能，支持可信启动、静态度量、动态度量、可信审计、业务管理、策略管理、系统管理、安全管理、审计管理等功能，提供产品软著证明</w:t>
            </w:r>
          </w:p>
        </w:tc>
      </w:tr>
      <w:tr w14:paraId="41381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7" w:type="dxa"/>
          </w:tcPr>
          <w:p w14:paraId="0BFC634A">
            <w:pPr>
              <w:jc w:val="left"/>
              <w:rPr>
                <w:rFonts w:ascii="新宋体" w:hAnsi="新宋体" w:eastAsia="新宋体" w:cs="新宋体"/>
                <w:sz w:val="22"/>
                <w:szCs w:val="22"/>
              </w:rPr>
            </w:pPr>
            <w:r>
              <w:rPr>
                <w:rFonts w:hint="eastAsia" w:ascii="新宋体" w:hAnsi="新宋体" w:eastAsia="新宋体" w:cs="新宋体"/>
                <w:sz w:val="22"/>
                <w:szCs w:val="22"/>
              </w:rPr>
              <w:t>备份还原</w:t>
            </w:r>
          </w:p>
        </w:tc>
        <w:tc>
          <w:tcPr>
            <w:tcW w:w="7689" w:type="dxa"/>
          </w:tcPr>
          <w:p w14:paraId="77AF3FFB">
            <w:pPr>
              <w:pStyle w:val="108"/>
              <w:ind w:firstLine="46"/>
              <w:jc w:val="both"/>
              <w:rPr>
                <w:rFonts w:ascii="新宋体" w:hAnsi="新宋体" w:eastAsia="新宋体" w:cs="新宋体"/>
                <w:kern w:val="2"/>
                <w:sz w:val="22"/>
                <w:szCs w:val="22"/>
              </w:rPr>
            </w:pPr>
            <w:r>
              <w:rPr>
                <w:rFonts w:hint="eastAsia" w:ascii="新宋体" w:hAnsi="新宋体" w:eastAsia="新宋体" w:cs="新宋体"/>
                <w:kern w:val="2"/>
                <w:sz w:val="22"/>
                <w:szCs w:val="22"/>
              </w:rPr>
              <w:t>★操作系统提供自研图形化备份还原工具，提供高级系统备份、全盘系统还原、高级系统还原、数据备份、数据还原、操作日志等功能模块，提供功能截图证明</w:t>
            </w:r>
            <w:r>
              <w:rPr>
                <w:rFonts w:hint="eastAsia" w:ascii="新宋体" w:hAnsi="新宋体" w:eastAsia="新宋体" w:cs="新宋体"/>
                <w:kern w:val="2"/>
                <w:sz w:val="22"/>
                <w:szCs w:val="22"/>
                <w:lang w:val="en-US" w:eastAsia="zh-CN"/>
              </w:rPr>
              <w:t>(</w:t>
            </w:r>
            <w:r>
              <w:rPr>
                <w:rFonts w:hint="eastAsia" w:hAnsi="宋体"/>
                <w:sz w:val="21"/>
                <w:szCs w:val="21"/>
              </w:rPr>
              <w:t>加盖投标人公章</w:t>
            </w:r>
            <w:r>
              <w:rPr>
                <w:rFonts w:hint="eastAsia" w:ascii="新宋体" w:hAnsi="新宋体" w:eastAsia="新宋体" w:cs="新宋体"/>
                <w:kern w:val="2"/>
                <w:sz w:val="22"/>
                <w:szCs w:val="22"/>
                <w:lang w:val="en-US" w:eastAsia="zh-CN"/>
              </w:rPr>
              <w:t>)</w:t>
            </w:r>
            <w:r>
              <w:rPr>
                <w:rFonts w:hint="eastAsia" w:ascii="新宋体" w:hAnsi="新宋体" w:eastAsia="新宋体" w:cs="新宋体"/>
                <w:kern w:val="2"/>
                <w:sz w:val="22"/>
                <w:szCs w:val="22"/>
              </w:rPr>
              <w:t>以及产品软著</w:t>
            </w:r>
          </w:p>
        </w:tc>
      </w:tr>
      <w:tr w14:paraId="7596C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7" w:type="dxa"/>
          </w:tcPr>
          <w:p w14:paraId="3E8F3B4C">
            <w:pPr>
              <w:jc w:val="left"/>
              <w:rPr>
                <w:rFonts w:ascii="新宋体" w:hAnsi="新宋体" w:eastAsia="新宋体" w:cs="新宋体"/>
                <w:sz w:val="22"/>
                <w:szCs w:val="22"/>
              </w:rPr>
            </w:pPr>
            <w:r>
              <w:rPr>
                <w:rFonts w:hint="eastAsia" w:ascii="新宋体" w:hAnsi="新宋体" w:eastAsia="新宋体" w:cs="新宋体"/>
                <w:sz w:val="22"/>
                <w:szCs w:val="22"/>
              </w:rPr>
              <w:t>质保服务</w:t>
            </w:r>
          </w:p>
        </w:tc>
        <w:tc>
          <w:tcPr>
            <w:tcW w:w="7689" w:type="dxa"/>
          </w:tcPr>
          <w:p w14:paraId="0EF39337">
            <w:pPr>
              <w:pStyle w:val="108"/>
              <w:ind w:firstLine="46"/>
              <w:jc w:val="both"/>
              <w:rPr>
                <w:rFonts w:ascii="新宋体" w:hAnsi="新宋体" w:eastAsia="新宋体" w:cs="新宋体"/>
                <w:kern w:val="2"/>
                <w:sz w:val="22"/>
                <w:szCs w:val="22"/>
              </w:rPr>
            </w:pPr>
            <w:r>
              <w:rPr>
                <w:rFonts w:hint="eastAsia" w:ascii="新宋体" w:hAnsi="新宋体" w:eastAsia="新宋体" w:cs="新宋体"/>
                <w:kern w:val="2"/>
                <w:sz w:val="22"/>
                <w:szCs w:val="22"/>
              </w:rPr>
              <w:t>提供原厂质保服务，要求所投操作系统的产品制造商出具针对本项目的原厂授权书和原厂售后服务承诺书；采购后需提供所投操作系统的产品制造商针对本项目最终用户的合法产品授权证书及软件许可</w:t>
            </w:r>
          </w:p>
        </w:tc>
      </w:tr>
      <w:tr w14:paraId="696E9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7" w:type="dxa"/>
          </w:tcPr>
          <w:p w14:paraId="59E3D115">
            <w:pPr>
              <w:jc w:val="left"/>
              <w:rPr>
                <w:rFonts w:ascii="新宋体" w:hAnsi="新宋体" w:eastAsia="新宋体" w:cs="新宋体"/>
                <w:sz w:val="22"/>
                <w:szCs w:val="22"/>
              </w:rPr>
            </w:pPr>
            <w:r>
              <w:rPr>
                <w:rFonts w:hint="eastAsia" w:ascii="新宋体" w:hAnsi="新宋体" w:eastAsia="新宋体" w:cs="新宋体"/>
                <w:sz w:val="22"/>
                <w:szCs w:val="22"/>
              </w:rPr>
              <w:t>功能要求</w:t>
            </w:r>
          </w:p>
        </w:tc>
        <w:tc>
          <w:tcPr>
            <w:tcW w:w="7689" w:type="dxa"/>
          </w:tcPr>
          <w:p w14:paraId="695E48AB">
            <w:pPr>
              <w:pStyle w:val="108"/>
              <w:ind w:firstLine="46"/>
              <w:jc w:val="both"/>
              <w:rPr>
                <w:rFonts w:ascii="新宋体" w:hAnsi="新宋体" w:eastAsia="新宋体" w:cs="新宋体"/>
                <w:kern w:val="2"/>
                <w:sz w:val="22"/>
                <w:szCs w:val="22"/>
              </w:rPr>
            </w:pPr>
            <w:r>
              <w:rPr>
                <w:rFonts w:hint="eastAsia" w:ascii="新宋体" w:hAnsi="新宋体" w:eastAsia="新宋体" w:cs="新宋体"/>
                <w:kern w:val="2"/>
                <w:sz w:val="22"/>
                <w:szCs w:val="22"/>
              </w:rPr>
              <w:t>支持登录界面查看明文密码，方便用户检查输入密码是否正确，</w:t>
            </w:r>
            <w:r>
              <w:rPr>
                <w:rFonts w:hint="eastAsia" w:hAnsi="宋体"/>
                <w:sz w:val="21"/>
                <w:szCs w:val="21"/>
              </w:rPr>
              <w:t>提供相关功能截图证明并加盖投标人公章</w:t>
            </w:r>
          </w:p>
        </w:tc>
      </w:tr>
    </w:tbl>
    <w:p w14:paraId="173DD799">
      <w:pPr>
        <w:pStyle w:val="3"/>
        <w:ind w:firstLine="543" w:firstLineChars="247"/>
        <w:rPr>
          <w:rFonts w:ascii="新宋体" w:hAnsi="新宋体" w:eastAsia="新宋体" w:cs="新宋体"/>
          <w:sz w:val="22"/>
          <w:szCs w:val="22"/>
        </w:rPr>
      </w:pPr>
      <w:r>
        <w:rPr>
          <w:rFonts w:hint="eastAsia" w:ascii="新宋体" w:hAnsi="新宋体" w:eastAsia="新宋体" w:cs="新宋体"/>
          <w:sz w:val="22"/>
          <w:szCs w:val="22"/>
        </w:rPr>
        <w:t>2</w:t>
      </w:r>
      <w:r>
        <w:rPr>
          <w:rFonts w:ascii="新宋体" w:hAnsi="新宋体" w:eastAsia="新宋体" w:cs="新宋体"/>
          <w:sz w:val="22"/>
          <w:szCs w:val="22"/>
        </w:rPr>
        <w:t>.2</w:t>
      </w:r>
      <w:r>
        <w:rPr>
          <w:rFonts w:hint="eastAsia" w:ascii="新宋体" w:hAnsi="新宋体" w:eastAsia="新宋体" w:cs="新宋体"/>
          <w:sz w:val="22"/>
          <w:szCs w:val="22"/>
        </w:rPr>
        <w:t>国产中间件授权</w:t>
      </w:r>
    </w:p>
    <w:tbl>
      <w:tblPr>
        <w:tblStyle w:val="51"/>
        <w:tblW w:w="9356"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7"/>
        <w:gridCol w:w="7759"/>
      </w:tblGrid>
      <w:tr w14:paraId="1648F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1597" w:type="dxa"/>
          </w:tcPr>
          <w:p w14:paraId="31EE1707">
            <w:pPr>
              <w:widowControl/>
              <w:jc w:val="center"/>
              <w:rPr>
                <w:rFonts w:ascii="新宋体" w:hAnsi="新宋体" w:eastAsia="新宋体" w:cs="新宋体"/>
                <w:b/>
                <w:bCs/>
                <w:kern w:val="0"/>
                <w:sz w:val="22"/>
                <w:szCs w:val="22"/>
              </w:rPr>
            </w:pPr>
            <w:r>
              <w:rPr>
                <w:rFonts w:hint="eastAsia" w:ascii="新宋体" w:hAnsi="新宋体" w:eastAsia="新宋体" w:cs="新宋体"/>
                <w:b/>
                <w:bCs/>
                <w:kern w:val="0"/>
                <w:sz w:val="22"/>
                <w:szCs w:val="22"/>
              </w:rPr>
              <w:t>功能项</w:t>
            </w:r>
          </w:p>
        </w:tc>
        <w:tc>
          <w:tcPr>
            <w:tcW w:w="7759" w:type="dxa"/>
          </w:tcPr>
          <w:p w14:paraId="762CD6D8">
            <w:pPr>
              <w:widowControl/>
              <w:jc w:val="center"/>
              <w:rPr>
                <w:rFonts w:ascii="新宋体" w:hAnsi="新宋体" w:eastAsia="新宋体" w:cs="新宋体"/>
                <w:b/>
                <w:bCs/>
                <w:kern w:val="0"/>
                <w:sz w:val="22"/>
                <w:szCs w:val="22"/>
              </w:rPr>
            </w:pPr>
            <w:r>
              <w:rPr>
                <w:rFonts w:hint="eastAsia" w:ascii="新宋体" w:hAnsi="新宋体" w:eastAsia="新宋体" w:cs="新宋体"/>
                <w:b/>
                <w:bCs/>
                <w:kern w:val="0"/>
                <w:sz w:val="22"/>
                <w:szCs w:val="22"/>
              </w:rPr>
              <w:t>功能项说明</w:t>
            </w:r>
          </w:p>
        </w:tc>
      </w:tr>
      <w:tr w14:paraId="15488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1597" w:type="dxa"/>
            <w:vMerge w:val="restart"/>
          </w:tcPr>
          <w:p w14:paraId="5FFA5BE3">
            <w:pPr>
              <w:widowControl/>
              <w:jc w:val="center"/>
              <w:rPr>
                <w:rFonts w:ascii="新宋体" w:hAnsi="新宋体" w:eastAsia="新宋体" w:cs="新宋体"/>
                <w:kern w:val="0"/>
                <w:sz w:val="22"/>
                <w:szCs w:val="22"/>
              </w:rPr>
            </w:pPr>
            <w:r>
              <w:rPr>
                <w:rFonts w:hint="eastAsia" w:ascii="新宋体" w:hAnsi="新宋体" w:eastAsia="新宋体" w:cs="新宋体"/>
                <w:kern w:val="0"/>
                <w:sz w:val="22"/>
                <w:szCs w:val="22"/>
              </w:rPr>
              <w:t>总体要求</w:t>
            </w:r>
          </w:p>
        </w:tc>
        <w:tc>
          <w:tcPr>
            <w:tcW w:w="7759" w:type="dxa"/>
          </w:tcPr>
          <w:p w14:paraId="35EFC7B8">
            <w:pPr>
              <w:rPr>
                <w:rFonts w:ascii="新宋体" w:hAnsi="新宋体" w:eastAsia="新宋体" w:cs="新宋体"/>
                <w:kern w:val="0"/>
                <w:sz w:val="22"/>
                <w:szCs w:val="22"/>
              </w:rPr>
            </w:pPr>
            <w:r>
              <w:rPr>
                <w:rFonts w:hint="eastAsia" w:ascii="新宋体" w:hAnsi="新宋体" w:eastAsia="新宋体" w:cs="新宋体"/>
                <w:kern w:val="0"/>
                <w:sz w:val="22"/>
                <w:szCs w:val="22"/>
              </w:rPr>
              <w:t>★通过 Java EE5.0、Java EE6.0认证、Java EE7.0认证，并获得Java EE平台授权许可。（提供证明材料）</w:t>
            </w:r>
          </w:p>
        </w:tc>
      </w:tr>
      <w:tr w14:paraId="51369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1597" w:type="dxa"/>
            <w:vMerge w:val="continue"/>
          </w:tcPr>
          <w:p w14:paraId="6C887E18">
            <w:pPr>
              <w:widowControl/>
              <w:jc w:val="left"/>
              <w:rPr>
                <w:rFonts w:ascii="新宋体" w:hAnsi="新宋体" w:eastAsia="新宋体" w:cs="新宋体"/>
                <w:kern w:val="0"/>
                <w:sz w:val="22"/>
                <w:szCs w:val="22"/>
              </w:rPr>
            </w:pPr>
          </w:p>
        </w:tc>
        <w:tc>
          <w:tcPr>
            <w:tcW w:w="7759" w:type="dxa"/>
          </w:tcPr>
          <w:p w14:paraId="268C22B2">
            <w:pPr>
              <w:widowControl/>
              <w:rPr>
                <w:rFonts w:ascii="新宋体" w:hAnsi="新宋体" w:eastAsia="新宋体" w:cs="新宋体"/>
                <w:kern w:val="0"/>
                <w:sz w:val="22"/>
                <w:szCs w:val="22"/>
              </w:rPr>
            </w:pPr>
            <w:r>
              <w:rPr>
                <w:rFonts w:hint="eastAsia" w:ascii="新宋体" w:hAnsi="新宋体" w:eastAsia="新宋体" w:cs="新宋体"/>
                <w:kern w:val="0"/>
                <w:sz w:val="22"/>
                <w:szCs w:val="22"/>
              </w:rPr>
              <w:t>为响应国家IPv6战略规划要求，产品必须支持IPv6。</w:t>
            </w:r>
          </w:p>
        </w:tc>
      </w:tr>
      <w:tr w14:paraId="4E9BF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1597" w:type="dxa"/>
            <w:vMerge w:val="continue"/>
          </w:tcPr>
          <w:p w14:paraId="24C7EA14">
            <w:pPr>
              <w:widowControl/>
              <w:jc w:val="left"/>
              <w:rPr>
                <w:rFonts w:ascii="新宋体" w:hAnsi="新宋体" w:eastAsia="新宋体" w:cs="新宋体"/>
                <w:kern w:val="0"/>
                <w:sz w:val="22"/>
                <w:szCs w:val="22"/>
              </w:rPr>
            </w:pPr>
          </w:p>
        </w:tc>
        <w:tc>
          <w:tcPr>
            <w:tcW w:w="7759" w:type="dxa"/>
          </w:tcPr>
          <w:p w14:paraId="486ABDDC">
            <w:pPr>
              <w:widowControl/>
              <w:rPr>
                <w:rFonts w:ascii="新宋体" w:hAnsi="新宋体" w:eastAsia="新宋体" w:cs="新宋体"/>
                <w:kern w:val="0"/>
                <w:sz w:val="22"/>
                <w:szCs w:val="22"/>
              </w:rPr>
            </w:pPr>
            <w:r>
              <w:rPr>
                <w:rFonts w:hint="eastAsia" w:ascii="新宋体" w:hAnsi="新宋体" w:eastAsia="新宋体" w:cs="新宋体"/>
                <w:sz w:val="22"/>
                <w:szCs w:val="22"/>
              </w:rPr>
              <w:t>★</w:t>
            </w:r>
            <w:r>
              <w:rPr>
                <w:rFonts w:hint="eastAsia" w:ascii="新宋体" w:hAnsi="新宋体" w:eastAsia="新宋体" w:cs="新宋体"/>
                <w:kern w:val="0"/>
                <w:sz w:val="22"/>
                <w:szCs w:val="22"/>
              </w:rPr>
              <w:t>提供内置的JMS服务，支持第三方消息中间件作为消息服务代理。</w:t>
            </w:r>
          </w:p>
        </w:tc>
      </w:tr>
      <w:tr w14:paraId="6DCA3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1597" w:type="dxa"/>
            <w:vMerge w:val="restart"/>
          </w:tcPr>
          <w:p w14:paraId="4928617C">
            <w:pPr>
              <w:widowControl/>
              <w:jc w:val="center"/>
              <w:rPr>
                <w:rFonts w:ascii="新宋体" w:hAnsi="新宋体" w:eastAsia="新宋体" w:cs="新宋体"/>
                <w:kern w:val="0"/>
                <w:sz w:val="22"/>
                <w:szCs w:val="22"/>
              </w:rPr>
            </w:pPr>
            <w:r>
              <w:rPr>
                <w:rFonts w:hint="eastAsia" w:ascii="新宋体" w:hAnsi="新宋体" w:eastAsia="新宋体" w:cs="新宋体"/>
                <w:kern w:val="0"/>
                <w:sz w:val="22"/>
                <w:szCs w:val="22"/>
              </w:rPr>
              <w:t>高可用要求</w:t>
            </w:r>
          </w:p>
        </w:tc>
        <w:tc>
          <w:tcPr>
            <w:tcW w:w="7759" w:type="dxa"/>
          </w:tcPr>
          <w:p w14:paraId="12572E85">
            <w:pPr>
              <w:widowControl/>
              <w:jc w:val="left"/>
              <w:rPr>
                <w:rFonts w:ascii="新宋体" w:hAnsi="新宋体" w:eastAsia="新宋体" w:cs="新宋体"/>
                <w:kern w:val="0"/>
                <w:sz w:val="22"/>
                <w:szCs w:val="22"/>
              </w:rPr>
            </w:pPr>
            <w:r>
              <w:rPr>
                <w:rFonts w:hint="eastAsia" w:ascii="新宋体" w:hAnsi="新宋体" w:eastAsia="新宋体" w:cs="新宋体"/>
                <w:kern w:val="0"/>
                <w:sz w:val="22"/>
                <w:szCs w:val="22"/>
              </w:rPr>
              <w:t>提供高可用性，不依赖固定 HA 软件，支持 Web Server 的双机状况监控与备份切换，避免均衡负载器的单点故障。</w:t>
            </w:r>
          </w:p>
        </w:tc>
      </w:tr>
      <w:tr w14:paraId="42F7F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1597" w:type="dxa"/>
            <w:vMerge w:val="continue"/>
          </w:tcPr>
          <w:p w14:paraId="71729B7E">
            <w:pPr>
              <w:widowControl/>
              <w:jc w:val="left"/>
              <w:rPr>
                <w:rFonts w:ascii="新宋体" w:hAnsi="新宋体" w:eastAsia="新宋体" w:cs="新宋体"/>
                <w:kern w:val="0"/>
                <w:sz w:val="22"/>
                <w:szCs w:val="22"/>
              </w:rPr>
            </w:pPr>
          </w:p>
        </w:tc>
        <w:tc>
          <w:tcPr>
            <w:tcW w:w="7759" w:type="dxa"/>
          </w:tcPr>
          <w:p w14:paraId="62DF9F53">
            <w:pPr>
              <w:widowControl/>
              <w:rPr>
                <w:rFonts w:ascii="新宋体" w:hAnsi="新宋体" w:eastAsia="新宋体" w:cs="新宋体"/>
                <w:kern w:val="0"/>
                <w:sz w:val="22"/>
                <w:szCs w:val="22"/>
              </w:rPr>
            </w:pPr>
            <w:r>
              <w:rPr>
                <w:rFonts w:hint="eastAsia" w:ascii="新宋体" w:hAnsi="新宋体" w:eastAsia="新宋体" w:cs="新宋体"/>
                <w:kern w:val="0"/>
                <w:sz w:val="22"/>
                <w:szCs w:val="22"/>
              </w:rPr>
              <w:t>Java EE 应用服务器异常退出时，能自动重启，以提供自恢复能力。</w:t>
            </w:r>
          </w:p>
        </w:tc>
      </w:tr>
      <w:tr w14:paraId="72301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1597" w:type="dxa"/>
            <w:vMerge w:val="continue"/>
          </w:tcPr>
          <w:p w14:paraId="4069E513">
            <w:pPr>
              <w:widowControl/>
              <w:jc w:val="left"/>
              <w:rPr>
                <w:rFonts w:ascii="新宋体" w:hAnsi="新宋体" w:eastAsia="新宋体" w:cs="新宋体"/>
                <w:kern w:val="0"/>
                <w:sz w:val="22"/>
                <w:szCs w:val="22"/>
              </w:rPr>
            </w:pPr>
          </w:p>
        </w:tc>
        <w:tc>
          <w:tcPr>
            <w:tcW w:w="7759" w:type="dxa"/>
          </w:tcPr>
          <w:p w14:paraId="469B1736">
            <w:pPr>
              <w:widowControl/>
              <w:rPr>
                <w:rFonts w:ascii="新宋体" w:hAnsi="新宋体" w:eastAsia="新宋体" w:cs="新宋体"/>
                <w:kern w:val="0"/>
                <w:sz w:val="22"/>
                <w:szCs w:val="22"/>
              </w:rPr>
            </w:pPr>
            <w:r>
              <w:rPr>
                <w:rFonts w:hint="eastAsia" w:ascii="新宋体" w:hAnsi="新宋体" w:eastAsia="新宋体" w:cs="新宋体"/>
                <w:kern w:val="0"/>
                <w:sz w:val="22"/>
                <w:szCs w:val="22"/>
              </w:rPr>
              <w:t>具有weboffice在线编辑功能，提供中间件与weboffic在线编辑品牌的产品兼容性证书。</w:t>
            </w:r>
          </w:p>
        </w:tc>
      </w:tr>
      <w:tr w14:paraId="3C8D8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1597" w:type="dxa"/>
            <w:vMerge w:val="restart"/>
          </w:tcPr>
          <w:p w14:paraId="12AAD956">
            <w:pPr>
              <w:widowControl/>
              <w:jc w:val="center"/>
              <w:rPr>
                <w:rFonts w:ascii="新宋体" w:hAnsi="新宋体" w:eastAsia="新宋体" w:cs="新宋体"/>
                <w:kern w:val="0"/>
                <w:sz w:val="22"/>
                <w:szCs w:val="22"/>
              </w:rPr>
            </w:pPr>
            <w:r>
              <w:rPr>
                <w:rFonts w:hint="eastAsia" w:ascii="新宋体" w:hAnsi="新宋体" w:eastAsia="新宋体" w:cs="新宋体"/>
                <w:kern w:val="0"/>
                <w:sz w:val="22"/>
                <w:szCs w:val="22"/>
              </w:rPr>
              <w:t>安全要求</w:t>
            </w:r>
          </w:p>
        </w:tc>
        <w:tc>
          <w:tcPr>
            <w:tcW w:w="7759" w:type="dxa"/>
          </w:tcPr>
          <w:p w14:paraId="044EDF89">
            <w:pPr>
              <w:widowControl/>
              <w:rPr>
                <w:rFonts w:ascii="新宋体" w:hAnsi="新宋体" w:eastAsia="新宋体" w:cs="新宋体"/>
                <w:kern w:val="0"/>
                <w:sz w:val="22"/>
                <w:szCs w:val="22"/>
              </w:rPr>
            </w:pPr>
            <w:r>
              <w:rPr>
                <w:rFonts w:hint="eastAsia" w:ascii="新宋体" w:hAnsi="新宋体" w:eastAsia="新宋体" w:cs="新宋体"/>
                <w:kern w:val="0"/>
                <w:sz w:val="22"/>
                <w:szCs w:val="22"/>
              </w:rPr>
              <w:t>提供访问过滤配置功能，能够拒绝某 IP 或IP 段的机器访问 Web 应用，达到防攻击效果。</w:t>
            </w:r>
          </w:p>
        </w:tc>
      </w:tr>
      <w:tr w14:paraId="6FA8D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1597" w:type="dxa"/>
            <w:vMerge w:val="continue"/>
          </w:tcPr>
          <w:p w14:paraId="7AD07A7C">
            <w:pPr>
              <w:widowControl/>
              <w:jc w:val="left"/>
              <w:rPr>
                <w:rFonts w:ascii="新宋体" w:hAnsi="新宋体" w:eastAsia="新宋体" w:cs="新宋体"/>
                <w:kern w:val="0"/>
                <w:sz w:val="22"/>
                <w:szCs w:val="22"/>
              </w:rPr>
            </w:pPr>
          </w:p>
        </w:tc>
        <w:tc>
          <w:tcPr>
            <w:tcW w:w="7759" w:type="dxa"/>
          </w:tcPr>
          <w:p w14:paraId="33AC1D5B">
            <w:pPr>
              <w:widowControl/>
              <w:rPr>
                <w:rFonts w:ascii="新宋体" w:hAnsi="新宋体" w:eastAsia="新宋体" w:cs="新宋体"/>
                <w:kern w:val="0"/>
                <w:sz w:val="22"/>
                <w:szCs w:val="22"/>
              </w:rPr>
            </w:pPr>
            <w:r>
              <w:rPr>
                <w:rFonts w:hint="eastAsia" w:ascii="新宋体" w:hAnsi="新宋体" w:eastAsia="新宋体" w:cs="新宋体"/>
                <w:kern w:val="0"/>
                <w:sz w:val="22"/>
                <w:szCs w:val="22"/>
              </w:rPr>
              <w:t>支持禁用SSLv2,SSLv3 有漏洞的安全协议、提供控制台用户密码锁定。</w:t>
            </w:r>
          </w:p>
        </w:tc>
      </w:tr>
      <w:tr w14:paraId="0278F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597" w:type="dxa"/>
            <w:vMerge w:val="restart"/>
          </w:tcPr>
          <w:p w14:paraId="4B159EFE">
            <w:pPr>
              <w:widowControl/>
              <w:jc w:val="center"/>
              <w:rPr>
                <w:rFonts w:ascii="新宋体" w:hAnsi="新宋体" w:eastAsia="新宋体" w:cs="新宋体"/>
                <w:kern w:val="0"/>
                <w:sz w:val="22"/>
                <w:szCs w:val="22"/>
              </w:rPr>
            </w:pPr>
            <w:r>
              <w:rPr>
                <w:rFonts w:hint="eastAsia" w:ascii="新宋体" w:hAnsi="新宋体" w:eastAsia="新宋体" w:cs="新宋体"/>
                <w:kern w:val="0"/>
                <w:sz w:val="22"/>
                <w:szCs w:val="22"/>
              </w:rPr>
              <w:t>管理要求</w:t>
            </w:r>
          </w:p>
        </w:tc>
        <w:tc>
          <w:tcPr>
            <w:tcW w:w="7759" w:type="dxa"/>
          </w:tcPr>
          <w:p w14:paraId="3B5E7F42">
            <w:pPr>
              <w:widowControl/>
              <w:rPr>
                <w:rFonts w:ascii="新宋体" w:hAnsi="新宋体" w:eastAsia="新宋体" w:cs="新宋体"/>
                <w:kern w:val="0"/>
                <w:sz w:val="22"/>
                <w:szCs w:val="22"/>
              </w:rPr>
            </w:pPr>
            <w:r>
              <w:rPr>
                <w:rFonts w:hint="eastAsia" w:ascii="新宋体" w:hAnsi="新宋体" w:eastAsia="新宋体" w:cs="新宋体"/>
                <w:kern w:val="0"/>
                <w:sz w:val="22"/>
                <w:szCs w:val="22"/>
              </w:rPr>
              <w:t>支持集群的集中管理，包括节点安装、负载集群的自动配置，资源管理（如：JDBC 数据源）、实例管理（如：集中部署、启停、状态监控等），集中监控（资源、实例）等。</w:t>
            </w:r>
          </w:p>
        </w:tc>
      </w:tr>
      <w:tr w14:paraId="5A10F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1597" w:type="dxa"/>
            <w:vMerge w:val="continue"/>
          </w:tcPr>
          <w:p w14:paraId="18FA2A00">
            <w:pPr>
              <w:widowControl/>
              <w:jc w:val="left"/>
              <w:rPr>
                <w:rFonts w:ascii="新宋体" w:hAnsi="新宋体" w:eastAsia="新宋体" w:cs="新宋体"/>
                <w:kern w:val="0"/>
                <w:sz w:val="22"/>
                <w:szCs w:val="22"/>
              </w:rPr>
            </w:pPr>
          </w:p>
        </w:tc>
        <w:tc>
          <w:tcPr>
            <w:tcW w:w="7759" w:type="dxa"/>
          </w:tcPr>
          <w:p w14:paraId="6FB59DDA">
            <w:pPr>
              <w:widowControl/>
              <w:rPr>
                <w:rFonts w:ascii="新宋体" w:hAnsi="新宋体" w:eastAsia="新宋体" w:cs="新宋体"/>
                <w:kern w:val="0"/>
                <w:sz w:val="22"/>
                <w:szCs w:val="22"/>
              </w:rPr>
            </w:pPr>
            <w:r>
              <w:rPr>
                <w:rFonts w:hint="eastAsia" w:ascii="新宋体" w:hAnsi="新宋体" w:eastAsia="新宋体" w:cs="新宋体"/>
                <w:kern w:val="0"/>
                <w:sz w:val="22"/>
                <w:szCs w:val="22"/>
              </w:rPr>
              <w:t>支持动态加载新业务或更新业务，支持业务系统新旧版本的动态切换。（</w:t>
            </w:r>
            <w:r>
              <w:rPr>
                <w:rFonts w:hint="eastAsia" w:hAnsi="宋体"/>
                <w:sz w:val="21"/>
                <w:szCs w:val="21"/>
              </w:rPr>
              <w:t>提供相关功能截图证明并加盖投标人公章</w:t>
            </w:r>
            <w:r>
              <w:rPr>
                <w:rFonts w:hint="eastAsia" w:ascii="新宋体" w:hAnsi="新宋体" w:eastAsia="新宋体" w:cs="新宋体"/>
                <w:kern w:val="0"/>
                <w:sz w:val="22"/>
                <w:szCs w:val="22"/>
              </w:rPr>
              <w:t>）</w:t>
            </w:r>
          </w:p>
        </w:tc>
      </w:tr>
      <w:tr w14:paraId="123F8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1597" w:type="dxa"/>
            <w:vMerge w:val="continue"/>
          </w:tcPr>
          <w:p w14:paraId="072E7759">
            <w:pPr>
              <w:widowControl/>
              <w:jc w:val="left"/>
              <w:rPr>
                <w:rFonts w:ascii="新宋体" w:hAnsi="新宋体" w:eastAsia="新宋体" w:cs="新宋体"/>
                <w:kern w:val="0"/>
                <w:sz w:val="22"/>
                <w:szCs w:val="22"/>
              </w:rPr>
            </w:pPr>
          </w:p>
        </w:tc>
        <w:tc>
          <w:tcPr>
            <w:tcW w:w="7759" w:type="dxa"/>
          </w:tcPr>
          <w:p w14:paraId="7E7AA14F">
            <w:pPr>
              <w:widowControl/>
              <w:rPr>
                <w:rFonts w:ascii="新宋体" w:hAnsi="新宋体" w:eastAsia="新宋体" w:cs="新宋体"/>
                <w:kern w:val="0"/>
                <w:sz w:val="22"/>
                <w:szCs w:val="22"/>
              </w:rPr>
            </w:pPr>
            <w:r>
              <w:rPr>
                <w:rFonts w:hint="eastAsia" w:ascii="新宋体" w:hAnsi="新宋体" w:eastAsia="新宋体" w:cs="新宋体"/>
                <w:kern w:val="0"/>
                <w:sz w:val="22"/>
                <w:szCs w:val="22"/>
              </w:rPr>
              <w:t>★提供快照功能，用于在出现故障时对其进行诊断和隔离。（</w:t>
            </w:r>
            <w:r>
              <w:rPr>
                <w:rFonts w:hint="eastAsia" w:hAnsi="宋体"/>
                <w:sz w:val="21"/>
                <w:szCs w:val="21"/>
              </w:rPr>
              <w:t>提供相关功能截图证明并加盖投标人公章</w:t>
            </w:r>
            <w:r>
              <w:rPr>
                <w:rFonts w:hint="eastAsia" w:ascii="新宋体" w:hAnsi="新宋体" w:eastAsia="新宋体" w:cs="新宋体"/>
                <w:kern w:val="0"/>
                <w:sz w:val="22"/>
                <w:szCs w:val="22"/>
              </w:rPr>
              <w:t>）</w:t>
            </w:r>
          </w:p>
        </w:tc>
      </w:tr>
      <w:tr w14:paraId="7309D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597" w:type="dxa"/>
            <w:vMerge w:val="continue"/>
          </w:tcPr>
          <w:p w14:paraId="542964CB">
            <w:pPr>
              <w:widowControl/>
              <w:jc w:val="left"/>
              <w:rPr>
                <w:rFonts w:ascii="新宋体" w:hAnsi="新宋体" w:eastAsia="新宋体" w:cs="新宋体"/>
                <w:kern w:val="0"/>
                <w:sz w:val="22"/>
                <w:szCs w:val="22"/>
              </w:rPr>
            </w:pPr>
          </w:p>
        </w:tc>
        <w:tc>
          <w:tcPr>
            <w:tcW w:w="7759" w:type="dxa"/>
          </w:tcPr>
          <w:p w14:paraId="3AF6C1A5">
            <w:pPr>
              <w:widowControl/>
              <w:rPr>
                <w:rFonts w:ascii="新宋体" w:hAnsi="新宋体" w:eastAsia="新宋体" w:cs="新宋体"/>
                <w:kern w:val="0"/>
                <w:sz w:val="22"/>
                <w:szCs w:val="22"/>
              </w:rPr>
            </w:pPr>
            <w:r>
              <w:rPr>
                <w:rFonts w:hint="eastAsia" w:ascii="新宋体" w:hAnsi="新宋体" w:eastAsia="新宋体" w:cs="新宋体"/>
                <w:kern w:val="0"/>
                <w:sz w:val="22"/>
                <w:szCs w:val="22"/>
              </w:rPr>
              <w:t>★提供类加载冲突检测工具，可以检测出应用部署和运行过程中哪些类存在类加载冲突问题，并能自动生成冲突检测报告，方便快速定位和解决应用类加载问题。（</w:t>
            </w:r>
            <w:r>
              <w:rPr>
                <w:rFonts w:hint="eastAsia" w:hAnsi="宋体"/>
                <w:sz w:val="21"/>
                <w:szCs w:val="21"/>
              </w:rPr>
              <w:t>提供相关功能截图证明并加盖投标人公章</w:t>
            </w:r>
            <w:r>
              <w:rPr>
                <w:rFonts w:hint="eastAsia" w:ascii="新宋体" w:hAnsi="新宋体" w:eastAsia="新宋体" w:cs="新宋体"/>
                <w:kern w:val="0"/>
                <w:sz w:val="22"/>
                <w:szCs w:val="22"/>
              </w:rPr>
              <w:t>）</w:t>
            </w:r>
          </w:p>
        </w:tc>
      </w:tr>
      <w:tr w14:paraId="370C5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1597" w:type="dxa"/>
          </w:tcPr>
          <w:p w14:paraId="65BB2211">
            <w:pPr>
              <w:jc w:val="center"/>
              <w:rPr>
                <w:rFonts w:ascii="新宋体" w:hAnsi="新宋体" w:eastAsia="新宋体" w:cs="新宋体"/>
                <w:kern w:val="0"/>
                <w:sz w:val="22"/>
                <w:szCs w:val="22"/>
              </w:rPr>
            </w:pPr>
            <w:r>
              <w:rPr>
                <w:rFonts w:hint="eastAsia" w:ascii="新宋体" w:hAnsi="新宋体" w:eastAsia="新宋体" w:cs="新宋体"/>
                <w:kern w:val="0"/>
                <w:sz w:val="22"/>
                <w:szCs w:val="22"/>
              </w:rPr>
              <w:t>服务要求</w:t>
            </w:r>
          </w:p>
        </w:tc>
        <w:tc>
          <w:tcPr>
            <w:tcW w:w="7759" w:type="dxa"/>
          </w:tcPr>
          <w:p w14:paraId="5B002DF9">
            <w:pPr>
              <w:rPr>
                <w:rFonts w:ascii="新宋体" w:hAnsi="新宋体" w:eastAsia="新宋体" w:cs="新宋体"/>
                <w:kern w:val="0"/>
                <w:sz w:val="22"/>
                <w:szCs w:val="22"/>
              </w:rPr>
            </w:pPr>
            <w:r>
              <w:rPr>
                <w:rFonts w:hint="eastAsia" w:ascii="新宋体" w:hAnsi="新宋体" w:eastAsia="新宋体" w:cs="新宋体"/>
                <w:kern w:val="0"/>
                <w:sz w:val="22"/>
                <w:szCs w:val="22"/>
              </w:rPr>
              <w:t>投标方需提供产品原厂商的授权和售后服务承诺函</w:t>
            </w:r>
          </w:p>
        </w:tc>
      </w:tr>
    </w:tbl>
    <w:p w14:paraId="7258AA56">
      <w:pPr>
        <w:ind w:firstLine="420" w:firstLineChars="200"/>
      </w:pPr>
    </w:p>
    <w:p w14:paraId="7A6F00C4">
      <w:pPr>
        <w:ind w:firstLine="420" w:firstLineChars="200"/>
      </w:pPr>
      <w:r>
        <w:rPr>
          <w:rFonts w:hint="eastAsia"/>
        </w:rPr>
        <w:t>2</w:t>
      </w:r>
      <w:r>
        <w:t>.3</w:t>
      </w:r>
      <w:r>
        <w:rPr>
          <w:rFonts w:hint="eastAsia" w:ascii="宋体" w:hAnsi="宋体" w:cs="宋体"/>
          <w:szCs w:val="21"/>
        </w:rPr>
        <w:t>国产数据库授权</w:t>
      </w:r>
    </w:p>
    <w:tbl>
      <w:tblPr>
        <w:tblStyle w:val="50"/>
        <w:tblW w:w="9356"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7"/>
        <w:gridCol w:w="7689"/>
      </w:tblGrid>
      <w:tr w14:paraId="7F963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7" w:type="dxa"/>
            <w:vAlign w:val="center"/>
          </w:tcPr>
          <w:p w14:paraId="5F213F7D">
            <w:pPr>
              <w:autoSpaceDE w:val="0"/>
              <w:autoSpaceDN w:val="0"/>
              <w:adjustRightInd w:val="0"/>
              <w:snapToGrid w:val="0"/>
              <w:ind w:firstLine="46" w:firstLineChars="21"/>
              <w:jc w:val="center"/>
              <w:rPr>
                <w:rFonts w:ascii="新宋体" w:hAnsi="新宋体" w:eastAsia="新宋体" w:cs="新宋体"/>
                <w:kern w:val="0"/>
                <w:sz w:val="22"/>
                <w:szCs w:val="22"/>
              </w:rPr>
            </w:pPr>
            <w:r>
              <w:rPr>
                <w:rFonts w:hint="eastAsia" w:ascii="新宋体" w:hAnsi="新宋体" w:eastAsia="新宋体" w:cs="新宋体"/>
                <w:kern w:val="0"/>
                <w:sz w:val="22"/>
                <w:szCs w:val="22"/>
              </w:rPr>
              <w:t>功能项</w:t>
            </w:r>
          </w:p>
        </w:tc>
        <w:tc>
          <w:tcPr>
            <w:tcW w:w="7689" w:type="dxa"/>
          </w:tcPr>
          <w:p w14:paraId="2819CE50">
            <w:pPr>
              <w:autoSpaceDE w:val="0"/>
              <w:autoSpaceDN w:val="0"/>
              <w:adjustRightInd w:val="0"/>
              <w:snapToGrid w:val="0"/>
              <w:ind w:firstLine="46" w:firstLineChars="21"/>
              <w:jc w:val="center"/>
              <w:rPr>
                <w:rFonts w:ascii="新宋体" w:hAnsi="新宋体" w:eastAsia="新宋体" w:cs="新宋体"/>
                <w:kern w:val="0"/>
                <w:sz w:val="22"/>
                <w:szCs w:val="22"/>
              </w:rPr>
            </w:pPr>
            <w:r>
              <w:rPr>
                <w:rFonts w:hint="eastAsia" w:ascii="新宋体" w:hAnsi="新宋体" w:eastAsia="新宋体" w:cs="新宋体"/>
                <w:kern w:val="0"/>
                <w:sz w:val="22"/>
                <w:szCs w:val="22"/>
              </w:rPr>
              <w:t>功能项说明</w:t>
            </w:r>
          </w:p>
        </w:tc>
      </w:tr>
      <w:tr w14:paraId="5BDE4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7" w:type="dxa"/>
            <w:vAlign w:val="center"/>
          </w:tcPr>
          <w:p w14:paraId="4BCB3333">
            <w:pPr>
              <w:autoSpaceDE w:val="0"/>
              <w:autoSpaceDN w:val="0"/>
              <w:adjustRightInd w:val="0"/>
              <w:snapToGrid w:val="0"/>
              <w:ind w:firstLine="46" w:firstLineChars="21"/>
              <w:jc w:val="center"/>
              <w:rPr>
                <w:rFonts w:ascii="新宋体" w:hAnsi="新宋体" w:eastAsia="新宋体" w:cs="新宋体"/>
                <w:kern w:val="0"/>
                <w:sz w:val="22"/>
                <w:szCs w:val="22"/>
              </w:rPr>
            </w:pPr>
            <w:r>
              <w:rPr>
                <w:rFonts w:hint="eastAsia" w:ascii="新宋体" w:hAnsi="新宋体" w:eastAsia="新宋体" w:cs="新宋体"/>
                <w:kern w:val="0"/>
                <w:sz w:val="22"/>
                <w:szCs w:val="22"/>
              </w:rPr>
              <w:t>基本功能</w:t>
            </w:r>
          </w:p>
        </w:tc>
        <w:tc>
          <w:tcPr>
            <w:tcW w:w="7689" w:type="dxa"/>
          </w:tcPr>
          <w:p w14:paraId="2D2BE9E0">
            <w:pPr>
              <w:autoSpaceDE w:val="0"/>
              <w:autoSpaceDN w:val="0"/>
              <w:adjustRightInd w:val="0"/>
              <w:snapToGrid w:val="0"/>
              <w:ind w:firstLine="46" w:firstLineChars="21"/>
              <w:jc w:val="left"/>
              <w:rPr>
                <w:rFonts w:ascii="新宋体" w:hAnsi="新宋体" w:eastAsia="新宋体" w:cs="新宋体"/>
                <w:kern w:val="0"/>
                <w:sz w:val="22"/>
                <w:szCs w:val="22"/>
              </w:rPr>
            </w:pPr>
            <w:r>
              <w:rPr>
                <w:rFonts w:hint="eastAsia" w:ascii="新宋体" w:hAnsi="新宋体" w:eastAsia="新宋体" w:cs="新宋体"/>
                <w:kern w:val="0"/>
                <w:sz w:val="22"/>
                <w:szCs w:val="22"/>
              </w:rPr>
              <w:t>1、国产关系型数据库软件，产品符合中国信息安全测评中心安全可靠测评结果。</w:t>
            </w:r>
          </w:p>
          <w:p w14:paraId="6E0467FF">
            <w:pPr>
              <w:autoSpaceDE w:val="0"/>
              <w:autoSpaceDN w:val="0"/>
              <w:adjustRightInd w:val="0"/>
              <w:snapToGrid w:val="0"/>
              <w:ind w:firstLine="46" w:firstLineChars="21"/>
              <w:jc w:val="left"/>
              <w:rPr>
                <w:rFonts w:ascii="新宋体" w:hAnsi="新宋体" w:eastAsia="新宋体" w:cs="新宋体"/>
                <w:kern w:val="0"/>
                <w:sz w:val="22"/>
                <w:szCs w:val="22"/>
              </w:rPr>
            </w:pPr>
            <w:r>
              <w:rPr>
                <w:rFonts w:hint="eastAsia" w:ascii="新宋体" w:hAnsi="新宋体" w:eastAsia="新宋体" w:cs="新宋体"/>
                <w:kern w:val="0"/>
                <w:sz w:val="22"/>
                <w:szCs w:val="22"/>
              </w:rPr>
              <w:t>2、支持多种索引类型，包括: btree、hash、brin、bloom、位图索引。位图索引中存储表中各列值的位图信息，当列取值少时，位图索引的占用空间要比B树索引更小。提供权威机构第三方测试报告。</w:t>
            </w:r>
          </w:p>
          <w:p w14:paraId="24BC8B8D">
            <w:pPr>
              <w:autoSpaceDE w:val="0"/>
              <w:autoSpaceDN w:val="0"/>
              <w:adjustRightInd w:val="0"/>
              <w:snapToGrid w:val="0"/>
              <w:ind w:firstLine="46" w:firstLineChars="21"/>
              <w:jc w:val="left"/>
              <w:rPr>
                <w:rFonts w:ascii="新宋体" w:hAnsi="新宋体" w:eastAsia="新宋体" w:cs="新宋体"/>
                <w:kern w:val="0"/>
                <w:sz w:val="22"/>
                <w:szCs w:val="22"/>
              </w:rPr>
            </w:pPr>
            <w:r>
              <w:rPr>
                <w:rFonts w:hint="eastAsia" w:ascii="新宋体" w:hAnsi="新宋体" w:eastAsia="新宋体" w:cs="新宋体"/>
                <w:kern w:val="0"/>
                <w:sz w:val="22"/>
                <w:szCs w:val="22"/>
              </w:rPr>
              <w:t>3、支持全文检索功能，支持中、英文分词全文检索，增量数据直接通过全文检索进行查询，不需要手工维护。支持jieba、zhparser等多种分词算法。提供权威机构第三方测试报告。</w:t>
            </w:r>
          </w:p>
          <w:p w14:paraId="0BD9B6A3">
            <w:pPr>
              <w:autoSpaceDE w:val="0"/>
              <w:autoSpaceDN w:val="0"/>
              <w:adjustRightInd w:val="0"/>
              <w:snapToGrid w:val="0"/>
              <w:ind w:firstLine="46" w:firstLineChars="21"/>
              <w:jc w:val="left"/>
              <w:rPr>
                <w:rFonts w:ascii="新宋体" w:hAnsi="新宋体" w:eastAsia="新宋体" w:cs="新宋体"/>
                <w:kern w:val="0"/>
                <w:sz w:val="22"/>
                <w:szCs w:val="22"/>
              </w:rPr>
            </w:pPr>
            <w:r>
              <w:rPr>
                <w:rFonts w:hint="eastAsia" w:ascii="新宋体" w:hAnsi="新宋体" w:eastAsia="新宋体" w:cs="新宋体"/>
                <w:kern w:val="0"/>
                <w:sz w:val="22"/>
                <w:szCs w:val="22"/>
              </w:rPr>
              <w:t>4、支持GSSAPI认证，支持LDAP、SSO、口令认证方式，支持采用操作系统用户访问数据库的机制，支持日志加密。提供权威机构第三方测试报告。</w:t>
            </w:r>
          </w:p>
          <w:p w14:paraId="2108A539">
            <w:pPr>
              <w:autoSpaceDE w:val="0"/>
              <w:autoSpaceDN w:val="0"/>
              <w:adjustRightInd w:val="0"/>
              <w:snapToGrid w:val="0"/>
              <w:ind w:firstLine="46" w:firstLineChars="21"/>
              <w:jc w:val="left"/>
              <w:rPr>
                <w:rFonts w:ascii="新宋体" w:hAnsi="新宋体" w:eastAsia="新宋体" w:cs="新宋体"/>
                <w:kern w:val="0"/>
                <w:sz w:val="22"/>
                <w:szCs w:val="22"/>
              </w:rPr>
            </w:pPr>
            <w:r>
              <w:rPr>
                <w:rFonts w:hint="eastAsia" w:ascii="新宋体" w:hAnsi="新宋体" w:eastAsia="新宋体" w:cs="新宋体"/>
                <w:kern w:val="0"/>
                <w:sz w:val="22"/>
                <w:szCs w:val="22"/>
              </w:rPr>
              <w:t>5、支持动态数据脱敏，支持四种脱敏规则(默认脱敏default、随机脱敏random、自定义脱敏partial和哈希脱敏sha)。提供权威机构第三方测试报告。</w:t>
            </w:r>
          </w:p>
          <w:p w14:paraId="03F6D04C">
            <w:pPr>
              <w:autoSpaceDE w:val="0"/>
              <w:autoSpaceDN w:val="0"/>
              <w:adjustRightInd w:val="0"/>
              <w:snapToGrid w:val="0"/>
              <w:ind w:firstLine="46" w:firstLineChars="21"/>
              <w:jc w:val="left"/>
              <w:rPr>
                <w:rFonts w:ascii="新宋体" w:hAnsi="新宋体" w:eastAsia="新宋体" w:cs="新宋体"/>
                <w:kern w:val="0"/>
                <w:sz w:val="22"/>
                <w:szCs w:val="22"/>
              </w:rPr>
            </w:pPr>
            <w:r>
              <w:rPr>
                <w:rFonts w:hint="eastAsia" w:ascii="新宋体" w:hAnsi="新宋体" w:eastAsia="新宋体" w:cs="新宋体"/>
                <w:kern w:val="0"/>
                <w:sz w:val="22"/>
                <w:szCs w:val="22"/>
              </w:rPr>
              <w:t>6、主备集群支持基于备机的主机数据坏块修复，当主机数据块损坏时，可以自动从备机复制对应数据块对损坏的主机数据块进行实时修复。提供权威机构第三方测试报告。</w:t>
            </w:r>
          </w:p>
          <w:p w14:paraId="039C4656">
            <w:pPr>
              <w:autoSpaceDE w:val="0"/>
              <w:autoSpaceDN w:val="0"/>
              <w:adjustRightInd w:val="0"/>
              <w:snapToGrid w:val="0"/>
              <w:ind w:firstLine="46" w:firstLineChars="21"/>
              <w:jc w:val="left"/>
              <w:rPr>
                <w:rFonts w:ascii="新宋体" w:hAnsi="新宋体" w:eastAsia="新宋体" w:cs="新宋体"/>
                <w:kern w:val="0"/>
                <w:sz w:val="22"/>
                <w:szCs w:val="22"/>
              </w:rPr>
            </w:pPr>
            <w:r>
              <w:rPr>
                <w:rFonts w:hint="eastAsia" w:ascii="新宋体" w:hAnsi="新宋体" w:eastAsia="新宋体" w:cs="新宋体"/>
                <w:kern w:val="0"/>
                <w:sz w:val="22"/>
                <w:szCs w:val="22"/>
              </w:rPr>
              <w:t>7、支持每列指定不同的collate，创建不同于数据collate的索引。支持局部索引Partial Indexes，BRIN索引，BLOOM索引，like变量表达式索引，提供配套迁移工具，支持将大表拆分为多块后并行迁移，用户可自定义拆分规则，支持大表自动拆分，支持通过数据过滤条件结合多迁移任务实现数据的分片（Sharding）迁移（数据分片策略包括求余、哈希、范围）。提供权威机构第三方测试报告。</w:t>
            </w:r>
          </w:p>
          <w:p w14:paraId="5019FD8E">
            <w:pPr>
              <w:autoSpaceDE w:val="0"/>
              <w:autoSpaceDN w:val="0"/>
              <w:adjustRightInd w:val="0"/>
              <w:snapToGrid w:val="0"/>
              <w:ind w:firstLine="46" w:firstLineChars="21"/>
              <w:jc w:val="left"/>
              <w:rPr>
                <w:rFonts w:ascii="新宋体" w:hAnsi="新宋体" w:eastAsia="新宋体" w:cs="新宋体"/>
                <w:kern w:val="0"/>
                <w:sz w:val="22"/>
                <w:szCs w:val="22"/>
              </w:rPr>
            </w:pPr>
            <w:r>
              <w:rPr>
                <w:rFonts w:hint="eastAsia" w:ascii="新宋体" w:hAnsi="新宋体" w:eastAsia="新宋体" w:cs="新宋体"/>
                <w:kern w:val="0"/>
                <w:sz w:val="22"/>
                <w:szCs w:val="22"/>
              </w:rPr>
              <w:t>8、对任意用户表、database对象做逻辑保护，不会被逻辑删除。提供权威机构第三方测试报告。</w:t>
            </w:r>
          </w:p>
          <w:p w14:paraId="14B455C2">
            <w:pPr>
              <w:autoSpaceDE w:val="0"/>
              <w:autoSpaceDN w:val="0"/>
              <w:adjustRightInd w:val="0"/>
              <w:snapToGrid w:val="0"/>
              <w:ind w:firstLine="46" w:firstLineChars="21"/>
              <w:jc w:val="left"/>
              <w:rPr>
                <w:rFonts w:ascii="新宋体" w:hAnsi="新宋体" w:eastAsia="新宋体" w:cs="新宋体"/>
                <w:kern w:val="0"/>
                <w:sz w:val="22"/>
                <w:szCs w:val="22"/>
              </w:rPr>
            </w:pPr>
            <w:r>
              <w:rPr>
                <w:rFonts w:hint="eastAsia" w:ascii="新宋体" w:hAnsi="新宋体" w:eastAsia="新宋体" w:cs="新宋体"/>
                <w:kern w:val="0"/>
                <w:sz w:val="22"/>
                <w:szCs w:val="22"/>
              </w:rPr>
              <w:t>9、永久许可，三年服务。</w:t>
            </w:r>
          </w:p>
        </w:tc>
      </w:tr>
    </w:tbl>
    <w:p w14:paraId="063FAD9B">
      <w:pPr>
        <w:pStyle w:val="2"/>
      </w:pPr>
    </w:p>
    <w:p w14:paraId="0A837550">
      <w:pPr>
        <w:pStyle w:val="3"/>
        <w:ind w:firstLine="210"/>
      </w:pPr>
      <w:r>
        <w:rPr>
          <w:rFonts w:ascii="宋体" w:hAnsi="宋体" w:cs="宋体"/>
          <w:szCs w:val="21"/>
        </w:rPr>
        <w:t>2.4</w:t>
      </w:r>
      <w:r>
        <w:rPr>
          <w:rFonts w:hint="eastAsia" w:ascii="宋体" w:hAnsi="宋体" w:cs="宋体"/>
          <w:szCs w:val="21"/>
        </w:rPr>
        <w:t>国产数据库集群软件授权</w:t>
      </w:r>
    </w:p>
    <w:tbl>
      <w:tblPr>
        <w:tblStyle w:val="50"/>
        <w:tblW w:w="9356"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7"/>
        <w:gridCol w:w="7689"/>
      </w:tblGrid>
      <w:tr w14:paraId="077983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7" w:type="dxa"/>
            <w:vAlign w:val="center"/>
          </w:tcPr>
          <w:p w14:paraId="6A2426AD">
            <w:pPr>
              <w:autoSpaceDE w:val="0"/>
              <w:autoSpaceDN w:val="0"/>
              <w:adjustRightInd w:val="0"/>
              <w:snapToGrid w:val="0"/>
              <w:ind w:firstLine="46" w:firstLineChars="21"/>
              <w:jc w:val="center"/>
              <w:rPr>
                <w:rFonts w:ascii="新宋体" w:hAnsi="新宋体" w:eastAsia="新宋体" w:cs="新宋体"/>
                <w:kern w:val="0"/>
                <w:sz w:val="22"/>
                <w:szCs w:val="22"/>
              </w:rPr>
            </w:pPr>
            <w:r>
              <w:rPr>
                <w:rFonts w:hint="eastAsia" w:ascii="新宋体" w:hAnsi="新宋体" w:eastAsia="新宋体" w:cs="新宋体"/>
                <w:kern w:val="0"/>
                <w:sz w:val="22"/>
                <w:szCs w:val="22"/>
              </w:rPr>
              <w:t>功能项</w:t>
            </w:r>
          </w:p>
        </w:tc>
        <w:tc>
          <w:tcPr>
            <w:tcW w:w="7689" w:type="dxa"/>
          </w:tcPr>
          <w:p w14:paraId="7156F1BC">
            <w:pPr>
              <w:autoSpaceDE w:val="0"/>
              <w:autoSpaceDN w:val="0"/>
              <w:adjustRightInd w:val="0"/>
              <w:snapToGrid w:val="0"/>
              <w:ind w:firstLine="46" w:firstLineChars="21"/>
              <w:jc w:val="center"/>
              <w:rPr>
                <w:rFonts w:ascii="新宋体" w:hAnsi="新宋体" w:eastAsia="新宋体" w:cs="新宋体"/>
                <w:kern w:val="0"/>
                <w:sz w:val="22"/>
                <w:szCs w:val="22"/>
              </w:rPr>
            </w:pPr>
            <w:r>
              <w:rPr>
                <w:rFonts w:hint="eastAsia" w:ascii="新宋体" w:hAnsi="新宋体" w:eastAsia="新宋体" w:cs="新宋体"/>
                <w:kern w:val="0"/>
                <w:sz w:val="22"/>
                <w:szCs w:val="22"/>
              </w:rPr>
              <w:t>功能项说明</w:t>
            </w:r>
          </w:p>
        </w:tc>
      </w:tr>
      <w:tr w14:paraId="066CF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7" w:type="dxa"/>
            <w:vAlign w:val="center"/>
          </w:tcPr>
          <w:p w14:paraId="5E2A0EDD">
            <w:pPr>
              <w:autoSpaceDE w:val="0"/>
              <w:autoSpaceDN w:val="0"/>
              <w:adjustRightInd w:val="0"/>
              <w:snapToGrid w:val="0"/>
              <w:ind w:firstLine="46" w:firstLineChars="21"/>
              <w:jc w:val="center"/>
              <w:rPr>
                <w:rFonts w:ascii="新宋体" w:hAnsi="新宋体" w:eastAsia="新宋体" w:cs="新宋体"/>
                <w:kern w:val="0"/>
                <w:sz w:val="22"/>
                <w:szCs w:val="22"/>
              </w:rPr>
            </w:pPr>
            <w:r>
              <w:rPr>
                <w:rFonts w:hint="eastAsia" w:ascii="新宋体" w:hAnsi="新宋体" w:eastAsia="新宋体" w:cs="新宋体"/>
                <w:kern w:val="0"/>
                <w:sz w:val="22"/>
                <w:szCs w:val="22"/>
              </w:rPr>
              <w:t>基本功能</w:t>
            </w:r>
          </w:p>
        </w:tc>
        <w:tc>
          <w:tcPr>
            <w:tcW w:w="7689" w:type="dxa"/>
          </w:tcPr>
          <w:p w14:paraId="71F870D8">
            <w:pPr>
              <w:autoSpaceDE w:val="0"/>
              <w:autoSpaceDN w:val="0"/>
              <w:adjustRightInd w:val="0"/>
              <w:snapToGrid w:val="0"/>
              <w:ind w:firstLine="46" w:firstLineChars="21"/>
              <w:jc w:val="left"/>
              <w:rPr>
                <w:rFonts w:ascii="新宋体" w:hAnsi="新宋体" w:eastAsia="新宋体" w:cs="新宋体"/>
                <w:kern w:val="0"/>
                <w:sz w:val="22"/>
                <w:szCs w:val="22"/>
              </w:rPr>
            </w:pPr>
            <w:r>
              <w:rPr>
                <w:rFonts w:hint="eastAsia" w:ascii="新宋体" w:hAnsi="新宋体" w:eastAsia="新宋体" w:cs="新宋体"/>
                <w:kern w:val="0"/>
                <w:sz w:val="22"/>
                <w:szCs w:val="22"/>
              </w:rPr>
              <w:t>1、读写分离集群软件与数据库软件产品同品牌，提供软件著作权证书。</w:t>
            </w:r>
          </w:p>
          <w:p w14:paraId="376CDDE5">
            <w:pPr>
              <w:autoSpaceDE w:val="0"/>
              <w:autoSpaceDN w:val="0"/>
              <w:adjustRightInd w:val="0"/>
              <w:snapToGrid w:val="0"/>
              <w:ind w:firstLine="46" w:firstLineChars="21"/>
              <w:jc w:val="left"/>
              <w:rPr>
                <w:rFonts w:ascii="新宋体" w:hAnsi="新宋体" w:eastAsia="新宋体" w:cs="新宋体"/>
                <w:kern w:val="0"/>
                <w:sz w:val="22"/>
                <w:szCs w:val="22"/>
              </w:rPr>
            </w:pPr>
            <w:r>
              <w:rPr>
                <w:rFonts w:hint="eastAsia" w:ascii="新宋体" w:hAnsi="新宋体" w:eastAsia="新宋体" w:cs="新宋体"/>
                <w:kern w:val="0"/>
                <w:sz w:val="22"/>
                <w:szCs w:val="22"/>
              </w:rPr>
              <w:t>2、数据库集群支持读写分离，数据零丢失，支持主备集群，支持数据零丢失，即主库故障，备库自动切换为主库，且数据与原主库数据一致。</w:t>
            </w:r>
          </w:p>
          <w:p w14:paraId="04786998">
            <w:pPr>
              <w:autoSpaceDE w:val="0"/>
              <w:autoSpaceDN w:val="0"/>
              <w:adjustRightInd w:val="0"/>
              <w:snapToGrid w:val="0"/>
              <w:ind w:firstLine="46" w:firstLineChars="21"/>
              <w:jc w:val="left"/>
              <w:rPr>
                <w:rFonts w:ascii="新宋体" w:hAnsi="新宋体" w:eastAsia="新宋体" w:cs="新宋体"/>
                <w:kern w:val="0"/>
                <w:sz w:val="22"/>
                <w:szCs w:val="22"/>
              </w:rPr>
            </w:pPr>
            <w:r>
              <w:rPr>
                <w:rFonts w:hint="eastAsia" w:ascii="新宋体" w:hAnsi="新宋体" w:eastAsia="新宋体" w:cs="新宋体"/>
                <w:kern w:val="0"/>
                <w:sz w:val="22"/>
                <w:szCs w:val="22"/>
              </w:rPr>
              <w:t>3、数据库集群支持按照读写进行路由，并实现读、写的任务分发，系统自动实现写操作在主机、读操作在备机。</w:t>
            </w:r>
          </w:p>
        </w:tc>
      </w:tr>
    </w:tbl>
    <w:p w14:paraId="4493CB01">
      <w:pPr>
        <w:rPr>
          <w:rFonts w:ascii="宋体" w:hAnsi="宋体" w:cs="宋体"/>
          <w:szCs w:val="21"/>
        </w:rPr>
      </w:pPr>
    </w:p>
    <w:p w14:paraId="66876741">
      <w:pPr>
        <w:pStyle w:val="5"/>
        <w:spacing w:before="0" w:beforeLines="0" w:after="0" w:afterLines="0" w:line="240" w:lineRule="auto"/>
        <w:ind w:firstLine="0" w:firstLineChars="0"/>
        <w:rPr>
          <w:rFonts w:ascii="宋体" w:hAnsi="宋体" w:cs="宋体"/>
        </w:rPr>
      </w:pPr>
      <w:r>
        <w:rPr>
          <w:rFonts w:hint="eastAsia" w:ascii="宋体" w:hAnsi="宋体" w:cs="宋体"/>
          <w:b/>
        </w:rPr>
        <w:t>3、</w:t>
      </w:r>
      <w:r>
        <w:rPr>
          <w:rFonts w:hint="eastAsia" w:ascii="宋体" w:hAnsi="宋体" w:cs="宋体"/>
        </w:rPr>
        <w:t>备份资源国产备份一体机扩容</w:t>
      </w:r>
    </w:p>
    <w:tbl>
      <w:tblPr>
        <w:tblStyle w:val="50"/>
        <w:tblW w:w="4999"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509"/>
        <w:gridCol w:w="8343"/>
      </w:tblGrid>
      <w:tr w14:paraId="4D23BA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6" w:hRule="atLeast"/>
          <w:jc w:val="center"/>
        </w:trPr>
        <w:tc>
          <w:tcPr>
            <w:tcW w:w="766" w:type="pct"/>
            <w:vAlign w:val="center"/>
          </w:tcPr>
          <w:p w14:paraId="03695A5A">
            <w:pPr>
              <w:autoSpaceDE w:val="0"/>
              <w:autoSpaceDN w:val="0"/>
              <w:adjustRightInd w:val="0"/>
              <w:snapToGrid w:val="0"/>
              <w:ind w:firstLine="46" w:firstLineChars="21"/>
              <w:jc w:val="center"/>
              <w:rPr>
                <w:rFonts w:ascii="新宋体" w:hAnsi="新宋体" w:eastAsia="新宋体" w:cs="新宋体"/>
                <w:kern w:val="0"/>
                <w:sz w:val="22"/>
                <w:szCs w:val="22"/>
              </w:rPr>
            </w:pPr>
            <w:r>
              <w:rPr>
                <w:rFonts w:hint="eastAsia" w:ascii="新宋体" w:hAnsi="新宋体" w:eastAsia="新宋体" w:cs="新宋体"/>
                <w:kern w:val="0"/>
                <w:sz w:val="22"/>
                <w:szCs w:val="22"/>
              </w:rPr>
              <w:t>功能项</w:t>
            </w:r>
          </w:p>
        </w:tc>
        <w:tc>
          <w:tcPr>
            <w:tcW w:w="4234" w:type="pct"/>
          </w:tcPr>
          <w:p w14:paraId="2B5EA13F">
            <w:pPr>
              <w:autoSpaceDE w:val="0"/>
              <w:autoSpaceDN w:val="0"/>
              <w:adjustRightInd w:val="0"/>
              <w:snapToGrid w:val="0"/>
              <w:ind w:firstLine="46" w:firstLineChars="21"/>
              <w:jc w:val="center"/>
              <w:rPr>
                <w:rFonts w:ascii="新宋体" w:hAnsi="新宋体" w:eastAsia="新宋体" w:cs="新宋体"/>
                <w:kern w:val="0"/>
                <w:sz w:val="22"/>
                <w:szCs w:val="22"/>
              </w:rPr>
            </w:pPr>
            <w:r>
              <w:rPr>
                <w:rFonts w:hint="eastAsia" w:ascii="新宋体" w:hAnsi="新宋体" w:eastAsia="新宋体" w:cs="新宋体"/>
                <w:kern w:val="0"/>
                <w:sz w:val="22"/>
                <w:szCs w:val="22"/>
              </w:rPr>
              <w:t>功能项说明</w:t>
            </w:r>
          </w:p>
        </w:tc>
      </w:tr>
      <w:tr w14:paraId="44A964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9" w:hRule="atLeast"/>
          <w:jc w:val="center"/>
        </w:trPr>
        <w:tc>
          <w:tcPr>
            <w:tcW w:w="766" w:type="pct"/>
            <w:vMerge w:val="restart"/>
            <w:vAlign w:val="center"/>
          </w:tcPr>
          <w:p w14:paraId="183771B4">
            <w:pPr>
              <w:pStyle w:val="109"/>
              <w:ind w:firstLine="0" w:firstLineChars="0"/>
              <w:jc w:val="center"/>
              <w:rPr>
                <w:rFonts w:ascii="宋体" w:hAnsi="宋体"/>
                <w:kern w:val="2"/>
                <w:sz w:val="21"/>
                <w:szCs w:val="21"/>
              </w:rPr>
            </w:pPr>
            <w:r>
              <w:rPr>
                <w:rFonts w:hint="eastAsia" w:ascii="宋体" w:hAnsi="宋体" w:cs="宋体"/>
                <w:sz w:val="21"/>
                <w:szCs w:val="21"/>
              </w:rPr>
              <w:t>★</w:t>
            </w:r>
            <w:r>
              <w:rPr>
                <w:rFonts w:hint="eastAsia" w:ascii="宋体" w:hAnsi="宋体"/>
                <w:kern w:val="2"/>
                <w:sz w:val="21"/>
                <w:szCs w:val="21"/>
              </w:rPr>
              <w:t>整体要求</w:t>
            </w:r>
          </w:p>
        </w:tc>
        <w:tc>
          <w:tcPr>
            <w:tcW w:w="4234" w:type="pct"/>
          </w:tcPr>
          <w:p w14:paraId="2128524D">
            <w:pPr>
              <w:pStyle w:val="89"/>
              <w:jc w:val="both"/>
              <w:rPr>
                <w:rFonts w:hAnsi="宋体" w:cs="宋体"/>
                <w:color w:val="auto"/>
                <w:sz w:val="21"/>
                <w:szCs w:val="21"/>
              </w:rPr>
            </w:pPr>
            <w:bookmarkStart w:id="151" w:name="OLE_LINK1"/>
            <w:r>
              <w:rPr>
                <w:rFonts w:hint="eastAsia" w:ascii="宋体" w:cs="宋体"/>
                <w:b/>
                <w:bCs/>
                <w:kern w:val="0"/>
                <w:sz w:val="22"/>
                <w:szCs w:val="22"/>
                <w:u w:val="single"/>
              </w:rPr>
              <w:t>▲</w:t>
            </w:r>
            <w:r>
              <w:rPr>
                <w:rFonts w:hint="eastAsia" w:hAnsi="宋体" w:cs="宋体"/>
                <w:b/>
                <w:bCs/>
                <w:color w:val="auto"/>
                <w:sz w:val="21"/>
                <w:szCs w:val="21"/>
                <w:highlight w:val="none"/>
                <w:u w:val="single"/>
              </w:rPr>
              <w:t>要求与</w:t>
            </w:r>
            <w:r>
              <w:rPr>
                <w:rFonts w:hint="eastAsia" w:hAnsi="宋体" w:cs="宋体"/>
                <w:b/>
                <w:bCs/>
                <w:color w:val="auto"/>
                <w:sz w:val="21"/>
                <w:szCs w:val="21"/>
                <w:highlight w:val="none"/>
                <w:u w:val="single"/>
                <w:lang w:eastAsia="zh-CN"/>
              </w:rPr>
              <w:t>集团</w:t>
            </w:r>
            <w:r>
              <w:rPr>
                <w:rFonts w:hint="eastAsia" w:hAnsi="宋体" w:cs="宋体"/>
                <w:b/>
                <w:bCs/>
                <w:color w:val="auto"/>
                <w:sz w:val="21"/>
                <w:szCs w:val="21"/>
                <w:highlight w:val="none"/>
                <w:u w:val="single"/>
              </w:rPr>
              <w:t>原有灾备一体化系统无缝堆叠</w:t>
            </w:r>
            <w:bookmarkEnd w:id="151"/>
            <w:r>
              <w:rPr>
                <w:rFonts w:hint="eastAsia" w:hAnsi="宋体" w:cs="宋体"/>
                <w:b/>
                <w:bCs/>
                <w:color w:val="auto"/>
                <w:sz w:val="21"/>
                <w:szCs w:val="21"/>
                <w:highlight w:val="none"/>
                <w:u w:val="single"/>
              </w:rPr>
              <w:t>，实现统一管理。</w:t>
            </w:r>
          </w:p>
        </w:tc>
      </w:tr>
      <w:tr w14:paraId="61C9B5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9" w:hRule="atLeast"/>
          <w:jc w:val="center"/>
        </w:trPr>
        <w:tc>
          <w:tcPr>
            <w:tcW w:w="766" w:type="pct"/>
            <w:vMerge w:val="continue"/>
            <w:vAlign w:val="center"/>
          </w:tcPr>
          <w:p w14:paraId="23AAE26A">
            <w:pPr>
              <w:pStyle w:val="109"/>
              <w:ind w:firstLine="0" w:firstLineChars="0"/>
              <w:jc w:val="center"/>
              <w:rPr>
                <w:rFonts w:ascii="宋体" w:hAnsi="宋体"/>
                <w:kern w:val="2"/>
                <w:sz w:val="21"/>
                <w:szCs w:val="21"/>
              </w:rPr>
            </w:pPr>
          </w:p>
        </w:tc>
        <w:tc>
          <w:tcPr>
            <w:tcW w:w="4234" w:type="pct"/>
          </w:tcPr>
          <w:p w14:paraId="788E2073">
            <w:pPr>
              <w:pStyle w:val="89"/>
              <w:jc w:val="both"/>
              <w:rPr>
                <w:rFonts w:hAnsi="宋体" w:cs="宋体"/>
                <w:color w:val="auto"/>
                <w:sz w:val="21"/>
                <w:szCs w:val="21"/>
              </w:rPr>
            </w:pPr>
            <w:r>
              <w:rPr>
                <w:rFonts w:hint="eastAsia" w:hAnsi="宋体" w:cs="宋体"/>
                <w:color w:val="auto"/>
                <w:sz w:val="21"/>
                <w:szCs w:val="21"/>
              </w:rPr>
              <w:t>要求对原有灾备一体化系统进行优化，包括系统版本升级、操作系统优化、容灾备份系统策略优化等。</w:t>
            </w:r>
          </w:p>
        </w:tc>
      </w:tr>
      <w:tr w14:paraId="22F73C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4" w:hRule="atLeast"/>
          <w:jc w:val="center"/>
        </w:trPr>
        <w:tc>
          <w:tcPr>
            <w:tcW w:w="766" w:type="pct"/>
            <w:vMerge w:val="continue"/>
            <w:vAlign w:val="center"/>
          </w:tcPr>
          <w:p w14:paraId="7248C538">
            <w:pPr>
              <w:pStyle w:val="109"/>
              <w:ind w:firstLine="0" w:firstLineChars="0"/>
              <w:jc w:val="center"/>
              <w:rPr>
                <w:rFonts w:ascii="宋体" w:hAnsi="宋体"/>
                <w:b/>
                <w:kern w:val="2"/>
                <w:sz w:val="21"/>
                <w:szCs w:val="21"/>
              </w:rPr>
            </w:pPr>
          </w:p>
        </w:tc>
        <w:tc>
          <w:tcPr>
            <w:tcW w:w="4234" w:type="pct"/>
          </w:tcPr>
          <w:p w14:paraId="2EFA9898">
            <w:pPr>
              <w:pStyle w:val="89"/>
              <w:jc w:val="both"/>
              <w:rPr>
                <w:rFonts w:hAnsi="宋体"/>
                <w:b/>
                <w:sz w:val="21"/>
                <w:szCs w:val="21"/>
              </w:rPr>
            </w:pPr>
            <w:r>
              <w:rPr>
                <w:rFonts w:hint="eastAsia" w:hAnsi="宋体" w:cs="宋体"/>
                <w:color w:val="auto"/>
                <w:sz w:val="21"/>
                <w:szCs w:val="21"/>
              </w:rPr>
              <w:t>要求把原有灾备一体化系统中的一些大容量备份任务指定到新的灾备一体化系统的S</w:t>
            </w:r>
            <w:r>
              <w:rPr>
                <w:rFonts w:hAnsi="宋体" w:cs="宋体"/>
                <w:color w:val="auto"/>
                <w:sz w:val="21"/>
                <w:szCs w:val="21"/>
              </w:rPr>
              <w:t>3</w:t>
            </w:r>
            <w:r>
              <w:rPr>
                <w:rFonts w:hint="eastAsia" w:hAnsi="宋体" w:cs="宋体"/>
                <w:color w:val="auto"/>
                <w:sz w:val="21"/>
                <w:szCs w:val="21"/>
              </w:rPr>
              <w:t>备份存储池上，重新均衡分配灾备资源，实现资源统筹调度，分配虚拟化、数据库、应用等多个资源池，实现数据复制和备份分离，提高数据灾备安全性。</w:t>
            </w:r>
          </w:p>
        </w:tc>
      </w:tr>
      <w:tr w14:paraId="095AB4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9" w:hRule="atLeast"/>
          <w:jc w:val="center"/>
        </w:trPr>
        <w:tc>
          <w:tcPr>
            <w:tcW w:w="766" w:type="pct"/>
            <w:vMerge w:val="continue"/>
            <w:vAlign w:val="center"/>
          </w:tcPr>
          <w:p w14:paraId="063C0A78">
            <w:pPr>
              <w:pStyle w:val="109"/>
              <w:ind w:firstLine="0" w:firstLineChars="0"/>
              <w:jc w:val="center"/>
              <w:rPr>
                <w:rFonts w:ascii="宋体" w:hAnsi="宋体"/>
                <w:b/>
                <w:kern w:val="2"/>
                <w:sz w:val="21"/>
                <w:szCs w:val="21"/>
              </w:rPr>
            </w:pPr>
          </w:p>
        </w:tc>
        <w:tc>
          <w:tcPr>
            <w:tcW w:w="4234" w:type="pct"/>
          </w:tcPr>
          <w:p w14:paraId="0F317036">
            <w:pPr>
              <w:pStyle w:val="109"/>
              <w:ind w:firstLine="0" w:firstLineChars="0"/>
              <w:rPr>
                <w:rFonts w:ascii="宋体" w:hAnsi="宋体"/>
                <w:b/>
                <w:kern w:val="2"/>
                <w:sz w:val="21"/>
                <w:szCs w:val="21"/>
              </w:rPr>
            </w:pPr>
            <w:r>
              <w:rPr>
                <w:rFonts w:hint="eastAsia" w:ascii="宋体" w:hAnsi="宋体" w:cs="宋体"/>
                <w:sz w:val="21"/>
                <w:szCs w:val="21"/>
              </w:rPr>
              <w:t>本次灾备一体化系统要求在线扩容，保证业务系统不停机，数据0丢失。</w:t>
            </w:r>
          </w:p>
        </w:tc>
      </w:tr>
      <w:tr w14:paraId="01DB70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7" w:hRule="atLeast"/>
          <w:jc w:val="center"/>
        </w:trPr>
        <w:tc>
          <w:tcPr>
            <w:tcW w:w="766" w:type="pct"/>
            <w:vMerge w:val="restart"/>
            <w:vAlign w:val="center"/>
          </w:tcPr>
          <w:p w14:paraId="0C2C444A">
            <w:pPr>
              <w:pStyle w:val="109"/>
              <w:ind w:firstLine="0" w:firstLineChars="0"/>
              <w:jc w:val="center"/>
              <w:rPr>
                <w:rFonts w:ascii="宋体" w:hAnsi="宋体"/>
                <w:kern w:val="2"/>
                <w:sz w:val="21"/>
                <w:szCs w:val="21"/>
              </w:rPr>
            </w:pPr>
            <w:r>
              <w:rPr>
                <w:rFonts w:hint="eastAsia" w:ascii="宋体" w:hAnsi="宋体"/>
                <w:kern w:val="2"/>
                <w:sz w:val="21"/>
                <w:szCs w:val="21"/>
              </w:rPr>
              <w:t>基本要求</w:t>
            </w:r>
          </w:p>
        </w:tc>
        <w:tc>
          <w:tcPr>
            <w:tcW w:w="4234" w:type="pct"/>
            <w:vAlign w:val="center"/>
          </w:tcPr>
          <w:p w14:paraId="185458FE">
            <w:pPr>
              <w:pStyle w:val="89"/>
              <w:jc w:val="both"/>
              <w:rPr>
                <w:rFonts w:hAnsi="宋体" w:cs="宋体"/>
                <w:color w:val="auto"/>
                <w:sz w:val="21"/>
                <w:szCs w:val="21"/>
              </w:rPr>
            </w:pPr>
            <w:r>
              <w:rPr>
                <w:rFonts w:hint="eastAsia" w:hAnsi="宋体" w:cs="宋体"/>
                <w:color w:val="auto"/>
                <w:sz w:val="21"/>
                <w:szCs w:val="21"/>
              </w:rPr>
              <w:t>采用基于</w:t>
            </w:r>
            <w:r>
              <w:rPr>
                <w:rFonts w:hAnsi="宋体" w:cs="宋体"/>
                <w:color w:val="auto"/>
                <w:sz w:val="21"/>
                <w:szCs w:val="21"/>
              </w:rPr>
              <w:t>分布式架构</w:t>
            </w:r>
            <w:r>
              <w:rPr>
                <w:rFonts w:hint="eastAsia" w:hAnsi="宋体" w:cs="宋体"/>
                <w:color w:val="auto"/>
                <w:sz w:val="21"/>
                <w:szCs w:val="21"/>
              </w:rPr>
              <w:t>的容灾备份平台</w:t>
            </w:r>
            <w:r>
              <w:rPr>
                <w:rFonts w:hAnsi="宋体" w:cs="宋体"/>
                <w:color w:val="auto"/>
                <w:sz w:val="21"/>
                <w:szCs w:val="21"/>
              </w:rPr>
              <w:t>，</w:t>
            </w:r>
            <w:r>
              <w:rPr>
                <w:rFonts w:hint="eastAsia" w:hAnsi="宋体" w:cs="宋体"/>
                <w:color w:val="auto"/>
                <w:sz w:val="21"/>
                <w:szCs w:val="21"/>
              </w:rPr>
              <w:t>备份功能服务器、存储池功能分区均可线性扩展，支持高并发要求。</w:t>
            </w:r>
          </w:p>
        </w:tc>
      </w:tr>
      <w:tr w14:paraId="4081F9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35CEEE89">
            <w:pPr>
              <w:pStyle w:val="109"/>
              <w:ind w:firstLine="0" w:firstLineChars="0"/>
              <w:jc w:val="center"/>
              <w:rPr>
                <w:rFonts w:ascii="宋体" w:hAnsi="宋体"/>
                <w:kern w:val="2"/>
                <w:sz w:val="21"/>
                <w:szCs w:val="21"/>
              </w:rPr>
            </w:pPr>
          </w:p>
        </w:tc>
        <w:tc>
          <w:tcPr>
            <w:tcW w:w="4234" w:type="pct"/>
            <w:vAlign w:val="center"/>
          </w:tcPr>
          <w:p w14:paraId="4BCE0AC9">
            <w:pPr>
              <w:pStyle w:val="89"/>
              <w:jc w:val="both"/>
              <w:rPr>
                <w:rFonts w:hAnsi="宋体" w:cs="宋体"/>
                <w:color w:val="auto"/>
                <w:sz w:val="21"/>
                <w:szCs w:val="21"/>
              </w:rPr>
            </w:pPr>
            <w:r>
              <w:rPr>
                <w:rFonts w:hint="eastAsia" w:hAnsi="宋体" w:cs="宋体"/>
                <w:sz w:val="21"/>
                <w:szCs w:val="21"/>
              </w:rPr>
              <w:t>★</w:t>
            </w:r>
            <w:r>
              <w:rPr>
                <w:rFonts w:hint="eastAsia" w:hAnsi="宋体" w:cs="宋体"/>
                <w:color w:val="auto"/>
                <w:sz w:val="21"/>
                <w:szCs w:val="21"/>
              </w:rPr>
              <w:t>支持部署于</w:t>
            </w:r>
            <w:r>
              <w:rPr>
                <w:rFonts w:hAnsi="宋体" w:cs="宋体"/>
                <w:color w:val="auto"/>
                <w:sz w:val="21"/>
                <w:szCs w:val="21"/>
              </w:rPr>
              <w:t>openEuler</w:t>
            </w:r>
            <w:r>
              <w:rPr>
                <w:rFonts w:hint="eastAsia" w:hAnsi="宋体" w:cs="宋体"/>
                <w:color w:val="auto"/>
                <w:sz w:val="21"/>
                <w:szCs w:val="21"/>
              </w:rPr>
              <w:t>、OpenAnolis、UOS、Kylin等国产操作系统和专用的linux平台上,内置存储管理系统、虚拟化管理系统、容器管理系统、分布式存储系统、容灾管理系统、备份管理系统，结合灾备节点多台可以堆叠，实现服务器集群、存储分布式集群，分级合理保障业务安全。</w:t>
            </w:r>
          </w:p>
        </w:tc>
      </w:tr>
      <w:tr w14:paraId="4D5C74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0F0C5BBB">
            <w:pPr>
              <w:pStyle w:val="109"/>
              <w:ind w:firstLine="0" w:firstLineChars="0"/>
              <w:jc w:val="center"/>
              <w:rPr>
                <w:rFonts w:ascii="宋体" w:hAnsi="宋体"/>
                <w:kern w:val="2"/>
                <w:sz w:val="21"/>
                <w:szCs w:val="21"/>
              </w:rPr>
            </w:pPr>
          </w:p>
        </w:tc>
        <w:tc>
          <w:tcPr>
            <w:tcW w:w="4234" w:type="pct"/>
            <w:vAlign w:val="center"/>
          </w:tcPr>
          <w:p w14:paraId="1D7173A0">
            <w:pPr>
              <w:pStyle w:val="89"/>
              <w:jc w:val="both"/>
              <w:rPr>
                <w:rFonts w:hAnsi="宋体" w:cs="宋体"/>
                <w:color w:val="auto"/>
                <w:sz w:val="21"/>
                <w:szCs w:val="21"/>
              </w:rPr>
            </w:pPr>
            <w:r>
              <w:rPr>
                <w:rFonts w:hint="eastAsia" w:hAnsi="宋体" w:cs="宋体"/>
                <w:color w:val="auto"/>
                <w:sz w:val="21"/>
                <w:szCs w:val="21"/>
              </w:rPr>
              <w:t>配置2个C</w:t>
            </w:r>
            <w:r>
              <w:rPr>
                <w:rFonts w:hAnsi="宋体" w:cs="宋体"/>
                <w:color w:val="auto"/>
                <w:sz w:val="21"/>
                <w:szCs w:val="21"/>
              </w:rPr>
              <w:t>PU</w:t>
            </w:r>
            <w:r>
              <w:rPr>
                <w:rFonts w:hint="eastAsia" w:hAnsi="宋体" w:cs="宋体"/>
                <w:color w:val="auto"/>
                <w:sz w:val="21"/>
                <w:szCs w:val="21"/>
              </w:rPr>
              <w:t>企业级虚拟化、容器、分布式存储和防火墙许可。</w:t>
            </w:r>
          </w:p>
        </w:tc>
      </w:tr>
      <w:tr w14:paraId="0BE8FA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1" w:hRule="atLeast"/>
          <w:jc w:val="center"/>
        </w:trPr>
        <w:tc>
          <w:tcPr>
            <w:tcW w:w="766" w:type="pct"/>
            <w:vMerge w:val="continue"/>
            <w:vAlign w:val="center"/>
          </w:tcPr>
          <w:p w14:paraId="3927A520">
            <w:pPr>
              <w:pStyle w:val="109"/>
              <w:ind w:firstLine="0" w:firstLineChars="0"/>
              <w:jc w:val="center"/>
              <w:rPr>
                <w:rFonts w:ascii="宋体" w:hAnsi="宋体"/>
                <w:kern w:val="2"/>
                <w:sz w:val="21"/>
                <w:szCs w:val="21"/>
              </w:rPr>
            </w:pPr>
          </w:p>
        </w:tc>
        <w:tc>
          <w:tcPr>
            <w:tcW w:w="4234" w:type="pct"/>
            <w:vAlign w:val="center"/>
          </w:tcPr>
          <w:p w14:paraId="033C3BE3">
            <w:pPr>
              <w:pStyle w:val="89"/>
              <w:jc w:val="both"/>
              <w:rPr>
                <w:rFonts w:hAnsi="宋体" w:cs="宋体"/>
                <w:color w:val="auto"/>
                <w:sz w:val="21"/>
                <w:szCs w:val="21"/>
              </w:rPr>
            </w:pPr>
            <w:r>
              <w:rPr>
                <w:rFonts w:hint="eastAsia" w:hAnsi="宋体" w:cs="宋体"/>
                <w:color w:val="auto"/>
                <w:sz w:val="21"/>
                <w:szCs w:val="21"/>
              </w:rPr>
              <w:t>配置35T备份后存储容量授权，无客户端数量限制，配置s</w:t>
            </w:r>
            <w:r>
              <w:rPr>
                <w:rFonts w:hAnsi="宋体" w:cs="宋体"/>
                <w:color w:val="auto"/>
                <w:sz w:val="21"/>
                <w:szCs w:val="21"/>
              </w:rPr>
              <w:t>3</w:t>
            </w:r>
            <w:r>
              <w:rPr>
                <w:rFonts w:hint="eastAsia" w:hAnsi="宋体" w:cs="宋体"/>
                <w:color w:val="auto"/>
                <w:sz w:val="21"/>
                <w:szCs w:val="21"/>
              </w:rPr>
              <w:t>存储池授权。</w:t>
            </w:r>
          </w:p>
        </w:tc>
      </w:tr>
      <w:tr w14:paraId="1783ED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jc w:val="center"/>
        </w:trPr>
        <w:tc>
          <w:tcPr>
            <w:tcW w:w="766" w:type="pct"/>
            <w:vMerge w:val="restart"/>
            <w:vAlign w:val="center"/>
          </w:tcPr>
          <w:p w14:paraId="3FE1B98F">
            <w:pPr>
              <w:pStyle w:val="109"/>
              <w:ind w:firstLine="0" w:firstLineChars="0"/>
              <w:jc w:val="center"/>
              <w:rPr>
                <w:rFonts w:ascii="宋体" w:hAnsi="宋体"/>
                <w:kern w:val="2"/>
                <w:sz w:val="21"/>
                <w:szCs w:val="21"/>
              </w:rPr>
            </w:pPr>
            <w:r>
              <w:rPr>
                <w:rFonts w:hint="eastAsia" w:ascii="宋体" w:hAnsi="宋体"/>
                <w:kern w:val="2"/>
                <w:sz w:val="21"/>
                <w:szCs w:val="21"/>
              </w:rPr>
              <w:t>灾备主机节点要求</w:t>
            </w:r>
          </w:p>
        </w:tc>
        <w:tc>
          <w:tcPr>
            <w:tcW w:w="4234" w:type="pct"/>
            <w:vAlign w:val="center"/>
          </w:tcPr>
          <w:p w14:paraId="4A7B7E26">
            <w:pPr>
              <w:pStyle w:val="89"/>
              <w:jc w:val="both"/>
              <w:rPr>
                <w:rFonts w:hAnsi="宋体" w:cs="宋体"/>
                <w:color w:val="auto"/>
                <w:sz w:val="21"/>
                <w:szCs w:val="21"/>
              </w:rPr>
            </w:pPr>
            <w:r>
              <w:rPr>
                <w:rFonts w:hAnsi="宋体" w:cs="宋体"/>
                <w:color w:val="auto"/>
                <w:sz w:val="21"/>
                <w:szCs w:val="21"/>
              </w:rPr>
              <w:t>2</w:t>
            </w:r>
            <w:r>
              <w:rPr>
                <w:rFonts w:hint="eastAsia" w:hAnsi="宋体" w:cs="宋体"/>
                <w:color w:val="auto"/>
                <w:sz w:val="21"/>
                <w:szCs w:val="21"/>
              </w:rPr>
              <w:t>U</w:t>
            </w:r>
            <w:r>
              <w:rPr>
                <w:rFonts w:hAnsi="宋体" w:cs="宋体"/>
                <w:color w:val="auto"/>
                <w:sz w:val="21"/>
                <w:szCs w:val="21"/>
              </w:rPr>
              <w:t>14</w:t>
            </w:r>
            <w:r>
              <w:rPr>
                <w:rFonts w:hint="eastAsia" w:hAnsi="宋体" w:cs="宋体"/>
                <w:color w:val="auto"/>
                <w:sz w:val="21"/>
                <w:szCs w:val="21"/>
              </w:rPr>
              <w:t>盘位，冗余电源、冗余风扇。</w:t>
            </w:r>
          </w:p>
        </w:tc>
      </w:tr>
      <w:tr w14:paraId="3C79A2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jc w:val="center"/>
        </w:trPr>
        <w:tc>
          <w:tcPr>
            <w:tcW w:w="766" w:type="pct"/>
            <w:vMerge w:val="continue"/>
            <w:vAlign w:val="center"/>
          </w:tcPr>
          <w:p w14:paraId="27AC86B0">
            <w:pPr>
              <w:pStyle w:val="109"/>
              <w:ind w:firstLine="0" w:firstLineChars="0"/>
              <w:jc w:val="center"/>
              <w:rPr>
                <w:rFonts w:ascii="宋体" w:hAnsi="宋体"/>
                <w:kern w:val="2"/>
                <w:sz w:val="21"/>
                <w:szCs w:val="21"/>
              </w:rPr>
            </w:pPr>
          </w:p>
        </w:tc>
        <w:tc>
          <w:tcPr>
            <w:tcW w:w="4234" w:type="pct"/>
            <w:vAlign w:val="center"/>
          </w:tcPr>
          <w:p w14:paraId="416165EB">
            <w:pPr>
              <w:pStyle w:val="89"/>
              <w:jc w:val="both"/>
              <w:rPr>
                <w:rFonts w:hAnsi="宋体" w:cs="宋体"/>
                <w:color w:val="auto"/>
                <w:sz w:val="21"/>
                <w:szCs w:val="21"/>
              </w:rPr>
            </w:pPr>
            <w:r>
              <w:rPr>
                <w:rFonts w:hint="eastAsia" w:hAnsi="宋体" w:cs="宋体"/>
                <w:color w:val="auto"/>
                <w:sz w:val="21"/>
                <w:szCs w:val="21"/>
              </w:rPr>
              <w:t>配置</w:t>
            </w:r>
            <w:r>
              <w:rPr>
                <w:rFonts w:hint="eastAsia" w:hAnsi="宋体"/>
                <w:sz w:val="21"/>
                <w:szCs w:val="21"/>
              </w:rPr>
              <w:t>≥2颗</w:t>
            </w:r>
            <w:r>
              <w:rPr>
                <w:rFonts w:hAnsi="宋体"/>
                <w:sz w:val="21"/>
                <w:szCs w:val="21"/>
              </w:rPr>
              <w:t>1</w:t>
            </w:r>
            <w:r>
              <w:rPr>
                <w:rFonts w:hint="eastAsia" w:hAnsi="宋体"/>
                <w:sz w:val="21"/>
                <w:szCs w:val="21"/>
              </w:rPr>
              <w:t>0</w:t>
            </w:r>
            <w:r>
              <w:rPr>
                <w:rFonts w:hAnsi="宋体"/>
                <w:sz w:val="21"/>
                <w:szCs w:val="21"/>
              </w:rPr>
              <w:t>核心2</w:t>
            </w:r>
            <w:r>
              <w:rPr>
                <w:rFonts w:hint="eastAsia" w:hAnsi="宋体"/>
                <w:sz w:val="21"/>
                <w:szCs w:val="21"/>
              </w:rPr>
              <w:t>0</w:t>
            </w:r>
            <w:r>
              <w:rPr>
                <w:rFonts w:hAnsi="宋体"/>
                <w:sz w:val="21"/>
                <w:szCs w:val="21"/>
              </w:rPr>
              <w:t>线程</w:t>
            </w:r>
            <w:r>
              <w:rPr>
                <w:rFonts w:hint="eastAsia" w:hAnsi="宋体"/>
                <w:sz w:val="21"/>
                <w:szCs w:val="21"/>
              </w:rPr>
              <w:t>国产处理器</w:t>
            </w:r>
            <w:r>
              <w:rPr>
                <w:rFonts w:hint="eastAsia" w:hAnsi="宋体" w:cs="宋体"/>
                <w:color w:val="auto"/>
                <w:sz w:val="21"/>
                <w:szCs w:val="21"/>
              </w:rPr>
              <w:t>。</w:t>
            </w:r>
          </w:p>
        </w:tc>
      </w:tr>
      <w:tr w14:paraId="00C362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jc w:val="center"/>
        </w:trPr>
        <w:tc>
          <w:tcPr>
            <w:tcW w:w="766" w:type="pct"/>
            <w:vMerge w:val="continue"/>
            <w:vAlign w:val="center"/>
          </w:tcPr>
          <w:p w14:paraId="5BBECF75">
            <w:pPr>
              <w:pStyle w:val="109"/>
              <w:ind w:firstLine="0" w:firstLineChars="0"/>
              <w:jc w:val="center"/>
              <w:rPr>
                <w:rFonts w:ascii="宋体" w:hAnsi="宋体"/>
                <w:kern w:val="2"/>
                <w:sz w:val="21"/>
                <w:szCs w:val="21"/>
              </w:rPr>
            </w:pPr>
          </w:p>
        </w:tc>
        <w:tc>
          <w:tcPr>
            <w:tcW w:w="4234" w:type="pct"/>
            <w:vAlign w:val="center"/>
          </w:tcPr>
          <w:p w14:paraId="2C33E69A">
            <w:pPr>
              <w:pStyle w:val="89"/>
              <w:jc w:val="both"/>
              <w:rPr>
                <w:rFonts w:hAnsi="宋体" w:cs="宋体"/>
                <w:color w:val="auto"/>
                <w:sz w:val="21"/>
                <w:szCs w:val="21"/>
              </w:rPr>
            </w:pPr>
            <w:r>
              <w:rPr>
                <w:rFonts w:hint="eastAsia" w:hAnsi="宋体" w:cs="宋体"/>
                <w:color w:val="auto"/>
                <w:sz w:val="21"/>
                <w:szCs w:val="21"/>
              </w:rPr>
              <w:t>配置</w:t>
            </w:r>
            <w:r>
              <w:rPr>
                <w:rFonts w:hint="eastAsia" w:hAnsi="宋体"/>
                <w:sz w:val="21"/>
                <w:szCs w:val="21"/>
              </w:rPr>
              <w:t>≥</w:t>
            </w:r>
            <w:r>
              <w:rPr>
                <w:rFonts w:hAnsi="宋体" w:cs="宋体"/>
                <w:color w:val="auto"/>
                <w:sz w:val="21"/>
                <w:szCs w:val="21"/>
              </w:rPr>
              <w:t>128</w:t>
            </w:r>
            <w:r>
              <w:rPr>
                <w:rFonts w:hint="eastAsia" w:hAnsi="宋体" w:cs="宋体"/>
                <w:color w:val="auto"/>
                <w:sz w:val="21"/>
                <w:szCs w:val="21"/>
              </w:rPr>
              <w:t>GB内存。</w:t>
            </w:r>
          </w:p>
        </w:tc>
      </w:tr>
      <w:tr w14:paraId="1F167C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atLeast"/>
          <w:jc w:val="center"/>
        </w:trPr>
        <w:tc>
          <w:tcPr>
            <w:tcW w:w="766" w:type="pct"/>
            <w:vMerge w:val="continue"/>
            <w:vAlign w:val="center"/>
          </w:tcPr>
          <w:p w14:paraId="08EFDC39">
            <w:pPr>
              <w:pStyle w:val="109"/>
              <w:ind w:firstLine="0" w:firstLineChars="0"/>
              <w:jc w:val="center"/>
              <w:rPr>
                <w:rFonts w:ascii="宋体" w:hAnsi="宋体"/>
                <w:kern w:val="2"/>
                <w:sz w:val="21"/>
                <w:szCs w:val="21"/>
              </w:rPr>
            </w:pPr>
          </w:p>
        </w:tc>
        <w:tc>
          <w:tcPr>
            <w:tcW w:w="4234" w:type="pct"/>
            <w:vAlign w:val="center"/>
          </w:tcPr>
          <w:p w14:paraId="21AF8F0E">
            <w:pPr>
              <w:pStyle w:val="89"/>
              <w:jc w:val="both"/>
              <w:rPr>
                <w:rFonts w:hAnsi="宋体" w:cs="宋体"/>
                <w:color w:val="auto"/>
                <w:sz w:val="21"/>
                <w:szCs w:val="21"/>
              </w:rPr>
            </w:pPr>
            <w:r>
              <w:rPr>
                <w:rFonts w:hint="eastAsia" w:hAnsi="宋体" w:cs="宋体"/>
                <w:color w:val="auto"/>
                <w:sz w:val="21"/>
                <w:szCs w:val="21"/>
              </w:rPr>
              <w:t>配置</w:t>
            </w:r>
            <w:r>
              <w:rPr>
                <w:rFonts w:hint="eastAsia" w:hAnsi="宋体"/>
                <w:sz w:val="21"/>
                <w:szCs w:val="21"/>
              </w:rPr>
              <w:t>≥</w:t>
            </w:r>
            <w:r>
              <w:rPr>
                <w:rFonts w:hint="eastAsia" w:hAnsi="宋体" w:cs="宋体"/>
                <w:color w:val="auto"/>
                <w:sz w:val="21"/>
                <w:szCs w:val="21"/>
              </w:rPr>
              <w:t>2个1Gb主机端口，</w:t>
            </w:r>
            <w:r>
              <w:rPr>
                <w:rFonts w:hint="eastAsia" w:hAnsi="宋体"/>
                <w:sz w:val="21"/>
                <w:szCs w:val="21"/>
              </w:rPr>
              <w:t>≥</w:t>
            </w:r>
            <w:r>
              <w:rPr>
                <w:rFonts w:hint="eastAsia" w:hAnsi="宋体" w:cs="宋体"/>
                <w:color w:val="auto"/>
                <w:sz w:val="21"/>
                <w:szCs w:val="21"/>
              </w:rPr>
              <w:t>2个10Gb主机端口；支持CIFS、NFS、iSCSI、HTTP、FC-SAN协议；支持iSCSI CHAP； 支持真实IP连接，虚拟IP连接，主机名连接，多端口绑定冗余负载均衡。</w:t>
            </w:r>
          </w:p>
        </w:tc>
      </w:tr>
      <w:tr w14:paraId="2ED70A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3" w:hRule="atLeast"/>
          <w:jc w:val="center"/>
        </w:trPr>
        <w:tc>
          <w:tcPr>
            <w:tcW w:w="766" w:type="pct"/>
            <w:vMerge w:val="continue"/>
            <w:vAlign w:val="center"/>
          </w:tcPr>
          <w:p w14:paraId="60BCD1AD">
            <w:pPr>
              <w:pStyle w:val="109"/>
              <w:ind w:firstLine="0" w:firstLineChars="0"/>
              <w:jc w:val="center"/>
              <w:rPr>
                <w:rFonts w:ascii="宋体" w:hAnsi="宋体"/>
                <w:kern w:val="2"/>
                <w:sz w:val="21"/>
                <w:szCs w:val="21"/>
              </w:rPr>
            </w:pPr>
          </w:p>
        </w:tc>
        <w:tc>
          <w:tcPr>
            <w:tcW w:w="4234" w:type="pct"/>
            <w:vAlign w:val="center"/>
          </w:tcPr>
          <w:p w14:paraId="77FAF47A">
            <w:pPr>
              <w:pStyle w:val="89"/>
              <w:jc w:val="both"/>
              <w:rPr>
                <w:rFonts w:hAnsi="宋体" w:cs="宋体"/>
                <w:color w:val="auto"/>
                <w:sz w:val="21"/>
                <w:szCs w:val="21"/>
              </w:rPr>
            </w:pPr>
            <w:r>
              <w:rPr>
                <w:rFonts w:hint="eastAsia" w:hAnsi="宋体" w:cs="宋体"/>
                <w:color w:val="auto"/>
                <w:sz w:val="21"/>
                <w:szCs w:val="21"/>
              </w:rPr>
              <w:t>配置</w:t>
            </w:r>
            <w:r>
              <w:rPr>
                <w:rFonts w:hint="eastAsia" w:hAnsi="宋体"/>
                <w:sz w:val="21"/>
                <w:szCs w:val="21"/>
              </w:rPr>
              <w:t>≥</w:t>
            </w:r>
            <w:r>
              <w:rPr>
                <w:rFonts w:hAnsi="宋体" w:cs="宋体"/>
                <w:color w:val="auto"/>
                <w:sz w:val="21"/>
                <w:szCs w:val="21"/>
              </w:rPr>
              <w:t>1片</w:t>
            </w:r>
            <w:r>
              <w:rPr>
                <w:rFonts w:hint="eastAsia" w:hAnsi="宋体" w:cs="宋体"/>
                <w:color w:val="auto"/>
                <w:sz w:val="21"/>
                <w:szCs w:val="21"/>
              </w:rPr>
              <w:t>4</w:t>
            </w:r>
            <w:r>
              <w:rPr>
                <w:rFonts w:hAnsi="宋体" w:cs="宋体"/>
                <w:color w:val="auto"/>
                <w:sz w:val="21"/>
                <w:szCs w:val="21"/>
              </w:rPr>
              <w:t>80</w:t>
            </w:r>
            <w:r>
              <w:rPr>
                <w:rFonts w:hint="eastAsia" w:hAnsi="宋体" w:cs="宋体"/>
                <w:color w:val="auto"/>
                <w:sz w:val="21"/>
                <w:szCs w:val="21"/>
              </w:rPr>
              <w:t>G系统盘，</w:t>
            </w:r>
            <w:r>
              <w:rPr>
                <w:rFonts w:hint="eastAsia" w:hAnsi="宋体"/>
                <w:sz w:val="21"/>
                <w:szCs w:val="21"/>
              </w:rPr>
              <w:t>≥</w:t>
            </w:r>
            <w:r>
              <w:rPr>
                <w:rFonts w:hAnsi="宋体" w:cs="宋体"/>
                <w:color w:val="auto"/>
                <w:sz w:val="21"/>
                <w:szCs w:val="21"/>
              </w:rPr>
              <w:t>1片</w:t>
            </w:r>
            <w:r>
              <w:rPr>
                <w:rFonts w:hint="eastAsia" w:hAnsi="宋体" w:cs="宋体"/>
                <w:color w:val="auto"/>
                <w:sz w:val="21"/>
                <w:szCs w:val="21"/>
              </w:rPr>
              <w:t>1</w:t>
            </w:r>
            <w:r>
              <w:rPr>
                <w:rFonts w:hAnsi="宋体" w:cs="宋体"/>
                <w:color w:val="auto"/>
                <w:sz w:val="21"/>
                <w:szCs w:val="21"/>
              </w:rPr>
              <w:t>.6</w:t>
            </w:r>
            <w:r>
              <w:rPr>
                <w:rFonts w:hint="eastAsia" w:hAnsi="宋体" w:cs="宋体"/>
                <w:color w:val="auto"/>
                <w:sz w:val="21"/>
                <w:szCs w:val="21"/>
              </w:rPr>
              <w:t>T</w:t>
            </w:r>
            <w:r>
              <w:rPr>
                <w:rFonts w:hAnsi="宋体" w:cs="宋体"/>
                <w:color w:val="auto"/>
                <w:sz w:val="21"/>
                <w:szCs w:val="21"/>
              </w:rPr>
              <w:t xml:space="preserve"> </w:t>
            </w:r>
            <w:r>
              <w:rPr>
                <w:rFonts w:hint="eastAsia" w:hAnsi="宋体" w:cs="宋体"/>
                <w:color w:val="auto"/>
                <w:sz w:val="21"/>
                <w:szCs w:val="21"/>
              </w:rPr>
              <w:t>nvme加速</w:t>
            </w:r>
            <w:r>
              <w:rPr>
                <w:rFonts w:hAnsi="宋体" w:cs="宋体"/>
                <w:color w:val="auto"/>
                <w:sz w:val="21"/>
                <w:szCs w:val="21"/>
              </w:rPr>
              <w:t>盘，</w:t>
            </w:r>
            <w:r>
              <w:rPr>
                <w:rFonts w:hint="eastAsia" w:hAnsi="宋体"/>
                <w:sz w:val="21"/>
                <w:szCs w:val="21"/>
              </w:rPr>
              <w:t>≥5</w:t>
            </w:r>
            <w:r>
              <w:rPr>
                <w:rFonts w:hAnsi="宋体" w:cs="宋体"/>
                <w:color w:val="auto"/>
                <w:sz w:val="21"/>
                <w:szCs w:val="21"/>
              </w:rPr>
              <w:t>片1</w:t>
            </w:r>
            <w:r>
              <w:rPr>
                <w:rFonts w:hint="eastAsia" w:hAnsi="宋体" w:cs="宋体"/>
                <w:color w:val="auto"/>
                <w:sz w:val="21"/>
                <w:szCs w:val="21"/>
              </w:rPr>
              <w:t>0</w:t>
            </w:r>
            <w:r>
              <w:rPr>
                <w:rFonts w:hAnsi="宋体" w:cs="宋体"/>
                <w:color w:val="auto"/>
                <w:sz w:val="21"/>
                <w:szCs w:val="21"/>
              </w:rPr>
              <w:t>TB</w:t>
            </w:r>
            <w:r>
              <w:rPr>
                <w:rFonts w:hint="eastAsia" w:hAnsi="宋体" w:cs="宋体"/>
                <w:color w:val="auto"/>
                <w:sz w:val="21"/>
                <w:szCs w:val="21"/>
              </w:rPr>
              <w:t xml:space="preserve"> </w:t>
            </w:r>
            <w:r>
              <w:rPr>
                <w:rFonts w:hint="eastAsia" w:hAnsi="宋体" w:cs="宋体"/>
                <w:sz w:val="20"/>
                <w:szCs w:val="20"/>
                <w:lang w:bidi="ar"/>
              </w:rPr>
              <w:t>SATA</w:t>
            </w:r>
            <w:r>
              <w:rPr>
                <w:rFonts w:hAnsi="宋体" w:cs="宋体"/>
                <w:color w:val="auto"/>
                <w:sz w:val="21"/>
                <w:szCs w:val="21"/>
              </w:rPr>
              <w:t>数据盘</w:t>
            </w:r>
            <w:r>
              <w:rPr>
                <w:rFonts w:hint="eastAsia" w:hAnsi="宋体" w:cs="宋体"/>
                <w:color w:val="auto"/>
                <w:sz w:val="21"/>
                <w:szCs w:val="21"/>
              </w:rPr>
              <w:t>。</w:t>
            </w:r>
          </w:p>
        </w:tc>
      </w:tr>
      <w:tr w14:paraId="06822F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 w:hRule="atLeast"/>
          <w:jc w:val="center"/>
        </w:trPr>
        <w:tc>
          <w:tcPr>
            <w:tcW w:w="766" w:type="pct"/>
            <w:vMerge w:val="restart"/>
            <w:vAlign w:val="center"/>
          </w:tcPr>
          <w:p w14:paraId="42729FB1">
            <w:pPr>
              <w:pStyle w:val="109"/>
              <w:ind w:firstLine="0" w:firstLineChars="0"/>
              <w:jc w:val="center"/>
              <w:rPr>
                <w:rFonts w:ascii="宋体" w:hAnsi="宋体"/>
                <w:kern w:val="2"/>
                <w:sz w:val="21"/>
                <w:szCs w:val="21"/>
              </w:rPr>
            </w:pPr>
            <w:r>
              <w:rPr>
                <w:rFonts w:hint="eastAsia" w:ascii="宋体" w:hAnsi="宋体"/>
                <w:kern w:val="2"/>
                <w:sz w:val="21"/>
                <w:szCs w:val="21"/>
              </w:rPr>
              <w:t>虚拟化基础平台要求</w:t>
            </w:r>
          </w:p>
        </w:tc>
        <w:tc>
          <w:tcPr>
            <w:tcW w:w="4234" w:type="pct"/>
            <w:vAlign w:val="bottom"/>
          </w:tcPr>
          <w:p w14:paraId="229E236A">
            <w:pPr>
              <w:pStyle w:val="89"/>
              <w:jc w:val="both"/>
              <w:rPr>
                <w:rFonts w:hAnsi="宋体" w:cs="宋体"/>
                <w:color w:val="auto"/>
                <w:sz w:val="21"/>
                <w:szCs w:val="21"/>
              </w:rPr>
            </w:pPr>
            <w:r>
              <w:rPr>
                <w:rFonts w:hint="eastAsia" w:hAnsi="宋体" w:cs="宋体"/>
                <w:color w:val="auto"/>
                <w:sz w:val="21"/>
                <w:szCs w:val="21"/>
              </w:rPr>
              <w:t>★内置容器管理系统，支持部署常见Linux容器系统。</w:t>
            </w:r>
          </w:p>
        </w:tc>
      </w:tr>
      <w:tr w14:paraId="01882A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703B4F2F">
            <w:pPr>
              <w:pStyle w:val="109"/>
              <w:ind w:firstLine="0" w:firstLineChars="0"/>
              <w:jc w:val="center"/>
              <w:rPr>
                <w:rFonts w:ascii="宋体" w:hAnsi="宋体"/>
                <w:kern w:val="2"/>
                <w:sz w:val="21"/>
                <w:szCs w:val="21"/>
              </w:rPr>
            </w:pPr>
          </w:p>
        </w:tc>
        <w:tc>
          <w:tcPr>
            <w:tcW w:w="4234" w:type="pct"/>
            <w:vAlign w:val="bottom"/>
          </w:tcPr>
          <w:p w14:paraId="0AE6FDBC">
            <w:pPr>
              <w:pStyle w:val="89"/>
              <w:jc w:val="both"/>
              <w:rPr>
                <w:rFonts w:hAnsi="宋体" w:cs="宋体"/>
                <w:color w:val="auto"/>
                <w:sz w:val="21"/>
                <w:szCs w:val="21"/>
              </w:rPr>
            </w:pPr>
            <w:r>
              <w:rPr>
                <w:rFonts w:hint="eastAsia" w:hAnsi="宋体" w:cs="宋体"/>
                <w:color w:val="auto"/>
                <w:sz w:val="21"/>
                <w:szCs w:val="21"/>
              </w:rPr>
              <w:t>支持业界主流的分布式协议存储接入作为备份存储，如cephrbd，glusterfs、zfs、iscsi、nas等。</w:t>
            </w:r>
          </w:p>
        </w:tc>
      </w:tr>
      <w:tr w14:paraId="2536A5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27DB6576">
            <w:pPr>
              <w:pStyle w:val="109"/>
              <w:ind w:firstLine="0" w:firstLineChars="0"/>
              <w:jc w:val="center"/>
              <w:rPr>
                <w:rFonts w:ascii="宋体" w:hAnsi="宋体"/>
                <w:kern w:val="2"/>
                <w:sz w:val="21"/>
                <w:szCs w:val="21"/>
              </w:rPr>
            </w:pPr>
          </w:p>
        </w:tc>
        <w:tc>
          <w:tcPr>
            <w:tcW w:w="4234" w:type="pct"/>
            <w:vAlign w:val="bottom"/>
          </w:tcPr>
          <w:p w14:paraId="31232135">
            <w:pPr>
              <w:pStyle w:val="89"/>
              <w:jc w:val="both"/>
              <w:rPr>
                <w:rFonts w:hAnsi="宋体" w:cs="宋体"/>
                <w:color w:val="auto"/>
                <w:sz w:val="21"/>
                <w:szCs w:val="21"/>
              </w:rPr>
            </w:pPr>
            <w:r>
              <w:rPr>
                <w:rFonts w:hint="eastAsia" w:hAnsi="宋体" w:cs="宋体"/>
                <w:color w:val="auto"/>
                <w:sz w:val="21"/>
                <w:szCs w:val="21"/>
              </w:rPr>
              <w:t>支持灾备系统的HA功能。当某节点灾备一体机发生故障时，该节点上的所有灾备系统，可以实现在集群之内的其它灾备一体机上接管灾备业务，保障业务连续性。</w:t>
            </w:r>
          </w:p>
        </w:tc>
      </w:tr>
      <w:tr w14:paraId="36C708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3A9854B9">
            <w:pPr>
              <w:pStyle w:val="109"/>
              <w:ind w:firstLine="0" w:firstLineChars="0"/>
              <w:jc w:val="center"/>
              <w:rPr>
                <w:rFonts w:ascii="宋体" w:hAnsi="宋体"/>
                <w:kern w:val="2"/>
                <w:sz w:val="21"/>
                <w:szCs w:val="21"/>
              </w:rPr>
            </w:pPr>
          </w:p>
        </w:tc>
        <w:tc>
          <w:tcPr>
            <w:tcW w:w="4234" w:type="pct"/>
            <w:vAlign w:val="bottom"/>
          </w:tcPr>
          <w:p w14:paraId="7D1F7717">
            <w:pPr>
              <w:pStyle w:val="89"/>
              <w:jc w:val="both"/>
              <w:rPr>
                <w:rFonts w:hAnsi="宋体" w:cs="宋体"/>
                <w:color w:val="auto"/>
                <w:sz w:val="21"/>
                <w:szCs w:val="21"/>
              </w:rPr>
            </w:pPr>
            <w:r>
              <w:rPr>
                <w:rFonts w:hint="eastAsia" w:hAnsi="宋体" w:cs="宋体"/>
                <w:sz w:val="21"/>
                <w:szCs w:val="21"/>
              </w:rPr>
              <w:t>★</w:t>
            </w:r>
            <w:r>
              <w:rPr>
                <w:rFonts w:hint="eastAsia" w:hAnsi="宋体" w:cs="宋体"/>
                <w:color w:val="auto"/>
                <w:sz w:val="21"/>
                <w:szCs w:val="21"/>
              </w:rPr>
              <w:t>支持虚拟机级别的远程数据双向复制和容灾恢复，不需要额外的软硬件采购支持，就具备跨地域的远程数据容灾能力，</w:t>
            </w:r>
            <w:r>
              <w:rPr>
                <w:rFonts w:hint="eastAsia" w:hAnsi="宋体"/>
                <w:sz w:val="21"/>
                <w:szCs w:val="21"/>
              </w:rPr>
              <w:t>投标时提供相关功能截图证明并加盖投标人公章。</w:t>
            </w:r>
          </w:p>
        </w:tc>
      </w:tr>
      <w:tr w14:paraId="4AD0C1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2DBC1815">
            <w:pPr>
              <w:pStyle w:val="109"/>
              <w:ind w:firstLine="0" w:firstLineChars="0"/>
              <w:jc w:val="center"/>
              <w:rPr>
                <w:rFonts w:ascii="宋体" w:hAnsi="宋体"/>
                <w:kern w:val="2"/>
                <w:sz w:val="21"/>
                <w:szCs w:val="21"/>
              </w:rPr>
            </w:pPr>
          </w:p>
        </w:tc>
        <w:tc>
          <w:tcPr>
            <w:tcW w:w="4234" w:type="pct"/>
            <w:vAlign w:val="bottom"/>
          </w:tcPr>
          <w:p w14:paraId="3D5F07BB">
            <w:pPr>
              <w:pStyle w:val="89"/>
              <w:jc w:val="both"/>
              <w:rPr>
                <w:rFonts w:hAnsi="宋体" w:cs="宋体"/>
                <w:color w:val="auto"/>
                <w:sz w:val="21"/>
                <w:szCs w:val="21"/>
              </w:rPr>
            </w:pPr>
            <w:r>
              <w:rPr>
                <w:rFonts w:hint="eastAsia" w:hAnsi="宋体" w:cs="宋体"/>
                <w:color w:val="auto"/>
                <w:sz w:val="21"/>
                <w:szCs w:val="21"/>
              </w:rPr>
              <w:t>支持模块防误删设置，通过开启防误删功能，使得该模块无法被误删除。</w:t>
            </w:r>
          </w:p>
        </w:tc>
      </w:tr>
      <w:tr w14:paraId="160987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3D58C53D">
            <w:pPr>
              <w:pStyle w:val="109"/>
              <w:ind w:firstLine="0" w:firstLineChars="0"/>
              <w:jc w:val="center"/>
              <w:rPr>
                <w:rFonts w:ascii="宋体" w:hAnsi="宋体"/>
                <w:kern w:val="2"/>
                <w:sz w:val="21"/>
                <w:szCs w:val="21"/>
              </w:rPr>
            </w:pPr>
          </w:p>
        </w:tc>
        <w:tc>
          <w:tcPr>
            <w:tcW w:w="4234" w:type="pct"/>
            <w:vAlign w:val="bottom"/>
          </w:tcPr>
          <w:p w14:paraId="0CD393B9">
            <w:pPr>
              <w:pStyle w:val="89"/>
              <w:jc w:val="both"/>
              <w:rPr>
                <w:rFonts w:hAnsi="宋体" w:cs="宋体"/>
                <w:color w:val="auto"/>
                <w:sz w:val="21"/>
                <w:szCs w:val="21"/>
              </w:rPr>
            </w:pPr>
            <w:r>
              <w:rPr>
                <w:rFonts w:hint="eastAsia" w:hAnsi="宋体" w:cs="宋体"/>
                <w:color w:val="auto"/>
                <w:sz w:val="21"/>
                <w:szCs w:val="21"/>
              </w:rPr>
              <w:t>支持配置内存动态回收机制，可指定内存上下限，实现虚拟化平台内存资源的动态复用，保障虚拟机的性能。</w:t>
            </w:r>
          </w:p>
        </w:tc>
      </w:tr>
      <w:tr w14:paraId="344573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2F7DF85E">
            <w:pPr>
              <w:pStyle w:val="109"/>
              <w:ind w:firstLine="0" w:firstLineChars="0"/>
              <w:jc w:val="center"/>
              <w:rPr>
                <w:rFonts w:ascii="宋体" w:hAnsi="宋体"/>
                <w:kern w:val="2"/>
                <w:sz w:val="21"/>
                <w:szCs w:val="21"/>
              </w:rPr>
            </w:pPr>
          </w:p>
        </w:tc>
        <w:tc>
          <w:tcPr>
            <w:tcW w:w="4234" w:type="pct"/>
            <w:vAlign w:val="bottom"/>
          </w:tcPr>
          <w:p w14:paraId="2C0FE156">
            <w:pPr>
              <w:pStyle w:val="89"/>
              <w:jc w:val="both"/>
              <w:rPr>
                <w:rFonts w:hAnsi="宋体" w:cs="宋体"/>
                <w:color w:val="auto"/>
                <w:sz w:val="21"/>
                <w:szCs w:val="21"/>
              </w:rPr>
            </w:pPr>
            <w:r>
              <w:rPr>
                <w:rFonts w:hint="eastAsia" w:hAnsi="宋体" w:cs="宋体"/>
                <w:color w:val="auto"/>
                <w:sz w:val="21"/>
                <w:szCs w:val="21"/>
              </w:rPr>
              <w:t>支持添加一个VM间共享内存设备，该设备允许一个主机和VM之间或多个VM之间共享内存。</w:t>
            </w:r>
          </w:p>
        </w:tc>
      </w:tr>
      <w:tr w14:paraId="3CBD5C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289AE841">
            <w:pPr>
              <w:pStyle w:val="109"/>
              <w:ind w:firstLine="0" w:firstLineChars="0"/>
              <w:jc w:val="center"/>
              <w:rPr>
                <w:rFonts w:ascii="宋体" w:hAnsi="宋体"/>
                <w:kern w:val="2"/>
                <w:sz w:val="21"/>
                <w:szCs w:val="21"/>
              </w:rPr>
            </w:pPr>
          </w:p>
        </w:tc>
        <w:tc>
          <w:tcPr>
            <w:tcW w:w="4234" w:type="pct"/>
            <w:vAlign w:val="bottom"/>
          </w:tcPr>
          <w:p w14:paraId="4C0000E2">
            <w:pPr>
              <w:pStyle w:val="89"/>
              <w:jc w:val="both"/>
              <w:rPr>
                <w:rFonts w:hAnsi="宋体" w:cs="宋体"/>
                <w:color w:val="auto"/>
                <w:sz w:val="21"/>
                <w:szCs w:val="21"/>
              </w:rPr>
            </w:pPr>
            <w:r>
              <w:rPr>
                <w:rFonts w:hint="eastAsia" w:hAnsi="宋体" w:cs="宋体"/>
                <w:color w:val="auto"/>
                <w:sz w:val="21"/>
                <w:szCs w:val="21"/>
              </w:rPr>
              <w:t>支持配置处理器动态回收机制，可指定CPU频率上下限，实现虚拟化平台CPU资源的合理复用，保障虚拟机的性能。</w:t>
            </w:r>
          </w:p>
        </w:tc>
      </w:tr>
      <w:tr w14:paraId="27B123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4B33B2DE">
            <w:pPr>
              <w:pStyle w:val="109"/>
              <w:ind w:firstLine="0" w:firstLineChars="0"/>
              <w:jc w:val="center"/>
              <w:rPr>
                <w:rFonts w:ascii="宋体" w:hAnsi="宋体"/>
                <w:kern w:val="2"/>
                <w:sz w:val="21"/>
                <w:szCs w:val="21"/>
              </w:rPr>
            </w:pPr>
          </w:p>
        </w:tc>
        <w:tc>
          <w:tcPr>
            <w:tcW w:w="4234" w:type="pct"/>
            <w:vAlign w:val="bottom"/>
          </w:tcPr>
          <w:p w14:paraId="559373C2">
            <w:pPr>
              <w:pStyle w:val="89"/>
              <w:jc w:val="both"/>
              <w:rPr>
                <w:rFonts w:hAnsi="宋体" w:cs="宋体"/>
                <w:color w:val="auto"/>
                <w:sz w:val="21"/>
                <w:szCs w:val="21"/>
              </w:rPr>
            </w:pPr>
            <w:r>
              <w:rPr>
                <w:rFonts w:hint="eastAsia" w:hAnsi="宋体" w:cs="宋体"/>
                <w:color w:val="auto"/>
                <w:sz w:val="21"/>
                <w:szCs w:val="21"/>
              </w:rPr>
              <w:t>无需配置额外的网络硬件设备，即可支持Vxlan网络和现有的Vlan网络对接。</w:t>
            </w:r>
          </w:p>
        </w:tc>
      </w:tr>
      <w:tr w14:paraId="63ED59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restart"/>
            <w:vAlign w:val="center"/>
          </w:tcPr>
          <w:p w14:paraId="211F452E">
            <w:pPr>
              <w:pStyle w:val="109"/>
              <w:ind w:firstLine="0" w:firstLineChars="0"/>
              <w:jc w:val="center"/>
              <w:rPr>
                <w:rFonts w:ascii="宋体" w:hAnsi="宋体"/>
                <w:kern w:val="2"/>
                <w:sz w:val="21"/>
                <w:szCs w:val="21"/>
              </w:rPr>
            </w:pPr>
            <w:r>
              <w:rPr>
                <w:rFonts w:hint="eastAsia" w:ascii="宋体" w:hAnsi="宋体"/>
                <w:kern w:val="2"/>
                <w:sz w:val="21"/>
                <w:szCs w:val="21"/>
              </w:rPr>
              <w:t>分布式存储平台要求</w:t>
            </w:r>
          </w:p>
        </w:tc>
        <w:tc>
          <w:tcPr>
            <w:tcW w:w="4234" w:type="pct"/>
            <w:vAlign w:val="center"/>
          </w:tcPr>
          <w:p w14:paraId="2E42EE10">
            <w:pPr>
              <w:pStyle w:val="89"/>
              <w:jc w:val="both"/>
              <w:rPr>
                <w:rFonts w:hAnsi="宋体" w:cs="宋体"/>
                <w:color w:val="auto"/>
                <w:sz w:val="21"/>
                <w:szCs w:val="21"/>
              </w:rPr>
            </w:pPr>
            <w:r>
              <w:rPr>
                <w:rFonts w:hint="eastAsia" w:hAnsi="宋体" w:cs="宋体"/>
                <w:color w:val="auto"/>
                <w:sz w:val="21"/>
                <w:szCs w:val="21"/>
              </w:rPr>
              <w:t>架构支持全局的N+1、N+M模式纠删码和副本模式冗余，在某硬件出问题时，灾备系统能够进行自动切换；所有数据至少可同时存储2份，分散在多个节点上，没有单点故障。</w:t>
            </w:r>
          </w:p>
        </w:tc>
      </w:tr>
      <w:tr w14:paraId="5288E0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3" w:hRule="atLeast"/>
          <w:jc w:val="center"/>
        </w:trPr>
        <w:tc>
          <w:tcPr>
            <w:tcW w:w="766" w:type="pct"/>
            <w:vMerge w:val="continue"/>
            <w:vAlign w:val="center"/>
          </w:tcPr>
          <w:p w14:paraId="53F5160E">
            <w:pPr>
              <w:pStyle w:val="109"/>
              <w:ind w:firstLine="0" w:firstLineChars="0"/>
              <w:jc w:val="center"/>
              <w:rPr>
                <w:rFonts w:ascii="宋体" w:hAnsi="宋体"/>
                <w:kern w:val="2"/>
                <w:sz w:val="21"/>
                <w:szCs w:val="21"/>
              </w:rPr>
            </w:pPr>
          </w:p>
        </w:tc>
        <w:tc>
          <w:tcPr>
            <w:tcW w:w="4234" w:type="pct"/>
            <w:vAlign w:val="center"/>
          </w:tcPr>
          <w:p w14:paraId="7C014068">
            <w:pPr>
              <w:pStyle w:val="89"/>
              <w:jc w:val="both"/>
              <w:rPr>
                <w:rFonts w:hAnsi="宋体" w:cs="宋体"/>
                <w:color w:val="auto"/>
                <w:sz w:val="21"/>
                <w:szCs w:val="21"/>
              </w:rPr>
            </w:pPr>
            <w:r>
              <w:rPr>
                <w:rFonts w:hint="eastAsia" w:hAnsi="宋体" w:cs="宋体"/>
                <w:color w:val="auto"/>
                <w:sz w:val="21"/>
                <w:szCs w:val="21"/>
              </w:rPr>
              <w:t>嵌入虚拟服务器内核，虚拟机、应用、底层存储基础架构，缩短I/O数据路径降低延时，虚拟服务器的CPU资源占用更少，小于10%，与虚机的迁移无缝集成。</w:t>
            </w:r>
          </w:p>
        </w:tc>
      </w:tr>
      <w:tr w14:paraId="380D6B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2DA32CCF">
            <w:pPr>
              <w:pStyle w:val="109"/>
              <w:ind w:firstLine="0" w:firstLineChars="0"/>
              <w:jc w:val="center"/>
              <w:rPr>
                <w:rFonts w:ascii="宋体" w:hAnsi="宋体"/>
                <w:kern w:val="2"/>
                <w:sz w:val="21"/>
                <w:szCs w:val="21"/>
              </w:rPr>
            </w:pPr>
          </w:p>
        </w:tc>
        <w:tc>
          <w:tcPr>
            <w:tcW w:w="4234" w:type="pct"/>
            <w:vAlign w:val="center"/>
          </w:tcPr>
          <w:p w14:paraId="6CCC3834">
            <w:pPr>
              <w:pStyle w:val="89"/>
              <w:jc w:val="both"/>
              <w:rPr>
                <w:rFonts w:hAnsi="宋体" w:cs="宋体"/>
                <w:color w:val="auto"/>
                <w:sz w:val="21"/>
                <w:szCs w:val="21"/>
              </w:rPr>
            </w:pPr>
            <w:r>
              <w:rPr>
                <w:rFonts w:hint="eastAsia" w:hAnsi="宋体" w:cs="宋体"/>
                <w:color w:val="auto"/>
                <w:sz w:val="21"/>
                <w:szCs w:val="21"/>
              </w:rPr>
              <w:t>支持数据平衡功能。集群新增节点后，数据可以在新、旧节点间动态的均衡分布，实现存储性能和容量的均衡扩展。</w:t>
            </w:r>
          </w:p>
        </w:tc>
      </w:tr>
      <w:tr w14:paraId="63161F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15D0AE0E">
            <w:pPr>
              <w:pStyle w:val="109"/>
              <w:ind w:firstLine="0" w:firstLineChars="0"/>
              <w:jc w:val="center"/>
              <w:rPr>
                <w:rFonts w:ascii="宋体" w:hAnsi="宋体"/>
                <w:kern w:val="2"/>
                <w:sz w:val="21"/>
                <w:szCs w:val="21"/>
              </w:rPr>
            </w:pPr>
          </w:p>
        </w:tc>
        <w:tc>
          <w:tcPr>
            <w:tcW w:w="4234" w:type="pct"/>
            <w:vAlign w:val="center"/>
          </w:tcPr>
          <w:p w14:paraId="570C2FD1">
            <w:pPr>
              <w:pStyle w:val="89"/>
              <w:jc w:val="both"/>
              <w:rPr>
                <w:rFonts w:hAnsi="宋体" w:cs="宋体"/>
                <w:color w:val="auto"/>
                <w:sz w:val="21"/>
                <w:szCs w:val="21"/>
              </w:rPr>
            </w:pPr>
            <w:r>
              <w:rPr>
                <w:rFonts w:hint="eastAsia" w:hAnsi="宋体" w:cs="宋体"/>
                <w:color w:val="auto"/>
                <w:sz w:val="21"/>
                <w:szCs w:val="21"/>
              </w:rPr>
              <w:t>支持虚拟存储集群网络隔离。可以设置独立的私有网络，保持与物理网络隔离，仅作为集群内存储节点间的数据交换使用，避免受到病毒攻击、ARP攻击，保证虚拟存储集群的稳定性。</w:t>
            </w:r>
          </w:p>
        </w:tc>
      </w:tr>
      <w:tr w14:paraId="1A0FD2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2D33A03C">
            <w:pPr>
              <w:pStyle w:val="109"/>
              <w:ind w:firstLine="0" w:firstLineChars="0"/>
              <w:jc w:val="center"/>
              <w:rPr>
                <w:rFonts w:ascii="宋体" w:hAnsi="宋体"/>
                <w:kern w:val="2"/>
                <w:sz w:val="21"/>
                <w:szCs w:val="21"/>
              </w:rPr>
            </w:pPr>
          </w:p>
        </w:tc>
        <w:tc>
          <w:tcPr>
            <w:tcW w:w="4234" w:type="pct"/>
            <w:vAlign w:val="center"/>
          </w:tcPr>
          <w:p w14:paraId="3FA48F88">
            <w:pPr>
              <w:pStyle w:val="89"/>
              <w:jc w:val="both"/>
              <w:rPr>
                <w:rFonts w:hAnsi="宋体" w:cs="宋体"/>
                <w:color w:val="auto"/>
                <w:sz w:val="21"/>
                <w:szCs w:val="21"/>
              </w:rPr>
            </w:pPr>
            <w:r>
              <w:rPr>
                <w:rFonts w:hint="eastAsia" w:hAnsi="宋体" w:cs="宋体"/>
                <w:color w:val="auto"/>
                <w:sz w:val="21"/>
                <w:szCs w:val="21"/>
              </w:rPr>
              <w:t>支持数据安全恢复机制。当主机或者磁盘故障后，自动利用集群内空闲磁盘空间，将故障数据重新恢复，并保证副本数量，确保用户数据的可靠性和安全性。</w:t>
            </w:r>
          </w:p>
        </w:tc>
      </w:tr>
      <w:tr w14:paraId="08D928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001380F9">
            <w:pPr>
              <w:pStyle w:val="109"/>
              <w:ind w:firstLine="0" w:firstLineChars="0"/>
              <w:jc w:val="center"/>
              <w:rPr>
                <w:rFonts w:ascii="宋体" w:hAnsi="宋体"/>
                <w:kern w:val="2"/>
                <w:sz w:val="21"/>
                <w:szCs w:val="21"/>
              </w:rPr>
            </w:pPr>
          </w:p>
        </w:tc>
        <w:tc>
          <w:tcPr>
            <w:tcW w:w="4234" w:type="pct"/>
            <w:vAlign w:val="center"/>
          </w:tcPr>
          <w:p w14:paraId="69301976">
            <w:pPr>
              <w:pStyle w:val="89"/>
              <w:jc w:val="both"/>
              <w:rPr>
                <w:rFonts w:hAnsi="宋体" w:cs="宋体"/>
                <w:color w:val="auto"/>
                <w:sz w:val="21"/>
                <w:szCs w:val="21"/>
              </w:rPr>
            </w:pPr>
            <w:r>
              <w:rPr>
                <w:rFonts w:hAnsi="宋体" w:cs="宋体"/>
                <w:color w:val="auto"/>
                <w:sz w:val="21"/>
                <w:szCs w:val="21"/>
              </w:rPr>
              <w:t>硬盘损坏之后</w:t>
            </w:r>
            <w:r>
              <w:rPr>
                <w:rFonts w:hint="eastAsia" w:hAnsi="宋体" w:cs="宋体"/>
                <w:color w:val="auto"/>
                <w:sz w:val="21"/>
                <w:szCs w:val="21"/>
              </w:rPr>
              <w:t>，</w:t>
            </w:r>
            <w:r>
              <w:rPr>
                <w:rFonts w:hAnsi="宋体" w:cs="宋体"/>
                <w:color w:val="auto"/>
                <w:sz w:val="21"/>
                <w:szCs w:val="21"/>
              </w:rPr>
              <w:t>能自动启动数据恢复过程</w:t>
            </w:r>
            <w:r>
              <w:rPr>
                <w:rFonts w:hint="eastAsia" w:hAnsi="宋体" w:cs="宋体"/>
                <w:color w:val="auto"/>
                <w:sz w:val="21"/>
                <w:szCs w:val="21"/>
              </w:rPr>
              <w:t>，</w:t>
            </w:r>
            <w:r>
              <w:rPr>
                <w:rFonts w:hAnsi="宋体" w:cs="宋体"/>
                <w:color w:val="auto"/>
                <w:sz w:val="21"/>
                <w:szCs w:val="21"/>
              </w:rPr>
              <w:t>并可对数据恢复的速度进行调节</w:t>
            </w:r>
            <w:r>
              <w:rPr>
                <w:rFonts w:hint="eastAsia" w:hAnsi="宋体" w:cs="宋体"/>
                <w:color w:val="auto"/>
                <w:sz w:val="21"/>
                <w:szCs w:val="21"/>
              </w:rPr>
              <w:t>，在业务性能和数据恢复速度之间取得平衡。</w:t>
            </w:r>
          </w:p>
        </w:tc>
      </w:tr>
      <w:tr w14:paraId="1F73BC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4" w:hRule="atLeast"/>
          <w:jc w:val="center"/>
        </w:trPr>
        <w:tc>
          <w:tcPr>
            <w:tcW w:w="766" w:type="pct"/>
            <w:vMerge w:val="restart"/>
            <w:vAlign w:val="center"/>
          </w:tcPr>
          <w:p w14:paraId="0913EE98">
            <w:pPr>
              <w:pStyle w:val="109"/>
              <w:ind w:firstLine="0" w:firstLineChars="0"/>
              <w:jc w:val="center"/>
              <w:rPr>
                <w:rFonts w:ascii="宋体" w:hAnsi="宋体" w:cs="宋体"/>
                <w:kern w:val="2"/>
                <w:sz w:val="21"/>
                <w:szCs w:val="21"/>
              </w:rPr>
            </w:pPr>
            <w:r>
              <w:rPr>
                <w:rFonts w:hint="eastAsia" w:ascii="宋体" w:hAnsi="宋体"/>
                <w:kern w:val="2"/>
                <w:sz w:val="21"/>
                <w:szCs w:val="21"/>
              </w:rPr>
              <w:t>平台自身安全机制</w:t>
            </w:r>
          </w:p>
        </w:tc>
        <w:tc>
          <w:tcPr>
            <w:tcW w:w="4234" w:type="pct"/>
            <w:vAlign w:val="center"/>
          </w:tcPr>
          <w:p w14:paraId="0E45B2E8">
            <w:pPr>
              <w:pStyle w:val="89"/>
              <w:jc w:val="both"/>
              <w:rPr>
                <w:rFonts w:hAnsi="宋体" w:cs="宋体"/>
                <w:color w:val="auto"/>
                <w:sz w:val="21"/>
                <w:szCs w:val="21"/>
              </w:rPr>
            </w:pPr>
            <w:r>
              <w:rPr>
                <w:rFonts w:hint="eastAsia" w:hAnsi="宋体" w:cs="宋体"/>
                <w:color w:val="auto"/>
                <w:sz w:val="21"/>
                <w:szCs w:val="21"/>
              </w:rPr>
              <w:t>内置分布式防火墙功能，具有数据中心、主机、灾备系统外层、灾备系统内层四级防火墙机制。</w:t>
            </w:r>
          </w:p>
        </w:tc>
      </w:tr>
      <w:tr w14:paraId="0D6F74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5FC1CBB7">
            <w:pPr>
              <w:pStyle w:val="109"/>
              <w:ind w:firstLine="0" w:firstLineChars="0"/>
              <w:jc w:val="center"/>
              <w:rPr>
                <w:rFonts w:ascii="宋体" w:hAnsi="宋体"/>
                <w:kern w:val="2"/>
                <w:sz w:val="21"/>
                <w:szCs w:val="21"/>
              </w:rPr>
            </w:pPr>
          </w:p>
        </w:tc>
        <w:tc>
          <w:tcPr>
            <w:tcW w:w="4234" w:type="pct"/>
            <w:vAlign w:val="center"/>
          </w:tcPr>
          <w:p w14:paraId="5C53E0F7">
            <w:pPr>
              <w:pStyle w:val="89"/>
              <w:jc w:val="both"/>
              <w:rPr>
                <w:rFonts w:hAnsi="宋体" w:cs="宋体"/>
                <w:color w:val="auto"/>
                <w:sz w:val="21"/>
                <w:szCs w:val="21"/>
              </w:rPr>
            </w:pPr>
            <w:r>
              <w:rPr>
                <w:rFonts w:hint="eastAsia" w:hAnsi="宋体" w:cs="宋体"/>
                <w:color w:val="auto"/>
                <w:sz w:val="21"/>
                <w:szCs w:val="21"/>
              </w:rPr>
              <w:t>内置防勒索准入机制：采用严格的白名单模式，阻断139、445、3389等勒索入侵端口，仅允许灾备端口和灾备管理端口开放，其中灾备管理端口仅灾备管理人员机器可访问。</w:t>
            </w:r>
          </w:p>
        </w:tc>
      </w:tr>
      <w:tr w14:paraId="00D93D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447CA92F">
            <w:pPr>
              <w:pStyle w:val="109"/>
              <w:ind w:firstLine="0" w:firstLineChars="0"/>
              <w:jc w:val="center"/>
              <w:rPr>
                <w:rFonts w:ascii="宋体" w:hAnsi="宋体"/>
                <w:kern w:val="2"/>
                <w:sz w:val="21"/>
                <w:szCs w:val="21"/>
              </w:rPr>
            </w:pPr>
          </w:p>
        </w:tc>
        <w:tc>
          <w:tcPr>
            <w:tcW w:w="4234" w:type="pct"/>
            <w:vAlign w:val="center"/>
          </w:tcPr>
          <w:p w14:paraId="07488B7D">
            <w:pPr>
              <w:pStyle w:val="89"/>
              <w:jc w:val="both"/>
              <w:rPr>
                <w:rFonts w:hAnsi="宋体" w:cs="宋体"/>
                <w:color w:val="auto"/>
                <w:sz w:val="21"/>
                <w:szCs w:val="21"/>
              </w:rPr>
            </w:pPr>
            <w:r>
              <w:rPr>
                <w:rFonts w:hint="eastAsia" w:hAnsi="宋体" w:cs="宋体"/>
                <w:color w:val="auto"/>
                <w:sz w:val="21"/>
                <w:szCs w:val="21"/>
              </w:rPr>
              <w:t>所有灾备模块相互隔离，采用分布式统一监控模式，灾备模块底层具有快照保护功能，可以实现灾备模块回退，保障灾备模块自身安全。</w:t>
            </w:r>
          </w:p>
        </w:tc>
      </w:tr>
      <w:tr w14:paraId="01B557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1DFCDA78">
            <w:pPr>
              <w:pStyle w:val="109"/>
              <w:ind w:firstLine="0" w:firstLineChars="0"/>
              <w:jc w:val="center"/>
              <w:rPr>
                <w:rFonts w:ascii="宋体" w:hAnsi="宋体"/>
                <w:kern w:val="2"/>
                <w:sz w:val="21"/>
                <w:szCs w:val="21"/>
              </w:rPr>
            </w:pPr>
          </w:p>
        </w:tc>
        <w:tc>
          <w:tcPr>
            <w:tcW w:w="4234" w:type="pct"/>
            <w:vAlign w:val="center"/>
          </w:tcPr>
          <w:p w14:paraId="2749742E">
            <w:pPr>
              <w:pStyle w:val="89"/>
              <w:jc w:val="both"/>
              <w:rPr>
                <w:rFonts w:hAnsi="宋体" w:cs="宋体"/>
                <w:color w:val="auto"/>
                <w:sz w:val="21"/>
                <w:szCs w:val="21"/>
              </w:rPr>
            </w:pPr>
            <w:r>
              <w:rPr>
                <w:rFonts w:hint="eastAsia" w:hAnsi="宋体" w:cs="宋体"/>
                <w:color w:val="auto"/>
                <w:sz w:val="21"/>
                <w:szCs w:val="21"/>
              </w:rPr>
              <w:t>内置备份数据加密安全管理系统，具备完全自主知识产权，投标时提供数据加密安全管理系统软件著作权证书复印件。</w:t>
            </w:r>
          </w:p>
        </w:tc>
      </w:tr>
      <w:tr w14:paraId="74519B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735B1BD9">
            <w:pPr>
              <w:pStyle w:val="109"/>
              <w:ind w:firstLine="0" w:firstLineChars="0"/>
              <w:jc w:val="center"/>
              <w:rPr>
                <w:rFonts w:ascii="宋体" w:hAnsi="宋体"/>
                <w:kern w:val="2"/>
                <w:sz w:val="21"/>
                <w:szCs w:val="21"/>
              </w:rPr>
            </w:pPr>
          </w:p>
        </w:tc>
        <w:tc>
          <w:tcPr>
            <w:tcW w:w="4234" w:type="pct"/>
            <w:vAlign w:val="center"/>
          </w:tcPr>
          <w:p w14:paraId="23326A41">
            <w:pPr>
              <w:pStyle w:val="89"/>
              <w:jc w:val="both"/>
              <w:rPr>
                <w:rFonts w:hAnsi="宋体" w:cs="宋体"/>
                <w:color w:val="000000" w:themeColor="text1"/>
                <w:sz w:val="21"/>
                <w:szCs w:val="21"/>
                <w14:textFill>
                  <w14:solidFill>
                    <w14:schemeClr w14:val="tx1"/>
                  </w14:solidFill>
                </w14:textFill>
              </w:rPr>
            </w:pPr>
            <w:r>
              <w:rPr>
                <w:rFonts w:hint="eastAsia" w:hAnsi="宋体" w:cs="宋体"/>
                <w:sz w:val="21"/>
                <w:szCs w:val="21"/>
              </w:rPr>
              <w:t>★</w:t>
            </w:r>
            <w:r>
              <w:rPr>
                <w:rFonts w:hint="eastAsia" w:hAnsi="宋体" w:cs="宋体"/>
                <w:color w:val="000000" w:themeColor="text1"/>
                <w:sz w:val="21"/>
                <w:szCs w:val="21"/>
                <w14:textFill>
                  <w14:solidFill>
                    <w14:schemeClr w14:val="tx1"/>
                  </w14:solidFill>
                </w14:textFill>
              </w:rPr>
              <w:t>内置备份数据加锁功能，保障备份数据的安全。</w:t>
            </w:r>
          </w:p>
        </w:tc>
      </w:tr>
      <w:tr w14:paraId="7A2211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74ECDC37">
            <w:pPr>
              <w:pStyle w:val="109"/>
              <w:ind w:firstLine="0" w:firstLineChars="0"/>
              <w:jc w:val="center"/>
              <w:rPr>
                <w:rFonts w:ascii="宋体" w:hAnsi="宋体"/>
                <w:kern w:val="2"/>
                <w:sz w:val="21"/>
                <w:szCs w:val="21"/>
              </w:rPr>
            </w:pPr>
          </w:p>
        </w:tc>
        <w:tc>
          <w:tcPr>
            <w:tcW w:w="4234" w:type="pct"/>
            <w:vAlign w:val="center"/>
          </w:tcPr>
          <w:p w14:paraId="17A3AE7D">
            <w:pPr>
              <w:pStyle w:val="89"/>
              <w:jc w:val="both"/>
              <w:rPr>
                <w:rFonts w:hAnsi="宋体" w:cs="宋体"/>
                <w:color w:val="auto"/>
                <w:sz w:val="21"/>
                <w:szCs w:val="21"/>
              </w:rPr>
            </w:pPr>
            <w:r>
              <w:rPr>
                <w:rFonts w:hint="eastAsia" w:hAnsi="宋体" w:cs="宋体"/>
                <w:color w:val="auto"/>
                <w:sz w:val="21"/>
                <w:szCs w:val="21"/>
              </w:rPr>
              <w:t>★内置S</w:t>
            </w:r>
            <w:r>
              <w:rPr>
                <w:rFonts w:hAnsi="宋体" w:cs="宋体"/>
                <w:color w:val="auto"/>
                <w:sz w:val="21"/>
                <w:szCs w:val="21"/>
              </w:rPr>
              <w:t>3</w:t>
            </w:r>
            <w:r>
              <w:rPr>
                <w:rFonts w:hint="eastAsia" w:hAnsi="宋体" w:cs="宋体"/>
                <w:color w:val="auto"/>
                <w:sz w:val="21"/>
                <w:szCs w:val="21"/>
              </w:rPr>
              <w:t>协议的安全存储功能和数据生命周期管理机制。</w:t>
            </w:r>
          </w:p>
        </w:tc>
      </w:tr>
      <w:tr w14:paraId="0F7003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49249BEB">
            <w:pPr>
              <w:pStyle w:val="109"/>
              <w:ind w:firstLine="0" w:firstLineChars="0"/>
              <w:jc w:val="center"/>
              <w:rPr>
                <w:rFonts w:ascii="宋体" w:hAnsi="宋体"/>
                <w:kern w:val="2"/>
                <w:sz w:val="21"/>
                <w:szCs w:val="21"/>
              </w:rPr>
            </w:pPr>
          </w:p>
        </w:tc>
        <w:tc>
          <w:tcPr>
            <w:tcW w:w="4234" w:type="pct"/>
            <w:vAlign w:val="center"/>
          </w:tcPr>
          <w:p w14:paraId="7ED282B6">
            <w:pPr>
              <w:pStyle w:val="89"/>
              <w:jc w:val="both"/>
              <w:rPr>
                <w:rFonts w:hAnsi="宋体" w:cs="宋体"/>
                <w:color w:val="auto"/>
                <w:sz w:val="21"/>
                <w:szCs w:val="21"/>
              </w:rPr>
            </w:pPr>
            <w:r>
              <w:rPr>
                <w:rFonts w:hint="eastAsia" w:hAnsi="宋体" w:cs="宋体"/>
                <w:color w:val="auto"/>
                <w:sz w:val="21"/>
                <w:szCs w:val="21"/>
              </w:rPr>
              <w:t>★内置VTL功能，可以归档数据到vtl内，实现离线存储。</w:t>
            </w:r>
          </w:p>
        </w:tc>
      </w:tr>
      <w:tr w14:paraId="729734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restart"/>
            <w:vAlign w:val="center"/>
          </w:tcPr>
          <w:p w14:paraId="59498600">
            <w:pPr>
              <w:pStyle w:val="109"/>
              <w:ind w:firstLine="0" w:firstLineChars="0"/>
              <w:jc w:val="center"/>
              <w:rPr>
                <w:rFonts w:ascii="宋体" w:hAnsi="宋体"/>
                <w:sz w:val="21"/>
                <w:szCs w:val="21"/>
              </w:rPr>
            </w:pPr>
            <w:r>
              <w:rPr>
                <w:rFonts w:hint="eastAsia" w:ascii="宋体" w:hAnsi="宋体"/>
                <w:kern w:val="2"/>
                <w:sz w:val="21"/>
                <w:szCs w:val="21"/>
              </w:rPr>
              <w:t>灾备系统基本要求</w:t>
            </w:r>
          </w:p>
        </w:tc>
        <w:tc>
          <w:tcPr>
            <w:tcW w:w="4234" w:type="pct"/>
            <w:vAlign w:val="center"/>
          </w:tcPr>
          <w:p w14:paraId="029B428A">
            <w:pPr>
              <w:rPr>
                <w:szCs w:val="21"/>
              </w:rPr>
            </w:pPr>
            <w:r>
              <w:rPr>
                <w:rFonts w:hint="eastAsia"/>
                <w:szCs w:val="21"/>
              </w:rPr>
              <w:t>支持对ARM、飞腾、兆芯、海光、X86处理器等架构下的物理机、虚拟机、超融合、私有云和公有云提供统一灾备保护。</w:t>
            </w:r>
          </w:p>
        </w:tc>
      </w:tr>
      <w:tr w14:paraId="52BA9D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12F7D4D3">
            <w:pPr>
              <w:pStyle w:val="85"/>
              <w:ind w:right="240" w:firstLine="0" w:firstLineChars="0"/>
              <w:jc w:val="center"/>
              <w:rPr>
                <w:rFonts w:ascii="宋体" w:hAnsi="宋体"/>
                <w:szCs w:val="21"/>
              </w:rPr>
            </w:pPr>
          </w:p>
        </w:tc>
        <w:tc>
          <w:tcPr>
            <w:tcW w:w="4234" w:type="pct"/>
            <w:vAlign w:val="center"/>
          </w:tcPr>
          <w:p w14:paraId="07DE76BB">
            <w:pPr>
              <w:rPr>
                <w:szCs w:val="21"/>
              </w:rPr>
            </w:pPr>
            <w:r>
              <w:rPr>
                <w:rFonts w:hint="eastAsia"/>
                <w:szCs w:val="21"/>
              </w:rPr>
              <w:t>支持</w:t>
            </w:r>
            <w:r>
              <w:rPr>
                <w:szCs w:val="21"/>
              </w:rPr>
              <w:t>Windows Sever 2003及以上和Linux2.6.18及以上的操作系统，不需区分业务系统的类型、部署方法、业务系统间的数据交互机制、数据结构/逻辑关系和数据库的品牌/版本等</w:t>
            </w:r>
            <w:r>
              <w:rPr>
                <w:rFonts w:hint="eastAsia"/>
                <w:szCs w:val="21"/>
              </w:rPr>
              <w:t>。</w:t>
            </w:r>
          </w:p>
        </w:tc>
      </w:tr>
      <w:tr w14:paraId="5FC7B6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02846FBE">
            <w:pPr>
              <w:pStyle w:val="85"/>
              <w:ind w:right="240" w:firstLine="0" w:firstLineChars="0"/>
              <w:jc w:val="center"/>
              <w:rPr>
                <w:rFonts w:ascii="宋体" w:hAnsi="宋体"/>
                <w:szCs w:val="21"/>
              </w:rPr>
            </w:pPr>
          </w:p>
        </w:tc>
        <w:tc>
          <w:tcPr>
            <w:tcW w:w="4234" w:type="pct"/>
            <w:vAlign w:val="center"/>
          </w:tcPr>
          <w:p w14:paraId="24B9866F">
            <w:pPr>
              <w:rPr>
                <w:szCs w:val="21"/>
              </w:rPr>
            </w:pPr>
            <w:r>
              <w:rPr>
                <w:szCs w:val="21"/>
              </w:rPr>
              <w:t>支持对神舟通用、达梦、南大通用、人大金仓、瀚高、优炫和高斯等主流数据库进行备份保护。</w:t>
            </w:r>
          </w:p>
        </w:tc>
      </w:tr>
      <w:tr w14:paraId="5B850B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3984C3A6">
            <w:pPr>
              <w:pStyle w:val="85"/>
              <w:ind w:right="240" w:firstLine="0" w:firstLineChars="0"/>
              <w:jc w:val="center"/>
              <w:rPr>
                <w:rFonts w:ascii="宋体" w:hAnsi="宋体"/>
                <w:szCs w:val="21"/>
              </w:rPr>
            </w:pPr>
          </w:p>
        </w:tc>
        <w:tc>
          <w:tcPr>
            <w:tcW w:w="4234" w:type="pct"/>
            <w:vAlign w:val="center"/>
          </w:tcPr>
          <w:p w14:paraId="2BC3D21D">
            <w:pPr>
              <w:pStyle w:val="89"/>
              <w:jc w:val="both"/>
              <w:rPr>
                <w:rFonts w:hAnsi="宋体" w:cs="仿宋"/>
                <w:color w:val="auto"/>
                <w:sz w:val="21"/>
                <w:szCs w:val="21"/>
                <w:highlight w:val="yellow"/>
              </w:rPr>
            </w:pPr>
            <w:r>
              <w:rPr>
                <w:rFonts w:hint="eastAsia" w:hAnsi="宋体" w:cs="仿宋"/>
                <w:color w:val="auto"/>
                <w:sz w:val="21"/>
                <w:szCs w:val="21"/>
              </w:rPr>
              <w:t>支持当前主流政务云和信创云上的RDS数据库（包含不仅限mysql、mssql、PostgreSQL、MongoDB、PPAS、Redis、DRDS等）及未来扩展的数据库的DDL、DML等全对象的复制备份；具备完全知识产权的RDS数据库凭条复制备份系统，投标时提供“R</w:t>
            </w:r>
            <w:r>
              <w:rPr>
                <w:rFonts w:hAnsi="宋体" w:cs="仿宋"/>
                <w:color w:val="auto"/>
                <w:sz w:val="21"/>
                <w:szCs w:val="21"/>
              </w:rPr>
              <w:t>DS</w:t>
            </w:r>
            <w:r>
              <w:rPr>
                <w:rFonts w:hint="eastAsia" w:hAnsi="宋体" w:cs="仿宋"/>
                <w:color w:val="auto"/>
                <w:sz w:val="21"/>
                <w:szCs w:val="21"/>
              </w:rPr>
              <w:t>数据库平台复制备份系统”软件著作权证书复印件。</w:t>
            </w:r>
          </w:p>
        </w:tc>
      </w:tr>
      <w:tr w14:paraId="6BFB0D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394F8F8A">
            <w:pPr>
              <w:pStyle w:val="85"/>
              <w:ind w:right="240" w:firstLine="0" w:firstLineChars="0"/>
              <w:jc w:val="center"/>
              <w:rPr>
                <w:rFonts w:ascii="宋体" w:hAnsi="宋体"/>
                <w:szCs w:val="21"/>
              </w:rPr>
            </w:pPr>
          </w:p>
        </w:tc>
        <w:tc>
          <w:tcPr>
            <w:tcW w:w="4234" w:type="pct"/>
            <w:vAlign w:val="center"/>
          </w:tcPr>
          <w:p w14:paraId="2E3CA485">
            <w:pPr>
              <w:pStyle w:val="89"/>
              <w:jc w:val="both"/>
              <w:rPr>
                <w:rFonts w:hAnsi="宋体" w:cs="仿宋"/>
                <w:color w:val="auto"/>
                <w:sz w:val="21"/>
                <w:szCs w:val="21"/>
              </w:rPr>
            </w:pPr>
            <w:r>
              <w:rPr>
                <w:rFonts w:hAnsi="宋体"/>
                <w:color w:val="auto"/>
                <w:sz w:val="21"/>
                <w:szCs w:val="21"/>
              </w:rPr>
              <w:t>采用</w:t>
            </w:r>
            <w:r>
              <w:rPr>
                <w:rFonts w:hint="eastAsia" w:hAnsi="宋体"/>
                <w:color w:val="auto"/>
                <w:sz w:val="21"/>
                <w:szCs w:val="21"/>
              </w:rPr>
              <w:t>统一的灾备a</w:t>
            </w:r>
            <w:r>
              <w:rPr>
                <w:rFonts w:hAnsi="宋体"/>
                <w:color w:val="auto"/>
                <w:sz w:val="21"/>
                <w:szCs w:val="21"/>
              </w:rPr>
              <w:t>gent即可</w:t>
            </w:r>
            <w:r>
              <w:rPr>
                <w:rFonts w:hint="eastAsia" w:hAnsi="宋体"/>
                <w:color w:val="auto"/>
                <w:sz w:val="21"/>
                <w:szCs w:val="21"/>
              </w:rPr>
              <w:t>实现</w:t>
            </w:r>
            <w:r>
              <w:rPr>
                <w:rFonts w:hAnsi="宋体"/>
                <w:color w:val="auto"/>
                <w:sz w:val="21"/>
                <w:szCs w:val="21"/>
              </w:rPr>
              <w:t>对任意应用系统和数据</w:t>
            </w:r>
            <w:r>
              <w:rPr>
                <w:rFonts w:hint="eastAsia" w:hAnsi="宋体"/>
                <w:color w:val="auto"/>
                <w:sz w:val="21"/>
                <w:szCs w:val="21"/>
              </w:rPr>
              <w:t>库</w:t>
            </w:r>
            <w:r>
              <w:rPr>
                <w:rFonts w:hAnsi="宋体"/>
                <w:color w:val="auto"/>
                <w:sz w:val="21"/>
                <w:szCs w:val="21"/>
              </w:rPr>
              <w:t>提供整</w:t>
            </w:r>
            <w:r>
              <w:rPr>
                <w:rFonts w:hint="eastAsia" w:hAnsi="宋体"/>
                <w:color w:val="auto"/>
                <w:sz w:val="21"/>
                <w:szCs w:val="21"/>
              </w:rPr>
              <w:t>体</w:t>
            </w:r>
            <w:r>
              <w:rPr>
                <w:rFonts w:hAnsi="宋体"/>
                <w:color w:val="auto"/>
                <w:sz w:val="21"/>
                <w:szCs w:val="21"/>
              </w:rPr>
              <w:t>灾备保护</w:t>
            </w:r>
            <w:r>
              <w:rPr>
                <w:rFonts w:hint="eastAsia" w:hAnsi="宋体"/>
                <w:color w:val="auto"/>
                <w:sz w:val="21"/>
                <w:szCs w:val="21"/>
              </w:rPr>
              <w:t>。</w:t>
            </w:r>
          </w:p>
        </w:tc>
      </w:tr>
      <w:tr w14:paraId="4CAC0B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0BDFEE1C">
            <w:pPr>
              <w:pStyle w:val="85"/>
              <w:ind w:left="240" w:right="240" w:firstLine="0" w:firstLineChars="0"/>
              <w:jc w:val="center"/>
              <w:rPr>
                <w:rFonts w:ascii="宋体" w:hAnsi="宋体"/>
                <w:szCs w:val="21"/>
              </w:rPr>
            </w:pPr>
          </w:p>
        </w:tc>
        <w:tc>
          <w:tcPr>
            <w:tcW w:w="4234" w:type="pct"/>
            <w:vAlign w:val="center"/>
          </w:tcPr>
          <w:p w14:paraId="05DD8D77">
            <w:pPr>
              <w:rPr>
                <w:rFonts w:cs="Arial"/>
                <w:szCs w:val="21"/>
              </w:rPr>
            </w:pPr>
            <w:r>
              <w:rPr>
                <w:rFonts w:hint="eastAsia" w:cs="Arial"/>
                <w:szCs w:val="21"/>
              </w:rPr>
              <w:t>支持windows、linux系统下文件的备份；</w:t>
            </w:r>
          </w:p>
          <w:p w14:paraId="2C025FC9">
            <w:pPr>
              <w:rPr>
                <w:szCs w:val="21"/>
              </w:rPr>
            </w:pPr>
            <w:r>
              <w:rPr>
                <w:rFonts w:cs="Arial"/>
                <w:szCs w:val="21"/>
              </w:rPr>
              <w:t>支持华为OBS、腾讯COS、</w:t>
            </w:r>
            <w:r>
              <w:rPr>
                <w:rFonts w:hint="eastAsia" w:cs="Arial"/>
                <w:szCs w:val="21"/>
              </w:rPr>
              <w:t>阿里OSS和兼容s</w:t>
            </w:r>
            <w:r>
              <w:rPr>
                <w:rFonts w:cs="Arial"/>
                <w:szCs w:val="21"/>
              </w:rPr>
              <w:t>3</w:t>
            </w:r>
            <w:r>
              <w:rPr>
                <w:rFonts w:hint="eastAsia" w:cs="Arial"/>
                <w:szCs w:val="21"/>
              </w:rPr>
              <w:t>协议等</w:t>
            </w:r>
            <w:r>
              <w:rPr>
                <w:rFonts w:cs="Arial"/>
                <w:szCs w:val="21"/>
              </w:rPr>
              <w:t>对象存储</w:t>
            </w:r>
            <w:r>
              <w:rPr>
                <w:rFonts w:hint="eastAsia" w:cs="Arial"/>
                <w:szCs w:val="21"/>
              </w:rPr>
              <w:t>备份；</w:t>
            </w:r>
          </w:p>
          <w:p w14:paraId="065CD967">
            <w:pPr>
              <w:pStyle w:val="89"/>
              <w:jc w:val="both"/>
              <w:rPr>
                <w:rFonts w:hAnsi="宋体" w:cs="宋体"/>
                <w:color w:val="auto"/>
                <w:sz w:val="21"/>
                <w:szCs w:val="21"/>
              </w:rPr>
            </w:pPr>
            <w:r>
              <w:rPr>
                <w:rFonts w:hint="eastAsia" w:hAnsi="宋体" w:cs="宋体"/>
                <w:color w:val="auto"/>
                <w:sz w:val="21"/>
                <w:szCs w:val="21"/>
              </w:rPr>
              <w:t>支持NAS存储备份，可通过ndmp、cifs、nfs等方式备份。</w:t>
            </w:r>
          </w:p>
        </w:tc>
      </w:tr>
      <w:tr w14:paraId="3E78BC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42209476">
            <w:pPr>
              <w:pStyle w:val="85"/>
              <w:ind w:left="240" w:right="240" w:firstLine="0" w:firstLineChars="0"/>
              <w:jc w:val="center"/>
              <w:rPr>
                <w:rFonts w:ascii="宋体" w:hAnsi="宋体"/>
                <w:szCs w:val="21"/>
              </w:rPr>
            </w:pPr>
          </w:p>
        </w:tc>
        <w:tc>
          <w:tcPr>
            <w:tcW w:w="4234" w:type="pct"/>
            <w:vAlign w:val="center"/>
          </w:tcPr>
          <w:p w14:paraId="03670FD9">
            <w:pPr>
              <w:rPr>
                <w:rFonts w:cs="Arial"/>
                <w:szCs w:val="21"/>
              </w:rPr>
            </w:pPr>
            <w:r>
              <w:rPr>
                <w:rFonts w:cs="Arial"/>
                <w:szCs w:val="21"/>
              </w:rPr>
              <w:t>支持永久增量备份技术，初次备份对所有数据进行完全备份，之后只对新增加或改动过的数据做增量备份。每个增量备份的数据副本将自动合成为完全副本，减少备份时间，节省备份数据所需的存储空间，提升恢复效率。</w:t>
            </w:r>
          </w:p>
        </w:tc>
      </w:tr>
      <w:tr w14:paraId="7F4076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223AD745">
            <w:pPr>
              <w:pStyle w:val="85"/>
              <w:ind w:left="240" w:right="240" w:firstLine="0" w:firstLineChars="0"/>
              <w:jc w:val="center"/>
              <w:rPr>
                <w:rFonts w:ascii="宋体" w:hAnsi="宋体"/>
                <w:szCs w:val="21"/>
              </w:rPr>
            </w:pPr>
          </w:p>
        </w:tc>
        <w:tc>
          <w:tcPr>
            <w:tcW w:w="4234" w:type="pct"/>
            <w:vAlign w:val="center"/>
          </w:tcPr>
          <w:p w14:paraId="3FDA3623">
            <w:pPr>
              <w:rPr>
                <w:rFonts w:cs="Arial"/>
                <w:szCs w:val="21"/>
              </w:rPr>
            </w:pPr>
            <w:r>
              <w:rPr>
                <w:rFonts w:hint="eastAsia" w:cs="Arial"/>
                <w:szCs w:val="21"/>
              </w:rPr>
              <w:t>支持文件、系统备份采用用户自定义密钥加密模式，无需控制台提供密钥，自动读取客户端密钥文件，在客户端进行密钥加密，存储到备份服务器上的数据在备份服务器上无法解密。</w:t>
            </w:r>
          </w:p>
        </w:tc>
      </w:tr>
      <w:tr w14:paraId="47EBD4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vAlign w:val="center"/>
          </w:tcPr>
          <w:p w14:paraId="41BC162E">
            <w:pPr>
              <w:pStyle w:val="85"/>
              <w:ind w:left="240" w:right="240" w:firstLine="0" w:firstLineChars="0"/>
              <w:jc w:val="center"/>
              <w:rPr>
                <w:rFonts w:ascii="宋体" w:hAnsi="宋体"/>
                <w:szCs w:val="21"/>
              </w:rPr>
            </w:pPr>
          </w:p>
        </w:tc>
        <w:tc>
          <w:tcPr>
            <w:tcW w:w="4234" w:type="pct"/>
            <w:vAlign w:val="center"/>
          </w:tcPr>
          <w:p w14:paraId="29912230">
            <w:pPr>
              <w:rPr>
                <w:rFonts w:cs="Arial"/>
                <w:szCs w:val="21"/>
              </w:rPr>
            </w:pPr>
            <w:r>
              <w:rPr>
                <w:rFonts w:hint="eastAsia" w:cs="Arial"/>
                <w:szCs w:val="21"/>
              </w:rPr>
              <w:t>支持对全局每一个客户端分别进行流量控制，投标时提供相关功能截图证明并加盖投标人公章。</w:t>
            </w:r>
          </w:p>
        </w:tc>
      </w:tr>
      <w:tr w14:paraId="6B63F9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8" w:hRule="atLeast"/>
          <w:jc w:val="center"/>
        </w:trPr>
        <w:tc>
          <w:tcPr>
            <w:tcW w:w="766" w:type="pct"/>
            <w:vMerge w:val="continue"/>
            <w:vAlign w:val="center"/>
          </w:tcPr>
          <w:p w14:paraId="5696292F">
            <w:pPr>
              <w:pStyle w:val="85"/>
              <w:ind w:left="240" w:right="240" w:firstLine="0" w:firstLineChars="0"/>
              <w:jc w:val="center"/>
              <w:rPr>
                <w:rFonts w:ascii="宋体" w:hAnsi="宋体"/>
                <w:szCs w:val="21"/>
              </w:rPr>
            </w:pPr>
          </w:p>
        </w:tc>
        <w:tc>
          <w:tcPr>
            <w:tcW w:w="4234" w:type="pct"/>
            <w:vAlign w:val="center"/>
          </w:tcPr>
          <w:p w14:paraId="23E5E185">
            <w:pPr>
              <w:rPr>
                <w:rFonts w:cs="Arial"/>
                <w:szCs w:val="21"/>
              </w:rPr>
            </w:pPr>
            <w:r>
              <w:rPr>
                <w:rFonts w:hint="eastAsia" w:cs="Arial"/>
                <w:szCs w:val="21"/>
              </w:rPr>
              <w:t>支持归档功能，支持D2T和D2D2T归档到磁带库或虚拟带，可支持LTO</w:t>
            </w:r>
            <w:r>
              <w:rPr>
                <w:rFonts w:cs="Arial"/>
                <w:szCs w:val="21"/>
              </w:rPr>
              <w:t>8</w:t>
            </w:r>
            <w:r>
              <w:rPr>
                <w:rFonts w:hint="eastAsia" w:cs="Arial"/>
                <w:szCs w:val="21"/>
              </w:rPr>
              <w:t>及以上版本；</w:t>
            </w:r>
          </w:p>
          <w:p w14:paraId="3AC7C51F">
            <w:pPr>
              <w:rPr>
                <w:rFonts w:cs="Arial"/>
                <w:szCs w:val="21"/>
              </w:rPr>
            </w:pPr>
            <w:r>
              <w:rPr>
                <w:rFonts w:hint="eastAsia" w:cs="Arial"/>
                <w:szCs w:val="21"/>
              </w:rPr>
              <w:t>支持归档到第三方存储上，支持ipsan、nas、oss等存储。</w:t>
            </w:r>
          </w:p>
        </w:tc>
      </w:tr>
      <w:tr w14:paraId="2997FD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66" w:type="pct"/>
            <w:vMerge w:val="continue"/>
            <w:tcBorders>
              <w:top w:val="single" w:color="auto" w:sz="4" w:space="0"/>
            </w:tcBorders>
            <w:vAlign w:val="center"/>
          </w:tcPr>
          <w:p w14:paraId="0CFBC069">
            <w:pPr>
              <w:pStyle w:val="85"/>
              <w:ind w:left="240" w:right="240" w:firstLine="0" w:firstLineChars="0"/>
              <w:jc w:val="center"/>
              <w:rPr>
                <w:rFonts w:ascii="宋体" w:hAnsi="宋体"/>
                <w:szCs w:val="21"/>
              </w:rPr>
            </w:pPr>
          </w:p>
        </w:tc>
        <w:tc>
          <w:tcPr>
            <w:tcW w:w="4234" w:type="pct"/>
            <w:tcBorders>
              <w:top w:val="single" w:color="auto" w:sz="4" w:space="0"/>
            </w:tcBorders>
            <w:vAlign w:val="center"/>
          </w:tcPr>
          <w:p w14:paraId="71C83187">
            <w:pPr>
              <w:pStyle w:val="89"/>
              <w:jc w:val="both"/>
              <w:rPr>
                <w:rFonts w:hAnsi="宋体" w:cs="宋体"/>
                <w:color w:val="auto"/>
                <w:sz w:val="21"/>
                <w:szCs w:val="21"/>
                <w:highlight w:val="yellow"/>
              </w:rPr>
            </w:pPr>
            <w:r>
              <w:rPr>
                <w:rFonts w:hint="eastAsia" w:hAnsi="宋体"/>
                <w:color w:val="auto"/>
                <w:sz w:val="21"/>
                <w:szCs w:val="21"/>
              </w:rPr>
              <w:t>备份系统内置重复数据删除功能，支持源端的数据去重，以降低网络消耗和备份存储空间。备份系统支持通过多台服务器做并行去重，以成倍提高备份性能和容量,投标时提供“重复数据删除系统”软件著作权登记证书复印件。</w:t>
            </w:r>
          </w:p>
        </w:tc>
      </w:tr>
      <w:tr w14:paraId="4D145B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1" w:hRule="atLeast"/>
          <w:jc w:val="center"/>
        </w:trPr>
        <w:tc>
          <w:tcPr>
            <w:tcW w:w="766" w:type="pct"/>
            <w:vMerge w:val="restart"/>
            <w:vAlign w:val="center"/>
          </w:tcPr>
          <w:p w14:paraId="68E4D2C4">
            <w:pPr>
              <w:pStyle w:val="109"/>
              <w:ind w:firstLine="0" w:firstLineChars="0"/>
              <w:jc w:val="center"/>
              <w:rPr>
                <w:rFonts w:ascii="宋体" w:hAnsi="宋体" w:cs="宋体"/>
                <w:sz w:val="21"/>
                <w:szCs w:val="21"/>
              </w:rPr>
            </w:pPr>
            <w:r>
              <w:rPr>
                <w:rFonts w:hint="eastAsia" w:ascii="宋体" w:hAnsi="宋体"/>
                <w:kern w:val="2"/>
                <w:sz w:val="21"/>
                <w:szCs w:val="21"/>
              </w:rPr>
              <w:t>数据库灾备管理</w:t>
            </w:r>
          </w:p>
        </w:tc>
        <w:tc>
          <w:tcPr>
            <w:tcW w:w="4234" w:type="pct"/>
            <w:tcBorders>
              <w:bottom w:val="single" w:color="auto" w:sz="4" w:space="0"/>
            </w:tcBorders>
            <w:vAlign w:val="center"/>
          </w:tcPr>
          <w:p w14:paraId="421B8AC3">
            <w:pPr>
              <w:rPr>
                <w:rFonts w:cs="Arial"/>
                <w:szCs w:val="21"/>
              </w:rPr>
            </w:pPr>
            <w:r>
              <w:rPr>
                <w:rFonts w:hint="eastAsia" w:cs="Arial"/>
                <w:szCs w:val="21"/>
              </w:rPr>
              <w:t>支持MySQL、Oracle（包括RAC）、SQLServer等主流数据库自动化同步复制部署。</w:t>
            </w:r>
          </w:p>
        </w:tc>
      </w:tr>
      <w:tr w14:paraId="5C1556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3" w:hRule="atLeast"/>
          <w:jc w:val="center"/>
        </w:trPr>
        <w:tc>
          <w:tcPr>
            <w:tcW w:w="766" w:type="pct"/>
            <w:vMerge w:val="continue"/>
            <w:vAlign w:val="center"/>
          </w:tcPr>
          <w:p w14:paraId="77B659B7">
            <w:pPr>
              <w:pStyle w:val="85"/>
              <w:ind w:right="240" w:firstLine="0" w:firstLineChars="0"/>
              <w:jc w:val="center"/>
              <w:rPr>
                <w:rFonts w:ascii="宋体" w:hAnsi="宋体" w:cs="宋体"/>
                <w:szCs w:val="21"/>
              </w:rPr>
            </w:pPr>
          </w:p>
        </w:tc>
        <w:tc>
          <w:tcPr>
            <w:tcW w:w="4234" w:type="pct"/>
            <w:tcBorders>
              <w:bottom w:val="single" w:color="auto" w:sz="4" w:space="0"/>
            </w:tcBorders>
            <w:vAlign w:val="center"/>
          </w:tcPr>
          <w:p w14:paraId="539BE5EA">
            <w:pPr>
              <w:rPr>
                <w:rFonts w:cs="Arial"/>
                <w:szCs w:val="21"/>
              </w:rPr>
            </w:pPr>
            <w:r>
              <w:rPr>
                <w:rFonts w:hint="eastAsia" w:cs="Arial"/>
                <w:szCs w:val="21"/>
              </w:rPr>
              <w:t>支持纳管</w:t>
            </w:r>
            <w:r>
              <w:rPr>
                <w:szCs w:val="21"/>
              </w:rPr>
              <w:t>神舟通用、达梦、南大通用、人大金仓、瀚高、优炫和高斯</w:t>
            </w:r>
            <w:r>
              <w:rPr>
                <w:rFonts w:hint="eastAsia" w:cs="Arial"/>
                <w:szCs w:val="21"/>
              </w:rPr>
              <w:t>等主流国产数据库的主备复制管理。</w:t>
            </w:r>
          </w:p>
        </w:tc>
      </w:tr>
      <w:tr w14:paraId="4E8A73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3" w:hRule="atLeast"/>
          <w:jc w:val="center"/>
        </w:trPr>
        <w:tc>
          <w:tcPr>
            <w:tcW w:w="766" w:type="pct"/>
            <w:vMerge w:val="continue"/>
            <w:vAlign w:val="center"/>
          </w:tcPr>
          <w:p w14:paraId="2D088AFE">
            <w:pPr>
              <w:pStyle w:val="85"/>
              <w:ind w:right="240" w:firstLine="0" w:firstLineChars="0"/>
              <w:jc w:val="center"/>
              <w:rPr>
                <w:rFonts w:ascii="宋体" w:hAnsi="宋体" w:cs="宋体"/>
                <w:szCs w:val="21"/>
              </w:rPr>
            </w:pPr>
          </w:p>
        </w:tc>
        <w:tc>
          <w:tcPr>
            <w:tcW w:w="4234" w:type="pct"/>
            <w:tcBorders>
              <w:top w:val="single" w:color="auto" w:sz="4" w:space="0"/>
              <w:bottom w:val="single" w:color="auto" w:sz="4" w:space="0"/>
            </w:tcBorders>
            <w:vAlign w:val="center"/>
          </w:tcPr>
          <w:p w14:paraId="55A92D6A">
            <w:pPr>
              <w:rPr>
                <w:rFonts w:cs="Arial"/>
                <w:szCs w:val="21"/>
              </w:rPr>
            </w:pPr>
            <w:r>
              <w:rPr>
                <w:rFonts w:hint="eastAsia" w:cs="Arial"/>
                <w:szCs w:val="21"/>
              </w:rPr>
              <w:t>支持备库快照计划任务管理，支持快照点回退和演练。</w:t>
            </w:r>
          </w:p>
        </w:tc>
      </w:tr>
      <w:tr w14:paraId="4D2612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2" w:hRule="atLeast"/>
          <w:jc w:val="center"/>
        </w:trPr>
        <w:tc>
          <w:tcPr>
            <w:tcW w:w="766" w:type="pct"/>
            <w:vMerge w:val="continue"/>
            <w:vAlign w:val="center"/>
          </w:tcPr>
          <w:p w14:paraId="60B37693">
            <w:pPr>
              <w:pStyle w:val="85"/>
              <w:ind w:right="240" w:firstLine="0" w:firstLineChars="0"/>
              <w:jc w:val="center"/>
              <w:rPr>
                <w:rFonts w:ascii="宋体" w:hAnsi="宋体" w:cs="宋体"/>
                <w:szCs w:val="21"/>
              </w:rPr>
            </w:pPr>
          </w:p>
        </w:tc>
        <w:tc>
          <w:tcPr>
            <w:tcW w:w="4234" w:type="pct"/>
            <w:tcBorders>
              <w:top w:val="single" w:color="auto" w:sz="4" w:space="0"/>
              <w:bottom w:val="single" w:color="auto" w:sz="4" w:space="0"/>
            </w:tcBorders>
            <w:vAlign w:val="center"/>
          </w:tcPr>
          <w:p w14:paraId="38F68FEE">
            <w:pPr>
              <w:rPr>
                <w:rFonts w:cs="Arial"/>
                <w:szCs w:val="21"/>
              </w:rPr>
            </w:pPr>
            <w:r>
              <w:rPr>
                <w:rFonts w:hint="eastAsia" w:cs="仿宋"/>
                <w:bCs/>
                <w:szCs w:val="21"/>
              </w:rPr>
              <w:t>支持自动接管和手动接管2个模块，既可以自动快速接管应用也可以通过手动一键切换，实现在集中容灾平台自动化的恢复业务。支持P2P,P2V,V2V,V2P(支持不同的硬件环境，无需数据转换)等方式的自动故障切换和故障恢复，投标时提供相关功能截图证明并加盖投标人公章。</w:t>
            </w:r>
          </w:p>
        </w:tc>
      </w:tr>
      <w:tr w14:paraId="1E9881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2" w:hRule="atLeast"/>
          <w:jc w:val="center"/>
        </w:trPr>
        <w:tc>
          <w:tcPr>
            <w:tcW w:w="766" w:type="pct"/>
            <w:vMerge w:val="continue"/>
            <w:vAlign w:val="center"/>
          </w:tcPr>
          <w:p w14:paraId="2F1B2A59">
            <w:pPr>
              <w:pStyle w:val="85"/>
              <w:ind w:right="240" w:firstLine="0" w:firstLineChars="0"/>
              <w:jc w:val="center"/>
              <w:rPr>
                <w:rFonts w:ascii="宋体" w:hAnsi="宋体" w:cs="宋体"/>
                <w:szCs w:val="21"/>
              </w:rPr>
            </w:pPr>
          </w:p>
        </w:tc>
        <w:tc>
          <w:tcPr>
            <w:tcW w:w="4234" w:type="pct"/>
            <w:tcBorders>
              <w:top w:val="single" w:color="auto" w:sz="4" w:space="0"/>
            </w:tcBorders>
            <w:vAlign w:val="center"/>
          </w:tcPr>
          <w:p w14:paraId="45D09567">
            <w:pPr>
              <w:rPr>
                <w:rFonts w:cs="Arial"/>
                <w:szCs w:val="21"/>
              </w:rPr>
            </w:pPr>
            <w:r>
              <w:rPr>
                <w:rFonts w:hint="eastAsia" w:cs="Arial"/>
                <w:szCs w:val="21"/>
              </w:rPr>
              <w:t>旁路方式部署，自由灵活嵌入IT系统，采用轻量级框架设计，方便快速部署和高效运维。</w:t>
            </w:r>
          </w:p>
        </w:tc>
      </w:tr>
      <w:tr w14:paraId="4BA297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jc w:val="center"/>
        </w:trPr>
        <w:tc>
          <w:tcPr>
            <w:tcW w:w="766" w:type="pct"/>
            <w:vMerge w:val="restart"/>
            <w:vAlign w:val="center"/>
          </w:tcPr>
          <w:p w14:paraId="10928E4C">
            <w:pPr>
              <w:pStyle w:val="109"/>
              <w:ind w:firstLine="0" w:firstLineChars="0"/>
              <w:jc w:val="center"/>
              <w:rPr>
                <w:rFonts w:ascii="宋体" w:hAnsi="宋体" w:cs="Arial"/>
                <w:sz w:val="21"/>
                <w:szCs w:val="21"/>
              </w:rPr>
            </w:pPr>
            <w:r>
              <w:rPr>
                <w:rFonts w:hint="eastAsia" w:ascii="宋体" w:hAnsi="宋体"/>
                <w:kern w:val="2"/>
                <w:sz w:val="21"/>
                <w:szCs w:val="21"/>
              </w:rPr>
              <w:t>文件灾备管理</w:t>
            </w:r>
          </w:p>
        </w:tc>
        <w:tc>
          <w:tcPr>
            <w:tcW w:w="4234" w:type="pct"/>
            <w:tcBorders>
              <w:bottom w:val="single" w:color="auto" w:sz="4" w:space="0"/>
            </w:tcBorders>
            <w:vAlign w:val="center"/>
          </w:tcPr>
          <w:p w14:paraId="463AA8C7">
            <w:pPr>
              <w:rPr>
                <w:rFonts w:cs="Arial"/>
                <w:szCs w:val="21"/>
              </w:rPr>
            </w:pPr>
            <w:r>
              <w:rPr>
                <w:rFonts w:hint="eastAsia" w:cs="Arial"/>
                <w:szCs w:val="21"/>
              </w:rPr>
              <w:t>支持云平台文件保护，支持物理机、虚拟机及云主机的文件保护，支持对Windows、Linux及国产操作系统下的指定文件、文件夹设置备份任务计划，支持全量、增量、差量备份及恢复。</w:t>
            </w:r>
          </w:p>
        </w:tc>
      </w:tr>
      <w:tr w14:paraId="2C22F5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9" w:hRule="atLeast"/>
          <w:jc w:val="center"/>
        </w:trPr>
        <w:tc>
          <w:tcPr>
            <w:tcW w:w="766" w:type="pct"/>
            <w:vMerge w:val="continue"/>
            <w:vAlign w:val="center"/>
          </w:tcPr>
          <w:p w14:paraId="7073C605">
            <w:pPr>
              <w:jc w:val="center"/>
              <w:rPr>
                <w:rFonts w:cs="Arial"/>
                <w:szCs w:val="21"/>
              </w:rPr>
            </w:pPr>
          </w:p>
        </w:tc>
        <w:tc>
          <w:tcPr>
            <w:tcW w:w="4234" w:type="pct"/>
            <w:tcBorders>
              <w:top w:val="single" w:color="auto" w:sz="4" w:space="0"/>
              <w:bottom w:val="single" w:color="auto" w:sz="4" w:space="0"/>
            </w:tcBorders>
            <w:vAlign w:val="center"/>
          </w:tcPr>
          <w:p w14:paraId="04CBFA4F">
            <w:pPr>
              <w:rPr>
                <w:rFonts w:cs="Arial"/>
                <w:szCs w:val="21"/>
              </w:rPr>
            </w:pPr>
            <w:r>
              <w:rPr>
                <w:rFonts w:hint="eastAsia" w:cs="Arial"/>
                <w:szCs w:val="21"/>
              </w:rPr>
              <w:t>支持NFS、XFS、ext2、ext3、ext4、ZFS、ZFS、ReiserFS、NTFS、FAT、FAT16、FAT32、exFAT等各类型文件系统。</w:t>
            </w:r>
          </w:p>
        </w:tc>
      </w:tr>
      <w:tr w14:paraId="2FCFD0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3" w:hRule="atLeast"/>
          <w:jc w:val="center"/>
        </w:trPr>
        <w:tc>
          <w:tcPr>
            <w:tcW w:w="766" w:type="pct"/>
            <w:vMerge w:val="continue"/>
            <w:vAlign w:val="center"/>
          </w:tcPr>
          <w:p w14:paraId="13427E73">
            <w:pPr>
              <w:jc w:val="center"/>
              <w:rPr>
                <w:rFonts w:cs="Arial"/>
                <w:szCs w:val="21"/>
              </w:rPr>
            </w:pPr>
          </w:p>
        </w:tc>
        <w:tc>
          <w:tcPr>
            <w:tcW w:w="4234" w:type="pct"/>
            <w:tcBorders>
              <w:top w:val="single" w:color="auto" w:sz="4" w:space="0"/>
            </w:tcBorders>
            <w:vAlign w:val="center"/>
          </w:tcPr>
          <w:p w14:paraId="54E5E52A">
            <w:pPr>
              <w:rPr>
                <w:rFonts w:cs="Arial"/>
                <w:szCs w:val="21"/>
              </w:rPr>
            </w:pPr>
            <w:r>
              <w:rPr>
                <w:rFonts w:hint="eastAsia" w:cs="Arial"/>
                <w:szCs w:val="21"/>
              </w:rPr>
              <w:t>支持文件排除规则设置，支持灵活设置恢复路径及恢复策略。</w:t>
            </w:r>
          </w:p>
        </w:tc>
      </w:tr>
      <w:tr w14:paraId="354708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6" w:hRule="atLeast"/>
          <w:jc w:val="center"/>
        </w:trPr>
        <w:tc>
          <w:tcPr>
            <w:tcW w:w="766" w:type="pct"/>
            <w:vMerge w:val="restart"/>
            <w:vAlign w:val="center"/>
          </w:tcPr>
          <w:p w14:paraId="2A5E3DFE">
            <w:pPr>
              <w:pStyle w:val="109"/>
              <w:ind w:firstLine="0" w:firstLineChars="0"/>
              <w:jc w:val="center"/>
              <w:rPr>
                <w:rFonts w:ascii="宋体" w:hAnsi="宋体" w:cs="宋体"/>
                <w:sz w:val="21"/>
                <w:szCs w:val="21"/>
              </w:rPr>
            </w:pPr>
            <w:r>
              <w:rPr>
                <w:rFonts w:hint="eastAsia" w:ascii="宋体" w:hAnsi="宋体"/>
                <w:kern w:val="2"/>
                <w:sz w:val="21"/>
                <w:szCs w:val="21"/>
              </w:rPr>
              <w:t>恢复演练功能</w:t>
            </w:r>
          </w:p>
        </w:tc>
        <w:tc>
          <w:tcPr>
            <w:tcW w:w="4234" w:type="pct"/>
            <w:vAlign w:val="center"/>
          </w:tcPr>
          <w:p w14:paraId="5DDC9284">
            <w:pPr>
              <w:rPr>
                <w:szCs w:val="21"/>
              </w:rPr>
            </w:pPr>
            <w:r>
              <w:rPr>
                <w:rFonts w:hint="eastAsia" w:cs="Arial"/>
                <w:szCs w:val="21"/>
              </w:rPr>
              <w:t>支持操作系统、数据库、文件等各种备份对象的恢复演练。</w:t>
            </w:r>
            <w:r>
              <w:rPr>
                <w:szCs w:val="21"/>
              </w:rPr>
              <w:t xml:space="preserve"> </w:t>
            </w:r>
          </w:p>
        </w:tc>
      </w:tr>
      <w:tr w14:paraId="6195C2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6" w:hRule="atLeast"/>
          <w:jc w:val="center"/>
        </w:trPr>
        <w:tc>
          <w:tcPr>
            <w:tcW w:w="766" w:type="pct"/>
            <w:vMerge w:val="continue"/>
            <w:vAlign w:val="center"/>
          </w:tcPr>
          <w:p w14:paraId="4C46E028">
            <w:pPr>
              <w:pStyle w:val="109"/>
              <w:ind w:firstLine="0" w:firstLineChars="0"/>
              <w:jc w:val="center"/>
              <w:rPr>
                <w:rFonts w:ascii="宋体" w:hAnsi="宋体"/>
                <w:kern w:val="2"/>
                <w:sz w:val="21"/>
                <w:szCs w:val="21"/>
              </w:rPr>
            </w:pPr>
          </w:p>
        </w:tc>
        <w:tc>
          <w:tcPr>
            <w:tcW w:w="4234" w:type="pct"/>
            <w:vAlign w:val="center"/>
          </w:tcPr>
          <w:p w14:paraId="4AA61D79">
            <w:pPr>
              <w:rPr>
                <w:rFonts w:cs="Arial"/>
                <w:szCs w:val="21"/>
              </w:rPr>
            </w:pPr>
            <w:r>
              <w:rPr>
                <w:rFonts w:cs="Arial"/>
                <w:szCs w:val="21"/>
              </w:rPr>
              <w:t>提供灾备恢复演练功能，支持</w:t>
            </w:r>
            <w:r>
              <w:rPr>
                <w:rFonts w:hint="eastAsia" w:cs="Arial"/>
                <w:szCs w:val="21"/>
              </w:rPr>
              <w:t>在灾备一体化系统上创建</w:t>
            </w:r>
            <w:r>
              <w:rPr>
                <w:rFonts w:cs="Arial"/>
                <w:szCs w:val="21"/>
              </w:rPr>
              <w:t>独立的恢复环境</w:t>
            </w:r>
            <w:r>
              <w:rPr>
                <w:rFonts w:hint="eastAsia" w:cs="Arial"/>
                <w:szCs w:val="21"/>
              </w:rPr>
              <w:t>进行恢复演练</w:t>
            </w:r>
            <w:r>
              <w:rPr>
                <w:rFonts w:cs="Arial"/>
                <w:szCs w:val="21"/>
              </w:rPr>
              <w:t>，避免对生产环境产生影响</w:t>
            </w:r>
            <w:r>
              <w:rPr>
                <w:rFonts w:hint="eastAsia" w:cs="Arial"/>
                <w:szCs w:val="21"/>
              </w:rPr>
              <w:t>。</w:t>
            </w:r>
          </w:p>
        </w:tc>
      </w:tr>
      <w:tr w14:paraId="0CFCFE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6" w:hRule="atLeast"/>
          <w:jc w:val="center"/>
        </w:trPr>
        <w:tc>
          <w:tcPr>
            <w:tcW w:w="766" w:type="pct"/>
            <w:vAlign w:val="center"/>
          </w:tcPr>
          <w:p w14:paraId="5B68F529">
            <w:pPr>
              <w:pStyle w:val="109"/>
              <w:ind w:firstLine="0" w:firstLineChars="0"/>
              <w:jc w:val="center"/>
              <w:rPr>
                <w:rFonts w:ascii="宋体" w:hAnsi="宋体"/>
                <w:kern w:val="2"/>
                <w:sz w:val="21"/>
                <w:szCs w:val="21"/>
              </w:rPr>
            </w:pPr>
            <w:r>
              <w:rPr>
                <w:rFonts w:hint="eastAsia" w:ascii="宋体" w:hAnsi="宋体"/>
                <w:kern w:val="2"/>
                <w:sz w:val="21"/>
                <w:szCs w:val="21"/>
              </w:rPr>
              <w:t>利旧功能</w:t>
            </w:r>
          </w:p>
        </w:tc>
        <w:tc>
          <w:tcPr>
            <w:tcW w:w="4234" w:type="pct"/>
            <w:vAlign w:val="center"/>
          </w:tcPr>
          <w:p w14:paraId="47D8CB5C">
            <w:pPr>
              <w:pStyle w:val="89"/>
              <w:jc w:val="both"/>
              <w:rPr>
                <w:rFonts w:hAnsi="宋体" w:cs="宋体"/>
                <w:color w:val="auto"/>
                <w:sz w:val="21"/>
                <w:szCs w:val="21"/>
              </w:rPr>
            </w:pPr>
            <w:r>
              <w:rPr>
                <w:rFonts w:hint="eastAsia" w:hAnsi="宋体"/>
                <w:sz w:val="21"/>
                <w:szCs w:val="21"/>
              </w:rPr>
              <w:t>★</w:t>
            </w:r>
            <w:r>
              <w:rPr>
                <w:rFonts w:hint="eastAsia" w:hAnsi="宋体" w:cs="宋体"/>
                <w:color w:val="auto"/>
                <w:sz w:val="21"/>
                <w:szCs w:val="21"/>
              </w:rPr>
              <w:t>支持把现有服务器的空闲存储空间合并到灾备一体化系统存储池中，无需改变现有服务器环境，只需要安装存储agent即可把现有服务器的空闲存储空间合并到灾备一体化系统中，为灾备系统提供额外的备份空间。</w:t>
            </w:r>
          </w:p>
        </w:tc>
      </w:tr>
      <w:tr w14:paraId="2F5DAF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6" w:hRule="atLeast"/>
          <w:jc w:val="center"/>
        </w:trPr>
        <w:tc>
          <w:tcPr>
            <w:tcW w:w="766" w:type="pct"/>
            <w:vAlign w:val="center"/>
          </w:tcPr>
          <w:p w14:paraId="72376ADE">
            <w:pPr>
              <w:pStyle w:val="109"/>
              <w:ind w:firstLine="0" w:firstLineChars="0"/>
              <w:jc w:val="center"/>
              <w:rPr>
                <w:rFonts w:ascii="宋体" w:hAnsi="宋体"/>
                <w:kern w:val="2"/>
                <w:sz w:val="21"/>
                <w:szCs w:val="21"/>
              </w:rPr>
            </w:pPr>
            <w:r>
              <w:rPr>
                <w:rFonts w:hint="eastAsia" w:ascii="宋体" w:hAnsi="宋体"/>
                <w:kern w:val="2"/>
                <w:sz w:val="21"/>
                <w:szCs w:val="21"/>
              </w:rPr>
              <w:t>灾备对象运行环境诊断</w:t>
            </w:r>
          </w:p>
        </w:tc>
        <w:tc>
          <w:tcPr>
            <w:tcW w:w="4234" w:type="pct"/>
            <w:vAlign w:val="center"/>
          </w:tcPr>
          <w:p w14:paraId="404523EA">
            <w:pPr>
              <w:pStyle w:val="89"/>
              <w:jc w:val="both"/>
              <w:rPr>
                <w:rFonts w:hAnsi="宋体" w:cs="宋体"/>
                <w:color w:val="auto"/>
                <w:sz w:val="21"/>
                <w:szCs w:val="21"/>
              </w:rPr>
            </w:pPr>
            <w:r>
              <w:rPr>
                <w:rFonts w:hint="eastAsia" w:hAnsi="宋体"/>
                <w:sz w:val="21"/>
                <w:szCs w:val="21"/>
              </w:rPr>
              <w:t>★</w:t>
            </w:r>
            <w:r>
              <w:rPr>
                <w:rFonts w:hint="eastAsia" w:hAnsi="宋体" w:cs="宋体"/>
                <w:color w:val="auto"/>
                <w:sz w:val="21"/>
                <w:szCs w:val="21"/>
              </w:rPr>
              <w:t>为了降低灾备系统对生产的影响，灾备系统可对灾备对象进行实时资产运行情况的采集，采集对象包含CPU</w:t>
            </w:r>
            <w:r>
              <w:rPr>
                <w:rFonts w:hAnsi="宋体" w:cs="宋体"/>
                <w:color w:val="auto"/>
                <w:sz w:val="21"/>
                <w:szCs w:val="21"/>
              </w:rPr>
              <w:t>、内存、磁盘、网络等使用和压力情况，</w:t>
            </w:r>
            <w:r>
              <w:rPr>
                <w:rFonts w:hint="eastAsia" w:hAnsi="宋体" w:cs="宋体"/>
                <w:color w:val="auto"/>
                <w:sz w:val="21"/>
                <w:szCs w:val="21"/>
              </w:rPr>
              <w:t>并可根据采集的结果提供灾备部署及资产性能优化的建议。</w:t>
            </w:r>
          </w:p>
        </w:tc>
      </w:tr>
      <w:tr w14:paraId="462163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6" w:hRule="atLeast"/>
          <w:jc w:val="center"/>
        </w:trPr>
        <w:tc>
          <w:tcPr>
            <w:tcW w:w="766" w:type="pct"/>
            <w:vAlign w:val="center"/>
          </w:tcPr>
          <w:p w14:paraId="5682C156">
            <w:pPr>
              <w:pStyle w:val="109"/>
              <w:ind w:firstLine="0" w:firstLineChars="0"/>
              <w:jc w:val="center"/>
              <w:rPr>
                <w:rFonts w:ascii="宋体" w:hAnsi="宋体" w:cs="宋体"/>
                <w:sz w:val="21"/>
                <w:szCs w:val="21"/>
              </w:rPr>
            </w:pPr>
            <w:r>
              <w:rPr>
                <w:rFonts w:hint="eastAsia" w:ascii="宋体" w:hAnsi="宋体"/>
                <w:kern w:val="2"/>
                <w:sz w:val="21"/>
                <w:szCs w:val="21"/>
              </w:rPr>
              <w:t>原厂质保和服务</w:t>
            </w:r>
          </w:p>
        </w:tc>
        <w:tc>
          <w:tcPr>
            <w:tcW w:w="4234" w:type="pct"/>
            <w:vAlign w:val="center"/>
          </w:tcPr>
          <w:p w14:paraId="7A0B5632">
            <w:pPr>
              <w:pStyle w:val="89"/>
              <w:jc w:val="both"/>
              <w:rPr>
                <w:rFonts w:hAnsi="宋体" w:cs="宋体"/>
                <w:color w:val="auto"/>
                <w:sz w:val="21"/>
                <w:szCs w:val="21"/>
              </w:rPr>
            </w:pPr>
            <w:r>
              <w:rPr>
                <w:rFonts w:hint="eastAsia" w:hAnsi="宋体" w:cs="宋体"/>
                <w:color w:val="auto"/>
                <w:sz w:val="21"/>
                <w:szCs w:val="21"/>
              </w:rPr>
              <w:t>原厂商质保服务，提供</w:t>
            </w:r>
            <w:r>
              <w:rPr>
                <w:rFonts w:hAnsi="宋体" w:cs="宋体"/>
                <w:color w:val="auto"/>
                <w:sz w:val="21"/>
                <w:szCs w:val="21"/>
              </w:rPr>
              <w:t>3</w:t>
            </w:r>
            <w:r>
              <w:rPr>
                <w:rFonts w:hint="eastAsia" w:hAnsi="宋体" w:cs="宋体"/>
                <w:color w:val="auto"/>
                <w:sz w:val="21"/>
                <w:szCs w:val="21"/>
              </w:rPr>
              <w:t>年硬件</w:t>
            </w:r>
            <w:r>
              <w:rPr>
                <w:rFonts w:hAnsi="宋体" w:cs="宋体"/>
                <w:color w:val="auto"/>
                <w:sz w:val="21"/>
                <w:szCs w:val="21"/>
              </w:rPr>
              <w:t>3</w:t>
            </w:r>
            <w:r>
              <w:rPr>
                <w:rFonts w:hint="eastAsia" w:hAnsi="宋体" w:cs="宋体"/>
                <w:color w:val="auto"/>
                <w:sz w:val="21"/>
                <w:szCs w:val="21"/>
              </w:rPr>
              <w:t>年软件原厂商免费维保服务（包括硬件更换、软件升级等），提供原厂商安装调试，提供原厂商现场技术培训和现场技术指导；质保期内每年原厂工程师巡检</w:t>
            </w:r>
            <w:r>
              <w:rPr>
                <w:rFonts w:hAnsi="宋体" w:cs="宋体"/>
                <w:color w:val="auto"/>
                <w:sz w:val="21"/>
                <w:szCs w:val="21"/>
              </w:rPr>
              <w:t>2</w:t>
            </w:r>
            <w:r>
              <w:rPr>
                <w:rFonts w:hint="eastAsia" w:hAnsi="宋体" w:cs="宋体"/>
                <w:color w:val="auto"/>
                <w:sz w:val="21"/>
                <w:szCs w:val="21"/>
              </w:rPr>
              <w:t>次，每年原厂工程师现场恢复演练1次，中标后提供原厂商针对本项目的服务承诺函。</w:t>
            </w:r>
          </w:p>
        </w:tc>
      </w:tr>
    </w:tbl>
    <w:p w14:paraId="35AF099A">
      <w:pPr>
        <w:rPr>
          <w:rFonts w:ascii="宋体" w:hAnsi="宋体" w:cs="宋体"/>
          <w:b/>
        </w:rPr>
      </w:pPr>
      <w:r>
        <w:rPr>
          <w:rFonts w:hint="eastAsia" w:ascii="宋体" w:hAnsi="宋体" w:cs="宋体"/>
          <w:b/>
          <w:lang w:val="en-US" w:eastAsia="zh-CN"/>
        </w:rPr>
        <w:t>4.</w:t>
      </w:r>
      <w:r>
        <w:rPr>
          <w:rFonts w:hint="eastAsia" w:ascii="宋体" w:hAnsi="宋体" w:cs="宋体"/>
          <w:b/>
        </w:rPr>
        <w:t>其他建设集成服务</w:t>
      </w:r>
    </w:p>
    <w:tbl>
      <w:tblPr>
        <w:tblStyle w:val="51"/>
        <w:tblW w:w="494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0"/>
        <w:gridCol w:w="7922"/>
      </w:tblGrid>
      <w:tr w14:paraId="40272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938" w:type="pct"/>
            <w:tcBorders>
              <w:top w:val="single" w:color="auto" w:sz="4" w:space="0"/>
              <w:left w:val="single" w:color="auto" w:sz="4" w:space="0"/>
              <w:bottom w:val="single" w:color="auto" w:sz="4" w:space="0"/>
              <w:right w:val="single" w:color="auto" w:sz="4" w:space="0"/>
            </w:tcBorders>
            <w:vAlign w:val="center"/>
          </w:tcPr>
          <w:p w14:paraId="25C542BD">
            <w:pPr>
              <w:jc w:val="center"/>
              <w:rPr>
                <w:rFonts w:ascii="宋体" w:hAnsi="宋体" w:cs="宋体" w:eastAsiaTheme="minorEastAsia"/>
                <w:b/>
                <w:bCs/>
                <w:kern w:val="0"/>
                <w:sz w:val="22"/>
                <w:szCs w:val="22"/>
              </w:rPr>
            </w:pPr>
            <w:r>
              <w:rPr>
                <w:rFonts w:hint="eastAsia" w:ascii="宋体" w:hAnsi="宋体" w:cs="宋体" w:eastAsiaTheme="minorEastAsia"/>
                <w:b/>
                <w:bCs/>
                <w:szCs w:val="21"/>
              </w:rPr>
              <w:t>功能项</w:t>
            </w:r>
          </w:p>
        </w:tc>
        <w:tc>
          <w:tcPr>
            <w:tcW w:w="4061" w:type="pct"/>
            <w:tcBorders>
              <w:top w:val="single" w:color="auto" w:sz="4" w:space="0"/>
              <w:left w:val="single" w:color="auto" w:sz="4" w:space="0"/>
              <w:bottom w:val="single" w:color="auto" w:sz="4" w:space="0"/>
              <w:right w:val="single" w:color="auto" w:sz="4" w:space="0"/>
            </w:tcBorders>
            <w:vAlign w:val="center"/>
          </w:tcPr>
          <w:p w14:paraId="4A9604A1">
            <w:pPr>
              <w:ind w:firstLine="221"/>
              <w:jc w:val="center"/>
              <w:rPr>
                <w:rFonts w:ascii="宋体" w:hAnsi="宋体" w:cs="宋体" w:eastAsiaTheme="minorEastAsia"/>
                <w:b/>
                <w:bCs/>
                <w:kern w:val="0"/>
                <w:sz w:val="22"/>
                <w:szCs w:val="22"/>
              </w:rPr>
            </w:pPr>
            <w:r>
              <w:rPr>
                <w:rFonts w:hint="eastAsia" w:ascii="宋体" w:hAnsi="宋体" w:cs="宋体" w:eastAsiaTheme="minorEastAsia"/>
                <w:b/>
              </w:rPr>
              <w:t>技术要求及参数</w:t>
            </w:r>
          </w:p>
        </w:tc>
      </w:tr>
      <w:tr w14:paraId="7D8A2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938" w:type="pct"/>
            <w:tcBorders>
              <w:top w:val="single" w:color="auto" w:sz="4" w:space="0"/>
              <w:left w:val="single" w:color="auto" w:sz="4" w:space="0"/>
              <w:bottom w:val="single" w:color="auto" w:sz="4" w:space="0"/>
              <w:right w:val="single" w:color="auto" w:sz="4" w:space="0"/>
            </w:tcBorders>
            <w:vAlign w:val="center"/>
          </w:tcPr>
          <w:p w14:paraId="14996EF4">
            <w:pPr>
              <w:jc w:val="center"/>
              <w:rPr>
                <w:rFonts w:ascii="宋体" w:hAnsi="宋体" w:cs="宋体" w:eastAsiaTheme="minorEastAsia"/>
                <w:szCs w:val="21"/>
              </w:rPr>
            </w:pPr>
            <w:r>
              <w:rPr>
                <w:rFonts w:hint="eastAsia" w:ascii="宋体" w:hAnsi="宋体" w:eastAsia="宋体" w:cs="Times New Roman"/>
                <w:szCs w:val="21"/>
              </w:rPr>
              <w:t>服务要求</w:t>
            </w:r>
          </w:p>
        </w:tc>
        <w:tc>
          <w:tcPr>
            <w:tcW w:w="4061" w:type="pct"/>
            <w:tcBorders>
              <w:top w:val="single" w:color="auto" w:sz="4" w:space="0"/>
              <w:left w:val="single" w:color="auto" w:sz="4" w:space="0"/>
              <w:bottom w:val="single" w:color="auto" w:sz="4" w:space="0"/>
              <w:right w:val="single" w:color="auto" w:sz="4" w:space="0"/>
            </w:tcBorders>
            <w:vAlign w:val="center"/>
          </w:tcPr>
          <w:p w14:paraId="26E259B6">
            <w:pPr>
              <w:jc w:val="left"/>
              <w:rPr>
                <w:rFonts w:ascii="宋体" w:hAnsi="宋体" w:cs="宋体" w:eastAsiaTheme="minorEastAsia"/>
                <w:szCs w:val="21"/>
              </w:rPr>
            </w:pPr>
            <w:r>
              <w:rPr>
                <w:rFonts w:hint="eastAsia" w:ascii="宋体" w:cs="宋体"/>
                <w:kern w:val="0"/>
                <w:sz w:val="22"/>
                <w:szCs w:val="22"/>
                <w:u w:val="single"/>
              </w:rPr>
              <w:t>▲</w:t>
            </w:r>
            <w:r>
              <w:rPr>
                <w:rFonts w:hint="eastAsia" w:ascii="宋体" w:hAnsi="宋体" w:eastAsia="宋体" w:cs="宋体"/>
                <w:b/>
                <w:bCs/>
                <w:color w:val="auto"/>
                <w:kern w:val="0"/>
                <w:szCs w:val="21"/>
                <w:u w:val="single"/>
              </w:rPr>
              <w:t>本项目所涉及的硬件设备放置在采购人指定机房，投标供应商报价时应充分考虑采购人设备所在机房以及相关网络服务衔接等相关风险因素，且必须确保业务升级割接工作的顺利开展。中标单位需要承担：系统整合费用、系统及相关设备安装调试验收、试运行和实施服务费用以及</w:t>
            </w:r>
            <w:r>
              <w:rPr>
                <w:rFonts w:hint="eastAsia" w:ascii="宋体" w:hAnsi="宋体" w:eastAsia="宋体" w:cs="宋体"/>
                <w:b/>
                <w:bCs/>
                <w:color w:val="auto"/>
                <w:kern w:val="0"/>
                <w:szCs w:val="21"/>
                <w:u w:val="single"/>
                <w:lang w:eastAsia="zh-CN"/>
              </w:rPr>
              <w:t>在实施过程中</w:t>
            </w:r>
            <w:r>
              <w:rPr>
                <w:rFonts w:hint="eastAsia" w:ascii="宋体" w:hAnsi="宋体" w:eastAsia="宋体" w:cs="宋体"/>
                <w:b/>
                <w:bCs/>
                <w:color w:val="auto"/>
                <w:kern w:val="0"/>
                <w:szCs w:val="21"/>
                <w:u w:val="single"/>
              </w:rPr>
              <w:t>产生的其他一切费用均有中标单位承担。</w:t>
            </w:r>
          </w:p>
        </w:tc>
      </w:tr>
    </w:tbl>
    <w:p w14:paraId="7351F93F">
      <w:pPr>
        <w:pStyle w:val="2"/>
      </w:pPr>
      <w:r>
        <w:br w:type="textWrapping"/>
      </w:r>
    </w:p>
    <w:p w14:paraId="0B03181F">
      <w:pPr>
        <w:pStyle w:val="3"/>
      </w:pPr>
    </w:p>
    <w:p w14:paraId="5DACDDA8">
      <w:pPr>
        <w:pStyle w:val="38"/>
      </w:pPr>
    </w:p>
    <w:p w14:paraId="0278D924"/>
    <w:p w14:paraId="7B93BE2D"/>
    <w:p w14:paraId="7A1A0563"/>
    <w:p w14:paraId="576BAB9D"/>
    <w:p w14:paraId="4BB0A1E1"/>
    <w:p w14:paraId="1EE32E26"/>
    <w:p w14:paraId="182BC3B7"/>
    <w:p w14:paraId="6897B954"/>
    <w:p w14:paraId="252E1D81"/>
    <w:p w14:paraId="3060DB9C"/>
    <w:p w14:paraId="1BF82918"/>
    <w:p w14:paraId="6612AE83"/>
    <w:p w14:paraId="3722F953"/>
    <w:p w14:paraId="298EDE33"/>
    <w:p w14:paraId="3BCC2874"/>
    <w:p w14:paraId="0BE5AF33"/>
    <w:p w14:paraId="40CB36FF"/>
    <w:p w14:paraId="09EF6A68"/>
    <w:p w14:paraId="4EAFE943"/>
    <w:p w14:paraId="76F1BF9E"/>
    <w:p w14:paraId="134C071E"/>
    <w:p w14:paraId="1306C598"/>
    <w:p w14:paraId="7D23E858"/>
    <w:p w14:paraId="766F6450"/>
    <w:p w14:paraId="3B89ED6B"/>
    <w:p w14:paraId="324AB37D"/>
    <w:p w14:paraId="627538ED"/>
    <w:p w14:paraId="02E18094">
      <w:pPr>
        <w:pStyle w:val="2"/>
        <w:spacing w:after="0" w:line="360" w:lineRule="auto"/>
        <w:jc w:val="center"/>
        <w:outlineLvl w:val="0"/>
        <w:rPr>
          <w:rFonts w:cs="宋体"/>
          <w:sz w:val="32"/>
          <w:szCs w:val="32"/>
        </w:rPr>
      </w:pPr>
      <w:r>
        <w:rPr>
          <w:rFonts w:hint="eastAsia" w:cs="宋体"/>
          <w:b/>
          <w:bCs/>
          <w:sz w:val="32"/>
          <w:szCs w:val="32"/>
        </w:rPr>
        <w:t>第五部分   评标原则及方法</w:t>
      </w:r>
    </w:p>
    <w:p w14:paraId="1276EDDD">
      <w:pPr>
        <w:pStyle w:val="2"/>
        <w:adjustRightInd w:val="0"/>
        <w:snapToGrid w:val="0"/>
        <w:spacing w:after="0" w:line="360" w:lineRule="auto"/>
        <w:ind w:left="546" w:leftChars="260"/>
        <w:rPr>
          <w:rFonts w:ascii="宋体" w:cs="宋体"/>
          <w:b/>
          <w:bCs/>
          <w:szCs w:val="21"/>
        </w:rPr>
      </w:pPr>
      <w:r>
        <w:rPr>
          <w:rFonts w:hint="eastAsia" w:ascii="宋体" w:cs="宋体"/>
          <w:b/>
          <w:bCs/>
          <w:szCs w:val="21"/>
        </w:rPr>
        <w:t>根据</w:t>
      </w:r>
      <w:r>
        <w:rPr>
          <w:rFonts w:hint="eastAsia" w:ascii="宋体" w:cs="宋体"/>
          <w:b/>
          <w:bCs/>
          <w:szCs w:val="21"/>
          <w:lang w:eastAsia="zh-CN"/>
        </w:rPr>
        <w:t>《温州市市属国有企业采购管理办法》</w:t>
      </w:r>
      <w:r>
        <w:rPr>
          <w:rFonts w:hint="eastAsia" w:ascii="宋体" w:cs="宋体"/>
          <w:b/>
          <w:bCs/>
          <w:szCs w:val="21"/>
        </w:rPr>
        <w:t>等相关法律、法规特制定以下评标办法。</w:t>
      </w:r>
    </w:p>
    <w:p w14:paraId="1750347B">
      <w:pPr>
        <w:pStyle w:val="2"/>
        <w:numPr>
          <w:ilvl w:val="0"/>
          <w:numId w:val="2"/>
        </w:numPr>
        <w:adjustRightInd w:val="0"/>
        <w:snapToGrid w:val="0"/>
        <w:spacing w:after="0" w:line="360" w:lineRule="auto"/>
        <w:outlineLvl w:val="1"/>
        <w:rPr>
          <w:rFonts w:ascii="宋体" w:cs="宋体"/>
          <w:b/>
          <w:szCs w:val="21"/>
        </w:rPr>
      </w:pPr>
      <w:r>
        <w:rPr>
          <w:rFonts w:hint="eastAsia" w:ascii="宋体" w:cs="宋体"/>
          <w:b/>
          <w:szCs w:val="21"/>
        </w:rPr>
        <w:t>总  则</w:t>
      </w:r>
    </w:p>
    <w:p w14:paraId="103603B4">
      <w:pPr>
        <w:pStyle w:val="2"/>
        <w:adjustRightInd w:val="0"/>
        <w:snapToGrid w:val="0"/>
        <w:spacing w:after="0" w:line="360" w:lineRule="auto"/>
        <w:ind w:left="525" w:leftChars="250"/>
        <w:rPr>
          <w:rFonts w:ascii="宋体" w:cs="宋体"/>
          <w:szCs w:val="21"/>
        </w:rPr>
      </w:pPr>
      <w:r>
        <w:rPr>
          <w:rFonts w:hint="eastAsia" w:ascii="宋体" w:cs="宋体"/>
          <w:szCs w:val="21"/>
        </w:rPr>
        <w:t>评标工作应遵循公开、公平、公正、科学、择优原则和诚实、信誉、效率的服务原则。本着科学、严谨的态度，认真进行评标。择优选用，推进技术进步，确保项目质量、交货期，节约投资，最大限度的保护当事人权益，严格按照采购文件的商务、技术要求，对投标文件进行综合评定，提出优选方案，编写评标报告。对落标单位，评委会不作任何落标解释。投标供应商不得以任何方式干扰招投标工作的进行，一经发现其投标文件将被拒绝。</w:t>
      </w:r>
    </w:p>
    <w:p w14:paraId="3E35D6D1">
      <w:pPr>
        <w:pStyle w:val="2"/>
        <w:adjustRightInd w:val="0"/>
        <w:snapToGrid w:val="0"/>
        <w:spacing w:after="0" w:line="360" w:lineRule="auto"/>
        <w:outlineLvl w:val="1"/>
        <w:rPr>
          <w:rFonts w:ascii="宋体" w:cs="宋体"/>
          <w:b/>
          <w:szCs w:val="21"/>
        </w:rPr>
      </w:pPr>
      <w:r>
        <w:rPr>
          <w:rFonts w:hint="eastAsia" w:ascii="宋体" w:cs="宋体"/>
          <w:b/>
          <w:szCs w:val="21"/>
        </w:rPr>
        <w:t>二、 评标组织</w:t>
      </w:r>
    </w:p>
    <w:p w14:paraId="77CC2673">
      <w:pPr>
        <w:spacing w:line="360" w:lineRule="auto"/>
        <w:ind w:left="546" w:leftChars="260"/>
        <w:rPr>
          <w:rFonts w:ascii="宋体" w:cs="宋体"/>
          <w:szCs w:val="21"/>
        </w:rPr>
      </w:pPr>
      <w:r>
        <w:rPr>
          <w:rFonts w:hint="eastAsia" w:ascii="宋体" w:cs="宋体"/>
          <w:szCs w:val="21"/>
        </w:rPr>
        <w:t>评标工作由采购单位依法组建的评标委员会负责，评标全过程由有关部门指导监督。</w:t>
      </w:r>
    </w:p>
    <w:p w14:paraId="2C6B0E06">
      <w:pPr>
        <w:pStyle w:val="2"/>
        <w:adjustRightInd w:val="0"/>
        <w:snapToGrid w:val="0"/>
        <w:spacing w:after="0" w:line="360" w:lineRule="auto"/>
        <w:outlineLvl w:val="1"/>
        <w:rPr>
          <w:rFonts w:ascii="宋体" w:cs="宋体"/>
          <w:b/>
          <w:szCs w:val="21"/>
        </w:rPr>
      </w:pPr>
      <w:r>
        <w:rPr>
          <w:rFonts w:hint="eastAsia" w:ascii="宋体" w:cs="宋体"/>
          <w:b/>
          <w:szCs w:val="21"/>
        </w:rPr>
        <w:t>三、 评标程序</w:t>
      </w:r>
    </w:p>
    <w:p w14:paraId="6C04A8B8">
      <w:pPr>
        <w:spacing w:line="360" w:lineRule="auto"/>
        <w:ind w:left="546" w:leftChars="260"/>
        <w:rPr>
          <w:rFonts w:ascii="宋体" w:cs="宋体"/>
          <w:szCs w:val="21"/>
        </w:rPr>
      </w:pPr>
      <w:r>
        <w:rPr>
          <w:rFonts w:hint="eastAsia" w:ascii="宋体" w:hAnsi="宋体" w:cs="宋体"/>
          <w:sz w:val="22"/>
          <w:szCs w:val="22"/>
        </w:rPr>
        <w:t>开启各投标供应商的技术资信标和商务（报价）标</w:t>
      </w:r>
      <w:r>
        <w:rPr>
          <w:rFonts w:hint="eastAsia" w:ascii="宋体" w:cs="宋体"/>
          <w:szCs w:val="21"/>
        </w:rPr>
        <w:t>；标委员会对各投标供应商的投标资格进行审查；然后对合格投标供应商的技术资信标进行评审；技术资信标评审结束后对商务（报价）标进行评审；根据综合评审结果，提交评审报告。</w:t>
      </w:r>
    </w:p>
    <w:p w14:paraId="73C78BCF">
      <w:pPr>
        <w:pStyle w:val="2"/>
        <w:adjustRightInd w:val="0"/>
        <w:snapToGrid w:val="0"/>
        <w:spacing w:after="0" w:line="360" w:lineRule="auto"/>
        <w:outlineLvl w:val="1"/>
        <w:rPr>
          <w:rFonts w:ascii="宋体" w:cs="宋体"/>
          <w:szCs w:val="21"/>
        </w:rPr>
      </w:pPr>
      <w:r>
        <w:rPr>
          <w:rFonts w:hint="eastAsia" w:ascii="宋体" w:cs="宋体"/>
          <w:b/>
          <w:szCs w:val="21"/>
        </w:rPr>
        <w:t>四、 评标办法</w:t>
      </w:r>
    </w:p>
    <w:p w14:paraId="10AD3157">
      <w:pPr>
        <w:spacing w:line="360" w:lineRule="auto"/>
        <w:ind w:left="546" w:leftChars="260"/>
        <w:rPr>
          <w:rFonts w:ascii="宋体" w:cs="宋体"/>
          <w:szCs w:val="21"/>
        </w:rPr>
      </w:pPr>
      <w:r>
        <w:rPr>
          <w:rFonts w:hint="eastAsia" w:ascii="宋体" w:cs="宋体"/>
          <w:szCs w:val="21"/>
        </w:rPr>
        <w:t>本次评标采用综合评分法，总分100分，其中技术资信70分（技术资信权值70%），商务（报价）30分（价格权值30%）。即最大限度地满足采购文件实质性要求前提下，按照采购文件中规定的各项评分内容评审后，以评标总得分前两名的投标供应商，作为该项目第一中标候选供应商、第二中标候选供应商。</w:t>
      </w:r>
    </w:p>
    <w:p w14:paraId="6201E3ED">
      <w:pPr>
        <w:pStyle w:val="2"/>
        <w:adjustRightInd w:val="0"/>
        <w:snapToGrid w:val="0"/>
        <w:spacing w:after="0" w:line="360" w:lineRule="auto"/>
        <w:outlineLvl w:val="1"/>
        <w:rPr>
          <w:rFonts w:ascii="宋体" w:cs="宋体"/>
          <w:b/>
          <w:szCs w:val="21"/>
        </w:rPr>
      </w:pPr>
      <w:r>
        <w:rPr>
          <w:rFonts w:hint="eastAsia" w:ascii="宋体" w:cs="宋体"/>
          <w:b/>
          <w:szCs w:val="21"/>
        </w:rPr>
        <w:t>五、 评分细则</w:t>
      </w:r>
    </w:p>
    <w:p w14:paraId="02FFF99A">
      <w:pPr>
        <w:spacing w:line="360" w:lineRule="auto"/>
        <w:rPr>
          <w:rFonts w:ascii="宋体" w:cs="宋体"/>
          <w:szCs w:val="21"/>
        </w:rPr>
      </w:pPr>
      <w:r>
        <w:rPr>
          <w:rFonts w:hint="eastAsia" w:ascii="宋体" w:cs="宋体"/>
          <w:szCs w:val="21"/>
        </w:rPr>
        <w:t>1.   技术资信分的评定（70分）</w:t>
      </w:r>
    </w:p>
    <w:p w14:paraId="70442CA4">
      <w:pPr>
        <w:spacing w:line="360" w:lineRule="auto"/>
        <w:ind w:left="546" w:leftChars="260"/>
      </w:pPr>
      <w:r>
        <w:rPr>
          <w:rFonts w:hint="eastAsia" w:ascii="宋体" w:cs="宋体"/>
          <w:szCs w:val="21"/>
        </w:rPr>
        <w:t>各评委成员按下列评分内容进行评定，每人一张评分计算表，由评标委员会成员各自评定独立打分并记实名。如某张表的一项评分内容分值超过规定的范围，则该张表无效。评标委员会成员对投标供应商的各项评分内容评分的合计分的算术平均值为该投标供应商技术资信的最终得分（四舍五入，保留小数点后二位）</w:t>
      </w:r>
    </w:p>
    <w:tbl>
      <w:tblPr>
        <w:tblStyle w:val="50"/>
        <w:tblW w:w="100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3"/>
        <w:gridCol w:w="1702"/>
        <w:gridCol w:w="6568"/>
        <w:gridCol w:w="933"/>
      </w:tblGrid>
      <w:tr w14:paraId="1881E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813" w:type="dxa"/>
            <w:tcBorders>
              <w:top w:val="single" w:color="auto" w:sz="4" w:space="0"/>
              <w:left w:val="single" w:color="auto" w:sz="4" w:space="0"/>
              <w:bottom w:val="single" w:color="auto" w:sz="4" w:space="0"/>
              <w:right w:val="single" w:color="auto" w:sz="4" w:space="0"/>
            </w:tcBorders>
            <w:vAlign w:val="center"/>
          </w:tcPr>
          <w:p w14:paraId="56D9AF22">
            <w:pPr>
              <w:jc w:val="center"/>
              <w:rPr>
                <w:rFonts w:ascii="宋体" w:hAnsi="宋体" w:cs="宋体"/>
                <w:szCs w:val="21"/>
              </w:rPr>
            </w:pPr>
            <w:r>
              <w:rPr>
                <w:rFonts w:hint="eastAsia" w:ascii="宋体" w:hAnsi="宋体" w:cs="宋体"/>
                <w:color w:val="000000"/>
                <w:szCs w:val="21"/>
                <w:lang w:bidi="ar"/>
              </w:rPr>
              <w:t>序号</w:t>
            </w:r>
          </w:p>
        </w:tc>
        <w:tc>
          <w:tcPr>
            <w:tcW w:w="1702" w:type="dxa"/>
            <w:tcBorders>
              <w:top w:val="single" w:color="auto" w:sz="4" w:space="0"/>
              <w:left w:val="nil"/>
              <w:bottom w:val="single" w:color="auto" w:sz="4" w:space="0"/>
              <w:right w:val="single" w:color="auto" w:sz="4" w:space="0"/>
            </w:tcBorders>
            <w:vAlign w:val="center"/>
          </w:tcPr>
          <w:p w14:paraId="44EE3926">
            <w:pPr>
              <w:jc w:val="center"/>
              <w:rPr>
                <w:rFonts w:ascii="宋体" w:hAnsi="宋体" w:cs="宋体"/>
                <w:szCs w:val="21"/>
              </w:rPr>
            </w:pPr>
            <w:r>
              <w:rPr>
                <w:rFonts w:hint="eastAsia" w:ascii="宋体" w:hAnsi="宋体" w:cs="宋体"/>
                <w:color w:val="000000"/>
                <w:szCs w:val="21"/>
                <w:lang w:bidi="ar"/>
              </w:rPr>
              <w:t>评分内容</w:t>
            </w:r>
          </w:p>
        </w:tc>
        <w:tc>
          <w:tcPr>
            <w:tcW w:w="6568" w:type="dxa"/>
            <w:tcBorders>
              <w:top w:val="single" w:color="auto" w:sz="4" w:space="0"/>
              <w:left w:val="nil"/>
              <w:bottom w:val="single" w:color="auto" w:sz="4" w:space="0"/>
              <w:right w:val="single" w:color="auto" w:sz="4" w:space="0"/>
            </w:tcBorders>
            <w:vAlign w:val="center"/>
          </w:tcPr>
          <w:p w14:paraId="7020E47D">
            <w:pPr>
              <w:jc w:val="center"/>
              <w:rPr>
                <w:rFonts w:ascii="宋体" w:hAnsi="宋体" w:cs="宋体"/>
                <w:szCs w:val="21"/>
              </w:rPr>
            </w:pPr>
            <w:r>
              <w:rPr>
                <w:rFonts w:hint="eastAsia" w:ascii="宋体" w:hAnsi="宋体" w:cs="宋体"/>
                <w:color w:val="000000"/>
                <w:szCs w:val="21"/>
                <w:lang w:bidi="ar"/>
              </w:rPr>
              <w:t>评标标准</w:t>
            </w:r>
          </w:p>
        </w:tc>
        <w:tc>
          <w:tcPr>
            <w:tcW w:w="933" w:type="dxa"/>
            <w:tcBorders>
              <w:top w:val="single" w:color="auto" w:sz="4" w:space="0"/>
              <w:left w:val="nil"/>
              <w:bottom w:val="single" w:color="auto" w:sz="4" w:space="0"/>
              <w:right w:val="single" w:color="auto" w:sz="4" w:space="0"/>
            </w:tcBorders>
            <w:vAlign w:val="center"/>
          </w:tcPr>
          <w:p w14:paraId="68797104">
            <w:pPr>
              <w:jc w:val="center"/>
              <w:rPr>
                <w:rFonts w:ascii="宋体" w:hAnsi="宋体" w:cs="宋体"/>
                <w:szCs w:val="21"/>
              </w:rPr>
            </w:pPr>
            <w:r>
              <w:rPr>
                <w:rFonts w:hint="eastAsia" w:ascii="宋体" w:hAnsi="宋体" w:cs="宋体"/>
                <w:color w:val="000000"/>
                <w:szCs w:val="21"/>
                <w:lang w:bidi="ar"/>
              </w:rPr>
              <w:t>分值</w:t>
            </w:r>
          </w:p>
        </w:tc>
      </w:tr>
      <w:tr w14:paraId="70752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jc w:val="center"/>
        </w:trPr>
        <w:tc>
          <w:tcPr>
            <w:tcW w:w="813" w:type="dxa"/>
            <w:vMerge w:val="restart"/>
            <w:tcBorders>
              <w:top w:val="single" w:color="auto" w:sz="4" w:space="0"/>
              <w:left w:val="single" w:color="auto" w:sz="4" w:space="0"/>
              <w:right w:val="single" w:color="auto" w:sz="4" w:space="0"/>
            </w:tcBorders>
            <w:vAlign w:val="center"/>
          </w:tcPr>
          <w:p w14:paraId="75976531">
            <w:pPr>
              <w:jc w:val="center"/>
              <w:rPr>
                <w:rFonts w:ascii="宋体" w:hAnsi="宋体" w:cs="宋体"/>
                <w:szCs w:val="21"/>
              </w:rPr>
            </w:pPr>
            <w:r>
              <w:rPr>
                <w:rFonts w:hint="eastAsia" w:ascii="宋体" w:hAnsi="宋体" w:cs="宋体"/>
                <w:color w:val="000000"/>
                <w:szCs w:val="21"/>
              </w:rPr>
              <w:t>1</w:t>
            </w:r>
          </w:p>
        </w:tc>
        <w:tc>
          <w:tcPr>
            <w:tcW w:w="1702" w:type="dxa"/>
            <w:vMerge w:val="restart"/>
            <w:tcBorders>
              <w:top w:val="single" w:color="auto" w:sz="4" w:space="0"/>
              <w:left w:val="nil"/>
              <w:right w:val="single" w:color="auto" w:sz="4" w:space="0"/>
            </w:tcBorders>
            <w:vAlign w:val="center"/>
          </w:tcPr>
          <w:p w14:paraId="79D94804">
            <w:pPr>
              <w:jc w:val="center"/>
              <w:rPr>
                <w:rFonts w:ascii="宋体" w:hAnsi="宋体" w:cs="宋体"/>
                <w:szCs w:val="21"/>
              </w:rPr>
            </w:pPr>
            <w:r>
              <w:rPr>
                <w:rFonts w:hint="eastAsia" w:ascii="宋体" w:hAnsi="宋体" w:cs="宋体"/>
                <w:color w:val="000000"/>
                <w:szCs w:val="21"/>
              </w:rPr>
              <w:t>企业综合实力</w:t>
            </w:r>
          </w:p>
        </w:tc>
        <w:tc>
          <w:tcPr>
            <w:tcW w:w="6568" w:type="dxa"/>
            <w:tcBorders>
              <w:top w:val="single" w:color="auto" w:sz="4" w:space="0"/>
              <w:left w:val="nil"/>
              <w:right w:val="single" w:color="auto" w:sz="4" w:space="0"/>
            </w:tcBorders>
            <w:vAlign w:val="center"/>
          </w:tcPr>
          <w:p w14:paraId="61851D43">
            <w:pPr>
              <w:widowControl/>
              <w:jc w:val="left"/>
              <w:rPr>
                <w:rFonts w:ascii="宋体" w:hAnsi="宋体" w:cs="宋体"/>
                <w:szCs w:val="21"/>
              </w:rPr>
            </w:pPr>
            <w:r>
              <w:rPr>
                <w:rFonts w:hint="eastAsia" w:ascii="宋体" w:hAnsi="宋体" w:cs="宋体"/>
                <w:szCs w:val="21"/>
              </w:rPr>
              <w:t>1、投标供应商具有质量体系认证证书、环境管理体系认证证书，每提供一个证书得1分，最高得2分。</w:t>
            </w:r>
          </w:p>
          <w:p w14:paraId="2E852068">
            <w:pPr>
              <w:widowControl/>
              <w:jc w:val="left"/>
              <w:rPr>
                <w:rFonts w:ascii="宋体" w:hAnsi="宋体" w:cs="宋体"/>
                <w:szCs w:val="21"/>
              </w:rPr>
            </w:pPr>
            <w:r>
              <w:rPr>
                <w:rFonts w:hint="eastAsia" w:ascii="宋体" w:hAnsi="宋体" w:cs="宋体"/>
                <w:szCs w:val="21"/>
              </w:rPr>
              <w:t>2、投标供应商具有信息安全管理体系认证证书、CCRC信息系统安全运维服务三级及以上服务资质证书，每提供一个证书得1分，最高得2分。</w:t>
            </w:r>
          </w:p>
          <w:p w14:paraId="3627814F">
            <w:pPr>
              <w:widowControl/>
              <w:jc w:val="left"/>
              <w:rPr>
                <w:szCs w:val="21"/>
              </w:rPr>
            </w:pPr>
            <w:r>
              <w:rPr>
                <w:rFonts w:hint="eastAsia" w:ascii="宋体" w:hAnsi="宋体" w:cs="宋体"/>
                <w:szCs w:val="21"/>
              </w:rPr>
              <w:t>注：以上证书需提供复印件加盖投标人公章，否则不得分。</w:t>
            </w:r>
          </w:p>
        </w:tc>
        <w:tc>
          <w:tcPr>
            <w:tcW w:w="933" w:type="dxa"/>
            <w:tcBorders>
              <w:top w:val="single" w:color="auto" w:sz="4" w:space="0"/>
              <w:left w:val="nil"/>
              <w:bottom w:val="single" w:color="auto" w:sz="4" w:space="0"/>
              <w:right w:val="single" w:color="auto" w:sz="4" w:space="0"/>
            </w:tcBorders>
            <w:vAlign w:val="center"/>
          </w:tcPr>
          <w:p w14:paraId="0216FB77">
            <w:pPr>
              <w:jc w:val="center"/>
              <w:rPr>
                <w:rFonts w:ascii="宋体" w:hAnsi="宋体" w:cs="宋体"/>
                <w:szCs w:val="21"/>
                <w:lang w:bidi="ar"/>
              </w:rPr>
            </w:pPr>
            <w:r>
              <w:rPr>
                <w:rFonts w:hint="eastAsia" w:ascii="宋体" w:hAnsi="宋体" w:cs="宋体"/>
                <w:color w:val="000000"/>
                <w:szCs w:val="21"/>
                <w:lang w:val="en-US" w:eastAsia="zh-CN"/>
              </w:rPr>
              <w:t>4</w:t>
            </w:r>
            <w:r>
              <w:rPr>
                <w:rFonts w:hint="eastAsia" w:ascii="宋体" w:hAnsi="宋体" w:cs="宋体"/>
                <w:color w:val="000000"/>
                <w:szCs w:val="21"/>
              </w:rPr>
              <w:t>分</w:t>
            </w:r>
          </w:p>
        </w:tc>
      </w:tr>
      <w:tr w14:paraId="17048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jc w:val="center"/>
        </w:trPr>
        <w:tc>
          <w:tcPr>
            <w:tcW w:w="813" w:type="dxa"/>
            <w:vMerge w:val="continue"/>
            <w:tcBorders>
              <w:left w:val="single" w:color="auto" w:sz="4" w:space="0"/>
              <w:right w:val="single" w:color="auto" w:sz="4" w:space="0"/>
            </w:tcBorders>
            <w:vAlign w:val="center"/>
          </w:tcPr>
          <w:p w14:paraId="0D42BC37">
            <w:pPr>
              <w:jc w:val="center"/>
            </w:pPr>
          </w:p>
        </w:tc>
        <w:tc>
          <w:tcPr>
            <w:tcW w:w="1702" w:type="dxa"/>
            <w:vMerge w:val="continue"/>
            <w:tcBorders>
              <w:left w:val="nil"/>
              <w:right w:val="single" w:color="auto" w:sz="4" w:space="0"/>
            </w:tcBorders>
            <w:vAlign w:val="center"/>
          </w:tcPr>
          <w:p w14:paraId="179C2D85">
            <w:pPr>
              <w:jc w:val="center"/>
            </w:pPr>
          </w:p>
        </w:tc>
        <w:tc>
          <w:tcPr>
            <w:tcW w:w="6568" w:type="dxa"/>
            <w:tcBorders>
              <w:top w:val="single" w:color="auto" w:sz="4" w:space="0"/>
              <w:left w:val="nil"/>
              <w:right w:val="single" w:color="auto" w:sz="4" w:space="0"/>
            </w:tcBorders>
            <w:vAlign w:val="center"/>
          </w:tcPr>
          <w:p w14:paraId="34AA4185">
            <w:pPr>
              <w:jc w:val="left"/>
              <w:rPr>
                <w:rFonts w:hint="eastAsia" w:ascii="宋体" w:hAnsi="宋体" w:cs="宋体"/>
                <w:color w:val="FF0000"/>
                <w:szCs w:val="21"/>
                <w:lang w:val="en-US" w:eastAsia="zh-CN"/>
              </w:rPr>
            </w:pPr>
            <w:r>
              <w:rPr>
                <w:rFonts w:hint="eastAsia" w:ascii="宋体" w:hAnsi="宋体" w:cs="宋体"/>
                <w:szCs w:val="21"/>
              </w:rPr>
              <w:t>根据投标供应商的企业实力、技术力量、经营信誉、市场知名度、获奖情况等，由评委进行打分（0-4分）</w:t>
            </w:r>
          </w:p>
        </w:tc>
        <w:tc>
          <w:tcPr>
            <w:tcW w:w="933" w:type="dxa"/>
            <w:tcBorders>
              <w:top w:val="single" w:color="auto" w:sz="4" w:space="0"/>
              <w:left w:val="nil"/>
              <w:bottom w:val="single" w:color="auto" w:sz="4" w:space="0"/>
              <w:right w:val="single" w:color="auto" w:sz="4" w:space="0"/>
            </w:tcBorders>
            <w:vAlign w:val="center"/>
          </w:tcPr>
          <w:p w14:paraId="212A6644">
            <w:pPr>
              <w:jc w:val="center"/>
              <w:rPr>
                <w:rFonts w:hint="eastAsia" w:ascii="宋体" w:hAnsi="宋体" w:cs="宋体"/>
                <w:color w:val="FF0000"/>
                <w:szCs w:val="21"/>
                <w:lang w:val="en-US" w:eastAsia="zh-CN"/>
              </w:rPr>
            </w:pPr>
            <w:r>
              <w:rPr>
                <w:rFonts w:hint="eastAsia" w:ascii="宋体" w:hAnsi="宋体" w:cs="宋体"/>
                <w:color w:val="000000"/>
                <w:szCs w:val="21"/>
                <w:lang w:val="en-US" w:eastAsia="zh-CN"/>
              </w:rPr>
              <w:t>4</w:t>
            </w:r>
            <w:r>
              <w:rPr>
                <w:rFonts w:hint="eastAsia" w:ascii="宋体" w:hAnsi="宋体" w:cs="宋体"/>
                <w:color w:val="000000"/>
                <w:szCs w:val="21"/>
              </w:rPr>
              <w:t>分</w:t>
            </w:r>
          </w:p>
        </w:tc>
      </w:tr>
      <w:tr w14:paraId="77264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813" w:type="dxa"/>
            <w:tcBorders>
              <w:top w:val="single" w:color="auto" w:sz="4" w:space="0"/>
              <w:left w:val="single" w:color="auto" w:sz="4" w:space="0"/>
              <w:right w:val="single" w:color="auto" w:sz="4" w:space="0"/>
            </w:tcBorders>
            <w:vAlign w:val="center"/>
          </w:tcPr>
          <w:p w14:paraId="654A30F9">
            <w:pPr>
              <w:jc w:val="center"/>
              <w:rPr>
                <w:rFonts w:ascii="宋体" w:hAnsi="宋体" w:cs="宋体"/>
                <w:szCs w:val="21"/>
              </w:rPr>
            </w:pPr>
            <w:r>
              <w:rPr>
                <w:rFonts w:hint="eastAsia" w:ascii="宋体" w:hAnsi="宋体" w:cs="宋体"/>
                <w:color w:val="000000"/>
                <w:szCs w:val="21"/>
              </w:rPr>
              <w:t>2</w:t>
            </w:r>
          </w:p>
        </w:tc>
        <w:tc>
          <w:tcPr>
            <w:tcW w:w="1702" w:type="dxa"/>
            <w:tcBorders>
              <w:top w:val="single" w:color="auto" w:sz="4" w:space="0"/>
              <w:left w:val="nil"/>
              <w:right w:val="single" w:color="auto" w:sz="4" w:space="0"/>
            </w:tcBorders>
            <w:vAlign w:val="center"/>
          </w:tcPr>
          <w:p w14:paraId="72FC6E1E">
            <w:pPr>
              <w:jc w:val="center"/>
              <w:rPr>
                <w:rFonts w:ascii="宋体" w:hAnsi="宋体" w:cs="宋体"/>
                <w:szCs w:val="21"/>
              </w:rPr>
            </w:pPr>
            <w:r>
              <w:rPr>
                <w:rFonts w:hint="eastAsia" w:ascii="宋体" w:hAnsi="宋体" w:cs="宋体"/>
                <w:color w:val="000000"/>
                <w:szCs w:val="21"/>
              </w:rPr>
              <w:t>类似项目业绩</w:t>
            </w:r>
          </w:p>
        </w:tc>
        <w:tc>
          <w:tcPr>
            <w:tcW w:w="6568" w:type="dxa"/>
            <w:tcBorders>
              <w:top w:val="single" w:color="auto" w:sz="4" w:space="0"/>
              <w:left w:val="nil"/>
              <w:right w:val="single" w:color="auto" w:sz="4" w:space="0"/>
            </w:tcBorders>
            <w:vAlign w:val="center"/>
          </w:tcPr>
          <w:p w14:paraId="6680E6D5">
            <w:pPr>
              <w:rPr>
                <w:rFonts w:ascii="宋体" w:hAnsi="宋体" w:cs="宋体"/>
                <w:szCs w:val="21"/>
              </w:rPr>
            </w:pPr>
            <w:r>
              <w:rPr>
                <w:rFonts w:hint="eastAsia" w:ascii="宋体" w:hAnsi="宋体" w:cs="宋体"/>
                <w:color w:val="000000"/>
                <w:szCs w:val="21"/>
              </w:rPr>
              <w:t>投标供应商2020年1月1日至今（以合同签订时间为准）承担过类似项目业绩的，每提供一个得1分，最高得3分。</w:t>
            </w:r>
          </w:p>
          <w:p w14:paraId="19AE49FF">
            <w:pPr>
              <w:pStyle w:val="3"/>
              <w:spacing w:after="0"/>
              <w:ind w:firstLine="0" w:firstLineChars="0"/>
              <w:rPr>
                <w:szCs w:val="21"/>
              </w:rPr>
            </w:pPr>
            <w:r>
              <w:rPr>
                <w:rFonts w:hint="eastAsia" w:ascii="宋体" w:hAnsi="宋体" w:cs="宋体"/>
                <w:color w:val="000000"/>
                <w:szCs w:val="21"/>
              </w:rPr>
              <w:t>注：需同时提供中标通知书、合同复印件加盖公章，否则不得分。</w:t>
            </w:r>
          </w:p>
        </w:tc>
        <w:tc>
          <w:tcPr>
            <w:tcW w:w="933" w:type="dxa"/>
            <w:tcBorders>
              <w:top w:val="single" w:color="auto" w:sz="4" w:space="0"/>
              <w:left w:val="nil"/>
              <w:bottom w:val="single" w:color="auto" w:sz="4" w:space="0"/>
              <w:right w:val="single" w:color="auto" w:sz="4" w:space="0"/>
            </w:tcBorders>
            <w:vAlign w:val="center"/>
          </w:tcPr>
          <w:p w14:paraId="614C7896">
            <w:pPr>
              <w:jc w:val="center"/>
              <w:rPr>
                <w:rFonts w:ascii="宋体" w:hAnsi="宋体" w:cs="宋体"/>
                <w:szCs w:val="21"/>
                <w:lang w:bidi="ar"/>
              </w:rPr>
            </w:pPr>
            <w:r>
              <w:rPr>
                <w:rFonts w:hint="eastAsia" w:ascii="宋体" w:hAnsi="宋体" w:cs="宋体"/>
                <w:color w:val="000000"/>
                <w:szCs w:val="21"/>
                <w:lang w:bidi="ar"/>
              </w:rPr>
              <w:t>3</w:t>
            </w:r>
            <w:r>
              <w:rPr>
                <w:rFonts w:hint="eastAsia" w:ascii="宋体" w:hAnsi="宋体" w:cs="宋体"/>
                <w:color w:val="000000"/>
                <w:szCs w:val="21"/>
              </w:rPr>
              <w:t>分</w:t>
            </w:r>
          </w:p>
        </w:tc>
      </w:tr>
      <w:tr w14:paraId="6D994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4" w:hRule="atLeast"/>
          <w:jc w:val="center"/>
        </w:trPr>
        <w:tc>
          <w:tcPr>
            <w:tcW w:w="813" w:type="dxa"/>
            <w:tcBorders>
              <w:top w:val="single" w:color="auto" w:sz="4" w:space="0"/>
              <w:left w:val="single" w:color="auto" w:sz="4" w:space="0"/>
              <w:right w:val="single" w:color="auto" w:sz="4" w:space="0"/>
            </w:tcBorders>
            <w:vAlign w:val="center"/>
          </w:tcPr>
          <w:p w14:paraId="6C7B5A74">
            <w:pPr>
              <w:jc w:val="center"/>
              <w:rPr>
                <w:rFonts w:ascii="宋体" w:hAnsi="宋体" w:cs="宋体"/>
                <w:szCs w:val="21"/>
              </w:rPr>
            </w:pPr>
            <w:r>
              <w:rPr>
                <w:rFonts w:hint="eastAsia" w:ascii="宋体" w:hAnsi="宋体" w:cs="宋体"/>
                <w:color w:val="000000"/>
                <w:szCs w:val="21"/>
              </w:rPr>
              <w:t>3</w:t>
            </w:r>
          </w:p>
        </w:tc>
        <w:tc>
          <w:tcPr>
            <w:tcW w:w="1702" w:type="dxa"/>
            <w:tcBorders>
              <w:top w:val="single" w:color="auto" w:sz="4" w:space="0"/>
              <w:left w:val="nil"/>
              <w:right w:val="single" w:color="auto" w:sz="4" w:space="0"/>
            </w:tcBorders>
            <w:vAlign w:val="center"/>
          </w:tcPr>
          <w:p w14:paraId="7131EBC7">
            <w:pPr>
              <w:jc w:val="center"/>
              <w:rPr>
                <w:rFonts w:ascii="宋体" w:hAnsi="宋体" w:cs="宋体"/>
                <w:color w:val="auto"/>
                <w:szCs w:val="21"/>
                <w:highlight w:val="none"/>
              </w:rPr>
            </w:pPr>
            <w:r>
              <w:rPr>
                <w:rFonts w:hint="eastAsia" w:ascii="宋体" w:hAnsi="宋体" w:cs="宋体"/>
                <w:color w:val="auto"/>
                <w:szCs w:val="21"/>
                <w:highlight w:val="none"/>
              </w:rPr>
              <w:t>投标产品的响应情况</w:t>
            </w:r>
          </w:p>
        </w:tc>
        <w:tc>
          <w:tcPr>
            <w:tcW w:w="6568" w:type="dxa"/>
            <w:tcBorders>
              <w:top w:val="single" w:color="auto" w:sz="4" w:space="0"/>
              <w:left w:val="nil"/>
              <w:right w:val="single" w:color="auto" w:sz="4" w:space="0"/>
            </w:tcBorders>
            <w:vAlign w:val="center"/>
          </w:tcPr>
          <w:p w14:paraId="2B651A6A">
            <w:pPr>
              <w:rPr>
                <w:rFonts w:ascii="宋体" w:hAnsi="宋体" w:cs="宋体"/>
                <w:color w:val="auto"/>
                <w:szCs w:val="21"/>
                <w:highlight w:val="none"/>
              </w:rPr>
            </w:pPr>
            <w:r>
              <w:rPr>
                <w:rFonts w:hint="eastAsia" w:ascii="宋体" w:hAnsi="宋体" w:cs="宋体"/>
                <w:color w:val="auto"/>
                <w:szCs w:val="21"/>
                <w:highlight w:val="none"/>
              </w:rPr>
              <w:t>投标产品的总体性能、技术指标与采购文件“第四部分 采购内容及要求”“四、技术要求及参数”的响应情况：标“★”项为重要、关键技术指标，每负偏离一项扣减1分；其他未标“★”项技术指标，每负偏离一项扣减0.5分，扣完为止。</w:t>
            </w:r>
          </w:p>
          <w:p w14:paraId="0417D596">
            <w:pPr>
              <w:rPr>
                <w:rFonts w:ascii="宋体" w:hAnsi="宋体" w:cs="宋体"/>
                <w:color w:val="auto"/>
                <w:szCs w:val="21"/>
                <w:highlight w:val="none"/>
              </w:rPr>
            </w:pPr>
            <w:r>
              <w:rPr>
                <w:rFonts w:hint="eastAsia" w:ascii="宋体" w:hAnsi="宋体" w:cs="宋体"/>
                <w:color w:val="auto"/>
                <w:kern w:val="0"/>
                <w:szCs w:val="21"/>
                <w:highlight w:val="none"/>
              </w:rPr>
              <w:t>注：投标供应商需在商务条款、技术规格偏离表中对所有技术要求及参数进行逐项响应。如有要求提供证明材料的，需提供，否则按负偏离认定。</w:t>
            </w:r>
          </w:p>
        </w:tc>
        <w:tc>
          <w:tcPr>
            <w:tcW w:w="933" w:type="dxa"/>
            <w:tcBorders>
              <w:top w:val="single" w:color="auto" w:sz="4" w:space="0"/>
              <w:left w:val="nil"/>
              <w:bottom w:val="single" w:color="auto" w:sz="4" w:space="0"/>
              <w:right w:val="single" w:color="auto" w:sz="4" w:space="0"/>
            </w:tcBorders>
            <w:vAlign w:val="center"/>
          </w:tcPr>
          <w:p w14:paraId="7C614BD1">
            <w:pPr>
              <w:jc w:val="center"/>
              <w:rPr>
                <w:rFonts w:ascii="宋体" w:hAnsi="宋体" w:cs="宋体"/>
                <w:szCs w:val="21"/>
                <w:lang w:bidi="ar"/>
              </w:rPr>
            </w:pPr>
            <w:r>
              <w:rPr>
                <w:rFonts w:ascii="宋体" w:hAnsi="宋体" w:cs="宋体"/>
                <w:color w:val="000000"/>
                <w:szCs w:val="21"/>
              </w:rPr>
              <w:t>2</w:t>
            </w:r>
            <w:r>
              <w:rPr>
                <w:rFonts w:hint="eastAsia" w:ascii="宋体" w:hAnsi="宋体" w:cs="宋体"/>
                <w:color w:val="000000"/>
                <w:szCs w:val="21"/>
                <w:lang w:val="en-US" w:eastAsia="zh-CN"/>
              </w:rPr>
              <w:t>7</w:t>
            </w:r>
            <w:r>
              <w:rPr>
                <w:rFonts w:hint="eastAsia" w:ascii="宋体" w:hAnsi="宋体" w:cs="宋体"/>
                <w:color w:val="000000"/>
                <w:szCs w:val="21"/>
              </w:rPr>
              <w:t>分</w:t>
            </w:r>
          </w:p>
        </w:tc>
      </w:tr>
      <w:tr w14:paraId="370EF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813" w:type="dxa"/>
            <w:tcBorders>
              <w:top w:val="single" w:color="auto" w:sz="4" w:space="0"/>
              <w:left w:val="single" w:color="auto" w:sz="4" w:space="0"/>
              <w:right w:val="single" w:color="auto" w:sz="4" w:space="0"/>
            </w:tcBorders>
            <w:vAlign w:val="center"/>
          </w:tcPr>
          <w:p w14:paraId="38A0E316">
            <w:pPr>
              <w:jc w:val="center"/>
              <w:rPr>
                <w:rFonts w:ascii="宋体" w:hAnsi="宋体" w:cs="宋体"/>
                <w:szCs w:val="21"/>
              </w:rPr>
            </w:pPr>
            <w:r>
              <w:rPr>
                <w:rFonts w:hint="eastAsia" w:ascii="宋体" w:hAnsi="宋体" w:cs="宋体"/>
                <w:color w:val="000000"/>
                <w:szCs w:val="21"/>
              </w:rPr>
              <w:t>4</w:t>
            </w:r>
          </w:p>
        </w:tc>
        <w:tc>
          <w:tcPr>
            <w:tcW w:w="1702" w:type="dxa"/>
            <w:tcBorders>
              <w:top w:val="single" w:color="auto" w:sz="4" w:space="0"/>
              <w:left w:val="nil"/>
              <w:right w:val="single" w:color="auto" w:sz="4" w:space="0"/>
            </w:tcBorders>
            <w:vAlign w:val="center"/>
          </w:tcPr>
          <w:p w14:paraId="5F0A8B46">
            <w:pPr>
              <w:jc w:val="center"/>
              <w:rPr>
                <w:rFonts w:ascii="宋体" w:hAnsi="宋体" w:cs="宋体"/>
                <w:color w:val="auto"/>
                <w:szCs w:val="21"/>
                <w:highlight w:val="none"/>
              </w:rPr>
            </w:pPr>
            <w:r>
              <w:rPr>
                <w:rFonts w:hint="eastAsia" w:ascii="宋体" w:hAnsi="宋体" w:cs="宋体"/>
                <w:color w:val="auto"/>
                <w:szCs w:val="21"/>
                <w:highlight w:val="none"/>
              </w:rPr>
              <w:t>项目人员配备</w:t>
            </w:r>
          </w:p>
        </w:tc>
        <w:tc>
          <w:tcPr>
            <w:tcW w:w="6568" w:type="dxa"/>
            <w:tcBorders>
              <w:top w:val="single" w:color="auto" w:sz="4" w:space="0"/>
              <w:left w:val="nil"/>
              <w:right w:val="single" w:color="auto" w:sz="4" w:space="0"/>
            </w:tcBorders>
            <w:vAlign w:val="center"/>
          </w:tcPr>
          <w:p w14:paraId="6EA4619E">
            <w:pPr>
              <w:rPr>
                <w:rFonts w:hint="eastAsia" w:ascii="宋体" w:hAnsi="宋体" w:cs="宋体"/>
                <w:color w:val="auto"/>
                <w:szCs w:val="21"/>
                <w:highlight w:val="none"/>
              </w:rPr>
            </w:pPr>
            <w:r>
              <w:rPr>
                <w:rFonts w:hint="eastAsia" w:ascii="宋体" w:hAnsi="宋体" w:cs="宋体"/>
                <w:color w:val="auto"/>
                <w:szCs w:val="21"/>
                <w:highlight w:val="none"/>
              </w:rPr>
              <w:t>1、投标供应商拟派服务于此次项目的项目负责人（一名)具有（信息系统项目管理师、系统分析师、系统架构设计师、网络规划设计师、系统规划与管理师）软考高级证书的，每具备一项得1分，总分不超过3分。</w:t>
            </w:r>
          </w:p>
          <w:p w14:paraId="39BC6E76">
            <w:pPr>
              <w:rPr>
                <w:rFonts w:ascii="宋体" w:hAnsi="宋体" w:cs="宋体"/>
                <w:color w:val="auto"/>
                <w:szCs w:val="21"/>
                <w:highlight w:val="none"/>
              </w:rPr>
            </w:pPr>
            <w:r>
              <w:rPr>
                <w:rFonts w:hint="eastAsia" w:ascii="宋体" w:hAnsi="宋体" w:cs="宋体"/>
                <w:color w:val="auto"/>
                <w:szCs w:val="21"/>
                <w:highlight w:val="none"/>
              </w:rPr>
              <w:t>2、投标供应商拟派服务于此次项目的技术负责人（一名）具有网络规划设计师（软考高级）得 1 分，具有数据中心（机房）规划设计工程师（高级）得1分，具有信创集成项目管理师得1分，总分不超过 3 分。</w:t>
            </w:r>
          </w:p>
          <w:p w14:paraId="5ED71AA4">
            <w:pPr>
              <w:rPr>
                <w:rFonts w:hint="eastAsia" w:ascii="宋体" w:hAnsi="宋体" w:cs="宋体"/>
                <w:color w:val="auto"/>
                <w:szCs w:val="21"/>
                <w:highlight w:val="none"/>
              </w:rPr>
            </w:pPr>
            <w:r>
              <w:rPr>
                <w:rFonts w:hint="eastAsia" w:ascii="宋体" w:hAnsi="宋体" w:cs="宋体"/>
                <w:color w:val="auto"/>
                <w:szCs w:val="21"/>
                <w:highlight w:val="none"/>
              </w:rPr>
              <w:t>3、投标供应商拟派服务于此次项目的项目团队（除项目负责人、技术技术负责人外），具有网络规划设计师（软考高级）、数据中心（机房）运维管理工程师（高级）、信创集成项目管理师、网络工程师（软考中级）、数据库系统工程师（软考中级）证书，每提供1类证书得1分，最多得4分。（同一人员不重复计分）</w:t>
            </w:r>
          </w:p>
          <w:p w14:paraId="2CF717DC">
            <w:pPr>
              <w:rPr>
                <w:rFonts w:ascii="宋体" w:hAnsi="宋体" w:cs="宋体"/>
                <w:color w:val="auto"/>
                <w:szCs w:val="21"/>
                <w:highlight w:val="none"/>
              </w:rPr>
            </w:pPr>
            <w:r>
              <w:rPr>
                <w:rFonts w:hint="eastAsia" w:ascii="宋体" w:hAnsi="宋体" w:cs="宋体"/>
                <w:color w:val="auto"/>
                <w:szCs w:val="21"/>
                <w:highlight w:val="none"/>
              </w:rPr>
              <w:t>注：以上人员须提供相关证书及所在磋商供应商单位连续缴纳近三个月的社保证明（若公司注册时间未满三个月的，出具书面说明）并加盖公章。</w:t>
            </w:r>
          </w:p>
        </w:tc>
        <w:tc>
          <w:tcPr>
            <w:tcW w:w="933" w:type="dxa"/>
            <w:tcBorders>
              <w:top w:val="single" w:color="auto" w:sz="4" w:space="0"/>
              <w:left w:val="nil"/>
              <w:bottom w:val="single" w:color="auto" w:sz="4" w:space="0"/>
              <w:right w:val="single" w:color="auto" w:sz="4" w:space="0"/>
            </w:tcBorders>
            <w:vAlign w:val="center"/>
          </w:tcPr>
          <w:p w14:paraId="03C453E5">
            <w:pPr>
              <w:jc w:val="center"/>
              <w:rPr>
                <w:rFonts w:ascii="宋体" w:hAnsi="宋体" w:cs="宋体"/>
                <w:szCs w:val="21"/>
                <w:lang w:bidi="ar"/>
              </w:rPr>
            </w:pPr>
            <w:r>
              <w:rPr>
                <w:rFonts w:hint="eastAsia" w:ascii="宋体" w:hAnsi="宋体" w:cs="宋体"/>
                <w:color w:val="000000"/>
                <w:szCs w:val="21"/>
                <w:lang w:bidi="ar"/>
              </w:rPr>
              <w:t>1</w:t>
            </w:r>
            <w:r>
              <w:rPr>
                <w:rFonts w:hint="eastAsia" w:ascii="宋体" w:hAnsi="宋体" w:cs="宋体"/>
                <w:color w:val="000000"/>
                <w:szCs w:val="21"/>
                <w:lang w:val="en-US" w:eastAsia="zh-CN" w:bidi="ar"/>
              </w:rPr>
              <w:t>0</w:t>
            </w:r>
            <w:r>
              <w:rPr>
                <w:rFonts w:hint="eastAsia" w:ascii="宋体" w:hAnsi="宋体" w:cs="宋体"/>
                <w:color w:val="000000"/>
                <w:szCs w:val="21"/>
              </w:rPr>
              <w:t>分</w:t>
            </w:r>
          </w:p>
        </w:tc>
      </w:tr>
      <w:tr w14:paraId="18294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jc w:val="center"/>
        </w:trPr>
        <w:tc>
          <w:tcPr>
            <w:tcW w:w="813" w:type="dxa"/>
            <w:tcBorders>
              <w:top w:val="single" w:color="auto" w:sz="4" w:space="0"/>
              <w:left w:val="single" w:color="auto" w:sz="4" w:space="0"/>
              <w:right w:val="single" w:color="auto" w:sz="4" w:space="0"/>
            </w:tcBorders>
            <w:vAlign w:val="center"/>
          </w:tcPr>
          <w:p w14:paraId="01613E72">
            <w:pPr>
              <w:jc w:val="center"/>
              <w:rPr>
                <w:rFonts w:ascii="宋体" w:hAnsi="宋体" w:cs="宋体"/>
                <w:color w:val="000000"/>
                <w:szCs w:val="21"/>
              </w:rPr>
            </w:pPr>
            <w:r>
              <w:rPr>
                <w:rFonts w:hint="eastAsia" w:ascii="宋体" w:hAnsi="宋体" w:cs="宋体"/>
                <w:color w:val="000000"/>
                <w:szCs w:val="21"/>
              </w:rPr>
              <w:t>5</w:t>
            </w:r>
          </w:p>
        </w:tc>
        <w:tc>
          <w:tcPr>
            <w:tcW w:w="1702" w:type="dxa"/>
            <w:tcBorders>
              <w:top w:val="single" w:color="auto" w:sz="4" w:space="0"/>
              <w:left w:val="nil"/>
              <w:right w:val="single" w:color="auto" w:sz="4" w:space="0"/>
            </w:tcBorders>
            <w:vAlign w:val="center"/>
          </w:tcPr>
          <w:p w14:paraId="40463D5C">
            <w:pPr>
              <w:jc w:val="center"/>
              <w:rPr>
                <w:rFonts w:ascii="宋体" w:hAnsi="宋体" w:cs="宋体"/>
                <w:color w:val="000000"/>
                <w:szCs w:val="21"/>
              </w:rPr>
            </w:pPr>
            <w:r>
              <w:rPr>
                <w:rFonts w:hint="eastAsia" w:ascii="宋体" w:hAnsi="宋体" w:cs="宋体"/>
                <w:color w:val="000000"/>
                <w:szCs w:val="21"/>
              </w:rPr>
              <w:t>总体技术方案</w:t>
            </w:r>
          </w:p>
        </w:tc>
        <w:tc>
          <w:tcPr>
            <w:tcW w:w="6568" w:type="dxa"/>
            <w:tcBorders>
              <w:top w:val="single" w:color="auto" w:sz="4" w:space="0"/>
              <w:left w:val="nil"/>
              <w:right w:val="single" w:color="auto" w:sz="4" w:space="0"/>
            </w:tcBorders>
            <w:vAlign w:val="center"/>
          </w:tcPr>
          <w:p w14:paraId="110A6E13">
            <w:pPr>
              <w:pStyle w:val="16"/>
              <w:spacing w:line="240" w:lineRule="auto"/>
              <w:ind w:firstLine="0"/>
              <w:rPr>
                <w:rFonts w:ascii="宋体" w:hAnsi="宋体" w:cs="宋体"/>
                <w:szCs w:val="21"/>
              </w:rPr>
            </w:pPr>
            <w:r>
              <w:rPr>
                <w:rFonts w:hint="eastAsia" w:ascii="宋体" w:hAnsi="宋体" w:cs="宋体"/>
                <w:szCs w:val="21"/>
              </w:rPr>
              <w:t>根据所提供的技术方案的科学性、合理性、与本项目的适应程度，由评委进行综合评分：</w:t>
            </w:r>
          </w:p>
          <w:p w14:paraId="03E9E1BC">
            <w:pPr>
              <w:pStyle w:val="16"/>
              <w:spacing w:line="240" w:lineRule="auto"/>
              <w:ind w:firstLine="0"/>
              <w:rPr>
                <w:rFonts w:ascii="宋体" w:hAnsi="宋体" w:cs="宋体"/>
                <w:szCs w:val="21"/>
              </w:rPr>
            </w:pPr>
            <w:r>
              <w:rPr>
                <w:rFonts w:hint="eastAsia" w:ascii="宋体" w:hAnsi="宋体" w:cs="宋体"/>
                <w:szCs w:val="21"/>
              </w:rPr>
              <w:t>1.超融合技术方案（0-</w:t>
            </w:r>
            <w:r>
              <w:rPr>
                <w:rFonts w:ascii="宋体" w:hAnsi="宋体" w:cs="宋体"/>
                <w:szCs w:val="21"/>
              </w:rPr>
              <w:t>3</w:t>
            </w:r>
            <w:r>
              <w:rPr>
                <w:rFonts w:hint="eastAsia" w:ascii="宋体" w:hAnsi="宋体" w:cs="宋体"/>
                <w:szCs w:val="21"/>
              </w:rPr>
              <w:t>分）；</w:t>
            </w:r>
          </w:p>
          <w:p w14:paraId="7EDEF660">
            <w:pPr>
              <w:pStyle w:val="16"/>
              <w:spacing w:line="240" w:lineRule="auto"/>
              <w:ind w:firstLine="0"/>
              <w:rPr>
                <w:rFonts w:ascii="宋体" w:hAnsi="宋体" w:cs="宋体"/>
                <w:szCs w:val="21"/>
              </w:rPr>
            </w:pPr>
            <w:r>
              <w:rPr>
                <w:rFonts w:hint="eastAsia" w:ascii="宋体" w:hAnsi="宋体" w:cs="宋体"/>
                <w:szCs w:val="21"/>
              </w:rPr>
              <w:t>2.数据库集群技术方案（0-</w:t>
            </w:r>
            <w:r>
              <w:rPr>
                <w:rFonts w:ascii="宋体" w:hAnsi="宋体" w:cs="宋体"/>
                <w:szCs w:val="21"/>
              </w:rPr>
              <w:t>3</w:t>
            </w:r>
            <w:r>
              <w:rPr>
                <w:rFonts w:hint="eastAsia" w:ascii="宋体" w:hAnsi="宋体" w:cs="宋体"/>
                <w:szCs w:val="21"/>
              </w:rPr>
              <w:t>分）；</w:t>
            </w:r>
          </w:p>
          <w:p w14:paraId="57AE389C">
            <w:pPr>
              <w:pStyle w:val="16"/>
              <w:spacing w:line="240" w:lineRule="auto"/>
              <w:ind w:firstLine="0"/>
              <w:rPr>
                <w:rFonts w:ascii="宋体" w:hAnsi="宋体" w:cs="宋体"/>
                <w:szCs w:val="21"/>
              </w:rPr>
            </w:pPr>
            <w:r>
              <w:rPr>
                <w:rFonts w:hint="eastAsia" w:ascii="宋体" w:hAnsi="宋体" w:cs="宋体"/>
                <w:szCs w:val="21"/>
              </w:rPr>
              <w:t>3.备份技术方案（0-</w:t>
            </w:r>
            <w:r>
              <w:rPr>
                <w:rFonts w:ascii="宋体" w:hAnsi="宋体" w:cs="宋体"/>
                <w:szCs w:val="21"/>
              </w:rPr>
              <w:t>3</w:t>
            </w:r>
            <w:r>
              <w:rPr>
                <w:rFonts w:hint="eastAsia" w:ascii="宋体" w:hAnsi="宋体" w:cs="宋体"/>
                <w:szCs w:val="21"/>
              </w:rPr>
              <w:t>分）。</w:t>
            </w:r>
          </w:p>
        </w:tc>
        <w:tc>
          <w:tcPr>
            <w:tcW w:w="933" w:type="dxa"/>
            <w:tcBorders>
              <w:top w:val="single" w:color="auto" w:sz="4" w:space="0"/>
              <w:left w:val="nil"/>
              <w:bottom w:val="single" w:color="auto" w:sz="4" w:space="0"/>
              <w:right w:val="single" w:color="auto" w:sz="4" w:space="0"/>
            </w:tcBorders>
            <w:vAlign w:val="center"/>
          </w:tcPr>
          <w:p w14:paraId="38206CC1">
            <w:pPr>
              <w:jc w:val="center"/>
              <w:rPr>
                <w:rFonts w:ascii="宋体" w:hAnsi="宋体" w:cs="宋体"/>
                <w:color w:val="000000"/>
                <w:szCs w:val="21"/>
                <w:lang w:bidi="ar"/>
              </w:rPr>
            </w:pPr>
            <w:r>
              <w:rPr>
                <w:rFonts w:ascii="宋体" w:hAnsi="宋体" w:cs="宋体"/>
                <w:color w:val="000000"/>
                <w:szCs w:val="21"/>
                <w:lang w:bidi="ar"/>
              </w:rPr>
              <w:t>9</w:t>
            </w:r>
            <w:r>
              <w:rPr>
                <w:rFonts w:hint="eastAsia" w:ascii="宋体" w:hAnsi="宋体" w:cs="宋体"/>
                <w:color w:val="000000"/>
                <w:szCs w:val="21"/>
                <w:lang w:bidi="ar"/>
              </w:rPr>
              <w:t>分</w:t>
            </w:r>
          </w:p>
        </w:tc>
      </w:tr>
      <w:tr w14:paraId="4144F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813" w:type="dxa"/>
            <w:tcBorders>
              <w:top w:val="single" w:color="auto" w:sz="4" w:space="0"/>
              <w:left w:val="single" w:color="auto" w:sz="4" w:space="0"/>
              <w:bottom w:val="single" w:color="auto" w:sz="4" w:space="0"/>
              <w:right w:val="single" w:color="auto" w:sz="4" w:space="0"/>
            </w:tcBorders>
            <w:vAlign w:val="center"/>
          </w:tcPr>
          <w:p w14:paraId="5082931E">
            <w:pPr>
              <w:jc w:val="center"/>
              <w:rPr>
                <w:rFonts w:ascii="宋体" w:hAnsi="宋体" w:cs="宋体"/>
                <w:szCs w:val="21"/>
              </w:rPr>
            </w:pPr>
            <w:r>
              <w:rPr>
                <w:rFonts w:ascii="宋体" w:hAnsi="宋体" w:cs="宋体"/>
                <w:szCs w:val="21"/>
              </w:rPr>
              <w:t>6</w:t>
            </w:r>
          </w:p>
        </w:tc>
        <w:tc>
          <w:tcPr>
            <w:tcW w:w="1702" w:type="dxa"/>
            <w:tcBorders>
              <w:top w:val="single" w:color="auto" w:sz="4" w:space="0"/>
              <w:left w:val="nil"/>
              <w:bottom w:val="single" w:color="auto" w:sz="4" w:space="0"/>
              <w:right w:val="single" w:color="auto" w:sz="4" w:space="0"/>
            </w:tcBorders>
            <w:vAlign w:val="center"/>
          </w:tcPr>
          <w:p w14:paraId="5D42B255">
            <w:pPr>
              <w:jc w:val="center"/>
              <w:rPr>
                <w:rFonts w:ascii="宋体" w:hAnsi="宋体" w:cs="宋体"/>
                <w:szCs w:val="21"/>
              </w:rPr>
            </w:pPr>
            <w:r>
              <w:rPr>
                <w:rFonts w:hint="eastAsia" w:ascii="宋体" w:hAnsi="宋体" w:cs="宋体"/>
                <w:color w:val="000000"/>
                <w:szCs w:val="21"/>
              </w:rPr>
              <w:t>实施方案</w:t>
            </w:r>
          </w:p>
        </w:tc>
        <w:tc>
          <w:tcPr>
            <w:tcW w:w="6568" w:type="dxa"/>
            <w:tcBorders>
              <w:top w:val="single" w:color="auto" w:sz="4" w:space="0"/>
              <w:left w:val="nil"/>
              <w:bottom w:val="single" w:color="auto" w:sz="4" w:space="0"/>
              <w:right w:val="single" w:color="auto" w:sz="4" w:space="0"/>
            </w:tcBorders>
            <w:vAlign w:val="center"/>
          </w:tcPr>
          <w:p w14:paraId="6601EAAD">
            <w:pPr>
              <w:rPr>
                <w:szCs w:val="21"/>
              </w:rPr>
            </w:pPr>
            <w:r>
              <w:rPr>
                <w:rFonts w:hint="eastAsia" w:ascii="宋体" w:hAnsi="宋体" w:cs="宋体"/>
                <w:szCs w:val="21"/>
              </w:rPr>
              <w:t>根据投标供应商提供的供货、安装、调试及验收服务方案的可行性进行合理打分：</w:t>
            </w:r>
            <w:r>
              <w:rPr>
                <w:rFonts w:hint="eastAsia" w:ascii="宋体" w:hAnsi="宋体" w:cs="宋体"/>
                <w:bCs/>
                <w:szCs w:val="21"/>
              </w:rPr>
              <w:t>非常</w:t>
            </w:r>
            <w:r>
              <w:rPr>
                <w:rFonts w:hint="eastAsia" w:ascii="宋体" w:hAnsi="宋体" w:cs="宋体"/>
                <w:szCs w:val="21"/>
              </w:rPr>
              <w:t>合理的4.1-6分，</w:t>
            </w:r>
            <w:r>
              <w:rPr>
                <w:rFonts w:hint="eastAsia" w:ascii="宋体" w:hAnsi="宋体" w:cs="宋体"/>
                <w:bCs/>
                <w:szCs w:val="21"/>
              </w:rPr>
              <w:t>基本合理</w:t>
            </w:r>
            <w:r>
              <w:rPr>
                <w:rFonts w:hint="eastAsia" w:ascii="宋体" w:hAnsi="宋体" w:cs="宋体"/>
                <w:szCs w:val="21"/>
              </w:rPr>
              <w:t>的2.1-4，</w:t>
            </w:r>
            <w:r>
              <w:rPr>
                <w:rFonts w:hint="eastAsia" w:ascii="宋体" w:hAnsi="宋体" w:cs="宋体"/>
                <w:bCs/>
                <w:szCs w:val="21"/>
              </w:rPr>
              <w:t>部分合理0-2分。</w:t>
            </w:r>
          </w:p>
        </w:tc>
        <w:tc>
          <w:tcPr>
            <w:tcW w:w="933" w:type="dxa"/>
            <w:tcBorders>
              <w:top w:val="single" w:color="auto" w:sz="4" w:space="0"/>
              <w:left w:val="nil"/>
              <w:bottom w:val="single" w:color="auto" w:sz="4" w:space="0"/>
              <w:right w:val="single" w:color="auto" w:sz="4" w:space="0"/>
            </w:tcBorders>
            <w:vAlign w:val="center"/>
          </w:tcPr>
          <w:p w14:paraId="79934FAA">
            <w:pPr>
              <w:jc w:val="center"/>
              <w:rPr>
                <w:rFonts w:ascii="宋体" w:hAnsi="宋体" w:cs="宋体"/>
                <w:szCs w:val="21"/>
              </w:rPr>
            </w:pPr>
            <w:r>
              <w:rPr>
                <w:rFonts w:hint="eastAsia" w:ascii="宋体" w:hAnsi="宋体" w:cs="宋体"/>
                <w:color w:val="000000"/>
                <w:szCs w:val="21"/>
              </w:rPr>
              <w:t>6分</w:t>
            </w:r>
          </w:p>
        </w:tc>
      </w:tr>
      <w:tr w14:paraId="5F7D2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813" w:type="dxa"/>
            <w:tcBorders>
              <w:top w:val="single" w:color="auto" w:sz="4" w:space="0"/>
              <w:left w:val="single" w:color="auto" w:sz="4" w:space="0"/>
              <w:bottom w:val="single" w:color="auto" w:sz="4" w:space="0"/>
              <w:right w:val="single" w:color="auto" w:sz="4" w:space="0"/>
            </w:tcBorders>
            <w:vAlign w:val="center"/>
          </w:tcPr>
          <w:p w14:paraId="55BCE0B4">
            <w:pPr>
              <w:jc w:val="center"/>
              <w:rPr>
                <w:rFonts w:ascii="宋体" w:hAnsi="宋体" w:cs="宋体"/>
                <w:szCs w:val="21"/>
              </w:rPr>
            </w:pPr>
            <w:r>
              <w:rPr>
                <w:rFonts w:ascii="宋体" w:hAnsi="宋体" w:cs="宋体"/>
                <w:szCs w:val="21"/>
              </w:rPr>
              <w:t>7</w:t>
            </w:r>
          </w:p>
        </w:tc>
        <w:tc>
          <w:tcPr>
            <w:tcW w:w="1702" w:type="dxa"/>
            <w:tcBorders>
              <w:top w:val="single" w:color="auto" w:sz="4" w:space="0"/>
              <w:left w:val="nil"/>
              <w:bottom w:val="single" w:color="auto" w:sz="4" w:space="0"/>
              <w:right w:val="single" w:color="auto" w:sz="4" w:space="0"/>
            </w:tcBorders>
            <w:vAlign w:val="center"/>
          </w:tcPr>
          <w:p w14:paraId="3FBFA7FF">
            <w:pPr>
              <w:jc w:val="center"/>
              <w:rPr>
                <w:rFonts w:ascii="宋体" w:hAnsi="宋体" w:cs="宋体"/>
                <w:szCs w:val="21"/>
              </w:rPr>
            </w:pPr>
            <w:r>
              <w:rPr>
                <w:rFonts w:hint="eastAsia" w:ascii="宋体" w:hAnsi="宋体" w:cs="宋体"/>
                <w:color w:val="000000"/>
                <w:szCs w:val="21"/>
              </w:rPr>
              <w:t>售后服务方案</w:t>
            </w:r>
          </w:p>
        </w:tc>
        <w:tc>
          <w:tcPr>
            <w:tcW w:w="6568" w:type="dxa"/>
            <w:tcBorders>
              <w:top w:val="single" w:color="auto" w:sz="4" w:space="0"/>
              <w:left w:val="nil"/>
              <w:bottom w:val="single" w:color="auto" w:sz="4" w:space="0"/>
              <w:right w:val="single" w:color="auto" w:sz="4" w:space="0"/>
            </w:tcBorders>
            <w:vAlign w:val="center"/>
          </w:tcPr>
          <w:p w14:paraId="7C15EA6B">
            <w:pPr>
              <w:rPr>
                <w:rFonts w:ascii="宋体" w:hAnsi="宋体" w:cs="宋体"/>
                <w:color w:val="000000"/>
                <w:kern w:val="0"/>
                <w:szCs w:val="21"/>
                <w:lang w:bidi="ar"/>
              </w:rPr>
            </w:pPr>
            <w:r>
              <w:rPr>
                <w:rFonts w:hint="eastAsia" w:ascii="宋体" w:hAnsi="宋体" w:cs="宋体"/>
                <w:color w:val="000000"/>
                <w:kern w:val="0"/>
                <w:szCs w:val="21"/>
                <w:lang w:bidi="ar"/>
              </w:rPr>
              <w:t>1、根据售后服务承诺的范围和完善程度（包括售后服务标准、服务人员配备及保障措施），由专家</w:t>
            </w:r>
            <w:r>
              <w:rPr>
                <w:rFonts w:hint="eastAsia"/>
                <w:szCs w:val="21"/>
              </w:rPr>
              <w:t>专家</w:t>
            </w:r>
            <w:r>
              <w:rPr>
                <w:rFonts w:hint="eastAsia"/>
                <w:szCs w:val="21"/>
                <w:lang w:eastAsia="zh-CN"/>
              </w:rPr>
              <w:t>横向比较</w:t>
            </w:r>
            <w:r>
              <w:rPr>
                <w:rFonts w:hint="eastAsia"/>
                <w:szCs w:val="21"/>
              </w:rPr>
              <w:t>评</w:t>
            </w:r>
            <w:r>
              <w:rPr>
                <w:rFonts w:hint="eastAsia"/>
                <w:szCs w:val="21"/>
                <w:lang w:eastAsia="zh-CN"/>
              </w:rPr>
              <w:t>分</w:t>
            </w:r>
            <w:r>
              <w:rPr>
                <w:rFonts w:hint="eastAsia" w:ascii="宋体" w:hAnsi="宋体" w:cs="宋体"/>
                <w:color w:val="000000"/>
                <w:kern w:val="0"/>
                <w:szCs w:val="21"/>
                <w:lang w:bidi="ar"/>
              </w:rPr>
              <w:t>。（0-3分）</w:t>
            </w:r>
          </w:p>
          <w:p w14:paraId="24B3611E">
            <w:pPr>
              <w:rPr>
                <w:szCs w:val="21"/>
              </w:rPr>
            </w:pPr>
            <w:r>
              <w:rPr>
                <w:rFonts w:hint="eastAsia"/>
                <w:szCs w:val="21"/>
              </w:rPr>
              <w:t>2、根据供应商售后服务网点的配置情况，由专家</w:t>
            </w:r>
            <w:r>
              <w:rPr>
                <w:rFonts w:hint="eastAsia"/>
                <w:szCs w:val="21"/>
                <w:lang w:eastAsia="zh-CN"/>
              </w:rPr>
              <w:t>横向比较</w:t>
            </w:r>
            <w:r>
              <w:rPr>
                <w:rFonts w:hint="eastAsia"/>
                <w:szCs w:val="21"/>
              </w:rPr>
              <w:t>评</w:t>
            </w:r>
            <w:r>
              <w:rPr>
                <w:rFonts w:hint="eastAsia"/>
                <w:szCs w:val="21"/>
                <w:lang w:eastAsia="zh-CN"/>
              </w:rPr>
              <w:t>分</w:t>
            </w:r>
            <w:r>
              <w:rPr>
                <w:rFonts w:hint="eastAsia"/>
                <w:szCs w:val="21"/>
              </w:rPr>
              <w:t>。（0-2分）</w:t>
            </w:r>
          </w:p>
        </w:tc>
        <w:tc>
          <w:tcPr>
            <w:tcW w:w="933" w:type="dxa"/>
            <w:tcBorders>
              <w:top w:val="single" w:color="auto" w:sz="4" w:space="0"/>
              <w:left w:val="nil"/>
              <w:bottom w:val="single" w:color="auto" w:sz="4" w:space="0"/>
              <w:right w:val="single" w:color="auto" w:sz="4" w:space="0"/>
            </w:tcBorders>
            <w:vAlign w:val="center"/>
          </w:tcPr>
          <w:p w14:paraId="125063AC">
            <w:pPr>
              <w:jc w:val="center"/>
              <w:rPr>
                <w:rFonts w:ascii="宋体" w:hAnsi="宋体" w:cs="宋体"/>
                <w:szCs w:val="21"/>
              </w:rPr>
            </w:pPr>
            <w:r>
              <w:rPr>
                <w:rFonts w:ascii="宋体" w:hAnsi="宋体" w:cs="宋体"/>
                <w:color w:val="000000"/>
                <w:szCs w:val="21"/>
              </w:rPr>
              <w:t>5</w:t>
            </w:r>
            <w:r>
              <w:rPr>
                <w:rFonts w:hint="eastAsia" w:ascii="宋体" w:hAnsi="宋体" w:cs="宋体"/>
                <w:color w:val="000000"/>
                <w:szCs w:val="21"/>
              </w:rPr>
              <w:t>分</w:t>
            </w:r>
          </w:p>
        </w:tc>
      </w:tr>
      <w:tr w14:paraId="5ECDC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813" w:type="dxa"/>
            <w:tcBorders>
              <w:top w:val="single" w:color="auto" w:sz="4" w:space="0"/>
              <w:left w:val="single" w:color="auto" w:sz="4" w:space="0"/>
              <w:bottom w:val="single" w:color="auto" w:sz="4" w:space="0"/>
              <w:right w:val="single" w:color="auto" w:sz="4" w:space="0"/>
            </w:tcBorders>
            <w:vAlign w:val="center"/>
          </w:tcPr>
          <w:p w14:paraId="3D699AEF">
            <w:pPr>
              <w:jc w:val="center"/>
              <w:rPr>
                <w:rFonts w:ascii="宋体" w:hAnsi="宋体" w:cs="宋体"/>
                <w:szCs w:val="21"/>
              </w:rPr>
            </w:pPr>
            <w:r>
              <w:rPr>
                <w:rFonts w:ascii="宋体" w:hAnsi="宋体" w:cs="宋体"/>
                <w:color w:val="000000"/>
                <w:szCs w:val="21"/>
              </w:rPr>
              <w:t>8</w:t>
            </w:r>
          </w:p>
        </w:tc>
        <w:tc>
          <w:tcPr>
            <w:tcW w:w="1702" w:type="dxa"/>
            <w:tcBorders>
              <w:top w:val="single" w:color="auto" w:sz="4" w:space="0"/>
              <w:left w:val="nil"/>
              <w:bottom w:val="single" w:color="auto" w:sz="4" w:space="0"/>
              <w:right w:val="single" w:color="auto" w:sz="4" w:space="0"/>
            </w:tcBorders>
            <w:vAlign w:val="center"/>
          </w:tcPr>
          <w:p w14:paraId="25DD9381">
            <w:pPr>
              <w:jc w:val="center"/>
              <w:rPr>
                <w:rFonts w:ascii="宋体" w:hAnsi="宋体" w:cs="宋体"/>
                <w:szCs w:val="21"/>
              </w:rPr>
            </w:pPr>
            <w:r>
              <w:rPr>
                <w:rFonts w:hint="eastAsia" w:ascii="宋体" w:hAnsi="宋体" w:cs="宋体"/>
                <w:szCs w:val="21"/>
              </w:rPr>
              <w:t>培训方案</w:t>
            </w:r>
          </w:p>
        </w:tc>
        <w:tc>
          <w:tcPr>
            <w:tcW w:w="6568" w:type="dxa"/>
            <w:tcBorders>
              <w:top w:val="single" w:color="auto" w:sz="4" w:space="0"/>
              <w:left w:val="nil"/>
              <w:bottom w:val="single" w:color="auto" w:sz="4" w:space="0"/>
              <w:right w:val="single" w:color="auto" w:sz="4" w:space="0"/>
            </w:tcBorders>
            <w:vAlign w:val="center"/>
          </w:tcPr>
          <w:p w14:paraId="41D457C2">
            <w:pPr>
              <w:rPr>
                <w:szCs w:val="21"/>
              </w:rPr>
            </w:pPr>
            <w:r>
              <w:rPr>
                <w:rFonts w:hint="eastAsia" w:ascii="宋体" w:hAnsi="宋体" w:cs="宋体"/>
                <w:szCs w:val="21"/>
              </w:rPr>
              <w:t>根据针对本项目提供的培训计划以及培训方案等内容由专家进行综合打分。（0-2分）</w:t>
            </w:r>
            <w:r>
              <w:rPr>
                <w:rFonts w:hint="eastAsia" w:ascii="宋体" w:hAnsi="宋体" w:cs="宋体"/>
                <w:bCs/>
                <w:szCs w:val="21"/>
              </w:rPr>
              <w:t>。</w:t>
            </w:r>
          </w:p>
        </w:tc>
        <w:tc>
          <w:tcPr>
            <w:tcW w:w="933" w:type="dxa"/>
            <w:tcBorders>
              <w:top w:val="single" w:color="auto" w:sz="4" w:space="0"/>
              <w:left w:val="nil"/>
              <w:bottom w:val="single" w:color="auto" w:sz="4" w:space="0"/>
              <w:right w:val="single" w:color="auto" w:sz="4" w:space="0"/>
            </w:tcBorders>
            <w:vAlign w:val="center"/>
          </w:tcPr>
          <w:p w14:paraId="0482D99E">
            <w:pPr>
              <w:jc w:val="center"/>
              <w:rPr>
                <w:rFonts w:ascii="宋体" w:hAnsi="宋体" w:cs="宋体"/>
                <w:szCs w:val="21"/>
              </w:rPr>
            </w:pPr>
            <w:r>
              <w:rPr>
                <w:rFonts w:ascii="宋体" w:hAnsi="宋体" w:cs="宋体"/>
                <w:color w:val="000000"/>
                <w:szCs w:val="21"/>
              </w:rPr>
              <w:t>2</w:t>
            </w:r>
            <w:r>
              <w:rPr>
                <w:rFonts w:hint="eastAsia" w:ascii="宋体" w:hAnsi="宋体" w:cs="宋体"/>
                <w:color w:val="000000"/>
                <w:szCs w:val="21"/>
              </w:rPr>
              <w:t>分</w:t>
            </w:r>
          </w:p>
        </w:tc>
      </w:tr>
    </w:tbl>
    <w:p w14:paraId="7D043F33">
      <w:pPr>
        <w:pStyle w:val="38"/>
        <w:ind w:left="0"/>
      </w:pPr>
    </w:p>
    <w:p w14:paraId="03B8DD9B">
      <w:pPr>
        <w:spacing w:line="360" w:lineRule="auto"/>
        <w:rPr>
          <w:rFonts w:ascii="宋体" w:cs="宋体"/>
          <w:szCs w:val="21"/>
        </w:rPr>
      </w:pPr>
      <w:r>
        <w:rPr>
          <w:rFonts w:hint="eastAsia" w:ascii="宋体" w:cs="宋体"/>
          <w:szCs w:val="21"/>
        </w:rPr>
        <w:t xml:space="preserve">2.   </w:t>
      </w:r>
      <w:r>
        <w:rPr>
          <w:rFonts w:hint="eastAsia" w:ascii="宋体" w:cs="宋体"/>
          <w:b/>
          <w:szCs w:val="21"/>
        </w:rPr>
        <w:t>商务（报价）评分（30分）</w:t>
      </w:r>
      <w:r>
        <w:rPr>
          <w:rFonts w:hint="eastAsia" w:ascii="宋体" w:cs="宋体"/>
          <w:szCs w:val="21"/>
        </w:rPr>
        <w:t>：</w:t>
      </w:r>
    </w:p>
    <w:p w14:paraId="25459592">
      <w:pPr>
        <w:spacing w:line="360" w:lineRule="auto"/>
        <w:ind w:left="325" w:leftChars="155" w:firstLine="210" w:firstLineChars="100"/>
        <w:rPr>
          <w:rFonts w:ascii="宋体" w:cs="宋体"/>
          <w:szCs w:val="21"/>
        </w:rPr>
      </w:pPr>
      <w:r>
        <w:rPr>
          <w:rFonts w:hint="eastAsia" w:ascii="宋体" w:cs="宋体"/>
          <w:szCs w:val="21"/>
        </w:rPr>
        <w:t>满足采购文件要求且投标价格最低的投标报价为评标基准价。</w:t>
      </w:r>
    </w:p>
    <w:p w14:paraId="288EB4B4">
      <w:pPr>
        <w:spacing w:line="360" w:lineRule="auto"/>
        <w:rPr>
          <w:rFonts w:ascii="宋体" w:cs="宋体"/>
          <w:szCs w:val="21"/>
        </w:rPr>
      </w:pPr>
      <w:r>
        <w:rPr>
          <w:rFonts w:hint="eastAsia" w:ascii="宋体" w:cs="宋体"/>
          <w:szCs w:val="21"/>
        </w:rPr>
        <w:t>（1）有效投标供应商的投标报价等于评标基准价时其价格分为满分30分；</w:t>
      </w:r>
    </w:p>
    <w:p w14:paraId="789DFA03">
      <w:pPr>
        <w:spacing w:line="360" w:lineRule="auto"/>
        <w:rPr>
          <w:rFonts w:ascii="宋体" w:cs="宋体"/>
          <w:szCs w:val="21"/>
        </w:rPr>
      </w:pPr>
      <w:r>
        <w:rPr>
          <w:rFonts w:hint="eastAsia" w:ascii="宋体" w:cs="宋体"/>
          <w:szCs w:val="21"/>
        </w:rPr>
        <w:t>（2）其他投标供应商的价格分按以下公式计算：</w:t>
      </w:r>
    </w:p>
    <w:p w14:paraId="5FB8841B">
      <w:pPr>
        <w:spacing w:line="360" w:lineRule="auto"/>
        <w:ind w:left="546" w:leftChars="260"/>
        <w:rPr>
          <w:rFonts w:ascii="宋体" w:cs="宋体"/>
          <w:szCs w:val="21"/>
        </w:rPr>
      </w:pPr>
      <w:r>
        <w:rPr>
          <w:rFonts w:hint="eastAsia" w:ascii="宋体" w:cs="宋体"/>
          <w:szCs w:val="21"/>
        </w:rPr>
        <w:t>投标报价得分=（评标基准价/投标供应商投标价）×30%×100（四舍五入，保留小数点后2位）</w:t>
      </w:r>
    </w:p>
    <w:p w14:paraId="6353CBAC">
      <w:pPr>
        <w:spacing w:line="360" w:lineRule="auto"/>
        <w:ind w:left="527" w:hanging="527" w:hangingChars="250"/>
        <w:rPr>
          <w:rFonts w:ascii="宋体" w:cs="宋体"/>
          <w:b/>
          <w:bCs/>
          <w:spacing w:val="-4"/>
          <w:szCs w:val="21"/>
        </w:rPr>
      </w:pPr>
      <w:r>
        <w:rPr>
          <w:rFonts w:hint="eastAsia" w:ascii="宋体" w:cs="宋体"/>
          <w:b/>
          <w:bCs/>
          <w:szCs w:val="21"/>
        </w:rPr>
        <w:t>（3）▲</w:t>
      </w:r>
      <w:r>
        <w:rPr>
          <w:rFonts w:hint="eastAsia" w:ascii="宋体" w:cs="宋体"/>
          <w:b/>
          <w:bCs/>
          <w:szCs w:val="21"/>
          <w:u w:val="single"/>
        </w:rPr>
        <w:t xml:space="preserve">本项目采购预算：人民币 </w:t>
      </w:r>
      <w:r>
        <w:rPr>
          <w:rFonts w:ascii="宋体" w:cs="宋体"/>
          <w:b/>
          <w:bCs/>
          <w:szCs w:val="21"/>
          <w:u w:val="single"/>
        </w:rPr>
        <w:t>180</w:t>
      </w:r>
      <w:r>
        <w:rPr>
          <w:rFonts w:hint="eastAsia" w:ascii="宋体" w:cs="宋体"/>
          <w:b/>
          <w:bCs/>
          <w:szCs w:val="21"/>
          <w:u w:val="single"/>
        </w:rPr>
        <w:t>万元整，</w:t>
      </w:r>
      <w:r>
        <w:rPr>
          <w:rFonts w:hint="eastAsia" w:ascii="宋体" w:cs="宋体"/>
          <w:b/>
          <w:bCs/>
          <w:spacing w:val="-4"/>
          <w:szCs w:val="21"/>
          <w:u w:val="single"/>
        </w:rPr>
        <w:t>投标供应商的报价超过采购预算，其投标文件作无效标处理</w:t>
      </w:r>
      <w:r>
        <w:rPr>
          <w:rFonts w:hint="eastAsia" w:ascii="宋体" w:cs="宋体"/>
          <w:b/>
          <w:bCs/>
          <w:spacing w:val="-4"/>
          <w:szCs w:val="21"/>
        </w:rPr>
        <w:t>。</w:t>
      </w:r>
    </w:p>
    <w:p w14:paraId="3A0E9076">
      <w:pPr>
        <w:spacing w:line="360" w:lineRule="auto"/>
        <w:rPr>
          <w:rFonts w:ascii="宋体" w:cs="宋体"/>
          <w:b/>
          <w:bCs/>
          <w:szCs w:val="21"/>
        </w:rPr>
      </w:pPr>
      <w:r>
        <w:rPr>
          <w:rFonts w:hint="eastAsia" w:ascii="宋体" w:cs="宋体"/>
          <w:b/>
          <w:bCs/>
          <w:spacing w:val="-4"/>
          <w:szCs w:val="21"/>
        </w:rPr>
        <w:t>（4）</w:t>
      </w:r>
      <w:r>
        <w:rPr>
          <w:rFonts w:hint="eastAsia" w:ascii="宋体" w:cs="宋体"/>
          <w:b/>
          <w:bCs/>
          <w:szCs w:val="21"/>
        </w:rPr>
        <w:t>▲</w:t>
      </w:r>
      <w:r>
        <w:rPr>
          <w:rFonts w:hint="eastAsia" w:ascii="宋体" w:cs="宋体"/>
          <w:b/>
          <w:bCs/>
          <w:spacing w:val="-4"/>
          <w:szCs w:val="21"/>
          <w:u w:val="single"/>
        </w:rPr>
        <w:t>投标供应商的报价均超过了采购预算，本次采购应予废标，重新组织采购</w:t>
      </w:r>
      <w:r>
        <w:rPr>
          <w:rFonts w:hint="eastAsia" w:ascii="宋体" w:cs="宋体"/>
          <w:b/>
          <w:bCs/>
          <w:spacing w:val="-4"/>
          <w:szCs w:val="21"/>
        </w:rPr>
        <w:t>。</w:t>
      </w:r>
    </w:p>
    <w:p w14:paraId="4E0706F5">
      <w:pPr>
        <w:spacing w:line="360" w:lineRule="auto"/>
        <w:rPr>
          <w:rFonts w:ascii="宋体" w:cs="宋体"/>
          <w:szCs w:val="21"/>
        </w:rPr>
      </w:pPr>
      <w:r>
        <w:rPr>
          <w:rFonts w:hint="eastAsia" w:ascii="宋体" w:cs="宋体"/>
          <w:szCs w:val="21"/>
        </w:rPr>
        <w:t>3.   有效投标供应商的综合得分为技术资信分和商务（报价）分的总和。</w:t>
      </w:r>
    </w:p>
    <w:p w14:paraId="703F6D1D">
      <w:pPr>
        <w:spacing w:line="360" w:lineRule="auto"/>
        <w:ind w:left="525" w:hanging="525" w:hangingChars="250"/>
        <w:outlineLvl w:val="1"/>
        <w:rPr>
          <w:rFonts w:ascii="宋体" w:cs="宋体"/>
          <w:b/>
          <w:szCs w:val="21"/>
        </w:rPr>
      </w:pPr>
      <w:r>
        <w:rPr>
          <w:rFonts w:hint="eastAsia" w:ascii="宋体" w:cs="宋体"/>
          <w:szCs w:val="21"/>
        </w:rPr>
        <w:t>4.   评标委员会依据法律、法规及采购文件有关规定在有效标中按投标供应商综合得分由高到低顺序排列，综合得分最高的前两名投标供应商作为该项目第一中标候选供应商、第二中标候选供应商向采购人推荐，并提交评标报告（得分相同，投标报价低的排序第一；得分且投标报价相同的，由评委抽签决定顺序排列。）</w:t>
      </w:r>
    </w:p>
    <w:p w14:paraId="160E7277">
      <w:pPr>
        <w:spacing w:line="360" w:lineRule="auto"/>
        <w:outlineLvl w:val="1"/>
        <w:rPr>
          <w:rFonts w:ascii="宋体" w:cs="宋体"/>
          <w:b/>
          <w:szCs w:val="21"/>
        </w:rPr>
      </w:pPr>
      <w:r>
        <w:rPr>
          <w:rFonts w:hint="eastAsia" w:ascii="宋体" w:cs="宋体"/>
          <w:b/>
          <w:szCs w:val="21"/>
        </w:rPr>
        <w:t>六、 定标办法</w:t>
      </w:r>
    </w:p>
    <w:p w14:paraId="1AF3BBFB">
      <w:pPr>
        <w:spacing w:line="360" w:lineRule="auto"/>
        <w:rPr>
          <w:rFonts w:ascii="宋体" w:cs="宋体"/>
          <w:szCs w:val="21"/>
        </w:rPr>
      </w:pPr>
      <w:r>
        <w:rPr>
          <w:rFonts w:hint="eastAsia" w:ascii="宋体" w:cs="宋体"/>
          <w:szCs w:val="21"/>
        </w:rPr>
        <w:t>1.   本次采购由评标委员会推荐中标候选供应商，采购人根据评标委员会的推荐结果进行最终确认。</w:t>
      </w:r>
    </w:p>
    <w:p w14:paraId="477CFC4B">
      <w:pPr>
        <w:spacing w:line="360" w:lineRule="auto"/>
        <w:ind w:left="525" w:hanging="525" w:hangingChars="250"/>
        <w:rPr>
          <w:rFonts w:ascii="宋体" w:cs="宋体"/>
          <w:szCs w:val="21"/>
        </w:rPr>
      </w:pPr>
      <w:r>
        <w:rPr>
          <w:rFonts w:hint="eastAsia" w:ascii="宋体" w:cs="宋体"/>
          <w:szCs w:val="21"/>
        </w:rPr>
        <w:t>2.   排名第一的中标候选供应商因自身原因放弃中标或因不可抗力不能履行合同的；或采购文件规定应当提交履约保证金而在规定的期限内未能提交的；或未能在规定时间内与采购人签订合同的；或经质疑，采购组织机构审查确认因排名第一的候选供应商在本次采购活动中存在违法违规行为或其他原因使质疑成立的，采购人可以视情况确定是否由排名第二的候选供应商为中标供应商，或重新组织采购。</w:t>
      </w:r>
    </w:p>
    <w:p w14:paraId="2A3BEA0D">
      <w:pPr>
        <w:spacing w:line="360" w:lineRule="auto"/>
        <w:outlineLvl w:val="1"/>
        <w:rPr>
          <w:rFonts w:ascii="宋体" w:cs="宋体"/>
          <w:b/>
          <w:szCs w:val="21"/>
        </w:rPr>
      </w:pPr>
      <w:r>
        <w:rPr>
          <w:rFonts w:hint="eastAsia" w:ascii="宋体" w:cs="宋体"/>
          <w:b/>
          <w:szCs w:val="21"/>
        </w:rPr>
        <w:t>七、 确定中标供应商</w:t>
      </w:r>
    </w:p>
    <w:p w14:paraId="56C06988">
      <w:pPr>
        <w:spacing w:line="360" w:lineRule="auto"/>
        <w:ind w:left="525" w:leftChars="250"/>
        <w:rPr>
          <w:rFonts w:ascii="宋体" w:cs="宋体"/>
          <w:szCs w:val="21"/>
        </w:rPr>
      </w:pPr>
      <w:r>
        <w:rPr>
          <w:rFonts w:hint="eastAsia" w:ascii="宋体" w:cs="宋体"/>
          <w:szCs w:val="21"/>
        </w:rPr>
        <w:t>中标供应商经采购人确认后，中标结果在</w:t>
      </w:r>
      <w:r>
        <w:rPr>
          <w:rFonts w:hint="eastAsia" w:ascii="宋体" w:hAnsi="宋体" w:cs="宋体"/>
          <w:b/>
          <w:bCs/>
          <w:sz w:val="22"/>
          <w:szCs w:val="22"/>
          <w:u w:val="single"/>
        </w:rPr>
        <w:t>温州国企采购平台（wzgzw-cg.zhengcaiyun.cn）、浙江企业采购信息服务网（https://b.zhengcaiyun.cn/）</w:t>
      </w:r>
      <w:r>
        <w:rPr>
          <w:rFonts w:hint="eastAsia" w:ascii="宋体" w:hAnsi="宋体" w:cs="宋体"/>
          <w:b/>
          <w:bCs/>
          <w:sz w:val="22"/>
          <w:szCs w:val="22"/>
          <w:u w:val="single"/>
          <w:lang w:eastAsia="zh-CN"/>
        </w:rPr>
        <w:t>、温州市公用事业发展集团有限公司</w:t>
      </w:r>
      <w:r>
        <w:rPr>
          <w:rFonts w:hint="eastAsia" w:ascii="宋体" w:hAnsi="宋体" w:cs="宋体"/>
          <w:b/>
          <w:bCs/>
          <w:sz w:val="22"/>
          <w:szCs w:val="22"/>
          <w:u w:val="single"/>
          <w:lang w:val="en-US" w:eastAsia="zh-CN"/>
        </w:rPr>
        <w:t>官网（https://www.wzgytz.com/）</w:t>
      </w:r>
      <w:r>
        <w:rPr>
          <w:rFonts w:hint="eastAsia" w:ascii="宋体" w:cs="宋体"/>
          <w:szCs w:val="21"/>
        </w:rPr>
        <w:t>等信息媒体上公告。中标公告的公示期结束后，在规定期限内无异议则采购代理机构将向中标供应商发出中标通知书。中标通知书对采购人和中标供应商具有同等法律效力。</w:t>
      </w:r>
    </w:p>
    <w:p w14:paraId="34E6CA70">
      <w:pPr>
        <w:pStyle w:val="2"/>
        <w:adjustRightInd w:val="0"/>
        <w:snapToGrid w:val="0"/>
        <w:spacing w:after="0" w:line="360" w:lineRule="auto"/>
        <w:outlineLvl w:val="1"/>
        <w:rPr>
          <w:rFonts w:ascii="宋体" w:cs="宋体"/>
          <w:b/>
          <w:szCs w:val="21"/>
        </w:rPr>
      </w:pPr>
      <w:r>
        <w:rPr>
          <w:rFonts w:hint="eastAsia" w:ascii="宋体" w:cs="宋体"/>
          <w:b/>
          <w:szCs w:val="21"/>
        </w:rPr>
        <w:t>八、 投标供应商义务</w:t>
      </w:r>
    </w:p>
    <w:p w14:paraId="37E9305C">
      <w:pPr>
        <w:spacing w:line="360" w:lineRule="auto"/>
        <w:ind w:left="525" w:leftChars="250"/>
        <w:rPr>
          <w:rFonts w:ascii="宋体" w:cs="宋体"/>
          <w:szCs w:val="21"/>
        </w:rPr>
      </w:pPr>
      <w:r>
        <w:rPr>
          <w:rFonts w:hint="eastAsia" w:ascii="宋体" w:cs="宋体"/>
          <w:szCs w:val="21"/>
        </w:rPr>
        <w:t>投标供应商应随时接受评标委员会的询标，解答包括有关的商务、技术等问题。评标结束，所有评标资料归档备查。</w:t>
      </w:r>
    </w:p>
    <w:p w14:paraId="2244D4EA">
      <w:pPr>
        <w:spacing w:line="440" w:lineRule="exact"/>
        <w:rPr>
          <w:rFonts w:ascii="宋体" w:cs="宋体"/>
          <w:sz w:val="22"/>
          <w:szCs w:val="22"/>
        </w:rPr>
      </w:pPr>
    </w:p>
    <w:p w14:paraId="40A7A36B">
      <w:pPr>
        <w:pStyle w:val="32"/>
        <w:snapToGrid w:val="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8"/>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等线">
    <w:altName w:val="Arial Unicode MS"/>
    <w:panose1 w:val="02010600030101010101"/>
    <w:charset w:val="86"/>
    <w:family w:val="auto"/>
    <w:pitch w:val="default"/>
    <w:sig w:usb0="00000000" w:usb1="00000000" w:usb2="00000016" w:usb3="00000000" w:csb0="0004000F" w:csb1="00000000"/>
  </w:font>
  <w:font w:name="Arial Unicode MS">
    <w:panose1 w:val="020B0604020202020204"/>
    <w:charset w:val="86"/>
    <w:family w:val="roman"/>
    <w:pitch w:val="default"/>
    <w:sig w:usb0="FFFFFFFF" w:usb1="E9FFFFFF" w:usb2="0000003F" w:usb3="00000000" w:csb0="603F01FF" w:csb1="FFFF0000"/>
  </w:font>
  <w:font w:name="Cambria">
    <w:panose1 w:val="02040503050406030204"/>
    <w:charset w:val="00"/>
    <w:family w:val="roman"/>
    <w:pitch w:val="default"/>
    <w:sig w:usb0="E00002FF" w:usb1="400004FF" w:usb2="00000000" w:usb3="00000000" w:csb0="2000019F" w:csb1="00000000"/>
  </w:font>
  <w:font w:name="Tahoma">
    <w:panose1 w:val="020B0604030504040204"/>
    <w:charset w:val="00"/>
    <w:family w:val="swiss"/>
    <w:pitch w:val="default"/>
    <w:sig w:usb0="E1002EFF" w:usb1="C000605B" w:usb2="00000029" w:usb3="00000000" w:csb0="200101FF" w:csb1="20280000"/>
  </w:font>
  <w:font w:name="楷体">
    <w:panose1 w:val="02010609060101010101"/>
    <w:charset w:val="86"/>
    <w:family w:val="modern"/>
    <w:pitch w:val="default"/>
    <w:sig w:usb0="800002BF" w:usb1="38CF7CFA" w:usb2="00000016" w:usb3="00000000" w:csb0="00040001" w:csb1="00000000"/>
  </w:font>
  <w:font w:name="Adobe 楷体 Std R">
    <w:altName w:val="宋体"/>
    <w:panose1 w:val="02020400000000000000"/>
    <w:charset w:val="86"/>
    <w:family w:val="roman"/>
    <w:pitch w:val="default"/>
    <w:sig w:usb0="00000000" w:usb1="00000000" w:usb2="00000016" w:usb3="00000000" w:csb0="00060007" w:csb1="00000000"/>
  </w:font>
  <w:font w:name="sans-serif">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新宋体">
    <w:panose1 w:val="02010609030101010101"/>
    <w:charset w:val="86"/>
    <w:family w:val="modern"/>
    <w:pitch w:val="default"/>
    <w:sig w:usb0="00000003" w:usb1="288F0000" w:usb2="0000000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等线">
    <w:altName w:val="Arial Unicode M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DDDAA8">
    <w:pPr>
      <w:pStyle w:val="34"/>
      <w:pBdr>
        <w:bottom w:val="single" w:color="auto" w:sz="4" w:space="1"/>
      </w:pBdr>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E61DB3">
    <w:pPr>
      <w:pStyle w:val="34"/>
      <w:framePr w:wrap="around" w:vAnchor="text" w:hAnchor="margin" w:xAlign="right" w:y="1"/>
      <w:rPr>
        <w:rStyle w:val="55"/>
      </w:rPr>
    </w:pPr>
    <w:r>
      <w:fldChar w:fldCharType="begin"/>
    </w:r>
    <w:r>
      <w:rPr>
        <w:rStyle w:val="55"/>
      </w:rPr>
      <w:instrText xml:space="preserve">PAGE  </w:instrText>
    </w:r>
    <w:r>
      <w:fldChar w:fldCharType="separate"/>
    </w:r>
    <w:r>
      <w:t xml:space="preserve"> </w:t>
    </w:r>
    <w:r>
      <w:fldChar w:fldCharType="end"/>
    </w:r>
  </w:p>
  <w:p w14:paraId="715638F6">
    <w:pPr>
      <w:pStyle w:val="3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2EFA82">
    <w:pPr>
      <w:pStyle w:val="34"/>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51130" cy="210185"/>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51130" cy="210185"/>
                      </a:xfrm>
                      <a:prstGeom prst="rect">
                        <a:avLst/>
                      </a:prstGeom>
                      <a:noFill/>
                      <a:ln w="15875">
                        <a:noFill/>
                      </a:ln>
                      <a:effectLst/>
                    </wps:spPr>
                    <wps:txbx>
                      <w:txbxContent>
                        <w:p w14:paraId="78433703">
                          <w:pPr>
                            <w:pStyle w:val="34"/>
                            <w:jc w:val="center"/>
                          </w:pPr>
                          <w:r>
                            <w:fldChar w:fldCharType="begin"/>
                          </w:r>
                          <w:r>
                            <w:instrText xml:space="preserve"> PAGE   \* MERGEFORMAT </w:instrText>
                          </w:r>
                          <w:r>
                            <w:fldChar w:fldCharType="separate"/>
                          </w:r>
                          <w:r>
                            <w:rPr>
                              <w:lang w:val="zh-CN"/>
                            </w:rPr>
                            <w:t>17</w:t>
                          </w:r>
                          <w:r>
                            <w:rPr>
                              <w:lang w:val="zh-CN"/>
                            </w:rPr>
                            <w:fldChar w:fldCharType="end"/>
                          </w:r>
                        </w:p>
                      </w:txbxContent>
                    </wps:txbx>
                    <wps:bodyPr lIns="0" tIns="0" rIns="0" bIns="0"/>
                  </wps:wsp>
                </a:graphicData>
              </a:graphic>
            </wp:anchor>
          </w:drawing>
        </mc:Choice>
        <mc:Fallback>
          <w:pict>
            <v:shape id="_x0000_s1026" o:spid="_x0000_s1026" o:spt="202" type="#_x0000_t202" style="position:absolute;left:0pt;margin-top:0pt;height:16.55pt;width:11.9pt;mso-position-horizontal:center;mso-position-horizontal-relative:margin;z-index:251663360;mso-width-relative:page;mso-height-relative:page;" filled="f" stroked="f" coordsize="21600,21600" o:gfxdata="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EZUZHNMAAAADAQAADwAAAAAAAAABACAAAAAiAAAAZHJzL2Rvd25yZXYueG1sUEsBAhQA&#10;FAAAAAgAh07iQKTakbm+AQAAfwMAAA4AAAAAAAAAAQAgAAAAIgEAAGRycy9lMm9Eb2MueG1sUEsF&#10;BgAAAAAGAAYAWQEAAFIFAAAAAA==&#10;">
              <v:fill on="f" focussize="0,0"/>
              <v:stroke on="f" weight="1.25pt"/>
              <v:imagedata o:title=""/>
              <o:lock v:ext="edit" aspectratio="f"/>
              <v:textbox inset="0mm,0mm,0mm,0mm">
                <w:txbxContent>
                  <w:p w14:paraId="78433703">
                    <w:pPr>
                      <w:pStyle w:val="34"/>
                      <w:jc w:val="center"/>
                    </w:pPr>
                    <w:r>
                      <w:fldChar w:fldCharType="begin"/>
                    </w:r>
                    <w:r>
                      <w:instrText xml:space="preserve"> PAGE   \* MERGEFORMAT </w:instrText>
                    </w:r>
                    <w:r>
                      <w:fldChar w:fldCharType="separate"/>
                    </w:r>
                    <w:r>
                      <w:rPr>
                        <w:lang w:val="zh-CN"/>
                      </w:rPr>
                      <w:t>17</w:t>
                    </w:r>
                    <w:r>
                      <w:rPr>
                        <w:lang w:val="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AB7697">
    <w:pPr>
      <w:pStyle w:val="34"/>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7241FD17">
                          <w:pPr>
                            <w:pStyle w:val="34"/>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BEb+DLQAQAApwMAAA4AAAAAAAAAAQAgAAAAIgEA&#10;AGRycy9lMm9Eb2MueG1sUEsFBgAAAAAGAAYAWQEAAGQFAAAAAA==&#10;">
              <v:fill on="f" focussize="0,0"/>
              <v:stroke on="f" weight="1.25pt"/>
              <v:imagedata o:title=""/>
              <o:lock v:ext="edit" aspectratio="f"/>
              <v:textbox inset="0mm,0mm,0mm,0mm" style="mso-fit-shape-to-text:t;">
                <w:txbxContent>
                  <w:p w14:paraId="7241FD17">
                    <w:pPr>
                      <w:pStyle w:val="34"/>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088796">
    <w:pPr>
      <w:pStyle w:val="34"/>
      <w:ind w:right="360"/>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57785" cy="131445"/>
              <wp:effectExtent l="0" t="0" r="0" b="0"/>
              <wp:wrapNone/>
              <wp:docPr id="5" name="文本框 6"/>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wps:spPr>
                    <wps:txbx>
                      <w:txbxContent>
                        <w:p w14:paraId="031A27FD">
                          <w:pPr>
                            <w:pStyle w:val="34"/>
                            <w:rPr>
                              <w:rStyle w:val="55"/>
                            </w:rPr>
                          </w:pPr>
                          <w:r>
                            <w:fldChar w:fldCharType="begin"/>
                          </w:r>
                          <w:r>
                            <w:rPr>
                              <w:rStyle w:val="55"/>
                            </w:rPr>
                            <w:instrText xml:space="preserve">PAGE  </w:instrText>
                          </w:r>
                          <w:r>
                            <w:fldChar w:fldCharType="separate"/>
                          </w:r>
                          <w:r>
                            <w:rPr>
                              <w:rStyle w:val="55"/>
                            </w:rPr>
                            <w:t>21</w:t>
                          </w:r>
                          <w:r>
                            <w:fldChar w:fldCharType="end"/>
                          </w:r>
                        </w:p>
                      </w:txbxContent>
                    </wps:txbx>
                    <wps:bodyPr rot="0" vert="horz" wrap="none" lIns="0" tIns="0" rIns="0" bIns="0" anchor="t" anchorCtr="0" upright="1">
                      <a:spAutoFit/>
                    </wps:bodyPr>
                  </wps:wsp>
                </a:graphicData>
              </a:graphic>
            </wp:anchor>
          </w:drawing>
        </mc:Choice>
        <mc:Fallback>
          <w:pict>
            <v:shape id="文本框 6" o:spid="_x0000_s1026" o:spt="202" type="#_x0000_t202" style="position:absolute;left:0pt;margin-top:0pt;height:10.35pt;width:4.55pt;mso-position-horizontal:center;mso-position-horizontal-relative:margin;mso-wrap-style:none;z-index:251662336;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M+L3UTQAAAAAgEAAA8AAAAAAAAAAQAgAAAAIgAAAGRycy9k&#10;b3ducmV2LnhtbFBLAQIUABQAAAAIAIdO4kCiH7LdCgIAAAEEAAAOAAAAAAAAAAEAIAAAAB8BAABk&#10;cnMvZTJvRG9jLnhtbFBLBQYAAAAABgAGAFkBAACbBQAAAAA=&#10;">
              <v:fill on="f" focussize="0,0"/>
              <v:stroke on="f"/>
              <v:imagedata o:title=""/>
              <o:lock v:ext="edit" aspectratio="f"/>
              <v:textbox inset="0mm,0mm,0mm,0mm" style="mso-fit-shape-to-text:t;">
                <w:txbxContent>
                  <w:p w14:paraId="031A27FD">
                    <w:pPr>
                      <w:pStyle w:val="34"/>
                      <w:rPr>
                        <w:rStyle w:val="55"/>
                      </w:rPr>
                    </w:pPr>
                    <w:r>
                      <w:fldChar w:fldCharType="begin"/>
                    </w:r>
                    <w:r>
                      <w:rPr>
                        <w:rStyle w:val="55"/>
                      </w:rPr>
                      <w:instrText xml:space="preserve">PAGE  </w:instrText>
                    </w:r>
                    <w:r>
                      <w:fldChar w:fldCharType="separate"/>
                    </w:r>
                    <w:r>
                      <w:rPr>
                        <w:rStyle w:val="55"/>
                      </w:rPr>
                      <w:t>21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7E7F78">
    <w:pPr>
      <w:pStyle w:val="34"/>
      <w:framePr w:wrap="around" w:vAnchor="text" w:hAnchor="margin" w:xAlign="center" w:y="1"/>
      <w:rPr>
        <w:rStyle w:val="55"/>
      </w:rPr>
    </w:pPr>
    <w:r>
      <w:fldChar w:fldCharType="begin"/>
    </w:r>
    <w:r>
      <w:rPr>
        <w:rStyle w:val="55"/>
      </w:rPr>
      <w:instrText xml:space="preserve">PAGE  </w:instrText>
    </w:r>
    <w:r>
      <w:fldChar w:fldCharType="end"/>
    </w:r>
  </w:p>
  <w:p w14:paraId="4DE901B2">
    <w:pPr>
      <w:pStyle w:val="34"/>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3E1CE">
    <w:pPr>
      <w:pStyle w:val="34"/>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14935" cy="525780"/>
              <wp:effectExtent l="0" t="0" r="0" b="0"/>
              <wp:wrapNone/>
              <wp:docPr id="4" name="文本框 5"/>
              <wp:cNvGraphicFramePr/>
              <a:graphic xmlns:a="http://schemas.openxmlformats.org/drawingml/2006/main">
                <a:graphicData uri="http://schemas.microsoft.com/office/word/2010/wordprocessingShape">
                  <wps:wsp>
                    <wps:cNvSpPr txBox="1">
                      <a:spLocks noChangeArrowheads="1"/>
                    </wps:cNvSpPr>
                    <wps:spPr bwMode="auto">
                      <a:xfrm>
                        <a:off x="0" y="0"/>
                        <a:ext cx="114935" cy="525780"/>
                      </a:xfrm>
                      <a:prstGeom prst="rect">
                        <a:avLst/>
                      </a:prstGeom>
                      <a:noFill/>
                      <a:ln>
                        <a:noFill/>
                      </a:ln>
                    </wps:spPr>
                    <wps:txbx>
                      <w:txbxContent>
                        <w:p w14:paraId="1B259BEA">
                          <w:pPr>
                            <w:pStyle w:val="34"/>
                            <w:jc w:val="center"/>
                            <w:rPr>
                              <w:rStyle w:val="55"/>
                            </w:rPr>
                          </w:pPr>
                          <w:r>
                            <w:fldChar w:fldCharType="begin"/>
                          </w:r>
                          <w:r>
                            <w:rPr>
                              <w:rStyle w:val="55"/>
                            </w:rPr>
                            <w:instrText xml:space="preserve">PAGE  </w:instrText>
                          </w:r>
                          <w:r>
                            <w:fldChar w:fldCharType="separate"/>
                          </w:r>
                          <w:r>
                            <w:rPr>
                              <w:rStyle w:val="55"/>
                            </w:rPr>
                            <w:t>18</w:t>
                          </w:r>
                          <w:r>
                            <w:fldChar w:fldCharType="end"/>
                          </w:r>
                        </w:p>
                        <w:p w14:paraId="4564A4B1">
                          <w:pPr>
                            <w:pStyle w:val="34"/>
                            <w:jc w:val="center"/>
                            <w:rPr>
                              <w:rStyle w:val="55"/>
                            </w:rPr>
                          </w:pPr>
                        </w:p>
                        <w:p w14:paraId="1951D347">
                          <w:pPr>
                            <w:pStyle w:val="34"/>
                            <w:rPr>
                              <w:rStyle w:val="55"/>
                            </w:rPr>
                          </w:pPr>
                        </w:p>
                        <w:p w14:paraId="74AD0904">
                          <w:pPr>
                            <w:pStyle w:val="34"/>
                          </w:pPr>
                        </w:p>
                      </w:txbxContent>
                    </wps:txbx>
                    <wps:bodyPr rot="0" vert="horz" wrap="none" lIns="0" tIns="0" rIns="0" bIns="0" anchor="t" anchorCtr="0" upright="1">
                      <a:spAutoFit/>
                    </wps:bodyPr>
                  </wps:wsp>
                </a:graphicData>
              </a:graphic>
            </wp:anchor>
          </w:drawing>
        </mc:Choice>
        <mc:Fallback>
          <w:pict>
            <v:shape id="文本框 5" o:spid="_x0000_s1026" o:spt="202" type="#_x0000_t202" style="position:absolute;left:0pt;margin-top:0pt;height:41.4pt;width:9.05pt;mso-position-horizontal:center;mso-position-horizontal-relative:margin;mso-wrap-style:none;z-index:251662336;mso-width-relative:page;mso-height-relative:page;" filled="f" stroked="f" coordsize="21600,21600" o:gfxdata="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Cg0ZAc8AAAADAQAADwAAAAAAAAABACAAAAAiAAAAZHJzL2Rv&#10;d25yZXYueG1sUEsBAhQAFAAAAAgAh07iQCSKNK0KAgAAAgQAAA4AAAAAAAAAAQAgAAAAHgEAAGRy&#10;cy9lMm9Eb2MueG1sUEsFBgAAAAAGAAYAWQEAAJoFAAAAAA==&#10;">
              <v:fill on="f" focussize="0,0"/>
              <v:stroke on="f"/>
              <v:imagedata o:title=""/>
              <o:lock v:ext="edit" aspectratio="f"/>
              <v:textbox inset="0mm,0mm,0mm,0mm" style="mso-fit-shape-to-text:t;">
                <w:txbxContent>
                  <w:p w14:paraId="1B259BEA">
                    <w:pPr>
                      <w:pStyle w:val="34"/>
                      <w:jc w:val="center"/>
                      <w:rPr>
                        <w:rStyle w:val="55"/>
                      </w:rPr>
                    </w:pPr>
                    <w:r>
                      <w:fldChar w:fldCharType="begin"/>
                    </w:r>
                    <w:r>
                      <w:rPr>
                        <w:rStyle w:val="55"/>
                      </w:rPr>
                      <w:instrText xml:space="preserve">PAGE  </w:instrText>
                    </w:r>
                    <w:r>
                      <w:fldChar w:fldCharType="separate"/>
                    </w:r>
                    <w:r>
                      <w:rPr>
                        <w:rStyle w:val="55"/>
                      </w:rPr>
                      <w:t>18</w:t>
                    </w:r>
                    <w:r>
                      <w:fldChar w:fldCharType="end"/>
                    </w:r>
                  </w:p>
                  <w:p w14:paraId="4564A4B1">
                    <w:pPr>
                      <w:pStyle w:val="34"/>
                      <w:jc w:val="center"/>
                      <w:rPr>
                        <w:rStyle w:val="55"/>
                      </w:rPr>
                    </w:pPr>
                  </w:p>
                  <w:p w14:paraId="1951D347">
                    <w:pPr>
                      <w:pStyle w:val="34"/>
                      <w:rPr>
                        <w:rStyle w:val="55"/>
                      </w:rPr>
                    </w:pPr>
                  </w:p>
                  <w:p w14:paraId="74AD0904">
                    <w:pPr>
                      <w:pStyle w:val="34"/>
                    </w:pP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DFC656">
    <w:pPr>
      <w:pStyle w:val="34"/>
      <w:pBdr>
        <w:bottom w:val="single" w:color="auto" w:sz="4" w:space="1"/>
      </w:pBdr>
      <w:jc w:val="center"/>
    </w:pPr>
    <w:r>
      <w:rPr>
        <w:rFonts w:hint="eastAsia"/>
      </w:rPr>
      <w:t xml:space="preserve">                                                                                            </w: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1905"/>
              <wp:wrapNone/>
              <wp:docPr id="3" name="文本框 5"/>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14:paraId="25492AB3">
                          <w:pPr>
                            <w:pStyle w:val="34"/>
                          </w:pPr>
                          <w:r>
                            <w:fldChar w:fldCharType="begin"/>
                          </w:r>
                          <w:r>
                            <w:instrText xml:space="preserve"> PAGE  \* MERGEFORMAT </w:instrText>
                          </w:r>
                          <w:r>
                            <w:fldChar w:fldCharType="separate"/>
                          </w:r>
                          <w:r>
                            <w:t>23</w:t>
                          </w:r>
                          <w:r>
                            <w:fldChar w:fldCharType="end"/>
                          </w:r>
                        </w:p>
                      </w:txbxContent>
                    </wps:txbx>
                    <wps:bodyPr rot="0" vert="horz" wrap="none" lIns="0" tIns="0" rIns="0" bIns="0" anchor="t" anchorCtr="0" upright="1">
                      <a:spAutoFit/>
                    </wps:bodyPr>
                  </wps:wsp>
                </a:graphicData>
              </a:graphic>
            </wp:anchor>
          </w:drawing>
        </mc:Choice>
        <mc:Fallback>
          <w:pict>
            <v:shape id="文本框 5"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Q+V+SdAAAAADAQAADwAAAAAAAAABACAAAAAiAAAA&#10;ZHJzL2Rvd25yZXYueG1sUEsBAhQAFAAAAAgAh07iQN0JrpMPAgAAEAQAAA4AAAAAAAAAAQAgAAAA&#10;HwEAAGRycy9lMm9Eb2MueG1sUEsFBgAAAAAGAAYAWQEAAKAFAAAAAA==&#10;">
              <v:fill on="f" focussize="0,0"/>
              <v:stroke on="f"/>
              <v:imagedata o:title=""/>
              <o:lock v:ext="edit" aspectratio="f"/>
              <v:textbox inset="0mm,0mm,0mm,0mm" style="mso-fit-shape-to-text:t;">
                <w:txbxContent>
                  <w:p w14:paraId="25492AB3">
                    <w:pPr>
                      <w:pStyle w:val="34"/>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059D5">
    <w:pPr>
      <w:pStyle w:val="34"/>
      <w:pBdr>
        <w:bottom w:val="single" w:color="auto" w:sz="4" w:space="1"/>
      </w:pBdr>
      <w:tabs>
        <w:tab w:val="left" w:pos="5548"/>
        <w:tab w:val="clear" w:pos="4153"/>
      </w:tabs>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31445"/>
              <wp:effectExtent l="0" t="0" r="0" b="1905"/>
              <wp:wrapNone/>
              <wp:docPr id="2" name="文本框 6"/>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14:paraId="6A8C86AA">
                          <w:pPr>
                            <w:pStyle w:val="34"/>
                          </w:pPr>
                          <w:r>
                            <w:fldChar w:fldCharType="begin"/>
                          </w:r>
                          <w:r>
                            <w:instrText xml:space="preserve"> PAGE  \* MERGEFORMAT </w:instrText>
                          </w:r>
                          <w:r>
                            <w:fldChar w:fldCharType="separate"/>
                          </w:r>
                          <w:r>
                            <w:t>22</w:t>
                          </w:r>
                          <w:r>
                            <w:fldChar w:fldCharType="end"/>
                          </w:r>
                        </w:p>
                      </w:txbxContent>
                    </wps:txbx>
                    <wps:bodyPr rot="0" vert="horz" wrap="none" lIns="0" tIns="0" rIns="0" bIns="0" anchor="t" anchorCtr="0" upright="1">
                      <a:spAutoFit/>
                    </wps:bodyPr>
                  </wps:wsp>
                </a:graphicData>
              </a:graphic>
            </wp:anchor>
          </w:drawing>
        </mc:Choice>
        <mc:Fallback>
          <w:pict>
            <v:shape id="文本框 6" o:spid="_x0000_s1026" o:spt="202" type="#_x0000_t202"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Q+V+SdAAAAADAQAADwAAAAAAAAABACAAAAAiAAAA&#10;ZHJzL2Rvd25yZXYueG1sUEsBAhQAFAAAAAgAh07iQO1FkawPAgAAEAQAAA4AAAAAAAAAAQAgAAAA&#10;HwEAAGRycy9lMm9Eb2MueG1sUEsFBgAAAAAGAAYAWQEAAKAFAAAAAA==&#10;">
              <v:fill on="f" focussize="0,0"/>
              <v:stroke on="f"/>
              <v:imagedata o:title=""/>
              <o:lock v:ext="edit" aspectratio="f"/>
              <v:textbox inset="0mm,0mm,0mm,0mm" style="mso-fit-shape-to-text:t;">
                <w:txbxContent>
                  <w:p w14:paraId="6A8C86AA">
                    <w:pPr>
                      <w:pStyle w:val="34"/>
                    </w:pPr>
                    <w:r>
                      <w:fldChar w:fldCharType="begin"/>
                    </w:r>
                    <w:r>
                      <w:instrText xml:space="preserve"> PAGE  \* MERGEFORMAT </w:instrText>
                    </w:r>
                    <w:r>
                      <w:fldChar w:fldCharType="separate"/>
                    </w:r>
                    <w:r>
                      <w:t>22</w:t>
                    </w:r>
                    <w:r>
                      <w:fldChar w:fldCharType="end"/>
                    </w:r>
                  </w:p>
                </w:txbxContent>
              </v:textbox>
            </v:shape>
          </w:pict>
        </mc:Fallback>
      </mc:AlternateContent>
    </w:r>
    <w:r>
      <w:rPr>
        <w:rFonts w:hint="eastAsia"/>
      </w:rPr>
      <w:tab/>
    </w:r>
    <w:r>
      <w:rPr>
        <w:rFonts w:hint="eastAsia"/>
      </w:rPr>
      <w:t xml:space="preserve">                               </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A47B76">
    <w:pPr>
      <w:pStyle w:val="34"/>
      <w:pBdr>
        <w:bottom w:val="single" w:color="auto" w:sz="4" w:space="1"/>
      </w:pBdr>
      <w:jc w:val="right"/>
      <w:rPr>
        <w:lang w:eastAsia="en-US"/>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4935" cy="131445"/>
              <wp:effectExtent l="0" t="0" r="0" b="1905"/>
              <wp:wrapNone/>
              <wp:docPr id="1" name="文本框 7"/>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ffectLst/>
                    </wps:spPr>
                    <wps:txbx>
                      <w:txbxContent>
                        <w:p w14:paraId="3E0E3BE2">
                          <w:pPr>
                            <w:pStyle w:val="34"/>
                          </w:pPr>
                          <w:r>
                            <w:fldChar w:fldCharType="begin"/>
                          </w:r>
                          <w:r>
                            <w:instrText xml:space="preserve"> PAGE  \* MERGEFORMAT </w:instrText>
                          </w:r>
                          <w:r>
                            <w:fldChar w:fldCharType="separate"/>
                          </w:r>
                          <w:r>
                            <w:t>33</w:t>
                          </w:r>
                          <w:r>
                            <w:fldChar w:fldCharType="end"/>
                          </w:r>
                        </w:p>
                      </w:txbxContent>
                    </wps:txbx>
                    <wps:bodyPr rot="0" vert="horz" wrap="none" lIns="0" tIns="0" rIns="0" bIns="0" anchor="t" anchorCtr="0" upright="1">
                      <a:spAutoFit/>
                    </wps:bodyPr>
                  </wps:wsp>
                </a:graphicData>
              </a:graphic>
            </wp:anchor>
          </w:drawing>
        </mc:Choice>
        <mc:Fallback>
          <w:pict>
            <v:shape id="文本框 7" o:spid="_x0000_s1026" o:spt="202" type="#_x0000_t202" style="position:absolute;left:0pt;margin-top:0pt;height:10.35pt;width:9.05pt;mso-position-horizontal:center;mso-position-horizontal-relative:margin;mso-wrap-style:none;z-index:251661312;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BD5X5J0AAAAAMBAAAPAAAAAAAAAAEAIAAAACIAAABk&#10;cnMvZG93bnJldi54bWxQSwECFAAUAAAACACHTuJAWPVilA4CAAAQBAAADgAAAAAAAAABACAAAAAf&#10;AQAAZHJzL2Uyb0RvYy54bWxQSwUGAAAAAAYABgBZAQAAnwUAAAAA&#10;">
              <v:fill on="f" focussize="0,0"/>
              <v:stroke on="f"/>
              <v:imagedata o:title=""/>
              <o:lock v:ext="edit" aspectratio="f"/>
              <v:textbox inset="0mm,0mm,0mm,0mm" style="mso-fit-shape-to-text:t;">
                <w:txbxContent>
                  <w:p w14:paraId="3E0E3BE2">
                    <w:pPr>
                      <w:pStyle w:val="34"/>
                    </w:pPr>
                    <w:r>
                      <w:fldChar w:fldCharType="begin"/>
                    </w:r>
                    <w:r>
                      <w:instrText xml:space="preserve"> PAGE  \* MERGEFORMAT </w:instrText>
                    </w:r>
                    <w:r>
                      <w:fldChar w:fldCharType="separate"/>
                    </w:r>
                    <w:r>
                      <w:t>33</w:t>
                    </w:r>
                    <w:r>
                      <w:fldChar w:fldCharType="end"/>
                    </w:r>
                  </w:p>
                </w:txbxContent>
              </v:textbox>
            </v:shape>
          </w:pict>
        </mc:Fallback>
      </mc:AlternateContent>
    </w:r>
    <w:r>
      <w:rPr>
        <w:rFonts w:hint="eastAsia"/>
      </w:rPr>
      <w:t xml:space="preserve">                                                                                                                                                       </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F903E4">
    <w:pPr>
      <w:pStyle w:val="34"/>
      <w:framePr w:wrap="around" w:vAnchor="text" w:hAnchor="margin" w:xAlign="center" w:y="1"/>
      <w:rPr>
        <w:rStyle w:val="55"/>
      </w:rPr>
    </w:pPr>
    <w:r>
      <w:fldChar w:fldCharType="begin"/>
    </w:r>
    <w:r>
      <w:rPr>
        <w:rStyle w:val="55"/>
      </w:rPr>
      <w:instrText xml:space="preserve">PAGE  </w:instrText>
    </w:r>
    <w:r>
      <w:fldChar w:fldCharType="separate"/>
    </w:r>
    <w:r>
      <w:rPr>
        <w:vanish/>
      </w:rPr>
      <w:t xml:space="preserve"> </w:t>
    </w:r>
    <w:r>
      <w:fldChar w:fldCharType="end"/>
    </w:r>
  </w:p>
  <w:p w14:paraId="732FF37E">
    <w:pPr>
      <w:pStyle w:val="3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9ABD91">
    <w:pPr>
      <w:pStyle w:val="35"/>
      <w:pBdr>
        <w:bottom w:val="single" w:color="auto" w:sz="4" w:space="0"/>
      </w:pBdr>
      <w:jc w:val="left"/>
    </w:pPr>
    <w:r>
      <w:rPr>
        <w:rFonts w:hint="eastAsia"/>
      </w:rPr>
      <w:t>温州市国有企业采购文件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B14CA1">
    <w:pPr>
      <w:pStyle w:val="35"/>
      <w:jc w:val="both"/>
      <w:rPr>
        <w:rFonts w:ascii="宋体" w:hAnsi="宋体" w:cs="宋体"/>
        <w:sz w:val="20"/>
        <w:szCs w:val="20"/>
      </w:rPr>
    </w:pPr>
    <w:r>
      <w:rPr>
        <w:rFonts w:hint="eastAsia" w:ascii="宋体" w:hAnsi="宋体" w:cs="宋体"/>
        <w:sz w:val="20"/>
        <w:szCs w:val="20"/>
      </w:rPr>
      <w:t>温州市国有企业采购文件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12F24F">
    <w:pPr>
      <w:pStyle w:val="35"/>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D5FAC5">
    <w:pPr>
      <w:pStyle w:val="35"/>
      <w:pBdr>
        <w:bottom w:val="single" w:color="auto" w:sz="4" w:space="1"/>
      </w:pBdr>
      <w:jc w:val="left"/>
    </w:pPr>
    <w:r>
      <w:rPr>
        <w:rFonts w:hint="eastAsia"/>
      </w:rPr>
      <w:t>温州市国有企业采购文件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41A3E6"/>
    <w:multiLevelType w:val="singleLevel"/>
    <w:tmpl w:val="AC41A3E6"/>
    <w:lvl w:ilvl="0" w:tentative="0">
      <w:start w:val="1"/>
      <w:numFmt w:val="decimal"/>
      <w:suff w:val="space"/>
      <w:lvlText w:val="%1)"/>
      <w:lvlJc w:val="left"/>
    </w:lvl>
  </w:abstractNum>
  <w:abstractNum w:abstractNumId="1">
    <w:nsid w:val="B0ACA05F"/>
    <w:multiLevelType w:val="singleLevel"/>
    <w:tmpl w:val="B0ACA05F"/>
    <w:lvl w:ilvl="0" w:tentative="0">
      <w:start w:val="3"/>
      <w:numFmt w:val="chineseCounting"/>
      <w:suff w:val="nothing"/>
      <w:lvlText w:val="%1、"/>
      <w:lvlJc w:val="left"/>
      <w:rPr>
        <w:rFonts w:hint="eastAsia"/>
      </w:rPr>
    </w:lvl>
  </w:abstractNum>
  <w:abstractNum w:abstractNumId="2">
    <w:nsid w:val="FAAD791D"/>
    <w:multiLevelType w:val="singleLevel"/>
    <w:tmpl w:val="FAAD791D"/>
    <w:lvl w:ilvl="0" w:tentative="0">
      <w:start w:val="1"/>
      <w:numFmt w:val="decimal"/>
      <w:suff w:val="space"/>
      <w:lvlText w:val="%1)"/>
      <w:lvlJc w:val="left"/>
    </w:lvl>
  </w:abstractNum>
  <w:abstractNum w:abstractNumId="3">
    <w:nsid w:val="0000001C"/>
    <w:multiLevelType w:val="multilevel"/>
    <w:tmpl w:val="0000001C"/>
    <w:lvl w:ilvl="0" w:tentative="0">
      <w:start w:val="1"/>
      <w:numFmt w:val="none"/>
      <w:lvlText w:val=""/>
      <w:lvlJc w:val="left"/>
      <w:pPr>
        <w:tabs>
          <w:tab w:val="left" w:pos="425"/>
        </w:tabs>
        <w:ind w:left="425" w:hanging="425"/>
      </w:pPr>
      <w:rPr>
        <w:rFonts w:hint="eastAsia"/>
      </w:rPr>
    </w:lvl>
    <w:lvl w:ilvl="1" w:tentative="0">
      <w:start w:val="1"/>
      <w:numFmt w:val="decimal"/>
      <w:lvlText w:val="%11.%2"/>
      <w:lvlJc w:val="left"/>
      <w:pPr>
        <w:tabs>
          <w:tab w:val="left" w:pos="992"/>
        </w:tabs>
        <w:ind w:left="992" w:hanging="567"/>
      </w:pPr>
      <w:rPr>
        <w:rFonts w:hint="default" w:ascii="宋体" w:hAnsi="宋体" w:eastAsia="宋体" w:cs="宋体"/>
        <w:sz w:val="22"/>
        <w:szCs w:val="22"/>
      </w:rPr>
    </w:lvl>
    <w:lvl w:ilvl="2" w:tentative="0">
      <w:start w:val="1"/>
      <w:numFmt w:val="decimal"/>
      <w:lvlText w:val="%1.%2.%3"/>
      <w:lvlJc w:val="left"/>
      <w:pPr>
        <w:tabs>
          <w:tab w:val="left" w:pos="1571"/>
        </w:tabs>
        <w:ind w:left="1418" w:hanging="567"/>
      </w:pPr>
      <w:rPr>
        <w:rFonts w:hint="eastAsia"/>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4">
    <w:nsid w:val="1E5719E2"/>
    <w:multiLevelType w:val="multilevel"/>
    <w:tmpl w:val="1E5719E2"/>
    <w:lvl w:ilvl="0" w:tentative="0">
      <w:start w:val="1"/>
      <w:numFmt w:val="decimal"/>
      <w:lvlText w:val="%1."/>
      <w:lvlJc w:val="left"/>
      <w:pPr>
        <w:tabs>
          <w:tab w:val="left" w:pos="420"/>
        </w:tabs>
        <w:ind w:left="420" w:hanging="420"/>
      </w:pPr>
      <w:rPr>
        <w:rFonts w:hint="eastAsia" w:ascii="楷体_GB2312" w:hAnsi="Arial" w:eastAsia="楷体_GB2312" w:cs="Arial"/>
      </w:rPr>
    </w:lvl>
    <w:lvl w:ilvl="1" w:tentative="0">
      <w:start w:val="0"/>
      <w:numFmt w:val="none"/>
      <w:lvlText w:val=""/>
      <w:lvlJc w:val="left"/>
      <w:pPr>
        <w:tabs>
          <w:tab w:val="left" w:pos="360"/>
        </w:tabs>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none"/>
      <w:lvlText w:val=""/>
      <w:lvlJc w:val="left"/>
      <w:pPr>
        <w:tabs>
          <w:tab w:val="left" w:pos="360"/>
        </w:tabs>
      </w:pPr>
    </w:lvl>
    <w:lvl w:ilvl="5" w:tentative="0">
      <w:start w:val="0"/>
      <w:numFmt w:val="none"/>
      <w:lvlText w:val=""/>
      <w:lvlJc w:val="left"/>
      <w:pPr>
        <w:tabs>
          <w:tab w:val="left" w:pos="360"/>
        </w:tabs>
      </w:pPr>
    </w:lvl>
    <w:lvl w:ilvl="6" w:tentative="0">
      <w:start w:val="0"/>
      <w:numFmt w:val="none"/>
      <w:lvlText w:val=""/>
      <w:lvlJc w:val="left"/>
      <w:pPr>
        <w:tabs>
          <w:tab w:val="left" w:pos="360"/>
        </w:tabs>
      </w:pPr>
    </w:lvl>
    <w:lvl w:ilvl="7" w:tentative="0">
      <w:start w:val="0"/>
      <w:numFmt w:val="none"/>
      <w:lvlText w:val=""/>
      <w:lvlJc w:val="left"/>
      <w:pPr>
        <w:tabs>
          <w:tab w:val="left" w:pos="360"/>
        </w:tabs>
      </w:pPr>
    </w:lvl>
    <w:lvl w:ilvl="8" w:tentative="0">
      <w:start w:val="0"/>
      <w:numFmt w:val="none"/>
      <w:lvlText w:val=""/>
      <w:lvlJc w:val="left"/>
      <w:pPr>
        <w:tabs>
          <w:tab w:val="left" w:pos="360"/>
        </w:tabs>
      </w:pPr>
    </w:lvl>
  </w:abstractNum>
  <w:abstractNum w:abstractNumId="5">
    <w:nsid w:val="1EF31958"/>
    <w:multiLevelType w:val="multilevel"/>
    <w:tmpl w:val="1EF3195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20DC8E9E"/>
    <w:multiLevelType w:val="singleLevel"/>
    <w:tmpl w:val="20DC8E9E"/>
    <w:lvl w:ilvl="0" w:tentative="0">
      <w:start w:val="1"/>
      <w:numFmt w:val="chineseCounting"/>
      <w:suff w:val="space"/>
      <w:lvlText w:val="%1、"/>
      <w:lvlJc w:val="left"/>
      <w:pPr>
        <w:tabs>
          <w:tab w:val="left" w:pos="0"/>
        </w:tabs>
        <w:ind w:left="0" w:firstLine="0"/>
      </w:pPr>
      <w:rPr>
        <w:rFonts w:hint="eastAsia"/>
      </w:rPr>
    </w:lvl>
  </w:abstractNum>
  <w:abstractNum w:abstractNumId="7">
    <w:nsid w:val="25BC43DF"/>
    <w:multiLevelType w:val="multilevel"/>
    <w:tmpl w:val="25BC43DF"/>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41E69521"/>
    <w:multiLevelType w:val="singleLevel"/>
    <w:tmpl w:val="41E69521"/>
    <w:lvl w:ilvl="0" w:tentative="0">
      <w:start w:val="1"/>
      <w:numFmt w:val="decimal"/>
      <w:suff w:val="nothing"/>
      <w:lvlText w:val="（%1）"/>
      <w:lvlJc w:val="left"/>
      <w:pPr>
        <w:tabs>
          <w:tab w:val="left" w:pos="0"/>
        </w:tabs>
        <w:ind w:left="0" w:firstLine="0"/>
      </w:pPr>
    </w:lvl>
  </w:abstractNum>
  <w:abstractNum w:abstractNumId="9">
    <w:nsid w:val="44CB52C8"/>
    <w:multiLevelType w:val="multilevel"/>
    <w:tmpl w:val="44CB52C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5FC47879"/>
    <w:multiLevelType w:val="singleLevel"/>
    <w:tmpl w:val="5FC47879"/>
    <w:lvl w:ilvl="0" w:tentative="0">
      <w:start w:val="1"/>
      <w:numFmt w:val="chineseCounting"/>
      <w:suff w:val="space"/>
      <w:lvlText w:val="第%1部分"/>
      <w:lvlJc w:val="left"/>
      <w:pPr>
        <w:tabs>
          <w:tab w:val="left" w:pos="0"/>
        </w:tabs>
        <w:ind w:left="0" w:firstLine="0"/>
      </w:pPr>
      <w:rPr>
        <w:rFonts w:hint="eastAsia"/>
      </w:rPr>
    </w:lvl>
  </w:abstractNum>
  <w:abstractNum w:abstractNumId="11">
    <w:nsid w:val="61D60FE4"/>
    <w:multiLevelType w:val="multilevel"/>
    <w:tmpl w:val="61D60FE4"/>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75B1694D"/>
    <w:multiLevelType w:val="multilevel"/>
    <w:tmpl w:val="75B1694D"/>
    <w:lvl w:ilvl="0" w:tentative="0">
      <w:start w:val="1"/>
      <w:numFmt w:val="japaneseCounting"/>
      <w:lvlText w:val="第%1条"/>
      <w:lvlJc w:val="left"/>
      <w:pPr>
        <w:ind w:left="840" w:hanging="84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6"/>
  </w:num>
  <w:num w:numId="3">
    <w:abstractNumId w:val="10"/>
  </w:num>
  <w:num w:numId="4">
    <w:abstractNumId w:val="4"/>
  </w:num>
  <w:num w:numId="5">
    <w:abstractNumId w:val="8"/>
  </w:num>
  <w:num w:numId="6">
    <w:abstractNumId w:val="3"/>
  </w:num>
  <w:num w:numId="7">
    <w:abstractNumId w:val="0"/>
  </w:num>
  <w:num w:numId="8">
    <w:abstractNumId w:val="2"/>
  </w:num>
  <w:num w:numId="9">
    <w:abstractNumId w:val="12"/>
  </w:num>
  <w:num w:numId="10">
    <w:abstractNumId w:val="7"/>
  </w:num>
  <w:num w:numId="11">
    <w:abstractNumId w:val="5"/>
  </w:num>
  <w:num w:numId="12">
    <w:abstractNumId w:val="11"/>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noPunctuationKerning w:val="1"/>
  <w:characterSpacingControl w:val="compressPunctuation"/>
  <w:doNotValidateAgainstSchema/>
  <w:doNotDemarcateInvalidXml/>
  <w:endnotePr>
    <w:endnote w:id="2"/>
    <w:endnote w:id="3"/>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Q0ZDc1MTk1ZDM0ZWEyODRiMDVmODU0YjljMzc3MzQifQ=="/>
  </w:docVars>
  <w:rsids>
    <w:rsidRoot w:val="00172A27"/>
    <w:rsid w:val="0000142D"/>
    <w:rsid w:val="000301AE"/>
    <w:rsid w:val="0003595D"/>
    <w:rsid w:val="000911AE"/>
    <w:rsid w:val="0011442B"/>
    <w:rsid w:val="00115B05"/>
    <w:rsid w:val="00141754"/>
    <w:rsid w:val="00170724"/>
    <w:rsid w:val="00172A27"/>
    <w:rsid w:val="001849EE"/>
    <w:rsid w:val="001D76B2"/>
    <w:rsid w:val="002357A8"/>
    <w:rsid w:val="002730DA"/>
    <w:rsid w:val="002A3277"/>
    <w:rsid w:val="002A6C63"/>
    <w:rsid w:val="00377869"/>
    <w:rsid w:val="003A33AB"/>
    <w:rsid w:val="003B49AB"/>
    <w:rsid w:val="003F3F09"/>
    <w:rsid w:val="0043437B"/>
    <w:rsid w:val="00437362"/>
    <w:rsid w:val="00461870"/>
    <w:rsid w:val="00462BFB"/>
    <w:rsid w:val="004A21C7"/>
    <w:rsid w:val="00503FE1"/>
    <w:rsid w:val="00535E7A"/>
    <w:rsid w:val="00564112"/>
    <w:rsid w:val="00587D84"/>
    <w:rsid w:val="005A0FB6"/>
    <w:rsid w:val="005B4509"/>
    <w:rsid w:val="005D0F02"/>
    <w:rsid w:val="005D739C"/>
    <w:rsid w:val="006310CB"/>
    <w:rsid w:val="00646CC1"/>
    <w:rsid w:val="0066156D"/>
    <w:rsid w:val="00684ED1"/>
    <w:rsid w:val="0070075D"/>
    <w:rsid w:val="00711B85"/>
    <w:rsid w:val="00791369"/>
    <w:rsid w:val="00794CEC"/>
    <w:rsid w:val="007B712E"/>
    <w:rsid w:val="008257C0"/>
    <w:rsid w:val="0084107D"/>
    <w:rsid w:val="008625D1"/>
    <w:rsid w:val="00883447"/>
    <w:rsid w:val="008A41BB"/>
    <w:rsid w:val="008B20B7"/>
    <w:rsid w:val="008B350A"/>
    <w:rsid w:val="008B6CC5"/>
    <w:rsid w:val="008D2E82"/>
    <w:rsid w:val="00973FB8"/>
    <w:rsid w:val="00987373"/>
    <w:rsid w:val="009D7401"/>
    <w:rsid w:val="00A13691"/>
    <w:rsid w:val="00A17EC0"/>
    <w:rsid w:val="00AC6DFA"/>
    <w:rsid w:val="00AD1EAD"/>
    <w:rsid w:val="00B709E6"/>
    <w:rsid w:val="00B778A5"/>
    <w:rsid w:val="00B8111D"/>
    <w:rsid w:val="00BB663E"/>
    <w:rsid w:val="00BF4855"/>
    <w:rsid w:val="00C032DD"/>
    <w:rsid w:val="00C03D9E"/>
    <w:rsid w:val="00C06708"/>
    <w:rsid w:val="00C75E6F"/>
    <w:rsid w:val="00CA04BC"/>
    <w:rsid w:val="00CC173C"/>
    <w:rsid w:val="00CC3334"/>
    <w:rsid w:val="00CE3992"/>
    <w:rsid w:val="00D01103"/>
    <w:rsid w:val="00D25224"/>
    <w:rsid w:val="00D5063D"/>
    <w:rsid w:val="00DD6FDB"/>
    <w:rsid w:val="00DF3D51"/>
    <w:rsid w:val="00E77D0F"/>
    <w:rsid w:val="00E87A2A"/>
    <w:rsid w:val="00E93377"/>
    <w:rsid w:val="00EB0B35"/>
    <w:rsid w:val="00EE32E5"/>
    <w:rsid w:val="00F7125A"/>
    <w:rsid w:val="00FA04A6"/>
    <w:rsid w:val="00FA4500"/>
    <w:rsid w:val="00FF0AD5"/>
    <w:rsid w:val="01253372"/>
    <w:rsid w:val="01336206"/>
    <w:rsid w:val="013E4434"/>
    <w:rsid w:val="01607FE9"/>
    <w:rsid w:val="017716F4"/>
    <w:rsid w:val="018E309C"/>
    <w:rsid w:val="01937B7E"/>
    <w:rsid w:val="01AE3368"/>
    <w:rsid w:val="02054F52"/>
    <w:rsid w:val="02094A42"/>
    <w:rsid w:val="021E4F0A"/>
    <w:rsid w:val="027619AC"/>
    <w:rsid w:val="02852330"/>
    <w:rsid w:val="02C50B9B"/>
    <w:rsid w:val="02E132C9"/>
    <w:rsid w:val="02EB05EB"/>
    <w:rsid w:val="02ED1C6E"/>
    <w:rsid w:val="030016AC"/>
    <w:rsid w:val="03035935"/>
    <w:rsid w:val="03195159"/>
    <w:rsid w:val="032A72F2"/>
    <w:rsid w:val="03F0163D"/>
    <w:rsid w:val="04511CDD"/>
    <w:rsid w:val="04531FA4"/>
    <w:rsid w:val="04806B11"/>
    <w:rsid w:val="049C1B9D"/>
    <w:rsid w:val="04B854E4"/>
    <w:rsid w:val="04BA2023"/>
    <w:rsid w:val="04E470A0"/>
    <w:rsid w:val="04E6106A"/>
    <w:rsid w:val="05A21435"/>
    <w:rsid w:val="05B72A07"/>
    <w:rsid w:val="05BF08FF"/>
    <w:rsid w:val="05CF5FA2"/>
    <w:rsid w:val="05D87168"/>
    <w:rsid w:val="05EC72A9"/>
    <w:rsid w:val="0616772D"/>
    <w:rsid w:val="061B065C"/>
    <w:rsid w:val="063D464A"/>
    <w:rsid w:val="06617656"/>
    <w:rsid w:val="069C7B2D"/>
    <w:rsid w:val="06AE7847"/>
    <w:rsid w:val="07691ADF"/>
    <w:rsid w:val="07707311"/>
    <w:rsid w:val="07AC00D1"/>
    <w:rsid w:val="07AC659B"/>
    <w:rsid w:val="08021D84"/>
    <w:rsid w:val="08233CC0"/>
    <w:rsid w:val="08365E65"/>
    <w:rsid w:val="086405F1"/>
    <w:rsid w:val="08A96637"/>
    <w:rsid w:val="08BB5CE2"/>
    <w:rsid w:val="08BB636A"/>
    <w:rsid w:val="08CF0527"/>
    <w:rsid w:val="08D31906"/>
    <w:rsid w:val="08E20120"/>
    <w:rsid w:val="08E7715F"/>
    <w:rsid w:val="08F655F4"/>
    <w:rsid w:val="08FA6E92"/>
    <w:rsid w:val="09304FAA"/>
    <w:rsid w:val="094B5940"/>
    <w:rsid w:val="097E7F9F"/>
    <w:rsid w:val="098B3F8E"/>
    <w:rsid w:val="09CE66EB"/>
    <w:rsid w:val="09E3201C"/>
    <w:rsid w:val="0A0A189F"/>
    <w:rsid w:val="0A0F2E11"/>
    <w:rsid w:val="0A326B00"/>
    <w:rsid w:val="0A9F4195"/>
    <w:rsid w:val="0AE15C46"/>
    <w:rsid w:val="0AE93662"/>
    <w:rsid w:val="0AE940D9"/>
    <w:rsid w:val="0B542123"/>
    <w:rsid w:val="0B6727D9"/>
    <w:rsid w:val="0B8B5F47"/>
    <w:rsid w:val="0B9A7FD7"/>
    <w:rsid w:val="0BC47C2C"/>
    <w:rsid w:val="0BC96FF0"/>
    <w:rsid w:val="0BE45BD8"/>
    <w:rsid w:val="0C39369B"/>
    <w:rsid w:val="0C48085D"/>
    <w:rsid w:val="0C4C20FB"/>
    <w:rsid w:val="0C5E1E2E"/>
    <w:rsid w:val="0C6C201A"/>
    <w:rsid w:val="0C880C59"/>
    <w:rsid w:val="0C886EAB"/>
    <w:rsid w:val="0CAD23A7"/>
    <w:rsid w:val="0CB24163"/>
    <w:rsid w:val="0CE9383E"/>
    <w:rsid w:val="0D4A6D5B"/>
    <w:rsid w:val="0D8633EB"/>
    <w:rsid w:val="0DA47D15"/>
    <w:rsid w:val="0DC7755F"/>
    <w:rsid w:val="0DD257C6"/>
    <w:rsid w:val="0E06277D"/>
    <w:rsid w:val="0E107158"/>
    <w:rsid w:val="0E3746E5"/>
    <w:rsid w:val="0E5D5310"/>
    <w:rsid w:val="0E604325"/>
    <w:rsid w:val="0E6354DA"/>
    <w:rsid w:val="0E7B6CC7"/>
    <w:rsid w:val="0E8042DE"/>
    <w:rsid w:val="0E87741A"/>
    <w:rsid w:val="0E9876C9"/>
    <w:rsid w:val="0E996AA1"/>
    <w:rsid w:val="0EAF6971"/>
    <w:rsid w:val="0F276507"/>
    <w:rsid w:val="0F360E40"/>
    <w:rsid w:val="0F5A4B2F"/>
    <w:rsid w:val="0F5D7826"/>
    <w:rsid w:val="0F6A2898"/>
    <w:rsid w:val="0F786D63"/>
    <w:rsid w:val="0F7A0D2D"/>
    <w:rsid w:val="0FA20284"/>
    <w:rsid w:val="0FF1183A"/>
    <w:rsid w:val="0FF36CB9"/>
    <w:rsid w:val="100F299B"/>
    <w:rsid w:val="101E3704"/>
    <w:rsid w:val="10256846"/>
    <w:rsid w:val="1057106E"/>
    <w:rsid w:val="106043C7"/>
    <w:rsid w:val="106F63B8"/>
    <w:rsid w:val="107439CE"/>
    <w:rsid w:val="1084109F"/>
    <w:rsid w:val="10967DE9"/>
    <w:rsid w:val="10D053A3"/>
    <w:rsid w:val="10FF5EF2"/>
    <w:rsid w:val="114C494B"/>
    <w:rsid w:val="12011292"/>
    <w:rsid w:val="121F0548"/>
    <w:rsid w:val="122764BB"/>
    <w:rsid w:val="127F1B6B"/>
    <w:rsid w:val="12993BC0"/>
    <w:rsid w:val="12B61D3B"/>
    <w:rsid w:val="12B91B6C"/>
    <w:rsid w:val="12BB3B36"/>
    <w:rsid w:val="12EB3CF0"/>
    <w:rsid w:val="131274CE"/>
    <w:rsid w:val="13A46379"/>
    <w:rsid w:val="13D33102"/>
    <w:rsid w:val="13F371C9"/>
    <w:rsid w:val="14092680"/>
    <w:rsid w:val="14353475"/>
    <w:rsid w:val="146A5814"/>
    <w:rsid w:val="146E56F1"/>
    <w:rsid w:val="147161CD"/>
    <w:rsid w:val="14757D15"/>
    <w:rsid w:val="14AB1989"/>
    <w:rsid w:val="14BC5944"/>
    <w:rsid w:val="150211CC"/>
    <w:rsid w:val="150572EB"/>
    <w:rsid w:val="15192D96"/>
    <w:rsid w:val="1528122B"/>
    <w:rsid w:val="156A222E"/>
    <w:rsid w:val="15901577"/>
    <w:rsid w:val="15910B7E"/>
    <w:rsid w:val="15B10424"/>
    <w:rsid w:val="16695657"/>
    <w:rsid w:val="16767D22"/>
    <w:rsid w:val="16816E45"/>
    <w:rsid w:val="16905894"/>
    <w:rsid w:val="16DA6555"/>
    <w:rsid w:val="16E63A09"/>
    <w:rsid w:val="1703454E"/>
    <w:rsid w:val="171B1BF4"/>
    <w:rsid w:val="17795D6E"/>
    <w:rsid w:val="17827F34"/>
    <w:rsid w:val="17B1375A"/>
    <w:rsid w:val="17DE7F95"/>
    <w:rsid w:val="17DF2075"/>
    <w:rsid w:val="181066D2"/>
    <w:rsid w:val="182C2DE0"/>
    <w:rsid w:val="1844637C"/>
    <w:rsid w:val="184B770B"/>
    <w:rsid w:val="18664544"/>
    <w:rsid w:val="18814EDA"/>
    <w:rsid w:val="18B00C7E"/>
    <w:rsid w:val="18BD1C8B"/>
    <w:rsid w:val="19037FE5"/>
    <w:rsid w:val="190A3122"/>
    <w:rsid w:val="19153875"/>
    <w:rsid w:val="193261D5"/>
    <w:rsid w:val="196A3BC0"/>
    <w:rsid w:val="19996254"/>
    <w:rsid w:val="19B17A41"/>
    <w:rsid w:val="19D20AB9"/>
    <w:rsid w:val="19D379B8"/>
    <w:rsid w:val="19D55670"/>
    <w:rsid w:val="19D84FCE"/>
    <w:rsid w:val="1A0C4356"/>
    <w:rsid w:val="1A3D3083"/>
    <w:rsid w:val="1A642D06"/>
    <w:rsid w:val="1A66082C"/>
    <w:rsid w:val="1A685147"/>
    <w:rsid w:val="1A6E5FDD"/>
    <w:rsid w:val="1A700765"/>
    <w:rsid w:val="1A9C249F"/>
    <w:rsid w:val="1ABD5F72"/>
    <w:rsid w:val="1ABF5F29"/>
    <w:rsid w:val="1AC437A4"/>
    <w:rsid w:val="1AF23E6D"/>
    <w:rsid w:val="1B3C77DE"/>
    <w:rsid w:val="1B4A1EFB"/>
    <w:rsid w:val="1B632FBD"/>
    <w:rsid w:val="1B7214BA"/>
    <w:rsid w:val="1B770817"/>
    <w:rsid w:val="1B9969DF"/>
    <w:rsid w:val="1B9C027D"/>
    <w:rsid w:val="1BC23EE1"/>
    <w:rsid w:val="1BEA548C"/>
    <w:rsid w:val="1C085913"/>
    <w:rsid w:val="1C1435CB"/>
    <w:rsid w:val="1C1B4321"/>
    <w:rsid w:val="1C3B5CE8"/>
    <w:rsid w:val="1C3B68E4"/>
    <w:rsid w:val="1CB33AD0"/>
    <w:rsid w:val="1CBB4733"/>
    <w:rsid w:val="1CD557F5"/>
    <w:rsid w:val="1CDC4DD5"/>
    <w:rsid w:val="1D0048A3"/>
    <w:rsid w:val="1D1B2ECF"/>
    <w:rsid w:val="1D305121"/>
    <w:rsid w:val="1D6E17A5"/>
    <w:rsid w:val="1D8E3BF5"/>
    <w:rsid w:val="1E005888"/>
    <w:rsid w:val="1E1A1774"/>
    <w:rsid w:val="1E34141D"/>
    <w:rsid w:val="1E3B5B2B"/>
    <w:rsid w:val="1E537319"/>
    <w:rsid w:val="1E830748"/>
    <w:rsid w:val="1E975C3E"/>
    <w:rsid w:val="1EBB0A1A"/>
    <w:rsid w:val="1ECE699F"/>
    <w:rsid w:val="1ECF4D70"/>
    <w:rsid w:val="1EEC5078"/>
    <w:rsid w:val="1EF96FC5"/>
    <w:rsid w:val="1F66307C"/>
    <w:rsid w:val="1F7704D9"/>
    <w:rsid w:val="1FA15E62"/>
    <w:rsid w:val="1FA83694"/>
    <w:rsid w:val="1FAA11BB"/>
    <w:rsid w:val="1FC35DD8"/>
    <w:rsid w:val="1FD47844"/>
    <w:rsid w:val="1FD71884"/>
    <w:rsid w:val="201E5FC4"/>
    <w:rsid w:val="21231018"/>
    <w:rsid w:val="21521B0A"/>
    <w:rsid w:val="218872DA"/>
    <w:rsid w:val="218C75F5"/>
    <w:rsid w:val="219C4C32"/>
    <w:rsid w:val="21A67760"/>
    <w:rsid w:val="21DC5877"/>
    <w:rsid w:val="21ED35E0"/>
    <w:rsid w:val="21FE1453"/>
    <w:rsid w:val="2210107D"/>
    <w:rsid w:val="222636B1"/>
    <w:rsid w:val="225A37DA"/>
    <w:rsid w:val="227C3525"/>
    <w:rsid w:val="22D24584"/>
    <w:rsid w:val="232C08FB"/>
    <w:rsid w:val="2346744C"/>
    <w:rsid w:val="237D7345"/>
    <w:rsid w:val="23A45F21"/>
    <w:rsid w:val="23CF0C15"/>
    <w:rsid w:val="23D61BA6"/>
    <w:rsid w:val="24374FE7"/>
    <w:rsid w:val="244607D7"/>
    <w:rsid w:val="24547947"/>
    <w:rsid w:val="247B3126"/>
    <w:rsid w:val="248B0E8F"/>
    <w:rsid w:val="24A537A4"/>
    <w:rsid w:val="24C0224D"/>
    <w:rsid w:val="24CC3981"/>
    <w:rsid w:val="24F8775C"/>
    <w:rsid w:val="25132E90"/>
    <w:rsid w:val="25350ED0"/>
    <w:rsid w:val="25423C43"/>
    <w:rsid w:val="254A0BBB"/>
    <w:rsid w:val="254C2D14"/>
    <w:rsid w:val="256C6F12"/>
    <w:rsid w:val="25E5572A"/>
    <w:rsid w:val="26013A96"/>
    <w:rsid w:val="26192BF6"/>
    <w:rsid w:val="26384502"/>
    <w:rsid w:val="268362C1"/>
    <w:rsid w:val="26A05A4A"/>
    <w:rsid w:val="26A60202"/>
    <w:rsid w:val="26D20A42"/>
    <w:rsid w:val="26E86A6C"/>
    <w:rsid w:val="27103A7F"/>
    <w:rsid w:val="27231852"/>
    <w:rsid w:val="272F01F7"/>
    <w:rsid w:val="27361479"/>
    <w:rsid w:val="27604855"/>
    <w:rsid w:val="27D56FF1"/>
    <w:rsid w:val="27E45486"/>
    <w:rsid w:val="27EF6A41"/>
    <w:rsid w:val="27FA4F4C"/>
    <w:rsid w:val="28481571"/>
    <w:rsid w:val="289D1E02"/>
    <w:rsid w:val="28A16ED3"/>
    <w:rsid w:val="28B51443"/>
    <w:rsid w:val="28B81B5C"/>
    <w:rsid w:val="28D15A0A"/>
    <w:rsid w:val="28E421D1"/>
    <w:rsid w:val="28E50E43"/>
    <w:rsid w:val="29070BB7"/>
    <w:rsid w:val="293715E5"/>
    <w:rsid w:val="294E3354"/>
    <w:rsid w:val="296E14AB"/>
    <w:rsid w:val="29905C75"/>
    <w:rsid w:val="29973D8C"/>
    <w:rsid w:val="29981816"/>
    <w:rsid w:val="29DA0E78"/>
    <w:rsid w:val="29FD638B"/>
    <w:rsid w:val="2A297180"/>
    <w:rsid w:val="2A2C0A1E"/>
    <w:rsid w:val="2A336250"/>
    <w:rsid w:val="2A4312E2"/>
    <w:rsid w:val="2A5D6EB4"/>
    <w:rsid w:val="2A8B1650"/>
    <w:rsid w:val="2A93690A"/>
    <w:rsid w:val="2AA35685"/>
    <w:rsid w:val="2AC1385C"/>
    <w:rsid w:val="2ADB2B70"/>
    <w:rsid w:val="2AFE7E56"/>
    <w:rsid w:val="2B1B11BE"/>
    <w:rsid w:val="2B2D4A4E"/>
    <w:rsid w:val="2B357971"/>
    <w:rsid w:val="2B88437A"/>
    <w:rsid w:val="2B8C6C1E"/>
    <w:rsid w:val="2B9A6A8E"/>
    <w:rsid w:val="2BC67260"/>
    <w:rsid w:val="2BEF7F55"/>
    <w:rsid w:val="2C043A01"/>
    <w:rsid w:val="2C072B97"/>
    <w:rsid w:val="2C08048D"/>
    <w:rsid w:val="2C091017"/>
    <w:rsid w:val="2C167BD8"/>
    <w:rsid w:val="2C1F4CDE"/>
    <w:rsid w:val="2C416A03"/>
    <w:rsid w:val="2C5D5698"/>
    <w:rsid w:val="2C723060"/>
    <w:rsid w:val="2D157E8F"/>
    <w:rsid w:val="2D1A6E14"/>
    <w:rsid w:val="2D236108"/>
    <w:rsid w:val="2D300825"/>
    <w:rsid w:val="2D3447B9"/>
    <w:rsid w:val="2D4B150D"/>
    <w:rsid w:val="2D6D7CCB"/>
    <w:rsid w:val="2D7E65B1"/>
    <w:rsid w:val="2D990AC0"/>
    <w:rsid w:val="2DF61A6F"/>
    <w:rsid w:val="2DF950BB"/>
    <w:rsid w:val="2E3A4112"/>
    <w:rsid w:val="2E4B3B69"/>
    <w:rsid w:val="2E7110F5"/>
    <w:rsid w:val="2EB978A0"/>
    <w:rsid w:val="2ECD0A22"/>
    <w:rsid w:val="2F177EEF"/>
    <w:rsid w:val="2F1F4358"/>
    <w:rsid w:val="2F68495F"/>
    <w:rsid w:val="2F8224FF"/>
    <w:rsid w:val="2FA31782"/>
    <w:rsid w:val="2FD06927"/>
    <w:rsid w:val="2FF26266"/>
    <w:rsid w:val="30032221"/>
    <w:rsid w:val="30321618"/>
    <w:rsid w:val="303926AF"/>
    <w:rsid w:val="30766E97"/>
    <w:rsid w:val="3078676B"/>
    <w:rsid w:val="30A12166"/>
    <w:rsid w:val="30B11715"/>
    <w:rsid w:val="310F618F"/>
    <w:rsid w:val="311B7AE4"/>
    <w:rsid w:val="31717D8A"/>
    <w:rsid w:val="31794E91"/>
    <w:rsid w:val="319F6C38"/>
    <w:rsid w:val="31DD48DC"/>
    <w:rsid w:val="31E247E4"/>
    <w:rsid w:val="32171FB4"/>
    <w:rsid w:val="32333292"/>
    <w:rsid w:val="323E7DF9"/>
    <w:rsid w:val="3240775C"/>
    <w:rsid w:val="325D3DBC"/>
    <w:rsid w:val="32821B23"/>
    <w:rsid w:val="328C29A2"/>
    <w:rsid w:val="32967F1A"/>
    <w:rsid w:val="32BF0A11"/>
    <w:rsid w:val="32C85BAE"/>
    <w:rsid w:val="32E225C2"/>
    <w:rsid w:val="338D4C23"/>
    <w:rsid w:val="33C63C91"/>
    <w:rsid w:val="34086058"/>
    <w:rsid w:val="340F73E6"/>
    <w:rsid w:val="341E3ACD"/>
    <w:rsid w:val="342430FD"/>
    <w:rsid w:val="342F1837"/>
    <w:rsid w:val="342F4E55"/>
    <w:rsid w:val="342F7A89"/>
    <w:rsid w:val="347F27BE"/>
    <w:rsid w:val="34A42225"/>
    <w:rsid w:val="34B1049E"/>
    <w:rsid w:val="34BF2BBB"/>
    <w:rsid w:val="34CE2DFE"/>
    <w:rsid w:val="34EE2F66"/>
    <w:rsid w:val="35074561"/>
    <w:rsid w:val="351C186F"/>
    <w:rsid w:val="351D5B33"/>
    <w:rsid w:val="35352E7D"/>
    <w:rsid w:val="353C245D"/>
    <w:rsid w:val="35564A6A"/>
    <w:rsid w:val="357D781D"/>
    <w:rsid w:val="358160C2"/>
    <w:rsid w:val="358D2CB9"/>
    <w:rsid w:val="359058E2"/>
    <w:rsid w:val="3598340C"/>
    <w:rsid w:val="35E8698A"/>
    <w:rsid w:val="360A7106"/>
    <w:rsid w:val="36421CF5"/>
    <w:rsid w:val="369D7429"/>
    <w:rsid w:val="36DD0212"/>
    <w:rsid w:val="36EA2E0A"/>
    <w:rsid w:val="36EC7EB3"/>
    <w:rsid w:val="374319DB"/>
    <w:rsid w:val="37892BF7"/>
    <w:rsid w:val="37B54749"/>
    <w:rsid w:val="37F45271"/>
    <w:rsid w:val="37F76B0F"/>
    <w:rsid w:val="384D672F"/>
    <w:rsid w:val="385950D4"/>
    <w:rsid w:val="38653A79"/>
    <w:rsid w:val="388F6D48"/>
    <w:rsid w:val="38CD2F41"/>
    <w:rsid w:val="38FA68B7"/>
    <w:rsid w:val="3971469F"/>
    <w:rsid w:val="39BD720A"/>
    <w:rsid w:val="39BF540B"/>
    <w:rsid w:val="39CD3FCC"/>
    <w:rsid w:val="39E41315"/>
    <w:rsid w:val="3A024838"/>
    <w:rsid w:val="3A4F2C33"/>
    <w:rsid w:val="3A553D22"/>
    <w:rsid w:val="3A79380C"/>
    <w:rsid w:val="3A992100"/>
    <w:rsid w:val="3AE94535"/>
    <w:rsid w:val="3B0255C9"/>
    <w:rsid w:val="3B20637D"/>
    <w:rsid w:val="3B381919"/>
    <w:rsid w:val="3B3A5239"/>
    <w:rsid w:val="3B4309FB"/>
    <w:rsid w:val="3B707CFC"/>
    <w:rsid w:val="3B732951"/>
    <w:rsid w:val="3B8561E0"/>
    <w:rsid w:val="3B983780"/>
    <w:rsid w:val="3BBD01F7"/>
    <w:rsid w:val="3BD056AD"/>
    <w:rsid w:val="3BE04476"/>
    <w:rsid w:val="3C101F4E"/>
    <w:rsid w:val="3C4D31A2"/>
    <w:rsid w:val="3C4F6F1A"/>
    <w:rsid w:val="3C77021F"/>
    <w:rsid w:val="3C7C75E3"/>
    <w:rsid w:val="3CE02119"/>
    <w:rsid w:val="3CE60F00"/>
    <w:rsid w:val="3D46730A"/>
    <w:rsid w:val="3D536596"/>
    <w:rsid w:val="3D64137B"/>
    <w:rsid w:val="3D673DEF"/>
    <w:rsid w:val="3D842BF3"/>
    <w:rsid w:val="3DCC6348"/>
    <w:rsid w:val="3DE90CA8"/>
    <w:rsid w:val="3E0041C4"/>
    <w:rsid w:val="3E1321C9"/>
    <w:rsid w:val="3E7D08A4"/>
    <w:rsid w:val="3E81631A"/>
    <w:rsid w:val="3EA80B63"/>
    <w:rsid w:val="3EAD7F28"/>
    <w:rsid w:val="3EB04061"/>
    <w:rsid w:val="3ECD316F"/>
    <w:rsid w:val="3F185CE9"/>
    <w:rsid w:val="3F1F2D1F"/>
    <w:rsid w:val="3F2F4DE1"/>
    <w:rsid w:val="3F4343E8"/>
    <w:rsid w:val="3F544847"/>
    <w:rsid w:val="3FA56E51"/>
    <w:rsid w:val="3FE07E89"/>
    <w:rsid w:val="3FFC1658"/>
    <w:rsid w:val="40307062"/>
    <w:rsid w:val="407C4E5B"/>
    <w:rsid w:val="4084115C"/>
    <w:rsid w:val="408D0011"/>
    <w:rsid w:val="4093314D"/>
    <w:rsid w:val="40AC722A"/>
    <w:rsid w:val="40B64B24"/>
    <w:rsid w:val="40EF6094"/>
    <w:rsid w:val="41004C87"/>
    <w:rsid w:val="410C362B"/>
    <w:rsid w:val="414A7CB0"/>
    <w:rsid w:val="41926ABA"/>
    <w:rsid w:val="41990A1F"/>
    <w:rsid w:val="41A25D3E"/>
    <w:rsid w:val="41A35612"/>
    <w:rsid w:val="41DB1250"/>
    <w:rsid w:val="422B7AE1"/>
    <w:rsid w:val="429733C9"/>
    <w:rsid w:val="42A47894"/>
    <w:rsid w:val="42B84786"/>
    <w:rsid w:val="43065E58"/>
    <w:rsid w:val="432A5FEB"/>
    <w:rsid w:val="432C40E9"/>
    <w:rsid w:val="435C016E"/>
    <w:rsid w:val="43A243DC"/>
    <w:rsid w:val="43CE2E1A"/>
    <w:rsid w:val="43DE2931"/>
    <w:rsid w:val="43E3619A"/>
    <w:rsid w:val="43F279B2"/>
    <w:rsid w:val="440202B5"/>
    <w:rsid w:val="44075516"/>
    <w:rsid w:val="44174342"/>
    <w:rsid w:val="441B3C3E"/>
    <w:rsid w:val="44423B76"/>
    <w:rsid w:val="446224D4"/>
    <w:rsid w:val="446B0669"/>
    <w:rsid w:val="447E086E"/>
    <w:rsid w:val="44EE129A"/>
    <w:rsid w:val="45195461"/>
    <w:rsid w:val="45442C68"/>
    <w:rsid w:val="45580DB1"/>
    <w:rsid w:val="456357E4"/>
    <w:rsid w:val="45C06792"/>
    <w:rsid w:val="45D1274E"/>
    <w:rsid w:val="45F14B9E"/>
    <w:rsid w:val="460F3276"/>
    <w:rsid w:val="463D4287"/>
    <w:rsid w:val="465D2233"/>
    <w:rsid w:val="465F5BA0"/>
    <w:rsid w:val="467018F6"/>
    <w:rsid w:val="467852BF"/>
    <w:rsid w:val="46C71DA3"/>
    <w:rsid w:val="46CB2631"/>
    <w:rsid w:val="46F96400"/>
    <w:rsid w:val="471C36B7"/>
    <w:rsid w:val="472017D7"/>
    <w:rsid w:val="472D60AA"/>
    <w:rsid w:val="474E6F77"/>
    <w:rsid w:val="479223B1"/>
    <w:rsid w:val="47AC3472"/>
    <w:rsid w:val="47CA56A6"/>
    <w:rsid w:val="480004B0"/>
    <w:rsid w:val="480E773E"/>
    <w:rsid w:val="48472E23"/>
    <w:rsid w:val="487A1247"/>
    <w:rsid w:val="48964A89"/>
    <w:rsid w:val="48CA7928"/>
    <w:rsid w:val="48DF5182"/>
    <w:rsid w:val="48EE0CDE"/>
    <w:rsid w:val="48EE1869"/>
    <w:rsid w:val="4929464F"/>
    <w:rsid w:val="49687ECD"/>
    <w:rsid w:val="49BF3909"/>
    <w:rsid w:val="4A11295B"/>
    <w:rsid w:val="4A1C2405"/>
    <w:rsid w:val="4A3600DE"/>
    <w:rsid w:val="4A3835D3"/>
    <w:rsid w:val="4AC05487"/>
    <w:rsid w:val="4AC9433B"/>
    <w:rsid w:val="4ACA1E61"/>
    <w:rsid w:val="4AF55130"/>
    <w:rsid w:val="4B217CD3"/>
    <w:rsid w:val="4B280858"/>
    <w:rsid w:val="4B775B45"/>
    <w:rsid w:val="4B851076"/>
    <w:rsid w:val="4BB54638"/>
    <w:rsid w:val="4BB9615E"/>
    <w:rsid w:val="4BE8259F"/>
    <w:rsid w:val="4C1635B0"/>
    <w:rsid w:val="4C1930A0"/>
    <w:rsid w:val="4C371778"/>
    <w:rsid w:val="4C3B4DC5"/>
    <w:rsid w:val="4C3E2B07"/>
    <w:rsid w:val="4C7A2888"/>
    <w:rsid w:val="4CAA1F4A"/>
    <w:rsid w:val="4CC2475B"/>
    <w:rsid w:val="4CCD100D"/>
    <w:rsid w:val="4CF5766A"/>
    <w:rsid w:val="4D292E6F"/>
    <w:rsid w:val="4D3F2693"/>
    <w:rsid w:val="4D93478D"/>
    <w:rsid w:val="4DE33966"/>
    <w:rsid w:val="4DED6593"/>
    <w:rsid w:val="4E03013F"/>
    <w:rsid w:val="4E094A4F"/>
    <w:rsid w:val="4E0E2C9E"/>
    <w:rsid w:val="4E1A4EAE"/>
    <w:rsid w:val="4E4361B3"/>
    <w:rsid w:val="4E7D5132"/>
    <w:rsid w:val="4F0F3BC7"/>
    <w:rsid w:val="4F275784"/>
    <w:rsid w:val="4F951821"/>
    <w:rsid w:val="4FB8497E"/>
    <w:rsid w:val="4FDE2637"/>
    <w:rsid w:val="4FF14F52"/>
    <w:rsid w:val="501E2A33"/>
    <w:rsid w:val="5051105B"/>
    <w:rsid w:val="50823FE4"/>
    <w:rsid w:val="50891702"/>
    <w:rsid w:val="50AA5AE5"/>
    <w:rsid w:val="50BE2890"/>
    <w:rsid w:val="50C3182D"/>
    <w:rsid w:val="50CA639A"/>
    <w:rsid w:val="50E579F5"/>
    <w:rsid w:val="50EE4AFC"/>
    <w:rsid w:val="5109556C"/>
    <w:rsid w:val="510B273E"/>
    <w:rsid w:val="51134562"/>
    <w:rsid w:val="512D6CA6"/>
    <w:rsid w:val="51782F8F"/>
    <w:rsid w:val="51CC2205"/>
    <w:rsid w:val="51D6733E"/>
    <w:rsid w:val="51E207B2"/>
    <w:rsid w:val="520E4D2A"/>
    <w:rsid w:val="52112380"/>
    <w:rsid w:val="521F2241"/>
    <w:rsid w:val="522843DB"/>
    <w:rsid w:val="526A01B2"/>
    <w:rsid w:val="527032EE"/>
    <w:rsid w:val="52720E14"/>
    <w:rsid w:val="527728CF"/>
    <w:rsid w:val="527A4A5C"/>
    <w:rsid w:val="527B6C5E"/>
    <w:rsid w:val="528F7C18"/>
    <w:rsid w:val="52D970E6"/>
    <w:rsid w:val="52F34726"/>
    <w:rsid w:val="53537FC2"/>
    <w:rsid w:val="539D45B7"/>
    <w:rsid w:val="53A82A96"/>
    <w:rsid w:val="53AB0A82"/>
    <w:rsid w:val="53C733E2"/>
    <w:rsid w:val="53E47AF0"/>
    <w:rsid w:val="53EF692F"/>
    <w:rsid w:val="53FD32A8"/>
    <w:rsid w:val="540202F6"/>
    <w:rsid w:val="541C372E"/>
    <w:rsid w:val="54275A1C"/>
    <w:rsid w:val="54280325"/>
    <w:rsid w:val="544B7B6F"/>
    <w:rsid w:val="546E7D01"/>
    <w:rsid w:val="54AB4AB2"/>
    <w:rsid w:val="54BB2F47"/>
    <w:rsid w:val="54E502EA"/>
    <w:rsid w:val="550348EE"/>
    <w:rsid w:val="550D3076"/>
    <w:rsid w:val="555A6A0D"/>
    <w:rsid w:val="5572737D"/>
    <w:rsid w:val="55741347"/>
    <w:rsid w:val="55761AF8"/>
    <w:rsid w:val="557650C0"/>
    <w:rsid w:val="55C022BA"/>
    <w:rsid w:val="56021E2A"/>
    <w:rsid w:val="56170442"/>
    <w:rsid w:val="561D378D"/>
    <w:rsid w:val="56332FB1"/>
    <w:rsid w:val="564A59A1"/>
    <w:rsid w:val="56723AD9"/>
    <w:rsid w:val="56737851"/>
    <w:rsid w:val="56A47A0A"/>
    <w:rsid w:val="56C82D84"/>
    <w:rsid w:val="56CB0031"/>
    <w:rsid w:val="56EF6ED8"/>
    <w:rsid w:val="570861EB"/>
    <w:rsid w:val="57720BDE"/>
    <w:rsid w:val="579350E8"/>
    <w:rsid w:val="57962938"/>
    <w:rsid w:val="579A2E45"/>
    <w:rsid w:val="57AA2DFF"/>
    <w:rsid w:val="57AB52CC"/>
    <w:rsid w:val="57D1482F"/>
    <w:rsid w:val="57D73EBE"/>
    <w:rsid w:val="57E83927"/>
    <w:rsid w:val="57EF1159"/>
    <w:rsid w:val="581B34E3"/>
    <w:rsid w:val="58603ED0"/>
    <w:rsid w:val="586236D9"/>
    <w:rsid w:val="586D09FC"/>
    <w:rsid w:val="58782EFD"/>
    <w:rsid w:val="58847AF3"/>
    <w:rsid w:val="5895022E"/>
    <w:rsid w:val="58CD4FF7"/>
    <w:rsid w:val="58DC280B"/>
    <w:rsid w:val="594159E5"/>
    <w:rsid w:val="59442E81"/>
    <w:rsid w:val="596C0CB3"/>
    <w:rsid w:val="59914276"/>
    <w:rsid w:val="59B81AE9"/>
    <w:rsid w:val="59D10B16"/>
    <w:rsid w:val="5A492DA3"/>
    <w:rsid w:val="5A506D7F"/>
    <w:rsid w:val="5A6220B6"/>
    <w:rsid w:val="5A70032F"/>
    <w:rsid w:val="5A785436"/>
    <w:rsid w:val="5AA004E9"/>
    <w:rsid w:val="5AD65B96"/>
    <w:rsid w:val="5B4E0CD7"/>
    <w:rsid w:val="5B73443F"/>
    <w:rsid w:val="5B8B15E4"/>
    <w:rsid w:val="5BBA2B18"/>
    <w:rsid w:val="5C180C7F"/>
    <w:rsid w:val="5C682F21"/>
    <w:rsid w:val="5C814A76"/>
    <w:rsid w:val="5CAF2C65"/>
    <w:rsid w:val="5CB32755"/>
    <w:rsid w:val="5D30024A"/>
    <w:rsid w:val="5D3E2967"/>
    <w:rsid w:val="5D443CF5"/>
    <w:rsid w:val="5D600603"/>
    <w:rsid w:val="5D79574D"/>
    <w:rsid w:val="5D881E34"/>
    <w:rsid w:val="5DBC1ADE"/>
    <w:rsid w:val="5DD07337"/>
    <w:rsid w:val="5DEC23C3"/>
    <w:rsid w:val="5E021BE6"/>
    <w:rsid w:val="5E196F30"/>
    <w:rsid w:val="5E253D03"/>
    <w:rsid w:val="5E2B00B3"/>
    <w:rsid w:val="5E783C56"/>
    <w:rsid w:val="5E7E0E34"/>
    <w:rsid w:val="5EAA3281"/>
    <w:rsid w:val="5EC46E9C"/>
    <w:rsid w:val="5EEC01A1"/>
    <w:rsid w:val="5EEC02AA"/>
    <w:rsid w:val="5EF84D97"/>
    <w:rsid w:val="5F0E1A83"/>
    <w:rsid w:val="5F0E45BB"/>
    <w:rsid w:val="5F116F6F"/>
    <w:rsid w:val="5F1D035A"/>
    <w:rsid w:val="5F327536"/>
    <w:rsid w:val="5FAF0929"/>
    <w:rsid w:val="5FC829BC"/>
    <w:rsid w:val="5FD255E8"/>
    <w:rsid w:val="60402552"/>
    <w:rsid w:val="606423E2"/>
    <w:rsid w:val="60BB13E0"/>
    <w:rsid w:val="60D3786A"/>
    <w:rsid w:val="60E750C3"/>
    <w:rsid w:val="610E7B5A"/>
    <w:rsid w:val="614E0843"/>
    <w:rsid w:val="617701F5"/>
    <w:rsid w:val="619D39D4"/>
    <w:rsid w:val="61C3168D"/>
    <w:rsid w:val="61FC06FB"/>
    <w:rsid w:val="620307DC"/>
    <w:rsid w:val="62257006"/>
    <w:rsid w:val="622A170C"/>
    <w:rsid w:val="622D2FAA"/>
    <w:rsid w:val="623460E6"/>
    <w:rsid w:val="6256605D"/>
    <w:rsid w:val="629848C7"/>
    <w:rsid w:val="62B62F9F"/>
    <w:rsid w:val="62C872A0"/>
    <w:rsid w:val="62E96ED1"/>
    <w:rsid w:val="630C09CE"/>
    <w:rsid w:val="635314A0"/>
    <w:rsid w:val="636522D0"/>
    <w:rsid w:val="642E1C1D"/>
    <w:rsid w:val="64472F0D"/>
    <w:rsid w:val="645C18B4"/>
    <w:rsid w:val="64634A61"/>
    <w:rsid w:val="648F1CFA"/>
    <w:rsid w:val="64947318"/>
    <w:rsid w:val="64A746CF"/>
    <w:rsid w:val="64BB2CCB"/>
    <w:rsid w:val="64E9765C"/>
    <w:rsid w:val="65077A9C"/>
    <w:rsid w:val="653B3C30"/>
    <w:rsid w:val="654051B0"/>
    <w:rsid w:val="656E190F"/>
    <w:rsid w:val="65766C11"/>
    <w:rsid w:val="65982E30"/>
    <w:rsid w:val="65B21107"/>
    <w:rsid w:val="65B64408"/>
    <w:rsid w:val="66285F62"/>
    <w:rsid w:val="663A3EE7"/>
    <w:rsid w:val="66565B74"/>
    <w:rsid w:val="665A1E94"/>
    <w:rsid w:val="6679092A"/>
    <w:rsid w:val="66860EDB"/>
    <w:rsid w:val="66D659BE"/>
    <w:rsid w:val="66EF6A80"/>
    <w:rsid w:val="675863D3"/>
    <w:rsid w:val="67784CC7"/>
    <w:rsid w:val="6780592A"/>
    <w:rsid w:val="67C577E1"/>
    <w:rsid w:val="67F65BEC"/>
    <w:rsid w:val="68182006"/>
    <w:rsid w:val="681A41A8"/>
    <w:rsid w:val="68314A6E"/>
    <w:rsid w:val="68A33FC6"/>
    <w:rsid w:val="68B47F81"/>
    <w:rsid w:val="68FD36D6"/>
    <w:rsid w:val="6953779A"/>
    <w:rsid w:val="69733998"/>
    <w:rsid w:val="697605E7"/>
    <w:rsid w:val="69785E89"/>
    <w:rsid w:val="69A51678"/>
    <w:rsid w:val="69EA392E"/>
    <w:rsid w:val="6A1011E7"/>
    <w:rsid w:val="6A1743C4"/>
    <w:rsid w:val="6A777797"/>
    <w:rsid w:val="6A90057A"/>
    <w:rsid w:val="6AD2649C"/>
    <w:rsid w:val="6AE6019A"/>
    <w:rsid w:val="6AF06C9C"/>
    <w:rsid w:val="6B064398"/>
    <w:rsid w:val="6B234F4A"/>
    <w:rsid w:val="6B290F6C"/>
    <w:rsid w:val="6B480E55"/>
    <w:rsid w:val="6BC8655A"/>
    <w:rsid w:val="6BDA5F51"/>
    <w:rsid w:val="6BDE55F4"/>
    <w:rsid w:val="6BEC17E0"/>
    <w:rsid w:val="6BF7178C"/>
    <w:rsid w:val="6C0905E4"/>
    <w:rsid w:val="6C0A7229"/>
    <w:rsid w:val="6C2076DB"/>
    <w:rsid w:val="6C3B104D"/>
    <w:rsid w:val="6CA16A6E"/>
    <w:rsid w:val="6CA83959"/>
    <w:rsid w:val="6D064B23"/>
    <w:rsid w:val="6D21370B"/>
    <w:rsid w:val="6D2356D5"/>
    <w:rsid w:val="6D2F7BD6"/>
    <w:rsid w:val="6D631F76"/>
    <w:rsid w:val="6D6A35D3"/>
    <w:rsid w:val="6DAC5479"/>
    <w:rsid w:val="6DCA3DA3"/>
    <w:rsid w:val="6DE141EA"/>
    <w:rsid w:val="6DE313AF"/>
    <w:rsid w:val="6DF21A63"/>
    <w:rsid w:val="6DFC690B"/>
    <w:rsid w:val="6E080427"/>
    <w:rsid w:val="6E0B60F9"/>
    <w:rsid w:val="6E4678CD"/>
    <w:rsid w:val="6E683553"/>
    <w:rsid w:val="6E6B2E90"/>
    <w:rsid w:val="6E9E14B7"/>
    <w:rsid w:val="6F2474E3"/>
    <w:rsid w:val="6F5002D8"/>
    <w:rsid w:val="6F685621"/>
    <w:rsid w:val="70055B74"/>
    <w:rsid w:val="70194B6E"/>
    <w:rsid w:val="70207CAA"/>
    <w:rsid w:val="702F5F5D"/>
    <w:rsid w:val="70576D06"/>
    <w:rsid w:val="70645DE9"/>
    <w:rsid w:val="70741DA4"/>
    <w:rsid w:val="7085106F"/>
    <w:rsid w:val="70A53B24"/>
    <w:rsid w:val="70BF77A4"/>
    <w:rsid w:val="70C745CA"/>
    <w:rsid w:val="70E1568B"/>
    <w:rsid w:val="70F95501"/>
    <w:rsid w:val="71170BBD"/>
    <w:rsid w:val="711A294B"/>
    <w:rsid w:val="711C3D8D"/>
    <w:rsid w:val="71205048"/>
    <w:rsid w:val="7120747E"/>
    <w:rsid w:val="71447F59"/>
    <w:rsid w:val="71463740"/>
    <w:rsid w:val="717604C9"/>
    <w:rsid w:val="71B861C7"/>
    <w:rsid w:val="71DC5E53"/>
    <w:rsid w:val="71FE401B"/>
    <w:rsid w:val="720F7FD6"/>
    <w:rsid w:val="72293A11"/>
    <w:rsid w:val="722A12B4"/>
    <w:rsid w:val="723C11B9"/>
    <w:rsid w:val="723D2D95"/>
    <w:rsid w:val="72750781"/>
    <w:rsid w:val="72811F2E"/>
    <w:rsid w:val="72F90F81"/>
    <w:rsid w:val="731358A4"/>
    <w:rsid w:val="731B193D"/>
    <w:rsid w:val="7336272A"/>
    <w:rsid w:val="7373043F"/>
    <w:rsid w:val="73832A2A"/>
    <w:rsid w:val="738546F7"/>
    <w:rsid w:val="738844E4"/>
    <w:rsid w:val="73B250BD"/>
    <w:rsid w:val="73C179F6"/>
    <w:rsid w:val="73F25E01"/>
    <w:rsid w:val="743835D6"/>
    <w:rsid w:val="744907E0"/>
    <w:rsid w:val="74493830"/>
    <w:rsid w:val="74531E61"/>
    <w:rsid w:val="749018A2"/>
    <w:rsid w:val="749F1F3F"/>
    <w:rsid w:val="74BF1934"/>
    <w:rsid w:val="74D361B6"/>
    <w:rsid w:val="74F841F7"/>
    <w:rsid w:val="750E5132"/>
    <w:rsid w:val="751A5610"/>
    <w:rsid w:val="753A78D4"/>
    <w:rsid w:val="753B10E2"/>
    <w:rsid w:val="75610B49"/>
    <w:rsid w:val="757E794D"/>
    <w:rsid w:val="758D193E"/>
    <w:rsid w:val="75937C94"/>
    <w:rsid w:val="75C17839"/>
    <w:rsid w:val="75CB690A"/>
    <w:rsid w:val="7610431D"/>
    <w:rsid w:val="76225B14"/>
    <w:rsid w:val="76911902"/>
    <w:rsid w:val="769A6A08"/>
    <w:rsid w:val="76AC673B"/>
    <w:rsid w:val="76BD3E54"/>
    <w:rsid w:val="76E25CB9"/>
    <w:rsid w:val="77882D05"/>
    <w:rsid w:val="77A80CB1"/>
    <w:rsid w:val="77FC0FFD"/>
    <w:rsid w:val="77FC724F"/>
    <w:rsid w:val="780D320A"/>
    <w:rsid w:val="7826607A"/>
    <w:rsid w:val="7840713B"/>
    <w:rsid w:val="784F32C8"/>
    <w:rsid w:val="785E5813"/>
    <w:rsid w:val="7895074B"/>
    <w:rsid w:val="78BC253A"/>
    <w:rsid w:val="78CB12BA"/>
    <w:rsid w:val="78E55F35"/>
    <w:rsid w:val="79080CD5"/>
    <w:rsid w:val="79773031"/>
    <w:rsid w:val="79A16D4A"/>
    <w:rsid w:val="79AE27CB"/>
    <w:rsid w:val="79BF0C4D"/>
    <w:rsid w:val="79E024BB"/>
    <w:rsid w:val="79E24222"/>
    <w:rsid w:val="79EB058C"/>
    <w:rsid w:val="79F26B1E"/>
    <w:rsid w:val="7A0C212D"/>
    <w:rsid w:val="7A725B85"/>
    <w:rsid w:val="7AB160CE"/>
    <w:rsid w:val="7AB43E11"/>
    <w:rsid w:val="7AD16771"/>
    <w:rsid w:val="7B2C33A7"/>
    <w:rsid w:val="7B3665D4"/>
    <w:rsid w:val="7B62386D"/>
    <w:rsid w:val="7B810F79"/>
    <w:rsid w:val="7BA43E85"/>
    <w:rsid w:val="7BD04C7A"/>
    <w:rsid w:val="7BF943A3"/>
    <w:rsid w:val="7C4336F5"/>
    <w:rsid w:val="7CA83501"/>
    <w:rsid w:val="7D1379BF"/>
    <w:rsid w:val="7D1666BD"/>
    <w:rsid w:val="7D250207"/>
    <w:rsid w:val="7D5D253D"/>
    <w:rsid w:val="7D7A6EE7"/>
    <w:rsid w:val="7DE844FD"/>
    <w:rsid w:val="7DFC50DA"/>
    <w:rsid w:val="7E046E5D"/>
    <w:rsid w:val="7E1D2F93"/>
    <w:rsid w:val="7E2C5F0E"/>
    <w:rsid w:val="7E311300"/>
    <w:rsid w:val="7E3C2153"/>
    <w:rsid w:val="7E527BC8"/>
    <w:rsid w:val="7E94162E"/>
    <w:rsid w:val="7EB919F5"/>
    <w:rsid w:val="7ED20D09"/>
    <w:rsid w:val="7EE66563"/>
    <w:rsid w:val="7EEC75FD"/>
    <w:rsid w:val="7F1906E6"/>
    <w:rsid w:val="7F19385A"/>
    <w:rsid w:val="7F3B68AE"/>
    <w:rsid w:val="7F533BF8"/>
    <w:rsid w:val="7F587460"/>
    <w:rsid w:val="7F604567"/>
    <w:rsid w:val="7F6556D9"/>
    <w:rsid w:val="7F8042C1"/>
    <w:rsid w:val="7F920D11"/>
    <w:rsid w:val="7FCB7C32"/>
    <w:rsid w:val="7FDA1D9D"/>
    <w:rsid w:val="7FDD5B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qFormat="1"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5"/>
    <w:qFormat/>
    <w:uiPriority w:val="9"/>
    <w:pPr>
      <w:keepNext/>
      <w:keepLines/>
      <w:tabs>
        <w:tab w:val="left" w:pos="840"/>
      </w:tabs>
      <w:adjustRightInd w:val="0"/>
      <w:snapToGrid w:val="0"/>
      <w:spacing w:line="360" w:lineRule="auto"/>
      <w:outlineLvl w:val="0"/>
    </w:pPr>
    <w:rPr>
      <w:rFonts w:ascii="宋体"/>
      <w:b/>
      <w:kern w:val="44"/>
      <w:sz w:val="24"/>
      <w:szCs w:val="20"/>
    </w:rPr>
  </w:style>
  <w:style w:type="paragraph" w:styleId="7">
    <w:name w:val="heading 2"/>
    <w:basedOn w:val="1"/>
    <w:next w:val="1"/>
    <w:qFormat/>
    <w:uiPriority w:val="9"/>
    <w:pPr>
      <w:keepNext/>
      <w:keepLines/>
      <w:spacing w:before="260" w:after="260" w:line="412" w:lineRule="auto"/>
      <w:outlineLvl w:val="1"/>
    </w:pPr>
    <w:rPr>
      <w:rFonts w:ascii="Arial" w:hAnsi="Arial" w:eastAsia="黑体"/>
      <w:b/>
      <w:bCs/>
      <w:sz w:val="32"/>
      <w:szCs w:val="32"/>
    </w:rPr>
  </w:style>
  <w:style w:type="paragraph" w:styleId="8">
    <w:name w:val="heading 3"/>
    <w:basedOn w:val="1"/>
    <w:next w:val="1"/>
    <w:qFormat/>
    <w:uiPriority w:val="0"/>
    <w:pPr>
      <w:keepNext/>
      <w:keepLines/>
      <w:spacing w:before="260" w:after="260" w:line="412" w:lineRule="auto"/>
      <w:outlineLvl w:val="2"/>
    </w:pPr>
    <w:rPr>
      <w:b/>
      <w:bCs/>
      <w:sz w:val="32"/>
      <w:szCs w:val="32"/>
    </w:rPr>
  </w:style>
  <w:style w:type="paragraph" w:styleId="9">
    <w:name w:val="heading 4"/>
    <w:basedOn w:val="1"/>
    <w:next w:val="5"/>
    <w:qFormat/>
    <w:uiPriority w:val="0"/>
    <w:pPr>
      <w:keepNext/>
      <w:keepLines/>
      <w:tabs>
        <w:tab w:val="left" w:pos="864"/>
      </w:tabs>
      <w:ind w:left="864" w:hanging="864"/>
      <w:outlineLvl w:val="3"/>
    </w:pPr>
    <w:rPr>
      <w:rFonts w:ascii="Arial" w:hAnsi="Arial" w:eastAsia="Times New Roman"/>
      <w:b/>
      <w:bCs/>
      <w:sz w:val="28"/>
      <w:szCs w:val="28"/>
    </w:rPr>
  </w:style>
  <w:style w:type="paragraph" w:styleId="10">
    <w:name w:val="heading 5"/>
    <w:basedOn w:val="1"/>
    <w:next w:val="5"/>
    <w:qFormat/>
    <w:uiPriority w:val="0"/>
    <w:pPr>
      <w:keepNext/>
      <w:keepLines/>
      <w:tabs>
        <w:tab w:val="left" w:pos="567"/>
      </w:tabs>
      <w:ind w:left="567" w:hanging="567"/>
      <w:outlineLvl w:val="4"/>
    </w:pPr>
    <w:rPr>
      <w:b/>
      <w:bCs/>
      <w:sz w:val="28"/>
      <w:szCs w:val="28"/>
    </w:rPr>
  </w:style>
  <w:style w:type="paragraph" w:styleId="11">
    <w:name w:val="heading 6"/>
    <w:basedOn w:val="1"/>
    <w:next w:val="5"/>
    <w:qFormat/>
    <w:uiPriority w:val="0"/>
    <w:pPr>
      <w:keepNext/>
      <w:keepLines/>
      <w:tabs>
        <w:tab w:val="left" w:pos="851"/>
      </w:tabs>
      <w:spacing w:before="240" w:after="64" w:line="319" w:lineRule="auto"/>
      <w:ind w:left="851" w:hanging="851"/>
      <w:outlineLvl w:val="5"/>
    </w:pPr>
    <w:rPr>
      <w:rFonts w:ascii="Arial" w:hAnsi="Arial" w:eastAsia="黑体"/>
      <w:b/>
      <w:bCs/>
      <w:sz w:val="24"/>
    </w:rPr>
  </w:style>
  <w:style w:type="paragraph" w:styleId="12">
    <w:name w:val="heading 7"/>
    <w:basedOn w:val="1"/>
    <w:next w:val="5"/>
    <w:qFormat/>
    <w:uiPriority w:val="0"/>
    <w:pPr>
      <w:keepNext/>
      <w:keepLines/>
      <w:tabs>
        <w:tab w:val="left" w:pos="1296"/>
      </w:tabs>
      <w:spacing w:before="240" w:after="64" w:line="319" w:lineRule="auto"/>
      <w:ind w:left="1296" w:hanging="1296"/>
      <w:outlineLvl w:val="6"/>
    </w:pPr>
    <w:rPr>
      <w:rFonts w:eastAsia="仿宋_GB2312"/>
      <w:b/>
      <w:bCs/>
      <w:sz w:val="24"/>
    </w:rPr>
  </w:style>
  <w:style w:type="paragraph" w:styleId="13">
    <w:name w:val="heading 8"/>
    <w:basedOn w:val="1"/>
    <w:next w:val="1"/>
    <w:qFormat/>
    <w:uiPriority w:val="0"/>
    <w:pPr>
      <w:keepNext/>
      <w:keepLines/>
      <w:tabs>
        <w:tab w:val="left" w:pos="1440"/>
      </w:tabs>
      <w:spacing w:before="240" w:after="64" w:line="319" w:lineRule="auto"/>
      <w:ind w:left="1440" w:hanging="1440"/>
      <w:outlineLvl w:val="7"/>
    </w:pPr>
    <w:rPr>
      <w:rFonts w:ascii="Arial" w:hAnsi="Arial" w:eastAsia="黑体"/>
      <w:sz w:val="24"/>
    </w:rPr>
  </w:style>
  <w:style w:type="paragraph" w:styleId="14">
    <w:name w:val="heading 9"/>
    <w:basedOn w:val="1"/>
    <w:next w:val="1"/>
    <w:qFormat/>
    <w:uiPriority w:val="0"/>
    <w:pPr>
      <w:keepNext/>
      <w:keepLines/>
      <w:tabs>
        <w:tab w:val="left" w:pos="1584"/>
      </w:tabs>
      <w:spacing w:before="240" w:after="64" w:line="319" w:lineRule="auto"/>
      <w:ind w:left="1584" w:hanging="1584"/>
      <w:outlineLvl w:val="8"/>
    </w:pPr>
    <w:rPr>
      <w:rFonts w:ascii="Arial" w:hAnsi="Arial" w:eastAsia="黑体"/>
      <w:szCs w:val="21"/>
    </w:rPr>
  </w:style>
  <w:style w:type="character" w:default="1" w:styleId="52">
    <w:name w:val="Default Paragraph Font"/>
    <w:semiHidden/>
    <w:unhideWhenUsed/>
    <w:qFormat/>
    <w:uiPriority w:val="1"/>
  </w:style>
  <w:style w:type="table" w:default="1" w:styleId="50">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spacing w:after="120"/>
    </w:pPr>
  </w:style>
  <w:style w:type="paragraph" w:styleId="3">
    <w:name w:val="Body Text First Indent"/>
    <w:basedOn w:val="2"/>
    <w:qFormat/>
    <w:uiPriority w:val="0"/>
    <w:pPr>
      <w:ind w:firstLine="100" w:firstLineChars="100"/>
    </w:pPr>
  </w:style>
  <w:style w:type="paragraph" w:customStyle="1" w:styleId="5">
    <w:name w:val="模板正文"/>
    <w:basedOn w:val="6"/>
    <w:next w:val="2"/>
    <w:qFormat/>
    <w:uiPriority w:val="0"/>
    <w:pPr>
      <w:wordWrap w:val="0"/>
      <w:spacing w:before="163" w:after="163"/>
      <w:ind w:firstLine="480"/>
    </w:pPr>
    <w:rPr>
      <w:kern w:val="0"/>
    </w:rPr>
  </w:style>
  <w:style w:type="paragraph" w:customStyle="1" w:styleId="6">
    <w:name w:val="标书正文"/>
    <w:basedOn w:val="1"/>
    <w:qFormat/>
    <w:uiPriority w:val="0"/>
    <w:pPr>
      <w:adjustRightInd w:val="0"/>
      <w:snapToGrid w:val="0"/>
      <w:spacing w:before="50" w:beforeLines="50" w:after="50" w:afterLines="50" w:line="360" w:lineRule="auto"/>
      <w:ind w:firstLine="200" w:firstLineChars="200"/>
    </w:pPr>
    <w:rPr>
      <w:rFonts w:ascii="Calibri" w:hAnsi="Calibri"/>
      <w:szCs w:val="21"/>
    </w:rPr>
  </w:style>
  <w:style w:type="paragraph" w:styleId="15">
    <w:name w:val="toc 7"/>
    <w:basedOn w:val="1"/>
    <w:next w:val="1"/>
    <w:qFormat/>
    <w:uiPriority w:val="0"/>
    <w:pPr>
      <w:ind w:left="1260"/>
      <w:jc w:val="left"/>
    </w:pPr>
    <w:rPr>
      <w:sz w:val="18"/>
      <w:szCs w:val="18"/>
    </w:rPr>
  </w:style>
  <w:style w:type="paragraph" w:styleId="16">
    <w:name w:val="Normal Indent"/>
    <w:basedOn w:val="1"/>
    <w:qFormat/>
    <w:uiPriority w:val="0"/>
    <w:pPr>
      <w:adjustRightInd w:val="0"/>
      <w:spacing w:line="312" w:lineRule="atLeast"/>
      <w:ind w:firstLine="420"/>
      <w:textAlignment w:val="baseline"/>
    </w:pPr>
  </w:style>
  <w:style w:type="paragraph" w:styleId="17">
    <w:name w:val="caption"/>
    <w:basedOn w:val="5"/>
    <w:next w:val="1"/>
    <w:qFormat/>
    <w:uiPriority w:val="0"/>
    <w:pPr>
      <w:spacing w:beforeLines="0"/>
      <w:ind w:firstLine="0" w:firstLineChars="0"/>
      <w:jc w:val="center"/>
    </w:pPr>
    <w:rPr>
      <w:rFonts w:ascii="宋体" w:hAnsi="宋体" w:eastAsia="黑体"/>
      <w:b/>
      <w:sz w:val="20"/>
    </w:rPr>
  </w:style>
  <w:style w:type="paragraph" w:styleId="18">
    <w:name w:val="index 5"/>
    <w:basedOn w:val="1"/>
    <w:next w:val="1"/>
    <w:qFormat/>
    <w:uiPriority w:val="0"/>
    <w:pPr>
      <w:ind w:left="1680"/>
    </w:pPr>
    <w:rPr>
      <w:rFonts w:ascii="黑体" w:hAnsi="Calibri" w:eastAsia="黑体" w:cs="Arial"/>
      <w:sz w:val="32"/>
      <w:szCs w:val="32"/>
    </w:rPr>
  </w:style>
  <w:style w:type="paragraph" w:styleId="19">
    <w:name w:val="List Bullet"/>
    <w:qFormat/>
    <w:uiPriority w:val="0"/>
    <w:pPr>
      <w:tabs>
        <w:tab w:val="left" w:pos="420"/>
      </w:tabs>
      <w:spacing w:before="156" w:after="156" w:line="300" w:lineRule="auto"/>
      <w:ind w:left="420" w:hanging="420"/>
    </w:pPr>
    <w:rPr>
      <w:rFonts w:ascii="Arial" w:hAnsi="Arial" w:eastAsia="宋体" w:cs="Times New Roman"/>
      <w:kern w:val="24"/>
      <w:sz w:val="24"/>
      <w:szCs w:val="24"/>
      <w:lang w:val="en-US" w:eastAsia="zh-CN" w:bidi="ar-SA"/>
    </w:rPr>
  </w:style>
  <w:style w:type="paragraph" w:styleId="20">
    <w:name w:val="Document Map"/>
    <w:basedOn w:val="1"/>
    <w:qFormat/>
    <w:uiPriority w:val="0"/>
    <w:pPr>
      <w:shd w:val="clear" w:color="auto" w:fill="000080"/>
    </w:pPr>
  </w:style>
  <w:style w:type="paragraph" w:styleId="21">
    <w:name w:val="annotation text"/>
    <w:basedOn w:val="1"/>
    <w:qFormat/>
    <w:uiPriority w:val="0"/>
    <w:pPr>
      <w:jc w:val="left"/>
    </w:pPr>
  </w:style>
  <w:style w:type="paragraph" w:styleId="22">
    <w:name w:val="Body Text 3"/>
    <w:basedOn w:val="1"/>
    <w:qFormat/>
    <w:uiPriority w:val="0"/>
    <w:pPr>
      <w:jc w:val="center"/>
    </w:pPr>
    <w:rPr>
      <w:szCs w:val="20"/>
    </w:rPr>
  </w:style>
  <w:style w:type="paragraph" w:styleId="23">
    <w:name w:val="Body Text Indent"/>
    <w:basedOn w:val="1"/>
    <w:next w:val="1"/>
    <w:qFormat/>
    <w:uiPriority w:val="0"/>
    <w:pPr>
      <w:ind w:left="200" w:hanging="200" w:hangingChars="200"/>
    </w:pPr>
    <w:rPr>
      <w:sz w:val="24"/>
    </w:rPr>
  </w:style>
  <w:style w:type="paragraph" w:styleId="24">
    <w:name w:val="Block Text"/>
    <w:basedOn w:val="1"/>
    <w:qFormat/>
    <w:uiPriority w:val="0"/>
    <w:pPr>
      <w:spacing w:line="300" w:lineRule="exact"/>
      <w:ind w:left="43" w:leftChars="43" w:right="12" w:rightChars="12" w:firstLine="200" w:firstLineChars="200"/>
    </w:pPr>
    <w:rPr>
      <w:rFonts w:ascii="仿宋_GB2312" w:eastAsia="仿宋_GB2312"/>
      <w:sz w:val="24"/>
    </w:rPr>
  </w:style>
  <w:style w:type="paragraph" w:styleId="25">
    <w:name w:val="List Bullet 2"/>
    <w:basedOn w:val="1"/>
    <w:qFormat/>
    <w:uiPriority w:val="0"/>
    <w:pPr>
      <w:tabs>
        <w:tab w:val="left" w:pos="780"/>
      </w:tabs>
      <w:ind w:left="780" w:hanging="360"/>
    </w:pPr>
    <w:rPr>
      <w:szCs w:val="20"/>
    </w:rPr>
  </w:style>
  <w:style w:type="paragraph" w:styleId="26">
    <w:name w:val="toc 5"/>
    <w:basedOn w:val="1"/>
    <w:next w:val="1"/>
    <w:qFormat/>
    <w:uiPriority w:val="0"/>
    <w:pPr>
      <w:ind w:left="840"/>
      <w:jc w:val="left"/>
    </w:pPr>
    <w:rPr>
      <w:sz w:val="18"/>
      <w:szCs w:val="18"/>
    </w:rPr>
  </w:style>
  <w:style w:type="paragraph" w:styleId="27">
    <w:name w:val="toc 3"/>
    <w:basedOn w:val="1"/>
    <w:next w:val="1"/>
    <w:qFormat/>
    <w:uiPriority w:val="0"/>
    <w:pPr>
      <w:ind w:left="420"/>
      <w:jc w:val="left"/>
    </w:pPr>
    <w:rPr>
      <w:i/>
      <w:iCs/>
      <w:sz w:val="20"/>
      <w:szCs w:val="20"/>
    </w:rPr>
  </w:style>
  <w:style w:type="paragraph" w:styleId="28">
    <w:name w:val="Plain Text"/>
    <w:basedOn w:val="1"/>
    <w:next w:val="1"/>
    <w:qFormat/>
    <w:uiPriority w:val="0"/>
    <w:pPr>
      <w:widowControl/>
      <w:overflowPunct w:val="0"/>
      <w:autoSpaceDE w:val="0"/>
      <w:autoSpaceDN w:val="0"/>
      <w:adjustRightInd w:val="0"/>
      <w:jc w:val="left"/>
      <w:textAlignment w:val="baseline"/>
    </w:pPr>
    <w:rPr>
      <w:rFonts w:ascii="宋体"/>
      <w:szCs w:val="21"/>
    </w:rPr>
  </w:style>
  <w:style w:type="paragraph" w:styleId="29">
    <w:name w:val="toc 8"/>
    <w:basedOn w:val="1"/>
    <w:next w:val="1"/>
    <w:qFormat/>
    <w:uiPriority w:val="0"/>
    <w:pPr>
      <w:ind w:left="1470"/>
      <w:jc w:val="left"/>
    </w:pPr>
    <w:rPr>
      <w:sz w:val="18"/>
      <w:szCs w:val="18"/>
    </w:rPr>
  </w:style>
  <w:style w:type="paragraph" w:styleId="30">
    <w:name w:val="Date"/>
    <w:basedOn w:val="1"/>
    <w:next w:val="1"/>
    <w:qFormat/>
    <w:uiPriority w:val="0"/>
    <w:pPr>
      <w:ind w:left="2500" w:leftChars="2500"/>
    </w:pPr>
    <w:rPr>
      <w:szCs w:val="20"/>
    </w:rPr>
  </w:style>
  <w:style w:type="paragraph" w:styleId="31">
    <w:name w:val="Body Text Indent 2"/>
    <w:basedOn w:val="1"/>
    <w:qFormat/>
    <w:uiPriority w:val="0"/>
    <w:pPr>
      <w:spacing w:line="500" w:lineRule="exact"/>
      <w:ind w:firstLine="213" w:firstLineChars="213"/>
    </w:pPr>
    <w:rPr>
      <w:sz w:val="24"/>
    </w:rPr>
  </w:style>
  <w:style w:type="paragraph" w:styleId="32">
    <w:name w:val="endnote text"/>
    <w:basedOn w:val="1"/>
    <w:qFormat/>
    <w:uiPriority w:val="0"/>
    <w:pPr>
      <w:snapToGrid w:val="0"/>
      <w:jc w:val="left"/>
    </w:pPr>
  </w:style>
  <w:style w:type="paragraph" w:styleId="33">
    <w:name w:val="Balloon Text"/>
    <w:basedOn w:val="1"/>
    <w:qFormat/>
    <w:uiPriority w:val="0"/>
    <w:rPr>
      <w:sz w:val="18"/>
      <w:szCs w:val="18"/>
    </w:rPr>
  </w:style>
  <w:style w:type="paragraph" w:styleId="34">
    <w:name w:val="footer"/>
    <w:basedOn w:val="1"/>
    <w:qFormat/>
    <w:uiPriority w:val="99"/>
    <w:pPr>
      <w:tabs>
        <w:tab w:val="center" w:pos="4153"/>
        <w:tab w:val="right" w:pos="8306"/>
      </w:tabs>
      <w:snapToGrid w:val="0"/>
      <w:jc w:val="left"/>
    </w:pPr>
    <w:rPr>
      <w:sz w:val="18"/>
      <w:szCs w:val="18"/>
    </w:rPr>
  </w:style>
  <w:style w:type="paragraph" w:styleId="3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36">
    <w:name w:val="toc 1"/>
    <w:basedOn w:val="1"/>
    <w:next w:val="1"/>
    <w:qFormat/>
    <w:uiPriority w:val="39"/>
    <w:pPr>
      <w:spacing w:before="120" w:after="120"/>
      <w:jc w:val="left"/>
    </w:pPr>
    <w:rPr>
      <w:b/>
      <w:bCs/>
      <w:caps/>
      <w:sz w:val="20"/>
      <w:szCs w:val="20"/>
    </w:rPr>
  </w:style>
  <w:style w:type="paragraph" w:styleId="37">
    <w:name w:val="toc 4"/>
    <w:basedOn w:val="1"/>
    <w:next w:val="1"/>
    <w:qFormat/>
    <w:uiPriority w:val="0"/>
    <w:pPr>
      <w:ind w:left="630"/>
      <w:jc w:val="left"/>
    </w:pPr>
    <w:rPr>
      <w:sz w:val="18"/>
      <w:szCs w:val="18"/>
    </w:rPr>
  </w:style>
  <w:style w:type="paragraph" w:styleId="38">
    <w:name w:val="toc 6"/>
    <w:basedOn w:val="1"/>
    <w:next w:val="1"/>
    <w:qFormat/>
    <w:uiPriority w:val="0"/>
    <w:pPr>
      <w:ind w:left="1050"/>
      <w:jc w:val="left"/>
    </w:pPr>
    <w:rPr>
      <w:sz w:val="18"/>
      <w:szCs w:val="18"/>
    </w:rPr>
  </w:style>
  <w:style w:type="paragraph" w:styleId="39">
    <w:name w:val="Body Text Indent 3"/>
    <w:basedOn w:val="1"/>
    <w:qFormat/>
    <w:uiPriority w:val="0"/>
    <w:pPr>
      <w:spacing w:line="500" w:lineRule="exact"/>
      <w:ind w:left="213" w:hanging="213" w:hangingChars="213"/>
    </w:pPr>
    <w:rPr>
      <w:sz w:val="24"/>
    </w:rPr>
  </w:style>
  <w:style w:type="paragraph" w:styleId="40">
    <w:name w:val="toc 2"/>
    <w:basedOn w:val="1"/>
    <w:next w:val="1"/>
    <w:qFormat/>
    <w:uiPriority w:val="39"/>
    <w:pPr>
      <w:ind w:left="210"/>
      <w:jc w:val="left"/>
    </w:pPr>
    <w:rPr>
      <w:smallCaps/>
      <w:sz w:val="20"/>
      <w:szCs w:val="20"/>
    </w:rPr>
  </w:style>
  <w:style w:type="paragraph" w:styleId="41">
    <w:name w:val="toc 9"/>
    <w:basedOn w:val="1"/>
    <w:next w:val="1"/>
    <w:qFormat/>
    <w:uiPriority w:val="0"/>
    <w:pPr>
      <w:ind w:left="1680"/>
      <w:jc w:val="left"/>
    </w:pPr>
    <w:rPr>
      <w:sz w:val="18"/>
      <w:szCs w:val="18"/>
    </w:rPr>
  </w:style>
  <w:style w:type="paragraph" w:styleId="42">
    <w:name w:val="Normal (Web)"/>
    <w:basedOn w:val="1"/>
    <w:qFormat/>
    <w:uiPriority w:val="0"/>
    <w:pPr>
      <w:widowControl/>
      <w:spacing w:before="100" w:beforeAutospacing="1" w:after="100" w:afterAutospacing="1"/>
      <w:jc w:val="left"/>
    </w:pPr>
    <w:rPr>
      <w:rFonts w:ascii="宋体" w:cs="宋体"/>
      <w:kern w:val="0"/>
      <w:sz w:val="24"/>
    </w:rPr>
  </w:style>
  <w:style w:type="paragraph" w:styleId="43">
    <w:name w:val="Title"/>
    <w:basedOn w:val="1"/>
    <w:qFormat/>
    <w:uiPriority w:val="0"/>
    <w:pPr>
      <w:spacing w:before="240" w:after="60"/>
      <w:jc w:val="center"/>
      <w:outlineLvl w:val="0"/>
    </w:pPr>
    <w:rPr>
      <w:rFonts w:ascii="Arial" w:hAnsi="Arial" w:cs="Arial"/>
      <w:sz w:val="32"/>
      <w:szCs w:val="32"/>
    </w:rPr>
  </w:style>
  <w:style w:type="paragraph" w:styleId="44">
    <w:name w:val="annotation subject"/>
    <w:basedOn w:val="21"/>
    <w:next w:val="21"/>
    <w:qFormat/>
    <w:uiPriority w:val="0"/>
    <w:rPr>
      <w:b/>
      <w:bCs/>
    </w:rPr>
  </w:style>
  <w:style w:type="paragraph" w:styleId="45">
    <w:name w:val="Body Text First Indent 2"/>
    <w:basedOn w:val="23"/>
    <w:next w:val="46"/>
    <w:qFormat/>
    <w:uiPriority w:val="0"/>
    <w:pPr>
      <w:spacing w:after="120"/>
      <w:ind w:left="420" w:leftChars="200" w:firstLine="420"/>
    </w:pPr>
    <w:rPr>
      <w:sz w:val="21"/>
      <w:szCs w:val="20"/>
    </w:rPr>
  </w:style>
  <w:style w:type="paragraph" w:customStyle="1" w:styleId="46">
    <w:name w:val="样式 标题 3 + (中文) 黑体 小四 非加粗 段前: 7.8 磅 段后: 0 磅 行距: 固定值 20 磅_0"/>
    <w:basedOn w:val="47"/>
    <w:qFormat/>
    <w:uiPriority w:val="0"/>
    <w:pPr>
      <w:spacing w:before="0" w:after="0" w:line="400" w:lineRule="exact"/>
    </w:pPr>
    <w:rPr>
      <w:rFonts w:ascii="Times New Roman" w:hAnsi="Times New Roman" w:eastAsia="黑体" w:cs="宋体"/>
      <w:b w:val="0"/>
      <w:bCs w:val="0"/>
      <w:sz w:val="21"/>
      <w:szCs w:val="20"/>
    </w:rPr>
  </w:style>
  <w:style w:type="paragraph" w:customStyle="1" w:styleId="47">
    <w:name w:val="标题 3_0"/>
    <w:basedOn w:val="48"/>
    <w:next w:val="49"/>
    <w:qFormat/>
    <w:uiPriority w:val="0"/>
    <w:pPr>
      <w:keepNext/>
      <w:keepLines/>
      <w:spacing w:before="260" w:after="260" w:line="416" w:lineRule="auto"/>
      <w:outlineLvl w:val="2"/>
    </w:pPr>
    <w:rPr>
      <w:b/>
      <w:bCs/>
      <w:sz w:val="32"/>
      <w:szCs w:val="32"/>
    </w:rPr>
  </w:style>
  <w:style w:type="paragraph" w:customStyle="1" w:styleId="48">
    <w:name w:val="正文_0"/>
    <w:next w:val="45"/>
    <w:qFormat/>
    <w:uiPriority w:val="0"/>
    <w:pPr>
      <w:widowControl w:val="0"/>
      <w:jc w:val="both"/>
    </w:pPr>
    <w:rPr>
      <w:rFonts w:ascii="Calibri" w:hAnsi="Calibri" w:eastAsia="宋体" w:cs="Times New Roman"/>
      <w:kern w:val="2"/>
      <w:sz w:val="21"/>
      <w:szCs w:val="22"/>
      <w:lang w:val="en-US" w:eastAsia="zh-CN" w:bidi="ar-SA"/>
    </w:rPr>
  </w:style>
  <w:style w:type="paragraph" w:customStyle="1" w:styleId="49">
    <w:name w:val="正文_1"/>
    <w:next w:val="45"/>
    <w:qFormat/>
    <w:uiPriority w:val="0"/>
    <w:pPr>
      <w:widowControl w:val="0"/>
      <w:jc w:val="both"/>
    </w:pPr>
    <w:rPr>
      <w:rFonts w:ascii="Calibri" w:hAnsi="Calibri" w:eastAsia="宋体" w:cs="Times New Roman"/>
      <w:kern w:val="2"/>
      <w:sz w:val="21"/>
      <w:szCs w:val="22"/>
      <w:lang w:val="en-US" w:eastAsia="zh-CN" w:bidi="ar-SA"/>
    </w:rPr>
  </w:style>
  <w:style w:type="table" w:styleId="51">
    <w:name w:val="Table Grid"/>
    <w:basedOn w:val="50"/>
    <w:qFormat/>
    <w:uiPriority w:val="0"/>
    <w:rPr>
      <w:rFonts w:asciiTheme="minorHAnsi" w:hAnsiTheme="minorHAnsi" w:eastAsiaTheme="minorEastAsia" w:cstheme="minorBid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3">
    <w:name w:val="Strong"/>
    <w:qFormat/>
    <w:uiPriority w:val="0"/>
    <w:rPr>
      <w:b/>
      <w:bCs/>
    </w:rPr>
  </w:style>
  <w:style w:type="character" w:styleId="54">
    <w:name w:val="endnote reference"/>
    <w:basedOn w:val="52"/>
    <w:qFormat/>
    <w:uiPriority w:val="0"/>
    <w:rPr>
      <w:vertAlign w:val="superscript"/>
    </w:rPr>
  </w:style>
  <w:style w:type="character" w:styleId="55">
    <w:name w:val="page number"/>
    <w:basedOn w:val="52"/>
    <w:qFormat/>
    <w:uiPriority w:val="0"/>
  </w:style>
  <w:style w:type="character" w:styleId="56">
    <w:name w:val="Emphasis"/>
    <w:qFormat/>
    <w:uiPriority w:val="0"/>
    <w:rPr>
      <w:i/>
      <w:iCs/>
    </w:rPr>
  </w:style>
  <w:style w:type="character" w:styleId="57">
    <w:name w:val="Hyperlink"/>
    <w:basedOn w:val="52"/>
    <w:qFormat/>
    <w:uiPriority w:val="99"/>
    <w:rPr>
      <w:color w:val="0000FF"/>
      <w:u w:val="single"/>
    </w:rPr>
  </w:style>
  <w:style w:type="character" w:styleId="58">
    <w:name w:val="annotation reference"/>
    <w:basedOn w:val="52"/>
    <w:qFormat/>
    <w:uiPriority w:val="0"/>
    <w:rPr>
      <w:sz w:val="21"/>
      <w:szCs w:val="21"/>
    </w:rPr>
  </w:style>
  <w:style w:type="paragraph" w:customStyle="1" w:styleId="59">
    <w:name w:val="表格文字"/>
    <w:basedOn w:val="28"/>
    <w:next w:val="2"/>
    <w:qFormat/>
    <w:uiPriority w:val="0"/>
    <w:pPr>
      <w:spacing w:line="420" w:lineRule="atLeast"/>
    </w:pPr>
    <w:rPr>
      <w:rFonts w:ascii="Times New Roman"/>
      <w:szCs w:val="24"/>
    </w:rPr>
  </w:style>
  <w:style w:type="paragraph" w:customStyle="1" w:styleId="60">
    <w:name w:val="保留正文"/>
    <w:basedOn w:val="2"/>
    <w:qFormat/>
    <w:uiPriority w:val="0"/>
    <w:pPr>
      <w:keepNext/>
      <w:spacing w:after="160"/>
    </w:pPr>
    <w:rPr>
      <w:szCs w:val="20"/>
    </w:rPr>
  </w:style>
  <w:style w:type="character" w:customStyle="1" w:styleId="61">
    <w:name w:val="Texte Char Char"/>
    <w:qFormat/>
    <w:uiPriority w:val="0"/>
    <w:rPr>
      <w:rFonts w:ascii="宋体" w:eastAsia="宋体"/>
      <w:sz w:val="21"/>
      <w:szCs w:val="21"/>
      <w:lang w:val="en-US" w:eastAsia="zh-CN" w:bidi="ar-SA"/>
    </w:rPr>
  </w:style>
  <w:style w:type="character" w:customStyle="1" w:styleId="62">
    <w:name w:val="标题 Char"/>
    <w:qFormat/>
    <w:uiPriority w:val="0"/>
    <w:rPr>
      <w:rFonts w:ascii="Cambria" w:hAnsi="Cambria" w:cs="Times New Roman"/>
      <w:b/>
      <w:bCs/>
      <w:kern w:val="2"/>
      <w:sz w:val="32"/>
      <w:szCs w:val="32"/>
      <w:lang w:bidi="ar-SA"/>
    </w:rPr>
  </w:style>
  <w:style w:type="character" w:customStyle="1" w:styleId="63">
    <w:name w:val="font21"/>
    <w:qFormat/>
    <w:uiPriority w:val="0"/>
    <w:rPr>
      <w:rFonts w:hint="eastAsia" w:ascii="宋体" w:hAnsi="宋体" w:eastAsia="宋体" w:cs="宋体"/>
      <w:color w:val="000000"/>
      <w:sz w:val="21"/>
      <w:szCs w:val="21"/>
      <w:u w:val="none"/>
    </w:rPr>
  </w:style>
  <w:style w:type="character" w:customStyle="1" w:styleId="64">
    <w:name w:val="px141"/>
    <w:qFormat/>
    <w:uiPriority w:val="0"/>
    <w:rPr>
      <w:sz w:val="21"/>
      <w:szCs w:val="21"/>
    </w:rPr>
  </w:style>
  <w:style w:type="character" w:customStyle="1" w:styleId="65">
    <w:name w:val="Char Char Char"/>
    <w:qFormat/>
    <w:uiPriority w:val="0"/>
    <w:rPr>
      <w:rFonts w:ascii="宋体" w:eastAsia="宋体"/>
      <w:sz w:val="21"/>
      <w:szCs w:val="21"/>
      <w:lang w:val="en-US" w:eastAsia="zh-CN" w:bidi="ar-SA"/>
    </w:rPr>
  </w:style>
  <w:style w:type="character" w:customStyle="1" w:styleId="66">
    <w:name w:val="普通文字 Char"/>
    <w:qFormat/>
    <w:uiPriority w:val="0"/>
    <w:rPr>
      <w:rFonts w:ascii="宋体"/>
      <w:kern w:val="2"/>
      <w:sz w:val="21"/>
      <w:lang w:bidi="ar-SA"/>
    </w:rPr>
  </w:style>
  <w:style w:type="character" w:customStyle="1" w:styleId="67">
    <w:name w:val="title1"/>
    <w:qFormat/>
    <w:uiPriority w:val="0"/>
    <w:rPr>
      <w:rFonts w:ascii="宋体" w:eastAsia="宋体"/>
      <w:b/>
      <w:bCs/>
      <w:sz w:val="22"/>
      <w:szCs w:val="22"/>
    </w:rPr>
  </w:style>
  <w:style w:type="character" w:customStyle="1" w:styleId="68">
    <w:name w:val="标题 2字符"/>
    <w:qFormat/>
    <w:uiPriority w:val="0"/>
    <w:rPr>
      <w:rFonts w:ascii="Arial" w:hAnsi="Arial" w:eastAsia="宋体" w:cs="Times New Roman"/>
      <w:b/>
      <w:bCs/>
      <w:kern w:val="2"/>
      <w:sz w:val="28"/>
      <w:szCs w:val="32"/>
      <w:lang w:val="en-US" w:eastAsia="zh-CN" w:bidi="ar-SA"/>
    </w:rPr>
  </w:style>
  <w:style w:type="character" w:customStyle="1" w:styleId="69">
    <w:name w:val="f16b1"/>
    <w:qFormat/>
    <w:uiPriority w:val="0"/>
    <w:rPr>
      <w:b/>
      <w:bCs/>
      <w:color w:val="333333"/>
      <w:sz w:val="22"/>
      <w:szCs w:val="22"/>
    </w:rPr>
  </w:style>
  <w:style w:type="character" w:customStyle="1" w:styleId="70">
    <w:name w:val="正文（首行缩进两字） Char1"/>
    <w:qFormat/>
    <w:uiPriority w:val="0"/>
    <w:rPr>
      <w:rFonts w:eastAsia="仿宋_GB2312"/>
      <w:kern w:val="2"/>
      <w:sz w:val="28"/>
      <w:szCs w:val="24"/>
    </w:rPr>
  </w:style>
  <w:style w:type="character" w:customStyle="1" w:styleId="71">
    <w:name w:val="b2"/>
    <w:basedOn w:val="52"/>
    <w:qFormat/>
    <w:uiPriority w:val="0"/>
  </w:style>
  <w:style w:type="paragraph" w:customStyle="1" w:styleId="72">
    <w:name w:val="Char Char Char Char Char Char"/>
    <w:basedOn w:val="1"/>
    <w:qFormat/>
    <w:uiPriority w:val="0"/>
    <w:pPr>
      <w:ind w:firstLine="200" w:firstLineChars="200"/>
    </w:pPr>
    <w:rPr>
      <w:rFonts w:ascii="Tahoma" w:hAnsi="Tahoma" w:cs="Tahoma"/>
      <w:sz w:val="24"/>
    </w:rPr>
  </w:style>
  <w:style w:type="paragraph" w:customStyle="1" w:styleId="73">
    <w:name w:val="table_1stline"/>
    <w:basedOn w:val="1"/>
    <w:qFormat/>
    <w:uiPriority w:val="0"/>
    <w:pPr>
      <w:widowControl/>
      <w:spacing w:before="120"/>
      <w:jc w:val="left"/>
    </w:pPr>
    <w:rPr>
      <w:bCs/>
      <w:kern w:val="0"/>
      <w:sz w:val="20"/>
      <w:szCs w:val="20"/>
      <w:lang w:val="de-DE" w:eastAsia="de-DE"/>
    </w:rPr>
  </w:style>
  <w:style w:type="paragraph" w:customStyle="1" w:styleId="74">
    <w:name w:val="Table Paragraph"/>
    <w:basedOn w:val="1"/>
    <w:qFormat/>
    <w:uiPriority w:val="1"/>
    <w:pPr>
      <w:jc w:val="center"/>
    </w:pPr>
    <w:rPr>
      <w:rFonts w:ascii="宋体" w:hAnsi="宋体" w:cs="宋体"/>
      <w:lang w:val="zh-CN" w:bidi="zh-CN"/>
    </w:rPr>
  </w:style>
  <w:style w:type="paragraph" w:customStyle="1" w:styleId="75">
    <w:name w:val="Char"/>
    <w:basedOn w:val="1"/>
    <w:qFormat/>
    <w:uiPriority w:val="0"/>
    <w:rPr>
      <w:rFonts w:eastAsia="仿宋_GB2312"/>
      <w:sz w:val="28"/>
    </w:rPr>
  </w:style>
  <w:style w:type="paragraph" w:customStyle="1" w:styleId="76">
    <w:name w:val="List Paragraph1"/>
    <w:basedOn w:val="1"/>
    <w:qFormat/>
    <w:uiPriority w:val="0"/>
    <w:pPr>
      <w:ind w:firstLine="200" w:firstLineChars="200"/>
    </w:pPr>
  </w:style>
  <w:style w:type="paragraph" w:customStyle="1" w:styleId="77">
    <w:name w:val="Char3"/>
    <w:basedOn w:val="20"/>
    <w:qFormat/>
    <w:uiPriority w:val="0"/>
  </w:style>
  <w:style w:type="paragraph" w:customStyle="1" w:styleId="78">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eastAsia="Arial Unicode MS"/>
      <w:kern w:val="0"/>
      <w:sz w:val="24"/>
    </w:rPr>
  </w:style>
  <w:style w:type="paragraph" w:styleId="79">
    <w:name w:val="List Paragraph"/>
    <w:basedOn w:val="1"/>
    <w:qFormat/>
    <w:uiPriority w:val="34"/>
    <w:pPr>
      <w:ind w:firstLine="200" w:firstLineChars="200"/>
    </w:pPr>
    <w:rPr>
      <w:rFonts w:ascii="Calibri" w:hAnsi="Calibri"/>
      <w:szCs w:val="22"/>
    </w:rPr>
  </w:style>
  <w:style w:type="paragraph" w:customStyle="1" w:styleId="80">
    <w:name w:val="默认段落字体 Para Char Char Char Char Char Char Char"/>
    <w:basedOn w:val="20"/>
    <w:qFormat/>
    <w:uiPriority w:val="0"/>
    <w:rPr>
      <w:rFonts w:ascii="Tahoma" w:hAnsi="Tahoma"/>
      <w:sz w:val="24"/>
      <w:szCs w:val="20"/>
    </w:rPr>
  </w:style>
  <w:style w:type="paragraph" w:customStyle="1" w:styleId="81">
    <w:name w:val="标书正文样式"/>
    <w:basedOn w:val="1"/>
    <w:qFormat/>
    <w:uiPriority w:val="0"/>
    <w:pPr>
      <w:ind w:firstLine="200" w:firstLineChars="200"/>
      <w:jc w:val="left"/>
    </w:pPr>
    <w:rPr>
      <w:rFonts w:ascii="仿宋_GB2312" w:eastAsia="仿宋_GB2312"/>
      <w:sz w:val="28"/>
      <w:szCs w:val="28"/>
    </w:rPr>
  </w:style>
  <w:style w:type="paragraph" w:customStyle="1" w:styleId="82">
    <w:name w:val="Char Char Char Char Char Char Char Char Char Char Char Char Char"/>
    <w:basedOn w:val="1"/>
    <w:qFormat/>
    <w:uiPriority w:val="0"/>
    <w:rPr>
      <w:rFonts w:ascii="Tahoma" w:hAnsi="Tahoma"/>
      <w:sz w:val="24"/>
      <w:szCs w:val="20"/>
    </w:rPr>
  </w:style>
  <w:style w:type="paragraph" w:customStyle="1" w:styleId="83">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84">
    <w:name w:val="WPSOffice手动目录 1"/>
    <w:qFormat/>
    <w:uiPriority w:val="0"/>
    <w:rPr>
      <w:rFonts w:ascii="Times New Roman" w:hAnsi="Times New Roman" w:eastAsia="宋体" w:cs="Times New Roman"/>
      <w:lang w:val="en-US" w:eastAsia="zh-CN" w:bidi="ar-SA"/>
    </w:rPr>
  </w:style>
  <w:style w:type="paragraph" w:customStyle="1" w:styleId="85">
    <w:name w:val="列出段落1"/>
    <w:basedOn w:val="1"/>
    <w:qFormat/>
    <w:uiPriority w:val="0"/>
    <w:pPr>
      <w:ind w:firstLine="420" w:firstLineChars="200"/>
    </w:pPr>
    <w:rPr>
      <w:szCs w:val="20"/>
    </w:rPr>
  </w:style>
  <w:style w:type="paragraph" w:customStyle="1" w:styleId="86">
    <w:name w:val="xl55"/>
    <w:basedOn w:val="1"/>
    <w:qFormat/>
    <w:uiPriority w:val="0"/>
    <w:pPr>
      <w:widowControl/>
      <w:spacing w:before="100" w:beforeAutospacing="1" w:after="100" w:afterAutospacing="1"/>
      <w:jc w:val="center"/>
      <w:textAlignment w:val="center"/>
    </w:pPr>
    <w:rPr>
      <w:rFonts w:ascii="Arial Unicode MS" w:hAnsi="Arial Unicode MS"/>
      <w:kern w:val="0"/>
      <w:sz w:val="24"/>
    </w:rPr>
  </w:style>
  <w:style w:type="paragraph" w:customStyle="1" w:styleId="87">
    <w:name w:val="Char Char Char Char Char Char Char"/>
    <w:basedOn w:val="1"/>
    <w:qFormat/>
    <w:uiPriority w:val="0"/>
    <w:rPr>
      <w:rFonts w:ascii="仿宋_GB2312" w:eastAsia="仿宋_GB2312"/>
      <w:b/>
      <w:sz w:val="32"/>
      <w:szCs w:val="32"/>
    </w:rPr>
  </w:style>
  <w:style w:type="paragraph" w:customStyle="1" w:styleId="88">
    <w:name w:val="1.1.1"/>
    <w:basedOn w:val="1"/>
    <w:qFormat/>
    <w:uiPriority w:val="0"/>
    <w:pPr>
      <w:tabs>
        <w:tab w:val="left" w:pos="0"/>
        <w:tab w:val="left" w:pos="1134"/>
        <w:tab w:val="left" w:pos="8505"/>
      </w:tabs>
      <w:autoSpaceDE w:val="0"/>
      <w:autoSpaceDN w:val="0"/>
      <w:adjustRightInd w:val="0"/>
      <w:spacing w:before="240" w:after="60" w:line="360" w:lineRule="atLeast"/>
    </w:pPr>
    <w:rPr>
      <w:rFonts w:ascii="宋体"/>
      <w:b/>
      <w:kern w:val="0"/>
      <w:sz w:val="24"/>
      <w:szCs w:val="20"/>
    </w:rPr>
  </w:style>
  <w:style w:type="paragraph" w:customStyle="1" w:styleId="89">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90">
    <w:name w:val="Char Char"/>
    <w:basedOn w:val="1"/>
    <w:qFormat/>
    <w:uiPriority w:val="0"/>
    <w:rPr>
      <w:rFonts w:ascii="仿宋_GB2312" w:eastAsia="仿宋_GB2312"/>
      <w:b/>
      <w:sz w:val="32"/>
      <w:szCs w:val="32"/>
    </w:rPr>
  </w:style>
  <w:style w:type="paragraph" w:customStyle="1" w:styleId="91">
    <w:name w:val="表内文字"/>
    <w:basedOn w:val="1"/>
    <w:qFormat/>
    <w:uiPriority w:val="0"/>
    <w:pPr>
      <w:spacing w:line="240" w:lineRule="atLeast"/>
      <w:jc w:val="center"/>
    </w:pPr>
    <w:rPr>
      <w:rFonts w:ascii="Arial" w:hAnsi="Arial" w:cs="Arial"/>
      <w:b/>
      <w:bCs/>
    </w:rPr>
  </w:style>
  <w:style w:type="paragraph" w:customStyle="1" w:styleId="92">
    <w:name w:val="招标正文"/>
    <w:basedOn w:val="1"/>
    <w:qFormat/>
    <w:uiPriority w:val="0"/>
    <w:pPr>
      <w:widowControl/>
      <w:spacing w:line="360" w:lineRule="auto"/>
      <w:ind w:firstLine="200" w:firstLineChars="200"/>
    </w:pPr>
    <w:rPr>
      <w:snapToGrid w:val="0"/>
      <w:kern w:val="0"/>
      <w:sz w:val="24"/>
      <w:lang w:val="en-GB" w:eastAsia="en-GB"/>
    </w:rPr>
  </w:style>
  <w:style w:type="paragraph" w:customStyle="1" w:styleId="93">
    <w:name w:val="投标正文"/>
    <w:basedOn w:val="1"/>
    <w:qFormat/>
    <w:uiPriority w:val="0"/>
    <w:pPr>
      <w:spacing w:line="360" w:lineRule="auto"/>
      <w:ind w:left="102" w:firstLine="200" w:firstLineChars="200"/>
    </w:pPr>
    <w:rPr>
      <w:rFonts w:ascii="Calibri" w:hAnsi="Calibri"/>
      <w:sz w:val="24"/>
    </w:rPr>
  </w:style>
  <w:style w:type="paragraph" w:customStyle="1" w:styleId="94">
    <w:name w:val="正文2"/>
    <w:basedOn w:val="1"/>
    <w:qFormat/>
    <w:uiPriority w:val="0"/>
    <w:pPr>
      <w:spacing w:before="156" w:line="360" w:lineRule="auto"/>
      <w:ind w:firstLine="200" w:firstLineChars="200"/>
    </w:pPr>
    <w:rPr>
      <w:sz w:val="24"/>
      <w:szCs w:val="20"/>
    </w:rPr>
  </w:style>
  <w:style w:type="paragraph" w:customStyle="1" w:styleId="95">
    <w:name w:val="列出段落3"/>
    <w:basedOn w:val="1"/>
    <w:qFormat/>
    <w:uiPriority w:val="0"/>
    <w:pPr>
      <w:spacing w:line="360" w:lineRule="auto"/>
      <w:ind w:firstLine="420" w:firstLineChars="200"/>
    </w:pPr>
    <w:rPr>
      <w:rFonts w:ascii="Calibri" w:hAnsi="Calibri"/>
      <w:sz w:val="24"/>
      <w:szCs w:val="22"/>
    </w:rPr>
  </w:style>
  <w:style w:type="paragraph" w:customStyle="1" w:styleId="96">
    <w:name w:val="样式 首行缩进:  2 字符"/>
    <w:basedOn w:val="1"/>
    <w:qFormat/>
    <w:uiPriority w:val="0"/>
    <w:pPr>
      <w:spacing w:line="360" w:lineRule="auto"/>
      <w:ind w:firstLine="200" w:firstLineChars="200"/>
    </w:pPr>
    <w:rPr>
      <w:rFonts w:cs="宋体"/>
      <w:sz w:val="24"/>
      <w:szCs w:val="20"/>
    </w:rPr>
  </w:style>
  <w:style w:type="paragraph" w:customStyle="1" w:styleId="97">
    <w:name w:val="Char1"/>
    <w:basedOn w:val="1"/>
    <w:qFormat/>
    <w:uiPriority w:val="0"/>
    <w:rPr>
      <w:rFonts w:ascii="仿宋_GB2312" w:eastAsia="仿宋_GB2312"/>
      <w:b/>
      <w:sz w:val="32"/>
      <w:szCs w:val="32"/>
    </w:rPr>
  </w:style>
  <w:style w:type="paragraph" w:customStyle="1" w:styleId="98">
    <w:name w:val="正文（首行缩进2字符）"/>
    <w:basedOn w:val="1"/>
    <w:qFormat/>
    <w:uiPriority w:val="0"/>
    <w:pPr>
      <w:spacing w:line="360" w:lineRule="auto"/>
      <w:ind w:firstLine="480" w:firstLineChars="200"/>
    </w:pPr>
  </w:style>
  <w:style w:type="paragraph" w:customStyle="1" w:styleId="99">
    <w:name w:val="正文模板"/>
    <w:basedOn w:val="1"/>
    <w:qFormat/>
    <w:uiPriority w:val="0"/>
    <w:pPr>
      <w:wordWrap w:val="0"/>
      <w:spacing w:beforeLines="50" w:line="360" w:lineRule="auto"/>
      <w:ind w:firstLine="200" w:firstLineChars="200"/>
    </w:pPr>
    <w:rPr>
      <w:rFonts w:eastAsia="仿宋"/>
      <w:kern w:val="0"/>
      <w:szCs w:val="21"/>
      <w:lang w:val="zh-CN"/>
    </w:rPr>
  </w:style>
  <w:style w:type="paragraph" w:customStyle="1" w:styleId="100">
    <w:name w:val="表格1"/>
    <w:basedOn w:val="1"/>
    <w:qFormat/>
    <w:uiPriority w:val="0"/>
    <w:pPr>
      <w:spacing w:before="120"/>
    </w:pPr>
    <w:rPr>
      <w:rFonts w:ascii="仿宋" w:hAnsi="仿宋" w:eastAsia="仿宋"/>
      <w:kern w:val="0"/>
    </w:rPr>
  </w:style>
  <w:style w:type="paragraph" w:customStyle="1" w:styleId="101">
    <w:name w:val="Normal Indent1"/>
    <w:next w:val="18"/>
    <w:qFormat/>
    <w:uiPriority w:val="0"/>
    <w:pPr>
      <w:widowControl w:val="0"/>
      <w:ind w:firstLine="420" w:firstLineChars="200"/>
      <w:jc w:val="both"/>
    </w:pPr>
    <w:rPr>
      <w:rFonts w:ascii="Times New Roman" w:hAnsi="Times New Roman" w:eastAsia="宋体" w:cs="Times New Roman"/>
      <w:kern w:val="2"/>
      <w:sz w:val="21"/>
      <w:szCs w:val="21"/>
      <w:lang w:val="en-US" w:eastAsia="zh-CN" w:bidi="ar-SA"/>
    </w:rPr>
  </w:style>
  <w:style w:type="character" w:customStyle="1" w:styleId="102">
    <w:name w:val="NormalCharacter"/>
    <w:semiHidden/>
    <w:qFormat/>
    <w:uiPriority w:val="0"/>
  </w:style>
  <w:style w:type="paragraph" w:styleId="103">
    <w:name w:val="No Spacing"/>
    <w:qFormat/>
    <w:uiPriority w:val="1"/>
    <w:pPr>
      <w:widowControl w:val="0"/>
      <w:jc w:val="both"/>
    </w:pPr>
    <w:rPr>
      <w:rFonts w:ascii="Calibri" w:hAnsi="Calibri" w:eastAsia="宋体" w:cs="Times New Roman"/>
      <w:kern w:val="2"/>
      <w:sz w:val="24"/>
      <w:szCs w:val="24"/>
      <w:lang w:val="en-US" w:eastAsia="zh-CN" w:bidi="ar-SA"/>
      <w14:ligatures w14:val="standardContextual"/>
    </w:rPr>
  </w:style>
  <w:style w:type="paragraph" w:customStyle="1" w:styleId="104">
    <w:name w:val="表格正文"/>
    <w:basedOn w:val="1"/>
    <w:qFormat/>
    <w:uiPriority w:val="0"/>
    <w:pPr>
      <w:widowControl/>
      <w:spacing w:line="360" w:lineRule="auto"/>
      <w:ind w:firstLine="640" w:firstLineChars="200"/>
      <w:jc w:val="center"/>
    </w:pPr>
    <w:rPr>
      <w:rFonts w:ascii="宋体" w:hAnsi="宋体" w:cs="宋体"/>
      <w:kern w:val="0"/>
      <w:sz w:val="20"/>
      <w:szCs w:val="20"/>
    </w:rPr>
  </w:style>
  <w:style w:type="paragraph" w:customStyle="1" w:styleId="105">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106">
    <w:name w:val="Unresolved Mention"/>
    <w:basedOn w:val="52"/>
    <w:semiHidden/>
    <w:unhideWhenUsed/>
    <w:qFormat/>
    <w:uiPriority w:val="99"/>
    <w:rPr>
      <w:color w:val="605E5C"/>
      <w:shd w:val="clear" w:color="auto" w:fill="E1DFDD"/>
    </w:rPr>
  </w:style>
  <w:style w:type="character" w:customStyle="1" w:styleId="107">
    <w:name w:val="表格 Char Char"/>
    <w:link w:val="108"/>
    <w:qFormat/>
    <w:uiPriority w:val="0"/>
    <w:rPr>
      <w:rFonts w:ascii="宋体" w:hAnsi="宋体"/>
    </w:rPr>
  </w:style>
  <w:style w:type="paragraph" w:customStyle="1" w:styleId="108">
    <w:name w:val="表格"/>
    <w:basedOn w:val="1"/>
    <w:next w:val="1"/>
    <w:link w:val="107"/>
    <w:qFormat/>
    <w:uiPriority w:val="0"/>
    <w:pPr>
      <w:autoSpaceDE w:val="0"/>
      <w:autoSpaceDN w:val="0"/>
      <w:adjustRightInd w:val="0"/>
      <w:snapToGrid w:val="0"/>
      <w:ind w:firstLine="42" w:firstLineChars="21"/>
      <w:jc w:val="left"/>
    </w:pPr>
    <w:rPr>
      <w:rFonts w:ascii="宋体" w:hAnsi="宋体"/>
      <w:kern w:val="0"/>
      <w:sz w:val="20"/>
      <w:szCs w:val="20"/>
    </w:rPr>
  </w:style>
  <w:style w:type="paragraph" w:customStyle="1" w:styleId="109">
    <w:name w:val="段落样式"/>
    <w:basedOn w:val="1"/>
    <w:next w:val="79"/>
    <w:qFormat/>
    <w:uiPriority w:val="0"/>
    <w:pPr>
      <w:ind w:firstLine="420" w:firstLineChars="200"/>
    </w:pPr>
    <w:rPr>
      <w:rFonts w:ascii="Calibri" w:hAnsi="Calibri"/>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endnotes" Target="endnotes.xml"/><Relationship Id="rId23" Type="http://schemas.openxmlformats.org/officeDocument/2006/relationships/fontTable" Target="fontTable.xml"/><Relationship Id="rId22" Type="http://schemas.openxmlformats.org/officeDocument/2006/relationships/customXml" Target="../customXml/item2.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header" Target="header4.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8ECC8"/>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DD1DF84-1A33-408A-A0EE-70A2E60B45FD}">
  <ds:schemaRefs/>
</ds:datastoreItem>
</file>

<file path=docProps/app.xml><?xml version="1.0" encoding="utf-8"?>
<Properties xmlns="http://schemas.openxmlformats.org/officeDocument/2006/extended-properties" xmlns:vt="http://schemas.openxmlformats.org/officeDocument/2006/docPropsVTypes">
  <Template>Normal</Template>
  <Pages>52</Pages>
  <Words>23344</Words>
  <Characters>24642</Characters>
  <Lines>255</Lines>
  <Paragraphs>72</Paragraphs>
  <TotalTime>32</TotalTime>
  <ScaleCrop>false</ScaleCrop>
  <LinksUpToDate>false</LinksUpToDate>
  <CharactersWithSpaces>26583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2025-03-21T01:30:00Z</dcterms:created>
  <dc:creator>Administrator</dc:creator>
  <cp:lastModifiedBy>叶温瑜</cp:lastModifiedBy>
  <cp:lastPrinted>2023-11-20T07:56:00Z</cp:lastPrinted>
  <dcterms:modified xsi:type="dcterms:W3CDTF">2025-03-31T06:11:47Z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29069AC7F4FD4DDA918DECC836FF9F4B_13</vt:lpwstr>
  </property>
  <property fmtid="{D5CDD505-2E9C-101B-9397-08002B2CF9AE}" pid="4" name="KSOTemplateDocerSaveRecord">
    <vt:lpwstr>eyJoZGlkIjoiYzA1ZWJhYjM2MTlmNzYxNmQ2OGFmMjMwMjcwMDI0NWUiLCJ1c2VySWQiOiI4NTg5NzE4OTcifQ==</vt:lpwstr>
  </property>
</Properties>
</file>