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3E317">
      <w:pPr>
        <w:spacing w:line="360" w:lineRule="auto"/>
        <w:jc w:val="center"/>
        <w:rPr>
          <w:rFonts w:hint="eastAsia" w:ascii="宋体" w:hAnsi="宋体" w:cs="宋体"/>
          <w:b/>
          <w:color w:val="auto"/>
          <w:sz w:val="24"/>
          <w:highlight w:val="none"/>
        </w:rPr>
      </w:pPr>
    </w:p>
    <w:p w14:paraId="3C5BB6E8">
      <w:pPr>
        <w:adjustRightInd/>
        <w:spacing w:line="360" w:lineRule="auto"/>
        <w:jc w:val="center"/>
        <w:rPr>
          <w:rFonts w:hint="eastAsia" w:ascii="宋体" w:hAnsi="宋体" w:cs="宋体"/>
          <w:color w:val="auto"/>
          <w:sz w:val="48"/>
          <w:szCs w:val="48"/>
          <w:highlight w:val="none"/>
        </w:rPr>
      </w:pPr>
      <w:r>
        <w:rPr>
          <w:rFonts w:hint="eastAsia" w:ascii="宋体" w:hAnsi="宋体" w:cs="宋体"/>
          <w:color w:val="auto"/>
          <w:sz w:val="48"/>
          <w:szCs w:val="48"/>
          <w:highlight w:val="none"/>
        </w:rPr>
        <w:t>杭州市源清中学生活区宿舍消防系统改造工程</w:t>
      </w:r>
    </w:p>
    <w:p w14:paraId="2584BC0C">
      <w:pPr>
        <w:adjustRightInd/>
        <w:spacing w:line="360" w:lineRule="auto"/>
        <w:jc w:val="center"/>
        <w:rPr>
          <w:rFonts w:hint="eastAsia" w:ascii="宋体" w:hAnsi="宋体" w:cs="宋体"/>
          <w:color w:val="auto"/>
          <w:sz w:val="48"/>
          <w:szCs w:val="48"/>
          <w:highlight w:val="none"/>
        </w:rPr>
      </w:pPr>
    </w:p>
    <w:p w14:paraId="702EE30F">
      <w:pPr>
        <w:adjustRightInd/>
        <w:spacing w:line="360" w:lineRule="auto"/>
        <w:jc w:val="center"/>
        <w:rPr>
          <w:rFonts w:hint="eastAsia" w:ascii="宋体" w:hAnsi="宋体" w:cs="宋体"/>
          <w:color w:val="auto"/>
          <w:sz w:val="48"/>
          <w:szCs w:val="48"/>
          <w:highlight w:val="none"/>
        </w:rPr>
      </w:pPr>
      <w:r>
        <w:rPr>
          <w:rFonts w:hint="eastAsia" w:ascii="宋体" w:hAnsi="宋体" w:cs="宋体"/>
          <w:color w:val="auto"/>
          <w:sz w:val="48"/>
          <w:szCs w:val="48"/>
          <w:highlight w:val="none"/>
        </w:rPr>
        <w:t>竞争性磋商文件</w:t>
      </w:r>
    </w:p>
    <w:p w14:paraId="51C9BA52">
      <w:pPr>
        <w:adjustRightInd/>
        <w:spacing w:line="360" w:lineRule="auto"/>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（电子交易）</w:t>
      </w:r>
    </w:p>
    <w:p w14:paraId="42FDD001">
      <w:pPr>
        <w:snapToGrid w:val="0"/>
        <w:spacing w:line="360" w:lineRule="auto"/>
        <w:jc w:val="center"/>
        <w:rPr>
          <w:rFonts w:hint="eastAsia" w:ascii="宋体" w:hAnsi="宋体" w:cs="宋体"/>
          <w:color w:val="auto"/>
          <w:sz w:val="30"/>
          <w:szCs w:val="30"/>
          <w:highlight w:val="none"/>
        </w:rPr>
      </w:pPr>
      <w:r>
        <w:rPr>
          <w:rFonts w:hint="eastAsia" w:ascii="宋体" w:hAnsi="宋体" w:cs="宋体"/>
          <w:color w:val="auto"/>
          <w:sz w:val="30"/>
          <w:szCs w:val="30"/>
          <w:highlight w:val="none"/>
        </w:rPr>
        <w:t>项目编号:HCZX-25317</w:t>
      </w:r>
    </w:p>
    <w:p w14:paraId="1E2185A4">
      <w:pPr>
        <w:adjustRightInd/>
        <w:spacing w:line="360" w:lineRule="auto"/>
        <w:rPr>
          <w:rFonts w:hint="eastAsia" w:ascii="宋体" w:hAnsi="宋体" w:cs="宋体"/>
          <w:color w:val="auto"/>
          <w:sz w:val="28"/>
          <w:szCs w:val="20"/>
          <w:highlight w:val="none"/>
        </w:rPr>
      </w:pPr>
    </w:p>
    <w:p w14:paraId="07109ECD">
      <w:pPr>
        <w:spacing w:line="360" w:lineRule="auto"/>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 xml:space="preserve"> </w:t>
      </w:r>
    </w:p>
    <w:p w14:paraId="23A8D71F">
      <w:pPr>
        <w:spacing w:line="360" w:lineRule="auto"/>
        <w:jc w:val="center"/>
        <w:rPr>
          <w:rFonts w:hint="eastAsia" w:ascii="宋体" w:hAnsi="宋体" w:cs="宋体"/>
          <w:b/>
          <w:color w:val="auto"/>
          <w:sz w:val="44"/>
          <w:szCs w:val="44"/>
          <w:highlight w:val="none"/>
        </w:rPr>
      </w:pPr>
    </w:p>
    <w:p w14:paraId="1F518007">
      <w:pPr>
        <w:pStyle w:val="26"/>
        <w:ind w:firstLine="883"/>
        <w:rPr>
          <w:rFonts w:hint="eastAsia" w:cs="宋体"/>
          <w:b/>
          <w:color w:val="auto"/>
          <w:sz w:val="44"/>
          <w:szCs w:val="44"/>
          <w:highlight w:val="none"/>
        </w:rPr>
      </w:pPr>
    </w:p>
    <w:p w14:paraId="14A95620">
      <w:pPr>
        <w:pStyle w:val="27"/>
        <w:rPr>
          <w:rFonts w:hint="eastAsia" w:ascii="宋体" w:hAnsi="宋体" w:cs="宋体"/>
          <w:b/>
          <w:color w:val="auto"/>
          <w:sz w:val="44"/>
          <w:szCs w:val="44"/>
          <w:highlight w:val="none"/>
        </w:rPr>
      </w:pPr>
    </w:p>
    <w:p w14:paraId="3F59CB56">
      <w:pPr>
        <w:pStyle w:val="27"/>
        <w:rPr>
          <w:rFonts w:hint="eastAsia" w:ascii="宋体" w:hAnsi="宋体" w:cs="宋体"/>
          <w:b/>
          <w:color w:val="auto"/>
          <w:sz w:val="44"/>
          <w:szCs w:val="44"/>
          <w:highlight w:val="none"/>
        </w:rPr>
      </w:pPr>
    </w:p>
    <w:p w14:paraId="72DA878B">
      <w:pPr>
        <w:pStyle w:val="27"/>
        <w:rPr>
          <w:rFonts w:hint="eastAsia" w:ascii="宋体" w:hAnsi="宋体" w:cs="宋体"/>
          <w:b/>
          <w:color w:val="auto"/>
          <w:sz w:val="44"/>
          <w:szCs w:val="44"/>
          <w:highlight w:val="none"/>
        </w:rPr>
      </w:pPr>
    </w:p>
    <w:p w14:paraId="448ECF84">
      <w:pPr>
        <w:pStyle w:val="27"/>
        <w:rPr>
          <w:rFonts w:hint="eastAsia" w:ascii="宋体" w:hAnsi="宋体" w:cs="宋体"/>
          <w:b/>
          <w:color w:val="auto"/>
          <w:sz w:val="44"/>
          <w:szCs w:val="44"/>
          <w:highlight w:val="none"/>
        </w:rPr>
      </w:pPr>
    </w:p>
    <w:p w14:paraId="35BBC3B6">
      <w:pPr>
        <w:spacing w:line="360" w:lineRule="auto"/>
        <w:jc w:val="center"/>
        <w:rPr>
          <w:rFonts w:hint="eastAsia" w:ascii="宋体" w:hAnsi="宋体" w:cs="宋体"/>
          <w:color w:val="auto"/>
          <w:sz w:val="24"/>
          <w:highlight w:val="none"/>
        </w:rPr>
      </w:pPr>
    </w:p>
    <w:p w14:paraId="7F4FDEE7">
      <w:pPr>
        <w:spacing w:line="360" w:lineRule="auto"/>
        <w:rPr>
          <w:rFonts w:hint="eastAsia" w:ascii="宋体" w:hAnsi="宋体" w:cs="宋体"/>
          <w:color w:val="auto"/>
          <w:sz w:val="32"/>
          <w:szCs w:val="32"/>
          <w:highlight w:val="none"/>
        </w:rPr>
      </w:pPr>
    </w:p>
    <w:p w14:paraId="36273031">
      <w:pPr>
        <w:snapToGrid w:val="0"/>
        <w:spacing w:line="480" w:lineRule="auto"/>
        <w:jc w:val="center"/>
        <w:rPr>
          <w:rFonts w:hint="eastAsia" w:ascii="宋体" w:hAnsi="宋体" w:cs="宋体"/>
          <w:bCs/>
          <w:color w:val="auto"/>
          <w:sz w:val="32"/>
          <w:szCs w:val="32"/>
          <w:highlight w:val="none"/>
        </w:rPr>
      </w:pPr>
      <w:r>
        <w:rPr>
          <w:rFonts w:hint="eastAsia" w:ascii="宋体" w:hAnsi="宋体" w:cs="宋体"/>
          <w:bCs/>
          <w:color w:val="auto"/>
          <w:sz w:val="32"/>
          <w:szCs w:val="32"/>
          <w:highlight w:val="none"/>
        </w:rPr>
        <w:t>采购人：杭州市源清中学</w:t>
      </w:r>
    </w:p>
    <w:p w14:paraId="18708D69">
      <w:pPr>
        <w:spacing w:line="480" w:lineRule="auto"/>
        <w:jc w:val="center"/>
        <w:rPr>
          <w:rFonts w:hint="eastAsia" w:ascii="宋体" w:hAnsi="宋体" w:cs="宋体"/>
          <w:bCs/>
          <w:color w:val="auto"/>
          <w:sz w:val="32"/>
          <w:szCs w:val="32"/>
          <w:highlight w:val="none"/>
        </w:rPr>
      </w:pPr>
      <w:r>
        <w:rPr>
          <w:rFonts w:hint="eastAsia" w:ascii="宋体" w:hAnsi="宋体" w:cs="宋体"/>
          <w:bCs/>
          <w:color w:val="auto"/>
          <w:sz w:val="32"/>
          <w:szCs w:val="32"/>
          <w:highlight w:val="none"/>
        </w:rPr>
        <w:tab/>
      </w:r>
      <w:r>
        <w:rPr>
          <w:rFonts w:hint="eastAsia" w:ascii="宋体" w:hAnsi="宋体" w:cs="宋体"/>
          <w:bCs/>
          <w:color w:val="auto"/>
          <w:sz w:val="32"/>
          <w:szCs w:val="32"/>
          <w:highlight w:val="none"/>
        </w:rPr>
        <w:tab/>
      </w:r>
      <w:bookmarkStart w:id="0" w:name="_Toc7631"/>
      <w:bookmarkStart w:id="1" w:name="_Toc18566"/>
      <w:r>
        <w:rPr>
          <w:rFonts w:hint="eastAsia" w:ascii="宋体" w:hAnsi="宋体" w:cs="宋体"/>
          <w:bCs/>
          <w:color w:val="auto"/>
          <w:sz w:val="32"/>
          <w:szCs w:val="32"/>
          <w:highlight w:val="none"/>
        </w:rPr>
        <w:t>采购代理机构：华诚工程咨询集团有限公司</w:t>
      </w:r>
      <w:bookmarkEnd w:id="0"/>
      <w:bookmarkEnd w:id="1"/>
    </w:p>
    <w:p w14:paraId="30EDC52B">
      <w:pPr>
        <w:snapToGrid w:val="0"/>
        <w:spacing w:line="480" w:lineRule="auto"/>
        <w:jc w:val="center"/>
        <w:rPr>
          <w:rFonts w:hint="eastAsia" w:ascii="宋体" w:hAnsi="宋体" w:cs="宋体"/>
          <w:color w:val="auto"/>
          <w:sz w:val="24"/>
          <w:highlight w:val="none"/>
        </w:rPr>
      </w:pPr>
      <w:r>
        <w:rPr>
          <w:rFonts w:hint="eastAsia" w:ascii="宋体" w:hAnsi="宋体" w:cs="宋体"/>
          <w:bCs/>
          <w:color w:val="auto"/>
          <w:sz w:val="32"/>
          <w:szCs w:val="32"/>
          <w:highlight w:val="none"/>
        </w:rPr>
        <w:t>二〇二五年六月</w:t>
      </w:r>
      <w:r>
        <w:rPr>
          <w:rFonts w:hint="eastAsia" w:ascii="宋体" w:hAnsi="宋体" w:cs="宋体"/>
          <w:color w:val="auto"/>
          <w:sz w:val="24"/>
          <w:highlight w:val="none"/>
        </w:rPr>
        <w:br w:type="page"/>
      </w:r>
      <w:bookmarkStart w:id="2" w:name="_Hlt67893495"/>
      <w:bookmarkEnd w:id="2"/>
    </w:p>
    <w:p w14:paraId="2CB1DC29">
      <w:pPr>
        <w:spacing w:line="360" w:lineRule="auto"/>
        <w:jc w:val="center"/>
        <w:rPr>
          <w:rFonts w:hint="eastAsia" w:ascii="宋体" w:hAnsi="宋体" w:cs="宋体"/>
          <w:b/>
          <w:color w:val="auto"/>
          <w:sz w:val="48"/>
          <w:szCs w:val="48"/>
          <w:highlight w:val="none"/>
        </w:rPr>
      </w:pPr>
      <w:r>
        <w:rPr>
          <w:rFonts w:hint="eastAsia" w:ascii="宋体" w:hAnsi="宋体" w:cs="宋体"/>
          <w:b/>
          <w:color w:val="auto"/>
          <w:sz w:val="48"/>
          <w:szCs w:val="48"/>
          <w:highlight w:val="none"/>
        </w:rPr>
        <w:t>目  录</w:t>
      </w:r>
    </w:p>
    <w:p w14:paraId="3E57ED0F">
      <w:pPr>
        <w:pStyle w:val="45"/>
        <w:tabs>
          <w:tab w:val="right" w:leader="dot" w:pos="9240"/>
        </w:tabs>
        <w:snapToGrid w:val="0"/>
        <w:spacing w:line="360" w:lineRule="auto"/>
        <w:jc w:val="left"/>
        <w:rPr>
          <w:rFonts w:hint="eastAsia" w:ascii="宋体" w:hAnsi="宋体" w:cs="宋体"/>
          <w:color w:val="auto"/>
          <w:sz w:val="28"/>
          <w:szCs w:val="28"/>
          <w:highlight w:val="none"/>
        </w:rPr>
      </w:pPr>
      <w:r>
        <w:rPr>
          <w:rFonts w:ascii="宋体" w:hAnsi="宋体" w:cs="宋体"/>
          <w:color w:val="auto"/>
          <w:sz w:val="32"/>
          <w:szCs w:val="32"/>
          <w:highlight w:val="none"/>
        </w:rPr>
        <w:fldChar w:fldCharType="begin"/>
      </w:r>
      <w:r>
        <w:rPr>
          <w:rFonts w:ascii="宋体" w:hAnsi="宋体" w:cs="宋体"/>
          <w:color w:val="auto"/>
          <w:sz w:val="32"/>
          <w:szCs w:val="32"/>
          <w:highlight w:val="none"/>
        </w:rPr>
        <w:instrText xml:space="preserve">TOC \o "1-1" \h \u </w:instrText>
      </w:r>
      <w:r>
        <w:rPr>
          <w:rFonts w:ascii="宋体" w:hAnsi="宋体" w:cs="宋体"/>
          <w:color w:val="auto"/>
          <w:sz w:val="32"/>
          <w:szCs w:val="32"/>
          <w:highlight w:val="none"/>
        </w:rPr>
        <w:fldChar w:fldCharType="separate"/>
      </w:r>
      <w:r>
        <w:rPr>
          <w:color w:val="auto"/>
          <w:highlight w:val="none"/>
        </w:rPr>
        <w:fldChar w:fldCharType="begin"/>
      </w:r>
      <w:r>
        <w:rPr>
          <w:color w:val="auto"/>
          <w:highlight w:val="none"/>
        </w:rPr>
        <w:instrText xml:space="preserve"> HYPERLINK \l "_Toc21043" </w:instrText>
      </w:r>
      <w:r>
        <w:rPr>
          <w:color w:val="auto"/>
          <w:highlight w:val="none"/>
        </w:rPr>
        <w:fldChar w:fldCharType="separate"/>
      </w:r>
      <w:r>
        <w:rPr>
          <w:rFonts w:hint="eastAsia" w:ascii="宋体" w:hAnsi="宋体" w:cs="宋体"/>
          <w:color w:val="auto"/>
          <w:sz w:val="28"/>
          <w:szCs w:val="28"/>
          <w:highlight w:val="none"/>
        </w:rPr>
        <w:t>第一部分 竞争性磋商公告</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_Toc21043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4E2E1BF6">
      <w:pPr>
        <w:pStyle w:val="45"/>
        <w:tabs>
          <w:tab w:val="right" w:leader="dot" w:pos="9240"/>
        </w:tabs>
        <w:snapToGrid w:val="0"/>
        <w:spacing w:line="360" w:lineRule="auto"/>
        <w:jc w:val="left"/>
        <w:rPr>
          <w:rFonts w:hint="eastAsia" w:ascii="宋体" w:hAnsi="宋体" w:cs="宋体"/>
          <w:color w:val="auto"/>
          <w:sz w:val="28"/>
          <w:szCs w:val="28"/>
          <w:highlight w:val="none"/>
        </w:rPr>
      </w:pPr>
      <w:r>
        <w:rPr>
          <w:color w:val="auto"/>
          <w:highlight w:val="none"/>
        </w:rPr>
        <w:fldChar w:fldCharType="begin"/>
      </w:r>
      <w:r>
        <w:rPr>
          <w:color w:val="auto"/>
          <w:highlight w:val="none"/>
        </w:rPr>
        <w:instrText xml:space="preserve"> HYPERLINK \l "_Toc29733" </w:instrText>
      </w:r>
      <w:r>
        <w:rPr>
          <w:color w:val="auto"/>
          <w:highlight w:val="none"/>
        </w:rPr>
        <w:fldChar w:fldCharType="separate"/>
      </w:r>
      <w:r>
        <w:rPr>
          <w:rFonts w:hint="eastAsia" w:ascii="宋体" w:hAnsi="宋体" w:cs="宋体"/>
          <w:color w:val="auto"/>
          <w:sz w:val="28"/>
          <w:szCs w:val="28"/>
          <w:highlight w:val="none"/>
        </w:rPr>
        <w:t>第二部分 供应商须知</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_Toc29733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8</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59F37918">
      <w:pPr>
        <w:pStyle w:val="45"/>
        <w:tabs>
          <w:tab w:val="right" w:leader="dot" w:pos="9240"/>
        </w:tabs>
        <w:snapToGrid w:val="0"/>
        <w:spacing w:line="360" w:lineRule="auto"/>
        <w:jc w:val="left"/>
        <w:rPr>
          <w:rFonts w:hint="eastAsia" w:ascii="宋体" w:hAnsi="宋体" w:cs="宋体"/>
          <w:color w:val="auto"/>
          <w:sz w:val="28"/>
          <w:szCs w:val="28"/>
          <w:highlight w:val="none"/>
        </w:rPr>
      </w:pPr>
      <w:r>
        <w:rPr>
          <w:color w:val="auto"/>
          <w:highlight w:val="none"/>
        </w:rPr>
        <w:fldChar w:fldCharType="begin"/>
      </w:r>
      <w:r>
        <w:rPr>
          <w:color w:val="auto"/>
          <w:highlight w:val="none"/>
        </w:rPr>
        <w:instrText xml:space="preserve"> HYPERLINK \l "_Toc5649" </w:instrText>
      </w:r>
      <w:r>
        <w:rPr>
          <w:color w:val="auto"/>
          <w:highlight w:val="none"/>
        </w:rPr>
        <w:fldChar w:fldCharType="separate"/>
      </w:r>
      <w:r>
        <w:rPr>
          <w:rFonts w:hint="eastAsia" w:ascii="宋体" w:hAnsi="宋体" w:cs="宋体"/>
          <w:color w:val="auto"/>
          <w:sz w:val="28"/>
          <w:szCs w:val="28"/>
          <w:highlight w:val="none"/>
        </w:rPr>
        <w:t>第三部分 采购需求</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_Toc5649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26</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6C79678E">
      <w:pPr>
        <w:pStyle w:val="45"/>
        <w:tabs>
          <w:tab w:val="right" w:leader="dot" w:pos="9240"/>
        </w:tabs>
        <w:snapToGrid w:val="0"/>
        <w:spacing w:line="360" w:lineRule="auto"/>
        <w:jc w:val="left"/>
        <w:rPr>
          <w:rFonts w:hint="eastAsia" w:ascii="宋体" w:hAnsi="宋体" w:cs="宋体"/>
          <w:color w:val="auto"/>
          <w:sz w:val="28"/>
          <w:szCs w:val="28"/>
          <w:highlight w:val="none"/>
        </w:rPr>
      </w:pPr>
      <w:r>
        <w:rPr>
          <w:color w:val="auto"/>
          <w:highlight w:val="none"/>
        </w:rPr>
        <w:fldChar w:fldCharType="begin"/>
      </w:r>
      <w:r>
        <w:rPr>
          <w:color w:val="auto"/>
          <w:highlight w:val="none"/>
        </w:rPr>
        <w:instrText xml:space="preserve"> HYPERLINK \l "_Toc27879" </w:instrText>
      </w:r>
      <w:r>
        <w:rPr>
          <w:color w:val="auto"/>
          <w:highlight w:val="none"/>
        </w:rPr>
        <w:fldChar w:fldCharType="separate"/>
      </w:r>
      <w:r>
        <w:rPr>
          <w:rFonts w:hint="eastAsia" w:ascii="宋体" w:hAnsi="宋体" w:cs="宋体"/>
          <w:color w:val="auto"/>
          <w:sz w:val="28"/>
          <w:szCs w:val="28"/>
          <w:highlight w:val="none"/>
        </w:rPr>
        <w:t>第四部分 评审办法</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_Toc27879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31</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0886AAA0">
      <w:pPr>
        <w:pStyle w:val="45"/>
        <w:tabs>
          <w:tab w:val="right" w:leader="dot" w:pos="9240"/>
        </w:tabs>
        <w:snapToGrid w:val="0"/>
        <w:spacing w:line="360" w:lineRule="auto"/>
        <w:jc w:val="left"/>
        <w:rPr>
          <w:rFonts w:hint="eastAsia"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"_Toc12059" </w:instrText>
      </w:r>
      <w:r>
        <w:rPr>
          <w:color w:val="auto"/>
          <w:highlight w:val="none"/>
        </w:rPr>
        <w:fldChar w:fldCharType="separate"/>
      </w:r>
      <w:r>
        <w:rPr>
          <w:rFonts w:hint="eastAsia" w:ascii="宋体" w:hAnsi="宋体" w:cs="宋体"/>
          <w:color w:val="auto"/>
          <w:sz w:val="28"/>
          <w:szCs w:val="28"/>
          <w:highlight w:val="none"/>
        </w:rPr>
        <w:t>第五部分 拟签订的合同文本</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_Toc12059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39</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314C6F4D">
      <w:pPr>
        <w:pStyle w:val="45"/>
        <w:tabs>
          <w:tab w:val="right" w:leader="dot" w:pos="9240"/>
        </w:tabs>
        <w:snapToGrid w:val="0"/>
        <w:spacing w:line="360" w:lineRule="auto"/>
        <w:jc w:val="left"/>
        <w:rPr>
          <w:rFonts w:hint="eastAsia"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"_Toc18246" </w:instrText>
      </w:r>
      <w:r>
        <w:rPr>
          <w:color w:val="auto"/>
          <w:highlight w:val="none"/>
        </w:rPr>
        <w:fldChar w:fldCharType="separate"/>
      </w:r>
      <w:r>
        <w:rPr>
          <w:rFonts w:hint="eastAsia" w:ascii="宋体" w:hAnsi="宋体" w:cs="宋体"/>
          <w:color w:val="auto"/>
          <w:sz w:val="28"/>
          <w:szCs w:val="28"/>
          <w:highlight w:val="none"/>
        </w:rPr>
        <w:t>第六部分 应提交的有关格式范例</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_Toc18246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79</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5C56B922">
      <w:pPr>
        <w:pStyle w:val="45"/>
        <w:tabs>
          <w:tab w:val="right" w:leader="dot" w:pos="9746"/>
        </w:tabs>
        <w:rPr>
          <w:color w:val="auto"/>
          <w:highlight w:val="none"/>
        </w:rPr>
      </w:pPr>
    </w:p>
    <w:p w14:paraId="0609373B">
      <w:pPr>
        <w:spacing w:line="360" w:lineRule="auto"/>
        <w:rPr>
          <w:rFonts w:hint="eastAsia" w:ascii="宋体" w:hAnsi="宋体" w:cs="宋体"/>
          <w:color w:val="auto"/>
          <w:sz w:val="32"/>
          <w:szCs w:val="32"/>
          <w:highlight w:val="none"/>
        </w:rPr>
      </w:pPr>
      <w:r>
        <w:rPr>
          <w:rFonts w:ascii="宋体" w:hAnsi="宋体" w:cs="宋体"/>
          <w:color w:val="auto"/>
          <w:szCs w:val="32"/>
          <w:highlight w:val="none"/>
        </w:rPr>
        <w:fldChar w:fldCharType="end"/>
      </w:r>
    </w:p>
    <w:p w14:paraId="2A9878CC">
      <w:pPr>
        <w:spacing w:line="360" w:lineRule="auto"/>
        <w:ind w:firstLine="549" w:firstLineChars="229"/>
        <w:rPr>
          <w:rFonts w:hint="eastAsia" w:ascii="宋体" w:hAnsi="宋体" w:cs="宋体"/>
          <w:color w:val="auto"/>
          <w:sz w:val="24"/>
          <w:highlight w:val="none"/>
        </w:rPr>
      </w:pPr>
      <w:bookmarkStart w:id="3" w:name="_Hlt91233176"/>
      <w:bookmarkEnd w:id="3"/>
      <w:bookmarkStart w:id="4" w:name="_Toc91899869"/>
    </w:p>
    <w:p w14:paraId="365F03F3">
      <w:pPr>
        <w:spacing w:line="360" w:lineRule="auto"/>
        <w:ind w:firstLine="549" w:firstLineChars="229"/>
        <w:rPr>
          <w:rFonts w:hint="eastAsia" w:ascii="宋体" w:hAnsi="宋体" w:cs="宋体"/>
          <w:color w:val="auto"/>
          <w:sz w:val="24"/>
          <w:highlight w:val="none"/>
        </w:rPr>
      </w:pPr>
    </w:p>
    <w:p w14:paraId="762752F2">
      <w:pPr>
        <w:spacing w:line="360" w:lineRule="auto"/>
        <w:ind w:firstLine="549" w:firstLineChars="229"/>
        <w:rPr>
          <w:rFonts w:hint="eastAsia" w:ascii="宋体" w:hAnsi="宋体" w:cs="宋体"/>
          <w:color w:val="auto"/>
          <w:sz w:val="24"/>
          <w:highlight w:val="none"/>
        </w:rPr>
      </w:pPr>
    </w:p>
    <w:p w14:paraId="5DA60DAA">
      <w:pPr>
        <w:spacing w:line="360" w:lineRule="auto"/>
        <w:ind w:firstLine="549" w:firstLineChars="229"/>
        <w:rPr>
          <w:rFonts w:hint="eastAsia" w:ascii="宋体" w:hAnsi="宋体" w:cs="宋体"/>
          <w:color w:val="auto"/>
          <w:sz w:val="24"/>
          <w:highlight w:val="none"/>
        </w:rPr>
      </w:pPr>
    </w:p>
    <w:p w14:paraId="4667276C">
      <w:pPr>
        <w:spacing w:line="360" w:lineRule="auto"/>
        <w:ind w:firstLine="549" w:firstLineChars="229"/>
        <w:rPr>
          <w:rFonts w:hint="eastAsia" w:ascii="宋体" w:hAnsi="宋体" w:cs="宋体"/>
          <w:color w:val="auto"/>
          <w:sz w:val="24"/>
          <w:highlight w:val="none"/>
        </w:rPr>
      </w:pPr>
    </w:p>
    <w:p w14:paraId="7E602CF4">
      <w:pPr>
        <w:spacing w:line="360" w:lineRule="auto"/>
        <w:ind w:firstLine="549" w:firstLineChars="229"/>
        <w:rPr>
          <w:rFonts w:hint="eastAsia" w:ascii="宋体" w:hAnsi="宋体" w:cs="宋体"/>
          <w:color w:val="auto"/>
          <w:sz w:val="24"/>
          <w:highlight w:val="none"/>
        </w:rPr>
      </w:pPr>
    </w:p>
    <w:p w14:paraId="4AA97ADC">
      <w:pPr>
        <w:spacing w:line="360" w:lineRule="auto"/>
        <w:ind w:firstLine="549" w:firstLineChars="229"/>
        <w:rPr>
          <w:rFonts w:hint="eastAsia" w:ascii="宋体" w:hAnsi="宋体" w:cs="宋体"/>
          <w:color w:val="auto"/>
          <w:sz w:val="24"/>
          <w:highlight w:val="none"/>
        </w:rPr>
      </w:pPr>
    </w:p>
    <w:p w14:paraId="62DB2B40">
      <w:pPr>
        <w:spacing w:line="360" w:lineRule="auto"/>
        <w:ind w:firstLine="549" w:firstLineChars="229"/>
        <w:rPr>
          <w:rFonts w:hint="eastAsia" w:ascii="宋体" w:hAnsi="宋体" w:cs="宋体"/>
          <w:color w:val="auto"/>
          <w:sz w:val="24"/>
          <w:highlight w:val="none"/>
        </w:rPr>
      </w:pPr>
    </w:p>
    <w:p w14:paraId="0D173495">
      <w:pPr>
        <w:spacing w:line="360" w:lineRule="auto"/>
        <w:ind w:firstLine="549" w:firstLineChars="229"/>
        <w:rPr>
          <w:rFonts w:hint="eastAsia" w:ascii="宋体" w:hAnsi="宋体" w:cs="宋体"/>
          <w:color w:val="auto"/>
          <w:sz w:val="24"/>
          <w:highlight w:val="none"/>
        </w:rPr>
      </w:pPr>
    </w:p>
    <w:p w14:paraId="4E48F50C">
      <w:pPr>
        <w:rPr>
          <w:color w:val="auto"/>
          <w:highlight w:val="none"/>
        </w:rPr>
      </w:pPr>
      <w:r>
        <w:rPr>
          <w:rFonts w:ascii="宋体" w:hAnsi="宋体" w:cs="宋体"/>
          <w:color w:val="auto"/>
          <w:sz w:val="24"/>
          <w:highlight w:val="none"/>
        </w:rPr>
        <w:br w:type="page"/>
      </w:r>
    </w:p>
    <w:bookmarkEnd w:id="4"/>
    <w:p w14:paraId="5FED9AAF">
      <w:pPr>
        <w:pStyle w:val="5"/>
        <w:snapToGrid w:val="0"/>
        <w:spacing w:before="0" w:after="0" w:line="360" w:lineRule="auto"/>
        <w:ind w:left="0" w:firstLine="0"/>
        <w:jc w:val="center"/>
        <w:rPr>
          <w:color w:val="auto"/>
          <w:highlight w:val="none"/>
        </w:rPr>
      </w:pPr>
      <w:bookmarkStart w:id="5" w:name="_Hlt74728647"/>
      <w:bookmarkEnd w:id="5"/>
      <w:bookmarkStart w:id="6" w:name="_Hlt74707423"/>
      <w:bookmarkEnd w:id="6"/>
      <w:bookmarkStart w:id="7" w:name="_Hlt74649545"/>
      <w:bookmarkEnd w:id="7"/>
      <w:bookmarkStart w:id="8" w:name="_Hlt74729822"/>
      <w:bookmarkEnd w:id="8"/>
      <w:bookmarkStart w:id="9" w:name="_Toc21043"/>
      <w:bookmarkStart w:id="10" w:name="第二部分"/>
      <w:bookmarkStart w:id="11" w:name="_Toc91899870"/>
      <w:bookmarkStart w:id="12" w:name="_Toc91899871"/>
      <w:r>
        <w:rPr>
          <w:rFonts w:hint="eastAsia"/>
          <w:color w:val="auto"/>
          <w:highlight w:val="none"/>
        </w:rPr>
        <w:t>第一部分 竞争性磋商公告</w:t>
      </w:r>
      <w:bookmarkEnd w:id="9"/>
    </w:p>
    <w:p w14:paraId="395416CC">
      <w:pPr>
        <w:pBdr>
          <w:top w:val="single" w:color="auto" w:sz="4" w:space="1"/>
          <w:left w:val="single" w:color="auto" w:sz="4" w:space="4"/>
          <w:bottom w:val="single" w:color="auto" w:sz="4" w:space="1"/>
          <w:right w:val="single" w:color="auto" w:sz="4" w:space="4"/>
        </w:pBdr>
        <w:spacing w:line="360" w:lineRule="auto"/>
        <w:rPr>
          <w:rFonts w:hint="eastAsia" w:ascii="宋体" w:hAnsi="宋体" w:cs="宋体"/>
          <w:color w:val="auto"/>
          <w:sz w:val="24"/>
          <w:highlight w:val="none"/>
        </w:rPr>
      </w:pPr>
      <w:r>
        <w:rPr>
          <w:rFonts w:hint="eastAsia" w:ascii="宋体" w:hAnsi="宋体" w:cs="宋体"/>
          <w:color w:val="auto"/>
          <w:sz w:val="24"/>
          <w:highlight w:val="none"/>
        </w:rPr>
        <w:t>项目概况</w:t>
      </w:r>
    </w:p>
    <w:p w14:paraId="69FB672C">
      <w:pPr>
        <w:pBdr>
          <w:top w:val="single" w:color="auto" w:sz="4" w:space="1"/>
          <w:left w:val="single" w:color="auto" w:sz="4" w:space="4"/>
          <w:bottom w:val="single" w:color="auto" w:sz="4" w:space="1"/>
          <w:right w:val="single" w:color="auto" w:sz="4" w:space="4"/>
        </w:pBd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杭州市源清中学生活区宿舍消防系统改造工程</w:t>
      </w:r>
      <w:r>
        <w:rPr>
          <w:rFonts w:hint="eastAsia" w:ascii="宋体" w:hAnsi="宋体" w:cs="宋体"/>
          <w:color w:val="auto"/>
          <w:sz w:val="24"/>
          <w:highlight w:val="none"/>
        </w:rPr>
        <w:t>的潜在供应商应在</w:t>
      </w:r>
      <w:r>
        <w:rPr>
          <w:rFonts w:hint="eastAsia" w:cs="宋体" w:asciiTheme="minorEastAsia" w:hAnsiTheme="minorEastAsia" w:eastAsiaTheme="minorEastAsia"/>
          <w:snapToGrid w:val="0"/>
          <w:color w:val="auto"/>
          <w:kern w:val="28"/>
          <w:sz w:val="24"/>
          <w:szCs w:val="20"/>
          <w:highlight w:val="none"/>
        </w:rPr>
        <w:t>杭州市教育局非依法招标(小额)项目采购平台（https://hzjyg.lecaiyun.com/）获取（下载）采购文件，</w:t>
      </w:r>
      <w:r>
        <w:rPr>
          <w:rFonts w:hint="eastAsia" w:asciiTheme="minorEastAsia" w:hAnsiTheme="minorEastAsia" w:eastAsiaTheme="minorEastAsia"/>
          <w:color w:val="auto"/>
          <w:sz w:val="24"/>
          <w:highlight w:val="none"/>
          <w:u w:val="single"/>
        </w:rPr>
        <w:t>并于2025年</w:t>
      </w:r>
      <w:r>
        <w:rPr>
          <w:rFonts w:hint="eastAsia" w:asciiTheme="minorEastAsia" w:hAnsiTheme="minorEastAsia" w:eastAsiaTheme="minorEastAsia"/>
          <w:color w:val="auto"/>
          <w:sz w:val="24"/>
          <w:highlight w:val="none"/>
          <w:u w:val="single"/>
          <w:lang w:val="en-US" w:eastAsia="zh-CN"/>
        </w:rPr>
        <w:t>7</w:t>
      </w:r>
      <w:r>
        <w:rPr>
          <w:rFonts w:hint="eastAsia" w:asciiTheme="minorEastAsia" w:hAnsiTheme="minorEastAsia" w:eastAsiaTheme="minorEastAsia"/>
          <w:color w:val="auto"/>
          <w:sz w:val="24"/>
          <w:highlight w:val="none"/>
          <w:u w:val="single"/>
        </w:rPr>
        <w:t>月</w:t>
      </w:r>
      <w:r>
        <w:rPr>
          <w:rFonts w:hint="eastAsia" w:asciiTheme="minorEastAsia" w:hAnsiTheme="minorEastAsia" w:eastAsiaTheme="minorEastAsia"/>
          <w:color w:val="auto"/>
          <w:sz w:val="24"/>
          <w:highlight w:val="none"/>
          <w:u w:val="single"/>
          <w:lang w:val="en-US" w:eastAsia="zh-CN"/>
        </w:rPr>
        <w:t>11</w:t>
      </w:r>
      <w:r>
        <w:rPr>
          <w:rFonts w:hint="eastAsia" w:asciiTheme="minorEastAsia" w:hAnsiTheme="minorEastAsia" w:eastAsiaTheme="minorEastAsia"/>
          <w:color w:val="auto"/>
          <w:sz w:val="24"/>
          <w:highlight w:val="none"/>
          <w:u w:val="single"/>
        </w:rPr>
        <w:t>日9:00</w:t>
      </w:r>
      <w:r>
        <w:rPr>
          <w:rFonts w:hint="eastAsia" w:cs="宋体" w:asciiTheme="minorEastAsia" w:hAnsiTheme="minorEastAsia" w:eastAsiaTheme="minorEastAsia"/>
          <w:snapToGrid w:val="0"/>
          <w:color w:val="auto"/>
          <w:kern w:val="28"/>
          <w:sz w:val="24"/>
          <w:szCs w:val="20"/>
          <w:highlight w:val="none"/>
        </w:rPr>
        <w:t>（北京时间）前提交（上传）响应文件。</w:t>
      </w:r>
    </w:p>
    <w:p w14:paraId="6CB205BB">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 xml:space="preserve">一、项目基本情况                                            </w:t>
      </w:r>
    </w:p>
    <w:p w14:paraId="0492D5B7">
      <w:pPr>
        <w:snapToGrid w:val="0"/>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项目编号：</w:t>
      </w:r>
      <w:r>
        <w:rPr>
          <w:rFonts w:hint="eastAsia" w:ascii="宋体" w:hAnsi="宋体" w:cs="宋体"/>
          <w:bCs/>
          <w:color w:val="auto"/>
          <w:sz w:val="24"/>
          <w:highlight w:val="none"/>
        </w:rPr>
        <w:t>HCZX-25317</w:t>
      </w:r>
    </w:p>
    <w:p w14:paraId="101D8DD9">
      <w:pPr>
        <w:snapToGrid w:val="0"/>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项目名称：</w:t>
      </w:r>
      <w:r>
        <w:rPr>
          <w:rFonts w:hint="eastAsia" w:ascii="宋体" w:hAnsi="宋体" w:cs="宋体"/>
          <w:bCs/>
          <w:color w:val="auto"/>
          <w:sz w:val="24"/>
          <w:highlight w:val="none"/>
        </w:rPr>
        <w:t>杭州市源清中学生活区宿舍消防系统改造工程</w:t>
      </w:r>
    </w:p>
    <w:p w14:paraId="58D7726E">
      <w:pPr>
        <w:snapToGrid w:val="0"/>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预算金额（元）</w:t>
      </w:r>
      <w:r>
        <w:rPr>
          <w:rFonts w:hint="eastAsia" w:ascii="宋体" w:hAnsi="宋体" w:cs="宋体"/>
          <w:bCs/>
          <w:color w:val="auto"/>
          <w:sz w:val="24"/>
          <w:highlight w:val="none"/>
        </w:rPr>
        <w:t xml:space="preserve">：850000   </w:t>
      </w:r>
    </w:p>
    <w:p w14:paraId="5C4DD36E">
      <w:pPr>
        <w:snapToGrid w:val="0"/>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最高限价（元）：</w:t>
      </w:r>
      <w:r>
        <w:rPr>
          <w:rFonts w:hint="eastAsia" w:ascii="宋体" w:hAnsi="宋体" w:cs="宋体"/>
          <w:bCs/>
          <w:color w:val="auto"/>
          <w:sz w:val="24"/>
          <w:highlight w:val="none"/>
        </w:rPr>
        <w:t xml:space="preserve">850000 </w:t>
      </w:r>
    </w:p>
    <w:p w14:paraId="30B50B43">
      <w:pPr>
        <w:pStyle w:val="18"/>
        <w:spacing w:line="360" w:lineRule="auto"/>
        <w:ind w:firstLine="482" w:firstLineChars="200"/>
        <w:rPr>
          <w:rFonts w:hint="eastAsia" w:hAnsi="宋体" w:cs="宋体"/>
          <w:bCs/>
          <w:snapToGrid/>
          <w:color w:val="auto"/>
          <w:kern w:val="2"/>
          <w:sz w:val="24"/>
          <w:szCs w:val="24"/>
          <w:highlight w:val="none"/>
        </w:rPr>
      </w:pPr>
      <w:r>
        <w:rPr>
          <w:rFonts w:hint="eastAsia" w:hAnsi="宋体" w:cs="宋体"/>
          <w:b/>
          <w:color w:val="auto"/>
          <w:sz w:val="24"/>
          <w:highlight w:val="none"/>
        </w:rPr>
        <w:t>采购需求：</w:t>
      </w:r>
      <w:r>
        <w:rPr>
          <w:rFonts w:hint="eastAsia" w:hAnsi="宋体" w:cs="宋体"/>
          <w:bCs/>
          <w:color w:val="auto"/>
          <w:sz w:val="24"/>
          <w:highlight w:val="none"/>
        </w:rPr>
        <w:t>杭州市源清中学生活区宿舍消防系统改造工程</w:t>
      </w:r>
      <w:r>
        <w:rPr>
          <w:rFonts w:hint="eastAsia" w:hAnsi="宋体" w:cs="宋体"/>
          <w:bCs/>
          <w:snapToGrid/>
          <w:color w:val="auto"/>
          <w:kern w:val="2"/>
          <w:sz w:val="24"/>
          <w:szCs w:val="24"/>
          <w:highlight w:val="none"/>
        </w:rPr>
        <w:t>，详见采购文件第三部分采购需求。</w:t>
      </w:r>
    </w:p>
    <w:p w14:paraId="2C7DDD30">
      <w:pPr>
        <w:pStyle w:val="133"/>
        <w:snapToGrid w:val="0"/>
        <w:spacing w:before="0"/>
        <w:ind w:firstLine="482"/>
        <w:outlineLvl w:val="2"/>
        <w:rPr>
          <w:rFonts w:hint="eastAsia" w:ascii="宋体" w:hAnsi="宋体" w:cs="宋体"/>
          <w:color w:val="auto"/>
          <w:highlight w:val="none"/>
        </w:rPr>
      </w:pPr>
      <w:r>
        <w:rPr>
          <w:rFonts w:hint="eastAsia" w:ascii="宋体" w:hAnsi="宋体" w:cs="宋体"/>
          <w:b/>
          <w:color w:val="auto"/>
          <w:highlight w:val="none"/>
        </w:rPr>
        <w:t>合同履约期限：</w:t>
      </w:r>
      <w:r>
        <w:rPr>
          <w:rFonts w:hint="eastAsia" w:ascii="宋体" w:hAnsi="宋体" w:cs="宋体"/>
          <w:bCs/>
          <w:color w:val="auto"/>
          <w:szCs w:val="24"/>
          <w:highlight w:val="none"/>
        </w:rPr>
        <w:t>按签署合同规定。</w:t>
      </w:r>
    </w:p>
    <w:p w14:paraId="739B37BA">
      <w:pPr>
        <w:pStyle w:val="18"/>
        <w:spacing w:line="360" w:lineRule="auto"/>
        <w:ind w:firstLine="482" w:firstLineChars="200"/>
        <w:rPr>
          <w:rFonts w:hint="eastAsia" w:hAnsi="宋体" w:cs="宋体"/>
          <w:b/>
          <w:color w:val="auto"/>
          <w:sz w:val="24"/>
          <w:highlight w:val="none"/>
        </w:rPr>
      </w:pPr>
      <w:r>
        <w:rPr>
          <w:rFonts w:hint="eastAsia" w:hAnsi="宋体" w:cs="宋体"/>
          <w:b/>
          <w:color w:val="auto"/>
          <w:sz w:val="24"/>
          <w:highlight w:val="none"/>
        </w:rPr>
        <w:t>本项目接受联合体：</w:t>
      </w:r>
    </w:p>
    <w:p w14:paraId="24B5CABD">
      <w:pPr>
        <w:pStyle w:val="18"/>
        <w:spacing w:line="360" w:lineRule="auto"/>
        <w:ind w:firstLine="480" w:firstLineChars="200"/>
        <w:rPr>
          <w:rFonts w:hint="eastAsia" w:hAnsi="宋体" w:cs="宋体"/>
          <w:color w:val="auto"/>
          <w:sz w:val="24"/>
          <w:highlight w:val="none"/>
        </w:rPr>
      </w:pPr>
      <w:sdt>
        <w:sdtPr>
          <w:rPr>
            <w:rFonts w:hint="eastAsia" w:hAnsi="宋体" w:cs="宋体"/>
            <w:color w:val="auto"/>
            <w:kern w:val="0"/>
            <w:sz w:val="24"/>
            <w:highlight w:val="none"/>
          </w:rPr>
          <w:id w:val="2035453831"/>
          <w14:checkbox>
            <w14:checked w14:val="1"/>
            <w14:checkedState w14:val="00FE" w14:font="Wingdings"/>
            <w14:uncheckedState w14:val="2610" w14:font="MS Gothic"/>
          </w14:checkbox>
        </w:sdtPr>
        <w:sdtEndPr>
          <w:rPr>
            <w:rFonts w:hint="eastAsia" w:hAnsi="宋体" w:cs="宋体"/>
            <w:color w:val="auto"/>
            <w:kern w:val="0"/>
            <w:sz w:val="24"/>
            <w:highlight w:val="none"/>
          </w:rPr>
        </w:sdtEndPr>
        <w:sdtContent>
          <w:r>
            <w:rPr>
              <w:rFonts w:hAnsi="宋体" w:cs="宋体"/>
              <w:color w:val="auto"/>
              <w:kern w:val="0"/>
              <w:sz w:val="24"/>
              <w:highlight w:val="none"/>
            </w:rPr>
            <w:sym w:font="Wingdings" w:char="F0FE"/>
          </w:r>
        </w:sdtContent>
      </w:sdt>
      <w:r>
        <w:rPr>
          <w:rFonts w:hint="eastAsia" w:hAnsi="宋体" w:cs="宋体"/>
          <w:color w:val="auto"/>
          <w:sz w:val="24"/>
          <w:highlight w:val="none"/>
        </w:rPr>
        <w:t>是；</w:t>
      </w:r>
    </w:p>
    <w:p w14:paraId="6D2F8B5A">
      <w:pPr>
        <w:pStyle w:val="18"/>
        <w:spacing w:line="360" w:lineRule="auto"/>
        <w:ind w:firstLine="480" w:firstLineChars="200"/>
        <w:rPr>
          <w:rFonts w:hint="eastAsia" w:hAnsi="宋体" w:cs="宋体"/>
          <w:color w:val="auto"/>
          <w:kern w:val="0"/>
          <w:sz w:val="24"/>
          <w:highlight w:val="none"/>
        </w:rPr>
      </w:pPr>
      <w:sdt>
        <w:sdtPr>
          <w:rPr>
            <w:rFonts w:hint="eastAsia" w:hAnsi="宋体" w:cs="宋体"/>
            <w:color w:val="auto"/>
            <w:kern w:val="0"/>
            <w:sz w:val="24"/>
            <w:highlight w:val="none"/>
          </w:rPr>
          <w:id w:val="-1765526721"/>
          <w14:checkbox>
            <w14:checked w14:val="0"/>
            <w14:checkedState w14:val="00FE" w14:font="Wingdings"/>
            <w14:uncheckedState w14:val="2610" w14:font="MS Gothic"/>
          </w14:checkbox>
        </w:sdtPr>
        <w:sdtEndPr>
          <w:rPr>
            <w:rFonts w:hint="eastAsia" w:hAnsi="宋体" w:cs="宋体"/>
            <w:color w:val="auto"/>
            <w:kern w:val="0"/>
            <w:sz w:val="24"/>
            <w:highlight w:val="none"/>
          </w:rPr>
        </w:sdtEndPr>
        <w:sdtContent>
          <w:r>
            <w:rPr>
              <w:rFonts w:hAnsi="宋体" w:cs="宋体"/>
              <w:color w:val="auto"/>
              <w:kern w:val="0"/>
              <w:sz w:val="24"/>
              <w:highlight w:val="none"/>
            </w:rPr>
            <w:t>☐</w:t>
          </w:r>
        </w:sdtContent>
      </w:sdt>
      <w:r>
        <w:rPr>
          <w:rFonts w:hint="eastAsia" w:hAnsi="宋体" w:cs="宋体"/>
          <w:color w:val="auto"/>
          <w:sz w:val="24"/>
          <w:highlight w:val="none"/>
        </w:rPr>
        <w:t>否</w:t>
      </w:r>
      <w:r>
        <w:rPr>
          <w:rFonts w:hint="eastAsia" w:hAnsi="宋体" w:cs="宋体"/>
          <w:color w:val="auto"/>
          <w:kern w:val="0"/>
          <w:sz w:val="24"/>
          <w:highlight w:val="none"/>
        </w:rPr>
        <w:t>，不接受联合体理由：</w:t>
      </w:r>
      <w:r>
        <w:rPr>
          <w:rFonts w:hAnsi="宋体" w:cs="宋体"/>
          <w:color w:val="auto"/>
          <w:kern w:val="0"/>
          <w:sz w:val="24"/>
          <w:highlight w:val="none"/>
          <w:u w:val="single"/>
        </w:rPr>
        <w:t xml:space="preserve">              </w:t>
      </w:r>
      <w:r>
        <w:rPr>
          <w:rFonts w:hint="eastAsia" w:hAnsi="宋体" w:cs="宋体"/>
          <w:color w:val="auto"/>
          <w:kern w:val="0"/>
          <w:sz w:val="24"/>
          <w:highlight w:val="none"/>
        </w:rPr>
        <w:t>。</w:t>
      </w:r>
    </w:p>
    <w:p w14:paraId="5401DB9A">
      <w:pPr>
        <w:pStyle w:val="133"/>
        <w:snapToGrid w:val="0"/>
        <w:spacing w:before="0"/>
        <w:ind w:firstLine="482"/>
        <w:outlineLvl w:val="2"/>
        <w:rPr>
          <w:rFonts w:hint="eastAsia" w:ascii="宋体" w:hAnsi="宋体" w:cs="宋体"/>
          <w:b/>
          <w:color w:val="auto"/>
          <w:highlight w:val="none"/>
        </w:rPr>
      </w:pPr>
      <w:r>
        <w:rPr>
          <w:rFonts w:hint="eastAsia" w:ascii="宋体" w:hAnsi="宋体" w:cs="宋体"/>
          <w:b/>
          <w:color w:val="auto"/>
          <w:highlight w:val="none"/>
        </w:rPr>
        <w:t>注：不得限制大中型企业与小微企业组成联合体参与。</w:t>
      </w:r>
    </w:p>
    <w:p w14:paraId="66528FF7">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二、</w:t>
      </w:r>
      <w:bookmarkStart w:id="13" w:name="_Hlk101132948"/>
      <w:r>
        <w:rPr>
          <w:rFonts w:hint="eastAsia" w:ascii="宋体" w:hAnsi="宋体" w:cs="宋体"/>
          <w:b/>
          <w:color w:val="auto"/>
          <w:sz w:val="24"/>
          <w:highlight w:val="none"/>
        </w:rPr>
        <w:t>申请人的资格要求</w:t>
      </w:r>
      <w:bookmarkEnd w:id="13"/>
      <w:r>
        <w:rPr>
          <w:rFonts w:hint="eastAsia" w:ascii="宋体" w:hAnsi="宋体" w:cs="宋体"/>
          <w:b/>
          <w:color w:val="auto"/>
          <w:sz w:val="24"/>
          <w:highlight w:val="none"/>
        </w:rPr>
        <w:t>：</w:t>
      </w:r>
    </w:p>
    <w:p w14:paraId="0869DB96">
      <w:pPr>
        <w:spacing w:line="360" w:lineRule="auto"/>
        <w:ind w:firstLine="480"/>
        <w:rPr>
          <w:rFonts w:hint="eastAsia" w:ascii="宋体" w:hAnsi="宋体" w:cs="宋体"/>
          <w:snapToGrid w:val="0"/>
          <w:color w:val="auto"/>
          <w:kern w:val="28"/>
          <w:sz w:val="24"/>
          <w:szCs w:val="20"/>
          <w:highlight w:val="none"/>
        </w:rPr>
      </w:pPr>
      <w:r>
        <w:rPr>
          <w:rFonts w:hint="eastAsia" w:ascii="宋体" w:hAnsi="宋体" w:cs="宋体"/>
          <w:snapToGrid w:val="0"/>
          <w:color w:val="auto"/>
          <w:kern w:val="28"/>
          <w:sz w:val="24"/>
          <w:szCs w:val="20"/>
          <w:highlight w:val="none"/>
        </w:rPr>
        <w:t>1.满足《中华人民共和国政府采购法》第二十二条规定；未被“信用中国”（www.creditchina.gov.cn)、中国政府采购网（www.ccgp.gov.cn）列入失信被执行人、重大税收违法案件当事人名单、政府采购严重违法失信行为记录名单；</w:t>
      </w:r>
    </w:p>
    <w:p w14:paraId="6019CFB3">
      <w:pPr>
        <w:spacing w:line="360" w:lineRule="auto"/>
        <w:rPr>
          <w:rFonts w:hint="eastAsia" w:ascii="宋体" w:hAnsi="宋体" w:cs="宋体"/>
          <w:snapToGrid w:val="0"/>
          <w:color w:val="auto"/>
          <w:kern w:val="28"/>
          <w:sz w:val="24"/>
          <w:szCs w:val="20"/>
          <w:highlight w:val="none"/>
        </w:rPr>
      </w:pPr>
      <w:r>
        <w:rPr>
          <w:rFonts w:hint="eastAsia" w:ascii="宋体" w:hAnsi="宋体" w:cs="宋体"/>
          <w:snapToGrid w:val="0"/>
          <w:color w:val="auto"/>
          <w:kern w:val="28"/>
          <w:sz w:val="24"/>
          <w:szCs w:val="20"/>
          <w:highlight w:val="none"/>
        </w:rPr>
        <w:t xml:space="preserve">    </w:t>
      </w:r>
      <w:r>
        <w:rPr>
          <w:rFonts w:ascii="宋体" w:hAnsi="宋体" w:cs="宋体"/>
          <w:snapToGrid w:val="0"/>
          <w:color w:val="auto"/>
          <w:kern w:val="28"/>
          <w:sz w:val="24"/>
          <w:szCs w:val="20"/>
          <w:highlight w:val="none"/>
        </w:rPr>
        <w:t>2</w:t>
      </w:r>
      <w:r>
        <w:rPr>
          <w:rFonts w:hint="eastAsia" w:ascii="宋体" w:hAnsi="宋体" w:cs="宋体"/>
          <w:snapToGrid w:val="0"/>
          <w:color w:val="auto"/>
          <w:kern w:val="28"/>
          <w:sz w:val="24"/>
          <w:szCs w:val="20"/>
          <w:highlight w:val="none"/>
        </w:rPr>
        <w:t>.以联合体形式参与的，提供联合协议(本项目不接受联合体或者供应商不以联合体形式参与的，则不需要提供) ；</w:t>
      </w:r>
    </w:p>
    <w:p w14:paraId="5941E76F">
      <w:pPr>
        <w:spacing w:line="360" w:lineRule="auto"/>
        <w:ind w:firstLine="480" w:firstLineChars="200"/>
        <w:rPr>
          <w:rFonts w:hint="eastAsia" w:ascii="宋体" w:hAnsi="宋体" w:cs="宋体"/>
          <w:snapToGrid w:val="0"/>
          <w:color w:val="auto"/>
          <w:kern w:val="28"/>
          <w:sz w:val="24"/>
          <w:szCs w:val="20"/>
          <w:highlight w:val="none"/>
        </w:rPr>
      </w:pPr>
      <w:r>
        <w:rPr>
          <w:rFonts w:ascii="宋体" w:hAnsi="宋体" w:cs="宋体"/>
          <w:snapToGrid w:val="0"/>
          <w:color w:val="auto"/>
          <w:kern w:val="28"/>
          <w:sz w:val="24"/>
          <w:szCs w:val="20"/>
          <w:highlight w:val="none"/>
        </w:rPr>
        <w:t>3</w:t>
      </w:r>
      <w:r>
        <w:rPr>
          <w:rFonts w:hint="eastAsia" w:ascii="宋体" w:hAnsi="宋体" w:cs="宋体"/>
          <w:snapToGrid w:val="0"/>
          <w:color w:val="auto"/>
          <w:kern w:val="28"/>
          <w:sz w:val="24"/>
          <w:szCs w:val="20"/>
          <w:highlight w:val="none"/>
        </w:rPr>
        <w:t>.落实政府采购政策需满足的资格要求：</w:t>
      </w:r>
    </w:p>
    <w:p w14:paraId="50586C42">
      <w:pPr>
        <w:spacing w:line="360" w:lineRule="auto"/>
        <w:ind w:firstLine="480" w:firstLineChars="200"/>
        <w:rPr>
          <w:rFonts w:hint="eastAsia" w:ascii="宋体" w:hAnsi="宋体" w:cs="宋体"/>
          <w:color w:val="auto"/>
          <w:sz w:val="24"/>
          <w:highlight w:val="none"/>
        </w:rPr>
      </w:pPr>
      <w:sdt>
        <w:sdtPr>
          <w:rPr>
            <w:rFonts w:hint="eastAsia" w:ascii="宋体" w:hAnsi="宋体" w:cs="宋体"/>
            <w:color w:val="auto"/>
            <w:kern w:val="0"/>
            <w:sz w:val="24"/>
            <w:highlight w:val="none"/>
          </w:rPr>
          <w:id w:val="1928616923"/>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sz w:val="24"/>
          <w:highlight w:val="none"/>
        </w:rPr>
        <w:t>无；</w:t>
      </w:r>
    </w:p>
    <w:p w14:paraId="6B3DFF22">
      <w:pPr>
        <w:spacing w:line="360" w:lineRule="auto"/>
        <w:ind w:firstLine="480" w:firstLineChars="200"/>
        <w:rPr>
          <w:rFonts w:hint="eastAsia" w:ascii="宋体" w:hAnsi="宋体" w:cs="宋体"/>
          <w:color w:val="auto"/>
          <w:sz w:val="24"/>
          <w:highlight w:val="none"/>
        </w:rPr>
      </w:pPr>
      <w:sdt>
        <w:sdtPr>
          <w:rPr>
            <w:rFonts w:hint="eastAsia" w:ascii="宋体" w:hAnsi="宋体" w:cs="宋体"/>
            <w:color w:val="auto"/>
            <w:kern w:val="0"/>
            <w:sz w:val="24"/>
            <w:highlight w:val="none"/>
          </w:rPr>
          <w:id w:val="-1024704304"/>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sym w:font="Wingdings" w:char="F0FE"/>
          </w:r>
        </w:sdtContent>
      </w:sdt>
      <w:r>
        <w:rPr>
          <w:rFonts w:hint="eastAsia" w:ascii="宋体" w:hAnsi="宋体" w:cs="宋体"/>
          <w:color w:val="auto"/>
          <w:kern w:val="0"/>
          <w:sz w:val="24"/>
          <w:highlight w:val="none"/>
        </w:rPr>
        <w:t>专</w:t>
      </w:r>
      <w:r>
        <w:rPr>
          <w:rFonts w:hint="eastAsia" w:ascii="宋体" w:hAnsi="宋体" w:cs="宋体"/>
          <w:color w:val="auto"/>
          <w:sz w:val="24"/>
          <w:highlight w:val="none"/>
        </w:rPr>
        <w:t>门面向中小企业</w:t>
      </w:r>
    </w:p>
    <w:p w14:paraId="4471AF6A">
      <w:pPr>
        <w:spacing w:line="360" w:lineRule="auto"/>
        <w:ind w:firstLine="897" w:firstLineChars="374"/>
        <w:rPr>
          <w:rFonts w:hint="eastAsia" w:ascii="宋体" w:hAnsi="宋体" w:cs="宋体"/>
          <w:color w:val="auto"/>
          <w:sz w:val="24"/>
          <w:highlight w:val="none"/>
          <w:u w:val="single"/>
        </w:rPr>
      </w:pPr>
      <w:sdt>
        <w:sdtPr>
          <w:rPr>
            <w:rFonts w:hint="eastAsia" w:ascii="宋体" w:hAnsi="宋体" w:cs="宋体"/>
            <w:color w:val="auto"/>
            <w:kern w:val="0"/>
            <w:sz w:val="24"/>
            <w:highlight w:val="none"/>
          </w:rPr>
          <w:id w:val="-924730588"/>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sym w:font="Wingdings" w:char="F0FE"/>
          </w:r>
        </w:sdtContent>
      </w:sdt>
      <w:r>
        <w:rPr>
          <w:rFonts w:hint="eastAsia" w:ascii="宋体" w:hAnsi="宋体" w:cs="宋体"/>
          <w:color w:val="auto"/>
          <w:sz w:val="24"/>
          <w:highlight w:val="none"/>
        </w:rPr>
        <w:t>工程全部由符合政策要求的中小企业承建，提供中小企业声明函；</w:t>
      </w:r>
    </w:p>
    <w:p w14:paraId="58635D48">
      <w:pPr>
        <w:spacing w:line="360" w:lineRule="auto"/>
        <w:ind w:firstLine="960" w:firstLineChars="400"/>
        <w:rPr>
          <w:rFonts w:hint="eastAsia" w:ascii="宋体" w:hAnsi="宋体" w:cs="宋体"/>
          <w:color w:val="auto"/>
          <w:sz w:val="24"/>
          <w:highlight w:val="none"/>
        </w:rPr>
      </w:pPr>
      <w:sdt>
        <w:sdtPr>
          <w:rPr>
            <w:rFonts w:hint="eastAsia" w:ascii="宋体" w:hAnsi="宋体" w:cs="宋体"/>
            <w:color w:val="auto"/>
            <w:kern w:val="0"/>
            <w:sz w:val="24"/>
            <w:highlight w:val="none"/>
          </w:rPr>
          <w:id w:val="-1985607795"/>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bookmarkStart w:id="14" w:name="_Hlk101132524"/>
        </w:sdtContent>
      </w:sdt>
      <w:r>
        <w:rPr>
          <w:rFonts w:hint="eastAsia" w:ascii="宋体" w:hAnsi="宋体" w:cs="宋体"/>
          <w:color w:val="auto"/>
          <w:sz w:val="24"/>
          <w:highlight w:val="none"/>
        </w:rPr>
        <w:t>要求以联合体形式参加，提供联合协议和中小企业声明函，联合协议中中小企业合同金额应当达到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%，其中小微企业合同金额应当达到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pacing w:val="8"/>
          <w:kern w:val="0"/>
          <w:sz w:val="24"/>
          <w:highlight w:val="none"/>
        </w:rPr>
        <w:t>如果供应商本身提供所有标的均由中小企业承建，并相应达到了前述比例要求，视同符合了资格条件，无需再与其他中小企业组成联合体参加政府采购活动，无需提供联合协议</w:t>
      </w:r>
      <w:r>
        <w:rPr>
          <w:rFonts w:hint="eastAsia" w:ascii="宋体" w:hAnsi="宋体" w:cs="宋体"/>
          <w:color w:val="auto"/>
          <w:sz w:val="24"/>
          <w:highlight w:val="none"/>
        </w:rPr>
        <w:t>；</w:t>
      </w:r>
    </w:p>
    <w:bookmarkEnd w:id="14"/>
    <w:p w14:paraId="76FE82F2">
      <w:pPr>
        <w:spacing w:line="360" w:lineRule="auto"/>
        <w:ind w:firstLine="480" w:firstLineChars="200"/>
        <w:rPr>
          <w:rFonts w:hint="eastAsia" w:ascii="宋体" w:hAnsi="宋体" w:cs="宋体"/>
          <w:color w:val="auto"/>
          <w:sz w:val="24"/>
          <w:highlight w:val="none"/>
        </w:rPr>
      </w:pPr>
      <w:sdt>
        <w:sdtPr>
          <w:rPr>
            <w:rFonts w:hint="eastAsia" w:ascii="宋体" w:hAnsi="宋体" w:cs="宋体"/>
            <w:color w:val="auto"/>
            <w:kern w:val="0"/>
            <w:sz w:val="24"/>
            <w:highlight w:val="none"/>
          </w:rPr>
          <w:id w:val="34630645"/>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sz w:val="24"/>
          <w:highlight w:val="none"/>
        </w:rPr>
        <w:t>要求合同分包，提供分包意向协议和中小企业声明函，分包意向协议中中小企业合同金额应当达到达到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，其中小微企业合同金额应当达到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w:t>
      </w:r>
      <w:r>
        <w:rPr>
          <w:rFonts w:hint="eastAsia" w:ascii="宋体" w:hAnsi="宋体" w:cs="宋体"/>
          <w:color w:val="auto"/>
          <w:spacing w:val="8"/>
          <w:kern w:val="0"/>
          <w:sz w:val="24"/>
          <w:highlight w:val="none"/>
        </w:rPr>
        <w:t>如果供应商本身提供所有标的均由中小企业承建，并相应达到了前述比例要求，视同符合了资格条件，无需再向中小企业分包，无需提供分包意向协议</w:t>
      </w:r>
      <w:r>
        <w:rPr>
          <w:rFonts w:hint="eastAsia" w:ascii="宋体" w:hAnsi="宋体" w:cs="宋体"/>
          <w:color w:val="auto"/>
          <w:sz w:val="24"/>
          <w:highlight w:val="none"/>
        </w:rPr>
        <w:t>；</w:t>
      </w:r>
    </w:p>
    <w:p w14:paraId="1CF27E6B">
      <w:pPr>
        <w:snapToGrid w:val="0"/>
        <w:spacing w:line="360" w:lineRule="auto"/>
        <w:ind w:firstLine="480" w:firstLineChars="200"/>
        <w:rPr>
          <w:rFonts w:hint="eastAsia" w:ascii="宋体" w:hAnsi="宋体" w:cs="宋体"/>
          <w:color w:val="auto"/>
          <w:sz w:val="24"/>
          <w:highlight w:val="none"/>
        </w:rPr>
      </w:pPr>
      <w:r>
        <w:rPr>
          <w:rFonts w:ascii="宋体" w:hAnsi="宋体" w:cs="宋体"/>
          <w:color w:val="auto"/>
          <w:sz w:val="24"/>
          <w:highlight w:val="none"/>
        </w:rPr>
        <w:t>4</w:t>
      </w:r>
      <w:r>
        <w:rPr>
          <w:rFonts w:hint="eastAsia" w:ascii="宋体" w:hAnsi="宋体" w:cs="宋体"/>
          <w:color w:val="auto"/>
          <w:sz w:val="24"/>
          <w:highlight w:val="none"/>
        </w:rPr>
        <w:t>.本项目的特定资格要求：</w:t>
      </w:r>
    </w:p>
    <w:p w14:paraId="1DE89621">
      <w:pPr>
        <w:snapToGrid w:val="0"/>
        <w:spacing w:line="360"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（1）须具消防设施工程专业承包二级（含）以上资质；</w:t>
      </w:r>
    </w:p>
    <w:p w14:paraId="7ED43FDC">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（2）须具有安全生产许可证，且在有效期内；</w:t>
      </w:r>
    </w:p>
    <w:p w14:paraId="2FA2CCE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14:paraId="139B04F2">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 xml:space="preserve">三、获取采购文件 </w:t>
      </w:r>
    </w:p>
    <w:p w14:paraId="3D1981A5">
      <w:pPr>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时间：</w:t>
      </w:r>
      <w:r>
        <w:rPr>
          <w:rFonts w:hint="eastAsia" w:ascii="宋体" w:hAnsi="宋体" w:cs="宋体"/>
          <w:color w:val="auto"/>
          <w:sz w:val="24"/>
          <w:highlight w:val="none"/>
        </w:rPr>
        <w:t>/至</w:t>
      </w:r>
      <w:r>
        <w:rPr>
          <w:rFonts w:hint="eastAsia" w:asciiTheme="minorEastAsia" w:hAnsiTheme="minorEastAsia" w:eastAsiaTheme="minorEastAsia"/>
          <w:color w:val="auto"/>
          <w:sz w:val="24"/>
          <w:highlight w:val="none"/>
          <w:u w:val="single"/>
        </w:rPr>
        <w:t>2025年</w:t>
      </w:r>
      <w:r>
        <w:rPr>
          <w:rFonts w:hint="eastAsia" w:asciiTheme="minorEastAsia" w:hAnsiTheme="minorEastAsia" w:eastAsiaTheme="minorEastAsia"/>
          <w:color w:val="auto"/>
          <w:sz w:val="24"/>
          <w:highlight w:val="none"/>
          <w:u w:val="single"/>
          <w:lang w:val="en-US" w:eastAsia="zh-CN"/>
        </w:rPr>
        <w:t>7</w:t>
      </w:r>
      <w:r>
        <w:rPr>
          <w:rFonts w:hint="eastAsia" w:asciiTheme="minorEastAsia" w:hAnsiTheme="minorEastAsia" w:eastAsiaTheme="minorEastAsia"/>
          <w:color w:val="auto"/>
          <w:sz w:val="24"/>
          <w:highlight w:val="none"/>
          <w:u w:val="single"/>
        </w:rPr>
        <w:t>月</w:t>
      </w:r>
      <w:r>
        <w:rPr>
          <w:rFonts w:hint="eastAsia" w:asciiTheme="minorEastAsia" w:hAnsiTheme="minorEastAsia" w:eastAsiaTheme="minorEastAsia"/>
          <w:color w:val="auto"/>
          <w:sz w:val="24"/>
          <w:highlight w:val="none"/>
          <w:u w:val="single"/>
          <w:lang w:val="en-US" w:eastAsia="zh-CN"/>
        </w:rPr>
        <w:t>7</w:t>
      </w:r>
      <w:r>
        <w:rPr>
          <w:rFonts w:hint="eastAsia" w:asciiTheme="minorEastAsia" w:hAnsiTheme="minorEastAsia" w:eastAsiaTheme="minorEastAsia"/>
          <w:color w:val="auto"/>
          <w:sz w:val="24"/>
          <w:highlight w:val="none"/>
          <w:u w:val="single"/>
        </w:rPr>
        <w:t>日</w:t>
      </w:r>
      <w:r>
        <w:rPr>
          <w:rFonts w:hint="eastAsia" w:ascii="宋体" w:hAnsi="宋体" w:cs="宋体"/>
          <w:color w:val="auto"/>
          <w:sz w:val="24"/>
          <w:highlight w:val="none"/>
        </w:rPr>
        <w:t>，每天上午</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:00至1</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:00 ，下午1</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:00至</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00</w:t>
      </w:r>
      <w:r>
        <w:rPr>
          <w:rFonts w:hint="eastAsia" w:ascii="宋体" w:hAnsi="宋体" w:cs="宋体"/>
          <w:color w:val="auto"/>
          <w:sz w:val="24"/>
          <w:highlight w:val="none"/>
        </w:rPr>
        <w:t>（北京时间，线上获取法定节假日均可，线下获取文件法定节假日除外）</w:t>
      </w:r>
    </w:p>
    <w:p w14:paraId="168F6698">
      <w:pPr>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地点（网址）：</w:t>
      </w:r>
      <w:r>
        <w:rPr>
          <w:rFonts w:hint="eastAsia" w:ascii="宋体" w:hAnsi="宋体" w:cs="宋体"/>
          <w:color w:val="auto"/>
          <w:sz w:val="24"/>
          <w:highlight w:val="none"/>
        </w:rPr>
        <w:t xml:space="preserve">杭州市教育局非依法招标(小额)项目采购平台（https://hzjyg.lecaiyun.com/） </w:t>
      </w:r>
    </w:p>
    <w:p w14:paraId="165F8BEB">
      <w:pPr>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方式：</w:t>
      </w:r>
      <w:r>
        <w:rPr>
          <w:rFonts w:hint="eastAsia" w:cs="宋体" w:asciiTheme="minorEastAsia" w:hAnsiTheme="minorEastAsia" w:eastAsiaTheme="minorEastAsia"/>
          <w:bCs/>
          <w:color w:val="auto"/>
          <w:sz w:val="24"/>
          <w:highlight w:val="none"/>
        </w:rPr>
        <w:t>（1）线上获取（登录</w:t>
      </w:r>
      <w:r>
        <w:rPr>
          <w:rFonts w:hint="eastAsia" w:ascii="宋体" w:hAnsi="宋体" w:cs="宋体"/>
          <w:color w:val="auto"/>
          <w:sz w:val="24"/>
          <w:highlight w:val="none"/>
        </w:rPr>
        <w:t>杭州市教育局非依法招标(小额)项目采购平台（https://hzjyg.lecaiyun.com/）</w:t>
      </w:r>
      <w:r>
        <w:rPr>
          <w:rFonts w:hint="eastAsia" w:cs="宋体" w:asciiTheme="minorEastAsia" w:hAnsiTheme="minorEastAsia" w:eastAsiaTheme="minorEastAsia"/>
          <w:bCs/>
          <w:color w:val="auto"/>
          <w:sz w:val="24"/>
          <w:highlight w:val="none"/>
        </w:rPr>
        <w:t xml:space="preserve"> → 项目采购 → 获取采购文件 → 申请，审核通过后可下载采购文件）。本次采购不提供纸质版采购文件。（2）采购公告所附采购文件仅供阅览使用，供应商只有在“</w:t>
      </w:r>
      <w:r>
        <w:rPr>
          <w:rFonts w:hint="eastAsia" w:ascii="宋体" w:hAnsi="宋体" w:cs="宋体"/>
          <w:color w:val="auto"/>
          <w:sz w:val="24"/>
          <w:highlight w:val="none"/>
        </w:rPr>
        <w:t>杭州市教育局非依法招标(小额)项目采购平台（https://hzjyg.lecaiyun.com/）</w:t>
      </w:r>
      <w:r>
        <w:rPr>
          <w:rFonts w:hint="eastAsia" w:cs="宋体" w:asciiTheme="minorEastAsia" w:hAnsiTheme="minorEastAsia" w:eastAsiaTheme="minorEastAsia"/>
          <w:bCs/>
          <w:color w:val="auto"/>
          <w:sz w:val="24"/>
          <w:highlight w:val="none"/>
        </w:rPr>
        <w:t>”完成获取采购文件申请并下载了采购文件后才被视为合法获取了采购文件，否则其响应将被拒绝。</w:t>
      </w:r>
      <w:r>
        <w:rPr>
          <w:rFonts w:hint="eastAsia" w:ascii="宋体" w:hAnsi="宋体" w:cs="宋体"/>
          <w:color w:val="auto"/>
          <w:sz w:val="24"/>
          <w:highlight w:val="none"/>
        </w:rPr>
        <w:t xml:space="preserve"> </w:t>
      </w:r>
    </w:p>
    <w:p w14:paraId="6A8780C6">
      <w:pPr>
        <w:snapToGrid w:val="0"/>
        <w:spacing w:line="360" w:lineRule="auto"/>
        <w:ind w:firstLine="482" w:firstLineChars="200"/>
        <w:jc w:val="left"/>
        <w:rPr>
          <w:rFonts w:hint="eastAsia" w:ascii="宋体" w:hAnsi="宋体" w:cs="宋体"/>
          <w:color w:val="auto"/>
          <w:sz w:val="24"/>
          <w:highlight w:val="none"/>
        </w:rPr>
      </w:pPr>
      <w:r>
        <w:rPr>
          <w:rFonts w:hint="eastAsia" w:ascii="宋体" w:hAnsi="宋体" w:cs="宋体"/>
          <w:b/>
          <w:color w:val="auto"/>
          <w:sz w:val="24"/>
          <w:highlight w:val="none"/>
        </w:rPr>
        <w:t>售价（元）：</w:t>
      </w:r>
      <w:r>
        <w:rPr>
          <w:rFonts w:hint="eastAsia" w:ascii="宋体" w:hAnsi="宋体" w:cs="宋体"/>
          <w:color w:val="auto"/>
          <w:sz w:val="24"/>
          <w:highlight w:val="none"/>
        </w:rPr>
        <w:t>每本500.00（售后不退）</w:t>
      </w:r>
    </w:p>
    <w:p w14:paraId="6B6413EE">
      <w:pPr>
        <w:snapToGrid w:val="0"/>
        <w:spacing w:line="360" w:lineRule="auto"/>
        <w:ind w:firstLine="482" w:firstLineChars="200"/>
        <w:jc w:val="left"/>
        <w:rPr>
          <w:rFonts w:hint="eastAsia" w:ascii="宋体" w:hAnsi="宋体" w:cs="宋体"/>
          <w:color w:val="auto"/>
          <w:sz w:val="24"/>
          <w:highlight w:val="none"/>
        </w:rPr>
      </w:pPr>
      <w:r>
        <w:rPr>
          <w:rFonts w:hint="eastAsia" w:ascii="宋体" w:hAnsi="宋体" w:cs="宋体"/>
          <w:b/>
          <w:color w:val="auto"/>
          <w:sz w:val="24"/>
          <w:highlight w:val="none"/>
        </w:rPr>
        <w:t>非现金</w:t>
      </w:r>
      <w:r>
        <w:rPr>
          <w:rFonts w:hint="eastAsia" w:ascii="宋体" w:hAnsi="宋体" w:cs="宋体"/>
          <w:color w:val="auto"/>
          <w:sz w:val="24"/>
          <w:highlight w:val="none"/>
        </w:rPr>
        <w:t>形式递交到用户名：华诚工程咨询集团有限公司</w:t>
      </w:r>
    </w:p>
    <w:p w14:paraId="795D6FCB">
      <w:pPr>
        <w:snapToGri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开户银行：上海浦东发展银行股份有限公司杭州和睦支行</w:t>
      </w:r>
    </w:p>
    <w:p w14:paraId="1096B2F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账   号：95220078801100000315 </w:t>
      </w:r>
      <w:r>
        <w:rPr>
          <w:rFonts w:hint="eastAsia" w:ascii="宋体" w:hAnsi="宋体" w:cs="宋体"/>
          <w:color w:val="auto"/>
          <w:sz w:val="24"/>
          <w:highlight w:val="none"/>
        </w:rPr>
        <w:tab/>
      </w:r>
    </w:p>
    <w:p w14:paraId="005C56B8">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四、响应文件提交（上传）</w:t>
      </w:r>
    </w:p>
    <w:p w14:paraId="71779207">
      <w:pPr>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截止时间：</w:t>
      </w:r>
      <w:r>
        <w:rPr>
          <w:rFonts w:hint="eastAsia" w:asciiTheme="minorEastAsia" w:hAnsiTheme="minorEastAsia" w:eastAsiaTheme="minorEastAsia"/>
          <w:color w:val="auto"/>
          <w:sz w:val="24"/>
          <w:highlight w:val="none"/>
          <w:u w:val="single"/>
        </w:rPr>
        <w:t>2025年</w:t>
      </w:r>
      <w:r>
        <w:rPr>
          <w:rFonts w:hint="eastAsia" w:asciiTheme="minorEastAsia" w:hAnsiTheme="minorEastAsia" w:eastAsiaTheme="minorEastAsia"/>
          <w:color w:val="auto"/>
          <w:sz w:val="24"/>
          <w:highlight w:val="none"/>
          <w:u w:val="single"/>
          <w:lang w:val="en-US" w:eastAsia="zh-CN"/>
        </w:rPr>
        <w:t>7</w:t>
      </w:r>
      <w:r>
        <w:rPr>
          <w:rFonts w:hint="eastAsia" w:asciiTheme="minorEastAsia" w:hAnsiTheme="minorEastAsia" w:eastAsiaTheme="minorEastAsia"/>
          <w:color w:val="auto"/>
          <w:sz w:val="24"/>
          <w:highlight w:val="none"/>
          <w:u w:val="single"/>
        </w:rPr>
        <w:t>月</w:t>
      </w:r>
      <w:r>
        <w:rPr>
          <w:rFonts w:hint="eastAsia" w:asciiTheme="minorEastAsia" w:hAnsiTheme="minorEastAsia" w:eastAsiaTheme="minorEastAsia"/>
          <w:color w:val="auto"/>
          <w:sz w:val="24"/>
          <w:highlight w:val="none"/>
          <w:u w:val="single"/>
          <w:lang w:val="en-US" w:eastAsia="zh-CN"/>
        </w:rPr>
        <w:t>11</w:t>
      </w:r>
      <w:r>
        <w:rPr>
          <w:rFonts w:hint="eastAsia" w:asciiTheme="minorEastAsia" w:hAnsiTheme="minorEastAsia" w:eastAsiaTheme="minorEastAsia"/>
          <w:color w:val="auto"/>
          <w:sz w:val="24"/>
          <w:highlight w:val="none"/>
          <w:u w:val="single"/>
        </w:rPr>
        <w:t>日</w:t>
      </w:r>
      <w:r>
        <w:rPr>
          <w:rFonts w:hint="eastAsia" w:ascii="宋体" w:hAnsi="宋体" w:cs="宋体"/>
          <w:color w:val="auto"/>
          <w:sz w:val="24"/>
          <w:highlight w:val="none"/>
          <w:u w:val="single"/>
        </w:rPr>
        <w:t>9:00（北京时间）</w:t>
      </w:r>
      <w:r>
        <w:rPr>
          <w:rFonts w:hint="eastAsia" w:ascii="宋体" w:hAnsi="宋体" w:cs="宋体"/>
          <w:bCs/>
          <w:color w:val="auto"/>
          <w:sz w:val="24"/>
          <w:highlight w:val="none"/>
          <w:u w:val="single"/>
        </w:rPr>
        <w:t xml:space="preserve"> </w:t>
      </w:r>
    </w:p>
    <w:p w14:paraId="132A17CC">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地点（网址）：</w:t>
      </w:r>
      <w:r>
        <w:rPr>
          <w:rFonts w:hint="eastAsia" w:asciiTheme="minorEastAsia" w:hAnsiTheme="minorEastAsia" w:eastAsiaTheme="minorEastAsia"/>
          <w:color w:val="auto"/>
          <w:sz w:val="24"/>
          <w:highlight w:val="none"/>
        </w:rPr>
        <w:t>（1）“加密的响应文件”：</w:t>
      </w:r>
      <w:r>
        <w:rPr>
          <w:rFonts w:hint="eastAsia" w:asciiTheme="minorEastAsia" w:hAnsiTheme="minorEastAsia" w:eastAsiaTheme="minorEastAsia"/>
          <w:b/>
          <w:bCs/>
          <w:color w:val="auto"/>
          <w:sz w:val="24"/>
          <w:highlight w:val="none"/>
        </w:rPr>
        <w:t>杭州市教育局非依法招标(小额)项目采购平台（https://hzjyg.lecaiyun.com/）</w:t>
      </w:r>
      <w:r>
        <w:rPr>
          <w:rFonts w:hint="eastAsia" w:asciiTheme="minorEastAsia" w:hAnsiTheme="minorEastAsia" w:eastAsiaTheme="minorEastAsia"/>
          <w:color w:val="auto"/>
          <w:sz w:val="24"/>
          <w:highlight w:val="none"/>
        </w:rPr>
        <w:t>在线递交；（2）“备份响应文件”：杭州市拱墅区彩云路105号锦盛大楼8楼。</w:t>
      </w:r>
      <w:r>
        <w:rPr>
          <w:rFonts w:hint="eastAsia" w:ascii="宋体" w:hAnsi="宋体" w:cs="宋体"/>
          <w:color w:val="auto"/>
          <w:sz w:val="24"/>
          <w:highlight w:val="none"/>
        </w:rPr>
        <w:t xml:space="preserve"> </w:t>
      </w:r>
    </w:p>
    <w:p w14:paraId="50DFBBB5">
      <w:pPr>
        <w:spacing w:line="360" w:lineRule="auto"/>
        <w:rPr>
          <w:rFonts w:hint="eastAsia" w:ascii="宋体" w:hAnsi="宋体" w:cs="宋体"/>
          <w:color w:val="auto"/>
          <w:sz w:val="24"/>
          <w:highlight w:val="none"/>
        </w:rPr>
      </w:pPr>
      <w:r>
        <w:rPr>
          <w:rFonts w:hint="eastAsia" w:ascii="宋体" w:hAnsi="宋体" w:cs="宋体"/>
          <w:b/>
          <w:color w:val="auto"/>
          <w:sz w:val="24"/>
          <w:highlight w:val="none"/>
        </w:rPr>
        <w:t xml:space="preserve">五、响应文件开启 </w:t>
      </w:r>
    </w:p>
    <w:p w14:paraId="3230FD59">
      <w:pPr>
        <w:spacing w:line="360" w:lineRule="auto"/>
        <w:ind w:firstLine="482" w:firstLineChars="200"/>
        <w:rPr>
          <w:rFonts w:hint="eastAsia" w:ascii="宋体" w:hAnsi="宋体" w:cs="宋体"/>
          <w:bCs/>
          <w:color w:val="auto"/>
          <w:sz w:val="24"/>
          <w:highlight w:val="none"/>
          <w:u w:val="single"/>
        </w:rPr>
      </w:pPr>
      <w:r>
        <w:rPr>
          <w:rFonts w:hint="eastAsia" w:ascii="宋体" w:hAnsi="宋体" w:cs="宋体"/>
          <w:b/>
          <w:color w:val="auto"/>
          <w:sz w:val="24"/>
          <w:highlight w:val="none"/>
        </w:rPr>
        <w:t>开启时间：</w:t>
      </w:r>
      <w:r>
        <w:rPr>
          <w:rFonts w:hint="eastAsia" w:asciiTheme="minorEastAsia" w:hAnsiTheme="minorEastAsia" w:eastAsiaTheme="minorEastAsia"/>
          <w:color w:val="auto"/>
          <w:sz w:val="24"/>
          <w:highlight w:val="none"/>
          <w:u w:val="single"/>
        </w:rPr>
        <w:t>2025年</w:t>
      </w:r>
      <w:r>
        <w:rPr>
          <w:rFonts w:hint="eastAsia" w:asciiTheme="minorEastAsia" w:hAnsiTheme="minorEastAsia" w:eastAsiaTheme="minorEastAsia"/>
          <w:color w:val="auto"/>
          <w:sz w:val="24"/>
          <w:highlight w:val="none"/>
          <w:u w:val="single"/>
          <w:lang w:val="en-US" w:eastAsia="zh-CN"/>
        </w:rPr>
        <w:t>7</w:t>
      </w:r>
      <w:r>
        <w:rPr>
          <w:rFonts w:hint="eastAsia" w:asciiTheme="minorEastAsia" w:hAnsiTheme="minorEastAsia" w:eastAsiaTheme="minorEastAsia"/>
          <w:color w:val="auto"/>
          <w:sz w:val="24"/>
          <w:highlight w:val="none"/>
          <w:u w:val="single"/>
        </w:rPr>
        <w:t>月</w:t>
      </w:r>
      <w:r>
        <w:rPr>
          <w:rFonts w:hint="eastAsia" w:asciiTheme="minorEastAsia" w:hAnsiTheme="minorEastAsia" w:eastAsiaTheme="minorEastAsia"/>
          <w:color w:val="auto"/>
          <w:sz w:val="24"/>
          <w:highlight w:val="none"/>
          <w:u w:val="single"/>
          <w:lang w:val="en-US" w:eastAsia="zh-CN"/>
        </w:rPr>
        <w:t>11</w:t>
      </w:r>
      <w:r>
        <w:rPr>
          <w:rFonts w:hint="eastAsia" w:asciiTheme="minorEastAsia" w:hAnsiTheme="minorEastAsia" w:eastAsiaTheme="minorEastAsia"/>
          <w:color w:val="auto"/>
          <w:sz w:val="24"/>
          <w:highlight w:val="none"/>
          <w:u w:val="single"/>
        </w:rPr>
        <w:t>日</w:t>
      </w:r>
      <w:r>
        <w:rPr>
          <w:rFonts w:hint="eastAsia" w:ascii="宋体" w:hAnsi="宋体" w:cs="宋体"/>
          <w:color w:val="auto"/>
          <w:sz w:val="24"/>
          <w:highlight w:val="none"/>
          <w:u w:val="single"/>
        </w:rPr>
        <w:t>9:00（北京时间）</w:t>
      </w:r>
      <w:r>
        <w:rPr>
          <w:rFonts w:hint="eastAsia" w:ascii="宋体" w:hAnsi="宋体" w:cs="宋体"/>
          <w:bCs/>
          <w:color w:val="auto"/>
          <w:sz w:val="24"/>
          <w:highlight w:val="none"/>
          <w:u w:val="single"/>
        </w:rPr>
        <w:t xml:space="preserve"> </w:t>
      </w:r>
    </w:p>
    <w:p w14:paraId="1C741D12">
      <w:pPr>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地点（网址）：</w:t>
      </w:r>
      <w:r>
        <w:rPr>
          <w:rFonts w:hint="eastAsia" w:asciiTheme="minorEastAsia" w:hAnsiTheme="minorEastAsia" w:eastAsiaTheme="minorEastAsia"/>
          <w:color w:val="auto"/>
          <w:sz w:val="24"/>
          <w:highlight w:val="none"/>
        </w:rPr>
        <w:t>杭州市拱墅区彩云路105号锦盛大楼30</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会议室，</w:t>
      </w:r>
      <w:r>
        <w:rPr>
          <w:rFonts w:hint="eastAsia" w:asciiTheme="minorEastAsia" w:hAnsiTheme="minorEastAsia" w:eastAsiaTheme="minorEastAsia"/>
          <w:b/>
          <w:bCs/>
          <w:color w:val="auto"/>
          <w:sz w:val="24"/>
          <w:highlight w:val="none"/>
        </w:rPr>
        <w:t>杭州市教育局非依法招标(小额)项目采购平台（https://hzjyg.lecaiyun.com/）</w:t>
      </w:r>
    </w:p>
    <w:p w14:paraId="2D8BF7EF">
      <w:pPr>
        <w:spacing w:line="360" w:lineRule="auto"/>
        <w:rPr>
          <w:rFonts w:hint="eastAsia" w:ascii="宋体" w:hAnsi="宋体" w:cs="宋体"/>
          <w:color w:val="auto"/>
          <w:sz w:val="24"/>
          <w:highlight w:val="none"/>
        </w:rPr>
      </w:pPr>
      <w:r>
        <w:rPr>
          <w:rFonts w:hint="eastAsia" w:ascii="宋体" w:hAnsi="宋体" w:cs="宋体"/>
          <w:b/>
          <w:color w:val="auto"/>
          <w:sz w:val="24"/>
          <w:highlight w:val="none"/>
        </w:rPr>
        <w:t xml:space="preserve">六、公告期限 </w:t>
      </w:r>
    </w:p>
    <w:p w14:paraId="6DB34EB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自本公告发布之日起3个工作日。</w:t>
      </w:r>
    </w:p>
    <w:p w14:paraId="12E06402">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七、其他补充事宜</w:t>
      </w:r>
    </w:p>
    <w:p w14:paraId="45694ECF">
      <w:pPr>
        <w:spacing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采购人监督管理部门投诉。质疑函范本、投诉书范本请到浙江政府采购网下载专区下载。</w:t>
      </w:r>
    </w:p>
    <w:p w14:paraId="740129DF">
      <w:pPr>
        <w:spacing w:line="360" w:lineRule="auto"/>
        <w:ind w:firstLine="482" w:firstLineChars="200"/>
        <w:rPr>
          <w:rFonts w:hint="eastAsia" w:asciiTheme="minorEastAsia" w:hAnsiTheme="minorEastAsia" w:eastAsiaTheme="minorEastAsia"/>
          <w:color w:val="auto"/>
          <w:sz w:val="24"/>
          <w:highlight w:val="none"/>
        </w:rPr>
      </w:pPr>
      <w:r>
        <w:rPr>
          <w:rFonts w:hint="eastAsia" w:cs="宋体" w:asciiTheme="minorEastAsia" w:hAnsiTheme="minorEastAsia" w:eastAsiaTheme="minorEastAsia"/>
          <w:b/>
          <w:color w:val="auto"/>
          <w:kern w:val="0"/>
          <w:sz w:val="24"/>
          <w:highlight w:val="none"/>
        </w:rPr>
        <w:t>2. 其他事项：（1）</w:t>
      </w:r>
      <w:r>
        <w:rPr>
          <w:rFonts w:hint="eastAsia" w:cs="仿宋_GB2312" w:asciiTheme="minorEastAsia" w:hAnsiTheme="minorEastAsia" w:eastAsiaTheme="minorEastAsia"/>
          <w:b/>
          <w:color w:val="auto"/>
          <w:sz w:val="24"/>
          <w:highlight w:val="none"/>
        </w:rPr>
        <w:t>电子交易的说明: 1）电子交易：</w:t>
      </w:r>
      <w:r>
        <w:rPr>
          <w:rFonts w:hint="eastAsia" w:cs="仿宋_GB2312" w:asciiTheme="minorEastAsia" w:hAnsiTheme="minorEastAsia" w:eastAsiaTheme="minorEastAsia"/>
          <w:color w:val="auto"/>
          <w:sz w:val="24"/>
          <w:highlight w:val="none"/>
        </w:rPr>
        <w:t>本项目以数据电文形式，依托“</w:t>
      </w:r>
      <w:r>
        <w:rPr>
          <w:rFonts w:hint="eastAsia" w:ascii="宋体" w:hAnsi="宋体" w:cs="宋体"/>
          <w:color w:val="auto"/>
          <w:sz w:val="24"/>
          <w:highlight w:val="none"/>
        </w:rPr>
        <w:t>乐采云平台（https://hzjyg.lecaiyun.com/）</w:t>
      </w:r>
      <w:r>
        <w:rPr>
          <w:rFonts w:hint="eastAsia" w:cs="仿宋_GB2312" w:asciiTheme="minorEastAsia" w:hAnsiTheme="minorEastAsia" w:eastAsiaTheme="minorEastAsia"/>
          <w:color w:val="auto"/>
          <w:sz w:val="24"/>
          <w:highlight w:val="none"/>
        </w:rPr>
        <w:t>”进行采购活动，不接受纸质响应文件。</w:t>
      </w:r>
      <w:r>
        <w:rPr>
          <w:rFonts w:hint="eastAsia" w:cs="仿宋_GB2312" w:asciiTheme="minorEastAsia" w:hAnsiTheme="minorEastAsia" w:eastAsiaTheme="minorEastAsia"/>
          <w:b/>
          <w:color w:val="auto"/>
          <w:sz w:val="24"/>
          <w:highlight w:val="none"/>
        </w:rPr>
        <w:t>2）响应准备：</w:t>
      </w:r>
      <w:r>
        <w:rPr>
          <w:rFonts w:hint="eastAsia" w:ascii="宋体" w:hAnsi="宋体" w:cs="宋体"/>
          <w:color w:val="auto"/>
          <w:sz w:val="24"/>
          <w:highlight w:val="none"/>
        </w:rPr>
        <w:t>注册账号--点击“商家入驻”，进行政府采购供应商资料填写；申领CA数字证书---申领流程详见“浙江政府采购网-下载专区-电子交易客户端-CA驱动和申领流程”；安装“乐采云投标客户端”----前往“浙江政府采购网-下载专区-电子交易客户端”进行下载并安装。</w:t>
      </w:r>
      <w:r>
        <w:rPr>
          <w:rFonts w:hint="eastAsia" w:cs="仿宋_GB2312" w:asciiTheme="minorEastAsia" w:hAnsiTheme="minorEastAsia" w:eastAsiaTheme="minorEastAsia"/>
          <w:b/>
          <w:color w:val="auto"/>
          <w:sz w:val="24"/>
          <w:highlight w:val="none"/>
        </w:rPr>
        <w:t>3）磋商文件的获取：</w:t>
      </w:r>
      <w:r>
        <w:rPr>
          <w:rFonts w:hint="eastAsia" w:cs="仿宋_GB2312" w:asciiTheme="minorEastAsia" w:hAnsiTheme="minorEastAsia" w:eastAsiaTheme="minorEastAsia"/>
          <w:color w:val="auto"/>
          <w:sz w:val="24"/>
          <w:highlight w:val="none"/>
        </w:rPr>
        <w:t>使用账号登录或者使用CA登录</w:t>
      </w:r>
      <w:r>
        <w:rPr>
          <w:rFonts w:hint="eastAsia" w:ascii="宋体" w:hAnsi="宋体" w:cs="宋体"/>
          <w:bCs/>
          <w:color w:val="auto"/>
          <w:sz w:val="24"/>
          <w:highlight w:val="none"/>
        </w:rPr>
        <w:t>杭州市教育局非依法招标(小额)项目采购平台</w:t>
      </w:r>
      <w:r>
        <w:rPr>
          <w:rFonts w:hint="eastAsia" w:ascii="宋体" w:hAnsi="宋体" w:cs="宋体"/>
          <w:color w:val="auto"/>
          <w:sz w:val="24"/>
          <w:highlight w:val="none"/>
        </w:rPr>
        <w:t>（https://hzjyg.lecaiyun.com/）</w:t>
      </w:r>
      <w:r>
        <w:rPr>
          <w:rFonts w:hint="eastAsia" w:cs="仿宋_GB2312" w:asciiTheme="minorEastAsia" w:hAnsiTheme="minorEastAsia" w:eastAsiaTheme="minorEastAsia"/>
          <w:color w:val="auto"/>
          <w:sz w:val="24"/>
          <w:highlight w:val="none"/>
        </w:rPr>
        <w:t>；进入“项目采购”应用，在获取采购文件菜单中选择项目，获取磋商文件。</w:t>
      </w:r>
      <w:r>
        <w:rPr>
          <w:rFonts w:hint="eastAsia" w:cs="仿宋_GB2312" w:asciiTheme="minorEastAsia" w:hAnsiTheme="minorEastAsia" w:eastAsiaTheme="minorEastAsia"/>
          <w:b/>
          <w:color w:val="auto"/>
          <w:sz w:val="24"/>
          <w:highlight w:val="none"/>
        </w:rPr>
        <w:t>4）响应文件的制作：</w:t>
      </w:r>
      <w:r>
        <w:rPr>
          <w:rFonts w:hint="eastAsia" w:ascii="宋体" w:hAnsi="宋体" w:cs="宋体"/>
          <w:color w:val="auto"/>
          <w:sz w:val="24"/>
          <w:highlight w:val="none"/>
        </w:rPr>
        <w:t>在“乐采云投标客户端”中完成“填写基本信息”、“导入响应文件”、“标书关联”、“标书检查”、“电子签名”、“生成电子标书”等操作</w:t>
      </w:r>
      <w:r>
        <w:rPr>
          <w:rFonts w:hint="eastAsia" w:cs="仿宋_GB2312" w:asciiTheme="minorEastAsia" w:hAnsiTheme="minorEastAsia" w:eastAsiaTheme="minorEastAsia"/>
          <w:color w:val="auto"/>
          <w:sz w:val="24"/>
          <w:highlight w:val="none"/>
        </w:rPr>
        <w:t>。</w:t>
      </w:r>
      <w:r>
        <w:rPr>
          <w:rFonts w:cs="仿宋_GB2312" w:asciiTheme="minorEastAsia" w:hAnsiTheme="minorEastAsia" w:eastAsiaTheme="minorEastAsia"/>
          <w:b/>
          <w:color w:val="auto"/>
          <w:sz w:val="24"/>
          <w:highlight w:val="none"/>
        </w:rPr>
        <w:t>5）</w:t>
      </w:r>
      <w:r>
        <w:rPr>
          <w:rFonts w:hint="eastAsia" w:cs="仿宋_GB2312" w:asciiTheme="minorEastAsia" w:hAnsiTheme="minorEastAsia" w:eastAsiaTheme="minorEastAsia"/>
          <w:color w:val="auto"/>
          <w:sz w:val="24"/>
          <w:highlight w:val="none"/>
        </w:rPr>
        <w:t>采购人、采购代理机构将依托</w:t>
      </w:r>
      <w:r>
        <w:rPr>
          <w:rFonts w:hint="eastAsia" w:ascii="宋体" w:hAnsi="宋体" w:cs="宋体"/>
          <w:color w:val="auto"/>
          <w:sz w:val="24"/>
          <w:highlight w:val="none"/>
        </w:rPr>
        <w:t>杭州市教育局非依法招标(小额)项目采购平台</w:t>
      </w:r>
      <w:r>
        <w:rPr>
          <w:rFonts w:hint="eastAsia" w:cs="仿宋_GB2312" w:asciiTheme="minorEastAsia" w:hAnsiTheme="minorEastAsia" w:eastAsiaTheme="minorEastAsia"/>
          <w:color w:val="auto"/>
          <w:sz w:val="24"/>
          <w:highlight w:val="none"/>
        </w:rPr>
        <w:t>完成本项目的电子交易活动，平台不接受未按本公告约定方式获取磋商文件的供应商进行响应活动；</w:t>
      </w:r>
      <w:r>
        <w:rPr>
          <w:rFonts w:cs="仿宋_GB2312" w:asciiTheme="minorEastAsia" w:hAnsiTheme="minorEastAsia" w:eastAsiaTheme="minorEastAsia"/>
          <w:b/>
          <w:color w:val="auto"/>
          <w:sz w:val="24"/>
          <w:highlight w:val="none"/>
        </w:rPr>
        <w:t>6）</w:t>
      </w:r>
      <w:r>
        <w:rPr>
          <w:rFonts w:hint="eastAsia" w:cs="仿宋_GB2312" w:asciiTheme="minorEastAsia" w:hAnsiTheme="minorEastAsia" w:eastAsiaTheme="minorEastAsia"/>
          <w:color w:val="auto"/>
          <w:sz w:val="24"/>
          <w:highlight w:val="none"/>
        </w:rPr>
        <w:t>对未按上述方式获取磋商文件的供应商对该文件提出的质疑，采购人或采购代理机构将不予处理</w:t>
      </w:r>
      <w:r>
        <w:rPr>
          <w:rFonts w:hint="eastAsia" w:cs="仿宋_GB2312" w:asciiTheme="minorEastAsia" w:hAnsiTheme="minorEastAsia" w:eastAsiaTheme="minorEastAsia"/>
          <w:b/>
          <w:color w:val="auto"/>
          <w:sz w:val="24"/>
          <w:highlight w:val="none"/>
        </w:rPr>
        <w:t>；</w:t>
      </w:r>
      <w:r>
        <w:rPr>
          <w:rFonts w:cs="仿宋_GB2312" w:asciiTheme="minorEastAsia" w:hAnsiTheme="minorEastAsia" w:eastAsiaTheme="minorEastAsia"/>
          <w:b/>
          <w:color w:val="auto"/>
          <w:sz w:val="24"/>
          <w:highlight w:val="none"/>
        </w:rPr>
        <w:t>7）</w:t>
      </w:r>
      <w:r>
        <w:rPr>
          <w:rFonts w:hint="eastAsia" w:cs="仿宋_GB2312" w:asciiTheme="minorEastAsia" w:hAnsiTheme="minorEastAsia" w:eastAsiaTheme="minorEastAsia"/>
          <w:color w:val="auto"/>
          <w:sz w:val="24"/>
          <w:highlight w:val="none"/>
        </w:rPr>
        <w:t>不提供磋商文件纸质版；</w:t>
      </w:r>
      <w:r>
        <w:rPr>
          <w:rFonts w:cs="仿宋_GB2312" w:asciiTheme="minorEastAsia" w:hAnsiTheme="minorEastAsia" w:eastAsiaTheme="minorEastAsia"/>
          <w:b/>
          <w:color w:val="auto"/>
          <w:sz w:val="24"/>
          <w:highlight w:val="none"/>
        </w:rPr>
        <w:t>8</w:t>
      </w:r>
      <w:r>
        <w:rPr>
          <w:rFonts w:hint="eastAsia" w:cs="仿宋_GB2312" w:asciiTheme="minorEastAsia" w:hAnsiTheme="minorEastAsia" w:eastAsiaTheme="minorEastAsia"/>
          <w:b/>
          <w:color w:val="auto"/>
          <w:sz w:val="24"/>
          <w:highlight w:val="none"/>
        </w:rPr>
        <w:t>）响应文件的传输提交：</w:t>
      </w:r>
      <w:r>
        <w:rPr>
          <w:rFonts w:hint="eastAsia" w:cs="仿宋_GB2312" w:asciiTheme="minorEastAsia" w:hAnsiTheme="minorEastAsia" w:eastAsiaTheme="minorEastAsia"/>
          <w:color w:val="auto"/>
          <w:sz w:val="24"/>
          <w:highlight w:val="none"/>
        </w:rPr>
        <w:t>供应商在提交响应文件的截止时间前将加密的响应文件上传至</w:t>
      </w:r>
      <w:r>
        <w:rPr>
          <w:rFonts w:hint="eastAsia" w:ascii="宋体" w:hAnsi="宋体" w:cs="宋体"/>
          <w:color w:val="auto"/>
          <w:sz w:val="24"/>
          <w:highlight w:val="none"/>
        </w:rPr>
        <w:t>杭州市教育局非依法招标(小额)项目采购平台</w:t>
      </w:r>
      <w:r>
        <w:rPr>
          <w:rFonts w:hint="eastAsia" w:cs="仿宋_GB2312" w:asciiTheme="minorEastAsia" w:hAnsiTheme="minorEastAsia" w:eastAsiaTheme="minorEastAsia"/>
          <w:color w:val="auto"/>
          <w:sz w:val="24"/>
          <w:highlight w:val="none"/>
        </w:rPr>
        <w:t>，还可以在提交响应文件的截止时间前直接提交或者以邮政快递方式提交备份响应文件1份。备份响应文件的制作、存储、密封详见磋商文件第三部分 “备份响应文件”；</w:t>
      </w:r>
      <w:r>
        <w:rPr>
          <w:rFonts w:hint="eastAsia" w:cs="仿宋_GB2312" w:asciiTheme="minorEastAsia" w:hAnsiTheme="minorEastAsia" w:eastAsiaTheme="minorEastAsia"/>
          <w:b/>
          <w:color w:val="auto"/>
          <w:sz w:val="24"/>
          <w:highlight w:val="none"/>
        </w:rPr>
        <w:t>9）响应文件的解密：</w:t>
      </w:r>
      <w:r>
        <w:rPr>
          <w:rFonts w:hint="eastAsia" w:cs="仿宋_GB2312" w:asciiTheme="minorEastAsia" w:hAnsiTheme="minorEastAsia" w:eastAsiaTheme="minorEastAsia"/>
          <w:color w:val="auto"/>
          <w:sz w:val="24"/>
          <w:highlight w:val="none"/>
        </w:rPr>
        <w:t>供应商按照平台提示和磋商文件的规定在半小时内完成在线解密。通过“</w:t>
      </w:r>
      <w:r>
        <w:rPr>
          <w:rFonts w:hint="eastAsia" w:ascii="宋体" w:hAnsi="宋体" w:cs="宋体"/>
          <w:color w:val="auto"/>
          <w:sz w:val="24"/>
          <w:highlight w:val="none"/>
        </w:rPr>
        <w:t>杭州市教育局非依法招标(小额)项目采购平台</w:t>
      </w:r>
      <w:r>
        <w:rPr>
          <w:rFonts w:hint="eastAsia" w:cs="仿宋_GB2312" w:asciiTheme="minorEastAsia" w:hAnsiTheme="minorEastAsia" w:eastAsiaTheme="minorEastAsia"/>
          <w:color w:val="auto"/>
          <w:sz w:val="24"/>
          <w:highlight w:val="none"/>
        </w:rPr>
        <w:t>”上传递交的响应文件无法按时解密，供应商递交了备份响应文件的，以备份响应文件为依据，否则视为响应文件撤回。通过“</w:t>
      </w:r>
      <w:r>
        <w:rPr>
          <w:rFonts w:hint="eastAsia" w:ascii="宋体" w:hAnsi="宋体" w:cs="宋体"/>
          <w:color w:val="auto"/>
          <w:sz w:val="24"/>
          <w:highlight w:val="none"/>
        </w:rPr>
        <w:t>杭州市教育局非依法招标(小额)项目采购平台</w:t>
      </w:r>
      <w:r>
        <w:rPr>
          <w:rFonts w:hint="eastAsia" w:cs="仿宋_GB2312" w:asciiTheme="minorEastAsia" w:hAnsiTheme="minorEastAsia" w:eastAsiaTheme="minorEastAsia"/>
          <w:color w:val="auto"/>
          <w:sz w:val="24"/>
          <w:highlight w:val="none"/>
        </w:rPr>
        <w:t>”上传提交的响应文件已按时解密的，备份响应文件自动失效。供应商仅提交备份响应文件，没有在电子交易平台传输提交响应文件的，响应无效。</w:t>
      </w:r>
      <w:r>
        <w:rPr>
          <w:rFonts w:hint="eastAsia" w:cs="宋体" w:asciiTheme="minorEastAsia" w:hAnsiTheme="minorEastAsia" w:eastAsiaTheme="minorEastAsia"/>
          <w:color w:val="auto"/>
          <w:sz w:val="24"/>
          <w:highlight w:val="none"/>
        </w:rPr>
        <w:t>（3）磋商文件公告期限与磋商公告的公告期限一致。</w:t>
      </w:r>
    </w:p>
    <w:p w14:paraId="6BB04592">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八、对本次采购提出询问、质疑、投诉，请按以下方式联系</w:t>
      </w:r>
    </w:p>
    <w:p w14:paraId="6469F217">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1.采购人信息</w:t>
      </w:r>
    </w:p>
    <w:p w14:paraId="4F794687">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名    称：杭州市源清中学 </w:t>
      </w:r>
    </w:p>
    <w:p w14:paraId="7A9391A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地    址：杭州市湖州街69号       </w:t>
      </w:r>
    </w:p>
    <w:p w14:paraId="0A47304D">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传    真： /</w:t>
      </w:r>
    </w:p>
    <w:p w14:paraId="6814A6DA">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项目联系人（询问）：裴老师  </w:t>
      </w:r>
    </w:p>
    <w:p w14:paraId="7B51F1D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项目联系方式（询问）：0571-88282493  </w:t>
      </w:r>
    </w:p>
    <w:p w14:paraId="11B73CCB">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质疑联系人：高老师</w:t>
      </w:r>
    </w:p>
    <w:p w14:paraId="3DA3E51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质疑联系方式：0571-88955773（请通过以下路径在线提起质疑：政采云-项目采购-询问质疑投诉-质疑列表）</w:t>
      </w:r>
    </w:p>
    <w:p w14:paraId="539805FC">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2.采购代理机构信息            </w:t>
      </w:r>
    </w:p>
    <w:p w14:paraId="0A2A6699">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名    称：华诚工程咨询集团有限公司</w:t>
      </w:r>
    </w:p>
    <w:p w14:paraId="17AEAB17">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地    址：杭州市拱墅区彩云路105号锦盛大楼8楼</w:t>
      </w:r>
    </w:p>
    <w:p w14:paraId="22E64AFA">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传    真：/             </w:t>
      </w:r>
    </w:p>
    <w:p w14:paraId="77D72671">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项目联系人（询问）：宓圣杰           </w:t>
      </w:r>
    </w:p>
    <w:p w14:paraId="13EAC426">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项目联系方式（询问）：18969923366</w:t>
      </w:r>
    </w:p>
    <w:p w14:paraId="3073AC77">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质疑联系人：金册玲               </w:t>
      </w:r>
    </w:p>
    <w:p w14:paraId="60AC0FB8">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质疑联系方式：0571-88399280（请通过以下路径在线提起质疑：政采云-项目采购-询问质疑投诉-质疑列表）</w:t>
      </w:r>
    </w:p>
    <w:p w14:paraId="43E3F26A">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 xml:space="preserve">    </w:t>
      </w:r>
    </w:p>
    <w:p w14:paraId="1AD7ADEB">
      <w:pPr>
        <w:spacing w:line="360" w:lineRule="auto"/>
        <w:ind w:firstLine="480" w:firstLineChars="200"/>
        <w:rPr>
          <w:rFonts w:hint="eastAsia" w:asciiTheme="minorEastAsia" w:hAnsiTheme="minorEastAsia" w:eastAsiaTheme="minorEastAsia"/>
          <w:color w:val="auto"/>
          <w:sz w:val="24"/>
          <w:highlight w:val="none"/>
        </w:rPr>
      </w:pPr>
      <w:r>
        <w:rPr>
          <w:rFonts w:hint="eastAsia" w:ascii="宋体" w:hAnsi="宋体" w:cs="宋体"/>
          <w:color w:val="auto"/>
          <w:sz w:val="24"/>
          <w:highlight w:val="none"/>
        </w:rPr>
        <w:t xml:space="preserve">     </w:t>
      </w:r>
      <w:r>
        <w:rPr>
          <w:rFonts w:hint="eastAsia" w:asciiTheme="minorEastAsia" w:hAnsiTheme="minorEastAsia" w:eastAsiaTheme="minorEastAsia"/>
          <w:color w:val="auto"/>
          <w:sz w:val="24"/>
          <w:highlight w:val="none"/>
        </w:rPr>
        <w:t>若对项目采购电子交易系统操作有疑问，可登录乐采云（https://hzjyg.lecaiyun.com/），点击右侧咨询小采，获取采小蜜智能服务管家帮助，或拨打政采云服务热线95763获取热线服务帮助。</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 </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  </w:t>
      </w:r>
    </w:p>
    <w:p w14:paraId="5F37C8F1">
      <w:pPr>
        <w:snapToGrid w:val="0"/>
        <w:spacing w:line="360" w:lineRule="auto"/>
        <w:ind w:firstLine="480" w:firstLineChars="200"/>
        <w:rPr>
          <w:rFonts w:hint="eastAsia" w:ascii="宋体" w:hAnsi="宋体" w:cs="宋体"/>
          <w:color w:val="auto"/>
          <w:sz w:val="24"/>
          <w:highlight w:val="none"/>
        </w:rPr>
        <w:sectPr>
          <w:headerReference r:id="rId4" w:type="first"/>
          <w:footerReference r:id="rId7" w:type="first"/>
          <w:headerReference r:id="rId3" w:type="default"/>
          <w:footerReference r:id="rId5" w:type="default"/>
          <w:footerReference r:id="rId6" w:type="even"/>
          <w:pgSz w:w="11906" w:h="16838"/>
          <w:pgMar w:top="1440" w:right="1304" w:bottom="1440" w:left="1304" w:header="851" w:footer="992" w:gutter="0"/>
          <w:cols w:space="720" w:num="1"/>
          <w:titlePg/>
          <w:docGrid w:linePitch="312" w:charSpace="0"/>
        </w:sectPr>
      </w:pPr>
      <w:r>
        <w:rPr>
          <w:rFonts w:asciiTheme="minorEastAsia" w:hAnsiTheme="minorEastAsia" w:eastAsiaTheme="minorEastAsia"/>
          <w:color w:val="auto"/>
          <w:sz w:val="24"/>
          <w:highlight w:val="none"/>
        </w:rPr>
        <w:t>CA问题联系电话（人工）：</w:t>
      </w:r>
      <w:r>
        <w:rPr>
          <w:rFonts w:hint="eastAsia" w:asciiTheme="minorEastAsia" w:hAnsiTheme="minorEastAsia" w:eastAsiaTheme="minorEastAsia"/>
          <w:color w:val="auto"/>
          <w:sz w:val="24"/>
          <w:highlight w:val="none"/>
        </w:rPr>
        <w:t>汇信</w:t>
      </w:r>
      <w:r>
        <w:rPr>
          <w:rFonts w:asciiTheme="minorEastAsia" w:hAnsiTheme="minorEastAsia" w:eastAsiaTheme="minorEastAsia"/>
          <w:color w:val="auto"/>
          <w:sz w:val="24"/>
          <w:highlight w:val="none"/>
        </w:rPr>
        <w:t>CA 400-888-4636；天谷CA 400-087-8198。</w:t>
      </w:r>
    </w:p>
    <w:p w14:paraId="7A24A4B5">
      <w:pPr>
        <w:pStyle w:val="5"/>
        <w:snapToGrid w:val="0"/>
        <w:spacing w:before="0" w:after="0" w:line="360" w:lineRule="auto"/>
        <w:ind w:left="0" w:firstLine="0"/>
        <w:jc w:val="center"/>
        <w:rPr>
          <w:color w:val="auto"/>
          <w:highlight w:val="none"/>
        </w:rPr>
      </w:pPr>
      <w:bookmarkStart w:id="15" w:name="_Toc29733"/>
      <w:r>
        <w:rPr>
          <w:rFonts w:hint="eastAsia"/>
          <w:color w:val="auto"/>
          <w:highlight w:val="none"/>
        </w:rPr>
        <w:t>第二部分</w:t>
      </w:r>
      <w:bookmarkEnd w:id="10"/>
      <w:r>
        <w:rPr>
          <w:rFonts w:hint="eastAsia"/>
          <w:color w:val="auto"/>
          <w:highlight w:val="none"/>
        </w:rPr>
        <w:t xml:space="preserve"> 供应商须知</w:t>
      </w:r>
      <w:bookmarkEnd w:id="11"/>
      <w:bookmarkEnd w:id="15"/>
    </w:p>
    <w:p w14:paraId="6ACFA7D1">
      <w:pPr>
        <w:snapToGrid w:val="0"/>
        <w:spacing w:line="360" w:lineRule="auto"/>
        <w:jc w:val="center"/>
        <w:rPr>
          <w:rFonts w:hint="eastAsia" w:ascii="宋体" w:hAnsi="宋体" w:cs="宋体"/>
          <w:b/>
          <w:color w:val="auto"/>
          <w:sz w:val="32"/>
          <w:szCs w:val="20"/>
          <w:highlight w:val="none"/>
        </w:rPr>
      </w:pPr>
      <w:r>
        <w:rPr>
          <w:rFonts w:hint="eastAsia" w:ascii="宋体" w:hAnsi="宋体" w:cs="宋体"/>
          <w:b/>
          <w:color w:val="auto"/>
          <w:sz w:val="32"/>
          <w:szCs w:val="20"/>
          <w:highlight w:val="none"/>
        </w:rPr>
        <w:t>前附表</w:t>
      </w:r>
    </w:p>
    <w:tbl>
      <w:tblPr>
        <w:tblStyle w:val="63"/>
        <w:tblW w:w="97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14"/>
        <w:gridCol w:w="2093"/>
        <w:gridCol w:w="6927"/>
      </w:tblGrid>
      <w:tr w14:paraId="16383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tcPr>
          <w:p w14:paraId="3B65E4B4">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序号</w:t>
            </w:r>
          </w:p>
        </w:tc>
        <w:tc>
          <w:tcPr>
            <w:tcW w:w="2093" w:type="dxa"/>
            <w:vAlign w:val="center"/>
          </w:tcPr>
          <w:p w14:paraId="4F0396E5">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事项</w:t>
            </w:r>
          </w:p>
        </w:tc>
        <w:tc>
          <w:tcPr>
            <w:tcW w:w="6927" w:type="dxa"/>
            <w:vAlign w:val="center"/>
          </w:tcPr>
          <w:p w14:paraId="57C0B04C">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本项目的特别规定</w:t>
            </w:r>
          </w:p>
        </w:tc>
      </w:tr>
      <w:tr w14:paraId="7109A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068A4B8E">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2093" w:type="dxa"/>
            <w:vAlign w:val="center"/>
          </w:tcPr>
          <w:p w14:paraId="02812C6E">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项目属性</w:t>
            </w:r>
          </w:p>
        </w:tc>
        <w:tc>
          <w:tcPr>
            <w:tcW w:w="6927" w:type="dxa"/>
            <w:vAlign w:val="center"/>
          </w:tcPr>
          <w:p w14:paraId="30922106">
            <w:pPr>
              <w:spacing w:line="360" w:lineRule="auto"/>
              <w:rPr>
                <w:rFonts w:hint="eastAsia" w:ascii="宋体" w:hAnsi="宋体" w:cs="宋体"/>
                <w:color w:val="auto"/>
                <w:sz w:val="24"/>
                <w:highlight w:val="none"/>
              </w:rPr>
            </w:pPr>
            <w:r>
              <w:rPr>
                <w:rFonts w:hint="eastAsia" w:ascii="宋体" w:hAnsi="宋体" w:cs="宋体"/>
                <w:color w:val="auto"/>
                <w:kern w:val="0"/>
                <w:sz w:val="24"/>
                <w:highlight w:val="none"/>
              </w:rPr>
              <w:t>工程</w:t>
            </w:r>
            <w:r>
              <w:rPr>
                <w:rFonts w:hint="eastAsia" w:ascii="宋体" w:hAnsi="宋体" w:cs="宋体"/>
                <w:color w:val="auto"/>
                <w:sz w:val="24"/>
                <w:highlight w:val="none"/>
              </w:rPr>
              <w:t>类</w:t>
            </w:r>
          </w:p>
        </w:tc>
      </w:tr>
      <w:tr w14:paraId="35F8A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1AFEF004">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2</w:t>
            </w:r>
          </w:p>
        </w:tc>
        <w:tc>
          <w:tcPr>
            <w:tcW w:w="2093" w:type="dxa"/>
            <w:vAlign w:val="center"/>
          </w:tcPr>
          <w:p w14:paraId="414A80FA">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采购标的及其对应的中小企业划分标准所属行业</w:t>
            </w:r>
          </w:p>
        </w:tc>
        <w:tc>
          <w:tcPr>
            <w:tcW w:w="6927" w:type="dxa"/>
            <w:vAlign w:val="center"/>
          </w:tcPr>
          <w:p w14:paraId="6242C126">
            <w:pPr>
              <w:snapToGrid w:val="0"/>
              <w:spacing w:line="360" w:lineRule="auto"/>
              <w:rPr>
                <w:rFonts w:hint="eastAsia" w:ascii="宋体" w:hAnsi="宋体" w:cs="宋体"/>
                <w:color w:val="auto"/>
                <w:highlight w:val="none"/>
              </w:rPr>
            </w:pPr>
            <w:r>
              <w:rPr>
                <w:rFonts w:hint="eastAsia" w:ascii="宋体" w:hAnsi="宋体" w:cs="宋体"/>
                <w:color w:val="auto"/>
                <w:kern w:val="0"/>
                <w:sz w:val="24"/>
                <w:highlight w:val="none"/>
              </w:rPr>
              <w:t>（1）标的：</w:t>
            </w:r>
            <w:r>
              <w:rPr>
                <w:rFonts w:hint="eastAsia" w:ascii="宋体" w:hAnsi="宋体" w:cs="宋体"/>
                <w:color w:val="auto"/>
                <w:kern w:val="0"/>
                <w:sz w:val="24"/>
                <w:highlight w:val="none"/>
                <w:u w:val="single"/>
              </w:rPr>
              <w:t xml:space="preserve"> 杭州市源清中学生活区宿舍消防系统改造工程 </w:t>
            </w:r>
            <w:r>
              <w:rPr>
                <w:rFonts w:hint="eastAsia" w:ascii="宋体" w:hAnsi="宋体" w:cs="宋体"/>
                <w:color w:val="auto"/>
                <w:kern w:val="0"/>
                <w:sz w:val="24"/>
                <w:highlight w:val="none"/>
              </w:rPr>
              <w:t>，属于</w:t>
            </w:r>
            <w:r>
              <w:rPr>
                <w:rFonts w:hint="eastAsia" w:ascii="宋体" w:hAnsi="宋体" w:cs="宋体"/>
                <w:color w:val="auto"/>
                <w:kern w:val="0"/>
                <w:sz w:val="24"/>
                <w:highlight w:val="none"/>
                <w:u w:val="single"/>
              </w:rPr>
              <w:t xml:space="preserve"> 建筑业 </w:t>
            </w:r>
            <w:r>
              <w:rPr>
                <w:rFonts w:hint="eastAsia" w:ascii="宋体" w:hAnsi="宋体" w:cs="宋体"/>
                <w:color w:val="auto"/>
                <w:kern w:val="0"/>
                <w:sz w:val="24"/>
                <w:highlight w:val="none"/>
              </w:rPr>
              <w:t>行业；</w:t>
            </w:r>
          </w:p>
        </w:tc>
      </w:tr>
      <w:tr w14:paraId="1BE85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207E8733">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3</w:t>
            </w:r>
          </w:p>
        </w:tc>
        <w:tc>
          <w:tcPr>
            <w:tcW w:w="2093" w:type="dxa"/>
            <w:vAlign w:val="center"/>
          </w:tcPr>
          <w:p w14:paraId="31157CEE">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是否允许采购进口产品</w:t>
            </w:r>
          </w:p>
        </w:tc>
        <w:tc>
          <w:tcPr>
            <w:tcW w:w="6927" w:type="dxa"/>
            <w:vAlign w:val="center"/>
          </w:tcPr>
          <w:p w14:paraId="2066824A">
            <w:pPr>
              <w:spacing w:line="360" w:lineRule="auto"/>
              <w:rPr>
                <w:rFonts w:hint="eastAsia" w:ascii="宋体" w:hAnsi="宋体" w:cs="宋体"/>
                <w:color w:val="auto"/>
                <w:kern w:val="0"/>
                <w:sz w:val="24"/>
                <w:highlight w:val="none"/>
              </w:rPr>
            </w:pPr>
            <w:sdt>
              <w:sdtPr>
                <w:rPr>
                  <w:rFonts w:hint="eastAsia" w:ascii="宋体" w:hAnsi="宋体" w:cs="宋体"/>
                  <w:color w:val="auto"/>
                  <w:kern w:val="0"/>
                  <w:sz w:val="24"/>
                  <w:highlight w:val="none"/>
                </w:rPr>
                <w:id w:val="-1828425707"/>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sym w:font="Wingdings" w:char="F0FE"/>
                </w:r>
              </w:sdtContent>
            </w:sdt>
            <w:r>
              <w:rPr>
                <w:rFonts w:hint="eastAsia" w:ascii="宋体" w:hAnsi="宋体" w:cs="宋体"/>
                <w:color w:val="auto"/>
                <w:kern w:val="0"/>
                <w:sz w:val="24"/>
                <w:highlight w:val="none"/>
              </w:rPr>
              <w:t>本项目不允许采购进口产品。</w:t>
            </w:r>
          </w:p>
          <w:p w14:paraId="17A123D5">
            <w:pPr>
              <w:spacing w:line="360" w:lineRule="auto"/>
              <w:rPr>
                <w:rFonts w:hint="eastAsia" w:ascii="宋体" w:hAnsi="宋体" w:cs="宋体"/>
                <w:color w:val="auto"/>
                <w:highlight w:val="none"/>
              </w:rPr>
            </w:pPr>
            <w:sdt>
              <w:sdtPr>
                <w:rPr>
                  <w:rFonts w:hint="eastAsia" w:ascii="宋体" w:hAnsi="宋体" w:cs="宋体"/>
                  <w:color w:val="auto"/>
                  <w:kern w:val="0"/>
                  <w:sz w:val="24"/>
                  <w:highlight w:val="none"/>
                </w:rPr>
                <w:id w:val="-52852824"/>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kern w:val="0"/>
                <w:sz w:val="24"/>
                <w:highlight w:val="none"/>
              </w:rPr>
              <w:t>可以就</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采购进口产品。</w:t>
            </w:r>
          </w:p>
        </w:tc>
      </w:tr>
      <w:tr w14:paraId="0A3B6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3BA29F30">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4</w:t>
            </w:r>
          </w:p>
        </w:tc>
        <w:tc>
          <w:tcPr>
            <w:tcW w:w="2093" w:type="dxa"/>
            <w:vAlign w:val="center"/>
          </w:tcPr>
          <w:p w14:paraId="68C1C68F">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分包</w:t>
            </w:r>
          </w:p>
        </w:tc>
        <w:tc>
          <w:tcPr>
            <w:tcW w:w="6927" w:type="dxa"/>
            <w:vAlign w:val="center"/>
          </w:tcPr>
          <w:p w14:paraId="6CEB38C8">
            <w:pPr>
              <w:spacing w:line="360" w:lineRule="auto"/>
              <w:rPr>
                <w:rFonts w:hint="eastAsia" w:ascii="宋体" w:hAnsi="宋体" w:cs="宋体"/>
                <w:color w:val="auto"/>
                <w:sz w:val="24"/>
                <w:highlight w:val="none"/>
              </w:rPr>
            </w:pPr>
            <w:sdt>
              <w:sdtPr>
                <w:rPr>
                  <w:rFonts w:hint="eastAsia" w:ascii="宋体" w:hAnsi="宋体" w:cs="宋体"/>
                  <w:color w:val="auto"/>
                  <w:kern w:val="0"/>
                  <w:sz w:val="24"/>
                  <w:highlight w:val="none"/>
                </w:rPr>
                <w:id w:val="-1477286927"/>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ascii="Wingdings" w:hAnsi="Wingdings" w:cs="宋体"/>
                    <w:color w:val="auto"/>
                    <w:kern w:val="0"/>
                    <w:sz w:val="24"/>
                    <w:highlight w:val="none"/>
                  </w:rPr>
                  <w:t></w:t>
                </w:r>
              </w:sdtContent>
            </w:sdt>
            <w:r>
              <w:rPr>
                <w:rFonts w:hint="eastAsia" w:ascii="宋体" w:hAnsi="宋体" w:cs="宋体"/>
                <w:color w:val="auto"/>
                <w:kern w:val="0"/>
                <w:sz w:val="24"/>
                <w:highlight w:val="none"/>
              </w:rPr>
              <w:t xml:space="preserve"> A</w:t>
            </w:r>
            <w:r>
              <w:rPr>
                <w:rFonts w:hint="eastAsia" w:ascii="宋体" w:hAnsi="宋体" w:cs="宋体"/>
                <w:color w:val="auto"/>
                <w:sz w:val="24"/>
                <w:highlight w:val="none"/>
              </w:rPr>
              <w:t>同意将非主体、非关键性的工作分包。</w:t>
            </w:r>
          </w:p>
          <w:p w14:paraId="16EE52E2">
            <w:pPr>
              <w:spacing w:line="360" w:lineRule="auto"/>
              <w:rPr>
                <w:rFonts w:hint="eastAsia" w:ascii="宋体" w:hAnsi="宋体" w:cs="宋体"/>
                <w:color w:val="auto"/>
                <w:sz w:val="24"/>
                <w:highlight w:val="none"/>
              </w:rPr>
            </w:pPr>
            <w:sdt>
              <w:sdtPr>
                <w:rPr>
                  <w:rFonts w:hint="eastAsia" w:ascii="宋体" w:hAnsi="宋体" w:cs="宋体"/>
                  <w:color w:val="auto"/>
                  <w:kern w:val="0"/>
                  <w:sz w:val="24"/>
                  <w:highlight w:val="none"/>
                </w:rPr>
                <w:id w:val="-1276331357"/>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cs="宋体"/>
                    <w:color w:val="auto"/>
                    <w:kern w:val="0"/>
                    <w:sz w:val="24"/>
                    <w:highlight w:val="none"/>
                  </w:rPr>
                  <w:t>☐</w:t>
                </w:r>
              </w:sdtContent>
            </w:sdt>
            <w:r>
              <w:rPr>
                <w:rFonts w:hint="eastAsia" w:ascii="宋体" w:hAnsi="宋体" w:cs="宋体"/>
                <w:color w:val="auto"/>
                <w:kern w:val="0"/>
                <w:sz w:val="24"/>
                <w:highlight w:val="none"/>
              </w:rPr>
              <w:t xml:space="preserve"> B</w:t>
            </w:r>
            <w:r>
              <w:rPr>
                <w:rFonts w:hint="eastAsia" w:ascii="宋体" w:hAnsi="宋体" w:cs="宋体"/>
                <w:color w:val="auto"/>
                <w:sz w:val="24"/>
                <w:highlight w:val="none"/>
              </w:rPr>
              <w:t>不同意分包，具体理由：</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4FEE7640">
            <w:pPr>
              <w:spacing w:line="360" w:lineRule="auto"/>
              <w:rPr>
                <w:rFonts w:hint="eastAsia" w:ascii="宋体" w:hAnsi="宋体" w:cs="宋体"/>
                <w:color w:val="auto"/>
                <w:sz w:val="24"/>
                <w:highlight w:val="none"/>
              </w:rPr>
            </w:pPr>
            <w:r>
              <w:rPr>
                <w:rFonts w:hint="eastAsia" w:ascii="宋体" w:hAnsi="宋体" w:cs="宋体"/>
                <w:color w:val="auto"/>
                <w:sz w:val="24"/>
                <w:highlight w:val="none"/>
              </w:rPr>
              <w:t>注：不得限制大中型企业向小微企业合理分包。</w:t>
            </w:r>
          </w:p>
        </w:tc>
      </w:tr>
      <w:tr w14:paraId="51417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22EDF928">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5</w:t>
            </w:r>
          </w:p>
        </w:tc>
        <w:tc>
          <w:tcPr>
            <w:tcW w:w="2093" w:type="dxa"/>
            <w:vAlign w:val="center"/>
          </w:tcPr>
          <w:p w14:paraId="1E7C2DAE">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磋商前答疑会或现场考察</w:t>
            </w:r>
          </w:p>
        </w:tc>
        <w:tc>
          <w:tcPr>
            <w:tcW w:w="6927" w:type="dxa"/>
            <w:vAlign w:val="center"/>
          </w:tcPr>
          <w:p w14:paraId="1CF11DE4">
            <w:pPr>
              <w:spacing w:line="360" w:lineRule="auto"/>
              <w:rPr>
                <w:rFonts w:hint="eastAsia" w:ascii="宋体" w:hAnsi="宋体" w:cs="宋体"/>
                <w:color w:val="auto"/>
                <w:sz w:val="24"/>
                <w:highlight w:val="none"/>
              </w:rPr>
            </w:pPr>
            <w:sdt>
              <w:sdtPr>
                <w:rPr>
                  <w:rFonts w:hint="eastAsia" w:ascii="宋体" w:hAnsi="宋体" w:cs="宋体"/>
                  <w:color w:val="auto"/>
                  <w:kern w:val="0"/>
                  <w:sz w:val="24"/>
                  <w:highlight w:val="none"/>
                </w:rPr>
                <w:id w:val="-212966419"/>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sym w:font="Wingdings" w:char="F0FE"/>
                </w:r>
              </w:sdtContent>
            </w:sdt>
            <w:r>
              <w:rPr>
                <w:rFonts w:hint="eastAsia" w:ascii="宋体" w:hAnsi="宋体" w:cs="宋体"/>
                <w:color w:val="auto"/>
                <w:kern w:val="0"/>
                <w:sz w:val="24"/>
                <w:highlight w:val="none"/>
              </w:rPr>
              <w:t>A</w:t>
            </w:r>
            <w:r>
              <w:rPr>
                <w:rFonts w:hint="eastAsia" w:ascii="宋体" w:hAnsi="宋体" w:cs="宋体"/>
                <w:color w:val="auto"/>
                <w:sz w:val="24"/>
                <w:highlight w:val="none"/>
              </w:rPr>
              <w:t>不组织。</w:t>
            </w:r>
          </w:p>
          <w:p w14:paraId="691477B6">
            <w:pPr>
              <w:spacing w:line="360" w:lineRule="auto"/>
              <w:rPr>
                <w:rFonts w:hint="eastAsia" w:ascii="宋体" w:hAnsi="宋体" w:cs="宋体"/>
                <w:color w:val="auto"/>
                <w:sz w:val="24"/>
                <w:szCs w:val="20"/>
                <w:highlight w:val="none"/>
              </w:rPr>
            </w:pPr>
            <w:sdt>
              <w:sdtPr>
                <w:rPr>
                  <w:rFonts w:hint="eastAsia" w:ascii="宋体" w:hAnsi="宋体" w:cs="宋体"/>
                  <w:color w:val="auto"/>
                  <w:kern w:val="0"/>
                  <w:sz w:val="24"/>
                  <w:highlight w:val="none"/>
                </w:rPr>
                <w:id w:val="-999802974"/>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kern w:val="0"/>
                <w:sz w:val="24"/>
                <w:highlight w:val="none"/>
              </w:rPr>
              <w:t>B组织，</w:t>
            </w:r>
            <w:r>
              <w:rPr>
                <w:rFonts w:hint="eastAsia" w:ascii="宋体" w:hAnsi="宋体" w:cs="宋体"/>
                <w:color w:val="auto"/>
                <w:sz w:val="24"/>
                <w:highlight w:val="none"/>
              </w:rPr>
              <w:t>时间：</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,地点：</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，联系人：</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，联系方式：</w:t>
            </w:r>
            <w:r>
              <w:rPr>
                <w:rFonts w:hint="eastAsia" w:ascii="宋体" w:hAnsi="宋体" w:cs="宋体"/>
                <w:color w:val="auto"/>
                <w:sz w:val="24"/>
                <w:highlight w:val="none"/>
                <w:u w:val="single"/>
              </w:rPr>
              <w:t xml:space="preserve">   /   </w:t>
            </w:r>
            <w:r>
              <w:rPr>
                <w:rFonts w:hint="eastAsia" w:ascii="宋体" w:hAnsi="宋体" w:cs="宋体"/>
                <w:color w:val="auto"/>
                <w:sz w:val="24"/>
                <w:szCs w:val="20"/>
                <w:highlight w:val="none"/>
              </w:rPr>
              <w:t>。</w:t>
            </w:r>
          </w:p>
        </w:tc>
      </w:tr>
      <w:tr w14:paraId="70F6F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568CD52C">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6</w:t>
            </w:r>
          </w:p>
        </w:tc>
        <w:tc>
          <w:tcPr>
            <w:tcW w:w="2093" w:type="dxa"/>
            <w:vAlign w:val="center"/>
          </w:tcPr>
          <w:p w14:paraId="73DACC87">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样品提供</w:t>
            </w:r>
          </w:p>
        </w:tc>
        <w:tc>
          <w:tcPr>
            <w:tcW w:w="6927" w:type="dxa"/>
            <w:vAlign w:val="center"/>
          </w:tcPr>
          <w:p w14:paraId="2BE54530">
            <w:pPr>
              <w:spacing w:line="360" w:lineRule="auto"/>
              <w:rPr>
                <w:rFonts w:hint="eastAsia" w:ascii="宋体" w:hAnsi="宋体" w:cs="宋体"/>
                <w:color w:val="auto"/>
                <w:sz w:val="24"/>
                <w:highlight w:val="none"/>
              </w:rPr>
            </w:pPr>
            <w:sdt>
              <w:sdtPr>
                <w:rPr>
                  <w:rFonts w:hint="eastAsia" w:ascii="宋体" w:hAnsi="宋体" w:cs="宋体"/>
                  <w:color w:val="auto"/>
                  <w:kern w:val="0"/>
                  <w:sz w:val="24"/>
                  <w:highlight w:val="none"/>
                </w:rPr>
                <w:id w:val="-1639946486"/>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ascii="Wingdings" w:hAnsi="Wingdings" w:cs="宋体"/>
                    <w:color w:val="auto"/>
                    <w:kern w:val="0"/>
                    <w:sz w:val="24"/>
                    <w:highlight w:val="none"/>
                  </w:rPr>
                  <w:t></w:t>
                </w:r>
              </w:sdtContent>
            </w:sdt>
            <w:r>
              <w:rPr>
                <w:rFonts w:hint="eastAsia" w:ascii="宋体" w:hAnsi="宋体" w:cs="宋体"/>
                <w:color w:val="auto"/>
                <w:kern w:val="0"/>
                <w:sz w:val="24"/>
                <w:highlight w:val="none"/>
              </w:rPr>
              <w:t>A</w:t>
            </w:r>
            <w:r>
              <w:rPr>
                <w:rFonts w:hint="eastAsia" w:ascii="宋体" w:hAnsi="宋体" w:cs="宋体"/>
                <w:color w:val="auto"/>
                <w:sz w:val="24"/>
                <w:highlight w:val="none"/>
              </w:rPr>
              <w:t>不要求提供。</w:t>
            </w:r>
          </w:p>
          <w:p w14:paraId="159C1CE1">
            <w:pPr>
              <w:spacing w:line="360" w:lineRule="auto"/>
              <w:rPr>
                <w:rFonts w:hint="eastAsia" w:ascii="宋体" w:hAnsi="宋体" w:cs="宋体"/>
                <w:color w:val="auto"/>
                <w:kern w:val="0"/>
                <w:sz w:val="24"/>
                <w:highlight w:val="none"/>
              </w:rPr>
            </w:pPr>
            <w:sdt>
              <w:sdtPr>
                <w:rPr>
                  <w:rFonts w:hint="eastAsia" w:ascii="宋体" w:hAnsi="宋体" w:cs="宋体"/>
                  <w:color w:val="auto"/>
                  <w:kern w:val="0"/>
                  <w:sz w:val="24"/>
                  <w:highlight w:val="none"/>
                </w:rPr>
                <w:id w:val="1026831988"/>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cs="宋体"/>
                    <w:color w:val="auto"/>
                    <w:kern w:val="0"/>
                    <w:sz w:val="24"/>
                    <w:highlight w:val="none"/>
                  </w:rPr>
                  <w:t>☐</w:t>
                </w:r>
              </w:sdtContent>
            </w:sdt>
            <w:r>
              <w:rPr>
                <w:rFonts w:hint="eastAsia" w:ascii="宋体" w:hAnsi="宋体" w:cs="宋体"/>
                <w:color w:val="auto"/>
                <w:kern w:val="0"/>
                <w:sz w:val="24"/>
                <w:highlight w:val="none"/>
              </w:rPr>
              <w:t>B要求提供，</w:t>
            </w:r>
          </w:p>
          <w:p w14:paraId="210CA06F">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snapToGrid w:val="0"/>
                <w:color w:val="auto"/>
                <w:kern w:val="28"/>
                <w:sz w:val="24"/>
                <w:highlight w:val="none"/>
              </w:rPr>
              <w:t>样品：</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w:t>
            </w:r>
          </w:p>
          <w:p w14:paraId="7C737ABE">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snapToGrid w:val="0"/>
                <w:color w:val="auto"/>
                <w:kern w:val="28"/>
                <w:sz w:val="24"/>
                <w:highlight w:val="none"/>
              </w:rPr>
              <w:t>样品制作的标准和要求：</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w:t>
            </w:r>
          </w:p>
          <w:p w14:paraId="7538C29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（3）样品的评审方法以及评审标准</w:t>
            </w:r>
            <w:r>
              <w:rPr>
                <w:rFonts w:hint="eastAsia" w:ascii="宋体" w:hAnsi="宋体" w:cs="宋体"/>
                <w:snapToGrid w:val="0"/>
                <w:color w:val="auto"/>
                <w:kern w:val="28"/>
                <w:sz w:val="24"/>
                <w:highlight w:val="none"/>
              </w:rPr>
              <w:t>：详见</w:t>
            </w:r>
            <w:r>
              <w:rPr>
                <w:rFonts w:hint="eastAsia" w:ascii="宋体" w:hAnsi="宋体" w:cs="宋体"/>
                <w:color w:val="auto"/>
                <w:sz w:val="24"/>
                <w:highlight w:val="none"/>
                <w:u w:val="single"/>
              </w:rPr>
              <w:t>评审办法</w:t>
            </w:r>
            <w:r>
              <w:rPr>
                <w:rFonts w:hint="eastAsia" w:ascii="宋体" w:hAnsi="宋体" w:cs="宋体"/>
                <w:color w:val="auto"/>
                <w:kern w:val="0"/>
                <w:sz w:val="24"/>
                <w:highlight w:val="none"/>
              </w:rPr>
              <w:t>；</w:t>
            </w:r>
          </w:p>
          <w:p w14:paraId="1D8EB09E">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（4）是否需要随样品提交检测报告：</w:t>
            </w:r>
            <w:sdt>
              <w:sdtPr>
                <w:rPr>
                  <w:rFonts w:hint="eastAsia" w:ascii="宋体" w:hAnsi="宋体" w:cs="宋体"/>
                  <w:color w:val="auto"/>
                  <w:kern w:val="0"/>
                  <w:sz w:val="24"/>
                  <w:highlight w:val="none"/>
                </w:rPr>
                <w:id w:val="1303421454"/>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cs="宋体"/>
                    <w:color w:val="auto"/>
                    <w:kern w:val="0"/>
                    <w:sz w:val="24"/>
                    <w:highlight w:val="none"/>
                  </w:rPr>
                  <w:t>☐</w:t>
                </w:r>
              </w:sdtContent>
            </w:sdt>
            <w:r>
              <w:rPr>
                <w:rFonts w:hint="eastAsia" w:ascii="宋体" w:hAnsi="宋体" w:cs="宋体"/>
                <w:color w:val="auto"/>
                <w:kern w:val="0"/>
                <w:sz w:val="24"/>
                <w:highlight w:val="none"/>
              </w:rPr>
              <w:t>否；</w:t>
            </w:r>
            <w:sdt>
              <w:sdtPr>
                <w:rPr>
                  <w:rFonts w:hint="eastAsia" w:ascii="宋体" w:hAnsi="宋体" w:cs="宋体"/>
                  <w:color w:val="auto"/>
                  <w:kern w:val="0"/>
                  <w:sz w:val="24"/>
                  <w:highlight w:val="none"/>
                </w:rPr>
                <w:id w:val="1621728433"/>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kern w:val="0"/>
                <w:sz w:val="24"/>
                <w:highlight w:val="none"/>
              </w:rPr>
              <w:t>是，检测机构的要求</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；检测内容</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w:t>
            </w:r>
          </w:p>
          <w:p w14:paraId="061A5E11">
            <w:pPr>
              <w:spacing w:line="360" w:lineRule="auto"/>
              <w:rPr>
                <w:rFonts w:hint="eastAsia" w:ascii="宋体" w:hAnsi="宋体" w:cs="宋体"/>
                <w:color w:val="auto"/>
                <w:sz w:val="24"/>
                <w:highlight w:val="none"/>
              </w:rPr>
            </w:pPr>
            <w:r>
              <w:rPr>
                <w:rFonts w:hint="eastAsia" w:ascii="宋体" w:hAnsi="宋体" w:cs="宋体"/>
                <w:color w:val="auto"/>
                <w:sz w:val="24"/>
                <w:highlight w:val="none"/>
              </w:rPr>
              <w:t>（5）提供样品的时间：</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；地点：</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；联系人</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r>
              <w:rPr>
                <w:rFonts w:hint="eastAsia" w:ascii="宋体" w:hAnsi="宋体" w:cs="宋体"/>
                <w:color w:val="auto"/>
                <w:kern w:val="28"/>
                <w:sz w:val="24"/>
                <w:highlight w:val="none"/>
              </w:rPr>
              <w:t>联系电话：</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。请供应商在上述时间内提供样品并按规定位置安装完毕。超过截止时间的，采购人或采购代理机构将不予接收，并将清场并封闭样品现场。</w:t>
            </w:r>
          </w:p>
          <w:p w14:paraId="3C975C49">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(6)采购活动结束后，对于未成交供应商提供的样品，采购人、采购代理机构将通知未成交供应商在规定的时间内取回，逾期未取回的，采购人、采购代理机构不负保管义务；对于成交供应商提供的样品，采购人将进行保管、封存，并作为履约验收的参考。</w:t>
            </w:r>
          </w:p>
          <w:p w14:paraId="15BC3982">
            <w:pPr>
              <w:spacing w:line="360" w:lineRule="auto"/>
              <w:rPr>
                <w:rFonts w:hint="eastAsia" w:ascii="宋体" w:hAnsi="宋体" w:cs="宋体"/>
                <w:b/>
                <w:color w:val="auto"/>
                <w:sz w:val="24"/>
                <w:highlight w:val="none"/>
              </w:rPr>
            </w:pPr>
            <w:r>
              <w:rPr>
                <w:rFonts w:hint="eastAsia" w:ascii="宋体" w:hAnsi="宋体" w:cs="宋体"/>
                <w:color w:val="auto"/>
                <w:sz w:val="24"/>
                <w:highlight w:val="none"/>
              </w:rPr>
              <w:t>（7）制作、运输、安装和保管样品所发生的一切费用由供应商自理。</w:t>
            </w:r>
          </w:p>
        </w:tc>
      </w:tr>
      <w:tr w14:paraId="1A76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4CEE8684">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7</w:t>
            </w:r>
          </w:p>
        </w:tc>
        <w:tc>
          <w:tcPr>
            <w:tcW w:w="2093" w:type="dxa"/>
            <w:vAlign w:val="center"/>
          </w:tcPr>
          <w:p w14:paraId="75AB53FC">
            <w:pPr>
              <w:snapToGrid w:val="0"/>
              <w:spacing w:line="360" w:lineRule="auto"/>
              <w:jc w:val="center"/>
              <w:rPr>
                <w:rFonts w:hint="eastAsia" w:ascii="宋体" w:hAnsi="宋体" w:cs="宋体"/>
                <w:bCs/>
                <w:color w:val="auto"/>
                <w:sz w:val="24"/>
                <w:highlight w:val="none"/>
              </w:rPr>
            </w:pPr>
            <w:r>
              <w:rPr>
                <w:rFonts w:hint="eastAsia" w:ascii="宋体" w:hAnsi="宋体" w:cs="宋体"/>
                <w:b/>
                <w:color w:val="auto"/>
                <w:sz w:val="24"/>
                <w:highlight w:val="none"/>
              </w:rPr>
              <w:t>方案讲解演示</w:t>
            </w:r>
          </w:p>
        </w:tc>
        <w:tc>
          <w:tcPr>
            <w:tcW w:w="6927" w:type="dxa"/>
            <w:vAlign w:val="center"/>
          </w:tcPr>
          <w:p w14:paraId="48C1E92D">
            <w:pPr>
              <w:spacing w:line="360" w:lineRule="auto"/>
              <w:rPr>
                <w:rFonts w:hint="eastAsia" w:ascii="宋体" w:hAnsi="宋体" w:cs="宋体"/>
                <w:color w:val="auto"/>
                <w:sz w:val="24"/>
                <w:highlight w:val="none"/>
              </w:rPr>
            </w:pPr>
            <w:sdt>
              <w:sdtPr>
                <w:rPr>
                  <w:rFonts w:hint="eastAsia" w:ascii="宋体" w:hAnsi="宋体" w:cs="宋体"/>
                  <w:color w:val="auto"/>
                  <w:kern w:val="0"/>
                  <w:sz w:val="24"/>
                  <w:highlight w:val="none"/>
                </w:rPr>
                <w:id w:val="-1859348549"/>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ascii="Wingdings" w:hAnsi="Wingdings" w:cs="宋体"/>
                    <w:color w:val="auto"/>
                    <w:kern w:val="0"/>
                    <w:sz w:val="24"/>
                    <w:highlight w:val="none"/>
                  </w:rPr>
                  <w:t></w:t>
                </w:r>
              </w:sdtContent>
            </w:sdt>
            <w:r>
              <w:rPr>
                <w:rFonts w:hint="eastAsia" w:ascii="宋体" w:hAnsi="宋体" w:cs="宋体"/>
                <w:color w:val="auto"/>
                <w:kern w:val="0"/>
                <w:sz w:val="24"/>
                <w:highlight w:val="none"/>
              </w:rPr>
              <w:t>A</w:t>
            </w:r>
            <w:r>
              <w:rPr>
                <w:rFonts w:hint="eastAsia" w:ascii="宋体" w:hAnsi="宋体" w:cs="宋体"/>
                <w:color w:val="auto"/>
                <w:sz w:val="24"/>
                <w:highlight w:val="none"/>
              </w:rPr>
              <w:t>不组织。</w:t>
            </w:r>
          </w:p>
          <w:p w14:paraId="521B3C49">
            <w:pPr>
              <w:spacing w:line="360" w:lineRule="auto"/>
              <w:rPr>
                <w:rFonts w:hint="eastAsia" w:ascii="宋体" w:hAnsi="宋体" w:cs="宋体"/>
                <w:color w:val="auto"/>
                <w:kern w:val="0"/>
                <w:sz w:val="24"/>
                <w:highlight w:val="none"/>
              </w:rPr>
            </w:pPr>
            <w:sdt>
              <w:sdtPr>
                <w:rPr>
                  <w:rFonts w:hint="eastAsia" w:ascii="宋体" w:hAnsi="宋体" w:cs="宋体"/>
                  <w:color w:val="auto"/>
                  <w:kern w:val="0"/>
                  <w:sz w:val="24"/>
                  <w:highlight w:val="none"/>
                </w:rPr>
                <w:id w:val="1174071719"/>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kern w:val="0"/>
                <w:sz w:val="24"/>
                <w:highlight w:val="none"/>
              </w:rPr>
              <w:t>B组织。</w:t>
            </w:r>
          </w:p>
          <w:p w14:paraId="79E4ADA8">
            <w:p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（1）在评审时安排每个供应商进行方案讲解演示。每个供应商时间不超过</w:t>
            </w:r>
            <w:r>
              <w:rPr>
                <w:rFonts w:hint="eastAsia" w:ascii="宋体" w:hAnsi="宋体" w:cs="宋体"/>
                <w:color w:val="auto"/>
                <w:kern w:val="0"/>
                <w:sz w:val="24"/>
                <w:highlight w:val="none"/>
                <w:u w:val="single"/>
              </w:rPr>
              <w:t>20（编制时可根据项目情况进行调整）</w:t>
            </w:r>
            <w:r>
              <w:rPr>
                <w:rFonts w:hint="eastAsia" w:ascii="宋体" w:hAnsi="宋体" w:cs="宋体"/>
                <w:color w:val="auto"/>
                <w:kern w:val="0"/>
                <w:sz w:val="24"/>
                <w:highlight w:val="none"/>
              </w:rPr>
              <w:t>分钟，讲解次序以响应文件解密时间先后次序为准，讲解演示人员不超过</w:t>
            </w:r>
            <w:r>
              <w:rPr>
                <w:rFonts w:hint="eastAsia" w:ascii="宋体" w:hAnsi="宋体" w:cs="宋体"/>
                <w:color w:val="auto"/>
                <w:kern w:val="0"/>
                <w:sz w:val="24"/>
                <w:highlight w:val="none"/>
                <w:u w:val="single"/>
              </w:rPr>
              <w:t>3（编制时可根据项目情况进行调整）</w:t>
            </w:r>
            <w:r>
              <w:rPr>
                <w:rFonts w:hint="eastAsia" w:ascii="宋体" w:hAnsi="宋体" w:cs="宋体"/>
                <w:color w:val="auto"/>
                <w:kern w:val="0"/>
                <w:sz w:val="24"/>
                <w:highlight w:val="none"/>
              </w:rPr>
              <w:t>人。讲解演示结束后按要求解答磋商小组提问。</w:t>
            </w:r>
          </w:p>
          <w:p w14:paraId="54E710DF">
            <w:p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（2）方案讲解演示可选择以下其中一种方式：</w:t>
            </w:r>
          </w:p>
          <w:p w14:paraId="3F7F2B2E">
            <w:p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方式一：政采云平台在线讲解演示。政采云平台在线讲解需供应商根据政采云平台操作要求做好准备工作，提前完善软硬件配置环境。</w:t>
            </w:r>
          </w:p>
          <w:p w14:paraId="0CA85A55">
            <w:p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方式二：现场讲解演示。现场讲解地点为</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，讲解演示所用电脑等设备由供应商自备。现场讲解演示人员进场时提供讲解人员名单（加盖公章或授权代表签名）及身份证明，否则不得讲解演示。</w:t>
            </w:r>
          </w:p>
          <w:p w14:paraId="319E2175">
            <w:pPr>
              <w:snapToGrid w:val="0"/>
              <w:spacing w:line="360" w:lineRule="auto"/>
              <w:rPr>
                <w:rFonts w:hint="eastAsia" w:ascii="宋体" w:hAnsi="宋体" w:cs="宋体"/>
                <w:b/>
                <w:color w:val="auto"/>
                <w:kern w:val="0"/>
                <w:sz w:val="24"/>
                <w:highlight w:val="none"/>
                <w:lang w:val="zh-CN"/>
              </w:rPr>
            </w:pPr>
            <w:r>
              <w:rPr>
                <w:rFonts w:hint="eastAsia" w:ascii="宋体" w:hAnsi="宋体" w:cs="宋体"/>
                <w:color w:val="auto"/>
                <w:kern w:val="0"/>
                <w:sz w:val="24"/>
                <w:highlight w:val="none"/>
              </w:rPr>
              <w:t>注：因供应商自身原因导致无法演示或者演示效果不理想的，责任自负。因平台原因导致本项目方案讲解演示环节无法顺利开展，按照《浙江省政府采购项目电子交易管理暂行办法》相关规定执行。</w:t>
            </w:r>
          </w:p>
        </w:tc>
      </w:tr>
      <w:tr w14:paraId="187C5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Merge w:val="restart"/>
            <w:vAlign w:val="center"/>
          </w:tcPr>
          <w:p w14:paraId="47F2BEA3">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8</w:t>
            </w:r>
          </w:p>
        </w:tc>
        <w:tc>
          <w:tcPr>
            <w:tcW w:w="2093" w:type="dxa"/>
            <w:vMerge w:val="restart"/>
            <w:vAlign w:val="center"/>
          </w:tcPr>
          <w:p w14:paraId="46883CF2">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供应商应当提供的资格、资信证明文件</w:t>
            </w:r>
          </w:p>
        </w:tc>
        <w:tc>
          <w:tcPr>
            <w:tcW w:w="6927" w:type="dxa"/>
            <w:vAlign w:val="center"/>
          </w:tcPr>
          <w:p w14:paraId="7396DF8F">
            <w:pPr>
              <w:spacing w:line="360" w:lineRule="auto"/>
              <w:rPr>
                <w:rFonts w:hint="eastAsia" w:ascii="宋体" w:hAnsi="宋体" w:cs="宋体"/>
                <w:color w:val="auto"/>
                <w:sz w:val="24"/>
                <w:highlight w:val="none"/>
              </w:rPr>
            </w:pPr>
            <w:r>
              <w:rPr>
                <w:rFonts w:hint="eastAsia" w:ascii="宋体" w:hAnsi="宋体" w:cs="宋体"/>
                <w:color w:val="auto"/>
                <w:sz w:val="24"/>
                <w:highlight w:val="none"/>
              </w:rPr>
              <w:t>（1）资格证明文件：见采购文件第二部分11.1。</w:t>
            </w:r>
          </w:p>
          <w:p w14:paraId="7E0B745F">
            <w:pPr>
              <w:spacing w:line="360" w:lineRule="auto"/>
              <w:rPr>
                <w:rFonts w:hint="eastAsia" w:ascii="宋体" w:hAnsi="宋体" w:cs="宋体"/>
                <w:snapToGrid w:val="0"/>
                <w:color w:val="auto"/>
                <w:kern w:val="0"/>
                <w:szCs w:val="21"/>
                <w:highlight w:val="none"/>
              </w:rPr>
            </w:pPr>
            <w:r>
              <w:rPr>
                <w:rFonts w:hint="eastAsia" w:ascii="宋体" w:hAnsi="宋体" w:cs="宋体"/>
                <w:color w:val="auto"/>
                <w:kern w:val="0"/>
                <w:sz w:val="24"/>
                <w:highlight w:val="none"/>
                <w:lang w:val="zh-CN"/>
              </w:rPr>
              <w:t>供应商未提供有效的资格证明文件的，视为供应商不具备采购文件中规定的资格要求，响应文件无效。</w:t>
            </w:r>
          </w:p>
        </w:tc>
      </w:tr>
      <w:tr w14:paraId="7E4F5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Merge w:val="continue"/>
            <w:vAlign w:val="center"/>
          </w:tcPr>
          <w:p w14:paraId="744CB89B">
            <w:pPr>
              <w:snapToGrid w:val="0"/>
              <w:spacing w:line="360" w:lineRule="auto"/>
              <w:jc w:val="center"/>
              <w:rPr>
                <w:rFonts w:hint="eastAsia" w:ascii="宋体" w:hAnsi="宋体" w:cs="宋体"/>
                <w:color w:val="auto"/>
                <w:sz w:val="24"/>
                <w:highlight w:val="none"/>
              </w:rPr>
            </w:pPr>
          </w:p>
        </w:tc>
        <w:tc>
          <w:tcPr>
            <w:tcW w:w="2093" w:type="dxa"/>
            <w:vMerge w:val="continue"/>
            <w:vAlign w:val="center"/>
          </w:tcPr>
          <w:p w14:paraId="3E5315BC">
            <w:pPr>
              <w:snapToGrid w:val="0"/>
              <w:spacing w:line="360" w:lineRule="auto"/>
              <w:jc w:val="center"/>
              <w:rPr>
                <w:rFonts w:hint="eastAsia" w:ascii="宋体" w:hAnsi="宋体" w:cs="宋体"/>
                <w:b/>
                <w:color w:val="auto"/>
                <w:sz w:val="24"/>
                <w:highlight w:val="none"/>
              </w:rPr>
            </w:pPr>
          </w:p>
        </w:tc>
        <w:tc>
          <w:tcPr>
            <w:tcW w:w="6927" w:type="dxa"/>
            <w:vAlign w:val="center"/>
          </w:tcPr>
          <w:p w14:paraId="147597DA">
            <w:pPr>
              <w:spacing w:line="360" w:lineRule="auto"/>
              <w:rPr>
                <w:rFonts w:hint="eastAsia" w:ascii="宋体" w:hAnsi="宋体" w:cs="宋体"/>
                <w:color w:val="auto"/>
                <w:sz w:val="24"/>
                <w:highlight w:val="none"/>
              </w:rPr>
            </w:pPr>
            <w:r>
              <w:rPr>
                <w:rFonts w:hint="eastAsia" w:ascii="宋体" w:hAnsi="宋体" w:cs="宋体"/>
                <w:color w:val="auto"/>
                <w:sz w:val="24"/>
                <w:highlight w:val="none"/>
              </w:rPr>
              <w:t>（2）资信证明文件：根据采购文件第四部分评审标准提供。</w:t>
            </w:r>
          </w:p>
        </w:tc>
      </w:tr>
      <w:tr w14:paraId="6E987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449A3CA9">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9</w:t>
            </w:r>
          </w:p>
        </w:tc>
        <w:tc>
          <w:tcPr>
            <w:tcW w:w="2093" w:type="dxa"/>
            <w:vAlign w:val="center"/>
          </w:tcPr>
          <w:p w14:paraId="6C15EDFE">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节能产品、环境标志产品</w:t>
            </w:r>
          </w:p>
        </w:tc>
        <w:tc>
          <w:tcPr>
            <w:tcW w:w="6927" w:type="dxa"/>
            <w:vAlign w:val="center"/>
          </w:tcPr>
          <w:p w14:paraId="205817DF">
            <w:pPr>
              <w:snapToGrid w:val="0"/>
              <w:spacing w:line="360" w:lineRule="auto"/>
              <w:rPr>
                <w:rFonts w:hint="eastAsia" w:ascii="宋体" w:hAnsi="宋体" w:cs="宋体"/>
                <w:color w:val="auto"/>
                <w:highlight w:val="none"/>
              </w:rPr>
            </w:pPr>
            <w:r>
              <w:rPr>
                <w:rFonts w:hint="eastAsia" w:ascii="宋体" w:hAnsi="宋体" w:cs="宋体"/>
                <w:color w:val="auto"/>
                <w:kern w:val="0"/>
                <w:sz w:val="24"/>
                <w:highlight w:val="none"/>
              </w:rPr>
              <w:t>采购人拟采购的产品属于品目清单范围的，采购人及其委托的采购代理机构将依据国家确定的认证机构出具的、处于有效期之内的节能产品、环境标志产品认证证书，对获得证书的产品实施政府优先采购或强制采购。</w:t>
            </w:r>
          </w:p>
        </w:tc>
      </w:tr>
      <w:tr w14:paraId="3BAC8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6B0EFB5B">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10</w:t>
            </w:r>
          </w:p>
        </w:tc>
        <w:tc>
          <w:tcPr>
            <w:tcW w:w="2093" w:type="dxa"/>
            <w:vAlign w:val="center"/>
          </w:tcPr>
          <w:p w14:paraId="38CDBB7C">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报价要求</w:t>
            </w:r>
          </w:p>
        </w:tc>
        <w:tc>
          <w:tcPr>
            <w:tcW w:w="6927" w:type="dxa"/>
            <w:vAlign w:val="center"/>
          </w:tcPr>
          <w:p w14:paraId="479E4D67">
            <w:pPr>
              <w:snapToGrid w:val="0"/>
              <w:spacing w:line="360" w:lineRule="auto"/>
              <w:jc w:val="left"/>
              <w:rPr>
                <w:rFonts w:hint="eastAsia" w:ascii="宋体" w:hAnsi="宋体" w:cs="宋体"/>
                <w:b/>
                <w:color w:val="auto"/>
                <w:kern w:val="0"/>
                <w:sz w:val="24"/>
                <w:highlight w:val="none"/>
                <w:lang w:val="zh-CN"/>
              </w:rPr>
            </w:pPr>
            <w:r>
              <w:rPr>
                <w:rFonts w:hint="eastAsia" w:ascii="宋体" w:hAnsi="宋体" w:cs="宋体"/>
                <w:color w:val="auto"/>
                <w:kern w:val="0"/>
                <w:sz w:val="24"/>
                <w:highlight w:val="none"/>
                <w:lang w:val="zh-CN"/>
              </w:rPr>
              <w:t>有关本项目实施所需的所有费用（含税费）均计入报价。</w:t>
            </w:r>
            <w:r>
              <w:rPr>
                <w:rFonts w:hint="eastAsia" w:ascii="宋体" w:hAnsi="宋体" w:cs="宋体"/>
                <w:color w:val="auto"/>
                <w:sz w:val="24"/>
                <w:highlight w:val="none"/>
              </w:rPr>
              <w:t>报价单是报价的唯一载体</w:t>
            </w:r>
            <w:r>
              <w:rPr>
                <w:rFonts w:hint="eastAsia" w:ascii="宋体" w:hAnsi="宋体" w:cs="宋体"/>
                <w:color w:val="auto"/>
                <w:kern w:val="0"/>
                <w:sz w:val="24"/>
                <w:highlight w:val="none"/>
                <w:lang w:val="zh-CN"/>
              </w:rPr>
              <w:t>。响应文件中价格全部采用人民币报价。采购文件未列明，而供应商认为必需的费用也需列入报价。</w:t>
            </w:r>
            <w:r>
              <w:rPr>
                <w:rFonts w:hint="eastAsia" w:ascii="宋体" w:hAnsi="宋体" w:cs="宋体"/>
                <w:b/>
                <w:color w:val="auto"/>
                <w:kern w:val="0"/>
                <w:sz w:val="24"/>
                <w:highlight w:val="none"/>
                <w:lang w:val="zh-CN"/>
              </w:rPr>
              <w:t>提醒：验收时检测费用由采购人承担，不包含在总价中。</w:t>
            </w:r>
          </w:p>
          <w:p w14:paraId="1F0C3B97">
            <w:pPr>
              <w:snapToGrid w:val="0"/>
              <w:spacing w:line="360" w:lineRule="auto"/>
              <w:jc w:val="left"/>
              <w:rPr>
                <w:rFonts w:hint="eastAsia" w:ascii="宋体" w:hAnsi="宋体" w:cs="宋体"/>
                <w:b/>
                <w:color w:val="auto"/>
                <w:kern w:val="0"/>
                <w:sz w:val="24"/>
                <w:highlight w:val="none"/>
                <w:lang w:val="zh-CN"/>
              </w:rPr>
            </w:pPr>
            <w:r>
              <w:rPr>
                <w:rFonts w:hint="eastAsia" w:ascii="宋体" w:hAnsi="宋体" w:cs="宋体"/>
                <w:b/>
                <w:color w:val="auto"/>
                <w:kern w:val="0"/>
                <w:sz w:val="24"/>
                <w:highlight w:val="none"/>
                <w:lang w:val="zh-CN"/>
              </w:rPr>
              <w:t>最后报价出现下列情形的，响应文件无效：</w:t>
            </w:r>
          </w:p>
          <w:p w14:paraId="3356DB29">
            <w:pPr>
              <w:snapToGrid w:val="0"/>
              <w:spacing w:line="360" w:lineRule="auto"/>
              <w:ind w:firstLine="241" w:firstLineChars="100"/>
              <w:jc w:val="left"/>
              <w:rPr>
                <w:rFonts w:hint="eastAsia" w:ascii="宋体" w:hAnsi="宋体" w:cs="宋体"/>
                <w:b/>
                <w:color w:val="auto"/>
                <w:kern w:val="0"/>
                <w:sz w:val="24"/>
                <w:highlight w:val="none"/>
                <w:lang w:val="zh-CN"/>
              </w:rPr>
            </w:pPr>
            <w:r>
              <w:rPr>
                <w:rFonts w:hint="eastAsia" w:ascii="宋体" w:hAnsi="宋体" w:cs="宋体"/>
                <w:b/>
                <w:color w:val="auto"/>
                <w:kern w:val="0"/>
                <w:sz w:val="24"/>
                <w:highlight w:val="none"/>
                <w:lang w:val="zh-CN"/>
              </w:rPr>
              <w:t>响应文件出现不是唯一的、有选择性最后报价的；</w:t>
            </w:r>
          </w:p>
          <w:p w14:paraId="26227C6D">
            <w:pPr>
              <w:snapToGrid w:val="0"/>
              <w:spacing w:line="360" w:lineRule="auto"/>
              <w:ind w:firstLine="241" w:firstLineChars="100"/>
              <w:jc w:val="left"/>
              <w:rPr>
                <w:rFonts w:hint="eastAsia" w:ascii="宋体" w:hAnsi="宋体" w:cs="宋体"/>
                <w:b/>
                <w:color w:val="auto"/>
                <w:kern w:val="0"/>
                <w:sz w:val="24"/>
                <w:highlight w:val="none"/>
                <w:lang w:val="zh-CN"/>
              </w:rPr>
            </w:pPr>
            <w:r>
              <w:rPr>
                <w:rFonts w:hint="eastAsia" w:ascii="宋体" w:hAnsi="宋体" w:cs="宋体"/>
                <w:b/>
                <w:color w:val="auto"/>
                <w:kern w:val="0"/>
                <w:sz w:val="24"/>
                <w:highlight w:val="none"/>
                <w:lang w:val="zh-CN"/>
              </w:rPr>
              <w:t>最后报价超过采购文件中规定的预算金额或者最高限价的;</w:t>
            </w:r>
          </w:p>
          <w:p w14:paraId="140C34D9">
            <w:pPr>
              <w:spacing w:line="360" w:lineRule="auto"/>
              <w:ind w:firstLine="241" w:firstLineChars="100"/>
              <w:rPr>
                <w:rFonts w:hint="eastAsia" w:ascii="宋体" w:hAnsi="宋体" w:cs="宋体"/>
                <w:b/>
                <w:color w:val="auto"/>
                <w:sz w:val="24"/>
                <w:highlight w:val="none"/>
              </w:rPr>
            </w:pPr>
            <w:r>
              <w:rPr>
                <w:rFonts w:hint="eastAsia" w:ascii="宋体" w:hAnsi="宋体" w:cs="宋体"/>
                <w:b/>
                <w:color w:val="auto"/>
                <w:kern w:val="0"/>
                <w:sz w:val="24"/>
                <w:highlight w:val="none"/>
              </w:rPr>
              <w:t>报价明显低于其他通过符合性审查供应商的报价，有可能影响产品质量或者不能诚信履约的，未能按要求提供书面说明或者提交相关证明材料证明其报价合理性的</w:t>
            </w:r>
            <w:r>
              <w:rPr>
                <w:rFonts w:hint="eastAsia" w:ascii="宋体" w:hAnsi="宋体" w:cs="宋体"/>
                <w:b/>
                <w:color w:val="auto"/>
                <w:sz w:val="24"/>
                <w:szCs w:val="21"/>
                <w:highlight w:val="none"/>
              </w:rPr>
              <w:t>;</w:t>
            </w:r>
          </w:p>
          <w:p w14:paraId="335414BE">
            <w:pPr>
              <w:spacing w:line="360" w:lineRule="auto"/>
              <w:ind w:firstLine="241" w:firstLineChars="100"/>
              <w:rPr>
                <w:rFonts w:hint="eastAsia" w:ascii="宋体" w:hAnsi="宋体" w:cs="宋体"/>
                <w:color w:val="auto"/>
                <w:sz w:val="24"/>
                <w:highlight w:val="none"/>
              </w:rPr>
            </w:pPr>
            <w:r>
              <w:rPr>
                <w:rFonts w:hint="eastAsia" w:ascii="宋体" w:hAnsi="宋体" w:cs="宋体"/>
                <w:b/>
                <w:color w:val="auto"/>
                <w:kern w:val="0"/>
                <w:sz w:val="24"/>
                <w:highlight w:val="none"/>
              </w:rPr>
              <w:t>供应商对根据修正原则修正后的报价不确认的</w:t>
            </w:r>
            <w:r>
              <w:rPr>
                <w:rFonts w:hint="eastAsia" w:ascii="宋体" w:hAnsi="宋体" w:cs="宋体"/>
                <w:b/>
                <w:color w:val="auto"/>
                <w:sz w:val="24"/>
                <w:highlight w:val="none"/>
              </w:rPr>
              <w:t>。</w:t>
            </w:r>
          </w:p>
        </w:tc>
      </w:tr>
      <w:tr w14:paraId="635DC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44" w:hRule="atLeast"/>
        </w:trPr>
        <w:tc>
          <w:tcPr>
            <w:tcW w:w="714" w:type="dxa"/>
            <w:vAlign w:val="center"/>
          </w:tcPr>
          <w:p w14:paraId="63EE52F1">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11</w:t>
            </w:r>
          </w:p>
        </w:tc>
        <w:tc>
          <w:tcPr>
            <w:tcW w:w="2093" w:type="dxa"/>
            <w:vAlign w:val="center"/>
          </w:tcPr>
          <w:p w14:paraId="48F0DCAA">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中小企业信用融资</w:t>
            </w:r>
          </w:p>
        </w:tc>
        <w:tc>
          <w:tcPr>
            <w:tcW w:w="6927" w:type="dxa"/>
            <w:vAlign w:val="center"/>
          </w:tcPr>
          <w:p w14:paraId="5B4E3BED">
            <w:pPr>
              <w:spacing w:line="360" w:lineRule="auto"/>
              <w:ind w:firstLine="480" w:firstLineChars="200"/>
              <w:rPr>
                <w:rFonts w:hint="eastAsia" w:ascii="宋体" w:hAnsi="宋体" w:cs="宋体"/>
                <w:color w:val="auto"/>
                <w:sz w:val="24"/>
                <w:highlight w:val="none"/>
              </w:rPr>
            </w:pPr>
            <w:r>
              <w:rPr>
                <w:rFonts w:hint="eastAsia" w:ascii="宋体" w:hAnsi="宋体" w:cs="宋体"/>
                <w:snapToGrid w:val="0"/>
                <w:color w:val="auto"/>
                <w:kern w:val="28"/>
                <w:sz w:val="24"/>
                <w:highlight w:val="none"/>
              </w:rPr>
              <w:t>供应商成交后也可在“政采云”平台申请政采贷：操作路径：登录政采云平台 - 金融服务中心 -【融资服务】，可在热门申请中选择产品直接申请，也可点击云智贷匹配适合产品进行申请，或者在可申请项目中根据该项目进行申请。</w:t>
            </w:r>
          </w:p>
        </w:tc>
      </w:tr>
      <w:tr w14:paraId="6C7E6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1FE52C5D">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12</w:t>
            </w:r>
          </w:p>
        </w:tc>
        <w:tc>
          <w:tcPr>
            <w:tcW w:w="2093" w:type="dxa"/>
            <w:vAlign w:val="center"/>
          </w:tcPr>
          <w:p w14:paraId="35E3A7A7">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备份响应文件送达地点和签收人员</w:t>
            </w:r>
          </w:p>
        </w:tc>
        <w:tc>
          <w:tcPr>
            <w:tcW w:w="6927" w:type="dxa"/>
            <w:vAlign w:val="center"/>
          </w:tcPr>
          <w:p w14:paraId="79A39086">
            <w:pPr>
              <w:pStyle w:val="35"/>
              <w:spacing w:line="360" w:lineRule="auto"/>
              <w:rPr>
                <w:rFonts w:hint="eastAsia" w:hAnsi="宋体" w:cs="宋体"/>
                <w:color w:val="auto"/>
                <w:kern w:val="28"/>
                <w:sz w:val="24"/>
                <w:szCs w:val="24"/>
                <w:highlight w:val="none"/>
              </w:rPr>
            </w:pPr>
            <w:r>
              <w:rPr>
                <w:rFonts w:hint="eastAsia" w:hAnsi="宋体" w:cs="宋体"/>
                <w:color w:val="auto"/>
                <w:kern w:val="28"/>
                <w:sz w:val="24"/>
                <w:szCs w:val="24"/>
                <w:highlight w:val="none"/>
              </w:rPr>
              <w:t>备份响应文件送达地点：</w:t>
            </w:r>
            <w:r>
              <w:rPr>
                <w:rFonts w:hint="eastAsia" w:hAnsi="宋体" w:cs="宋体"/>
                <w:color w:val="auto"/>
                <w:sz w:val="24"/>
                <w:highlight w:val="none"/>
                <w:u w:val="single"/>
              </w:rPr>
              <w:t xml:space="preserve"> 华诚工程咨询集团有限公司（杭州市拱墅区彩云路105号锦盛大楼8楼 </w:t>
            </w:r>
            <w:r>
              <w:rPr>
                <w:rFonts w:hint="eastAsia" w:hAnsi="宋体" w:cs="宋体"/>
                <w:color w:val="auto"/>
                <w:kern w:val="28"/>
                <w:sz w:val="24"/>
                <w:szCs w:val="24"/>
                <w:highlight w:val="none"/>
              </w:rPr>
              <w:t>；</w:t>
            </w:r>
          </w:p>
          <w:p w14:paraId="12EC633D">
            <w:pPr>
              <w:pStyle w:val="35"/>
              <w:spacing w:line="360" w:lineRule="auto"/>
              <w:rPr>
                <w:rFonts w:hint="eastAsia" w:hAnsi="宋体" w:cs="宋体"/>
                <w:color w:val="auto"/>
                <w:sz w:val="24"/>
                <w:szCs w:val="24"/>
                <w:highlight w:val="none"/>
              </w:rPr>
            </w:pPr>
            <w:r>
              <w:rPr>
                <w:rFonts w:hint="eastAsia" w:hAnsi="宋体" w:cs="宋体"/>
                <w:color w:val="auto"/>
                <w:kern w:val="28"/>
                <w:sz w:val="24"/>
                <w:szCs w:val="24"/>
                <w:highlight w:val="none"/>
              </w:rPr>
              <w:t>备份响应文件签收人员联系电话：</w:t>
            </w:r>
            <w:r>
              <w:rPr>
                <w:rFonts w:hint="eastAsia" w:hAnsi="宋体" w:cs="宋体"/>
                <w:color w:val="auto"/>
                <w:sz w:val="24"/>
                <w:highlight w:val="none"/>
                <w:u w:val="single"/>
              </w:rPr>
              <w:t xml:space="preserve"> 宓圣杰；18969923366 </w:t>
            </w:r>
            <w:r>
              <w:rPr>
                <w:rFonts w:hint="eastAsia" w:hAnsi="宋体" w:cs="宋体"/>
                <w:color w:val="auto"/>
                <w:sz w:val="24"/>
                <w:szCs w:val="24"/>
                <w:highlight w:val="none"/>
              </w:rPr>
              <w:t>。</w:t>
            </w:r>
          </w:p>
          <w:p w14:paraId="11A7C6B2">
            <w:pPr>
              <w:pStyle w:val="35"/>
              <w:spacing w:line="360" w:lineRule="auto"/>
              <w:rPr>
                <w:rFonts w:hint="eastAsia" w:hAnsi="宋体" w:cs="宋体"/>
                <w:color w:val="auto"/>
                <w:kern w:val="28"/>
                <w:sz w:val="24"/>
                <w:highlight w:val="none"/>
              </w:rPr>
            </w:pPr>
            <w:r>
              <w:rPr>
                <w:rFonts w:hint="eastAsia" w:hAnsi="宋体" w:cs="宋体"/>
                <w:b/>
                <w:color w:val="auto"/>
                <w:sz w:val="24"/>
                <w:szCs w:val="24"/>
                <w:highlight w:val="none"/>
              </w:rPr>
              <w:t>采购人、采购代理机构不强制或变相强制供应商提交备份响应文件。</w:t>
            </w:r>
          </w:p>
        </w:tc>
      </w:tr>
      <w:tr w14:paraId="3B2EA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47994972">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13</w:t>
            </w:r>
          </w:p>
        </w:tc>
        <w:tc>
          <w:tcPr>
            <w:tcW w:w="2093" w:type="dxa"/>
            <w:vAlign w:val="center"/>
          </w:tcPr>
          <w:p w14:paraId="5EA3675D">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其它说明</w:t>
            </w:r>
          </w:p>
        </w:tc>
        <w:tc>
          <w:tcPr>
            <w:tcW w:w="6927" w:type="dxa"/>
            <w:vAlign w:val="center"/>
          </w:tcPr>
          <w:p w14:paraId="3DC14988">
            <w:pPr>
              <w:spacing w:line="360" w:lineRule="auto"/>
              <w:rPr>
                <w:rFonts w:hint="eastAsia" w:ascii="宋体" w:hAnsi="宋体" w:cs="宋体"/>
                <w:snapToGrid w:val="0"/>
                <w:color w:val="auto"/>
                <w:kern w:val="28"/>
                <w:sz w:val="24"/>
                <w:highlight w:val="none"/>
              </w:rPr>
            </w:pPr>
            <w:r>
              <w:rPr>
                <w:rFonts w:hint="eastAsia" w:ascii="宋体" w:hAnsi="宋体" w:cs="宋体"/>
                <w:snapToGrid w:val="0"/>
                <w:color w:val="auto"/>
                <w:kern w:val="28"/>
                <w:sz w:val="24"/>
                <w:highlight w:val="none"/>
              </w:rPr>
              <w:t>联合体或者以分包方式履行合同的，联合体各方（供应商与分包供应商）分别提供与联合体协议（分包意向协议）中规定的分工内容相应的业绩证明材料，业绩数量以提供材料较少的一方为准</w:t>
            </w:r>
            <w:r>
              <w:rPr>
                <w:rFonts w:hint="eastAsia" w:ascii="宋体" w:hAnsi="宋体" w:cs="宋体"/>
                <w:b/>
                <w:color w:val="auto"/>
                <w:kern w:val="0"/>
                <w:sz w:val="24"/>
                <w:highlight w:val="none"/>
              </w:rPr>
              <w:t>。</w:t>
            </w:r>
          </w:p>
        </w:tc>
      </w:tr>
      <w:tr w14:paraId="10452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087E65FF">
            <w:pPr>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14</w:t>
            </w:r>
          </w:p>
        </w:tc>
        <w:tc>
          <w:tcPr>
            <w:tcW w:w="2093" w:type="dxa"/>
            <w:vAlign w:val="center"/>
          </w:tcPr>
          <w:p w14:paraId="741BAB4B">
            <w:pPr>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采购代理服务费</w:t>
            </w:r>
          </w:p>
        </w:tc>
        <w:tc>
          <w:tcPr>
            <w:tcW w:w="6927" w:type="dxa"/>
            <w:vAlign w:val="center"/>
          </w:tcPr>
          <w:p w14:paraId="64875D45">
            <w:pPr>
              <w:spacing w:line="360" w:lineRule="auto"/>
              <w:rPr>
                <w:rFonts w:hint="eastAsia" w:ascii="宋体" w:hAnsi="宋体" w:cs="宋体"/>
                <w:snapToGrid w:val="0"/>
                <w:color w:val="auto"/>
                <w:kern w:val="28"/>
                <w:sz w:val="24"/>
                <w:highlight w:val="none"/>
              </w:rPr>
            </w:pPr>
            <w:r>
              <w:rPr>
                <w:rFonts w:hint="eastAsia" w:ascii="宋体" w:hAnsi="宋体" w:cs="宋体"/>
                <w:snapToGrid w:val="0"/>
                <w:color w:val="auto"/>
                <w:kern w:val="28"/>
                <w:sz w:val="24"/>
                <w:highlight w:val="none"/>
              </w:rPr>
              <w:t>1、采购代理服务费：参照国家计委关于印发《招标代理服务收费管理暂行办法》的通知》价格[2002]1980号)规定标准的80%计算，每个项目保底5000元，工程造价咨询费参照浙建价协(2021)13号《浙江省建设工程造价咨询服务项目及收费指引》规定标准的80%计算，每个项目保底3000元，向中标人收取。</w:t>
            </w:r>
          </w:p>
          <w:p w14:paraId="3812182D">
            <w:pPr>
              <w:spacing w:line="360" w:lineRule="auto"/>
              <w:rPr>
                <w:rFonts w:hint="eastAsia" w:ascii="宋体" w:hAnsi="宋体" w:cs="宋体"/>
                <w:snapToGrid w:val="0"/>
                <w:color w:val="auto"/>
                <w:kern w:val="28"/>
                <w:sz w:val="24"/>
                <w:highlight w:val="none"/>
              </w:rPr>
            </w:pPr>
            <w:r>
              <w:rPr>
                <w:rFonts w:hint="eastAsia" w:ascii="宋体" w:hAnsi="宋体" w:cs="宋体"/>
                <w:snapToGrid w:val="0"/>
                <w:color w:val="auto"/>
                <w:kern w:val="28"/>
                <w:sz w:val="24"/>
                <w:highlight w:val="none"/>
              </w:rPr>
              <w:t>2、费用支付：</w:t>
            </w:r>
          </w:p>
          <w:p w14:paraId="293656B5">
            <w:pPr>
              <w:spacing w:line="360" w:lineRule="auto"/>
              <w:rPr>
                <w:rFonts w:hint="eastAsia" w:ascii="宋体" w:hAnsi="宋体" w:cs="宋体"/>
                <w:snapToGrid w:val="0"/>
                <w:color w:val="auto"/>
                <w:kern w:val="28"/>
                <w:sz w:val="24"/>
                <w:highlight w:val="none"/>
              </w:rPr>
            </w:pPr>
            <w:r>
              <w:rPr>
                <w:rFonts w:hint="eastAsia" w:ascii="宋体" w:hAnsi="宋体" w:cs="宋体"/>
                <w:snapToGrid w:val="0"/>
                <w:color w:val="auto"/>
                <w:kern w:val="28"/>
                <w:sz w:val="24"/>
                <w:highlight w:val="none"/>
              </w:rPr>
              <w:t>①缴纳形式：电汇/现金。</w:t>
            </w:r>
          </w:p>
          <w:p w14:paraId="24A927DC">
            <w:pPr>
              <w:spacing w:line="360" w:lineRule="auto"/>
              <w:rPr>
                <w:rFonts w:hint="eastAsia" w:ascii="宋体" w:hAnsi="宋体" w:cs="宋体"/>
                <w:snapToGrid w:val="0"/>
                <w:color w:val="auto"/>
                <w:kern w:val="28"/>
                <w:sz w:val="24"/>
                <w:highlight w:val="none"/>
              </w:rPr>
            </w:pPr>
            <w:r>
              <w:rPr>
                <w:rFonts w:hint="eastAsia" w:ascii="宋体" w:hAnsi="宋体" w:cs="宋体"/>
                <w:snapToGrid w:val="0"/>
                <w:color w:val="auto"/>
                <w:kern w:val="28"/>
                <w:sz w:val="24"/>
                <w:highlight w:val="none"/>
              </w:rPr>
              <w:t>②汇入以下账户 ：</w:t>
            </w:r>
          </w:p>
          <w:p w14:paraId="086AEF0E">
            <w:pPr>
              <w:spacing w:line="360" w:lineRule="auto"/>
              <w:rPr>
                <w:rFonts w:hint="eastAsia" w:ascii="宋体" w:hAnsi="宋体" w:cs="宋体"/>
                <w:snapToGrid w:val="0"/>
                <w:color w:val="auto"/>
                <w:kern w:val="28"/>
                <w:sz w:val="24"/>
                <w:highlight w:val="none"/>
              </w:rPr>
            </w:pPr>
            <w:r>
              <w:rPr>
                <w:rFonts w:hint="eastAsia" w:ascii="宋体" w:hAnsi="宋体" w:cs="宋体"/>
                <w:snapToGrid w:val="0"/>
                <w:color w:val="auto"/>
                <w:kern w:val="28"/>
                <w:sz w:val="24"/>
                <w:highlight w:val="none"/>
              </w:rPr>
              <w:t>收款单位（户名）：华诚工程咨询集团有限公司</w:t>
            </w:r>
          </w:p>
          <w:p w14:paraId="09618E2F">
            <w:pPr>
              <w:spacing w:line="360" w:lineRule="auto"/>
              <w:rPr>
                <w:rFonts w:hint="eastAsia" w:ascii="宋体" w:hAnsi="宋体" w:cs="宋体"/>
                <w:snapToGrid w:val="0"/>
                <w:color w:val="auto"/>
                <w:kern w:val="28"/>
                <w:sz w:val="24"/>
                <w:highlight w:val="none"/>
              </w:rPr>
            </w:pPr>
            <w:r>
              <w:rPr>
                <w:rFonts w:hint="eastAsia" w:ascii="宋体" w:hAnsi="宋体" w:cs="宋体"/>
                <w:snapToGrid w:val="0"/>
                <w:color w:val="auto"/>
                <w:kern w:val="28"/>
                <w:sz w:val="24"/>
                <w:highlight w:val="none"/>
              </w:rPr>
              <w:t>开户银行：上海浦东发展银行股份有限公司杭州和睦支行</w:t>
            </w:r>
          </w:p>
          <w:p w14:paraId="7E9846FC">
            <w:pPr>
              <w:spacing w:line="360" w:lineRule="auto"/>
              <w:rPr>
                <w:rFonts w:hint="eastAsia" w:ascii="宋体" w:hAnsi="宋体" w:cs="宋体"/>
                <w:snapToGrid w:val="0"/>
                <w:color w:val="auto"/>
                <w:kern w:val="28"/>
                <w:sz w:val="24"/>
                <w:highlight w:val="none"/>
              </w:rPr>
            </w:pPr>
            <w:r>
              <w:rPr>
                <w:rFonts w:hint="eastAsia" w:ascii="宋体" w:hAnsi="宋体" w:cs="宋体"/>
                <w:snapToGrid w:val="0"/>
                <w:color w:val="auto"/>
                <w:kern w:val="28"/>
                <w:sz w:val="24"/>
                <w:highlight w:val="none"/>
              </w:rPr>
              <w:t>账   号：95220078801100000315</w:t>
            </w:r>
          </w:p>
          <w:p w14:paraId="32E82E4E">
            <w:pPr>
              <w:spacing w:line="360" w:lineRule="auto"/>
              <w:rPr>
                <w:rFonts w:hint="eastAsia" w:ascii="宋体" w:hAnsi="宋体" w:cs="宋体"/>
                <w:snapToGrid w:val="0"/>
                <w:color w:val="auto"/>
                <w:kern w:val="28"/>
                <w:sz w:val="24"/>
                <w:highlight w:val="none"/>
              </w:rPr>
            </w:pPr>
            <w:r>
              <w:rPr>
                <w:rFonts w:hint="eastAsia" w:ascii="宋体" w:hAnsi="宋体" w:cs="宋体"/>
                <w:snapToGrid w:val="0"/>
                <w:color w:val="auto"/>
                <w:kern w:val="28"/>
                <w:sz w:val="24"/>
                <w:highlight w:val="none"/>
              </w:rPr>
              <w:t>3、增值税发票开票资料：单位名称、税号（统一社会信用代码）、开户行名称、账号、地址及联系电话。</w:t>
            </w:r>
          </w:p>
        </w:tc>
      </w:tr>
    </w:tbl>
    <w:p w14:paraId="487A3586">
      <w:pPr>
        <w:snapToGrid w:val="0"/>
        <w:spacing w:line="360" w:lineRule="auto"/>
        <w:jc w:val="center"/>
        <w:rPr>
          <w:rFonts w:hint="eastAsia" w:ascii="宋体" w:hAnsi="宋体" w:cs="宋体"/>
          <w:b/>
          <w:color w:val="auto"/>
          <w:sz w:val="32"/>
          <w:szCs w:val="20"/>
          <w:highlight w:val="none"/>
        </w:rPr>
      </w:pPr>
    </w:p>
    <w:bookmarkEnd w:id="12"/>
    <w:p w14:paraId="136434EB">
      <w:pPr>
        <w:widowControl/>
        <w:adjustRightInd/>
        <w:jc w:val="left"/>
        <w:rPr>
          <w:rFonts w:hint="eastAsia" w:ascii="宋体" w:hAnsi="宋体" w:cs="宋体"/>
          <w:b/>
          <w:color w:val="auto"/>
          <w:sz w:val="32"/>
          <w:szCs w:val="20"/>
          <w:highlight w:val="none"/>
        </w:rPr>
      </w:pPr>
      <w:bookmarkStart w:id="16" w:name="第三部分"/>
      <w:bookmarkStart w:id="17" w:name="_Toc164416483"/>
      <w:r>
        <w:rPr>
          <w:rFonts w:hint="eastAsia" w:ascii="宋体" w:hAnsi="宋体" w:cs="宋体"/>
          <w:b/>
          <w:color w:val="auto"/>
          <w:sz w:val="32"/>
          <w:szCs w:val="20"/>
          <w:highlight w:val="none"/>
        </w:rPr>
        <w:br w:type="page"/>
      </w:r>
    </w:p>
    <w:p w14:paraId="064EC9AE">
      <w:pPr>
        <w:snapToGrid w:val="0"/>
        <w:spacing w:line="360" w:lineRule="auto"/>
        <w:jc w:val="center"/>
        <w:outlineLvl w:val="0"/>
        <w:rPr>
          <w:rFonts w:hint="eastAsia" w:ascii="宋体" w:hAnsi="宋体" w:cs="宋体"/>
          <w:b/>
          <w:color w:val="auto"/>
          <w:sz w:val="32"/>
          <w:szCs w:val="20"/>
          <w:highlight w:val="none"/>
        </w:rPr>
      </w:pPr>
      <w:bookmarkStart w:id="18" w:name="_Toc20114"/>
      <w:bookmarkStart w:id="19" w:name="_Toc18539"/>
      <w:r>
        <w:rPr>
          <w:rFonts w:hint="eastAsia" w:ascii="宋体" w:hAnsi="宋体" w:cs="宋体"/>
          <w:b/>
          <w:color w:val="auto"/>
          <w:sz w:val="32"/>
          <w:szCs w:val="20"/>
          <w:highlight w:val="none"/>
        </w:rPr>
        <w:t>一、总则</w:t>
      </w:r>
      <w:bookmarkEnd w:id="18"/>
      <w:bookmarkEnd w:id="19"/>
    </w:p>
    <w:p w14:paraId="179BD56E">
      <w:pPr>
        <w:snapToGrid w:val="0"/>
        <w:spacing w:line="360" w:lineRule="auto"/>
        <w:jc w:val="left"/>
        <w:outlineLvl w:val="1"/>
        <w:rPr>
          <w:rFonts w:hint="eastAsia" w:ascii="宋体" w:hAnsi="宋体" w:cs="宋体"/>
          <w:b/>
          <w:color w:val="auto"/>
          <w:sz w:val="24"/>
          <w:highlight w:val="none"/>
        </w:rPr>
      </w:pPr>
      <w:r>
        <w:rPr>
          <w:rFonts w:hint="eastAsia" w:ascii="宋体" w:hAnsi="宋体" w:cs="宋体"/>
          <w:b/>
          <w:color w:val="auto"/>
          <w:sz w:val="24"/>
          <w:highlight w:val="none"/>
        </w:rPr>
        <w:t>1.适用范围</w:t>
      </w:r>
    </w:p>
    <w:p w14:paraId="50579FCC">
      <w:pPr>
        <w:snapToGri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本采购文件适用于该项目的采购邀请、响应文件提交、响应文件开启、资格审查及信用信息查询、磋商、评审、成交供应商确定、合同、验收等行为（法律、法规另有规定的，从其规定）。</w:t>
      </w:r>
    </w:p>
    <w:p w14:paraId="4C9A2FD9">
      <w:pPr>
        <w:snapToGrid w:val="0"/>
        <w:spacing w:line="360" w:lineRule="auto"/>
        <w:outlineLvl w:val="0"/>
        <w:rPr>
          <w:rFonts w:hint="eastAsia" w:ascii="宋体" w:hAnsi="宋体" w:cs="宋体"/>
          <w:b/>
          <w:color w:val="auto"/>
          <w:sz w:val="24"/>
          <w:highlight w:val="none"/>
        </w:rPr>
      </w:pPr>
      <w:bookmarkStart w:id="20" w:name="_Toc12086"/>
      <w:bookmarkStart w:id="21" w:name="_Toc8756"/>
      <w:r>
        <w:rPr>
          <w:rFonts w:hint="eastAsia" w:ascii="宋体" w:hAnsi="宋体" w:cs="宋体"/>
          <w:b/>
          <w:color w:val="auto"/>
          <w:sz w:val="24"/>
          <w:highlight w:val="none"/>
        </w:rPr>
        <w:t>2.定义</w:t>
      </w:r>
      <w:bookmarkEnd w:id="20"/>
      <w:bookmarkEnd w:id="21"/>
    </w:p>
    <w:p w14:paraId="522A7066">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 “采购人”系指竞争性磋商公告中载明的本项目的采购人。</w:t>
      </w:r>
    </w:p>
    <w:p w14:paraId="4126C75B">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 “采购代理机构”系指竞争性磋商公告中载明的本项目的采购代理机构。</w:t>
      </w:r>
    </w:p>
    <w:p w14:paraId="07BAC0C8">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2.3 “供应商”系指是指提交响应文件和报价、参与竞争性磋商采购活动的法人、其他组织或者自然人。</w:t>
      </w:r>
    </w:p>
    <w:p w14:paraId="2282808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 “负责人”系指法人企业的法定负责人，或其他组织为法律、行政法规规定代表单位行使职权的主要负责人，或自然人本人。</w:t>
      </w:r>
    </w:p>
    <w:p w14:paraId="038902DA">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2.5“电子签名”系指数据电文中以电子形式所含、所附用于识别签名人身份并表明签名人认可其中内容的数据；“公章”系指单位法定名称章。因特殊原因需要使用冠以法定名称的业务专用章的，提交响应文件时须提供《业务专用章使用说明函》（附件4）。</w:t>
      </w:r>
    </w:p>
    <w:p w14:paraId="3A3F0FD5">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2.6“电子交易平台”</w:t>
      </w:r>
      <w:r>
        <w:rPr>
          <w:rFonts w:hint="eastAsia" w:asciiTheme="minorEastAsia" w:hAnsiTheme="minorEastAsia" w:eastAsiaTheme="minorEastAsia"/>
          <w:color w:val="auto"/>
          <w:sz w:val="24"/>
          <w:highlight w:val="none"/>
        </w:rPr>
        <w:t>系指本项目采购活动所依托的</w:t>
      </w:r>
      <w:r>
        <w:rPr>
          <w:rFonts w:hint="eastAsia" w:ascii="宋体" w:hAnsi="宋体" w:cs="宋体"/>
          <w:bCs/>
          <w:color w:val="auto"/>
          <w:sz w:val="24"/>
          <w:highlight w:val="none"/>
        </w:rPr>
        <w:t>杭州市教育局非依法招标(小额)项目采购平台</w:t>
      </w:r>
      <w:r>
        <w:rPr>
          <w:rFonts w:hint="eastAsia" w:ascii="宋体" w:hAnsi="宋体" w:cs="宋体"/>
          <w:color w:val="auto"/>
          <w:sz w:val="24"/>
          <w:highlight w:val="none"/>
        </w:rPr>
        <w:t>（https://hzjyg.lecaiyun.com/）</w:t>
      </w:r>
      <w:r>
        <w:rPr>
          <w:rFonts w:hint="eastAsia" w:asciiTheme="minorEastAsia" w:hAnsiTheme="minorEastAsia" w:eastAsiaTheme="minorEastAsia"/>
          <w:color w:val="auto"/>
          <w:sz w:val="24"/>
          <w:highlight w:val="none"/>
        </w:rPr>
        <w:t>。</w:t>
      </w:r>
    </w:p>
    <w:p w14:paraId="204F1F6B">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2.7 “▲” 系指实质性要求条款，“</w:t>
      </w:r>
      <w:sdt>
        <w:sdtPr>
          <w:rPr>
            <w:rFonts w:hint="eastAsia" w:ascii="宋体" w:hAnsi="宋体" w:cs="宋体"/>
            <w:color w:val="auto"/>
            <w:kern w:val="0"/>
            <w:sz w:val="24"/>
            <w:highlight w:val="none"/>
          </w:rPr>
          <w:id w:val="512970236"/>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ascii="Wingdings" w:hAnsi="Wingdings" w:cs="宋体"/>
              <w:color w:val="auto"/>
              <w:kern w:val="0"/>
              <w:sz w:val="24"/>
              <w:highlight w:val="none"/>
            </w:rPr>
            <w:t></w:t>
          </w:r>
        </w:sdtContent>
      </w:sdt>
      <w:r>
        <w:rPr>
          <w:rFonts w:hint="eastAsia" w:ascii="宋体" w:hAnsi="宋体" w:cs="宋体"/>
          <w:color w:val="auto"/>
          <w:sz w:val="24"/>
          <w:highlight w:val="none"/>
        </w:rPr>
        <w:t>” 系指适用本项目的要求，“</w:t>
      </w:r>
      <w:sdt>
        <w:sdtPr>
          <w:rPr>
            <w:rFonts w:hint="eastAsia" w:ascii="宋体" w:hAnsi="宋体" w:cs="宋体"/>
            <w:color w:val="auto"/>
            <w:kern w:val="0"/>
            <w:sz w:val="24"/>
            <w:highlight w:val="none"/>
          </w:rPr>
          <w:id w:val="404888855"/>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sz w:val="24"/>
          <w:highlight w:val="none"/>
        </w:rPr>
        <w:t>” 系指不适用本项目的要求，“※”系指磋商过程中可能实质性变动的内容。</w:t>
      </w:r>
    </w:p>
    <w:p w14:paraId="167518D3">
      <w:pPr>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3.采购项目需要落实的政府采购政策</w:t>
      </w:r>
    </w:p>
    <w:p w14:paraId="25461F09">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 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代理机构不会对其加以限制，仍将按照公平竞争原则实施采购）；</w:t>
      </w:r>
      <w:r>
        <w:rPr>
          <w:rFonts w:hint="eastAsia" w:ascii="宋体" w:hAnsi="宋体" w:cs="宋体"/>
          <w:color w:val="auto"/>
          <w:kern w:val="0"/>
          <w:sz w:val="24"/>
          <w:highlight w:val="none"/>
        </w:rPr>
        <w:t>优先采购向我国企业转让技术、与我国企业签订消化吸收再创新方案的供应商的进口产品</w:t>
      </w:r>
      <w:r>
        <w:rPr>
          <w:rFonts w:hint="eastAsia" w:ascii="宋体" w:hAnsi="宋体" w:cs="宋体"/>
          <w:color w:val="auto"/>
          <w:sz w:val="24"/>
          <w:highlight w:val="none"/>
        </w:rPr>
        <w:t>。</w:t>
      </w:r>
    </w:p>
    <w:p w14:paraId="0E216195">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 支持绿色发展</w:t>
      </w:r>
    </w:p>
    <w:p w14:paraId="31A94548">
      <w:pPr>
        <w:snapToGrid w:val="0"/>
        <w:spacing w:line="360" w:lineRule="auto"/>
        <w:ind w:firstLine="480" w:firstLineChars="200"/>
        <w:rPr>
          <w:rFonts w:hint="eastAsia" w:ascii="宋体" w:hAnsi="宋体" w:cs="宋体"/>
          <w:b/>
          <w:color w:val="auto"/>
          <w:sz w:val="24"/>
          <w:highlight w:val="none"/>
        </w:rPr>
      </w:pPr>
      <w:r>
        <w:rPr>
          <w:rFonts w:hint="eastAsia" w:ascii="宋体" w:hAnsi="宋体" w:cs="宋体"/>
          <w:color w:val="auto"/>
          <w:sz w:val="24"/>
          <w:highlight w:val="none"/>
        </w:rPr>
        <w:t>3.2.1采购人拟采购的产品属于品目清单范围的，采购人及其委托的采购代理机构将依据国家确定的认证机构出具的、处于有效期之内的节能产品、环境标志产品认证证书，对获得证书的产品实施政府优先采购或强制采购。供应商须按采购文件要求提供相关产品认证证书。▲</w:t>
      </w:r>
      <w:r>
        <w:rPr>
          <w:rFonts w:hint="eastAsia" w:ascii="宋体" w:hAnsi="宋体" w:cs="宋体"/>
          <w:b/>
          <w:color w:val="auto"/>
          <w:sz w:val="24"/>
          <w:highlight w:val="none"/>
        </w:rPr>
        <w:t>采购人拟采购的产品属于政府强制采购的节能产品品目清单范围的，供应商未按采购文件要求提供国家确定的认证机构出具的、处于有效期之内的节能产品认证证书的，响应文件无效。</w:t>
      </w:r>
    </w:p>
    <w:p w14:paraId="45D39ED1">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3.2.2纳入政府采购管理的修缮、装修类项目采购建材的，鼓励采购单位将绿色建材性能、指标等作为实质性条件纳入采购文件和合同，具体性能指标要求参考相关绿色建材政府采购需求标准。</w:t>
      </w:r>
    </w:p>
    <w:p w14:paraId="6280929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鼓励采购单位优先采购秸秆环保板材等资源综合利用产品。鼓励采购单位优先采购绿色物流配送服务、提供新能源交通工具的租赁服务。</w:t>
      </w:r>
    </w:p>
    <w:p w14:paraId="79847C73">
      <w:pPr>
        <w:pStyle w:val="6"/>
        <w:tabs>
          <w:tab w:val="left" w:pos="0"/>
          <w:tab w:val="clear" w:pos="432"/>
        </w:tabs>
        <w:ind w:left="0" w:firstLine="480" w:firstLineChars="200"/>
        <w:rPr>
          <w:rFonts w:hint="eastAsia"/>
          <w:color w:val="auto"/>
          <w:highlight w:val="none"/>
          <w:lang w:val="en-US"/>
        </w:rPr>
      </w:pPr>
      <w:r>
        <w:rPr>
          <w:rFonts w:ascii="宋体" w:hAnsi="宋体" w:eastAsia="宋体" w:cs="宋体"/>
          <w:b w:val="0"/>
          <w:bCs w:val="0"/>
          <w:color w:val="auto"/>
          <w:sz w:val="24"/>
          <w:szCs w:val="24"/>
          <w:highlight w:val="none"/>
          <w:lang w:val="en-US"/>
        </w:rPr>
        <w:t xml:space="preserve">3.2.4 </w:t>
      </w:r>
      <w:r>
        <w:rPr>
          <w:rFonts w:hint="eastAsia" w:ascii="宋体" w:hAnsi="宋体" w:eastAsia="宋体" w:cs="宋体"/>
          <w:b w:val="0"/>
          <w:bCs w:val="0"/>
          <w:color w:val="auto"/>
          <w:sz w:val="24"/>
          <w:szCs w:val="24"/>
          <w:highlight w:val="none"/>
          <w:lang w:val="en-US"/>
        </w:rPr>
        <w:t>鼓励供应商在参加政府采购过程中开展绿色设计、选择绿色材料、打造绿色制造工艺、开展绿色运输、做好废弃产品回收处理，实现产品全周期的绿色环保。鼓励采购单位对其提高预付款比例、免收履约保证金。</w:t>
      </w:r>
    </w:p>
    <w:p w14:paraId="6AA7408F">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3.3支持中小企业发展</w:t>
      </w:r>
    </w:p>
    <w:p w14:paraId="2D64A6A9">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3.3.1中小企业，是指在中华人民共和国境内依法设立，依据国务院批准的中小企业划分标准确定的中型企业、小型企业和微型企业，但与大企业的负责人为同一人，或者与大企业存在直接控股、管理关系的除外。</w:t>
      </w:r>
    </w:p>
    <w:p w14:paraId="095A6CC7">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符合中小企业划分标准的个体工商户，在政府采购活动中视同中小企业。</w:t>
      </w:r>
    </w:p>
    <w:p w14:paraId="6D0BB76D">
      <w:pPr>
        <w:widowControl/>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bCs/>
          <w:color w:val="auto"/>
          <w:sz w:val="24"/>
          <w:highlight w:val="none"/>
        </w:rPr>
        <w:t>3.3.2</w:t>
      </w:r>
      <w:r>
        <w:rPr>
          <w:rFonts w:hint="eastAsia" w:ascii="宋体" w:hAnsi="宋体" w:cs="宋体"/>
          <w:color w:val="auto"/>
          <w:kern w:val="0"/>
          <w:sz w:val="24"/>
          <w:highlight w:val="none"/>
        </w:rPr>
        <w:t>在政府采购活动中，供应商提供的工程符合下列情形的，享受中小企业扶持政策：</w:t>
      </w:r>
      <w:r>
        <w:rPr>
          <w:rFonts w:ascii="宋体" w:hAnsi="宋体" w:cs="宋体"/>
          <w:color w:val="auto"/>
          <w:sz w:val="24"/>
          <w:highlight w:val="none"/>
        </w:rPr>
        <w:t>在工程采购项目中，工程由中小企业承建，即工程施工单位为中小企业</w:t>
      </w:r>
      <w:r>
        <w:rPr>
          <w:rFonts w:hint="eastAsia" w:ascii="宋体" w:hAnsi="宋体" w:cs="宋体"/>
          <w:color w:val="auto"/>
          <w:kern w:val="0"/>
          <w:sz w:val="24"/>
          <w:highlight w:val="none"/>
        </w:rPr>
        <w:t>。</w:t>
      </w:r>
    </w:p>
    <w:p w14:paraId="7588C615">
      <w:pPr>
        <w:widowControl/>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以联合体形式参加政府采购活动，联合体各方均为中小企业的，联合体视同中小企业。其中，联合体各方均为小微企业的，联合体视同小微企业。</w:t>
      </w:r>
    </w:p>
    <w:p w14:paraId="1B240CA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3.3.3对于未预留份额专门面向中小企业的政府采购工程项目，以及预留份额政府采购工程项目中的非预留部分标项，对小型和微型企业的最后报价给予5%的扣除，用扣除后的价格参与评审。接受大中型企业与小微企业组成联合体或者允许大中型企业向一家或者多家小微企业分包的政府采购工程项目，对于</w:t>
      </w:r>
      <w:bookmarkStart w:id="22" w:name="_Hlk101132181"/>
      <w:r>
        <w:rPr>
          <w:rFonts w:hint="eastAsia" w:ascii="宋体" w:hAnsi="宋体" w:cs="宋体"/>
          <w:color w:val="auto"/>
          <w:sz w:val="24"/>
          <w:highlight w:val="none"/>
        </w:rPr>
        <w:t>联合协议或者分包意向协议约定小微企业的合同份额占到合同总金额30%以上的</w:t>
      </w:r>
      <w:bookmarkEnd w:id="22"/>
      <w:r>
        <w:rPr>
          <w:rFonts w:hint="eastAsia" w:ascii="宋体" w:hAnsi="宋体" w:cs="宋体"/>
          <w:color w:val="auto"/>
          <w:sz w:val="24"/>
          <w:highlight w:val="none"/>
        </w:rPr>
        <w:t>，对联合体或者大中型企业的报价给予2%的扣除，用扣除后的价格参加评审。组成联合体或者接受分包的小微企业与联合体内其他企业、分包企业之间存在直接控股、管理关系的，不享受价格扣除优惠政策。</w:t>
      </w:r>
    </w:p>
    <w:p w14:paraId="5105B08A">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3.3.4符合《关于促进残疾人就业政府采购政策的通知》（财库〔2017〕141号）规定的条件并提供《残疾人福利性单位声明函》（附件1）的残疾人福利性单位视同小型、微型企业；</w:t>
      </w:r>
    </w:p>
    <w:p w14:paraId="62528A7A">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3.3.5符合《关于政府采购支持监狱企业发展有关问题的通知》（财库[2014]68号）规定的监狱企业并提供由省级以上监狱管理局、戒毒管理局（含新疆生产建设兵团）出具的属于监狱企业证明文件的，视同为小型、微型企业。</w:t>
      </w:r>
    </w:p>
    <w:p w14:paraId="13975D30">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3.3.6可享受中小企业扶持政策的供应商应按照采购文件格式要求提供《中小企业声明函》，供应商提供的《中小企业声明函》与实际情况不符的，不享受中小企业扶持政策。声明内容不实的，属于提供虚假材料谋取中标、成交的，依法承担法律责任。</w:t>
      </w:r>
    </w:p>
    <w:p w14:paraId="30DEBF5F">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3.3.7中小企业享受扶持政策获得政府采购合同的，小微企业不得将合同分包给大中型企业，中型企业不得将合同分包给大型企业。</w:t>
      </w:r>
    </w:p>
    <w:p w14:paraId="6C607D8B">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3.4</w:t>
      </w:r>
      <w:r>
        <w:rPr>
          <w:rFonts w:hint="eastAsia" w:ascii="宋体" w:hAnsi="宋体" w:cs="宋体"/>
          <w:bCs/>
          <w:color w:val="auto"/>
          <w:sz w:val="24"/>
          <w:highlight w:val="none"/>
        </w:rPr>
        <w:t>支持创新发展</w:t>
      </w:r>
    </w:p>
    <w:p w14:paraId="4CBD3C20">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3.4.1 采购人优先采购被认定为首台套产品和“制造精品”的自主创新产品。</w:t>
      </w:r>
    </w:p>
    <w:p w14:paraId="12B87091">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3.4.2首台套产品被纳入《首台套产品推广应用指导目录》之日起3年内，以及产品核心技术高于国内领先水平，并具有明晰自主知识产权的“制造精品”产品，自认定之日起2年内视同已具备相应销售业绩，参加政府采购活动时业绩分值为满分。</w:t>
      </w:r>
    </w:p>
    <w:p w14:paraId="48C33574">
      <w:pPr>
        <w:pStyle w:val="6"/>
        <w:adjustRightInd w:val="0"/>
        <w:ind w:left="0" w:firstLine="480" w:firstLineChars="200"/>
        <w:rPr>
          <w:rFonts w:hint="eastAsia"/>
          <w:color w:val="auto"/>
          <w:highlight w:val="none"/>
        </w:rPr>
      </w:pPr>
      <w:r>
        <w:rPr>
          <w:rFonts w:hint="eastAsia" w:ascii="宋体" w:hAnsi="宋体" w:eastAsia="宋体" w:cs="仿宋"/>
          <w:b w:val="0"/>
          <w:bCs w:val="0"/>
          <w:color w:val="auto"/>
          <w:sz w:val="24"/>
          <w:szCs w:val="24"/>
          <w:highlight w:val="none"/>
          <w:lang w:val="en-US"/>
        </w:rPr>
        <w:t>3.4.3 采购人应当贯彻落实知识产权保护相关法律法规，应当采购使用正版软件。</w:t>
      </w:r>
    </w:p>
    <w:p w14:paraId="03E687A0">
      <w:pPr>
        <w:snapToGrid w:val="0"/>
        <w:spacing w:line="36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3.5平等对待内外资企业和符合条件的破产重整企业：</w:t>
      </w:r>
    </w:p>
    <w:p w14:paraId="3DEDA87E">
      <w:pPr>
        <w:snapToGrid w:val="0"/>
        <w:spacing w:line="360" w:lineRule="auto"/>
        <w:ind w:firstLine="480" w:firstLineChars="200"/>
        <w:rPr>
          <w:rFonts w:hint="eastAsia" w:ascii="宋体" w:hAnsi="宋体" w:cs="宋体"/>
          <w:b/>
          <w:color w:val="auto"/>
          <w:sz w:val="24"/>
          <w:highlight w:val="none"/>
        </w:rPr>
      </w:pPr>
      <w:r>
        <w:rPr>
          <w:rFonts w:hint="eastAsia" w:ascii="宋体" w:hAnsi="宋体" w:cs="宋体"/>
          <w:color w:val="auto"/>
          <w:sz w:val="24"/>
          <w:highlight w:val="none"/>
        </w:rPr>
        <w:t>平等对待内外资企业和符合条件的破产重整企业，切实保障企业公平竞争，平等维护企业的合法利益。</w:t>
      </w:r>
      <w:r>
        <w:rPr>
          <w:rFonts w:hint="eastAsia" w:ascii="宋体" w:hAnsi="宋体" w:cs="宋体"/>
          <w:color w:val="auto"/>
          <w:sz w:val="24"/>
          <w:highlight w:val="none"/>
        </w:rPr>
        <w:cr/>
      </w:r>
      <w:r>
        <w:rPr>
          <w:rFonts w:hint="eastAsia" w:ascii="宋体" w:hAnsi="宋体" w:cs="宋体"/>
          <w:b/>
          <w:color w:val="auto"/>
          <w:sz w:val="24"/>
          <w:highlight w:val="none"/>
        </w:rPr>
        <w:t>4.询问、质疑、投诉</w:t>
      </w:r>
      <w:r>
        <w:rPr>
          <w:rFonts w:hint="eastAsia" w:ascii="宋体" w:hAnsi="宋体" w:cs="仿宋"/>
          <w:color w:val="auto"/>
          <w:sz w:val="24"/>
          <w:highlight w:val="none"/>
        </w:rPr>
        <w:t>、</w:t>
      </w:r>
      <w:r>
        <w:rPr>
          <w:rFonts w:hint="eastAsia" w:ascii="宋体" w:hAnsi="宋体" w:cs="仿宋"/>
          <w:b/>
          <w:bCs/>
          <w:color w:val="auto"/>
          <w:sz w:val="24"/>
          <w:highlight w:val="none"/>
        </w:rPr>
        <w:t>补偿救济</w:t>
      </w:r>
    </w:p>
    <w:p w14:paraId="6165B96C">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rPr>
        <w:t>4.1在线询问、质疑、投诉</w:t>
      </w:r>
    </w:p>
    <w:p w14:paraId="1687414C">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rPr>
        <w:t>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5DE0CB03">
      <w:pPr>
        <w:autoSpaceDE w:val="0"/>
        <w:autoSpaceDN w:val="0"/>
        <w:snapToGrid w:val="0"/>
        <w:spacing w:line="360" w:lineRule="auto"/>
        <w:ind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4.2供应商询问</w:t>
      </w:r>
    </w:p>
    <w:p w14:paraId="13D91A18">
      <w:pPr>
        <w:autoSpaceDE w:val="0"/>
        <w:autoSpaceDN w:val="0"/>
        <w:snapToGrid w:val="0"/>
        <w:spacing w:line="360" w:lineRule="auto"/>
        <w:ind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14:paraId="0ACAC2B2">
      <w:pPr>
        <w:autoSpaceDE w:val="0"/>
        <w:autoSpaceDN w:val="0"/>
        <w:snapToGrid w:val="0"/>
        <w:spacing w:line="360" w:lineRule="auto"/>
        <w:ind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4.3供应商质疑</w:t>
      </w:r>
    </w:p>
    <w:p w14:paraId="1F9BCE14">
      <w:pPr>
        <w:pStyle w:val="35"/>
        <w:snapToGrid w:val="0"/>
        <w:spacing w:line="360" w:lineRule="auto"/>
        <w:ind w:firstLine="480" w:firstLineChars="200"/>
        <w:rPr>
          <w:rFonts w:hint="eastAsia" w:hAnsi="宋体" w:cs="宋体"/>
          <w:color w:val="auto"/>
          <w:sz w:val="24"/>
          <w:highlight w:val="none"/>
        </w:rPr>
      </w:pPr>
      <w:r>
        <w:rPr>
          <w:rFonts w:hint="eastAsia" w:hAnsi="宋体" w:cs="宋体"/>
          <w:color w:val="auto"/>
          <w:kern w:val="0"/>
          <w:sz w:val="24"/>
          <w:highlight w:val="none"/>
          <w:lang w:val="zh-CN"/>
        </w:rPr>
        <w:t>4.3</w:t>
      </w:r>
      <w:r>
        <w:rPr>
          <w:rFonts w:hint="eastAsia" w:hAnsi="宋体" w:cs="宋体"/>
          <w:color w:val="auto"/>
          <w:sz w:val="24"/>
          <w:highlight w:val="none"/>
        </w:rPr>
        <w:t>.1提出质疑的供应商应当是参与所质疑项目采购活动的供应商。潜在供应商已依法获取其可质疑的采购文件的，可以对该文件提出质疑。</w:t>
      </w:r>
    </w:p>
    <w:p w14:paraId="373D9D93">
      <w:pPr>
        <w:pStyle w:val="35"/>
        <w:snapToGrid w:val="0"/>
        <w:spacing w:line="360" w:lineRule="auto"/>
        <w:ind w:firstLine="480" w:firstLineChars="200"/>
        <w:rPr>
          <w:rFonts w:hint="eastAsia" w:hAnsi="宋体" w:cs="宋体"/>
          <w:color w:val="auto"/>
          <w:sz w:val="24"/>
          <w:highlight w:val="none"/>
        </w:rPr>
      </w:pPr>
      <w:r>
        <w:rPr>
          <w:rFonts w:hint="eastAsia" w:hAnsi="宋体" w:cs="宋体"/>
          <w:color w:val="auto"/>
          <w:kern w:val="0"/>
          <w:sz w:val="24"/>
          <w:highlight w:val="none"/>
          <w:lang w:val="zh-CN"/>
        </w:rPr>
        <w:t>4.3</w:t>
      </w:r>
      <w:r>
        <w:rPr>
          <w:rFonts w:hint="eastAsia" w:hAnsi="宋体" w:cs="宋体"/>
          <w:color w:val="auto"/>
          <w:sz w:val="24"/>
          <w:highlight w:val="none"/>
        </w:rPr>
        <w:t>.2供应商认为采购文件、采购过程和成交结果使自己的权益受到损害的，可以在知道或者应知其权益受到损害之日起七个工作日内，以书面形式向采购人或者采购代理机构提出质疑，否则，采购人或者采购代理机构不予受理：</w:t>
      </w:r>
    </w:p>
    <w:p w14:paraId="51D2CEBE">
      <w:pPr>
        <w:pStyle w:val="18"/>
        <w:spacing w:line="360" w:lineRule="auto"/>
        <w:ind w:firstLine="480" w:firstLineChars="200"/>
        <w:rPr>
          <w:rFonts w:hint="eastAsia" w:hAnsi="宋体" w:cs="宋体"/>
          <w:snapToGrid/>
          <w:color w:val="auto"/>
          <w:kern w:val="2"/>
          <w:sz w:val="24"/>
          <w:highlight w:val="none"/>
        </w:rPr>
      </w:pPr>
      <w:r>
        <w:rPr>
          <w:rFonts w:hint="eastAsia" w:hAnsi="宋体" w:cs="宋体"/>
          <w:snapToGrid/>
          <w:color w:val="auto"/>
          <w:kern w:val="2"/>
          <w:sz w:val="24"/>
          <w:highlight w:val="none"/>
        </w:rPr>
        <w:t>4.3.2.1对采购文件提出质疑的，质疑期限为供应商获得采购文件之日或者采购文件公告期限届满之日起计算。</w:t>
      </w:r>
    </w:p>
    <w:p w14:paraId="1F522DA9">
      <w:pPr>
        <w:pStyle w:val="35"/>
        <w:snapToGrid w:val="0"/>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4.3.2.2对采购过程提出质疑的，质疑期限为各采购程序环节结束之日起计算。</w:t>
      </w:r>
    </w:p>
    <w:p w14:paraId="2EAE6FAE">
      <w:pPr>
        <w:pStyle w:val="35"/>
        <w:snapToGrid w:val="0"/>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4.3.2.3对采购结果提出质疑的，质疑期限自采购结果公告期限届满之日起计算。</w:t>
      </w:r>
    </w:p>
    <w:p w14:paraId="74FF4465">
      <w:pPr>
        <w:pStyle w:val="35"/>
        <w:snapToGrid w:val="0"/>
        <w:spacing w:line="360" w:lineRule="auto"/>
        <w:ind w:firstLine="480" w:firstLineChars="200"/>
        <w:rPr>
          <w:rFonts w:hint="eastAsia" w:hAnsi="宋体" w:cs="宋体"/>
          <w:color w:val="auto"/>
          <w:kern w:val="0"/>
          <w:sz w:val="24"/>
          <w:highlight w:val="none"/>
          <w:lang w:val="zh-CN"/>
        </w:rPr>
      </w:pPr>
      <w:r>
        <w:rPr>
          <w:rFonts w:hint="eastAsia" w:hAnsi="宋体" w:cs="宋体"/>
          <w:color w:val="auto"/>
          <w:kern w:val="0"/>
          <w:sz w:val="24"/>
          <w:highlight w:val="none"/>
          <w:lang w:val="zh-CN"/>
        </w:rPr>
        <w:t>4.3.3</w:t>
      </w:r>
      <w:r>
        <w:rPr>
          <w:rFonts w:hint="eastAsia" w:hAnsi="宋体" w:cs="宋体"/>
          <w:color w:val="auto"/>
          <w:sz w:val="24"/>
          <w:highlight w:val="none"/>
        </w:rPr>
        <w:t>供应商提出质疑应当提交质疑函和必要的证明材料。质疑函应当包括下列内容：</w:t>
      </w:r>
    </w:p>
    <w:p w14:paraId="7FEFBCE4">
      <w:pPr>
        <w:pStyle w:val="35"/>
        <w:snapToGrid w:val="0"/>
        <w:spacing w:line="360" w:lineRule="auto"/>
        <w:ind w:firstLine="720" w:firstLineChars="300"/>
        <w:rPr>
          <w:rFonts w:hint="eastAsia" w:hAnsi="宋体" w:cs="宋体"/>
          <w:color w:val="auto"/>
          <w:kern w:val="0"/>
          <w:sz w:val="24"/>
          <w:highlight w:val="none"/>
          <w:lang w:val="zh-CN"/>
        </w:rPr>
      </w:pPr>
      <w:r>
        <w:rPr>
          <w:rFonts w:hint="eastAsia" w:hAnsi="宋体" w:cs="宋体"/>
          <w:color w:val="auto"/>
          <w:kern w:val="0"/>
          <w:sz w:val="24"/>
          <w:highlight w:val="none"/>
          <w:lang w:val="zh-CN"/>
        </w:rPr>
        <w:t>4.3.3.1供应商的姓名或者名称、地址、邮编、联系人及联系电话；</w:t>
      </w:r>
    </w:p>
    <w:p w14:paraId="2B2E6DBE">
      <w:pPr>
        <w:pStyle w:val="35"/>
        <w:snapToGrid w:val="0"/>
        <w:spacing w:line="360" w:lineRule="auto"/>
        <w:ind w:firstLine="720" w:firstLineChars="300"/>
        <w:rPr>
          <w:rFonts w:hint="eastAsia" w:hAnsi="宋体" w:cs="宋体"/>
          <w:color w:val="auto"/>
          <w:kern w:val="0"/>
          <w:sz w:val="24"/>
          <w:highlight w:val="none"/>
          <w:lang w:val="zh-CN"/>
        </w:rPr>
      </w:pPr>
      <w:r>
        <w:rPr>
          <w:rFonts w:hint="eastAsia" w:hAnsi="宋体" w:cs="宋体"/>
          <w:color w:val="auto"/>
          <w:kern w:val="0"/>
          <w:sz w:val="24"/>
          <w:highlight w:val="none"/>
          <w:lang w:val="zh-CN"/>
        </w:rPr>
        <w:t>4.3.3.2质疑项目的名称、编号；</w:t>
      </w:r>
    </w:p>
    <w:p w14:paraId="2F34CFB1">
      <w:pPr>
        <w:pStyle w:val="35"/>
        <w:snapToGrid w:val="0"/>
        <w:spacing w:line="360" w:lineRule="auto"/>
        <w:ind w:firstLine="720" w:firstLineChars="300"/>
        <w:rPr>
          <w:rFonts w:hint="eastAsia" w:hAnsi="宋体" w:cs="宋体"/>
          <w:color w:val="auto"/>
          <w:kern w:val="0"/>
          <w:sz w:val="24"/>
          <w:highlight w:val="none"/>
          <w:lang w:val="zh-CN"/>
        </w:rPr>
      </w:pPr>
      <w:r>
        <w:rPr>
          <w:rFonts w:hint="eastAsia" w:hAnsi="宋体" w:cs="宋体"/>
          <w:color w:val="auto"/>
          <w:kern w:val="0"/>
          <w:sz w:val="24"/>
          <w:highlight w:val="none"/>
          <w:lang w:val="zh-CN"/>
        </w:rPr>
        <w:t>4.3.3.3具体、明确的质疑事项和与质疑事项相关的请求；</w:t>
      </w:r>
    </w:p>
    <w:p w14:paraId="18107F96">
      <w:pPr>
        <w:pStyle w:val="35"/>
        <w:snapToGrid w:val="0"/>
        <w:spacing w:line="360" w:lineRule="auto"/>
        <w:ind w:firstLine="720" w:firstLineChars="300"/>
        <w:rPr>
          <w:rFonts w:hint="eastAsia" w:hAnsi="宋体" w:cs="宋体"/>
          <w:color w:val="auto"/>
          <w:kern w:val="0"/>
          <w:sz w:val="24"/>
          <w:highlight w:val="none"/>
          <w:lang w:val="zh-CN"/>
        </w:rPr>
      </w:pPr>
      <w:r>
        <w:rPr>
          <w:rFonts w:hint="eastAsia" w:hAnsi="宋体" w:cs="宋体"/>
          <w:color w:val="auto"/>
          <w:kern w:val="0"/>
          <w:sz w:val="24"/>
          <w:highlight w:val="none"/>
          <w:lang w:val="zh-CN"/>
        </w:rPr>
        <w:t>4.3.3.4事实依据；</w:t>
      </w:r>
    </w:p>
    <w:p w14:paraId="4BFB5F81">
      <w:pPr>
        <w:pStyle w:val="35"/>
        <w:snapToGrid w:val="0"/>
        <w:spacing w:line="360" w:lineRule="auto"/>
        <w:ind w:firstLine="720" w:firstLineChars="300"/>
        <w:rPr>
          <w:rFonts w:hint="eastAsia" w:hAnsi="宋体" w:cs="宋体"/>
          <w:color w:val="auto"/>
          <w:kern w:val="0"/>
          <w:sz w:val="24"/>
          <w:highlight w:val="none"/>
          <w:lang w:val="zh-CN"/>
        </w:rPr>
      </w:pPr>
      <w:r>
        <w:rPr>
          <w:rFonts w:hint="eastAsia" w:hAnsi="宋体" w:cs="宋体"/>
          <w:color w:val="auto"/>
          <w:kern w:val="0"/>
          <w:sz w:val="24"/>
          <w:highlight w:val="none"/>
          <w:lang w:val="zh-CN"/>
        </w:rPr>
        <w:t>4.3.3.5必要的法律依据；</w:t>
      </w:r>
    </w:p>
    <w:p w14:paraId="058BB2AE">
      <w:pPr>
        <w:pStyle w:val="35"/>
        <w:snapToGrid w:val="0"/>
        <w:spacing w:line="360" w:lineRule="auto"/>
        <w:ind w:firstLine="720" w:firstLineChars="300"/>
        <w:rPr>
          <w:rFonts w:hint="eastAsia" w:hAnsi="宋体" w:cs="宋体"/>
          <w:color w:val="auto"/>
          <w:kern w:val="0"/>
          <w:sz w:val="24"/>
          <w:highlight w:val="none"/>
          <w:lang w:val="zh-CN"/>
        </w:rPr>
      </w:pPr>
      <w:r>
        <w:rPr>
          <w:rFonts w:hint="eastAsia" w:hAnsi="宋体" w:cs="宋体"/>
          <w:color w:val="auto"/>
          <w:kern w:val="0"/>
          <w:sz w:val="24"/>
          <w:highlight w:val="none"/>
          <w:lang w:val="zh-CN"/>
        </w:rPr>
        <w:t>4.3.3.6提出质疑的日期。</w:t>
      </w:r>
    </w:p>
    <w:p w14:paraId="5B527661">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rPr>
        <w:t>供应商提交的质疑函需一式三份。供应商为自然人的，应当由本人签字；供应商为法人或者其他组织的，应当由法定代表人、主要负责人，或者其授权代表签字或者盖章，并加盖公章。</w:t>
      </w:r>
    </w:p>
    <w:p w14:paraId="059457C9">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rPr>
        <w:t>质疑函范本及制作说明详见附件2。</w:t>
      </w:r>
    </w:p>
    <w:p w14:paraId="26F866C1">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rPr>
        <w:t>4.3.4对同一采购程序环节的质疑，供应商须在法定质疑期内一次性提出。</w:t>
      </w:r>
    </w:p>
    <w:p w14:paraId="228ABE73">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lang w:val="zh-CN"/>
        </w:rPr>
        <w:t>4.3</w:t>
      </w:r>
      <w:r>
        <w:rPr>
          <w:rFonts w:hint="eastAsia"/>
          <w:color w:val="auto"/>
          <w:highlight w:val="none"/>
        </w:rPr>
        <w:t>.5采购人或者采购代理机构应当在收到供应商的书面质疑后七个工作日内作出答复，并以书面形式通知质疑供应商和其他与质疑处理结果有利害关系的政府采购当事人，但答复的内容不得涉及商业秘密。根据《杭州市财政局关于进一步加强政府采购信息公开优化营商环境的通知》（杭财采监〔2021〕17号）,采购人或者采购代理机构在质疑回复后5个工作日内，在浙江政府采购网的“其他公告”栏目公开质疑答复，答复内容应当完整。质疑函作为附件上传。</w:t>
      </w:r>
    </w:p>
    <w:p w14:paraId="3FB90E6E">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lang w:val="zh-CN"/>
        </w:rPr>
        <w:t>4.3</w:t>
      </w:r>
      <w:r>
        <w:rPr>
          <w:rFonts w:hint="eastAsia"/>
          <w:color w:val="auto"/>
          <w:highlight w:val="none"/>
        </w:rPr>
        <w:t>.6询问或者质疑事项可能影响采购结果的，采购人应当暂停签订合同，已经签订合同的，应当中止履行合同。</w:t>
      </w:r>
    </w:p>
    <w:p w14:paraId="396B64D5">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lang w:val="zh-CN"/>
        </w:rPr>
      </w:pPr>
      <w:r>
        <w:rPr>
          <w:rFonts w:hint="eastAsia"/>
          <w:color w:val="auto"/>
          <w:highlight w:val="none"/>
          <w:lang w:val="zh-CN"/>
        </w:rPr>
        <w:t>4.4供应商投诉</w:t>
      </w:r>
    </w:p>
    <w:p w14:paraId="6808152B">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rPr>
        <w:t>4.4.1质疑供应商对采购人、采购代理机构的答复不满意或者采购人、采购代理机构未在规定的时间内作出答复的，可以在答复期满后十五个工作日内向同级政府采购监督管理部门提出投诉。</w:t>
      </w:r>
    </w:p>
    <w:p w14:paraId="19211200">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rPr>
        <w:t>4.4.</w:t>
      </w:r>
      <w:r>
        <w:rPr>
          <w:rFonts w:hint="eastAsia"/>
          <w:color w:val="auto"/>
          <w:highlight w:val="none"/>
          <w:lang w:val="zh-CN"/>
        </w:rPr>
        <w:t>2</w:t>
      </w:r>
      <w:r>
        <w:rPr>
          <w:rFonts w:hint="eastAsia"/>
          <w:color w:val="auto"/>
          <w:highlight w:val="none"/>
        </w:rPr>
        <w:t>供应商投诉的事项不得超出已质疑事项的范围，基于质疑答复内容提出的投诉事项除外。</w:t>
      </w:r>
    </w:p>
    <w:p w14:paraId="24BC5BC0">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rPr>
        <w:t>4.4.3供应商投诉应当有明确的请求和必要的证明材料。</w:t>
      </w:r>
    </w:p>
    <w:p w14:paraId="69188EBE">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rPr>
        <w:t>4.4.4以联合体形式参加政府采购活动的，其投诉应当由组成联合体的所有供应商共同提出。</w:t>
      </w:r>
    </w:p>
    <w:p w14:paraId="6E28FF7D">
      <w:pPr>
        <w:snapToGrid w:val="0"/>
        <w:spacing w:line="360" w:lineRule="auto"/>
        <w:ind w:firstLine="480" w:firstLineChars="200"/>
        <w:rPr>
          <w:rFonts w:hint="eastAsia" w:ascii="宋体" w:hAnsi="宋体" w:cs="仿宋"/>
          <w:color w:val="auto"/>
          <w:sz w:val="24"/>
          <w:highlight w:val="none"/>
        </w:rPr>
      </w:pPr>
      <w:r>
        <w:rPr>
          <w:rFonts w:hint="eastAsia" w:ascii="宋体" w:hAnsi="宋体" w:cs="仿宋"/>
          <w:color w:val="auto"/>
          <w:sz w:val="24"/>
          <w:highlight w:val="none"/>
        </w:rPr>
        <w:t>4.5 补偿救济</w:t>
      </w:r>
    </w:p>
    <w:p w14:paraId="35DE50E7">
      <w:pPr>
        <w:snapToGrid w:val="0"/>
        <w:spacing w:line="360" w:lineRule="auto"/>
        <w:ind w:firstLine="480" w:firstLineChars="200"/>
        <w:rPr>
          <w:rFonts w:hint="eastAsia" w:ascii="宋体" w:hAnsi="宋体" w:cs="仿宋"/>
          <w:color w:val="auto"/>
          <w:sz w:val="24"/>
          <w:highlight w:val="none"/>
        </w:rPr>
      </w:pPr>
      <w:r>
        <w:rPr>
          <w:rFonts w:hint="eastAsia" w:ascii="宋体" w:hAnsi="宋体" w:cs="仿宋"/>
          <w:color w:val="auto"/>
          <w:sz w:val="24"/>
          <w:highlight w:val="none"/>
        </w:rPr>
        <w:t>采购人（行政机关）因政策变化、规划调整而不履行政府采购合同的，供应商可依据《杭州市涉企补偿救济实施办法（试行）》向采购人（行政机关）提起补偿申请。</w:t>
      </w:r>
    </w:p>
    <w:p w14:paraId="2CD27660">
      <w:pPr>
        <w:pStyle w:val="891"/>
        <w:shd w:val="clear" w:color="auto" w:fill="FFFFFF"/>
        <w:adjustRightInd w:val="0"/>
        <w:snapToGrid w:val="0"/>
        <w:spacing w:before="0" w:beforeAutospacing="0" w:after="0" w:afterAutospacing="0" w:line="360" w:lineRule="auto"/>
        <w:ind w:firstLine="480" w:firstLineChars="200"/>
        <w:contextualSpacing/>
        <w:rPr>
          <w:rFonts w:hint="eastAsia"/>
          <w:color w:val="auto"/>
          <w:highlight w:val="none"/>
        </w:rPr>
      </w:pPr>
      <w:r>
        <w:rPr>
          <w:rFonts w:hint="eastAsia"/>
          <w:color w:val="auto"/>
          <w:highlight w:val="none"/>
        </w:rPr>
        <w:t>投诉书范本及制作说明详见附件3。</w:t>
      </w:r>
    </w:p>
    <w:p w14:paraId="21140D27">
      <w:pPr>
        <w:pStyle w:val="133"/>
        <w:snapToGrid w:val="0"/>
        <w:spacing w:before="0"/>
        <w:ind w:firstLine="360"/>
        <w:rPr>
          <w:rFonts w:hint="eastAsia" w:ascii="宋体" w:hAnsi="宋体" w:cs="宋体"/>
          <w:color w:val="auto"/>
          <w:sz w:val="18"/>
          <w:szCs w:val="18"/>
          <w:highlight w:val="none"/>
        </w:rPr>
      </w:pPr>
    </w:p>
    <w:p w14:paraId="19496790">
      <w:pPr>
        <w:snapToGrid w:val="0"/>
        <w:spacing w:line="360" w:lineRule="auto"/>
        <w:jc w:val="center"/>
        <w:outlineLvl w:val="0"/>
        <w:rPr>
          <w:rFonts w:hint="eastAsia" w:ascii="宋体" w:hAnsi="宋体" w:cs="宋体"/>
          <w:b/>
          <w:color w:val="auto"/>
          <w:sz w:val="32"/>
          <w:szCs w:val="20"/>
          <w:highlight w:val="none"/>
        </w:rPr>
      </w:pPr>
      <w:bookmarkStart w:id="23" w:name="_Toc23086"/>
      <w:bookmarkStart w:id="24" w:name="_Toc7883"/>
      <w:r>
        <w:rPr>
          <w:rFonts w:hint="eastAsia" w:ascii="宋体" w:hAnsi="宋体" w:cs="宋体"/>
          <w:b/>
          <w:color w:val="auto"/>
          <w:sz w:val="32"/>
          <w:szCs w:val="20"/>
          <w:highlight w:val="none"/>
        </w:rPr>
        <w:t>二、采购文件的构成、澄清、修改</w:t>
      </w:r>
      <w:bookmarkEnd w:id="23"/>
      <w:bookmarkEnd w:id="24"/>
    </w:p>
    <w:p w14:paraId="3016C359">
      <w:pPr>
        <w:pStyle w:val="35"/>
        <w:spacing w:line="360" w:lineRule="auto"/>
        <w:rPr>
          <w:rFonts w:hint="eastAsia" w:hAnsi="宋体" w:cs="宋体"/>
          <w:b/>
          <w:color w:val="auto"/>
          <w:sz w:val="24"/>
          <w:szCs w:val="24"/>
          <w:highlight w:val="none"/>
        </w:rPr>
      </w:pPr>
      <w:r>
        <w:rPr>
          <w:rFonts w:hint="eastAsia" w:hAnsi="宋体" w:cs="宋体"/>
          <w:b/>
          <w:color w:val="auto"/>
          <w:sz w:val="24"/>
          <w:szCs w:val="24"/>
          <w:highlight w:val="none"/>
        </w:rPr>
        <w:t>5.采购文件的构成</w:t>
      </w:r>
    </w:p>
    <w:p w14:paraId="74510479">
      <w:pPr>
        <w:pStyle w:val="35"/>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5.1 采购文件包括下列文件及附件：</w:t>
      </w:r>
    </w:p>
    <w:p w14:paraId="6325794F">
      <w:pPr>
        <w:pStyle w:val="35"/>
        <w:tabs>
          <w:tab w:val="left" w:pos="840"/>
        </w:tabs>
        <w:spacing w:line="360" w:lineRule="auto"/>
        <w:ind w:firstLine="960" w:firstLineChars="400"/>
        <w:rPr>
          <w:rFonts w:hint="eastAsia" w:hAnsi="宋体" w:cs="宋体"/>
          <w:color w:val="auto"/>
          <w:sz w:val="24"/>
          <w:szCs w:val="24"/>
          <w:highlight w:val="none"/>
        </w:rPr>
      </w:pPr>
      <w:r>
        <w:rPr>
          <w:rFonts w:hint="eastAsia" w:hAnsi="宋体" w:cs="宋体"/>
          <w:color w:val="auto"/>
          <w:sz w:val="24"/>
          <w:szCs w:val="24"/>
          <w:highlight w:val="none"/>
        </w:rPr>
        <w:t>5.1.1竞争性磋商公告；</w:t>
      </w:r>
    </w:p>
    <w:p w14:paraId="2FABC682">
      <w:pPr>
        <w:pStyle w:val="35"/>
        <w:tabs>
          <w:tab w:val="left" w:pos="840"/>
        </w:tabs>
        <w:spacing w:line="360" w:lineRule="auto"/>
        <w:ind w:firstLine="960" w:firstLineChars="400"/>
        <w:rPr>
          <w:rFonts w:hint="eastAsia" w:hAnsi="宋体" w:cs="宋体"/>
          <w:color w:val="auto"/>
          <w:sz w:val="24"/>
          <w:szCs w:val="24"/>
          <w:highlight w:val="none"/>
        </w:rPr>
      </w:pPr>
      <w:r>
        <w:rPr>
          <w:rFonts w:hint="eastAsia" w:hAnsi="宋体" w:cs="宋体"/>
          <w:color w:val="auto"/>
          <w:sz w:val="24"/>
          <w:szCs w:val="24"/>
          <w:highlight w:val="none"/>
        </w:rPr>
        <w:t>5.1.2供应商须知；</w:t>
      </w:r>
    </w:p>
    <w:p w14:paraId="6BEB37E6">
      <w:pPr>
        <w:pStyle w:val="35"/>
        <w:tabs>
          <w:tab w:val="left" w:pos="840"/>
        </w:tabs>
        <w:spacing w:line="360" w:lineRule="auto"/>
        <w:ind w:firstLine="960" w:firstLineChars="400"/>
        <w:rPr>
          <w:rFonts w:hint="eastAsia" w:hAnsi="宋体" w:cs="宋体"/>
          <w:color w:val="auto"/>
          <w:sz w:val="24"/>
          <w:szCs w:val="24"/>
          <w:highlight w:val="none"/>
        </w:rPr>
      </w:pPr>
      <w:r>
        <w:rPr>
          <w:rFonts w:hint="eastAsia" w:hAnsi="宋体" w:cs="宋体"/>
          <w:color w:val="auto"/>
          <w:sz w:val="24"/>
          <w:szCs w:val="24"/>
          <w:highlight w:val="none"/>
        </w:rPr>
        <w:t>5.1.3采购需求；</w:t>
      </w:r>
    </w:p>
    <w:p w14:paraId="39CC681E">
      <w:pPr>
        <w:pStyle w:val="35"/>
        <w:tabs>
          <w:tab w:val="left" w:pos="840"/>
        </w:tabs>
        <w:spacing w:line="360" w:lineRule="auto"/>
        <w:ind w:firstLine="960" w:firstLineChars="400"/>
        <w:rPr>
          <w:rFonts w:hint="eastAsia" w:hAnsi="宋体" w:cs="宋体"/>
          <w:color w:val="auto"/>
          <w:sz w:val="24"/>
          <w:szCs w:val="24"/>
          <w:highlight w:val="none"/>
        </w:rPr>
      </w:pPr>
      <w:r>
        <w:rPr>
          <w:rFonts w:hint="eastAsia" w:hAnsi="宋体" w:cs="宋体"/>
          <w:color w:val="auto"/>
          <w:sz w:val="24"/>
          <w:szCs w:val="24"/>
          <w:highlight w:val="none"/>
        </w:rPr>
        <w:t>5.1.4评审办法；</w:t>
      </w:r>
    </w:p>
    <w:p w14:paraId="71C32096">
      <w:pPr>
        <w:pStyle w:val="35"/>
        <w:tabs>
          <w:tab w:val="left" w:pos="840"/>
        </w:tabs>
        <w:spacing w:line="360" w:lineRule="auto"/>
        <w:ind w:firstLine="960" w:firstLineChars="400"/>
        <w:rPr>
          <w:rFonts w:hint="eastAsia" w:hAnsi="宋体" w:cs="宋体"/>
          <w:color w:val="auto"/>
          <w:sz w:val="24"/>
          <w:szCs w:val="24"/>
          <w:highlight w:val="none"/>
        </w:rPr>
      </w:pPr>
      <w:r>
        <w:rPr>
          <w:rFonts w:hint="eastAsia" w:hAnsi="宋体" w:cs="宋体"/>
          <w:color w:val="auto"/>
          <w:sz w:val="24"/>
          <w:szCs w:val="24"/>
          <w:highlight w:val="none"/>
        </w:rPr>
        <w:t>5.1.5拟签订的合同文本；</w:t>
      </w:r>
    </w:p>
    <w:p w14:paraId="65C60497">
      <w:pPr>
        <w:pStyle w:val="35"/>
        <w:tabs>
          <w:tab w:val="left" w:pos="840"/>
        </w:tabs>
        <w:spacing w:line="360" w:lineRule="auto"/>
        <w:ind w:firstLine="960" w:firstLineChars="400"/>
        <w:rPr>
          <w:rFonts w:hint="eastAsia" w:hAnsi="宋体" w:cs="宋体"/>
          <w:color w:val="auto"/>
          <w:sz w:val="24"/>
          <w:szCs w:val="24"/>
          <w:highlight w:val="none"/>
        </w:rPr>
      </w:pPr>
      <w:r>
        <w:rPr>
          <w:rFonts w:hint="eastAsia" w:hAnsi="宋体" w:cs="宋体"/>
          <w:color w:val="auto"/>
          <w:sz w:val="24"/>
          <w:highlight w:val="none"/>
        </w:rPr>
        <w:t>5.1.6</w:t>
      </w:r>
      <w:r>
        <w:rPr>
          <w:rFonts w:hint="eastAsia" w:hAnsi="宋体" w:cs="宋体"/>
          <w:color w:val="auto"/>
          <w:sz w:val="24"/>
          <w:szCs w:val="24"/>
          <w:highlight w:val="none"/>
        </w:rPr>
        <w:t>应提交的有关格式范例。</w:t>
      </w:r>
    </w:p>
    <w:p w14:paraId="78AAF67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5.2与本项目有关的</w:t>
      </w:r>
      <w:r>
        <w:rPr>
          <w:rFonts w:hint="eastAsia" w:ascii="宋体" w:hAnsi="宋体" w:cs="宋体"/>
          <w:bCs/>
          <w:color w:val="auto"/>
          <w:sz w:val="24"/>
          <w:highlight w:val="none"/>
        </w:rPr>
        <w:t>澄清或者修改的内容为采购文件的组成部分</w:t>
      </w:r>
      <w:r>
        <w:rPr>
          <w:rFonts w:hint="eastAsia" w:ascii="宋体" w:hAnsi="宋体" w:cs="宋体"/>
          <w:color w:val="auto"/>
          <w:sz w:val="24"/>
          <w:highlight w:val="none"/>
        </w:rPr>
        <w:t>。</w:t>
      </w:r>
    </w:p>
    <w:p w14:paraId="51BEE6E3">
      <w:pPr>
        <w:pStyle w:val="35"/>
        <w:spacing w:line="360" w:lineRule="auto"/>
        <w:rPr>
          <w:rFonts w:hint="eastAsia" w:hAnsi="宋体" w:cs="宋体"/>
          <w:b/>
          <w:color w:val="auto"/>
          <w:sz w:val="24"/>
          <w:szCs w:val="24"/>
          <w:highlight w:val="none"/>
        </w:rPr>
      </w:pPr>
      <w:r>
        <w:rPr>
          <w:rFonts w:hint="eastAsia" w:hAnsi="宋体" w:cs="宋体"/>
          <w:b/>
          <w:color w:val="auto"/>
          <w:sz w:val="24"/>
          <w:szCs w:val="24"/>
          <w:highlight w:val="none"/>
        </w:rPr>
        <w:t>6.采购文件的澄清、修改</w:t>
      </w:r>
    </w:p>
    <w:p w14:paraId="23AC656A">
      <w:pPr>
        <w:pStyle w:val="133"/>
        <w:snapToGrid w:val="0"/>
        <w:spacing w:before="0"/>
        <w:ind w:firstLine="480"/>
        <w:rPr>
          <w:rFonts w:hint="eastAsia" w:ascii="宋体" w:hAnsi="宋体" w:cs="宋体"/>
          <w:color w:val="auto"/>
          <w:highlight w:val="none"/>
        </w:rPr>
      </w:pPr>
      <w:r>
        <w:rPr>
          <w:rFonts w:hint="eastAsia" w:ascii="宋体" w:hAnsi="宋体" w:cs="宋体"/>
          <w:color w:val="auto"/>
          <w:highlight w:val="none"/>
        </w:rPr>
        <w:t>6.1已获取采购文件的潜在供应商，若有问题需要澄清，应于响应文件提交（上传）截止时间前，以书面形式向采购代理机构提出。</w:t>
      </w:r>
    </w:p>
    <w:p w14:paraId="27BB49E8">
      <w:pPr>
        <w:pStyle w:val="133"/>
        <w:snapToGrid w:val="0"/>
        <w:spacing w:before="0"/>
        <w:ind w:firstLine="480"/>
        <w:rPr>
          <w:rFonts w:hint="eastAsia" w:ascii="宋体" w:hAnsi="宋体" w:cs="宋体"/>
          <w:color w:val="auto"/>
          <w:highlight w:val="none"/>
        </w:rPr>
      </w:pPr>
      <w:r>
        <w:rPr>
          <w:rFonts w:hint="eastAsia" w:ascii="宋体" w:hAnsi="宋体" w:cs="宋体"/>
          <w:color w:val="auto"/>
          <w:highlight w:val="none"/>
        </w:rPr>
        <w:t>6.2 采购代理机构对采购文件进行澄清或修改的，将同时通过电子交易平台通知已获取采购文件的潜在供应商。依法应当公告的，将按规定公告，同时视情况延长响应文件提交（上传）截止时间和响应文件开启时间。该澄清或者修改的内容为采购文件的组成部分。</w:t>
      </w:r>
    </w:p>
    <w:p w14:paraId="570F1E2D">
      <w:pPr>
        <w:pStyle w:val="3"/>
        <w:rPr>
          <w:rFonts w:hint="eastAsia" w:hAnsi="宋体" w:cs="宋体"/>
          <w:color w:val="auto"/>
          <w:sz w:val="18"/>
          <w:szCs w:val="18"/>
          <w:highlight w:val="none"/>
          <w:lang w:val="en-US"/>
        </w:rPr>
      </w:pPr>
    </w:p>
    <w:p w14:paraId="7A057677">
      <w:pPr>
        <w:snapToGrid w:val="0"/>
        <w:spacing w:line="360" w:lineRule="auto"/>
        <w:jc w:val="center"/>
        <w:outlineLvl w:val="0"/>
        <w:rPr>
          <w:rFonts w:hint="eastAsia" w:ascii="宋体" w:hAnsi="宋体" w:cs="宋体"/>
          <w:b/>
          <w:color w:val="auto"/>
          <w:sz w:val="32"/>
          <w:szCs w:val="20"/>
          <w:highlight w:val="none"/>
        </w:rPr>
      </w:pPr>
      <w:bookmarkStart w:id="25" w:name="_Toc27707"/>
      <w:bookmarkStart w:id="26" w:name="_Toc23723"/>
      <w:r>
        <w:rPr>
          <w:rFonts w:hint="eastAsia" w:ascii="宋体" w:hAnsi="宋体" w:cs="宋体"/>
          <w:b/>
          <w:color w:val="auto"/>
          <w:sz w:val="32"/>
          <w:szCs w:val="20"/>
          <w:highlight w:val="none"/>
        </w:rPr>
        <w:t>三、提交响应文件</w:t>
      </w:r>
      <w:bookmarkEnd w:id="25"/>
      <w:bookmarkEnd w:id="26"/>
    </w:p>
    <w:p w14:paraId="3E9EB66E">
      <w:pPr>
        <w:pStyle w:val="35"/>
        <w:spacing w:line="360" w:lineRule="auto"/>
        <w:rPr>
          <w:rFonts w:hint="eastAsia" w:hAnsi="宋体" w:cs="宋体"/>
          <w:b/>
          <w:color w:val="auto"/>
          <w:sz w:val="24"/>
          <w:szCs w:val="24"/>
          <w:highlight w:val="none"/>
        </w:rPr>
      </w:pPr>
      <w:r>
        <w:rPr>
          <w:rFonts w:hint="eastAsia" w:hAnsi="宋体" w:cs="宋体"/>
          <w:b/>
          <w:color w:val="auto"/>
          <w:sz w:val="24"/>
          <w:szCs w:val="24"/>
          <w:highlight w:val="none"/>
        </w:rPr>
        <w:t>7.采购文件的获取</w:t>
      </w:r>
    </w:p>
    <w:p w14:paraId="69C975E5">
      <w:pPr>
        <w:spacing w:line="360" w:lineRule="auto"/>
        <w:ind w:firstLine="480" w:firstLineChars="200"/>
        <w:rPr>
          <w:rFonts w:hint="eastAsia" w:ascii="宋体" w:hAnsi="宋体" w:cs="宋体"/>
          <w:snapToGrid w:val="0"/>
          <w:color w:val="auto"/>
          <w:kern w:val="28"/>
          <w:sz w:val="24"/>
          <w:highlight w:val="none"/>
        </w:rPr>
      </w:pPr>
      <w:r>
        <w:rPr>
          <w:rFonts w:hint="eastAsia" w:ascii="宋体" w:hAnsi="宋体" w:cs="宋体"/>
          <w:snapToGrid w:val="0"/>
          <w:color w:val="auto"/>
          <w:kern w:val="28"/>
          <w:sz w:val="24"/>
          <w:highlight w:val="none"/>
        </w:rPr>
        <w:t>详见竞争性磋商公告中获取采购文件的时间期限、地点、方式及采购文件售价。</w:t>
      </w:r>
    </w:p>
    <w:p w14:paraId="70BCCD85">
      <w:pPr>
        <w:pStyle w:val="35"/>
        <w:spacing w:line="360" w:lineRule="auto"/>
        <w:rPr>
          <w:rFonts w:hint="eastAsia" w:hAnsi="宋体" w:cs="宋体"/>
          <w:b/>
          <w:color w:val="auto"/>
          <w:sz w:val="24"/>
          <w:szCs w:val="24"/>
          <w:highlight w:val="none"/>
        </w:rPr>
      </w:pPr>
      <w:r>
        <w:rPr>
          <w:rFonts w:hint="eastAsia" w:hAnsi="宋体" w:cs="宋体"/>
          <w:b/>
          <w:color w:val="auto"/>
          <w:sz w:val="24"/>
          <w:szCs w:val="24"/>
          <w:highlight w:val="none"/>
        </w:rPr>
        <w:t>8.磋商前答疑会或现场考察</w:t>
      </w:r>
    </w:p>
    <w:p w14:paraId="162566C6">
      <w:pPr>
        <w:pStyle w:val="35"/>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采购人组织潜在供应商现场考察或者召开磋商前答疑会的，潜在供应商按第二部分供应商须知前附表的规定参加现场考察或者磋商前答疑会。</w:t>
      </w:r>
    </w:p>
    <w:p w14:paraId="33E46C5C">
      <w:pPr>
        <w:pStyle w:val="35"/>
        <w:spacing w:line="360" w:lineRule="auto"/>
        <w:rPr>
          <w:rFonts w:hint="eastAsia" w:hAnsi="宋体" w:cs="宋体"/>
          <w:b/>
          <w:color w:val="auto"/>
          <w:szCs w:val="24"/>
          <w:highlight w:val="none"/>
        </w:rPr>
      </w:pPr>
      <w:r>
        <w:rPr>
          <w:rFonts w:hint="eastAsia" w:hAnsi="宋体" w:cs="宋体"/>
          <w:b/>
          <w:color w:val="auto"/>
          <w:kern w:val="28"/>
          <w:sz w:val="24"/>
          <w:szCs w:val="24"/>
          <w:highlight w:val="none"/>
        </w:rPr>
        <w:t>9.磋商保证金</w:t>
      </w:r>
    </w:p>
    <w:p w14:paraId="5D1DC243">
      <w:pPr>
        <w:pStyle w:val="18"/>
        <w:spacing w:line="360" w:lineRule="auto"/>
        <w:ind w:firstLine="470" w:firstLineChars="196"/>
        <w:rPr>
          <w:rFonts w:hint="eastAsia" w:hAnsi="宋体" w:cs="宋体"/>
          <w:color w:val="auto"/>
          <w:sz w:val="24"/>
          <w:highlight w:val="none"/>
        </w:rPr>
      </w:pPr>
      <w:r>
        <w:rPr>
          <w:rFonts w:hint="eastAsia" w:hAnsi="宋体" w:cs="宋体"/>
          <w:color w:val="auto"/>
          <w:sz w:val="24"/>
          <w:highlight w:val="none"/>
        </w:rPr>
        <w:t>本项目不需缴纳磋商保证金。</w:t>
      </w:r>
    </w:p>
    <w:p w14:paraId="59B2710F">
      <w:pPr>
        <w:pStyle w:val="35"/>
        <w:spacing w:line="360" w:lineRule="auto"/>
        <w:rPr>
          <w:rFonts w:hint="eastAsia" w:hAnsi="宋体" w:cs="宋体"/>
          <w:b/>
          <w:color w:val="auto"/>
          <w:sz w:val="24"/>
          <w:szCs w:val="24"/>
          <w:highlight w:val="none"/>
        </w:rPr>
      </w:pPr>
      <w:r>
        <w:rPr>
          <w:rFonts w:hint="eastAsia" w:hAnsi="宋体" w:cs="宋体"/>
          <w:b/>
          <w:color w:val="auto"/>
          <w:sz w:val="24"/>
          <w:szCs w:val="24"/>
          <w:highlight w:val="none"/>
        </w:rPr>
        <w:t>10.响应文件的语言</w:t>
      </w:r>
    </w:p>
    <w:p w14:paraId="2DA83BCB">
      <w:pPr>
        <w:autoSpaceDE w:val="0"/>
        <w:autoSpaceDN w:val="0"/>
        <w:spacing w:line="360" w:lineRule="auto"/>
        <w:ind w:firstLine="480" w:firstLineChars="200"/>
        <w:rPr>
          <w:rFonts w:hint="eastAsia" w:ascii="宋体" w:hAnsi="宋体" w:cs="宋体"/>
          <w:color w:val="auto"/>
          <w:sz w:val="24"/>
          <w:highlight w:val="none"/>
          <w:lang w:val="zh-CN"/>
        </w:rPr>
      </w:pPr>
      <w:r>
        <w:rPr>
          <w:rFonts w:hint="eastAsia" w:ascii="宋体" w:hAnsi="宋体" w:cs="宋体"/>
          <w:color w:val="auto"/>
          <w:sz w:val="24"/>
          <w:highlight w:val="none"/>
        </w:rPr>
        <w:t>响应文件及供应商与采购有关的来往通知、函件和文件均应使用中文。</w:t>
      </w:r>
    </w:p>
    <w:p w14:paraId="2A0AB171">
      <w:pPr>
        <w:pStyle w:val="35"/>
        <w:spacing w:line="360" w:lineRule="auto"/>
        <w:rPr>
          <w:rFonts w:hint="eastAsia" w:hAnsi="宋体" w:cs="宋体"/>
          <w:b/>
          <w:color w:val="auto"/>
          <w:sz w:val="24"/>
          <w:szCs w:val="24"/>
          <w:highlight w:val="none"/>
        </w:rPr>
      </w:pPr>
      <w:r>
        <w:rPr>
          <w:rFonts w:hint="eastAsia" w:hAnsi="宋体" w:cs="宋体"/>
          <w:b/>
          <w:color w:val="auto"/>
          <w:sz w:val="24"/>
          <w:szCs w:val="24"/>
          <w:highlight w:val="none"/>
        </w:rPr>
        <w:t>11.响应文件的组成</w:t>
      </w:r>
    </w:p>
    <w:p w14:paraId="7745F598">
      <w:pPr>
        <w:snapToGrid w:val="0"/>
        <w:spacing w:line="360" w:lineRule="auto"/>
        <w:ind w:firstLine="482" w:firstLineChars="200"/>
        <w:rPr>
          <w:rFonts w:hint="eastAsia" w:ascii="宋体" w:hAnsi="宋体" w:cs="宋体"/>
          <w:color w:val="auto"/>
          <w:sz w:val="24"/>
          <w:highlight w:val="none"/>
        </w:rPr>
      </w:pPr>
      <w:r>
        <w:rPr>
          <w:rFonts w:hint="eastAsia" w:ascii="宋体" w:hAnsi="宋体" w:cs="宋体"/>
          <w:b/>
          <w:bCs/>
          <w:color w:val="auto"/>
          <w:sz w:val="24"/>
          <w:highlight w:val="none"/>
        </w:rPr>
        <w:t>11.1</w:t>
      </w:r>
      <w:r>
        <w:rPr>
          <w:rFonts w:hint="eastAsia" w:ascii="宋体" w:hAnsi="宋体" w:cs="宋体"/>
          <w:b/>
          <w:color w:val="auto"/>
          <w:sz w:val="24"/>
          <w:highlight w:val="none"/>
        </w:rPr>
        <w:t>资格文件</w:t>
      </w:r>
      <w:r>
        <w:rPr>
          <w:rFonts w:hint="eastAsia" w:ascii="宋体" w:hAnsi="宋体" w:cs="宋体"/>
          <w:color w:val="auto"/>
          <w:sz w:val="24"/>
          <w:highlight w:val="none"/>
        </w:rPr>
        <w:t>：</w:t>
      </w:r>
    </w:p>
    <w:p w14:paraId="51EBB53D">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11.1.1满足《中华人民共和国政府采购法》第二十二条规定；未被“信用中国”（www.creditchina.gov.cn)、中国政府采购网（www.ccgp.gov.cn）列入失信被执行人、重大税收违法案件当事人名单、政府采购严重违法失信行为记录名单：</w:t>
      </w:r>
    </w:p>
    <w:p w14:paraId="5A94CA16">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 xml:space="preserve">（1）营业执照(或事业法人登记证书或其它工商等登记证明材料；自然人参与政府采购，提供身份证)复印件； </w:t>
      </w:r>
    </w:p>
    <w:p w14:paraId="1919A189">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（2）符合参加政府采购活动应当具备的一般条件的承诺函。</w:t>
      </w:r>
    </w:p>
    <w:p w14:paraId="0756BBB2">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1</w:t>
      </w:r>
      <w:r>
        <w:rPr>
          <w:rFonts w:ascii="宋体" w:hAnsi="宋体" w:cs="宋体"/>
          <w:color w:val="auto"/>
          <w:sz w:val="24"/>
          <w:highlight w:val="none"/>
        </w:rPr>
        <w:t>1.1.2</w:t>
      </w:r>
      <w:bookmarkStart w:id="27" w:name="_Hlk101259339"/>
      <w:r>
        <w:rPr>
          <w:rFonts w:hint="eastAsia" w:ascii="宋体" w:hAnsi="宋体" w:cs="宋体"/>
          <w:snapToGrid w:val="0"/>
          <w:color w:val="auto"/>
          <w:kern w:val="28"/>
          <w:sz w:val="24"/>
          <w:szCs w:val="20"/>
          <w:highlight w:val="none"/>
        </w:rPr>
        <w:t>联合协议</w:t>
      </w:r>
      <w:bookmarkStart w:id="28" w:name="_Hlk101257010"/>
      <w:r>
        <w:rPr>
          <w:rFonts w:hint="eastAsia" w:ascii="宋体" w:hAnsi="宋体" w:cs="宋体"/>
          <w:snapToGrid w:val="0"/>
          <w:color w:val="auto"/>
          <w:kern w:val="28"/>
          <w:sz w:val="24"/>
          <w:szCs w:val="20"/>
          <w:highlight w:val="none"/>
        </w:rPr>
        <w:t>（如果有)</w:t>
      </w:r>
      <w:bookmarkEnd w:id="27"/>
      <w:bookmarkEnd w:id="28"/>
      <w:r>
        <w:rPr>
          <w:rFonts w:hint="eastAsia" w:ascii="宋体" w:hAnsi="宋体" w:cs="宋体"/>
          <w:snapToGrid w:val="0"/>
          <w:color w:val="auto"/>
          <w:kern w:val="28"/>
          <w:sz w:val="24"/>
          <w:szCs w:val="20"/>
          <w:highlight w:val="none"/>
        </w:rPr>
        <w:t>；</w:t>
      </w:r>
    </w:p>
    <w:p w14:paraId="256B549D">
      <w:pPr>
        <w:snapToGrid w:val="0"/>
        <w:spacing w:line="360" w:lineRule="auto"/>
        <w:ind w:firstLine="960" w:firstLineChars="400"/>
        <w:rPr>
          <w:rFonts w:hint="eastAsia" w:ascii="宋体" w:hAnsi="宋体" w:cs="宋体"/>
          <w:snapToGrid w:val="0"/>
          <w:color w:val="auto"/>
          <w:kern w:val="28"/>
          <w:sz w:val="24"/>
          <w:szCs w:val="20"/>
          <w:highlight w:val="none"/>
        </w:rPr>
      </w:pPr>
      <w:r>
        <w:rPr>
          <w:rFonts w:hint="eastAsia" w:ascii="宋体" w:hAnsi="宋体" w:cs="宋体"/>
          <w:color w:val="auto"/>
          <w:sz w:val="24"/>
          <w:highlight w:val="none"/>
        </w:rPr>
        <w:t>11.1.</w:t>
      </w:r>
      <w:r>
        <w:rPr>
          <w:rFonts w:ascii="宋体" w:hAnsi="宋体" w:cs="宋体"/>
          <w:color w:val="auto"/>
          <w:sz w:val="24"/>
          <w:highlight w:val="none"/>
        </w:rPr>
        <w:t>3</w:t>
      </w:r>
      <w:r>
        <w:rPr>
          <w:rFonts w:hint="eastAsia" w:ascii="宋体" w:hAnsi="宋体" w:cs="宋体"/>
          <w:color w:val="auto"/>
          <w:sz w:val="24"/>
          <w:highlight w:val="none"/>
        </w:rPr>
        <w:t>落实政府采购政策需满足的资格要求</w:t>
      </w:r>
      <w:r>
        <w:rPr>
          <w:rFonts w:hint="eastAsia" w:ascii="宋体" w:hAnsi="宋体" w:cs="宋体"/>
          <w:snapToGrid w:val="0"/>
          <w:color w:val="auto"/>
          <w:kern w:val="28"/>
          <w:sz w:val="24"/>
          <w:szCs w:val="20"/>
          <w:highlight w:val="none"/>
        </w:rPr>
        <w:t>：</w:t>
      </w:r>
    </w:p>
    <w:p w14:paraId="2199C050">
      <w:pPr>
        <w:snapToGrid w:val="0"/>
        <w:spacing w:line="360" w:lineRule="auto"/>
        <w:ind w:firstLine="960" w:firstLineChars="400"/>
        <w:rPr>
          <w:rFonts w:hint="eastAsia" w:ascii="宋体" w:hAnsi="宋体" w:cs="宋体"/>
          <w:snapToGrid w:val="0"/>
          <w:color w:val="auto"/>
          <w:kern w:val="28"/>
          <w:sz w:val="24"/>
          <w:szCs w:val="20"/>
          <w:highlight w:val="none"/>
        </w:rPr>
      </w:pPr>
      <w:r>
        <w:rPr>
          <w:rFonts w:hint="eastAsia" w:ascii="宋体" w:hAnsi="宋体" w:cs="宋体"/>
          <w:snapToGrid w:val="0"/>
          <w:color w:val="auto"/>
          <w:kern w:val="28"/>
          <w:sz w:val="24"/>
          <w:szCs w:val="20"/>
          <w:highlight w:val="none"/>
        </w:rPr>
        <w:t>工程全部由符合政策要求的中小微企业承建，提供《中小企业声明函》或《残疾人福利性单位声明函》或提供由省级以上监狱管理局、戒毒管理局（含新疆生产建设兵团）出具的属于监狱企业证明文件的，视同为小型、微型企业。</w:t>
      </w:r>
    </w:p>
    <w:p w14:paraId="22737629">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snapToGrid w:val="0"/>
          <w:color w:val="auto"/>
          <w:kern w:val="28"/>
          <w:sz w:val="24"/>
          <w:szCs w:val="20"/>
          <w:highlight w:val="none"/>
        </w:rPr>
        <w:t>如果以联合体形式或合同分包形式参加的，提供联合协议或分包意向协议和相应的提供《中小企业声明函》或或《残疾人福利性单位声明函》或提供由省级以上监狱管理局、戒毒管理局（含新疆生产建设兵团）出具的属于监狱企业证明文件的，视同为小型、微型企业。</w:t>
      </w:r>
    </w:p>
    <w:p w14:paraId="4288C61B">
      <w:pPr>
        <w:snapToGrid w:val="0"/>
        <w:spacing w:line="360" w:lineRule="auto"/>
        <w:ind w:firstLine="960" w:firstLineChars="400"/>
        <w:rPr>
          <w:rFonts w:hint="eastAsia" w:ascii="宋体" w:hAnsi="宋体" w:cs="宋体"/>
          <w:snapToGrid w:val="0"/>
          <w:color w:val="auto"/>
          <w:kern w:val="28"/>
          <w:sz w:val="24"/>
          <w:szCs w:val="20"/>
          <w:highlight w:val="none"/>
        </w:rPr>
      </w:pPr>
      <w:r>
        <w:rPr>
          <w:rFonts w:hint="eastAsia" w:ascii="宋体" w:hAnsi="宋体" w:cs="宋体"/>
          <w:color w:val="auto"/>
          <w:sz w:val="24"/>
          <w:highlight w:val="none"/>
        </w:rPr>
        <w:t>11.1.</w:t>
      </w:r>
      <w:r>
        <w:rPr>
          <w:rFonts w:ascii="宋体" w:hAnsi="宋体" w:cs="宋体"/>
          <w:color w:val="auto"/>
          <w:sz w:val="24"/>
          <w:highlight w:val="none"/>
        </w:rPr>
        <w:t>4</w:t>
      </w:r>
      <w:r>
        <w:rPr>
          <w:rFonts w:hint="eastAsia" w:ascii="宋体" w:hAnsi="宋体" w:cs="宋体"/>
          <w:color w:val="auto"/>
          <w:sz w:val="24"/>
          <w:highlight w:val="none"/>
        </w:rPr>
        <w:t>本项目的特定资格要求</w:t>
      </w:r>
      <w:r>
        <w:rPr>
          <w:rFonts w:hint="eastAsia" w:ascii="宋体" w:hAnsi="宋体" w:cs="宋体"/>
          <w:snapToGrid w:val="0"/>
          <w:color w:val="auto"/>
          <w:kern w:val="28"/>
          <w:sz w:val="24"/>
          <w:szCs w:val="20"/>
          <w:highlight w:val="none"/>
        </w:rPr>
        <w:t>：</w:t>
      </w:r>
    </w:p>
    <w:p w14:paraId="1424D107">
      <w:pPr>
        <w:snapToGrid w:val="0"/>
        <w:spacing w:line="360" w:lineRule="auto"/>
        <w:ind w:firstLine="964" w:firstLineChars="400"/>
        <w:rPr>
          <w:rFonts w:hint="eastAsia" w:ascii="宋体" w:hAnsi="宋体" w:cs="宋体"/>
          <w:b/>
          <w:bCs/>
          <w:snapToGrid w:val="0"/>
          <w:color w:val="auto"/>
          <w:kern w:val="28"/>
          <w:sz w:val="24"/>
          <w:szCs w:val="20"/>
          <w:highlight w:val="none"/>
        </w:rPr>
      </w:pPr>
      <w:r>
        <w:rPr>
          <w:rFonts w:hint="eastAsia" w:ascii="宋体" w:hAnsi="宋体" w:cs="宋体"/>
          <w:b/>
          <w:bCs/>
          <w:snapToGrid w:val="0"/>
          <w:color w:val="auto"/>
          <w:kern w:val="28"/>
          <w:sz w:val="24"/>
          <w:szCs w:val="20"/>
          <w:highlight w:val="none"/>
        </w:rPr>
        <w:t>（1）须具有</w:t>
      </w:r>
      <w:r>
        <w:rPr>
          <w:rFonts w:hint="eastAsia" w:ascii="宋体" w:hAnsi="宋体" w:cs="宋体"/>
          <w:b/>
          <w:bCs/>
          <w:color w:val="auto"/>
          <w:sz w:val="24"/>
          <w:highlight w:val="none"/>
        </w:rPr>
        <w:t>消防设施工程专业承包二级（含）以上资质</w:t>
      </w:r>
      <w:r>
        <w:rPr>
          <w:rFonts w:hint="eastAsia" w:ascii="宋体" w:hAnsi="宋体" w:cs="宋体"/>
          <w:b/>
          <w:bCs/>
          <w:snapToGrid w:val="0"/>
          <w:color w:val="auto"/>
          <w:kern w:val="28"/>
          <w:sz w:val="24"/>
          <w:szCs w:val="20"/>
          <w:highlight w:val="none"/>
        </w:rPr>
        <w:t>；</w:t>
      </w:r>
    </w:p>
    <w:p w14:paraId="6373BD80">
      <w:pPr>
        <w:snapToGrid w:val="0"/>
        <w:spacing w:line="360" w:lineRule="auto"/>
        <w:ind w:firstLine="960" w:firstLineChars="400"/>
        <w:rPr>
          <w:rFonts w:hint="eastAsia" w:ascii="宋体" w:hAnsi="宋体" w:cs="宋体"/>
          <w:snapToGrid w:val="0"/>
          <w:color w:val="auto"/>
          <w:kern w:val="28"/>
          <w:sz w:val="24"/>
          <w:szCs w:val="20"/>
          <w:highlight w:val="none"/>
        </w:rPr>
      </w:pPr>
      <w:r>
        <w:rPr>
          <w:rFonts w:hint="eastAsia" w:ascii="宋体" w:hAnsi="宋体" w:cs="宋体"/>
          <w:snapToGrid w:val="0"/>
          <w:color w:val="auto"/>
          <w:kern w:val="28"/>
          <w:sz w:val="24"/>
          <w:szCs w:val="20"/>
          <w:highlight w:val="none"/>
        </w:rPr>
        <w:t>（2）须具有安全生产许可证，且在有效期内；</w:t>
      </w:r>
    </w:p>
    <w:p w14:paraId="6A39CE09">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snapToGrid w:val="0"/>
          <w:color w:val="auto"/>
          <w:kern w:val="28"/>
          <w:sz w:val="24"/>
          <w:szCs w:val="20"/>
          <w:highlight w:val="none"/>
        </w:rPr>
        <w:t>（3）单位负责人为同一人或者存在直接控股、管理关系的不同供应商，不得参加同一合同项下的政府采购活动；为采购项目提供整体设计、规范编制或者项目管理、监理、检测等服务后不得再参加该采购项目的其他采购活动，提供承诺函。</w:t>
      </w:r>
    </w:p>
    <w:p w14:paraId="46A216BF">
      <w:pPr>
        <w:snapToGrid w:val="0"/>
        <w:spacing w:line="360" w:lineRule="auto"/>
        <w:ind w:firstLine="482" w:firstLineChars="200"/>
        <w:rPr>
          <w:rFonts w:hint="eastAsia" w:ascii="宋体" w:hAnsi="宋体" w:cs="宋体"/>
          <w:b/>
          <w:bCs/>
          <w:color w:val="auto"/>
          <w:sz w:val="24"/>
          <w:highlight w:val="none"/>
          <w:lang w:val="zh-CN"/>
        </w:rPr>
      </w:pPr>
      <w:r>
        <w:rPr>
          <w:rFonts w:hint="eastAsia" w:ascii="宋体" w:hAnsi="宋体" w:cs="宋体"/>
          <w:b/>
          <w:bCs/>
          <w:color w:val="auto"/>
          <w:sz w:val="24"/>
          <w:highlight w:val="none"/>
          <w:lang w:val="zh-CN"/>
        </w:rPr>
        <w:t>11.</w:t>
      </w:r>
      <w:r>
        <w:rPr>
          <w:rFonts w:hint="eastAsia" w:ascii="宋体" w:hAnsi="宋体" w:cs="宋体"/>
          <w:b/>
          <w:bCs/>
          <w:color w:val="auto"/>
          <w:sz w:val="24"/>
          <w:highlight w:val="none"/>
        </w:rPr>
        <w:t>2</w:t>
      </w:r>
      <w:r>
        <w:rPr>
          <w:rFonts w:hint="eastAsia" w:ascii="宋体" w:hAnsi="宋体" w:cs="宋体"/>
          <w:b/>
          <w:bCs/>
          <w:color w:val="auto"/>
          <w:sz w:val="24"/>
          <w:highlight w:val="none"/>
          <w:lang w:val="zh-CN"/>
        </w:rPr>
        <w:t xml:space="preserve">  </w:t>
      </w:r>
      <w:r>
        <w:rPr>
          <w:rFonts w:hint="eastAsia" w:ascii="宋体" w:hAnsi="宋体" w:cs="宋体"/>
          <w:b/>
          <w:bCs/>
          <w:color w:val="auto"/>
          <w:sz w:val="24"/>
          <w:highlight w:val="none"/>
        </w:rPr>
        <w:t>商务技术</w:t>
      </w:r>
      <w:r>
        <w:rPr>
          <w:rFonts w:hint="eastAsia" w:ascii="宋体" w:hAnsi="宋体" w:cs="宋体"/>
          <w:b/>
          <w:bCs/>
          <w:color w:val="auto"/>
          <w:sz w:val="24"/>
          <w:highlight w:val="none"/>
          <w:lang w:val="zh-CN"/>
        </w:rPr>
        <w:t>文件：</w:t>
      </w:r>
    </w:p>
    <w:p w14:paraId="534F714E">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11.2.1响应函；</w:t>
      </w:r>
      <w:r>
        <w:rPr>
          <w:rFonts w:hint="eastAsia" w:ascii="宋体" w:hAnsi="宋体" w:cs="宋体"/>
          <w:color w:val="auto"/>
          <w:sz w:val="24"/>
          <w:highlight w:val="none"/>
          <w:lang w:val="zh-CN"/>
        </w:rPr>
        <w:t xml:space="preserve"> </w:t>
      </w:r>
    </w:p>
    <w:p w14:paraId="29BAA7F6">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11.2.2授权委托书或法定代表人（单位负责人、自然人本人）身份证明；</w:t>
      </w:r>
    </w:p>
    <w:p w14:paraId="78CA4E0C">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11.2.3分包意向协议（如果有)；</w:t>
      </w:r>
    </w:p>
    <w:p w14:paraId="04211FB8">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11.2.4符合性审查资料；</w:t>
      </w:r>
    </w:p>
    <w:p w14:paraId="05CA84FA">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11.2.5评审标准相应的商务技术资料；</w:t>
      </w:r>
    </w:p>
    <w:p w14:paraId="455C27F6">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11.2.6商务技术偏离表；</w:t>
      </w:r>
    </w:p>
    <w:p w14:paraId="7B75EA98">
      <w:pPr>
        <w:snapToGrid w:val="0"/>
        <w:spacing w:line="360" w:lineRule="auto"/>
        <w:ind w:firstLine="960" w:firstLineChars="400"/>
        <w:rPr>
          <w:rFonts w:hint="eastAsia" w:ascii="宋体" w:hAnsi="宋体" w:cs="宋体"/>
          <w:color w:val="auto"/>
          <w:sz w:val="24"/>
          <w:highlight w:val="none"/>
          <w:lang w:val="zh-CN"/>
        </w:rPr>
      </w:pPr>
      <w:r>
        <w:rPr>
          <w:rFonts w:hint="eastAsia" w:ascii="宋体" w:hAnsi="宋体" w:cs="宋体"/>
          <w:color w:val="auto"/>
          <w:sz w:val="24"/>
          <w:highlight w:val="none"/>
          <w:lang w:val="zh-CN"/>
        </w:rPr>
        <w:t>11.</w:t>
      </w: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7</w:t>
      </w:r>
      <w:r>
        <w:rPr>
          <w:rFonts w:hint="eastAsia" w:ascii="宋体" w:hAnsi="宋体" w:cs="宋体"/>
          <w:color w:val="auto"/>
          <w:sz w:val="24"/>
          <w:highlight w:val="none"/>
          <w:lang w:val="zh-CN"/>
        </w:rPr>
        <w:t>政府采购供应商廉洁自律承诺书；</w:t>
      </w:r>
    </w:p>
    <w:p w14:paraId="75B5CE70">
      <w:pPr>
        <w:snapToGrid w:val="0"/>
        <w:spacing w:line="360" w:lineRule="auto"/>
        <w:ind w:firstLine="482" w:firstLineChars="200"/>
        <w:rPr>
          <w:rFonts w:hint="eastAsia" w:ascii="宋体" w:hAnsi="宋体" w:cs="宋体"/>
          <w:color w:val="auto"/>
          <w:sz w:val="24"/>
          <w:highlight w:val="none"/>
          <w:u w:val="single"/>
          <w:lang w:val="zh-CN"/>
        </w:rPr>
      </w:pPr>
      <w:r>
        <w:rPr>
          <w:rFonts w:hint="eastAsia" w:ascii="宋体" w:hAnsi="宋体" w:cs="宋体"/>
          <w:b/>
          <w:bCs/>
          <w:color w:val="auto"/>
          <w:kern w:val="0"/>
          <w:sz w:val="24"/>
          <w:highlight w:val="none"/>
          <w:lang w:val="zh-CN"/>
        </w:rPr>
        <w:t>11.</w:t>
      </w:r>
      <w:r>
        <w:rPr>
          <w:rFonts w:hint="eastAsia" w:ascii="宋体" w:hAnsi="宋体" w:cs="宋体"/>
          <w:b/>
          <w:bCs/>
          <w:color w:val="auto"/>
          <w:kern w:val="0"/>
          <w:sz w:val="24"/>
          <w:highlight w:val="none"/>
        </w:rPr>
        <w:t>3</w:t>
      </w:r>
      <w:r>
        <w:rPr>
          <w:rFonts w:hint="eastAsia" w:ascii="宋体" w:hAnsi="宋体" w:cs="宋体"/>
          <w:b/>
          <w:color w:val="auto"/>
          <w:sz w:val="24"/>
          <w:highlight w:val="none"/>
        </w:rPr>
        <w:t>报价文件：</w:t>
      </w:r>
      <w:r>
        <w:rPr>
          <w:rFonts w:hint="eastAsia" w:ascii="宋体" w:hAnsi="宋体" w:cs="宋体"/>
          <w:color w:val="auto"/>
          <w:sz w:val="24"/>
          <w:highlight w:val="none"/>
        </w:rPr>
        <w:t xml:space="preserve"> </w:t>
      </w:r>
    </w:p>
    <w:p w14:paraId="5ABD9D64">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11.3.1报价单；</w:t>
      </w:r>
    </w:p>
    <w:p w14:paraId="374BE52A">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11.3.2已标价工程量清单；</w:t>
      </w:r>
    </w:p>
    <w:p w14:paraId="75A33BF2">
      <w:pPr>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11.3.3中小企业声明函。</w:t>
      </w:r>
    </w:p>
    <w:p w14:paraId="123F9BE4">
      <w:pPr>
        <w:spacing w:line="360" w:lineRule="auto"/>
        <w:ind w:firstLine="960" w:firstLineChars="400"/>
        <w:rPr>
          <w:rFonts w:hint="eastAsia" w:ascii="宋体" w:hAnsi="宋体" w:cs="宋体"/>
          <w:b/>
          <w:color w:val="auto"/>
          <w:sz w:val="24"/>
          <w:highlight w:val="none"/>
        </w:rPr>
      </w:pPr>
      <w:r>
        <w:rPr>
          <w:rFonts w:hint="eastAsia" w:ascii="宋体" w:hAnsi="宋体" w:cs="宋体"/>
          <w:color w:val="auto"/>
          <w:sz w:val="24"/>
          <w:highlight w:val="none"/>
        </w:rPr>
        <w:t>11.3.4 报价情况说明（如供应商报价低于项目预算50%的，应当提交本文档，详细阐述不影响产品质量或者诚信履约的具体原因）。</w:t>
      </w:r>
    </w:p>
    <w:p w14:paraId="2D4C3FBD">
      <w:pPr>
        <w:spacing w:line="360" w:lineRule="auto"/>
        <w:ind w:firstLine="723" w:firstLineChars="300"/>
        <w:rPr>
          <w:rFonts w:hint="eastAsia" w:ascii="宋体" w:hAnsi="宋体" w:cs="宋体"/>
          <w:b/>
          <w:color w:val="auto"/>
          <w:sz w:val="24"/>
          <w:highlight w:val="none"/>
        </w:rPr>
      </w:pPr>
      <w:r>
        <w:rPr>
          <w:rFonts w:hint="eastAsia" w:ascii="宋体" w:hAnsi="宋体" w:cs="宋体"/>
          <w:b/>
          <w:color w:val="auto"/>
          <w:sz w:val="24"/>
          <w:highlight w:val="none"/>
        </w:rPr>
        <w:t>响应文件含有采购人不能接受的附加条件的，响应文件无效；</w:t>
      </w:r>
    </w:p>
    <w:p w14:paraId="6135FB31">
      <w:pPr>
        <w:spacing w:line="360" w:lineRule="auto"/>
        <w:ind w:firstLine="723" w:firstLineChars="300"/>
        <w:rPr>
          <w:rFonts w:hint="eastAsia" w:ascii="宋体" w:hAnsi="宋体" w:cs="宋体"/>
          <w:b/>
          <w:color w:val="auto"/>
          <w:sz w:val="24"/>
          <w:highlight w:val="none"/>
        </w:rPr>
      </w:pPr>
      <w:r>
        <w:rPr>
          <w:rFonts w:hint="eastAsia" w:ascii="宋体" w:hAnsi="宋体" w:cs="宋体"/>
          <w:b/>
          <w:color w:val="auto"/>
          <w:sz w:val="24"/>
          <w:highlight w:val="none"/>
        </w:rPr>
        <w:t>供应商提供虚假材料的，响应文件无效。</w:t>
      </w:r>
    </w:p>
    <w:p w14:paraId="6EF27637">
      <w:pPr>
        <w:spacing w:line="360" w:lineRule="auto"/>
        <w:ind w:firstLine="720" w:firstLineChars="300"/>
        <w:rPr>
          <w:rFonts w:hint="eastAsia" w:ascii="宋体" w:hAnsi="宋体" w:cs="宋体"/>
          <w:b/>
          <w:color w:val="auto"/>
          <w:sz w:val="24"/>
          <w:szCs w:val="21"/>
          <w:highlight w:val="none"/>
        </w:rPr>
      </w:pPr>
      <w:r>
        <w:rPr>
          <w:rFonts w:hint="eastAsia"/>
          <w:color w:val="auto"/>
          <w:sz w:val="24"/>
          <w:highlight w:val="none"/>
          <w:shd w:val="clear" w:color="auto" w:fill="FFFFFF"/>
        </w:rPr>
        <w:t>供应商应对响应文件中材料的真实性、合法性负责。</w:t>
      </w:r>
    </w:p>
    <w:p w14:paraId="66AE2001">
      <w:pPr>
        <w:pStyle w:val="133"/>
        <w:snapToGrid w:val="0"/>
        <w:spacing w:before="0"/>
        <w:ind w:firstLine="0" w:firstLineChars="0"/>
        <w:outlineLvl w:val="0"/>
        <w:rPr>
          <w:rFonts w:hint="eastAsia" w:ascii="宋体" w:hAnsi="宋体" w:cs="宋体"/>
          <w:b/>
          <w:color w:val="auto"/>
          <w:szCs w:val="24"/>
          <w:highlight w:val="none"/>
        </w:rPr>
      </w:pPr>
      <w:bookmarkStart w:id="29" w:name="_Toc32065"/>
      <w:bookmarkStart w:id="30" w:name="_Toc9914"/>
      <w:r>
        <w:rPr>
          <w:rFonts w:hint="eastAsia" w:ascii="宋体" w:hAnsi="宋体" w:cs="宋体"/>
          <w:b/>
          <w:color w:val="auto"/>
          <w:szCs w:val="24"/>
          <w:highlight w:val="none"/>
        </w:rPr>
        <w:t>12</w:t>
      </w:r>
      <w:r>
        <w:rPr>
          <w:rFonts w:hint="eastAsia" w:ascii="宋体" w:hAnsi="宋体" w:cs="宋体"/>
          <w:b/>
          <w:color w:val="auto"/>
          <w:kern w:val="0"/>
          <w:szCs w:val="24"/>
          <w:highlight w:val="none"/>
        </w:rPr>
        <w:t>.</w:t>
      </w:r>
      <w:r>
        <w:rPr>
          <w:rFonts w:hint="eastAsia" w:ascii="宋体" w:hAnsi="宋体" w:cs="宋体"/>
          <w:b/>
          <w:color w:val="auto"/>
          <w:szCs w:val="24"/>
          <w:highlight w:val="none"/>
        </w:rPr>
        <w:t>响应文件的编制</w:t>
      </w:r>
      <w:bookmarkEnd w:id="29"/>
      <w:bookmarkEnd w:id="30"/>
    </w:p>
    <w:p w14:paraId="410EA24D">
      <w:pPr>
        <w:spacing w:line="360" w:lineRule="auto"/>
        <w:ind w:firstLine="480" w:firstLineChars="200"/>
        <w:rPr>
          <w:rFonts w:hint="eastAsia" w:ascii="宋体" w:hAnsi="宋体" w:cs="宋体"/>
          <w:b/>
          <w:color w:val="auto"/>
          <w:sz w:val="24"/>
          <w:highlight w:val="none"/>
        </w:rPr>
      </w:pPr>
      <w:r>
        <w:rPr>
          <w:rFonts w:hint="eastAsia" w:ascii="宋体" w:hAnsi="宋体" w:cs="宋体"/>
          <w:color w:val="auto"/>
          <w:kern w:val="0"/>
          <w:sz w:val="24"/>
          <w:highlight w:val="none"/>
          <w:lang w:val="zh-CN"/>
        </w:rPr>
        <w:t>12.1响应文件分为资格文件、商务技术文件、报价文件三部分。各供应商在编制响应文件时请按照采购文件第六部分规定的格式进行，混乱的编排导致响应文件被误读或磋商小组查找不到有效文件是供应商的风险。</w:t>
      </w:r>
    </w:p>
    <w:p w14:paraId="697538F0">
      <w:pPr>
        <w:spacing w:line="360" w:lineRule="auto"/>
        <w:ind w:firstLine="480" w:firstLineChars="200"/>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12.2</w:t>
      </w:r>
      <w:r>
        <w:rPr>
          <w:rFonts w:hint="eastAsia" w:cs="仿宋_GB2312" w:asciiTheme="minorEastAsia" w:hAnsiTheme="minorEastAsia" w:eastAsiaTheme="minorEastAsia"/>
          <w:color w:val="auto"/>
          <w:kern w:val="0"/>
          <w:sz w:val="24"/>
          <w:highlight w:val="none"/>
          <w:lang w:val="zh-CN"/>
        </w:rPr>
        <w:t>供应商进行电子交易应安装客户端软件—“政采云电子交易客户端”，并按照磋商文件和电子交易平台的要求编制并加密响应文件。供应商未按规定加密的响应文件，电子交易平台将拒收并提示。</w:t>
      </w:r>
    </w:p>
    <w:p w14:paraId="51164EA4">
      <w:pPr>
        <w:snapToGrid w:val="0"/>
        <w:spacing w:line="360" w:lineRule="auto"/>
        <w:ind w:firstLine="480" w:firstLineChars="200"/>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12.3使用“政采云电子交易客户端”需要提前申领CA数字证书，申领流程请自行前往“浙江政府采购网-下载专区-电子交易客户端-CA驱动和申领流程”进行查阅。</w:t>
      </w:r>
    </w:p>
    <w:p w14:paraId="5FD3C24B">
      <w:pPr>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13.响应文件的签署、盖章</w:t>
      </w:r>
    </w:p>
    <w:p w14:paraId="59D1937B">
      <w:pPr>
        <w:pStyle w:val="133"/>
        <w:snapToGrid w:val="0"/>
        <w:spacing w:before="0"/>
        <w:ind w:firstLine="480"/>
        <w:rPr>
          <w:rFonts w:hint="eastAsia" w:ascii="宋体" w:hAnsi="宋体" w:cs="宋体"/>
          <w:b/>
          <w:color w:val="auto"/>
          <w:highlight w:val="none"/>
        </w:rPr>
      </w:pPr>
      <w:r>
        <w:rPr>
          <w:rFonts w:hint="eastAsia" w:ascii="宋体" w:hAnsi="宋体" w:cs="宋体"/>
          <w:color w:val="auto"/>
          <w:szCs w:val="24"/>
          <w:highlight w:val="none"/>
        </w:rPr>
        <w:t>13.1响应文件按照采购文件第六部分格式要</w:t>
      </w:r>
      <w:r>
        <w:rPr>
          <w:rFonts w:hint="eastAsia" w:ascii="宋体" w:hAnsi="宋体" w:cs="宋体"/>
          <w:color w:val="auto"/>
          <w:highlight w:val="none"/>
        </w:rPr>
        <w:t>求进行签署、盖章。</w:t>
      </w:r>
      <w:r>
        <w:rPr>
          <w:rFonts w:hint="eastAsia" w:ascii="宋体" w:hAnsi="宋体" w:cs="宋体"/>
          <w:b/>
          <w:color w:val="auto"/>
          <w:highlight w:val="none"/>
        </w:rPr>
        <w:t>▲供应商的响应文件未按照采购文件要求签署、盖章的，其响应文件无效</w:t>
      </w:r>
      <w:r>
        <w:rPr>
          <w:rFonts w:hint="eastAsia" w:ascii="宋体" w:hAnsi="宋体" w:cs="宋体"/>
          <w:color w:val="auto"/>
          <w:szCs w:val="24"/>
          <w:highlight w:val="none"/>
        </w:rPr>
        <w:t>。</w:t>
      </w:r>
    </w:p>
    <w:p w14:paraId="5813C686">
      <w:pPr>
        <w:pStyle w:val="133"/>
        <w:snapToGrid w:val="0"/>
        <w:spacing w:before="0"/>
        <w:ind w:firstLine="480"/>
        <w:rPr>
          <w:rFonts w:hint="eastAsia" w:ascii="宋体" w:hAnsi="宋体" w:cs="宋体"/>
          <w:color w:val="auto"/>
          <w:highlight w:val="none"/>
        </w:rPr>
      </w:pPr>
      <w:r>
        <w:rPr>
          <w:rFonts w:hint="eastAsia" w:ascii="宋体" w:hAnsi="宋体" w:cs="宋体"/>
          <w:color w:val="auto"/>
          <w:highlight w:val="none"/>
        </w:rPr>
        <w:t>13.2为确保网上操作合法、有效和安全，供应商应当在响应文件提交（上传）截止时间前完成在“政府采购云平台”的身份认证，确保在电子投标过程中能够对相关数据电文进行加密和使用电子签名。</w:t>
      </w:r>
    </w:p>
    <w:p w14:paraId="09B3F1A7">
      <w:pPr>
        <w:pStyle w:val="133"/>
        <w:snapToGrid w:val="0"/>
        <w:spacing w:before="0"/>
        <w:ind w:firstLine="480"/>
        <w:rPr>
          <w:rFonts w:hint="eastAsia" w:ascii="宋体" w:hAnsi="宋体" w:cs="宋体"/>
          <w:color w:val="auto"/>
          <w:szCs w:val="24"/>
          <w:highlight w:val="none"/>
        </w:rPr>
      </w:pPr>
      <w:r>
        <w:rPr>
          <w:rFonts w:hint="eastAsia" w:ascii="宋体" w:hAnsi="宋体" w:cs="宋体"/>
          <w:color w:val="auto"/>
          <w:highlight w:val="none"/>
        </w:rPr>
        <w:t>13.3采购文件对响应文件签署、盖章的要求适用于电子签名。</w:t>
      </w:r>
    </w:p>
    <w:p w14:paraId="574A4784">
      <w:pPr>
        <w:pStyle w:val="133"/>
        <w:snapToGrid w:val="0"/>
        <w:spacing w:before="0"/>
        <w:ind w:firstLine="0" w:firstLineChars="0"/>
        <w:rPr>
          <w:rFonts w:hint="eastAsia" w:ascii="宋体" w:hAnsi="宋体" w:cs="宋体"/>
          <w:b/>
          <w:color w:val="auto"/>
          <w:szCs w:val="24"/>
          <w:highlight w:val="none"/>
        </w:rPr>
      </w:pPr>
      <w:r>
        <w:rPr>
          <w:rFonts w:hint="eastAsia" w:ascii="宋体" w:hAnsi="宋体" w:cs="宋体"/>
          <w:b/>
          <w:color w:val="auto"/>
          <w:szCs w:val="24"/>
          <w:highlight w:val="none"/>
        </w:rPr>
        <w:t>14.响应文件的提交、补充、修改、撤回</w:t>
      </w:r>
    </w:p>
    <w:p w14:paraId="57A68777">
      <w:pPr>
        <w:pStyle w:val="133"/>
        <w:snapToGrid w:val="0"/>
        <w:spacing w:before="0"/>
        <w:ind w:firstLine="480"/>
        <w:rPr>
          <w:rFonts w:hint="eastAsia" w:ascii="宋体" w:hAnsi="宋体" w:cs="宋体"/>
          <w:color w:val="auto"/>
          <w:szCs w:val="24"/>
          <w:highlight w:val="none"/>
        </w:rPr>
      </w:pPr>
      <w:r>
        <w:rPr>
          <w:rFonts w:hint="eastAsia" w:ascii="宋体" w:hAnsi="宋体" w:cs="宋体"/>
          <w:color w:val="auto"/>
          <w:szCs w:val="24"/>
          <w:highlight w:val="none"/>
        </w:rPr>
        <w:t>14.1 供应商应当在响应文件提交（上传）截止时间前完成响应文件的传输递交，并可以补充、修改或者撤回响应文件。补充或者修改响应文件的，应当先行撤回原文件，补充、修改后重新传输递交。响应文件提交（上传）截止时间前未完成传输的，视为撤回响应文件。响应文件提交（上传）截止时间后递交的响应文件，电子交易平台将拒收。</w:t>
      </w:r>
    </w:p>
    <w:p w14:paraId="2AA7CB61">
      <w:pPr>
        <w:pStyle w:val="133"/>
        <w:snapToGrid w:val="0"/>
        <w:spacing w:before="0"/>
        <w:ind w:firstLine="480"/>
        <w:rPr>
          <w:rFonts w:hint="eastAsia" w:ascii="宋体" w:hAnsi="宋体" w:cs="宋体"/>
          <w:color w:val="auto"/>
          <w:szCs w:val="24"/>
          <w:highlight w:val="none"/>
        </w:rPr>
      </w:pPr>
      <w:r>
        <w:rPr>
          <w:rFonts w:hint="eastAsia" w:ascii="宋体" w:hAnsi="宋体" w:cs="宋体"/>
          <w:color w:val="auto"/>
          <w:szCs w:val="24"/>
          <w:highlight w:val="none"/>
        </w:rPr>
        <w:t>14.2电子交易平台收到响应文件，将妥善保存并即时向供应商发出确认回执通知。在响应文件提交（上传）截止时间前，除供应商补充、修改或者撤回响应文件外，任何单位和个人不得解密或提取响应文件。</w:t>
      </w:r>
    </w:p>
    <w:p w14:paraId="02321857">
      <w:pPr>
        <w:pStyle w:val="133"/>
        <w:snapToGrid w:val="0"/>
        <w:spacing w:before="0"/>
        <w:ind w:firstLine="480"/>
        <w:rPr>
          <w:rFonts w:hint="eastAsia" w:ascii="宋体" w:hAnsi="宋体" w:cs="宋体"/>
          <w:color w:val="auto"/>
          <w:szCs w:val="24"/>
          <w:highlight w:val="none"/>
        </w:rPr>
      </w:pPr>
      <w:r>
        <w:rPr>
          <w:rFonts w:hint="eastAsia" w:ascii="宋体" w:hAnsi="宋体" w:cs="宋体"/>
          <w:color w:val="auto"/>
          <w:szCs w:val="24"/>
          <w:highlight w:val="none"/>
        </w:rPr>
        <w:t>14.3采购人、采购代理机构可以视情况延长响应文件提交的截止时间。在上述情况下，采购代理机构与供应商以前在响应文件提交截止时间方面的全部权利、责任和义务，将适用于延长至新的响应文件提交截止时间。</w:t>
      </w:r>
    </w:p>
    <w:p w14:paraId="56DC7BC0">
      <w:pPr>
        <w:pStyle w:val="35"/>
        <w:snapToGrid w:val="0"/>
        <w:spacing w:line="360" w:lineRule="auto"/>
        <w:rPr>
          <w:rFonts w:hint="eastAsia" w:hAnsi="宋体" w:cs="宋体"/>
          <w:b/>
          <w:color w:val="auto"/>
          <w:sz w:val="24"/>
          <w:szCs w:val="24"/>
          <w:highlight w:val="none"/>
        </w:rPr>
      </w:pPr>
      <w:r>
        <w:rPr>
          <w:rFonts w:hint="eastAsia" w:hAnsi="宋体" w:cs="宋体"/>
          <w:b/>
          <w:color w:val="auto"/>
          <w:sz w:val="24"/>
          <w:szCs w:val="24"/>
          <w:highlight w:val="none"/>
        </w:rPr>
        <w:t>15.备份响应文件</w:t>
      </w:r>
    </w:p>
    <w:p w14:paraId="63844CCB">
      <w:pPr>
        <w:pStyle w:val="35"/>
        <w:snapToGrid w:val="0"/>
        <w:spacing w:line="360" w:lineRule="auto"/>
        <w:ind w:firstLine="360" w:firstLineChars="150"/>
        <w:rPr>
          <w:rFonts w:hint="eastAsia" w:hAnsi="宋体" w:cs="宋体"/>
          <w:b/>
          <w:color w:val="auto"/>
          <w:sz w:val="24"/>
          <w:szCs w:val="24"/>
          <w:highlight w:val="none"/>
        </w:rPr>
      </w:pPr>
      <w:r>
        <w:rPr>
          <w:rFonts w:hint="eastAsia" w:hAnsi="宋体" w:cs="宋体"/>
          <w:color w:val="auto"/>
          <w:sz w:val="24"/>
          <w:szCs w:val="24"/>
          <w:highlight w:val="none"/>
        </w:rPr>
        <w:t xml:space="preserve"> 15.1供应商在电子交易平台传输递交响应文件后，还可以在响应文件提交（上传）截止时间前直接提交或者以邮政快递方式递交备份响应文件1份，</w:t>
      </w:r>
      <w:r>
        <w:rPr>
          <w:rFonts w:hint="eastAsia" w:hAnsi="宋体" w:cs="宋体"/>
          <w:b/>
          <w:color w:val="auto"/>
          <w:sz w:val="24"/>
          <w:szCs w:val="24"/>
          <w:highlight w:val="none"/>
        </w:rPr>
        <w:t>但采购人、采购代理机构不强制或变相强制供应商提交备份响应文件。</w:t>
      </w:r>
    </w:p>
    <w:p w14:paraId="6582E2A2">
      <w:pPr>
        <w:pStyle w:val="35"/>
        <w:snapToGrid w:val="0"/>
        <w:spacing w:line="360" w:lineRule="auto"/>
        <w:ind w:firstLine="480" w:firstLineChars="200"/>
        <w:rPr>
          <w:rFonts w:hint="eastAsia" w:hAnsi="宋体" w:cs="宋体"/>
          <w:b/>
          <w:color w:val="auto"/>
          <w:sz w:val="24"/>
          <w:szCs w:val="24"/>
          <w:highlight w:val="none"/>
        </w:rPr>
      </w:pPr>
      <w:r>
        <w:rPr>
          <w:rFonts w:hint="eastAsia" w:hAnsi="宋体" w:cs="宋体"/>
          <w:color w:val="auto"/>
          <w:sz w:val="24"/>
          <w:szCs w:val="24"/>
          <w:highlight w:val="none"/>
        </w:rPr>
        <w:t>15.2备份响应文件须在“政采云投标客户端”制作生成，并储存在</w:t>
      </w:r>
      <w:r>
        <w:rPr>
          <w:rFonts w:hint="eastAsia" w:hAnsi="宋体" w:cs="宋体"/>
          <w:color w:val="auto"/>
          <w:sz w:val="24"/>
          <w:highlight w:val="none"/>
        </w:rPr>
        <w:t>DVD光盘等存储介质</w:t>
      </w:r>
      <w:r>
        <w:rPr>
          <w:rFonts w:hint="eastAsia" w:hAnsi="宋体" w:cs="宋体"/>
          <w:color w:val="auto"/>
          <w:sz w:val="24"/>
          <w:szCs w:val="24"/>
          <w:highlight w:val="none"/>
        </w:rPr>
        <w:t>中。备份响应文件应当密封包装并在包装上加盖公章并注明采购项目名称，供应商名称(联合体参与的，包装物封面需注明联合体，并注明联合体成员各方的名称和联合协议中约定的牵头人的名称)。</w:t>
      </w:r>
      <w:r>
        <w:rPr>
          <w:rFonts w:hint="eastAsia" w:hAnsi="宋体" w:cs="宋体"/>
          <w:b/>
          <w:color w:val="auto"/>
          <w:sz w:val="24"/>
          <w:highlight w:val="none"/>
        </w:rPr>
        <w:t>不符合上述制作、</w:t>
      </w:r>
      <w:r>
        <w:rPr>
          <w:rFonts w:hint="eastAsia" w:hAnsi="宋体" w:cs="宋体"/>
          <w:b/>
          <w:color w:val="auto"/>
          <w:sz w:val="24"/>
          <w:szCs w:val="24"/>
          <w:highlight w:val="none"/>
        </w:rPr>
        <w:t>存储、密封规定的备份响应文件将被视为无效或者被拒绝接收。</w:t>
      </w:r>
    </w:p>
    <w:p w14:paraId="693D475A">
      <w:pPr>
        <w:pStyle w:val="35"/>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15.3直接提交备份响应文件的，供应商应于响应文件提交（上传）截止时间前在竞争性磋商公告中载明的响应文件开启地点将备份响应文件提交给采购代理机构，采购代理机构将拒绝接受逾期送达的备份响应文件。</w:t>
      </w:r>
    </w:p>
    <w:p w14:paraId="6EE7341D">
      <w:pPr>
        <w:pStyle w:val="35"/>
        <w:snapToGrid w:val="0"/>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15.4以邮政快递方式递交备份响应文件的，供应商应先将备份响应文件按要求密封和标记，再进行邮政快递包装后邮寄。备份响应文件须在响应文件提交（上传）截止时间之前送达</w:t>
      </w:r>
      <w:r>
        <w:rPr>
          <w:rFonts w:hint="eastAsia" w:hAnsi="宋体" w:cs="宋体"/>
          <w:snapToGrid/>
          <w:color w:val="auto"/>
          <w:sz w:val="24"/>
          <w:szCs w:val="24"/>
          <w:highlight w:val="none"/>
        </w:rPr>
        <w:t>采购文件第二部分供应商须知前附表规定的备份响应文件送达地点；</w:t>
      </w:r>
      <w:r>
        <w:rPr>
          <w:rFonts w:hint="eastAsia" w:hAnsi="宋体" w:cs="宋体"/>
          <w:color w:val="auto"/>
          <w:sz w:val="24"/>
          <w:szCs w:val="24"/>
          <w:highlight w:val="none"/>
        </w:rPr>
        <w:t>送达时间以签收人签收时间为准。采购代理机构将拒绝接受逾期送达的备份响应文件。邮寄过程中，电子备份响应文件发生泄露、遗失、损坏或延期送达等情况的，由供应商自行负责。</w:t>
      </w:r>
    </w:p>
    <w:p w14:paraId="36C7365F">
      <w:pPr>
        <w:pStyle w:val="35"/>
        <w:snapToGrid w:val="0"/>
        <w:spacing w:line="360" w:lineRule="auto"/>
        <w:ind w:firstLine="479" w:firstLineChars="199"/>
        <w:rPr>
          <w:rFonts w:hint="eastAsia" w:hAnsi="宋体" w:cs="宋体"/>
          <w:b/>
          <w:color w:val="auto"/>
          <w:sz w:val="24"/>
          <w:szCs w:val="24"/>
          <w:highlight w:val="none"/>
        </w:rPr>
      </w:pPr>
      <w:r>
        <w:rPr>
          <w:rFonts w:hint="eastAsia" w:hAnsi="宋体" w:cs="宋体"/>
          <w:b/>
          <w:color w:val="auto"/>
          <w:sz w:val="24"/>
          <w:szCs w:val="24"/>
          <w:highlight w:val="none"/>
        </w:rPr>
        <w:t>15.5供应商仅提交备份响应文件，未在电子交易平台传输递交响应文件的，响应文件无效。</w:t>
      </w:r>
    </w:p>
    <w:p w14:paraId="137D9B7A">
      <w:pPr>
        <w:pStyle w:val="133"/>
        <w:spacing w:before="0"/>
        <w:ind w:firstLine="0" w:firstLineChars="0"/>
        <w:rPr>
          <w:rFonts w:hint="eastAsia" w:ascii="宋体" w:hAnsi="宋体" w:cs="宋体"/>
          <w:b/>
          <w:color w:val="auto"/>
          <w:szCs w:val="24"/>
          <w:highlight w:val="none"/>
        </w:rPr>
      </w:pPr>
      <w:r>
        <w:rPr>
          <w:rFonts w:hint="eastAsia" w:ascii="宋体" w:hAnsi="宋体" w:cs="宋体"/>
          <w:b/>
          <w:color w:val="auto"/>
          <w:szCs w:val="24"/>
          <w:highlight w:val="none"/>
        </w:rPr>
        <w:t>16.响应文件的无效处理</w:t>
      </w:r>
    </w:p>
    <w:p w14:paraId="54C25D4D">
      <w:pPr>
        <w:pStyle w:val="26"/>
        <w:spacing w:line="360" w:lineRule="auto"/>
        <w:ind w:firstLine="360" w:firstLineChars="150"/>
        <w:rPr>
          <w:rFonts w:hint="eastAsia" w:cs="宋体"/>
          <w:color w:val="auto"/>
          <w:szCs w:val="21"/>
          <w:highlight w:val="none"/>
        </w:rPr>
      </w:pPr>
      <w:r>
        <w:rPr>
          <w:rFonts w:hint="eastAsia" w:cs="宋体"/>
          <w:color w:val="auto"/>
          <w:szCs w:val="21"/>
          <w:highlight w:val="none"/>
        </w:rPr>
        <w:t>有采购文件第四部分</w:t>
      </w:r>
      <w:r>
        <w:rPr>
          <w:rFonts w:hint="eastAsia" w:cs="宋体"/>
          <w:color w:val="auto"/>
          <w:highlight w:val="none"/>
        </w:rPr>
        <w:t>4.2规定</w:t>
      </w:r>
      <w:r>
        <w:rPr>
          <w:rFonts w:hint="eastAsia" w:cs="宋体"/>
          <w:color w:val="auto"/>
          <w:szCs w:val="21"/>
          <w:highlight w:val="none"/>
        </w:rPr>
        <w:t>的情形之一的，响应文件无效：</w:t>
      </w:r>
    </w:p>
    <w:p w14:paraId="3F8245D7">
      <w:pPr>
        <w:pStyle w:val="133"/>
        <w:spacing w:before="0"/>
        <w:ind w:firstLine="0" w:firstLineChars="0"/>
        <w:rPr>
          <w:rFonts w:hint="eastAsia" w:ascii="宋体" w:hAnsi="宋体" w:cs="宋体"/>
          <w:b/>
          <w:color w:val="auto"/>
          <w:szCs w:val="24"/>
          <w:highlight w:val="none"/>
        </w:rPr>
      </w:pPr>
      <w:r>
        <w:rPr>
          <w:rFonts w:hint="eastAsia" w:ascii="宋体" w:hAnsi="宋体" w:cs="宋体"/>
          <w:b/>
          <w:color w:val="auto"/>
          <w:szCs w:val="24"/>
          <w:highlight w:val="none"/>
        </w:rPr>
        <w:t>17.响应文件有效期</w:t>
      </w:r>
    </w:p>
    <w:p w14:paraId="03BE0E0B">
      <w:pPr>
        <w:spacing w:line="360" w:lineRule="auto"/>
        <w:ind w:firstLine="480" w:firstLineChars="200"/>
        <w:rPr>
          <w:rFonts w:hint="eastAsia" w:ascii="宋体" w:hAnsi="宋体" w:cs="宋体"/>
          <w:b/>
          <w:color w:val="auto"/>
          <w:sz w:val="24"/>
          <w:szCs w:val="21"/>
          <w:highlight w:val="none"/>
        </w:rPr>
      </w:pPr>
      <w:r>
        <w:rPr>
          <w:rFonts w:hint="eastAsia" w:ascii="宋体" w:hAnsi="宋体" w:cs="宋体"/>
          <w:color w:val="auto"/>
          <w:sz w:val="24"/>
          <w:szCs w:val="20"/>
          <w:highlight w:val="none"/>
        </w:rPr>
        <w:t>17.1响应文件有效期为从提交响应文件的截止之日起90天。▲</w:t>
      </w:r>
      <w:r>
        <w:rPr>
          <w:rFonts w:hint="eastAsia" w:ascii="宋体" w:hAnsi="宋体" w:cs="宋体"/>
          <w:b/>
          <w:color w:val="auto"/>
          <w:sz w:val="24"/>
          <w:szCs w:val="20"/>
          <w:highlight w:val="none"/>
        </w:rPr>
        <w:t>供应商的响应文件中承</w:t>
      </w:r>
      <w:r>
        <w:rPr>
          <w:rFonts w:hint="eastAsia" w:ascii="宋体" w:hAnsi="宋体" w:cs="宋体"/>
          <w:b/>
          <w:color w:val="auto"/>
          <w:sz w:val="24"/>
          <w:szCs w:val="21"/>
          <w:highlight w:val="none"/>
        </w:rPr>
        <w:t>诺的响应文件有效期少于采购文件中载明的响应文件有效期的，响应文件无效。</w:t>
      </w:r>
    </w:p>
    <w:p w14:paraId="2D2D73AB">
      <w:pPr>
        <w:pStyle w:val="133"/>
        <w:spacing w:before="0"/>
        <w:ind w:firstLine="480"/>
        <w:rPr>
          <w:rFonts w:hint="eastAsia" w:ascii="宋体" w:hAnsi="宋体" w:cs="宋体"/>
          <w:color w:val="auto"/>
          <w:highlight w:val="none"/>
        </w:rPr>
      </w:pPr>
      <w:r>
        <w:rPr>
          <w:rFonts w:hint="eastAsia" w:ascii="宋体" w:hAnsi="宋体" w:cs="宋体"/>
          <w:color w:val="auto"/>
          <w:highlight w:val="none"/>
        </w:rPr>
        <w:t>17.2响应文件合格投递后，自响应文件提交截止时间起，在响应文件有效期内有效。</w:t>
      </w:r>
    </w:p>
    <w:p w14:paraId="43BB3F63">
      <w:pPr>
        <w:pStyle w:val="133"/>
        <w:spacing w:before="0"/>
        <w:ind w:firstLine="480"/>
        <w:rPr>
          <w:rFonts w:hint="eastAsia" w:ascii="宋体" w:hAnsi="宋体" w:cs="宋体"/>
          <w:color w:val="auto"/>
          <w:highlight w:val="none"/>
        </w:rPr>
      </w:pPr>
      <w:r>
        <w:rPr>
          <w:rFonts w:hint="eastAsia" w:ascii="宋体" w:hAnsi="宋体" w:cs="宋体"/>
          <w:color w:val="auto"/>
          <w:highlight w:val="none"/>
        </w:rPr>
        <w:t>17.3在原定响应文件有效期满之前，如果出现特殊情况，采购代理机构可以以书面形式通知供应商延长响应文件有效期。供应商同意延长的，不得要求或被允许修改其响应文件，供应商拒绝延长的，其响应文件无效。</w:t>
      </w:r>
    </w:p>
    <w:p w14:paraId="017B91C2">
      <w:pPr>
        <w:snapToGrid w:val="0"/>
        <w:spacing w:line="360" w:lineRule="auto"/>
        <w:jc w:val="center"/>
        <w:outlineLvl w:val="0"/>
        <w:rPr>
          <w:rFonts w:hint="eastAsia" w:ascii="宋体" w:hAnsi="宋体" w:cs="宋体"/>
          <w:b/>
          <w:color w:val="auto"/>
          <w:sz w:val="32"/>
          <w:szCs w:val="20"/>
          <w:highlight w:val="none"/>
        </w:rPr>
      </w:pPr>
      <w:bookmarkStart w:id="31" w:name="_Toc21858"/>
      <w:bookmarkStart w:id="32" w:name="_Toc235"/>
      <w:r>
        <w:rPr>
          <w:rFonts w:hint="eastAsia" w:ascii="宋体" w:hAnsi="宋体" w:cs="宋体"/>
          <w:b/>
          <w:color w:val="auto"/>
          <w:sz w:val="32"/>
          <w:szCs w:val="20"/>
          <w:highlight w:val="none"/>
        </w:rPr>
        <w:t>四、响应文件开启、资格审查与信用信息查询</w:t>
      </w:r>
      <w:bookmarkEnd w:id="31"/>
      <w:bookmarkEnd w:id="32"/>
    </w:p>
    <w:p w14:paraId="7C937C51">
      <w:pPr>
        <w:pStyle w:val="560"/>
        <w:spacing w:before="0" w:line="360" w:lineRule="auto"/>
        <w:ind w:left="0" w:firstLine="0"/>
        <w:contextualSpacing/>
        <w:rPr>
          <w:rFonts w:hint="eastAsia" w:ascii="宋体" w:hAnsi="宋体" w:cs="宋体"/>
          <w:color w:val="auto"/>
          <w:sz w:val="24"/>
          <w:highlight w:val="none"/>
        </w:rPr>
      </w:pPr>
      <w:r>
        <w:rPr>
          <w:rFonts w:hint="eastAsia" w:ascii="宋体" w:hAnsi="宋体" w:cs="宋体"/>
          <w:b/>
          <w:color w:val="auto"/>
          <w:sz w:val="24"/>
          <w:szCs w:val="24"/>
          <w:highlight w:val="none"/>
        </w:rPr>
        <w:t>18.响应文件开启</w:t>
      </w:r>
      <w:r>
        <w:rPr>
          <w:rFonts w:hint="eastAsia" w:ascii="宋体" w:hAnsi="宋体" w:cs="宋体"/>
          <w:color w:val="auto"/>
          <w:sz w:val="24"/>
          <w:highlight w:val="none"/>
        </w:rPr>
        <w:t xml:space="preserve"> </w:t>
      </w:r>
    </w:p>
    <w:p w14:paraId="41151C26">
      <w:pPr>
        <w:pStyle w:val="560"/>
        <w:snapToGrid w:val="0"/>
        <w:spacing w:before="0" w:line="360" w:lineRule="auto"/>
        <w:ind w:left="0" w:firstLine="480" w:firstLineChars="200"/>
        <w:contextualSpacing/>
        <w:rPr>
          <w:rFonts w:hint="eastAsia" w:ascii="宋体" w:hAnsi="宋体" w:cs="宋体"/>
          <w:color w:val="auto"/>
          <w:sz w:val="24"/>
          <w:highlight w:val="none"/>
        </w:rPr>
      </w:pPr>
      <w:r>
        <w:rPr>
          <w:rFonts w:hint="eastAsia" w:ascii="宋体" w:hAnsi="宋体" w:cs="宋体"/>
          <w:color w:val="auto"/>
          <w:sz w:val="24"/>
          <w:highlight w:val="none"/>
        </w:rPr>
        <w:t>18.1采购代理机构按照采购文件规定的时间通过电子交易平台组织响应文件开启，所有供应商均应当准时在线参加。供应商不足3家的，不得开启。</w:t>
      </w:r>
    </w:p>
    <w:p w14:paraId="61E5B266">
      <w:pPr>
        <w:pStyle w:val="560"/>
        <w:snapToGrid w:val="0"/>
        <w:spacing w:before="0" w:line="360" w:lineRule="auto"/>
        <w:ind w:left="0" w:firstLine="480" w:firstLineChars="200"/>
        <w:contextualSpacing/>
        <w:rPr>
          <w:rFonts w:hint="eastAsia" w:ascii="宋体" w:hAnsi="宋体" w:cs="宋体"/>
          <w:color w:val="auto"/>
          <w:sz w:val="24"/>
          <w:highlight w:val="none"/>
        </w:rPr>
      </w:pPr>
      <w:r>
        <w:rPr>
          <w:rFonts w:hint="eastAsia" w:ascii="宋体" w:hAnsi="宋体" w:cs="宋体"/>
          <w:color w:val="auto"/>
          <w:sz w:val="24"/>
          <w:highlight w:val="none"/>
        </w:rPr>
        <w:t>18.2响应文件开启时，电子交易平台按响应文件开启时间自动提取所有响应文件。采购代理机构依托电子交易平台发起开始解密指令，供应商按照平台提示和采购文件的规定在半小时内完成在线解密。</w:t>
      </w:r>
    </w:p>
    <w:p w14:paraId="43F9CFAB">
      <w:pPr>
        <w:pStyle w:val="560"/>
        <w:snapToGrid w:val="0"/>
        <w:spacing w:before="0" w:line="360" w:lineRule="auto"/>
        <w:ind w:left="0" w:firstLine="480" w:firstLineChars="200"/>
        <w:contextualSpacing/>
        <w:rPr>
          <w:rFonts w:hint="eastAsia" w:ascii="宋体" w:hAnsi="宋体" w:cs="宋体"/>
          <w:color w:val="auto"/>
          <w:sz w:val="24"/>
          <w:highlight w:val="none"/>
        </w:rPr>
      </w:pPr>
      <w:r>
        <w:rPr>
          <w:rFonts w:hint="eastAsia" w:ascii="宋体" w:hAnsi="宋体" w:cs="宋体"/>
          <w:color w:val="auto"/>
          <w:sz w:val="24"/>
          <w:highlight w:val="none"/>
        </w:rPr>
        <w:t>18.3</w:t>
      </w:r>
      <w:r>
        <w:rPr>
          <w:rFonts w:hint="eastAsia" w:ascii="宋体" w:hAnsi="宋体" w:cs="宋体"/>
          <w:b/>
          <w:bCs/>
          <w:color w:val="auto"/>
          <w:sz w:val="24"/>
          <w:highlight w:val="none"/>
        </w:rPr>
        <w:t>响应文件未按时解密，供应商提供了备份响应文件的，以备份响应文件作为依据，否则视为响应文件撤回。响应文件已按时解密的，备份响应文件自动失效。</w:t>
      </w:r>
    </w:p>
    <w:p w14:paraId="61A09A14">
      <w:pPr>
        <w:pStyle w:val="560"/>
        <w:spacing w:before="0" w:line="360" w:lineRule="auto"/>
        <w:ind w:left="0" w:firstLine="0"/>
        <w:contextualSpacing/>
        <w:rPr>
          <w:rFonts w:hint="eastAsia" w:ascii="宋体" w:hAnsi="宋体" w:cs="宋体"/>
          <w:b/>
          <w:color w:val="auto"/>
          <w:sz w:val="24"/>
          <w:szCs w:val="24"/>
          <w:highlight w:val="none"/>
        </w:rPr>
      </w:pPr>
      <w:r>
        <w:rPr>
          <w:rFonts w:hint="eastAsia" w:ascii="宋体" w:hAnsi="宋体" w:cs="宋体"/>
          <w:b/>
          <w:color w:val="auto"/>
          <w:sz w:val="24"/>
          <w:szCs w:val="24"/>
          <w:highlight w:val="none"/>
        </w:rPr>
        <w:t>19.资格审查</w:t>
      </w:r>
    </w:p>
    <w:p w14:paraId="6943CBA0">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kern w:val="0"/>
          <w:sz w:val="24"/>
          <w:highlight w:val="none"/>
        </w:rPr>
        <w:t>19.1</w:t>
      </w:r>
      <w:r>
        <w:rPr>
          <w:rFonts w:hint="eastAsia" w:ascii="宋体" w:hAnsi="宋体" w:cs="宋体"/>
          <w:color w:val="auto"/>
          <w:sz w:val="24"/>
          <w:highlight w:val="none"/>
        </w:rPr>
        <w:t>采购人、采购代理机构或磋商小组依据法律法规和采购文件的规定，对供应商的资格进行审查。</w:t>
      </w:r>
    </w:p>
    <w:p w14:paraId="68E7BB93">
      <w:pPr>
        <w:pStyle w:val="133"/>
        <w:spacing w:before="0"/>
        <w:ind w:firstLine="480"/>
        <w:rPr>
          <w:rFonts w:hint="eastAsia" w:ascii="宋体" w:hAnsi="宋体" w:cs="宋体"/>
          <w:color w:val="auto"/>
          <w:highlight w:val="none"/>
        </w:rPr>
      </w:pPr>
      <w:r>
        <w:rPr>
          <w:rFonts w:hint="eastAsia" w:ascii="宋体" w:hAnsi="宋体" w:cs="宋体"/>
          <w:color w:val="auto"/>
          <w:kern w:val="0"/>
          <w:szCs w:val="24"/>
          <w:highlight w:val="none"/>
        </w:rPr>
        <w:t>19.2供应商未按照采购文件要求提供与</w:t>
      </w:r>
      <w:r>
        <w:rPr>
          <w:rFonts w:hint="eastAsia" w:ascii="宋体" w:hAnsi="宋体" w:cs="宋体"/>
          <w:color w:val="auto"/>
          <w:highlight w:val="none"/>
        </w:rPr>
        <w:t>资格条件相应的</w:t>
      </w:r>
      <w:r>
        <w:rPr>
          <w:rFonts w:hint="eastAsia" w:ascii="宋体" w:hAnsi="宋体" w:cs="宋体"/>
          <w:color w:val="auto"/>
          <w:kern w:val="0"/>
          <w:szCs w:val="24"/>
          <w:highlight w:val="none"/>
        </w:rPr>
        <w:t>有效资格证明材料的，视为</w:t>
      </w:r>
      <w:r>
        <w:rPr>
          <w:rFonts w:hint="eastAsia" w:ascii="宋体" w:hAnsi="宋体" w:cs="宋体"/>
          <w:color w:val="auto"/>
          <w:highlight w:val="none"/>
        </w:rPr>
        <w:t>供应商不具备采购文件中规定的资格要求，其响应文件无效。</w:t>
      </w:r>
    </w:p>
    <w:p w14:paraId="1D13D94F">
      <w:pPr>
        <w:pStyle w:val="133"/>
        <w:spacing w:before="0"/>
        <w:ind w:firstLine="480"/>
        <w:rPr>
          <w:rFonts w:hint="eastAsia" w:ascii="宋体" w:hAnsi="宋体" w:cs="宋体"/>
          <w:color w:val="auto"/>
          <w:highlight w:val="none"/>
        </w:rPr>
      </w:pPr>
      <w:r>
        <w:rPr>
          <w:rFonts w:hint="eastAsia" w:ascii="宋体" w:hAnsi="宋体" w:cs="宋体"/>
          <w:color w:val="auto"/>
          <w:kern w:val="0"/>
          <w:szCs w:val="24"/>
          <w:highlight w:val="none"/>
        </w:rPr>
        <w:t>19.</w:t>
      </w:r>
      <w:r>
        <w:rPr>
          <w:rFonts w:hint="eastAsia" w:ascii="宋体" w:hAnsi="宋体" w:cs="宋体"/>
          <w:color w:val="auto"/>
          <w:highlight w:val="none"/>
        </w:rPr>
        <w:t>3对未通过资格审查的供应商，采购人或采购代理机构告知其未通过的原因。</w:t>
      </w:r>
    </w:p>
    <w:p w14:paraId="1D847C8D">
      <w:pPr>
        <w:pStyle w:val="133"/>
        <w:spacing w:before="0"/>
        <w:ind w:firstLine="480"/>
        <w:rPr>
          <w:rFonts w:hint="eastAsia" w:ascii="宋体" w:hAnsi="宋体" w:cs="宋体"/>
          <w:color w:val="auto"/>
          <w:highlight w:val="none"/>
        </w:rPr>
      </w:pPr>
      <w:r>
        <w:rPr>
          <w:rFonts w:hint="eastAsia" w:ascii="宋体" w:hAnsi="宋体" w:cs="宋体"/>
          <w:color w:val="auto"/>
          <w:kern w:val="0"/>
          <w:szCs w:val="24"/>
          <w:highlight w:val="none"/>
        </w:rPr>
        <w:t>19.</w:t>
      </w:r>
      <w:r>
        <w:rPr>
          <w:rFonts w:hint="eastAsia" w:ascii="宋体" w:hAnsi="宋体" w:cs="宋体"/>
          <w:color w:val="auto"/>
          <w:highlight w:val="none"/>
        </w:rPr>
        <w:t>4合格供应商不足3家的，不再评审。</w:t>
      </w:r>
    </w:p>
    <w:p w14:paraId="7EAAE052">
      <w:pPr>
        <w:pStyle w:val="133"/>
        <w:snapToGrid w:val="0"/>
        <w:spacing w:before="0"/>
        <w:ind w:firstLine="480"/>
        <w:rPr>
          <w:rFonts w:hint="eastAsia" w:ascii="宋体" w:hAnsi="宋体" w:cs="宋体"/>
          <w:color w:val="auto"/>
          <w:highlight w:val="none"/>
        </w:rPr>
      </w:pPr>
      <w:r>
        <w:rPr>
          <w:rFonts w:hint="eastAsia" w:ascii="宋体" w:hAnsi="宋体" w:cs="宋体"/>
          <w:color w:val="auto"/>
          <w:kern w:val="0"/>
          <w:szCs w:val="24"/>
          <w:highlight w:val="none"/>
        </w:rPr>
        <w:t>19.5金融、保险、通讯等特定行业的全国性企业所设立的区域性分支机构，以及个体工商户、个人独资企业、合伙企业，如果已经依法办理了工商、税务和社保登记手续，并且获得总机构授权或能够提供房产权证或其他有效财产证明材料，证明其具备实际承担责任的能力和法定的缔结合同能力，可以允许其独立参加政府采购活动。</w:t>
      </w:r>
    </w:p>
    <w:p w14:paraId="7C6CA558">
      <w:pPr>
        <w:pStyle w:val="133"/>
        <w:spacing w:before="0"/>
        <w:ind w:firstLine="0" w:firstLineChars="0"/>
        <w:rPr>
          <w:rFonts w:hint="eastAsia" w:ascii="宋体" w:hAnsi="宋体" w:cs="宋体"/>
          <w:b/>
          <w:color w:val="auto"/>
          <w:szCs w:val="24"/>
          <w:highlight w:val="none"/>
        </w:rPr>
      </w:pPr>
      <w:r>
        <w:rPr>
          <w:rFonts w:hint="eastAsia" w:ascii="宋体" w:hAnsi="宋体" w:cs="宋体"/>
          <w:b/>
          <w:color w:val="auto"/>
          <w:szCs w:val="24"/>
          <w:highlight w:val="none"/>
        </w:rPr>
        <w:t>20.信用信息查询</w:t>
      </w:r>
    </w:p>
    <w:p w14:paraId="6F100F09">
      <w:pPr>
        <w:pStyle w:val="133"/>
        <w:spacing w:before="0"/>
        <w:ind w:firstLine="495" w:firstLineChars="0"/>
        <w:rPr>
          <w:rFonts w:hint="eastAsia" w:ascii="宋体" w:hAnsi="宋体" w:cs="宋体"/>
          <w:color w:val="auto"/>
          <w:kern w:val="0"/>
          <w:szCs w:val="24"/>
          <w:highlight w:val="none"/>
        </w:rPr>
      </w:pPr>
      <w:r>
        <w:rPr>
          <w:rFonts w:hint="eastAsia" w:ascii="宋体" w:hAnsi="宋体" w:cs="宋体"/>
          <w:color w:val="auto"/>
          <w:kern w:val="0"/>
          <w:szCs w:val="24"/>
          <w:highlight w:val="none"/>
        </w:rPr>
        <w:t>20.1信用信息查询渠道及截止时间：采购代理机构将在资格审查时通过“信用中国”网站(www.creditchina.gov.cn)、中国政府采购网(www.ccgp.gov.cn)渠道查询供应商接受资格审查时的信用记录。</w:t>
      </w:r>
    </w:p>
    <w:p w14:paraId="561DC607">
      <w:pPr>
        <w:pStyle w:val="133"/>
        <w:spacing w:before="0"/>
        <w:ind w:firstLine="495" w:firstLineChars="0"/>
        <w:rPr>
          <w:rFonts w:hint="eastAsia" w:ascii="宋体" w:hAnsi="宋体" w:cs="宋体"/>
          <w:color w:val="auto"/>
          <w:kern w:val="0"/>
          <w:szCs w:val="24"/>
          <w:highlight w:val="none"/>
        </w:rPr>
      </w:pPr>
      <w:r>
        <w:rPr>
          <w:rFonts w:hint="eastAsia" w:ascii="宋体" w:hAnsi="宋体" w:cs="宋体"/>
          <w:color w:val="auto"/>
          <w:kern w:val="0"/>
          <w:szCs w:val="24"/>
          <w:highlight w:val="none"/>
        </w:rPr>
        <w:t>20.2信用信息查询记录和证据留存的具体方式：现场查询的供应商的信用记录、查询结果经确认后将与采购文件一起存档。</w:t>
      </w:r>
    </w:p>
    <w:p w14:paraId="4F42DAD3">
      <w:pPr>
        <w:pStyle w:val="133"/>
        <w:spacing w:before="0"/>
        <w:ind w:firstLine="495" w:firstLineChars="0"/>
        <w:rPr>
          <w:rFonts w:hint="eastAsia" w:ascii="宋体" w:hAnsi="宋体" w:cs="宋体"/>
          <w:color w:val="auto"/>
          <w:kern w:val="0"/>
          <w:szCs w:val="24"/>
          <w:highlight w:val="none"/>
        </w:rPr>
      </w:pPr>
      <w:r>
        <w:rPr>
          <w:rFonts w:hint="eastAsia" w:ascii="宋体" w:hAnsi="宋体" w:cs="宋体"/>
          <w:color w:val="auto"/>
          <w:kern w:val="0"/>
          <w:szCs w:val="24"/>
          <w:highlight w:val="none"/>
        </w:rPr>
        <w:t>20.3信用信息的使用规则：经查询列入失信被执行人名单、重大税收违法案件当事人名单、政府采购严重违法失信行为记录名单的供应商将被拒绝参与政府采购活动。</w:t>
      </w:r>
    </w:p>
    <w:p w14:paraId="52D1BA27">
      <w:pPr>
        <w:pStyle w:val="133"/>
        <w:spacing w:before="0"/>
        <w:ind w:firstLine="480"/>
        <w:rPr>
          <w:rFonts w:hint="eastAsia" w:ascii="宋体" w:hAnsi="宋体" w:cs="宋体"/>
          <w:color w:val="auto"/>
          <w:highlight w:val="none"/>
        </w:rPr>
      </w:pPr>
      <w:r>
        <w:rPr>
          <w:rFonts w:hint="eastAsia" w:ascii="宋体" w:hAnsi="宋体" w:cs="宋体"/>
          <w:color w:val="auto"/>
          <w:kern w:val="0"/>
          <w:szCs w:val="24"/>
          <w:highlight w:val="none"/>
        </w:rPr>
        <w:t>20.4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r>
        <w:rPr>
          <w:rFonts w:hint="eastAsia" w:ascii="宋体" w:hAnsi="宋体" w:cs="宋体"/>
          <w:color w:val="auto"/>
          <w:highlight w:val="none"/>
        </w:rPr>
        <w:t>。</w:t>
      </w:r>
    </w:p>
    <w:p w14:paraId="52DF3A6A">
      <w:pPr>
        <w:snapToGrid w:val="0"/>
        <w:spacing w:line="360" w:lineRule="auto"/>
        <w:jc w:val="center"/>
        <w:outlineLvl w:val="0"/>
        <w:rPr>
          <w:rFonts w:hint="eastAsia" w:ascii="宋体" w:hAnsi="宋体" w:cs="宋体"/>
          <w:b/>
          <w:color w:val="auto"/>
          <w:sz w:val="32"/>
          <w:szCs w:val="20"/>
          <w:highlight w:val="none"/>
        </w:rPr>
      </w:pPr>
      <w:bookmarkStart w:id="33" w:name="_Toc626"/>
      <w:bookmarkStart w:id="34" w:name="_Toc1490"/>
      <w:r>
        <w:rPr>
          <w:rFonts w:hint="eastAsia" w:ascii="宋体" w:hAnsi="宋体" w:cs="宋体"/>
          <w:b/>
          <w:color w:val="auto"/>
          <w:sz w:val="32"/>
          <w:szCs w:val="20"/>
          <w:highlight w:val="none"/>
        </w:rPr>
        <w:t>五、评审</w:t>
      </w:r>
      <w:bookmarkEnd w:id="33"/>
      <w:bookmarkEnd w:id="34"/>
    </w:p>
    <w:p w14:paraId="58D0E2F3">
      <w:pPr>
        <w:spacing w:line="360" w:lineRule="auto"/>
        <w:rPr>
          <w:rFonts w:hint="eastAsia" w:ascii="宋体" w:hAnsi="宋体" w:cs="宋体"/>
          <w:b/>
          <w:color w:val="auto"/>
          <w:sz w:val="24"/>
          <w:highlight w:val="none"/>
        </w:rPr>
      </w:pPr>
      <w:bookmarkStart w:id="35" w:name="_Toc91899903"/>
      <w:r>
        <w:rPr>
          <w:rFonts w:hint="eastAsia" w:ascii="宋体" w:hAnsi="宋体" w:cs="宋体"/>
          <w:b/>
          <w:color w:val="auto"/>
          <w:sz w:val="24"/>
          <w:highlight w:val="none"/>
        </w:rPr>
        <w:t>21.</w:t>
      </w:r>
      <w:r>
        <w:rPr>
          <w:rFonts w:hint="eastAsia" w:ascii="宋体" w:hAnsi="宋体" w:cs="宋体"/>
          <w:color w:val="auto"/>
          <w:sz w:val="24"/>
          <w:highlight w:val="none"/>
        </w:rPr>
        <w:t>磋商小组将根据采购文件和有关规定，履行评审工作职责，并按照评审方法及评分标准，全面衡量各供应商对采购文件的响应情况。对实质上响应采购文件的供应商，按照评审因素的量化指标排出推荐成交的供应商的先后顺序，并按顺序提出授标建议。</w:t>
      </w:r>
      <w:r>
        <w:rPr>
          <w:rFonts w:hint="eastAsia" w:ascii="宋体" w:hAnsi="宋体" w:cs="宋体"/>
          <w:b/>
          <w:color w:val="auto"/>
          <w:sz w:val="24"/>
          <w:highlight w:val="none"/>
        </w:rPr>
        <w:t>详见采购文件第四部分评审办法。</w:t>
      </w:r>
    </w:p>
    <w:p w14:paraId="609F7A70">
      <w:pPr>
        <w:snapToGrid w:val="0"/>
        <w:spacing w:line="360" w:lineRule="auto"/>
        <w:jc w:val="center"/>
        <w:outlineLvl w:val="0"/>
        <w:rPr>
          <w:rFonts w:hint="eastAsia" w:ascii="宋体" w:hAnsi="宋体" w:cs="宋体"/>
          <w:b/>
          <w:color w:val="auto"/>
          <w:sz w:val="32"/>
          <w:szCs w:val="20"/>
          <w:highlight w:val="none"/>
        </w:rPr>
      </w:pPr>
      <w:bookmarkStart w:id="36" w:name="_Toc31413"/>
      <w:bookmarkStart w:id="37" w:name="_Toc25086"/>
      <w:r>
        <w:rPr>
          <w:rFonts w:hint="eastAsia" w:ascii="宋体" w:hAnsi="宋体" w:cs="宋体"/>
          <w:b/>
          <w:color w:val="auto"/>
          <w:sz w:val="32"/>
          <w:szCs w:val="20"/>
          <w:highlight w:val="none"/>
        </w:rPr>
        <w:t>六、成交供应商确定</w:t>
      </w:r>
      <w:bookmarkEnd w:id="36"/>
      <w:bookmarkEnd w:id="37"/>
    </w:p>
    <w:p w14:paraId="612905AF">
      <w:pPr>
        <w:pStyle w:val="26"/>
        <w:spacing w:line="360" w:lineRule="auto"/>
        <w:ind w:left="479" w:hanging="479" w:hangingChars="199"/>
        <w:rPr>
          <w:rFonts w:hint="eastAsia" w:cs="宋体"/>
          <w:b/>
          <w:color w:val="auto"/>
          <w:highlight w:val="none"/>
        </w:rPr>
      </w:pPr>
      <w:r>
        <w:rPr>
          <w:rFonts w:hint="eastAsia" w:cs="宋体"/>
          <w:b/>
          <w:color w:val="auto"/>
          <w:highlight w:val="none"/>
        </w:rPr>
        <w:t>22.确定成交供应商</w:t>
      </w:r>
    </w:p>
    <w:p w14:paraId="7DCBF319">
      <w:pPr>
        <w:pStyle w:val="133"/>
        <w:snapToGrid w:val="0"/>
        <w:spacing w:before="0"/>
        <w:ind w:firstLine="480"/>
        <w:rPr>
          <w:rFonts w:hint="eastAsia" w:ascii="宋体" w:hAnsi="宋体" w:cs="宋体"/>
          <w:b/>
          <w:color w:val="auto"/>
          <w:szCs w:val="24"/>
          <w:highlight w:val="none"/>
        </w:rPr>
      </w:pPr>
      <w:r>
        <w:rPr>
          <w:rFonts w:hint="eastAsia" w:ascii="宋体" w:hAnsi="宋体" w:cs="宋体"/>
          <w:color w:val="auto"/>
          <w:szCs w:val="24"/>
          <w:highlight w:val="none"/>
        </w:rPr>
        <w:t>政府采购项目实行全流程电子化，评审报告送交、采购结果确定和结果公告均在线完成。为进一步提升采购结果确定效率，采购代理机构应当依法及时将评审报告在线送交采购人。采购单位应当自收到评审报告之日起2个工作日内在线确定中标或者成交供应商，为提高政府采购效率，鼓励在收到评审报告当天在线确定中标或者成交供应商。中标、成交通知书和中标、成交结果公告应当在规定时间内同时发出。</w:t>
      </w:r>
    </w:p>
    <w:p w14:paraId="1439EED6">
      <w:pPr>
        <w:pStyle w:val="133"/>
        <w:snapToGrid w:val="0"/>
        <w:spacing w:before="0"/>
        <w:ind w:firstLine="0" w:firstLineChars="0"/>
        <w:rPr>
          <w:rFonts w:hint="eastAsia" w:ascii="宋体" w:hAnsi="宋体" w:cs="宋体"/>
          <w:b/>
          <w:color w:val="auto"/>
          <w:szCs w:val="24"/>
          <w:highlight w:val="none"/>
        </w:rPr>
      </w:pPr>
      <w:r>
        <w:rPr>
          <w:rFonts w:hint="eastAsia" w:ascii="宋体" w:hAnsi="宋体" w:cs="宋体"/>
          <w:b/>
          <w:color w:val="auto"/>
          <w:szCs w:val="24"/>
          <w:highlight w:val="none"/>
        </w:rPr>
        <w:t>23.成交通知与成交结果公告</w:t>
      </w:r>
    </w:p>
    <w:p w14:paraId="0D8C38D3">
      <w:pPr>
        <w:widowControl/>
        <w:shd w:val="clear" w:color="auto" w:fill="FFFFFF"/>
        <w:spacing w:line="360" w:lineRule="auto"/>
        <w:ind w:firstLine="480"/>
        <w:jc w:val="left"/>
        <w:rPr>
          <w:rFonts w:hint="eastAsia" w:ascii="宋体" w:hAnsi="宋体" w:cs="宋体"/>
          <w:color w:val="auto"/>
          <w:sz w:val="24"/>
          <w:highlight w:val="none"/>
        </w:rPr>
      </w:pPr>
      <w:r>
        <w:rPr>
          <w:rFonts w:hint="eastAsia" w:ascii="宋体" w:hAnsi="宋体" w:cs="宋体"/>
          <w:color w:val="auto"/>
          <w:sz w:val="24"/>
          <w:highlight w:val="none"/>
        </w:rPr>
        <w:t>23.1自成交供应商确定之日起1个工作日内，采购代理机构通过电子交易平台向成交供应商发出成交通知书，同时编制发布采购结果公告。采购代理机构也可以以纸质形式进行成交通知。</w:t>
      </w:r>
    </w:p>
    <w:p w14:paraId="576CA927">
      <w:pPr>
        <w:widowControl/>
        <w:shd w:val="clear" w:color="auto" w:fill="FFFFFF"/>
        <w:spacing w:line="360" w:lineRule="auto"/>
        <w:ind w:firstLine="480"/>
        <w:jc w:val="left"/>
        <w:rPr>
          <w:rFonts w:hint="eastAsia" w:ascii="宋体" w:hAnsi="宋体" w:cs="宋体"/>
          <w:color w:val="auto"/>
          <w:sz w:val="24"/>
          <w:highlight w:val="none"/>
        </w:rPr>
      </w:pPr>
      <w:r>
        <w:rPr>
          <w:rFonts w:hint="eastAsia" w:ascii="宋体" w:hAnsi="宋体" w:cs="宋体"/>
          <w:color w:val="auto"/>
          <w:sz w:val="24"/>
          <w:highlight w:val="none"/>
        </w:rPr>
        <w:t>23.2成交结果公告内容包括采购人及其委托的采购代理机构的名称、地址、联系方式，项目名称和项目编号，成交供应商名称、地址和成交金额，主要成交标的的名称、规格型号、数量、单价、服务要求，开标记录、资格审查情况、评审专家抽取规则、符合性审查情况、未成交情况说明、成交结果公告期限以及评审专家名单、评分汇总及明细。</w:t>
      </w:r>
    </w:p>
    <w:p w14:paraId="7EA22756">
      <w:pPr>
        <w:widowControl/>
        <w:shd w:val="clear" w:color="auto" w:fill="FFFFFF"/>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23.3公告期限为1个工作日。</w:t>
      </w:r>
    </w:p>
    <w:p w14:paraId="2DCC1D35">
      <w:pPr>
        <w:widowControl/>
        <w:shd w:val="clear" w:color="auto" w:fill="FFFFFF"/>
        <w:spacing w:line="360" w:lineRule="auto"/>
        <w:ind w:firstLine="480"/>
        <w:rPr>
          <w:rFonts w:hint="eastAsia" w:ascii="宋体" w:hAnsi="宋体" w:cs="宋体"/>
          <w:b/>
          <w:color w:val="auto"/>
          <w:sz w:val="32"/>
          <w:highlight w:val="none"/>
        </w:rPr>
      </w:pPr>
      <w:r>
        <w:rPr>
          <w:rFonts w:hint="eastAsia" w:ascii="宋体" w:hAnsi="宋体" w:cs="宋体"/>
          <w:bCs/>
          <w:color w:val="auto"/>
          <w:sz w:val="24"/>
          <w:highlight w:val="none"/>
        </w:rPr>
        <w:t>23.4由于成交供应商原因导致重新采购的，应当承担支付代理费和专家评审费等费用在内的赔偿责任。</w:t>
      </w:r>
    </w:p>
    <w:p w14:paraId="0A89439D">
      <w:pPr>
        <w:snapToGrid w:val="0"/>
        <w:spacing w:line="360" w:lineRule="auto"/>
        <w:jc w:val="center"/>
        <w:outlineLvl w:val="0"/>
        <w:rPr>
          <w:rFonts w:hint="eastAsia" w:ascii="宋体" w:hAnsi="宋体" w:cs="宋体"/>
          <w:b/>
          <w:color w:val="auto"/>
          <w:sz w:val="32"/>
          <w:szCs w:val="20"/>
          <w:highlight w:val="none"/>
        </w:rPr>
      </w:pPr>
      <w:bookmarkStart w:id="38" w:name="_Toc14181"/>
      <w:bookmarkStart w:id="39" w:name="_Toc6566"/>
      <w:r>
        <w:rPr>
          <w:rFonts w:hint="eastAsia" w:ascii="宋体" w:hAnsi="宋体" w:cs="宋体"/>
          <w:b/>
          <w:color w:val="auto"/>
          <w:sz w:val="32"/>
          <w:szCs w:val="20"/>
          <w:highlight w:val="none"/>
        </w:rPr>
        <w:t>七、合同授予</w:t>
      </w:r>
      <w:bookmarkEnd w:id="38"/>
      <w:bookmarkEnd w:id="39"/>
    </w:p>
    <w:p w14:paraId="4EF38AD7">
      <w:pPr>
        <w:pStyle w:val="26"/>
        <w:snapToGrid w:val="0"/>
        <w:spacing w:line="360" w:lineRule="auto"/>
        <w:ind w:left="479" w:hanging="479" w:hangingChars="199"/>
        <w:rPr>
          <w:rFonts w:hint="eastAsia" w:cs="宋体"/>
          <w:b/>
          <w:color w:val="auto"/>
          <w:highlight w:val="none"/>
        </w:rPr>
      </w:pPr>
      <w:r>
        <w:rPr>
          <w:rFonts w:hint="eastAsia" w:cs="宋体"/>
          <w:b/>
          <w:color w:val="auto"/>
          <w:highlight w:val="none"/>
        </w:rPr>
        <w:t>24.</w:t>
      </w:r>
      <w:r>
        <w:rPr>
          <w:rFonts w:hint="eastAsia" w:cs="宋体"/>
          <w:color w:val="auto"/>
          <w:highlight w:val="none"/>
        </w:rPr>
        <w:t>合同主要条款详见第五部分拟签订的合同文本。</w:t>
      </w:r>
    </w:p>
    <w:p w14:paraId="70224BC5">
      <w:pPr>
        <w:pStyle w:val="26"/>
        <w:snapToGrid w:val="0"/>
        <w:spacing w:line="360" w:lineRule="auto"/>
        <w:ind w:left="479" w:hanging="479" w:hangingChars="199"/>
        <w:rPr>
          <w:rFonts w:hint="eastAsia" w:cs="宋体"/>
          <w:b/>
          <w:color w:val="auto"/>
          <w:highlight w:val="none"/>
        </w:rPr>
      </w:pPr>
      <w:r>
        <w:rPr>
          <w:rFonts w:hint="eastAsia" w:cs="宋体"/>
          <w:b/>
          <w:color w:val="auto"/>
          <w:highlight w:val="none"/>
        </w:rPr>
        <w:t>25.合同的签订</w:t>
      </w:r>
    </w:p>
    <w:p w14:paraId="6EC1B375">
      <w:pPr>
        <w:widowControl/>
        <w:shd w:val="clear" w:color="auto" w:fill="FFFFFF"/>
        <w:snapToGrid w:val="0"/>
        <w:spacing w:line="360" w:lineRule="auto"/>
        <w:ind w:firstLine="480"/>
        <w:jc w:val="left"/>
        <w:rPr>
          <w:rFonts w:hint="eastAsia" w:ascii="宋体" w:hAnsi="宋体" w:cs="宋体"/>
          <w:color w:val="auto"/>
          <w:kern w:val="0"/>
          <w:sz w:val="24"/>
          <w:highlight w:val="none"/>
        </w:rPr>
      </w:pPr>
      <w:r>
        <w:rPr>
          <w:rFonts w:hint="eastAsia" w:ascii="宋体" w:hAnsi="宋体" w:cs="宋体"/>
          <w:color w:val="auto"/>
          <w:sz w:val="24"/>
          <w:highlight w:val="none"/>
        </w:rPr>
        <w:t>25.1</w:t>
      </w:r>
      <w:r>
        <w:rPr>
          <w:rFonts w:hint="eastAsia" w:ascii="宋体" w:hAnsi="宋体" w:cs="宋体"/>
          <w:color w:val="auto"/>
          <w:kern w:val="0"/>
          <w:sz w:val="24"/>
          <w:highlight w:val="none"/>
        </w:rPr>
        <w:t xml:space="preserve"> 采购人与成交供应商应当通过电子交易平台在成交通知书发出之日起三十日内，按照采购文件确定的事项签订政府采购合同，并在签订之日起2个工作日内将政府采购合同在浙江政府采购网上公告。鼓励有条件的采购人视情缩减采购合同签订时限，提高采购效率，杜绝“冷、硬、横、推”等不当行为。除不可抗力等特殊情况外，原则上应当在成交通知书发出之日起10个工作日内，与成交供应商按照采购文件确定的事项签订政府采购合同。</w:t>
      </w:r>
    </w:p>
    <w:p w14:paraId="180E891E">
      <w:pPr>
        <w:pStyle w:val="133"/>
        <w:snapToGrid w:val="0"/>
        <w:spacing w:before="0"/>
        <w:ind w:firstLine="480"/>
        <w:rPr>
          <w:rFonts w:hint="eastAsia" w:ascii="宋体" w:hAnsi="宋体" w:cs="宋体"/>
          <w:color w:val="auto"/>
          <w:kern w:val="0"/>
          <w:highlight w:val="none"/>
        </w:rPr>
      </w:pPr>
      <w:r>
        <w:rPr>
          <w:rFonts w:hint="eastAsia" w:ascii="宋体" w:hAnsi="宋体" w:cs="宋体"/>
          <w:color w:val="auto"/>
          <w:kern w:val="0"/>
          <w:highlight w:val="none"/>
          <w:lang w:val="zh-CN"/>
        </w:rPr>
        <w:t>25.2成交供应商按规定的日期、时间、地点，由法定代表人或其授权代表与采购人代表签订合同。如成交供应商为联合体的，由联合体成员各方法定代表人或其授权代表与采购人代表签订合同。</w:t>
      </w:r>
    </w:p>
    <w:p w14:paraId="00AEEFE3">
      <w:pPr>
        <w:pStyle w:val="133"/>
        <w:snapToGrid w:val="0"/>
        <w:spacing w:before="0"/>
        <w:ind w:firstLine="480"/>
        <w:rPr>
          <w:rFonts w:hint="eastAsia" w:ascii="宋体" w:hAnsi="宋体" w:cs="宋体"/>
          <w:color w:val="auto"/>
          <w:highlight w:val="none"/>
        </w:rPr>
      </w:pPr>
      <w:r>
        <w:rPr>
          <w:rFonts w:hint="eastAsia" w:ascii="宋体" w:hAnsi="宋体" w:cs="宋体"/>
          <w:color w:val="auto"/>
          <w:highlight w:val="none"/>
        </w:rPr>
        <w:t>25.3如签订合同并生效后，供应商无故拒绝或延期，除按照合同条款处理外，列入不良行为记录一次，并给予通报。</w:t>
      </w:r>
    </w:p>
    <w:p w14:paraId="52357C7B">
      <w:pPr>
        <w:pStyle w:val="133"/>
        <w:snapToGrid w:val="0"/>
        <w:spacing w:before="0"/>
        <w:ind w:firstLine="480"/>
        <w:rPr>
          <w:rFonts w:hint="eastAsia" w:ascii="宋体" w:hAnsi="宋体" w:cs="宋体"/>
          <w:color w:val="auto"/>
          <w:highlight w:val="none"/>
        </w:rPr>
      </w:pPr>
      <w:r>
        <w:rPr>
          <w:rFonts w:hint="eastAsia" w:ascii="宋体" w:hAnsi="宋体" w:cs="宋体"/>
          <w:color w:val="auto"/>
          <w:highlight w:val="none"/>
        </w:rPr>
        <w:t>25.4成交供应商拒绝与采购人签订合同的，采购人可以按照评审报告推荐的成交候选人名单排序，确定下一候选人为成交供应商，也可以重新开展政府采购活动。拒绝与采购人签订合同的成交供应商应承担采购代理服务费、评审专家劳务报酬等相关费用。</w:t>
      </w:r>
    </w:p>
    <w:p w14:paraId="68F54A2E">
      <w:pPr>
        <w:pStyle w:val="133"/>
        <w:snapToGrid w:val="0"/>
        <w:spacing w:before="0"/>
        <w:ind w:firstLine="480"/>
        <w:rPr>
          <w:rFonts w:hint="eastAsia" w:ascii="宋体" w:hAnsi="宋体" w:cs="宋体"/>
          <w:color w:val="auto"/>
          <w:highlight w:val="none"/>
        </w:rPr>
      </w:pPr>
      <w:r>
        <w:rPr>
          <w:rFonts w:hint="eastAsia" w:ascii="宋体" w:hAnsi="宋体" w:cs="宋体"/>
          <w:color w:val="auto"/>
          <w:highlight w:val="none"/>
        </w:rPr>
        <w:t>25.5采购合同由采购人与成交供应商根据采购文件、响应文件等内容通过政府采购电子交易平台在线签订，自动备案。</w:t>
      </w:r>
    </w:p>
    <w:p w14:paraId="252BC7AA">
      <w:pPr>
        <w:pStyle w:val="26"/>
        <w:snapToGrid w:val="0"/>
        <w:spacing w:line="360" w:lineRule="auto"/>
        <w:ind w:left="479" w:hanging="479" w:hangingChars="199"/>
        <w:rPr>
          <w:rFonts w:hint="eastAsia" w:cs="宋体"/>
          <w:b/>
          <w:color w:val="auto"/>
          <w:highlight w:val="none"/>
        </w:rPr>
      </w:pPr>
      <w:r>
        <w:rPr>
          <w:rFonts w:hint="eastAsia" w:cs="宋体"/>
          <w:b/>
          <w:color w:val="auto"/>
          <w:highlight w:val="none"/>
        </w:rPr>
        <w:t>26.履约保证金</w:t>
      </w:r>
    </w:p>
    <w:p w14:paraId="1B978F64">
      <w:pPr>
        <w:tabs>
          <w:tab w:val="left" w:pos="0"/>
        </w:tabs>
        <w:snapToGrid w:val="0"/>
        <w:spacing w:line="360" w:lineRule="auto"/>
        <w:ind w:firstLine="482"/>
        <w:rPr>
          <w:rFonts w:hint="eastAsia" w:ascii="宋体" w:hAnsi="宋体" w:cs="宋体"/>
          <w:color w:val="auto"/>
          <w:sz w:val="24"/>
          <w:highlight w:val="none"/>
        </w:rPr>
      </w:pPr>
      <w:r>
        <w:rPr>
          <w:rFonts w:hint="eastAsia" w:ascii="宋体" w:hAnsi="宋体" w:cs="宋体"/>
          <w:color w:val="auto"/>
          <w:kern w:val="0"/>
          <w:sz w:val="24"/>
          <w:highlight w:val="none"/>
        </w:rPr>
        <w:t>拟签订的合同文本要求成交供应商提交履约保证金的，供应商应当以支票、汇票、本票或者金融机构、担保机构出具的保函等非现金形式提交</w:t>
      </w:r>
      <w:r>
        <w:rPr>
          <w:rFonts w:hint="eastAsia" w:ascii="宋体" w:hAnsi="宋体" w:cs="宋体"/>
          <w:color w:val="auto"/>
          <w:sz w:val="24"/>
          <w:highlight w:val="none"/>
        </w:rPr>
        <w:t>。杭州市政府采购网公布的供应商履约评价为满分的供应商，采购单位应当免收履约保证金。确需收取履约保证金的，履约保证金缴纳最高比例由不超过合同金额的</w:t>
      </w:r>
      <w:r>
        <w:rPr>
          <w:rFonts w:ascii="宋体" w:hAnsi="宋体" w:cs="宋体"/>
          <w:color w:val="auto"/>
          <w:sz w:val="24"/>
          <w:highlight w:val="none"/>
        </w:rPr>
        <w:t>1%</w:t>
      </w:r>
      <w:r>
        <w:rPr>
          <w:rFonts w:hint="eastAsia" w:ascii="宋体" w:hAnsi="宋体" w:cs="宋体"/>
          <w:color w:val="auto"/>
          <w:sz w:val="24"/>
          <w:highlight w:val="none"/>
        </w:rPr>
        <w:t>，鼓励根据项目特点、供应商诚信等因素免收履约保证金或降低缴纳比例。采购单位鼓励供应商采取履约保函形式提供信用保证；供应商提供保函的，采购单位不得拒收。项目验收结束后应及时退还，</w:t>
      </w:r>
      <w:r>
        <w:rPr>
          <w:rFonts w:ascii="宋体" w:hAnsi="宋体" w:cs="宋体"/>
          <w:color w:val="auto"/>
          <w:sz w:val="24"/>
          <w:highlight w:val="none"/>
        </w:rPr>
        <w:t>延迟退还的，应当按照合同约定和法律规定承担相应的赔偿责任</w:t>
      </w:r>
      <w:r>
        <w:rPr>
          <w:rFonts w:hint="eastAsia" w:ascii="宋体" w:hAnsi="宋体" w:cs="宋体"/>
          <w:color w:val="auto"/>
          <w:sz w:val="24"/>
          <w:highlight w:val="none"/>
        </w:rPr>
        <w:t>。</w:t>
      </w:r>
    </w:p>
    <w:p w14:paraId="20649F82">
      <w:pPr>
        <w:pStyle w:val="6"/>
        <w:snapToGrid w:val="0"/>
        <w:ind w:left="0" w:firstLine="480" w:firstLineChars="200"/>
        <w:rPr>
          <w:rFonts w:hint="eastAsia" w:ascii="宋体" w:hAnsi="宋体" w:eastAsia="宋体" w:cs="宋体"/>
          <w:b w:val="0"/>
          <w:bCs w:val="0"/>
          <w:snapToGrid w:val="0"/>
          <w:color w:val="auto"/>
          <w:kern w:val="28"/>
          <w:sz w:val="24"/>
          <w:highlight w:val="none"/>
        </w:rPr>
      </w:pPr>
      <w:r>
        <w:rPr>
          <w:rFonts w:hint="eastAsia" w:ascii="宋体" w:hAnsi="宋体" w:eastAsia="宋体" w:cs="宋体"/>
          <w:b w:val="0"/>
          <w:bCs w:val="0"/>
          <w:snapToGrid w:val="0"/>
          <w:color w:val="auto"/>
          <w:kern w:val="28"/>
          <w:sz w:val="24"/>
          <w:highlight w:val="none"/>
        </w:rPr>
        <w:t>供应商可登录杭州市教育局非依法招标</w:t>
      </w:r>
      <w:r>
        <w:rPr>
          <w:rFonts w:hint="eastAsia" w:ascii="宋体" w:hAnsi="宋体" w:eastAsia="宋体" w:cs="宋体"/>
          <w:b w:val="0"/>
          <w:bCs w:val="0"/>
          <w:snapToGrid w:val="0"/>
          <w:color w:val="auto"/>
          <w:kern w:val="28"/>
          <w:sz w:val="24"/>
          <w:highlight w:val="none"/>
          <w:lang w:val="en-US"/>
        </w:rPr>
        <w:t>(</w:t>
      </w:r>
      <w:r>
        <w:rPr>
          <w:rFonts w:hint="eastAsia" w:ascii="宋体" w:hAnsi="宋体" w:eastAsia="宋体" w:cs="宋体"/>
          <w:b w:val="0"/>
          <w:bCs w:val="0"/>
          <w:snapToGrid w:val="0"/>
          <w:color w:val="auto"/>
          <w:kern w:val="28"/>
          <w:sz w:val="24"/>
          <w:highlight w:val="none"/>
        </w:rPr>
        <w:t>小额</w:t>
      </w:r>
      <w:r>
        <w:rPr>
          <w:rFonts w:hint="eastAsia" w:ascii="宋体" w:hAnsi="宋体" w:eastAsia="宋体" w:cs="宋体"/>
          <w:b w:val="0"/>
          <w:bCs w:val="0"/>
          <w:snapToGrid w:val="0"/>
          <w:color w:val="auto"/>
          <w:kern w:val="28"/>
          <w:sz w:val="24"/>
          <w:highlight w:val="none"/>
          <w:lang w:val="en-US"/>
        </w:rPr>
        <w:t>)</w:t>
      </w:r>
      <w:r>
        <w:rPr>
          <w:rFonts w:hint="eastAsia" w:ascii="宋体" w:hAnsi="宋体" w:eastAsia="宋体" w:cs="宋体"/>
          <w:b w:val="0"/>
          <w:bCs w:val="0"/>
          <w:snapToGrid w:val="0"/>
          <w:color w:val="auto"/>
          <w:kern w:val="28"/>
          <w:sz w:val="24"/>
          <w:highlight w:val="none"/>
        </w:rPr>
        <w:t>项目采购平台</w:t>
      </w:r>
      <w:r>
        <w:rPr>
          <w:rFonts w:hint="eastAsia" w:ascii="宋体" w:hAnsi="宋体" w:eastAsia="宋体" w:cs="宋体"/>
          <w:b w:val="0"/>
          <w:bCs w:val="0"/>
          <w:snapToGrid w:val="0"/>
          <w:color w:val="auto"/>
          <w:kern w:val="28"/>
          <w:sz w:val="24"/>
          <w:highlight w:val="none"/>
          <w:lang w:val="en-US"/>
        </w:rPr>
        <w:t>（https://hzjyg.lecaiyun.com/）-</w:t>
      </w:r>
      <w:r>
        <w:rPr>
          <w:rFonts w:hint="eastAsia" w:ascii="宋体" w:hAnsi="宋体" w:eastAsia="宋体" w:cs="宋体"/>
          <w:b w:val="0"/>
          <w:bCs w:val="0"/>
          <w:snapToGrid w:val="0"/>
          <w:color w:val="auto"/>
          <w:kern w:val="28"/>
          <w:sz w:val="24"/>
          <w:highlight w:val="none"/>
        </w:rPr>
        <w:t>【金融服务】</w:t>
      </w:r>
      <w:r>
        <w:rPr>
          <w:rFonts w:hint="eastAsia" w:ascii="宋体" w:hAnsi="宋体" w:eastAsia="宋体" w:cs="宋体"/>
          <w:b w:val="0"/>
          <w:bCs w:val="0"/>
          <w:snapToGrid w:val="0"/>
          <w:color w:val="auto"/>
          <w:kern w:val="28"/>
          <w:sz w:val="24"/>
          <w:highlight w:val="none"/>
          <w:lang w:val="en-US"/>
        </w:rPr>
        <w:t>—</w:t>
      </w:r>
      <w:r>
        <w:rPr>
          <w:rFonts w:hint="eastAsia" w:ascii="宋体" w:hAnsi="宋体" w:eastAsia="宋体" w:cs="宋体"/>
          <w:b w:val="0"/>
          <w:bCs w:val="0"/>
          <w:snapToGrid w:val="0"/>
          <w:color w:val="auto"/>
          <w:kern w:val="28"/>
          <w:sz w:val="24"/>
          <w:highlight w:val="none"/>
        </w:rPr>
        <w:t>【我的项目】</w:t>
      </w:r>
      <w:r>
        <w:rPr>
          <w:rFonts w:hint="eastAsia" w:ascii="宋体" w:hAnsi="宋体" w:eastAsia="宋体" w:cs="宋体"/>
          <w:b w:val="0"/>
          <w:bCs w:val="0"/>
          <w:snapToGrid w:val="0"/>
          <w:color w:val="auto"/>
          <w:kern w:val="28"/>
          <w:sz w:val="24"/>
          <w:highlight w:val="none"/>
          <w:lang w:val="en-US"/>
        </w:rPr>
        <w:t>—</w:t>
      </w:r>
      <w:r>
        <w:rPr>
          <w:rFonts w:hint="eastAsia" w:ascii="宋体" w:hAnsi="宋体" w:eastAsia="宋体" w:cs="宋体"/>
          <w:b w:val="0"/>
          <w:bCs w:val="0"/>
          <w:snapToGrid w:val="0"/>
          <w:color w:val="auto"/>
          <w:kern w:val="28"/>
          <w:sz w:val="24"/>
          <w:highlight w:val="none"/>
        </w:rPr>
        <w:t>【已备案合同】以保函形式提供</w:t>
      </w:r>
      <w:r>
        <w:rPr>
          <w:rFonts w:hint="eastAsia" w:ascii="宋体" w:hAnsi="宋体" w:eastAsia="宋体" w:cs="宋体"/>
          <w:b w:val="0"/>
          <w:bCs w:val="0"/>
          <w:snapToGrid w:val="0"/>
          <w:color w:val="auto"/>
          <w:kern w:val="28"/>
          <w:sz w:val="24"/>
          <w:highlight w:val="none"/>
          <w:lang w:val="en-US"/>
        </w:rPr>
        <w:t>：1</w:t>
      </w:r>
      <w:r>
        <w:rPr>
          <w:rFonts w:hint="eastAsia" w:ascii="宋体" w:hAnsi="宋体" w:eastAsia="宋体" w:cs="宋体"/>
          <w:b w:val="0"/>
          <w:bCs w:val="0"/>
          <w:snapToGrid w:val="0"/>
          <w:color w:val="auto"/>
          <w:kern w:val="28"/>
          <w:sz w:val="24"/>
          <w:highlight w:val="none"/>
        </w:rPr>
        <w:t>、供应商在合同列表选择需要投保的合同</w:t>
      </w:r>
      <w:r>
        <w:rPr>
          <w:rFonts w:hint="eastAsia" w:ascii="宋体" w:hAnsi="宋体" w:eastAsia="宋体" w:cs="宋体"/>
          <w:b w:val="0"/>
          <w:bCs w:val="0"/>
          <w:snapToGrid w:val="0"/>
          <w:color w:val="auto"/>
          <w:kern w:val="28"/>
          <w:sz w:val="24"/>
          <w:highlight w:val="none"/>
          <w:lang w:val="en-US"/>
        </w:rPr>
        <w:t>，</w:t>
      </w:r>
      <w:r>
        <w:rPr>
          <w:rFonts w:hint="eastAsia" w:ascii="宋体" w:hAnsi="宋体" w:eastAsia="宋体" w:cs="宋体"/>
          <w:b w:val="0"/>
          <w:bCs w:val="0"/>
          <w:snapToGrid w:val="0"/>
          <w:color w:val="auto"/>
          <w:kern w:val="28"/>
          <w:sz w:val="24"/>
          <w:highlight w:val="none"/>
        </w:rPr>
        <w:t>点击</w:t>
      </w:r>
      <w:r>
        <w:rPr>
          <w:rFonts w:hint="eastAsia" w:ascii="宋体" w:hAnsi="宋体" w:eastAsia="宋体" w:cs="宋体"/>
          <w:b w:val="0"/>
          <w:bCs w:val="0"/>
          <w:snapToGrid w:val="0"/>
          <w:color w:val="auto"/>
          <w:kern w:val="28"/>
          <w:sz w:val="24"/>
          <w:highlight w:val="none"/>
          <w:lang w:val="en-US"/>
        </w:rPr>
        <w:t>[</w:t>
      </w:r>
      <w:r>
        <w:rPr>
          <w:rFonts w:hint="eastAsia" w:ascii="宋体" w:hAnsi="宋体" w:eastAsia="宋体" w:cs="宋体"/>
          <w:b w:val="0"/>
          <w:bCs w:val="0"/>
          <w:snapToGrid w:val="0"/>
          <w:color w:val="auto"/>
          <w:kern w:val="28"/>
          <w:sz w:val="24"/>
          <w:highlight w:val="none"/>
        </w:rPr>
        <w:t>保函推荐</w:t>
      </w:r>
      <w:r>
        <w:rPr>
          <w:rFonts w:hint="eastAsia" w:ascii="宋体" w:hAnsi="宋体" w:eastAsia="宋体" w:cs="宋体"/>
          <w:b w:val="0"/>
          <w:bCs w:val="0"/>
          <w:snapToGrid w:val="0"/>
          <w:color w:val="auto"/>
          <w:kern w:val="28"/>
          <w:sz w:val="24"/>
          <w:highlight w:val="none"/>
          <w:lang w:val="en-US"/>
        </w:rPr>
        <w:t>]</w:t>
      </w:r>
      <w:r>
        <w:rPr>
          <w:rFonts w:hint="eastAsia" w:ascii="宋体" w:hAnsi="宋体" w:eastAsia="宋体" w:cs="宋体"/>
          <w:b w:val="0"/>
          <w:bCs w:val="0"/>
          <w:snapToGrid w:val="0"/>
          <w:color w:val="auto"/>
          <w:kern w:val="28"/>
          <w:sz w:val="24"/>
          <w:highlight w:val="none"/>
        </w:rPr>
        <w:t>。2、在弹框里查看推荐的保函产品，供应商自行选择保函产品，点击[立即申请]。3、在弹框里填写保函申请信息。具体步骤：选择产品—填写供应商信息—选择中标项目—确认信息—等待保险/保函受理—确认保单—支付保费—成功出单。政采云金融专线400-903-9583。</w:t>
      </w:r>
    </w:p>
    <w:p w14:paraId="4F481033">
      <w:pPr>
        <w:pStyle w:val="6"/>
        <w:rPr>
          <w:rFonts w:hint="eastAsia"/>
          <w:color w:val="auto"/>
          <w:highlight w:val="none"/>
        </w:rPr>
      </w:pPr>
      <w:r>
        <w:rPr>
          <w:rFonts w:ascii="宋体" w:hAnsi="宋体" w:eastAsia="宋体"/>
          <w:color w:val="auto"/>
          <w:sz w:val="24"/>
          <w:highlight w:val="none"/>
          <w:lang w:val="en-US"/>
        </w:rPr>
        <w:t>27.预付款</w:t>
      </w:r>
    </w:p>
    <w:p w14:paraId="1AA2436E">
      <w:pPr>
        <w:adjustRightInd/>
        <w:spacing w:line="360" w:lineRule="auto"/>
        <w:ind w:firstLine="480" w:firstLineChars="200"/>
        <w:rPr>
          <w:color w:val="auto"/>
          <w:highlight w:val="none"/>
        </w:rPr>
      </w:pPr>
      <w:r>
        <w:rPr>
          <w:rFonts w:hint="eastAsia" w:ascii="宋体" w:hAnsi="宋体"/>
          <w:color w:val="auto"/>
          <w:sz w:val="24"/>
          <w:highlight w:val="none"/>
        </w:rPr>
        <w:t>采购单位应当在政府采购合同中约定预付款，对中小企业合同预付款比例原则上不低于合同金额的</w:t>
      </w:r>
      <w:r>
        <w:rPr>
          <w:rFonts w:ascii="宋体" w:hAnsi="宋体"/>
          <w:color w:val="auto"/>
          <w:sz w:val="24"/>
          <w:highlight w:val="none"/>
        </w:rPr>
        <w:t>40％</w:t>
      </w:r>
      <w:r>
        <w:rPr>
          <w:rFonts w:hint="eastAsia" w:ascii="宋体" w:hAnsi="宋体"/>
          <w:color w:val="auto"/>
          <w:sz w:val="24"/>
          <w:highlight w:val="none"/>
        </w:rPr>
        <w:t>，不高于合同金额的</w:t>
      </w:r>
      <w:r>
        <w:rPr>
          <w:rFonts w:ascii="宋体" w:hAnsi="宋体"/>
          <w:color w:val="auto"/>
          <w:sz w:val="24"/>
          <w:highlight w:val="none"/>
        </w:rPr>
        <w:t>70%；项目分年安排预算的，每年预付款比例</w:t>
      </w:r>
      <w:r>
        <w:rPr>
          <w:rFonts w:hint="eastAsia" w:ascii="宋体" w:hAnsi="宋体"/>
          <w:color w:val="auto"/>
          <w:sz w:val="24"/>
          <w:highlight w:val="none"/>
        </w:rPr>
        <w:t>不低于</w:t>
      </w:r>
      <w:r>
        <w:rPr>
          <w:rFonts w:ascii="宋体" w:hAnsi="宋体"/>
          <w:color w:val="auto"/>
          <w:sz w:val="24"/>
          <w:highlight w:val="none"/>
        </w:rPr>
        <w:t>项目年度计划支付资金额的40％</w:t>
      </w:r>
      <w:r>
        <w:rPr>
          <w:rFonts w:hint="eastAsia" w:ascii="宋体" w:hAnsi="宋体"/>
          <w:color w:val="auto"/>
          <w:sz w:val="24"/>
          <w:highlight w:val="none"/>
        </w:rPr>
        <w:t>，不高于合同金额的</w:t>
      </w:r>
      <w:r>
        <w:rPr>
          <w:rFonts w:ascii="宋体" w:hAnsi="宋体"/>
          <w:color w:val="auto"/>
          <w:sz w:val="24"/>
          <w:highlight w:val="none"/>
        </w:rPr>
        <w:t>70%；采购项目实施以人工投入为主的，</w:t>
      </w:r>
      <w:r>
        <w:rPr>
          <w:rFonts w:hint="eastAsia" w:ascii="宋体" w:hAnsi="宋体"/>
          <w:color w:val="auto"/>
          <w:sz w:val="24"/>
          <w:highlight w:val="none"/>
        </w:rPr>
        <w:t>可适当降低预付款比例，但不得低于</w:t>
      </w:r>
      <w:r>
        <w:rPr>
          <w:rFonts w:ascii="宋体" w:hAnsi="宋体"/>
          <w:color w:val="auto"/>
          <w:sz w:val="24"/>
          <w:highlight w:val="none"/>
        </w:rPr>
        <w:t>20%。对供应商为大型企业的项目或者以人工投入为主且实行按月定期结算支付款项的项目，预付款可低于上述比例或者不约定预付款。在签订合同时，</w:t>
      </w:r>
      <w:r>
        <w:rPr>
          <w:rFonts w:hint="eastAsia" w:ascii="宋体" w:hAnsi="宋体"/>
          <w:color w:val="auto"/>
          <w:sz w:val="24"/>
          <w:highlight w:val="none"/>
        </w:rPr>
        <w:t>供应商</w:t>
      </w:r>
      <w:r>
        <w:rPr>
          <w:rFonts w:ascii="宋体" w:hAnsi="宋体"/>
          <w:color w:val="auto"/>
          <w:sz w:val="24"/>
          <w:highlight w:val="none"/>
        </w:rPr>
        <w:t>明确表示无需预付款或者主动要求降低预付款比例的，</w:t>
      </w:r>
      <w:r>
        <w:rPr>
          <w:rFonts w:hint="eastAsia" w:ascii="宋体" w:hAnsi="宋体"/>
          <w:color w:val="auto"/>
          <w:sz w:val="24"/>
          <w:highlight w:val="none"/>
        </w:rPr>
        <w:t>采购单位</w:t>
      </w:r>
      <w:r>
        <w:rPr>
          <w:rFonts w:ascii="宋体" w:hAnsi="宋体"/>
          <w:color w:val="auto"/>
          <w:sz w:val="24"/>
          <w:highlight w:val="none"/>
        </w:rPr>
        <w:t>可不适用前述规定。</w:t>
      </w:r>
      <w:r>
        <w:rPr>
          <w:rFonts w:hint="eastAsia" w:ascii="宋体" w:hAnsi="宋体"/>
          <w:color w:val="auto"/>
          <w:sz w:val="24"/>
          <w:highlight w:val="none"/>
        </w:rPr>
        <w:t>采购单位</w:t>
      </w:r>
      <w:r>
        <w:rPr>
          <w:rFonts w:ascii="宋体" w:hAnsi="宋体"/>
          <w:color w:val="auto"/>
          <w:sz w:val="24"/>
          <w:highlight w:val="none"/>
        </w:rPr>
        <w:t>根据项目特点、供应商诚信等因素，可以要求</w:t>
      </w:r>
      <w:r>
        <w:rPr>
          <w:rFonts w:hint="eastAsia" w:ascii="宋体" w:hAnsi="宋体"/>
          <w:color w:val="auto"/>
          <w:sz w:val="24"/>
          <w:highlight w:val="none"/>
        </w:rPr>
        <w:t>供应商</w:t>
      </w:r>
      <w:r>
        <w:rPr>
          <w:rFonts w:ascii="宋体" w:hAnsi="宋体"/>
          <w:color w:val="auto"/>
          <w:sz w:val="24"/>
          <w:highlight w:val="none"/>
        </w:rPr>
        <w:t>提交银行、保险公司等金融机构出具的预付款保函或其他担保措施。政府采购预付款应在合同生效以及具备实施条件后</w:t>
      </w:r>
      <w:r>
        <w:rPr>
          <w:rFonts w:hint="eastAsia" w:ascii="宋体" w:hAnsi="宋体"/>
          <w:color w:val="auto"/>
          <w:sz w:val="24"/>
          <w:highlight w:val="none"/>
        </w:rPr>
        <w:t>7</w:t>
      </w:r>
      <w:r>
        <w:rPr>
          <w:rFonts w:ascii="宋体" w:hAnsi="宋体"/>
          <w:color w:val="auto"/>
          <w:sz w:val="24"/>
          <w:highlight w:val="none"/>
        </w:rPr>
        <w:t>个工作日内支付。</w:t>
      </w:r>
      <w:r>
        <w:rPr>
          <w:rFonts w:hint="eastAsia" w:ascii="宋体" w:hAnsi="宋体"/>
          <w:color w:val="auto"/>
          <w:sz w:val="24"/>
          <w:highlight w:val="none"/>
        </w:rPr>
        <w:t>政府采购工程以及与工程建设有关的货物、服务，采用招标方式采购的，预付款从其相关规定。供应商可登录政采云前台大厅选择金融服务</w:t>
      </w:r>
      <w:r>
        <w:rPr>
          <w:rFonts w:ascii="宋体" w:hAnsi="宋体"/>
          <w:color w:val="auto"/>
          <w:sz w:val="24"/>
          <w:highlight w:val="none"/>
        </w:rPr>
        <w:t xml:space="preserve"> - </w:t>
      </w:r>
      <w:r>
        <w:rPr>
          <w:rFonts w:hint="eastAsia" w:ascii="宋体" w:hAnsi="宋体"/>
          <w:color w:val="auto"/>
          <w:sz w:val="24"/>
          <w:highlight w:val="none"/>
        </w:rPr>
        <w:t>【保函保险服务】出具预付款保函，具体步骤：选择产品—填写供应商信息—选择中标项目—确认信息—等待保险</w:t>
      </w:r>
      <w:r>
        <w:rPr>
          <w:rFonts w:ascii="宋体" w:hAnsi="宋体"/>
          <w:color w:val="auto"/>
          <w:sz w:val="24"/>
          <w:highlight w:val="none"/>
        </w:rPr>
        <w:t>/保函受理—确认保单—支付保费—成功出单。政</w:t>
      </w:r>
      <w:r>
        <w:rPr>
          <w:rFonts w:hint="eastAsia" w:ascii="宋体" w:hAnsi="宋体"/>
          <w:color w:val="auto"/>
          <w:sz w:val="24"/>
          <w:highlight w:val="none"/>
        </w:rPr>
        <w:t>采云金融专线</w:t>
      </w:r>
      <w:r>
        <w:rPr>
          <w:rFonts w:ascii="宋体" w:hAnsi="宋体"/>
          <w:color w:val="auto"/>
          <w:sz w:val="24"/>
          <w:highlight w:val="none"/>
        </w:rPr>
        <w:t>400-903-9583。</w:t>
      </w:r>
    </w:p>
    <w:p w14:paraId="5E0190B3">
      <w:pPr>
        <w:rPr>
          <w:color w:val="auto"/>
          <w:highlight w:val="none"/>
        </w:rPr>
      </w:pPr>
    </w:p>
    <w:p w14:paraId="7D1916A3">
      <w:pPr>
        <w:snapToGrid w:val="0"/>
        <w:spacing w:line="360" w:lineRule="auto"/>
        <w:jc w:val="center"/>
        <w:outlineLvl w:val="0"/>
        <w:rPr>
          <w:rFonts w:hint="eastAsia" w:ascii="宋体" w:hAnsi="宋体" w:cs="宋体"/>
          <w:b/>
          <w:color w:val="auto"/>
          <w:sz w:val="32"/>
          <w:szCs w:val="20"/>
          <w:highlight w:val="none"/>
        </w:rPr>
      </w:pPr>
      <w:bookmarkStart w:id="40" w:name="_Toc10166"/>
      <w:bookmarkStart w:id="41" w:name="_Toc25981"/>
      <w:r>
        <w:rPr>
          <w:rFonts w:hint="eastAsia" w:ascii="宋体" w:hAnsi="宋体" w:cs="宋体"/>
          <w:b/>
          <w:color w:val="auto"/>
          <w:sz w:val="32"/>
          <w:szCs w:val="20"/>
          <w:highlight w:val="none"/>
        </w:rPr>
        <w:t>八、电子交易活动的中止</w:t>
      </w:r>
      <w:bookmarkEnd w:id="40"/>
      <w:bookmarkEnd w:id="41"/>
    </w:p>
    <w:p w14:paraId="468675D5">
      <w:pPr>
        <w:pStyle w:val="133"/>
        <w:snapToGrid w:val="0"/>
        <w:spacing w:before="0"/>
        <w:ind w:firstLine="0" w:firstLineChars="0"/>
        <w:rPr>
          <w:rFonts w:hint="eastAsia" w:ascii="宋体" w:hAnsi="宋体" w:cs="宋体"/>
          <w:color w:val="auto"/>
          <w:highlight w:val="none"/>
        </w:rPr>
      </w:pPr>
      <w:r>
        <w:rPr>
          <w:rFonts w:ascii="宋体" w:hAnsi="宋体" w:cs="宋体"/>
          <w:b/>
          <w:bCs/>
          <w:color w:val="auto"/>
          <w:highlight w:val="none"/>
        </w:rPr>
        <w:t>2</w:t>
      </w:r>
      <w:r>
        <w:rPr>
          <w:rFonts w:ascii="宋体" w:hAnsi="宋体" w:cs="宋体"/>
          <w:b/>
          <w:bCs/>
          <w:color w:val="auto"/>
          <w:szCs w:val="24"/>
          <w:highlight w:val="none"/>
        </w:rPr>
        <w:t>8</w:t>
      </w:r>
      <w:r>
        <w:rPr>
          <w:rFonts w:hint="eastAsia" w:ascii="宋体" w:hAnsi="宋体" w:cs="宋体"/>
          <w:b/>
          <w:color w:val="auto"/>
          <w:szCs w:val="24"/>
          <w:highlight w:val="none"/>
        </w:rPr>
        <w:t>.电子交易活动的中止。</w:t>
      </w:r>
      <w:r>
        <w:rPr>
          <w:rFonts w:hint="eastAsia" w:ascii="宋体" w:hAnsi="宋体" w:cs="宋体"/>
          <w:color w:val="auto"/>
          <w:highlight w:val="none"/>
        </w:rPr>
        <w:t>采购过程中出现以下情形，导致电子交易平台无法正常运行，或者无法保证电子交易的公平、公正和安全时，采购代理机构可中止电子交易活动：</w:t>
      </w:r>
    </w:p>
    <w:p w14:paraId="2F6347B8">
      <w:pPr>
        <w:pStyle w:val="133"/>
        <w:snapToGrid w:val="0"/>
        <w:spacing w:before="0"/>
        <w:ind w:firstLine="480"/>
        <w:rPr>
          <w:rFonts w:hint="eastAsia" w:ascii="宋体" w:hAnsi="宋体" w:cs="宋体"/>
          <w:color w:val="auto"/>
          <w:highlight w:val="none"/>
        </w:rPr>
      </w:pPr>
      <w:r>
        <w:rPr>
          <w:rFonts w:hint="eastAsia" w:ascii="宋体" w:hAnsi="宋体" w:cs="宋体"/>
          <w:color w:val="auto"/>
          <w:highlight w:val="none"/>
        </w:rPr>
        <w:t xml:space="preserve">28.1电子交易平台发生故障而无法登录访问的； </w:t>
      </w:r>
    </w:p>
    <w:p w14:paraId="0EC3216F">
      <w:pPr>
        <w:pStyle w:val="133"/>
        <w:snapToGrid w:val="0"/>
        <w:spacing w:before="0"/>
        <w:ind w:firstLine="480"/>
        <w:rPr>
          <w:rFonts w:hint="eastAsia" w:ascii="宋体" w:hAnsi="宋体" w:cs="宋体"/>
          <w:color w:val="auto"/>
          <w:highlight w:val="none"/>
        </w:rPr>
      </w:pPr>
      <w:r>
        <w:rPr>
          <w:rFonts w:hint="eastAsia" w:ascii="宋体" w:hAnsi="宋体" w:cs="宋体"/>
          <w:color w:val="auto"/>
          <w:highlight w:val="none"/>
        </w:rPr>
        <w:t>28.2电子交易平台应用或数据库出现错误，不能进行正常操作的；</w:t>
      </w:r>
    </w:p>
    <w:p w14:paraId="6EE64CA7">
      <w:pPr>
        <w:pStyle w:val="133"/>
        <w:snapToGrid w:val="0"/>
        <w:spacing w:before="0"/>
        <w:ind w:firstLine="480"/>
        <w:rPr>
          <w:rFonts w:hint="eastAsia" w:ascii="宋体" w:hAnsi="宋体" w:cs="宋体"/>
          <w:color w:val="auto"/>
          <w:highlight w:val="none"/>
        </w:rPr>
      </w:pPr>
      <w:r>
        <w:rPr>
          <w:rFonts w:hint="eastAsia" w:ascii="宋体" w:hAnsi="宋体" w:cs="宋体"/>
          <w:color w:val="auto"/>
          <w:highlight w:val="none"/>
        </w:rPr>
        <w:t>28.3电子交易平台发现严重安全漏洞，有潜在泄密危险的；</w:t>
      </w:r>
    </w:p>
    <w:p w14:paraId="14179EC1">
      <w:pPr>
        <w:pStyle w:val="133"/>
        <w:snapToGrid w:val="0"/>
        <w:spacing w:before="0"/>
        <w:ind w:firstLine="480"/>
        <w:rPr>
          <w:rFonts w:hint="eastAsia" w:ascii="宋体" w:hAnsi="宋体" w:cs="宋体"/>
          <w:color w:val="auto"/>
          <w:highlight w:val="none"/>
        </w:rPr>
      </w:pPr>
      <w:r>
        <w:rPr>
          <w:rFonts w:hint="eastAsia" w:ascii="宋体" w:hAnsi="宋体" w:cs="宋体"/>
          <w:color w:val="auto"/>
          <w:highlight w:val="none"/>
        </w:rPr>
        <w:t xml:space="preserve">28.4病毒发作导致不能进行正常操作的； </w:t>
      </w:r>
    </w:p>
    <w:p w14:paraId="6931FDCB">
      <w:pPr>
        <w:pStyle w:val="133"/>
        <w:snapToGrid w:val="0"/>
        <w:spacing w:before="0"/>
        <w:ind w:firstLine="480"/>
        <w:rPr>
          <w:rFonts w:hint="eastAsia" w:ascii="宋体" w:hAnsi="宋体" w:cs="宋体"/>
          <w:color w:val="auto"/>
          <w:highlight w:val="none"/>
        </w:rPr>
      </w:pPr>
      <w:r>
        <w:rPr>
          <w:rFonts w:hint="eastAsia" w:ascii="宋体" w:hAnsi="宋体" w:cs="宋体"/>
          <w:color w:val="auto"/>
          <w:highlight w:val="none"/>
        </w:rPr>
        <w:t>28.5其他无法保证电子交易的公平、公正和安全的情况。</w:t>
      </w:r>
    </w:p>
    <w:p w14:paraId="3DE250FA">
      <w:pPr>
        <w:pStyle w:val="133"/>
        <w:snapToGrid w:val="0"/>
        <w:spacing w:before="0"/>
        <w:ind w:firstLine="0" w:firstLineChars="0"/>
        <w:rPr>
          <w:rFonts w:hint="eastAsia" w:ascii="宋体" w:hAnsi="宋体" w:cs="宋体"/>
          <w:color w:val="auto"/>
          <w:highlight w:val="none"/>
        </w:rPr>
      </w:pPr>
      <w:r>
        <w:rPr>
          <w:rFonts w:hint="eastAsia" w:ascii="宋体" w:hAnsi="宋体" w:cs="宋体"/>
          <w:color w:val="auto"/>
          <w:highlight w:val="none"/>
        </w:rPr>
        <w:t xml:space="preserve"> </w:t>
      </w:r>
      <w:r>
        <w:rPr>
          <w:rFonts w:hint="eastAsia" w:ascii="宋体" w:hAnsi="宋体" w:cs="宋体"/>
          <w:b/>
          <w:color w:val="auto"/>
          <w:szCs w:val="24"/>
          <w:highlight w:val="none"/>
        </w:rPr>
        <w:t>29.</w:t>
      </w:r>
      <w:r>
        <w:rPr>
          <w:rFonts w:hint="eastAsia" w:ascii="宋体" w:hAnsi="宋体" w:cs="宋体"/>
          <w:color w:val="auto"/>
          <w:highlight w:val="none"/>
        </w:rPr>
        <w:t>出现以上情形，不影响采购公平、公正性的，采购组织机构可以待上述情形消除后继续组织电子交易活动，也可以决定某些环节以纸质形式进行；影响或可能影响采购公平、公正性的，应当重新采购。</w:t>
      </w:r>
    </w:p>
    <w:p w14:paraId="2E4966CE">
      <w:pPr>
        <w:snapToGrid w:val="0"/>
        <w:spacing w:line="360" w:lineRule="auto"/>
        <w:jc w:val="center"/>
        <w:outlineLvl w:val="0"/>
        <w:rPr>
          <w:rFonts w:hint="eastAsia" w:ascii="宋体" w:hAnsi="宋体" w:cs="宋体"/>
          <w:b/>
          <w:color w:val="auto"/>
          <w:sz w:val="32"/>
          <w:szCs w:val="20"/>
          <w:highlight w:val="none"/>
        </w:rPr>
      </w:pPr>
      <w:bookmarkStart w:id="42" w:name="_Toc30366"/>
      <w:bookmarkStart w:id="43" w:name="_Toc19500"/>
      <w:r>
        <w:rPr>
          <w:rFonts w:hint="eastAsia" w:ascii="宋体" w:hAnsi="宋体" w:cs="宋体"/>
          <w:b/>
          <w:color w:val="auto"/>
          <w:sz w:val="32"/>
          <w:szCs w:val="20"/>
          <w:highlight w:val="none"/>
        </w:rPr>
        <w:t>九、验收</w:t>
      </w:r>
      <w:bookmarkEnd w:id="42"/>
      <w:bookmarkEnd w:id="43"/>
    </w:p>
    <w:p w14:paraId="50F9BA76">
      <w:pPr>
        <w:pStyle w:val="26"/>
        <w:spacing w:line="360" w:lineRule="auto"/>
        <w:ind w:firstLine="0" w:firstLineChars="0"/>
        <w:rPr>
          <w:rFonts w:hint="eastAsia" w:cs="宋体"/>
          <w:b/>
          <w:color w:val="auto"/>
          <w:highlight w:val="none"/>
        </w:rPr>
      </w:pPr>
      <w:r>
        <w:rPr>
          <w:rFonts w:hint="eastAsia" w:cs="宋体"/>
          <w:b/>
          <w:color w:val="auto"/>
          <w:highlight w:val="none"/>
        </w:rPr>
        <w:t>30.验收</w:t>
      </w:r>
    </w:p>
    <w:p w14:paraId="1773219A">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30.1采购人应当根据采购项目的具体情况，自行组织项目验收或者委托采购代理机构验收。大型或者复杂的政府采购项目，应当邀请国家认可的质量检测机构参加验收工作。验收方成员应当在验收书上签字，并承担相应的法律责任。如果发现与合同中要求不符，供应商须承担由此发生的一切损失和费用，并接受相应的处理。</w:t>
      </w:r>
    </w:p>
    <w:p w14:paraId="36DCD787">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30.2采购人可以邀请参加本项目的其他供应商或者第三方机构参与验收。参与验收的供应商或者第三方机构的意见作为验收书的参考资料一并存档。</w:t>
      </w:r>
    </w:p>
    <w:p w14:paraId="514533ED">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30.3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14:paraId="66E5FBCA">
      <w:pPr>
        <w:tabs>
          <w:tab w:val="left" w:pos="0"/>
        </w:tabs>
        <w:spacing w:line="360" w:lineRule="auto"/>
        <w:ind w:firstLine="480"/>
        <w:rPr>
          <w:rFonts w:hint="eastAsia" w:ascii="宋体" w:hAnsi="宋体" w:cs="宋体"/>
          <w:color w:val="auto"/>
          <w:sz w:val="18"/>
          <w:szCs w:val="18"/>
          <w:highlight w:val="none"/>
        </w:rPr>
      </w:pPr>
      <w:r>
        <w:rPr>
          <w:rFonts w:hint="eastAsia" w:ascii="宋体" w:hAnsi="宋体" w:cs="宋体"/>
          <w:color w:val="auto"/>
          <w:kern w:val="0"/>
          <w:sz w:val="24"/>
          <w:highlight w:val="none"/>
        </w:rPr>
        <w:t>30.4验收合格的项目，采购人将根据采购合同的约定及时向供应商支付采购资金、退还履约保证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bookmarkEnd w:id="35"/>
    <w:p w14:paraId="1FF9556B">
      <w:pPr>
        <w:pStyle w:val="6"/>
        <w:adjustRightInd w:val="0"/>
        <w:snapToGrid w:val="0"/>
        <w:ind w:left="0" w:firstLine="480" w:firstLineChars="200"/>
        <w:rPr>
          <w:rFonts w:hint="eastAsia" w:ascii="宋体" w:hAnsi="宋体" w:eastAsia="宋体" w:cs="宋体"/>
          <w:b w:val="0"/>
          <w:bCs w:val="0"/>
          <w:color w:val="auto"/>
          <w:kern w:val="0"/>
          <w:sz w:val="24"/>
          <w:szCs w:val="24"/>
          <w:highlight w:val="none"/>
          <w:lang w:val="en-US"/>
        </w:rPr>
      </w:pPr>
      <w:bookmarkStart w:id="44" w:name="_Hlt68072998"/>
      <w:bookmarkEnd w:id="44"/>
      <w:bookmarkStart w:id="45" w:name="_Hlt68057669"/>
      <w:bookmarkEnd w:id="45"/>
      <w:bookmarkStart w:id="46" w:name="_Hlt74729768"/>
      <w:bookmarkEnd w:id="46"/>
      <w:bookmarkStart w:id="47" w:name="_Hlt68072990"/>
      <w:bookmarkEnd w:id="47"/>
      <w:bookmarkStart w:id="48" w:name="_Hlt68403820"/>
      <w:bookmarkEnd w:id="48"/>
      <w:bookmarkStart w:id="49" w:name="_Hlt68073093"/>
      <w:bookmarkEnd w:id="49"/>
      <w:bookmarkStart w:id="50" w:name="_Hlt74707468"/>
      <w:bookmarkEnd w:id="50"/>
      <w:bookmarkStart w:id="51" w:name="_Hlt74714665"/>
      <w:bookmarkEnd w:id="51"/>
      <w:bookmarkStart w:id="52" w:name="_Hlt75236290"/>
      <w:bookmarkEnd w:id="52"/>
      <w:bookmarkStart w:id="53" w:name="_Hlt74730295"/>
      <w:bookmarkEnd w:id="53"/>
      <w:bookmarkStart w:id="54" w:name="_Hlt75236011"/>
      <w:bookmarkEnd w:id="54"/>
      <w:bookmarkStart w:id="55" w:name="_Hlt75236101"/>
      <w:bookmarkEnd w:id="55"/>
      <w:r>
        <w:rPr>
          <w:rFonts w:hint="eastAsia" w:ascii="宋体" w:hAnsi="宋体" w:eastAsia="宋体" w:cs="宋体"/>
          <w:b w:val="0"/>
          <w:bCs w:val="0"/>
          <w:color w:val="auto"/>
          <w:kern w:val="0"/>
          <w:sz w:val="24"/>
          <w:szCs w:val="24"/>
          <w:highlight w:val="none"/>
          <w:lang w:val="en-US"/>
        </w:rPr>
        <w:t>30.5 对于满足合同约定的采购资金支付条件的，供应商可通过政采云平台提起在线支付申请、查询支付结果，路径为政采云-我的工作台-合同管理-支付管理。对于供应商提起在线支付申请的，采购人应当按规定做好审核并完成支付。</w:t>
      </w:r>
    </w:p>
    <w:p w14:paraId="3B4EA5F7">
      <w:pPr>
        <w:pStyle w:val="80"/>
        <w:rPr>
          <w:rFonts w:hint="eastAsia"/>
          <w:color w:val="auto"/>
          <w:highlight w:val="none"/>
        </w:rPr>
        <w:sectPr>
          <w:pgSz w:w="11906" w:h="16838"/>
          <w:pgMar w:top="1440" w:right="1080" w:bottom="1440" w:left="1080" w:header="851" w:footer="992" w:gutter="0"/>
          <w:cols w:space="720" w:num="1"/>
          <w:titlePg/>
          <w:docGrid w:linePitch="312" w:charSpace="0"/>
        </w:sectPr>
      </w:pPr>
    </w:p>
    <w:bookmarkEnd w:id="16"/>
    <w:bookmarkEnd w:id="17"/>
    <w:p w14:paraId="5341C221">
      <w:pPr>
        <w:pStyle w:val="5"/>
        <w:snapToGrid w:val="0"/>
        <w:spacing w:before="0" w:after="0" w:line="360" w:lineRule="auto"/>
        <w:ind w:left="0" w:firstLine="0"/>
        <w:jc w:val="center"/>
        <w:rPr>
          <w:color w:val="auto"/>
          <w:highlight w:val="none"/>
        </w:rPr>
      </w:pPr>
      <w:bookmarkStart w:id="56" w:name="_Toc5649"/>
      <w:bookmarkStart w:id="57" w:name="第四部分"/>
      <w:r>
        <w:rPr>
          <w:rFonts w:hint="eastAsia"/>
          <w:color w:val="auto"/>
          <w:highlight w:val="none"/>
        </w:rPr>
        <w:t>第三部分 采购需求</w:t>
      </w:r>
      <w:bookmarkEnd w:id="56"/>
    </w:p>
    <w:p w14:paraId="1CC15E2E">
      <w:pPr>
        <w:spacing w:line="360" w:lineRule="auto"/>
        <w:jc w:val="left"/>
        <w:rPr>
          <w:rFonts w:hint="eastAsia" w:ascii="宋体" w:hAnsi="宋体" w:cs="仿宋_GB2312"/>
          <w:b/>
          <w:bCs/>
          <w:color w:val="auto"/>
          <w:sz w:val="24"/>
          <w:highlight w:val="none"/>
        </w:rPr>
      </w:pPr>
      <w:r>
        <w:rPr>
          <w:rFonts w:hint="eastAsia" w:ascii="宋体" w:hAnsi="宋体" w:cs="仿宋_GB2312"/>
          <w:b/>
          <w:bCs/>
          <w:color w:val="auto"/>
          <w:sz w:val="24"/>
          <w:highlight w:val="none"/>
        </w:rPr>
        <w:t>一、工程概况</w:t>
      </w:r>
    </w:p>
    <w:p w14:paraId="4146DDA8">
      <w:pPr>
        <w:snapToGrid w:val="0"/>
        <w:spacing w:line="360" w:lineRule="auto"/>
        <w:ind w:firstLine="480" w:firstLineChars="200"/>
        <w:rPr>
          <w:rFonts w:hint="eastAsia" w:ascii="宋体" w:hAnsi="宋体"/>
          <w:color w:val="auto"/>
          <w:sz w:val="24"/>
          <w:highlight w:val="none"/>
          <w:u w:val="single"/>
        </w:rPr>
      </w:pPr>
      <w:r>
        <w:rPr>
          <w:rFonts w:hint="eastAsia" w:ascii="宋体" w:hAnsi="宋体"/>
          <w:color w:val="auto"/>
          <w:sz w:val="24"/>
          <w:highlight w:val="none"/>
        </w:rPr>
        <w:t xml:space="preserve"> </w:t>
      </w:r>
      <w:r>
        <w:rPr>
          <w:rFonts w:hint="eastAsia" w:ascii="宋体" w:hAnsi="宋体" w:cs="宋体"/>
          <w:bCs/>
          <w:color w:val="auto"/>
          <w:sz w:val="24"/>
          <w:highlight w:val="none"/>
        </w:rPr>
        <w:t>杭州市源清中学生活区宿舍消防系统改造工程</w:t>
      </w:r>
      <w:r>
        <w:rPr>
          <w:rFonts w:hint="eastAsia" w:ascii="宋体" w:hAnsi="宋体"/>
          <w:color w:val="auto"/>
          <w:sz w:val="24"/>
          <w:highlight w:val="none"/>
        </w:rPr>
        <w:t>，预算金额为85万元，最高限价为85万元。</w:t>
      </w:r>
    </w:p>
    <w:p w14:paraId="56B252CB">
      <w:pPr>
        <w:spacing w:line="360" w:lineRule="auto"/>
        <w:jc w:val="left"/>
        <w:rPr>
          <w:rFonts w:hint="eastAsia" w:ascii="宋体" w:hAnsi="宋体" w:cs="仿宋_GB2312"/>
          <w:color w:val="auto"/>
          <w:sz w:val="24"/>
          <w:highlight w:val="none"/>
        </w:rPr>
      </w:pPr>
      <w:r>
        <w:rPr>
          <w:rFonts w:hint="eastAsia" w:ascii="宋体" w:hAnsi="宋体" w:cs="仿宋_GB2312"/>
          <w:b/>
          <w:bCs/>
          <w:color w:val="auto"/>
          <w:sz w:val="24"/>
          <w:highlight w:val="none"/>
        </w:rPr>
        <w:t xml:space="preserve">二、工程内容 </w:t>
      </w:r>
    </w:p>
    <w:p w14:paraId="121F0AA5">
      <w:pPr>
        <w:spacing w:line="360" w:lineRule="auto"/>
        <w:ind w:left="210" w:leftChars="100"/>
        <w:jc w:val="left"/>
        <w:rPr>
          <w:rFonts w:hint="eastAsia" w:ascii="宋体" w:hAnsi="宋体" w:cs="仿宋_GB2312"/>
          <w:color w:val="auto"/>
          <w:sz w:val="24"/>
          <w:highlight w:val="none"/>
        </w:rPr>
      </w:pPr>
      <w:r>
        <w:rPr>
          <w:rFonts w:hint="eastAsia" w:ascii="宋体" w:hAnsi="宋体" w:cs="仿宋_GB2312"/>
          <w:color w:val="auto"/>
          <w:sz w:val="24"/>
          <w:highlight w:val="none"/>
        </w:rPr>
        <w:t>1.工程名称</w:t>
      </w:r>
    </w:p>
    <w:p w14:paraId="4BE807B3">
      <w:pPr>
        <w:spacing w:line="360" w:lineRule="auto"/>
        <w:ind w:left="210" w:leftChars="100"/>
        <w:jc w:val="left"/>
        <w:rPr>
          <w:rFonts w:hint="eastAsia" w:ascii="宋体" w:hAnsi="宋体" w:cs="宋体"/>
          <w:bCs/>
          <w:color w:val="auto"/>
          <w:sz w:val="24"/>
          <w:highlight w:val="none"/>
        </w:rPr>
      </w:pPr>
      <w:r>
        <w:rPr>
          <w:rFonts w:hint="eastAsia" w:ascii="宋体" w:hAnsi="宋体" w:cs="宋体"/>
          <w:bCs/>
          <w:color w:val="auto"/>
          <w:sz w:val="24"/>
          <w:highlight w:val="none"/>
        </w:rPr>
        <w:t>杭州市源清中学生活区宿舍消防系统改造工程</w:t>
      </w:r>
    </w:p>
    <w:p w14:paraId="1F7C3ADE">
      <w:pPr>
        <w:spacing w:line="360" w:lineRule="auto"/>
        <w:ind w:left="210" w:leftChars="100"/>
        <w:jc w:val="left"/>
        <w:rPr>
          <w:rFonts w:hint="eastAsia" w:ascii="宋体" w:hAnsi="宋体" w:cs="仿宋_GB2312"/>
          <w:color w:val="auto"/>
          <w:sz w:val="24"/>
          <w:highlight w:val="none"/>
        </w:rPr>
      </w:pPr>
      <w:r>
        <w:rPr>
          <w:rFonts w:hint="eastAsia" w:ascii="宋体" w:hAnsi="宋体" w:cs="仿宋_GB2312"/>
          <w:color w:val="auto"/>
          <w:sz w:val="24"/>
          <w:highlight w:val="none"/>
        </w:rPr>
        <w:t>2.现场条件</w:t>
      </w:r>
    </w:p>
    <w:p w14:paraId="7BEB0C25">
      <w:pPr>
        <w:spacing w:line="360" w:lineRule="auto"/>
        <w:jc w:val="left"/>
        <w:rPr>
          <w:rFonts w:hint="eastAsia" w:ascii="宋体" w:hAnsi="宋体"/>
          <w:color w:val="auto"/>
          <w:sz w:val="24"/>
          <w:highlight w:val="none"/>
          <w:u w:val="single"/>
        </w:rPr>
      </w:pPr>
      <w:r>
        <w:rPr>
          <w:rFonts w:hint="eastAsia" w:ascii="宋体" w:hAnsi="宋体"/>
          <w:color w:val="auto"/>
          <w:sz w:val="24"/>
          <w:highlight w:val="none"/>
        </w:rPr>
        <w:t xml:space="preserve">  目前项目通水、通电工作均已完成，具备项目施工条件。 </w:t>
      </w:r>
    </w:p>
    <w:p w14:paraId="033DDBCF">
      <w:pPr>
        <w:spacing w:line="360" w:lineRule="auto"/>
        <w:ind w:left="210" w:leftChars="100"/>
        <w:jc w:val="left"/>
        <w:rPr>
          <w:rFonts w:hint="eastAsia" w:ascii="宋体" w:hAnsi="宋体" w:cs="仿宋_GB2312"/>
          <w:color w:val="auto"/>
          <w:sz w:val="24"/>
          <w:highlight w:val="none"/>
        </w:rPr>
      </w:pPr>
      <w:r>
        <w:rPr>
          <w:rFonts w:hint="eastAsia" w:ascii="宋体" w:hAnsi="宋体" w:cs="仿宋_GB2312"/>
          <w:color w:val="auto"/>
          <w:sz w:val="24"/>
          <w:highlight w:val="none"/>
        </w:rPr>
        <w:t>3.工程承包范围（施工范围）</w:t>
      </w:r>
    </w:p>
    <w:p w14:paraId="77264B1E">
      <w:pPr>
        <w:spacing w:line="360" w:lineRule="auto"/>
        <w:jc w:val="left"/>
        <w:rPr>
          <w:rFonts w:hint="eastAsia" w:ascii="宋体" w:hAnsi="宋体"/>
          <w:color w:val="auto"/>
          <w:sz w:val="24"/>
          <w:highlight w:val="none"/>
        </w:rPr>
      </w:pPr>
      <w:r>
        <w:rPr>
          <w:rFonts w:hint="eastAsia" w:ascii="宋体" w:hAnsi="宋体"/>
          <w:color w:val="auto"/>
          <w:sz w:val="24"/>
          <w:highlight w:val="none"/>
        </w:rPr>
        <w:t xml:space="preserve">  工程施工图中所包括的一切内容和工程量清单等已明确的工程内容。 </w:t>
      </w:r>
    </w:p>
    <w:p w14:paraId="131CC393">
      <w:pPr>
        <w:spacing w:line="360" w:lineRule="auto"/>
        <w:ind w:left="210" w:leftChars="100"/>
        <w:jc w:val="left"/>
        <w:rPr>
          <w:rFonts w:hint="eastAsia" w:ascii="宋体" w:hAnsi="宋体" w:cs="仿宋_GB2312"/>
          <w:color w:val="auto"/>
          <w:sz w:val="24"/>
          <w:highlight w:val="none"/>
        </w:rPr>
      </w:pPr>
      <w:r>
        <w:rPr>
          <w:rFonts w:hint="eastAsia" w:ascii="宋体" w:hAnsi="宋体" w:cs="仿宋_GB2312"/>
          <w:color w:val="auto"/>
          <w:sz w:val="24"/>
          <w:highlight w:val="none"/>
        </w:rPr>
        <w:t>4.工程质量标准</w:t>
      </w:r>
    </w:p>
    <w:p w14:paraId="5187AAC1">
      <w:pPr>
        <w:spacing w:line="360" w:lineRule="auto"/>
        <w:jc w:val="left"/>
        <w:rPr>
          <w:rFonts w:hint="eastAsia" w:ascii="宋体" w:hAnsi="宋体"/>
          <w:color w:val="auto"/>
          <w:sz w:val="24"/>
          <w:highlight w:val="none"/>
        </w:rPr>
      </w:pPr>
      <w:r>
        <w:rPr>
          <w:rFonts w:hint="eastAsia" w:ascii="宋体" w:hAnsi="宋体"/>
          <w:color w:val="auto"/>
          <w:sz w:val="24"/>
          <w:highlight w:val="none"/>
        </w:rPr>
        <w:t xml:space="preserve">  工程质量符合（工程施工质量验收规范）合格标准。 </w:t>
      </w:r>
    </w:p>
    <w:p w14:paraId="5CAE8B79">
      <w:pPr>
        <w:spacing w:line="360" w:lineRule="auto"/>
        <w:ind w:left="210" w:leftChars="100"/>
        <w:jc w:val="left"/>
        <w:rPr>
          <w:rFonts w:hint="eastAsia" w:ascii="宋体" w:hAnsi="宋体" w:cs="宋体"/>
          <w:color w:val="auto"/>
          <w:sz w:val="24"/>
          <w:highlight w:val="none"/>
        </w:rPr>
      </w:pPr>
      <w:r>
        <w:rPr>
          <w:rFonts w:hint="eastAsia" w:ascii="宋体" w:hAnsi="宋体" w:cs="宋体"/>
          <w:color w:val="auto"/>
          <w:sz w:val="24"/>
          <w:highlight w:val="none"/>
        </w:rPr>
        <w:t>5.工程施工要求</w:t>
      </w:r>
    </w:p>
    <w:p w14:paraId="2F29873C">
      <w:pPr>
        <w:pStyle w:val="22"/>
        <w:snapToGrid w:val="0"/>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（1）工程技术规范要求：</w:t>
      </w:r>
    </w:p>
    <w:p w14:paraId="6735E050">
      <w:pPr>
        <w:pStyle w:val="22"/>
        <w:snapToGrid w:val="0"/>
        <w:spacing w:line="360" w:lineRule="auto"/>
        <w:ind w:firstLine="480" w:firstLineChars="200"/>
        <w:jc w:val="both"/>
        <w:rPr>
          <w:rFonts w:hint="eastAsia" w:ascii="宋体" w:hAnsi="宋体" w:cs="宋体"/>
          <w:color w:val="auto"/>
          <w:sz w:val="24"/>
          <w:highlight w:val="none"/>
        </w:rPr>
      </w:pPr>
      <w:r>
        <w:rPr>
          <w:rFonts w:hint="eastAsia" w:ascii="宋体" w:hAnsi="宋体" w:cs="宋体"/>
          <w:color w:val="auto"/>
          <w:sz w:val="24"/>
          <w:highlight w:val="none"/>
        </w:rPr>
        <w:t>本工程的材料、设备、施工须达到现行中华人民共和国及省、市、行业的一切有关法规、规范的要求，如标准及规范要求有出入则以较严格者为准。</w:t>
      </w:r>
    </w:p>
    <w:p w14:paraId="18EB3CE6">
      <w:pPr>
        <w:pStyle w:val="22"/>
        <w:snapToGrid w:val="0"/>
        <w:spacing w:line="360" w:lineRule="auto"/>
        <w:ind w:firstLine="480" w:firstLineChars="200"/>
        <w:jc w:val="both"/>
        <w:rPr>
          <w:rFonts w:hint="eastAsia" w:ascii="宋体" w:hAnsi="宋体" w:cs="宋体"/>
          <w:color w:val="auto"/>
          <w:sz w:val="24"/>
          <w:highlight w:val="none"/>
        </w:rPr>
      </w:pPr>
      <w:r>
        <w:rPr>
          <w:rFonts w:hint="eastAsia" w:ascii="宋体" w:hAnsi="宋体" w:cs="宋体"/>
          <w:color w:val="auto"/>
          <w:sz w:val="24"/>
          <w:highlight w:val="none"/>
        </w:rPr>
        <w:t>对本工程所采用的标准或规范的任何部分，当成交供应商认为改用其他标准或规范，同样能够保证工程达到相同质量或更高的质量时，成交供应商可提出申请报经采购人审批后采用，但这种批准不免除成交供应商根据合同规定应承担的任何责任。申请报告中应对原采用的标准或规范与所建议改用的其他标准或规范之间的差异进行详细说明。获批之前成交供应商仍应执行原采用的标准或规范。</w:t>
      </w:r>
    </w:p>
    <w:p w14:paraId="138C033F">
      <w:pPr>
        <w:pStyle w:val="22"/>
        <w:numPr>
          <w:ilvl w:val="0"/>
          <w:numId w:val="1"/>
        </w:numPr>
        <w:snapToGrid w:val="0"/>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安全文明施工要求：</w:t>
      </w:r>
    </w:p>
    <w:p w14:paraId="7D654A7F">
      <w:pPr>
        <w:pStyle w:val="22"/>
        <w:snapToGrid w:val="0"/>
        <w:spacing w:line="360" w:lineRule="auto"/>
        <w:ind w:firstLine="480" w:firstLineChars="200"/>
        <w:jc w:val="both"/>
        <w:rPr>
          <w:rFonts w:hint="eastAsia" w:ascii="宋体" w:hAnsi="宋体" w:cs="宋体"/>
          <w:color w:val="auto"/>
          <w:sz w:val="24"/>
          <w:highlight w:val="none"/>
        </w:rPr>
      </w:pPr>
      <w:r>
        <w:rPr>
          <w:rFonts w:hint="eastAsia" w:ascii="宋体" w:hAnsi="宋体" w:cs="宋体"/>
          <w:color w:val="auto"/>
          <w:sz w:val="24"/>
          <w:highlight w:val="none"/>
        </w:rPr>
        <w:t>①成交供应商应对进度施工现场的施工人员进行安全文明施工教育，配备必要的劳动保护用具，保证工程的施工安全和人身安全。</w:t>
      </w:r>
    </w:p>
    <w:p w14:paraId="31E7D656">
      <w:pPr>
        <w:pStyle w:val="22"/>
        <w:snapToGrid w:val="0"/>
        <w:spacing w:line="360" w:lineRule="auto"/>
        <w:ind w:firstLine="480" w:firstLineChars="200"/>
        <w:jc w:val="both"/>
        <w:rPr>
          <w:rFonts w:hint="eastAsia" w:ascii="宋体" w:hAnsi="宋体" w:cs="宋体"/>
          <w:color w:val="auto"/>
          <w:sz w:val="24"/>
          <w:highlight w:val="none"/>
        </w:rPr>
      </w:pPr>
      <w:r>
        <w:rPr>
          <w:rFonts w:hint="eastAsia" w:ascii="宋体" w:hAnsi="宋体" w:cs="宋体"/>
          <w:color w:val="auto"/>
          <w:sz w:val="24"/>
          <w:highlight w:val="none"/>
        </w:rPr>
        <w:t>②成交供应商应强化安全意识，抓好安全生产，杜绝事故发生，施工中若因承包人原因发生安全及人身事故由成交供应商自行负责处理，并承担全部费用。</w:t>
      </w:r>
    </w:p>
    <w:p w14:paraId="26165FCF">
      <w:pPr>
        <w:pStyle w:val="22"/>
        <w:snapToGrid w:val="0"/>
        <w:spacing w:line="360" w:lineRule="auto"/>
        <w:ind w:firstLine="480" w:firstLineChars="200"/>
        <w:jc w:val="both"/>
        <w:rPr>
          <w:rFonts w:hint="eastAsia" w:ascii="宋体" w:hAnsi="宋体" w:cs="宋体"/>
          <w:color w:val="auto"/>
          <w:sz w:val="24"/>
          <w:highlight w:val="none"/>
        </w:rPr>
      </w:pPr>
      <w:r>
        <w:rPr>
          <w:rFonts w:hint="eastAsia" w:ascii="宋体" w:hAnsi="宋体" w:cs="宋体"/>
          <w:color w:val="auto"/>
          <w:sz w:val="24"/>
          <w:highlight w:val="none"/>
        </w:rPr>
        <w:t>③成交供应商须遵守地方政府和有关部门及采购人对施工场地交通、环卫、安全和施工噪音等的管理规定，并按规定办理相关审批手续。</w:t>
      </w:r>
    </w:p>
    <w:p w14:paraId="43665560">
      <w:pPr>
        <w:pStyle w:val="22"/>
        <w:snapToGrid w:val="0"/>
        <w:spacing w:line="360" w:lineRule="auto"/>
        <w:ind w:firstLine="480" w:firstLineChars="200"/>
        <w:jc w:val="both"/>
        <w:rPr>
          <w:rFonts w:hint="eastAsia" w:ascii="宋体" w:hAnsi="宋体" w:cs="宋体"/>
          <w:color w:val="auto"/>
          <w:sz w:val="24"/>
          <w:highlight w:val="none"/>
        </w:rPr>
      </w:pPr>
      <w:r>
        <w:rPr>
          <w:rFonts w:hint="eastAsia" w:ascii="宋体" w:hAnsi="宋体" w:cs="宋体"/>
          <w:color w:val="auto"/>
          <w:sz w:val="24"/>
          <w:highlight w:val="none"/>
        </w:rPr>
        <w:t>④成交供应商应采取有效措施尽量减小尘土和噪音污染，需要进行夜间作业时应经有关部门批准。</w:t>
      </w:r>
    </w:p>
    <w:p w14:paraId="47E62129">
      <w:pPr>
        <w:pStyle w:val="22"/>
        <w:numPr>
          <w:ilvl w:val="0"/>
          <w:numId w:val="1"/>
        </w:numPr>
        <w:snapToGrid w:val="0"/>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其它施工过程中需注意事项：</w:t>
      </w:r>
    </w:p>
    <w:p w14:paraId="62930134">
      <w:pPr>
        <w:pStyle w:val="22"/>
        <w:snapToGrid w:val="0"/>
        <w:spacing w:line="360" w:lineRule="auto"/>
        <w:ind w:firstLine="480" w:firstLineChars="200"/>
        <w:jc w:val="both"/>
        <w:rPr>
          <w:rFonts w:hint="eastAsia" w:ascii="宋体" w:hAnsi="宋体" w:cs="宋体"/>
          <w:color w:val="auto"/>
          <w:sz w:val="24"/>
          <w:highlight w:val="none"/>
        </w:rPr>
      </w:pPr>
      <w:r>
        <w:rPr>
          <w:rFonts w:hint="eastAsia" w:ascii="宋体" w:hAnsi="宋体" w:cs="宋体"/>
          <w:color w:val="auto"/>
          <w:sz w:val="24"/>
          <w:highlight w:val="none"/>
        </w:rPr>
        <w:t>①本工程在施工期间，成交供应商应注意保护好采购人周边现有成品，如有损坏，须无条件修复至采购人满意。</w:t>
      </w:r>
    </w:p>
    <w:p w14:paraId="3CA20387">
      <w:pPr>
        <w:pStyle w:val="22"/>
        <w:snapToGrid w:val="0"/>
        <w:spacing w:line="360" w:lineRule="auto"/>
        <w:ind w:firstLine="480" w:firstLineChars="200"/>
        <w:jc w:val="both"/>
        <w:rPr>
          <w:rFonts w:hint="eastAsia" w:ascii="宋体" w:hAnsi="宋体" w:cs="宋体"/>
          <w:color w:val="auto"/>
          <w:sz w:val="24"/>
          <w:highlight w:val="none"/>
        </w:rPr>
      </w:pPr>
      <w:r>
        <w:rPr>
          <w:rFonts w:hint="eastAsia" w:ascii="宋体" w:hAnsi="宋体" w:cs="宋体"/>
          <w:color w:val="auto"/>
          <w:sz w:val="24"/>
          <w:highlight w:val="none"/>
        </w:rPr>
        <w:t>②废弃材料不得丢弃或随意堆放，清理产生的拆除费、搬运费、交通运输费等各项费用均由供应商自行考虑并计入响应总价且一次性包干。</w:t>
      </w:r>
    </w:p>
    <w:p w14:paraId="2E6E3181">
      <w:pPr>
        <w:pStyle w:val="22"/>
        <w:snapToGrid w:val="0"/>
        <w:spacing w:line="360" w:lineRule="auto"/>
        <w:ind w:firstLine="480" w:firstLineChars="200"/>
        <w:jc w:val="both"/>
        <w:rPr>
          <w:rFonts w:hint="eastAsia" w:ascii="宋体" w:hAnsi="宋体" w:cs="宋体"/>
          <w:color w:val="auto"/>
          <w:sz w:val="24"/>
          <w:highlight w:val="none"/>
        </w:rPr>
      </w:pPr>
      <w:r>
        <w:rPr>
          <w:rFonts w:hint="eastAsia" w:ascii="宋体" w:hAnsi="宋体" w:cs="宋体"/>
          <w:color w:val="auto"/>
          <w:sz w:val="24"/>
          <w:highlight w:val="none"/>
        </w:rPr>
        <w:t>③工程完工后，成交供应商需对施工现场进行全面的清洁工作。</w:t>
      </w:r>
    </w:p>
    <w:p w14:paraId="546DE513">
      <w:pPr>
        <w:pStyle w:val="971"/>
        <w:ind w:left="210" w:firstLine="0" w:firstLineChars="0"/>
        <w:jc w:val="left"/>
        <w:rPr>
          <w:rFonts w:hint="eastAsia" w:ascii="宋体" w:hAnsi="宋体" w:eastAsia="宋体" w:cs="宋体"/>
          <w:color w:val="auto"/>
          <w:highlight w:val="none"/>
        </w:rPr>
      </w:pPr>
      <w:r>
        <w:rPr>
          <w:rFonts w:hint="eastAsia" w:ascii="宋体" w:hAnsi="宋体" w:eastAsia="宋体" w:cs="宋体"/>
          <w:color w:val="auto"/>
          <w:highlight w:val="none"/>
        </w:rPr>
        <w:t>6.工程管理要求</w:t>
      </w:r>
    </w:p>
    <w:p w14:paraId="16F9E11F">
      <w:pPr>
        <w:pStyle w:val="971"/>
        <w:snapToGrid w:val="0"/>
        <w:ind w:firstLine="0" w:firstLineChars="0"/>
        <w:jc w:val="left"/>
        <w:rPr>
          <w:rFonts w:hint="eastAsia" w:ascii="宋体" w:hAnsi="宋体" w:eastAsia="宋体" w:cs="宋体"/>
          <w:color w:val="auto"/>
          <w:highlight w:val="none"/>
        </w:rPr>
      </w:pPr>
      <w:r>
        <w:rPr>
          <w:rFonts w:hint="eastAsia" w:ascii="宋体" w:hAnsi="宋体" w:eastAsia="宋体" w:cs="宋体"/>
          <w:color w:val="auto"/>
          <w:highlight w:val="none"/>
        </w:rPr>
        <w:t>（1）工程管理原则：</w:t>
      </w:r>
    </w:p>
    <w:p w14:paraId="0B3E263A">
      <w:pPr>
        <w:pStyle w:val="971"/>
        <w:snapToGrid w:val="0"/>
        <w:ind w:firstLine="480"/>
        <w:jc w:val="left"/>
        <w:rPr>
          <w:rFonts w:hint="eastAsia" w:ascii="宋体" w:hAnsi="宋体" w:eastAsia="宋体" w:cs="宋体"/>
          <w:color w:val="auto"/>
          <w:highlight w:val="none"/>
        </w:rPr>
      </w:pPr>
      <w:r>
        <w:rPr>
          <w:rFonts w:hint="eastAsia" w:ascii="宋体" w:hAnsi="宋体" w:eastAsia="宋体" w:cs="宋体"/>
          <w:color w:val="auto"/>
          <w:highlight w:val="none"/>
        </w:rPr>
        <w:t>①本工程承包范围内的工程项目，成交供应商未经采购人同意，一律不得转包，一经发现采购人有权立即取消其承包资格，成交供应商应承担由此引起的一切经济责任和法律责任。</w:t>
      </w:r>
    </w:p>
    <w:p w14:paraId="6A4D28E1">
      <w:pPr>
        <w:pStyle w:val="971"/>
        <w:snapToGrid w:val="0"/>
        <w:ind w:firstLine="480"/>
        <w:jc w:val="left"/>
        <w:rPr>
          <w:rFonts w:hint="eastAsia" w:ascii="宋体" w:hAnsi="宋体" w:eastAsia="宋体" w:cs="宋体"/>
          <w:color w:val="auto"/>
          <w:highlight w:val="none"/>
        </w:rPr>
      </w:pPr>
      <w:r>
        <w:rPr>
          <w:rFonts w:hint="eastAsia" w:ascii="宋体" w:hAnsi="宋体" w:eastAsia="宋体" w:cs="宋体"/>
          <w:color w:val="auto"/>
          <w:highlight w:val="none"/>
        </w:rPr>
        <w:t>②在工程实施过程中，如发现成交供应商为挂靠单位，采购人可立即终止合同。成交供应商应承担由此引起的一切经济责任和法律责任。</w:t>
      </w:r>
    </w:p>
    <w:p w14:paraId="2D262737">
      <w:pPr>
        <w:pStyle w:val="971"/>
        <w:snapToGrid w:val="0"/>
        <w:ind w:firstLine="480"/>
        <w:jc w:val="left"/>
        <w:rPr>
          <w:rFonts w:hint="eastAsia" w:ascii="宋体" w:hAnsi="宋体" w:eastAsia="宋体" w:cs="宋体"/>
          <w:color w:val="auto"/>
          <w:highlight w:val="none"/>
        </w:rPr>
      </w:pPr>
      <w:r>
        <w:rPr>
          <w:rFonts w:hint="eastAsia" w:ascii="宋体" w:hAnsi="宋体" w:eastAsia="宋体" w:cs="宋体"/>
          <w:color w:val="auto"/>
          <w:highlight w:val="none"/>
        </w:rPr>
        <w:t>③成交供应商须严格按照已确认的施工技术方案组织实施，并无条件接受采购人的项目管理部门的管理。</w:t>
      </w:r>
    </w:p>
    <w:p w14:paraId="2BBB3CE7">
      <w:pPr>
        <w:pStyle w:val="971"/>
        <w:snapToGrid w:val="0"/>
        <w:ind w:firstLine="480"/>
        <w:jc w:val="left"/>
        <w:rPr>
          <w:rFonts w:hint="eastAsia" w:ascii="宋体" w:hAnsi="宋体" w:eastAsia="宋体" w:cs="宋体"/>
          <w:color w:val="auto"/>
          <w:highlight w:val="none"/>
        </w:rPr>
      </w:pPr>
      <w:r>
        <w:rPr>
          <w:rFonts w:hint="eastAsia" w:ascii="宋体" w:hAnsi="宋体" w:eastAsia="宋体" w:cs="宋体"/>
          <w:color w:val="auto"/>
          <w:highlight w:val="none"/>
        </w:rPr>
        <w:t>④成交供应商在响应文件中确定的工程项目经理及项目管理班子人员，未经采购人同意，不得调换和撤离，本工程确定的成交人的项目管理班子成员，不得兼任其他工程职务并应完全到位。采购人有权要求成交供应商撤换工作不负责任、管理不力、贻误工期、违法乱纪及造成严重安全事故和工程质量事故的项目班子的任何人员，直至项目经理本人。如项目班子成员被采购人撤换，按项目班子成员不到位处罚额度进行处罚，成交供应商不得姑息迁就，拖延撤换和有碍工程进展，否则，采购人有权单方面终止合同，并对由此造成的采购人损失，予以追究赔偿。</w:t>
      </w:r>
    </w:p>
    <w:p w14:paraId="491C2E2D">
      <w:pPr>
        <w:pStyle w:val="971"/>
        <w:snapToGrid w:val="0"/>
        <w:ind w:left="480" w:hanging="480" w:hangingChars="200"/>
        <w:jc w:val="left"/>
        <w:rPr>
          <w:rFonts w:hint="eastAsia" w:ascii="宋体" w:hAnsi="宋体" w:eastAsia="宋体" w:cs="宋体"/>
          <w:b/>
          <w:bCs/>
          <w:color w:val="auto"/>
          <w:highlight w:val="none"/>
        </w:rPr>
      </w:pPr>
      <w:r>
        <w:rPr>
          <w:rFonts w:hint="eastAsia" w:ascii="宋体" w:hAnsi="宋体" w:eastAsia="宋体" w:cs="宋体"/>
          <w:color w:val="auto"/>
          <w:highlight w:val="none"/>
        </w:rPr>
        <w:t>（2）项目管理人员要求:</w:t>
      </w:r>
      <w:r>
        <w:rPr>
          <w:rFonts w:hint="eastAsia" w:ascii="宋体" w:hAnsi="宋体" w:eastAsia="宋体" w:cs="宋体"/>
          <w:color w:val="auto"/>
          <w:highlight w:val="none"/>
        </w:rPr>
        <w:br w:type="textWrapping"/>
      </w:r>
      <w:r>
        <w:rPr>
          <w:rFonts w:hint="eastAsia" w:ascii="宋体" w:hAnsi="宋体" w:eastAsia="宋体" w:cs="宋体"/>
          <w:color w:val="auto"/>
          <w:highlight w:val="none"/>
        </w:rPr>
        <w:t>①企业管理人员要求：</w:t>
      </w:r>
    </w:p>
    <w:p w14:paraId="59246065">
      <w:pPr>
        <w:pStyle w:val="971"/>
        <w:snapToGrid w:val="0"/>
        <w:ind w:firstLine="482"/>
        <w:jc w:val="left"/>
        <w:rPr>
          <w:rFonts w:hint="eastAsia" w:ascii="宋体" w:hAnsi="宋体" w:eastAsia="宋体" w:cs="宋体"/>
          <w:b/>
          <w:bCs/>
          <w:color w:val="auto"/>
          <w:highlight w:val="none"/>
        </w:rPr>
      </w:pPr>
      <w:r>
        <w:rPr>
          <w:rFonts w:hint="eastAsia" w:ascii="宋体" w:hAnsi="宋体" w:eastAsia="宋体" w:cs="宋体"/>
          <w:b/>
          <w:bCs/>
          <w:color w:val="auto"/>
          <w:highlight w:val="none"/>
        </w:rPr>
        <w:t>企业主要负责人（法定代表人、企业经理、企业分管安全生产的副经理、企业技术负责人）具有“三类人员”A类证书，企业分管安全生产副经理具有企业任命书。</w:t>
      </w:r>
    </w:p>
    <w:p w14:paraId="6392D9AE">
      <w:pPr>
        <w:pStyle w:val="971"/>
        <w:snapToGrid w:val="0"/>
        <w:ind w:left="479" w:leftChars="228" w:firstLine="0" w:firstLineChars="0"/>
        <w:jc w:val="left"/>
        <w:rPr>
          <w:rFonts w:hint="eastAsia" w:ascii="宋体" w:hAnsi="宋体" w:eastAsia="宋体" w:cs="宋体"/>
          <w:color w:val="auto"/>
          <w:highlight w:val="none"/>
        </w:rPr>
      </w:pPr>
      <w:r>
        <w:rPr>
          <w:rFonts w:hint="eastAsia" w:ascii="宋体" w:hAnsi="宋体" w:eastAsia="宋体" w:cs="宋体"/>
          <w:color w:val="auto"/>
          <w:highlight w:val="none"/>
        </w:rPr>
        <w:t>②项目经理要求：</w:t>
      </w:r>
    </w:p>
    <w:p w14:paraId="43F863CF">
      <w:pPr>
        <w:pStyle w:val="971"/>
        <w:snapToGrid w:val="0"/>
        <w:ind w:firstLine="482"/>
        <w:jc w:val="left"/>
        <w:rPr>
          <w:rFonts w:hint="eastAsia" w:ascii="宋体" w:hAnsi="宋体" w:eastAsia="宋体" w:cs="宋体"/>
          <w:color w:val="auto"/>
          <w:highlight w:val="none"/>
        </w:rPr>
      </w:pPr>
      <w:r>
        <w:rPr>
          <w:rFonts w:hint="eastAsia" w:ascii="宋体" w:hAnsi="宋体" w:eastAsia="宋体" w:cs="宋体"/>
          <w:b/>
          <w:bCs/>
          <w:color w:val="auto"/>
          <w:highlight w:val="none"/>
        </w:rPr>
        <w:t>拟派项目经理在施工过程中，应确保到位率达到:85%（含）以上。</w:t>
      </w:r>
      <w:r>
        <w:rPr>
          <w:rFonts w:hint="eastAsia" w:ascii="宋体" w:hAnsi="宋体" w:eastAsia="宋体" w:cs="宋体"/>
          <w:color w:val="auto"/>
          <w:highlight w:val="none"/>
        </w:rPr>
        <w:br w:type="textWrapping"/>
      </w:r>
      <w:r>
        <w:rPr>
          <w:rFonts w:hint="eastAsia" w:ascii="宋体" w:hAnsi="宋体" w:eastAsia="宋体" w:cs="宋体"/>
          <w:color w:val="auto"/>
          <w:highlight w:val="none"/>
        </w:rPr>
        <w:t xml:space="preserve">    </w:t>
      </w:r>
      <w:bookmarkStart w:id="1057" w:name="_GoBack"/>
      <w:bookmarkEnd w:id="1057"/>
      <w:r>
        <w:rPr>
          <w:rFonts w:hint="eastAsia" w:ascii="宋体" w:hAnsi="宋体" w:eastAsia="宋体" w:cs="宋体"/>
          <w:color w:val="auto"/>
          <w:highlight w:val="none"/>
        </w:rPr>
        <w:t>③拟派项目管理班子中施工员、安全员（拟派现场安全管理人员具有“三类人员”C类证书）、质检员、材料员等重要岗位应人员配置齐全。</w:t>
      </w:r>
    </w:p>
    <w:p w14:paraId="2B19E28E">
      <w:pPr>
        <w:pStyle w:val="971"/>
        <w:snapToGrid w:val="0"/>
        <w:ind w:firstLine="482"/>
        <w:jc w:val="left"/>
        <w:rPr>
          <w:rFonts w:hint="eastAsia" w:ascii="宋体" w:hAnsi="宋体" w:eastAsia="宋体" w:cs="宋体"/>
          <w:b/>
          <w:bCs/>
          <w:color w:val="auto"/>
          <w:highlight w:val="none"/>
        </w:rPr>
      </w:pPr>
      <w:r>
        <w:rPr>
          <w:rFonts w:hint="eastAsia" w:ascii="宋体" w:hAnsi="宋体" w:eastAsia="宋体" w:cs="宋体"/>
          <w:b/>
          <w:bCs/>
          <w:color w:val="auto"/>
          <w:highlight w:val="none"/>
        </w:rPr>
        <w:t>以上人员须提供近三个月投标单位为在职人员缴纳的社保证明复印件加盖公章。</w:t>
      </w:r>
    </w:p>
    <w:p w14:paraId="1B1519B6">
      <w:pPr>
        <w:pStyle w:val="971"/>
        <w:snapToGrid w:val="0"/>
        <w:ind w:firstLine="0" w:firstLineChars="0"/>
        <w:jc w:val="left"/>
        <w:rPr>
          <w:rFonts w:hint="eastAsia" w:ascii="宋体" w:hAnsi="宋体" w:eastAsia="宋体" w:cs="宋体"/>
          <w:color w:val="auto"/>
          <w:highlight w:val="none"/>
        </w:rPr>
      </w:pPr>
      <w:r>
        <w:rPr>
          <w:rFonts w:hint="eastAsia" w:ascii="宋体" w:hAnsi="宋体" w:eastAsia="宋体" w:cs="宋体"/>
          <w:color w:val="auto"/>
          <w:highlight w:val="none"/>
        </w:rPr>
        <w:t>（3）工程管理其他要求：</w:t>
      </w:r>
    </w:p>
    <w:p w14:paraId="13881078">
      <w:pPr>
        <w:pStyle w:val="971"/>
        <w:snapToGrid w:val="0"/>
        <w:ind w:firstLine="480"/>
        <w:jc w:val="left"/>
        <w:rPr>
          <w:rFonts w:hint="eastAsia" w:ascii="宋体" w:hAnsi="宋体" w:eastAsia="宋体" w:cs="宋体"/>
          <w:color w:val="auto"/>
          <w:highlight w:val="none"/>
        </w:rPr>
      </w:pPr>
      <w:r>
        <w:rPr>
          <w:rFonts w:hint="eastAsia" w:ascii="宋体" w:hAnsi="宋体" w:eastAsia="宋体" w:cs="宋体"/>
          <w:color w:val="auto"/>
          <w:highlight w:val="none"/>
        </w:rPr>
        <w:t>①本项目施工现场采购人不提供食宿，施工期间，所有施工人员的食宿均由成交供应商自行安排，材料的堆放及停车必须服从采购人的安排。</w:t>
      </w:r>
    </w:p>
    <w:p w14:paraId="65EC8BA8">
      <w:pPr>
        <w:pStyle w:val="971"/>
        <w:snapToGrid w:val="0"/>
        <w:ind w:firstLine="480"/>
        <w:jc w:val="left"/>
        <w:rPr>
          <w:rFonts w:hint="eastAsia" w:ascii="宋体" w:hAnsi="宋体" w:eastAsia="宋体" w:cs="宋体"/>
          <w:color w:val="auto"/>
          <w:highlight w:val="none"/>
        </w:rPr>
      </w:pPr>
      <w:r>
        <w:rPr>
          <w:rFonts w:hint="eastAsia" w:ascii="宋体" w:hAnsi="宋体" w:eastAsia="宋体" w:cs="宋体"/>
          <w:color w:val="auto"/>
          <w:highlight w:val="none"/>
        </w:rPr>
        <w:t>②施工现场严禁吸烟。</w:t>
      </w:r>
    </w:p>
    <w:p w14:paraId="3EB6917C">
      <w:pPr>
        <w:snapToGri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7.工程主要材料（设备）要求  </w:t>
      </w:r>
    </w:p>
    <w:p w14:paraId="7CF819A2">
      <w:pPr>
        <w:pStyle w:val="971"/>
        <w:snapToGrid w:val="0"/>
        <w:ind w:firstLine="0" w:firstLineChars="0"/>
        <w:jc w:val="left"/>
        <w:rPr>
          <w:rFonts w:hint="eastAsia" w:ascii="宋体" w:hAnsi="宋体" w:eastAsia="宋体" w:cs="宋体"/>
          <w:b/>
          <w:color w:val="auto"/>
          <w:highlight w:val="none"/>
        </w:rPr>
      </w:pPr>
      <w:r>
        <w:rPr>
          <w:rFonts w:hint="eastAsia" w:ascii="宋体" w:hAnsi="宋体" w:eastAsia="宋体" w:cs="宋体"/>
          <w:b/>
          <w:color w:val="auto"/>
          <w:highlight w:val="none"/>
        </w:rPr>
        <w:t>（1）本项目涉及的所有材料设备，必须经采购人确认后方能采购、进场、加工、安装。否则一律不予承认，不予支付相应款项。</w:t>
      </w:r>
    </w:p>
    <w:p w14:paraId="54FC6904">
      <w:pPr>
        <w:pStyle w:val="971"/>
        <w:snapToGrid w:val="0"/>
        <w:ind w:firstLine="0" w:firstLineChars="0"/>
        <w:jc w:val="left"/>
        <w:rPr>
          <w:rFonts w:hint="eastAsia" w:ascii="宋体" w:hAnsi="宋体" w:eastAsia="宋体" w:cs="宋体"/>
          <w:b/>
          <w:color w:val="auto"/>
          <w:highlight w:val="none"/>
        </w:rPr>
      </w:pPr>
      <w:r>
        <w:rPr>
          <w:rFonts w:hint="eastAsia" w:ascii="宋体" w:hAnsi="宋体" w:eastAsia="宋体" w:cs="宋体"/>
          <w:color w:val="auto"/>
          <w:highlight w:val="none"/>
        </w:rPr>
        <w:t>（2）材料规格：本磋商文件涉及的主要设备和材料，各供应商须根据磋商文件要求的用材规格进行选材并报价，并符合环保要求，严禁选择不符合施工图纸要求的低档材料进行响应报价及组织施工实施，如有其它国家强制性认证要求的也必须满足。</w:t>
      </w:r>
    </w:p>
    <w:p w14:paraId="7255A062">
      <w:pPr>
        <w:pStyle w:val="971"/>
        <w:snapToGrid w:val="0"/>
        <w:ind w:firstLine="0" w:firstLineChars="0"/>
        <w:jc w:val="left"/>
        <w:rPr>
          <w:rFonts w:hint="eastAsia" w:ascii="宋体" w:hAnsi="宋体" w:eastAsia="宋体" w:cs="宋体"/>
          <w:color w:val="auto"/>
          <w:highlight w:val="none"/>
        </w:rPr>
      </w:pPr>
      <w:r>
        <w:rPr>
          <w:rFonts w:hint="eastAsia" w:ascii="宋体" w:hAnsi="宋体" w:eastAsia="宋体" w:cs="宋体"/>
          <w:color w:val="auto"/>
          <w:highlight w:val="none"/>
        </w:rPr>
        <w:t>（3）供应商应在响应文件中写明各类主要材料（设备）的选用品牌、产地和规格，若未注明品牌的可由采购人自行选择。若成交后注明的品牌或采购人选择的品牌在施工期间市场上无现货供应，须进行订制，如该品牌无法订制时，采购人有权选择其它品牌。成交供应商不按该选用的材料和设备采购的，采购人有权拒绝验收。</w:t>
      </w:r>
    </w:p>
    <w:p w14:paraId="59F6B8F3">
      <w:pPr>
        <w:pStyle w:val="971"/>
        <w:snapToGrid w:val="0"/>
        <w:ind w:firstLine="0" w:firstLineChars="0"/>
        <w:jc w:val="left"/>
        <w:rPr>
          <w:rFonts w:hint="eastAsia" w:ascii="宋体" w:hAnsi="宋体" w:eastAsia="宋体" w:cs="宋体"/>
          <w:b/>
          <w:color w:val="auto"/>
          <w:highlight w:val="none"/>
        </w:rPr>
      </w:pPr>
      <w:r>
        <w:rPr>
          <w:rFonts w:hint="eastAsia" w:ascii="宋体" w:hAnsi="宋体" w:eastAsia="宋体" w:cs="宋体"/>
          <w:color w:val="auto"/>
          <w:highlight w:val="none"/>
        </w:rPr>
        <w:t>（4）供应商应当有详细的材料（设备）供应计划及质量保证措施。</w:t>
      </w:r>
    </w:p>
    <w:p w14:paraId="69222B1A">
      <w:pPr>
        <w:pStyle w:val="971"/>
        <w:snapToGrid w:val="0"/>
        <w:ind w:firstLine="0" w:firstLineChars="0"/>
        <w:jc w:val="left"/>
        <w:rPr>
          <w:rFonts w:hint="eastAsia" w:ascii="宋体" w:hAnsi="宋体" w:eastAsia="宋体" w:cs="宋体"/>
          <w:color w:val="auto"/>
          <w:highlight w:val="none"/>
        </w:rPr>
      </w:pPr>
      <w:r>
        <w:rPr>
          <w:rFonts w:hint="eastAsia" w:ascii="宋体" w:hAnsi="宋体" w:eastAsia="宋体" w:cs="宋体"/>
          <w:color w:val="auto"/>
          <w:highlight w:val="none"/>
        </w:rPr>
        <w:t>（5）材料的质量要求：材料检验按法律、法规、文件规定的见证取样和送检规定的程序进行。凡检验结果证明其有害物质含量指标超标的产品不得在工程上使用。</w:t>
      </w:r>
    </w:p>
    <w:p w14:paraId="5EDC62B4">
      <w:pPr>
        <w:spacing w:line="360" w:lineRule="auto"/>
        <w:jc w:val="left"/>
        <w:rPr>
          <w:rFonts w:hint="eastAsia" w:ascii="宋体" w:hAnsi="宋体" w:cs="仿宋_GB2312"/>
          <w:b/>
          <w:bCs/>
          <w:color w:val="auto"/>
          <w:sz w:val="24"/>
          <w:highlight w:val="none"/>
        </w:rPr>
      </w:pPr>
      <w:r>
        <w:rPr>
          <w:rFonts w:hint="eastAsia" w:ascii="宋体" w:hAnsi="宋体" w:cs="仿宋_GB2312"/>
          <w:b/>
          <w:bCs/>
          <w:color w:val="auto"/>
          <w:sz w:val="24"/>
          <w:highlight w:val="none"/>
        </w:rPr>
        <w:t>三、商务要求</w:t>
      </w:r>
    </w:p>
    <w:p w14:paraId="47C38090">
      <w:pPr>
        <w:spacing w:line="360" w:lineRule="auto"/>
        <w:ind w:left="210" w:leftChars="100"/>
        <w:jc w:val="left"/>
        <w:rPr>
          <w:rFonts w:hint="eastAsia" w:ascii="宋体" w:hAnsi="宋体" w:cs="仿宋_GB2312"/>
          <w:color w:val="auto"/>
          <w:sz w:val="24"/>
          <w:highlight w:val="none"/>
        </w:rPr>
      </w:pPr>
      <w:r>
        <w:rPr>
          <w:rFonts w:hint="eastAsia" w:ascii="宋体" w:hAnsi="宋体" w:cs="仿宋_GB2312"/>
          <w:color w:val="auto"/>
          <w:sz w:val="24"/>
          <w:highlight w:val="none"/>
        </w:rPr>
        <w:t xml:space="preserve">1.工期要求：施工工期30日历天。    </w:t>
      </w:r>
      <w:r>
        <w:rPr>
          <w:rFonts w:hint="eastAsia" w:ascii="宋体" w:hAnsi="宋体"/>
          <w:color w:val="auto"/>
          <w:sz w:val="24"/>
          <w:highlight w:val="none"/>
        </w:rPr>
        <w:t xml:space="preserve">                                 </w:t>
      </w:r>
    </w:p>
    <w:p w14:paraId="3227E0BE">
      <w:pPr>
        <w:spacing w:line="360" w:lineRule="auto"/>
        <w:ind w:left="210" w:leftChars="100"/>
        <w:jc w:val="left"/>
        <w:rPr>
          <w:rFonts w:hint="eastAsia" w:ascii="宋体" w:hAnsi="宋体" w:cs="仿宋_GB2312"/>
          <w:color w:val="auto"/>
          <w:sz w:val="24"/>
          <w:highlight w:val="none"/>
        </w:rPr>
      </w:pPr>
      <w:r>
        <w:rPr>
          <w:rFonts w:hint="eastAsia" w:ascii="宋体" w:hAnsi="宋体" w:cs="仿宋_GB2312"/>
          <w:color w:val="auto"/>
          <w:sz w:val="24"/>
          <w:highlight w:val="none"/>
        </w:rPr>
        <w:t>2.工程地点：杭州市源清中学。</w:t>
      </w:r>
    </w:p>
    <w:p w14:paraId="3EE596FD">
      <w:pPr>
        <w:spacing w:line="360" w:lineRule="auto"/>
        <w:ind w:left="210" w:leftChars="100"/>
        <w:jc w:val="left"/>
        <w:rPr>
          <w:rFonts w:hint="eastAsia" w:ascii="宋体" w:hAnsi="宋体" w:cs="仿宋_GB2312"/>
          <w:color w:val="auto"/>
          <w:sz w:val="24"/>
          <w:highlight w:val="none"/>
        </w:rPr>
      </w:pPr>
      <w:r>
        <w:rPr>
          <w:rFonts w:hint="eastAsia" w:ascii="宋体" w:hAnsi="宋体" w:cs="仿宋_GB2312"/>
          <w:color w:val="auto"/>
          <w:sz w:val="24"/>
          <w:highlight w:val="none"/>
        </w:rPr>
        <w:t>3.付款条件（进度和方式）</w:t>
      </w:r>
    </w:p>
    <w:p w14:paraId="08DE4A12">
      <w:pPr>
        <w:pStyle w:val="2"/>
        <w:rPr>
          <w:color w:val="auto"/>
          <w:highlight w:val="none"/>
          <w:lang w:val="en-US"/>
        </w:rPr>
      </w:pPr>
      <w:r>
        <w:rPr>
          <w:rFonts w:hint="eastAsia"/>
          <w:color w:val="auto"/>
          <w:highlight w:val="none"/>
          <w:lang w:val="en-US"/>
        </w:rPr>
        <w:t>详见合同相关条款</w:t>
      </w:r>
    </w:p>
    <w:p w14:paraId="52CC4611">
      <w:pPr>
        <w:spacing w:line="360" w:lineRule="auto"/>
        <w:ind w:left="210" w:leftChars="100"/>
        <w:jc w:val="left"/>
        <w:rPr>
          <w:rFonts w:hint="eastAsia" w:ascii="宋体" w:hAnsi="宋体" w:cs="仿宋_GB2312"/>
          <w:color w:val="auto"/>
          <w:sz w:val="24"/>
          <w:highlight w:val="none"/>
        </w:rPr>
      </w:pPr>
      <w:r>
        <w:rPr>
          <w:rFonts w:hint="eastAsia" w:ascii="宋体" w:hAnsi="宋体" w:cs="仿宋_GB2312"/>
          <w:color w:val="auto"/>
          <w:sz w:val="24"/>
          <w:highlight w:val="none"/>
        </w:rPr>
        <w:t>4.工程售后服务要求</w:t>
      </w:r>
    </w:p>
    <w:p w14:paraId="01A8D67E">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（1）保修期：按工程质量保修书规定执行，质量保证期为本项目验收合格后2年。</w:t>
      </w:r>
    </w:p>
    <w:p w14:paraId="45394ADB">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成交供应商应与采购人签订工程质量保修书，在质量保修期内，按照有关法律、法规、规章的管理规定和双方约定，承担本工程质量保修责任。</w:t>
      </w:r>
    </w:p>
    <w:p w14:paraId="41F99E68">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（2）在保修期内，成交供应商对有缺陷的部位必须无偿地给予修理与更换，并承担一切由此引起的对采购人或第三者的直接损失，除非该缺陷是由于人为破坏或合同规定的不可抗因素造成的损坏。</w:t>
      </w:r>
    </w:p>
    <w:p w14:paraId="203EE1D6">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（3）成交供应商必须对所承包的工程的质量负全部责任，其责任不因其他材料生产商提供的保证书而减轻或更改。</w:t>
      </w:r>
    </w:p>
    <w:p w14:paraId="276A915B">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（4）供应商应当在缺陷责任期内具有完善的售后技术支持和服务体系，能够提供服务标准、服务流程、服务内容。</w:t>
      </w:r>
    </w:p>
    <w:p w14:paraId="3E5715E4">
      <w:pPr>
        <w:spacing w:line="360" w:lineRule="auto"/>
        <w:ind w:left="210" w:leftChars="100"/>
        <w:jc w:val="left"/>
        <w:rPr>
          <w:rFonts w:hint="eastAsia" w:ascii="宋体" w:hAnsi="宋体" w:cs="仿宋_GB2312"/>
          <w:color w:val="auto"/>
          <w:sz w:val="24"/>
          <w:highlight w:val="none"/>
        </w:rPr>
      </w:pPr>
      <w:r>
        <w:rPr>
          <w:rFonts w:hint="eastAsia" w:ascii="宋体" w:hAnsi="宋体" w:cs="仿宋_GB2312"/>
          <w:color w:val="auto"/>
          <w:sz w:val="24"/>
          <w:highlight w:val="none"/>
        </w:rPr>
        <w:t>5.其他商务要求（包装、运输和保险等）</w:t>
      </w:r>
    </w:p>
    <w:p w14:paraId="2DEFB0C2">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（1）供应商应当将因学校内搬运不便而产生的二次搬运费用计算在磋商报价中，总价包干。</w:t>
      </w:r>
    </w:p>
    <w:p w14:paraId="5F5CCFA7">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（2）供应商应当将与本项目有关的农民工工伤保险相关费用计算在磋商报价中，总价包干。</w:t>
      </w:r>
    </w:p>
    <w:p w14:paraId="069716F5">
      <w:pPr>
        <w:spacing w:line="360" w:lineRule="auto"/>
        <w:jc w:val="left"/>
        <w:rPr>
          <w:rFonts w:hint="eastAsia" w:ascii="宋体" w:hAnsi="宋体" w:cs="宋体"/>
          <w:b/>
          <w:bCs/>
          <w:color w:val="auto"/>
          <w:sz w:val="24"/>
          <w:highlight w:val="none"/>
        </w:rPr>
      </w:pPr>
      <w:r>
        <w:rPr>
          <w:rFonts w:hint="eastAsia" w:ascii="宋体" w:hAnsi="宋体" w:cs="宋体"/>
          <w:b/>
          <w:bCs/>
          <w:color w:val="auto"/>
          <w:sz w:val="24"/>
          <w:highlight w:val="none"/>
        </w:rPr>
        <w:t>四、工程量清单报价要求</w:t>
      </w:r>
      <w:r>
        <w:rPr>
          <w:rFonts w:hint="eastAsia" w:ascii="宋体" w:hAnsi="宋体" w:cs="宋体"/>
          <w:b/>
          <w:bCs/>
          <w:color w:val="auto"/>
          <w:sz w:val="24"/>
          <w:highlight w:val="none"/>
        </w:rPr>
        <w:br w:type="textWrapping"/>
      </w:r>
      <w:r>
        <w:rPr>
          <w:rFonts w:hint="eastAsia" w:ascii="宋体" w:hAnsi="宋体" w:cs="宋体"/>
          <w:b/>
          <w:bCs/>
          <w:color w:val="auto"/>
          <w:sz w:val="24"/>
          <w:highlight w:val="none"/>
        </w:rPr>
        <w:t>具体详见工程量清单。</w:t>
      </w:r>
    </w:p>
    <w:p w14:paraId="6D586DF2">
      <w:pPr>
        <w:spacing w:line="360" w:lineRule="auto"/>
        <w:jc w:val="left"/>
        <w:rPr>
          <w:rFonts w:hint="eastAsia" w:ascii="宋体" w:hAnsi="宋体" w:cs="仿宋_GB2312"/>
          <w:b/>
          <w:bCs/>
          <w:color w:val="auto"/>
          <w:sz w:val="24"/>
          <w:highlight w:val="none"/>
        </w:rPr>
      </w:pPr>
      <w:r>
        <w:rPr>
          <w:rFonts w:hint="eastAsia" w:ascii="宋体" w:hAnsi="宋体" w:cs="仿宋_GB2312"/>
          <w:b/>
          <w:bCs/>
          <w:color w:val="auto"/>
          <w:sz w:val="24"/>
          <w:highlight w:val="none"/>
        </w:rPr>
        <w:t>五、其他要求</w:t>
      </w:r>
    </w:p>
    <w:p w14:paraId="747EDEE9">
      <w:pPr>
        <w:spacing w:line="360" w:lineRule="auto"/>
        <w:jc w:val="left"/>
        <w:rPr>
          <w:rFonts w:hint="eastAsia" w:ascii="宋体" w:hAnsi="宋体"/>
          <w:color w:val="auto"/>
          <w:sz w:val="24"/>
          <w:highlight w:val="none"/>
        </w:rPr>
      </w:pPr>
      <w:r>
        <w:rPr>
          <w:rFonts w:hint="eastAsia" w:ascii="宋体" w:hAnsi="宋体"/>
          <w:color w:val="auto"/>
          <w:sz w:val="24"/>
          <w:highlight w:val="none"/>
        </w:rPr>
        <w:t>1.依据设计施工图纸和技术文件要求，本工程的材料、设备、施工须达到现行中华人民共和国及省、市、行业的一切有关法规、规范和标准的要求。如有出入则以较严格者为准。</w:t>
      </w:r>
    </w:p>
    <w:p w14:paraId="423A968B">
      <w:pPr>
        <w:spacing w:line="360" w:lineRule="auto"/>
        <w:jc w:val="left"/>
        <w:rPr>
          <w:rFonts w:hint="eastAsia" w:ascii="宋体" w:hAnsi="宋体"/>
          <w:color w:val="auto"/>
          <w:sz w:val="24"/>
          <w:highlight w:val="none"/>
        </w:rPr>
      </w:pPr>
      <w:r>
        <w:rPr>
          <w:rFonts w:hint="eastAsia" w:ascii="宋体" w:hAnsi="宋体"/>
          <w:color w:val="auto"/>
          <w:sz w:val="24"/>
          <w:highlight w:val="none"/>
        </w:rPr>
        <w:t>2.要求磋商供应商项目经理与招标结果一致，项目经理不得同时担任两个及以上建设工程施工管理工作。其它相关要求按照《关于修订印发《杭州市建设施工企业项目经理管理办法》的通知（杭建市发〔2018〕580号）执行。施工管理班子与招标结果一致，一旦发现磋商供应商中标后，有未经采购人书面允许，随意更换施工管理班子或项目经理的现象，履约保证金不予退还。同时项目经理每月带班生产时间不得少于当月施工时间的85%，即到岗率不得小于85％；从工程正式开工到工程竣工验收合格期间，项目经理因事因病离岗不在施工现场，需向采购人口头请假。请假连续超过3天的，应向采购人书面请假。对磋商供应商项目经理在岗情况不定期检查中，如发现项目经理未请假擅离岗位，从工程结算款中扣除1000元/天。</w:t>
      </w:r>
    </w:p>
    <w:p w14:paraId="5CAE1CC0">
      <w:pPr>
        <w:spacing w:line="360" w:lineRule="auto"/>
        <w:jc w:val="left"/>
        <w:rPr>
          <w:rFonts w:hint="eastAsia" w:ascii="宋体" w:hAnsi="宋体"/>
          <w:color w:val="auto"/>
          <w:sz w:val="24"/>
          <w:highlight w:val="none"/>
        </w:rPr>
      </w:pPr>
      <w:r>
        <w:rPr>
          <w:rFonts w:hint="eastAsia" w:ascii="宋体" w:hAnsi="宋体"/>
          <w:color w:val="auto"/>
          <w:sz w:val="24"/>
          <w:highlight w:val="none"/>
        </w:rPr>
        <w:t>3.磋商供应商应对施工现场进行踏勘，充分了解建筑物结构、现场情况等，对技术难度和安全性引起特别重视，所发生的费用全部包括在投标报价中。</w:t>
      </w:r>
    </w:p>
    <w:p w14:paraId="1E91CBD1">
      <w:pPr>
        <w:spacing w:line="360" w:lineRule="auto"/>
        <w:jc w:val="left"/>
        <w:rPr>
          <w:rFonts w:hint="eastAsia" w:ascii="宋体" w:hAnsi="宋体"/>
          <w:color w:val="auto"/>
          <w:sz w:val="24"/>
          <w:highlight w:val="none"/>
        </w:rPr>
      </w:pPr>
      <w:r>
        <w:rPr>
          <w:rFonts w:hint="eastAsia" w:ascii="宋体" w:hAnsi="宋体"/>
          <w:color w:val="auto"/>
          <w:sz w:val="24"/>
          <w:highlight w:val="none"/>
        </w:rPr>
        <w:t>4.中标单位有责任为采购人和设计单位等进行工程检查时免费提供安全保护用具和各种设施的方便，该项费用在投标时应考虑。</w:t>
      </w:r>
    </w:p>
    <w:p w14:paraId="5A44D123">
      <w:pPr>
        <w:spacing w:line="360" w:lineRule="auto"/>
        <w:jc w:val="left"/>
        <w:rPr>
          <w:rFonts w:hint="eastAsia" w:ascii="宋体" w:hAnsi="宋体"/>
          <w:color w:val="auto"/>
          <w:sz w:val="24"/>
          <w:highlight w:val="none"/>
        </w:rPr>
      </w:pPr>
      <w:r>
        <w:rPr>
          <w:rFonts w:hint="eastAsia" w:ascii="宋体" w:hAnsi="宋体"/>
          <w:color w:val="auto"/>
          <w:sz w:val="24"/>
          <w:highlight w:val="none"/>
        </w:rPr>
        <w:t>5.垃圾清运由磋商供应商自行负责处理，倾倒至政府规定合法地点，运距自行考虑，垃圾清运相关费用计入投标报价，今后不作调整。</w:t>
      </w:r>
    </w:p>
    <w:p w14:paraId="1D181F1B">
      <w:pPr>
        <w:spacing w:line="360" w:lineRule="auto"/>
        <w:jc w:val="left"/>
        <w:rPr>
          <w:rFonts w:hint="eastAsia" w:ascii="宋体" w:hAnsi="宋体"/>
          <w:color w:val="auto"/>
          <w:sz w:val="24"/>
          <w:highlight w:val="none"/>
        </w:rPr>
      </w:pPr>
      <w:r>
        <w:rPr>
          <w:rFonts w:hint="eastAsia" w:ascii="宋体" w:hAnsi="宋体"/>
          <w:color w:val="auto"/>
          <w:sz w:val="24"/>
          <w:highlight w:val="none"/>
        </w:rPr>
        <w:t>6.本工程为改造工程，如须对现有的装修进行改动，包括且不限于凿除、凿洞、拆除、移位等，施工完成以后应无条件复原，包括且不限于粉刷、补洞、油漆（乳胶漆）、饰面材料修补等内容。该项费用应考虑在投标报价中，今后不得追加。</w:t>
      </w:r>
    </w:p>
    <w:p w14:paraId="416E1E28">
      <w:pPr>
        <w:spacing w:line="360" w:lineRule="auto"/>
        <w:jc w:val="left"/>
        <w:rPr>
          <w:rFonts w:hint="eastAsia" w:ascii="宋体" w:hAnsi="宋体"/>
          <w:color w:val="auto"/>
          <w:sz w:val="24"/>
          <w:highlight w:val="none"/>
        </w:rPr>
      </w:pPr>
      <w:r>
        <w:rPr>
          <w:rFonts w:hint="eastAsia" w:ascii="宋体" w:hAnsi="宋体"/>
          <w:color w:val="auto"/>
          <w:sz w:val="24"/>
          <w:highlight w:val="none"/>
        </w:rPr>
        <w:t>7.设计变更必须经设计单位确认，因工程变更而产生的新增减工程量，经采购人及监理单位工程联系单盖章签复意见后，方可作为决算依据。未经设计单位、采购人及监理单位确认，擅自变更，由此造成的损失和（或）延误的工期，由磋商供应商承担。</w:t>
      </w:r>
    </w:p>
    <w:p w14:paraId="3887CC15">
      <w:pPr>
        <w:spacing w:line="360" w:lineRule="auto"/>
        <w:jc w:val="left"/>
        <w:rPr>
          <w:color w:val="auto"/>
          <w:highlight w:val="none"/>
        </w:rPr>
      </w:pPr>
      <w:r>
        <w:rPr>
          <w:rFonts w:hint="eastAsia" w:ascii="宋体" w:hAnsi="宋体"/>
          <w:color w:val="auto"/>
          <w:sz w:val="24"/>
          <w:highlight w:val="none"/>
        </w:rPr>
        <w:t>8.本工程完工后，中标单位负责施工及周边区域的建筑垃圾清运、卫生保洁等工作，达到采购人入场就可开展工作要求。</w:t>
      </w:r>
    </w:p>
    <w:p w14:paraId="4CAD1C84">
      <w:pPr>
        <w:pStyle w:val="80"/>
        <w:rPr>
          <w:rFonts w:hint="eastAsia"/>
          <w:color w:val="auto"/>
          <w:highlight w:val="none"/>
        </w:rPr>
      </w:pPr>
    </w:p>
    <w:p w14:paraId="282BDA75">
      <w:pPr>
        <w:rPr>
          <w:rFonts w:hint="eastAsia" w:ascii="宋体" w:hAnsi="宋体" w:cs="宋体"/>
          <w:snapToGrid w:val="0"/>
          <w:color w:val="auto"/>
          <w:kern w:val="0"/>
          <w:sz w:val="24"/>
          <w:highlight w:val="none"/>
        </w:rPr>
      </w:pPr>
    </w:p>
    <w:p w14:paraId="35688090">
      <w:pPr>
        <w:snapToGrid w:val="0"/>
        <w:spacing w:line="360" w:lineRule="auto"/>
        <w:jc w:val="center"/>
        <w:rPr>
          <w:rStyle w:val="285"/>
          <w:color w:val="auto"/>
          <w:highlight w:val="none"/>
        </w:rPr>
      </w:pPr>
      <w:r>
        <w:rPr>
          <w:rFonts w:hint="eastAsia" w:ascii="宋体" w:hAnsi="宋体" w:cs="宋体"/>
          <w:b/>
          <w:color w:val="auto"/>
          <w:sz w:val="24"/>
          <w:highlight w:val="none"/>
        </w:rPr>
        <w:br w:type="page"/>
      </w:r>
      <w:bookmarkStart w:id="58" w:name="_Toc27879"/>
      <w:r>
        <w:rPr>
          <w:rStyle w:val="285"/>
          <w:rFonts w:hint="eastAsia"/>
          <w:color w:val="auto"/>
          <w:highlight w:val="none"/>
        </w:rPr>
        <w:t>第四部分</w:t>
      </w:r>
      <w:bookmarkStart w:id="59" w:name="_Toc184308067"/>
      <w:bookmarkEnd w:id="59"/>
      <w:bookmarkStart w:id="60" w:name="_Toc184314467"/>
      <w:bookmarkEnd w:id="60"/>
      <w:bookmarkStart w:id="61" w:name="_Toc184312102"/>
      <w:bookmarkEnd w:id="61"/>
      <w:bookmarkStart w:id="62" w:name="_Toc184312130"/>
      <w:bookmarkEnd w:id="62"/>
      <w:bookmarkStart w:id="63" w:name="_Toc184313284"/>
      <w:bookmarkEnd w:id="63"/>
      <w:bookmarkStart w:id="64" w:name="_Toc184310336"/>
      <w:bookmarkEnd w:id="64"/>
      <w:bookmarkStart w:id="65" w:name="_Toc184310337"/>
      <w:bookmarkEnd w:id="65"/>
      <w:bookmarkStart w:id="66" w:name="_Toc184314435"/>
      <w:bookmarkEnd w:id="66"/>
      <w:bookmarkStart w:id="67" w:name="_Toc184312135"/>
      <w:bookmarkEnd w:id="67"/>
      <w:bookmarkStart w:id="68" w:name="_Toc184312117"/>
      <w:bookmarkEnd w:id="68"/>
      <w:bookmarkStart w:id="69" w:name="_Toc184310296"/>
      <w:bookmarkEnd w:id="69"/>
      <w:bookmarkStart w:id="70" w:name="_Toc184312116"/>
      <w:bookmarkEnd w:id="70"/>
      <w:bookmarkStart w:id="71" w:name="_Toc184313286"/>
      <w:bookmarkEnd w:id="71"/>
      <w:bookmarkStart w:id="72" w:name="_Toc184314478"/>
      <w:bookmarkEnd w:id="72"/>
      <w:bookmarkStart w:id="73" w:name="_Toc184314440"/>
      <w:bookmarkEnd w:id="73"/>
      <w:bookmarkStart w:id="74" w:name="_Toc184310323"/>
      <w:bookmarkEnd w:id="74"/>
      <w:bookmarkStart w:id="75" w:name="_Toc184314482"/>
      <w:bookmarkEnd w:id="75"/>
      <w:bookmarkStart w:id="76" w:name="_Toc184308041"/>
      <w:bookmarkEnd w:id="76"/>
      <w:bookmarkStart w:id="77" w:name="_Toc184314473"/>
      <w:bookmarkEnd w:id="77"/>
      <w:bookmarkStart w:id="78" w:name="_Toc184312104"/>
      <w:bookmarkEnd w:id="78"/>
      <w:bookmarkStart w:id="79" w:name="_Toc184312099"/>
      <w:bookmarkEnd w:id="79"/>
      <w:bookmarkStart w:id="80" w:name="_Toc184310342"/>
      <w:bookmarkEnd w:id="80"/>
      <w:bookmarkStart w:id="81" w:name="_Toc184314452"/>
      <w:bookmarkEnd w:id="81"/>
      <w:bookmarkStart w:id="82" w:name="_Toc184312077"/>
      <w:bookmarkEnd w:id="82"/>
      <w:bookmarkStart w:id="83" w:name="_Toc184313239"/>
      <w:bookmarkEnd w:id="83"/>
      <w:bookmarkStart w:id="84" w:name="_Toc184313288"/>
      <w:bookmarkEnd w:id="84"/>
      <w:bookmarkStart w:id="85" w:name="_Toc184308107"/>
      <w:bookmarkEnd w:id="85"/>
      <w:bookmarkStart w:id="86" w:name="_Toc184308070"/>
      <w:bookmarkEnd w:id="86"/>
      <w:bookmarkStart w:id="87" w:name="_Toc184312111"/>
      <w:bookmarkEnd w:id="87"/>
      <w:bookmarkStart w:id="88" w:name="_Toc184314422"/>
      <w:bookmarkEnd w:id="88"/>
      <w:bookmarkStart w:id="89" w:name="_Toc184312112"/>
      <w:bookmarkEnd w:id="89"/>
      <w:bookmarkStart w:id="90" w:name="_Toc184312072"/>
      <w:bookmarkEnd w:id="90"/>
      <w:bookmarkStart w:id="91" w:name="_Toc184313274"/>
      <w:bookmarkEnd w:id="91"/>
      <w:bookmarkStart w:id="92" w:name="_Toc184313248"/>
      <w:bookmarkEnd w:id="92"/>
      <w:bookmarkStart w:id="93" w:name="_Toc184314423"/>
      <w:bookmarkEnd w:id="93"/>
      <w:bookmarkStart w:id="94" w:name="_Toc184308061"/>
      <w:bookmarkEnd w:id="94"/>
      <w:bookmarkStart w:id="95" w:name="_Toc184308060"/>
      <w:bookmarkEnd w:id="95"/>
      <w:bookmarkStart w:id="96" w:name="_Toc184314446"/>
      <w:bookmarkEnd w:id="96"/>
      <w:bookmarkStart w:id="97" w:name="_Toc184312110"/>
      <w:bookmarkEnd w:id="97"/>
      <w:bookmarkStart w:id="98" w:name="_Toc184313269"/>
      <w:bookmarkEnd w:id="98"/>
      <w:bookmarkStart w:id="99" w:name="_Toc184313262"/>
      <w:bookmarkEnd w:id="99"/>
      <w:bookmarkStart w:id="100" w:name="_Toc184312081"/>
      <w:bookmarkEnd w:id="100"/>
      <w:bookmarkStart w:id="101" w:name="_Toc184310280"/>
      <w:bookmarkEnd w:id="101"/>
      <w:bookmarkStart w:id="102" w:name="_Toc184313293"/>
      <w:bookmarkEnd w:id="102"/>
      <w:bookmarkStart w:id="103" w:name="_Toc184308040"/>
      <w:bookmarkEnd w:id="103"/>
      <w:bookmarkStart w:id="104" w:name="_Toc184312067"/>
      <w:bookmarkEnd w:id="104"/>
      <w:bookmarkStart w:id="105" w:name="_Toc184310272"/>
      <w:bookmarkEnd w:id="105"/>
      <w:bookmarkStart w:id="106" w:name="_Toc184308099"/>
      <w:bookmarkEnd w:id="106"/>
      <w:bookmarkStart w:id="107" w:name="_Toc184312126"/>
      <w:bookmarkEnd w:id="107"/>
      <w:bookmarkStart w:id="108" w:name="_Toc184308042"/>
      <w:bookmarkEnd w:id="108"/>
      <w:bookmarkStart w:id="109" w:name="_Toc184310290"/>
      <w:bookmarkEnd w:id="109"/>
      <w:bookmarkStart w:id="110" w:name="_Toc184312133"/>
      <w:bookmarkEnd w:id="110"/>
      <w:bookmarkStart w:id="111" w:name="_Toc184314436"/>
      <w:bookmarkEnd w:id="111"/>
      <w:bookmarkStart w:id="112" w:name="_Toc184312089"/>
      <w:bookmarkEnd w:id="112"/>
      <w:bookmarkStart w:id="113" w:name="_Toc184314410"/>
      <w:bookmarkEnd w:id="113"/>
      <w:bookmarkStart w:id="114" w:name="_Toc184312075"/>
      <w:bookmarkEnd w:id="114"/>
      <w:bookmarkStart w:id="115" w:name="_Toc184310303"/>
      <w:bookmarkEnd w:id="115"/>
      <w:bookmarkStart w:id="116" w:name="_Toc184310318"/>
      <w:bookmarkEnd w:id="116"/>
      <w:bookmarkStart w:id="117" w:name="_Toc184314445"/>
      <w:bookmarkEnd w:id="117"/>
      <w:bookmarkStart w:id="118" w:name="_Toc184310282"/>
      <w:bookmarkEnd w:id="118"/>
      <w:bookmarkStart w:id="119" w:name="_Toc184313272"/>
      <w:bookmarkEnd w:id="119"/>
      <w:bookmarkStart w:id="120" w:name="_Toc184313270"/>
      <w:bookmarkEnd w:id="120"/>
      <w:bookmarkStart w:id="121" w:name="_Toc184314421"/>
      <w:bookmarkEnd w:id="121"/>
      <w:bookmarkStart w:id="122" w:name="_Toc184312085"/>
      <w:bookmarkEnd w:id="122"/>
      <w:bookmarkStart w:id="123" w:name="_Toc184312103"/>
      <w:bookmarkEnd w:id="123"/>
      <w:bookmarkStart w:id="124" w:name="_Toc184313302"/>
      <w:bookmarkEnd w:id="124"/>
      <w:bookmarkStart w:id="125" w:name="_Toc184308094"/>
      <w:bookmarkEnd w:id="125"/>
      <w:bookmarkStart w:id="126" w:name="_Toc184313289"/>
      <w:bookmarkEnd w:id="126"/>
      <w:bookmarkStart w:id="127" w:name="_Toc184308077"/>
      <w:bookmarkEnd w:id="127"/>
      <w:bookmarkStart w:id="128" w:name="_Toc184310275"/>
      <w:bookmarkEnd w:id="128"/>
      <w:bookmarkStart w:id="129" w:name="_Toc184312087"/>
      <w:bookmarkEnd w:id="129"/>
      <w:bookmarkStart w:id="130" w:name="_Toc184313279"/>
      <w:bookmarkEnd w:id="130"/>
      <w:bookmarkStart w:id="131" w:name="_Toc184313246"/>
      <w:bookmarkEnd w:id="131"/>
      <w:bookmarkStart w:id="132" w:name="_Toc184308047"/>
      <w:bookmarkEnd w:id="132"/>
      <w:bookmarkStart w:id="133" w:name="_Toc184312124"/>
      <w:bookmarkEnd w:id="133"/>
      <w:bookmarkStart w:id="134" w:name="_Toc184312090"/>
      <w:bookmarkEnd w:id="134"/>
      <w:bookmarkStart w:id="135" w:name="_Toc184312138"/>
      <w:bookmarkEnd w:id="135"/>
      <w:bookmarkStart w:id="136" w:name="_Toc184310327"/>
      <w:bookmarkEnd w:id="136"/>
      <w:bookmarkStart w:id="137" w:name="_Toc184314468"/>
      <w:bookmarkEnd w:id="137"/>
      <w:bookmarkStart w:id="138" w:name="_Toc184310279"/>
      <w:bookmarkEnd w:id="138"/>
      <w:bookmarkStart w:id="139" w:name="_Toc184313247"/>
      <w:bookmarkEnd w:id="139"/>
      <w:bookmarkStart w:id="140" w:name="_Toc184314414"/>
      <w:bookmarkEnd w:id="140"/>
      <w:bookmarkStart w:id="141" w:name="_Toc184310283"/>
      <w:bookmarkEnd w:id="141"/>
      <w:bookmarkStart w:id="142" w:name="_Toc184310287"/>
      <w:bookmarkEnd w:id="142"/>
      <w:bookmarkStart w:id="143" w:name="_Toc184313264"/>
      <w:bookmarkEnd w:id="143"/>
      <w:bookmarkStart w:id="144" w:name="_Toc184314415"/>
      <w:bookmarkEnd w:id="144"/>
      <w:bookmarkStart w:id="145" w:name="_Toc184310326"/>
      <w:bookmarkEnd w:id="145"/>
      <w:bookmarkStart w:id="146" w:name="_Toc184308044"/>
      <w:bookmarkEnd w:id="146"/>
      <w:bookmarkStart w:id="147" w:name="_Toc184313276"/>
      <w:bookmarkEnd w:id="147"/>
      <w:bookmarkStart w:id="148" w:name="_Toc184313278"/>
      <w:bookmarkEnd w:id="148"/>
      <w:bookmarkStart w:id="149" w:name="_Toc184312100"/>
      <w:bookmarkEnd w:id="149"/>
      <w:bookmarkStart w:id="150" w:name="_Toc184308080"/>
      <w:bookmarkEnd w:id="150"/>
      <w:bookmarkStart w:id="151" w:name="_Toc184308078"/>
      <w:bookmarkEnd w:id="151"/>
      <w:bookmarkStart w:id="152" w:name="_Toc184308046"/>
      <w:bookmarkEnd w:id="152"/>
      <w:bookmarkStart w:id="153" w:name="_Toc184310316"/>
      <w:bookmarkEnd w:id="153"/>
      <w:bookmarkStart w:id="154" w:name="_Toc184310289"/>
      <w:bookmarkEnd w:id="154"/>
      <w:bookmarkStart w:id="155" w:name="_Toc184310297"/>
      <w:bookmarkEnd w:id="155"/>
      <w:bookmarkStart w:id="156" w:name="_Toc184310273"/>
      <w:bookmarkEnd w:id="156"/>
      <w:bookmarkStart w:id="157" w:name="_Toc184313245"/>
      <w:bookmarkEnd w:id="157"/>
      <w:bookmarkStart w:id="158" w:name="_Toc184310307"/>
      <w:bookmarkEnd w:id="158"/>
      <w:bookmarkStart w:id="159" w:name="_Toc184314426"/>
      <w:bookmarkEnd w:id="159"/>
      <w:bookmarkStart w:id="160" w:name="_Toc184314455"/>
      <w:bookmarkEnd w:id="160"/>
      <w:bookmarkStart w:id="161" w:name="_Toc184312073"/>
      <w:bookmarkEnd w:id="161"/>
      <w:bookmarkStart w:id="162" w:name="_Toc184313301"/>
      <w:bookmarkEnd w:id="162"/>
      <w:bookmarkStart w:id="163" w:name="_Toc184312131"/>
      <w:bookmarkEnd w:id="163"/>
      <w:bookmarkStart w:id="164" w:name="_Toc184312093"/>
      <w:bookmarkEnd w:id="164"/>
      <w:bookmarkStart w:id="165" w:name="_Toc184308050"/>
      <w:bookmarkEnd w:id="165"/>
      <w:bookmarkStart w:id="166" w:name="_Toc184314458"/>
      <w:bookmarkEnd w:id="166"/>
      <w:bookmarkStart w:id="167" w:name="_Toc184312105"/>
      <w:bookmarkEnd w:id="167"/>
      <w:bookmarkStart w:id="168" w:name="_Toc184310332"/>
      <w:bookmarkEnd w:id="168"/>
      <w:bookmarkStart w:id="169" w:name="_Toc184314429"/>
      <w:bookmarkEnd w:id="169"/>
      <w:bookmarkStart w:id="170" w:name="_Toc184308087"/>
      <w:bookmarkEnd w:id="170"/>
      <w:bookmarkStart w:id="171" w:name="_Toc184310319"/>
      <w:bookmarkEnd w:id="171"/>
      <w:bookmarkStart w:id="172" w:name="_Toc184314411"/>
      <w:bookmarkEnd w:id="172"/>
      <w:bookmarkStart w:id="173" w:name="_Toc184312078"/>
      <w:bookmarkEnd w:id="173"/>
      <w:bookmarkStart w:id="174" w:name="_Toc184308053"/>
      <w:bookmarkEnd w:id="174"/>
      <w:bookmarkStart w:id="175" w:name="_Toc184310302"/>
      <w:bookmarkEnd w:id="175"/>
      <w:bookmarkStart w:id="176" w:name="_Toc184308088"/>
      <w:bookmarkEnd w:id="176"/>
      <w:bookmarkStart w:id="177" w:name="_Toc184313299"/>
      <w:bookmarkEnd w:id="177"/>
      <w:bookmarkStart w:id="178" w:name="_Toc184314419"/>
      <w:bookmarkEnd w:id="178"/>
      <w:bookmarkStart w:id="179" w:name="_Toc184313273"/>
      <w:bookmarkEnd w:id="179"/>
      <w:bookmarkStart w:id="180" w:name="_Toc184314472"/>
      <w:bookmarkEnd w:id="180"/>
      <w:bookmarkStart w:id="181" w:name="_Toc184313251"/>
      <w:bookmarkEnd w:id="181"/>
      <w:bookmarkStart w:id="182" w:name="_Toc184313254"/>
      <w:bookmarkEnd w:id="182"/>
      <w:bookmarkStart w:id="183" w:name="_Toc184310340"/>
      <w:bookmarkEnd w:id="183"/>
      <w:bookmarkStart w:id="184" w:name="_Toc184310276"/>
      <w:bookmarkEnd w:id="184"/>
      <w:bookmarkStart w:id="185" w:name="_Toc184313304"/>
      <w:bookmarkEnd w:id="185"/>
      <w:bookmarkStart w:id="186" w:name="_Toc184313309"/>
      <w:bookmarkEnd w:id="186"/>
      <w:bookmarkStart w:id="187" w:name="_Toc184308101"/>
      <w:bookmarkEnd w:id="187"/>
      <w:bookmarkStart w:id="188" w:name="_Toc184312106"/>
      <w:bookmarkEnd w:id="188"/>
      <w:bookmarkStart w:id="189" w:name="_Toc184313260"/>
      <w:bookmarkEnd w:id="189"/>
      <w:bookmarkStart w:id="190" w:name="_Toc184310286"/>
      <w:bookmarkEnd w:id="190"/>
      <w:bookmarkStart w:id="191" w:name="_Toc184310298"/>
      <w:bookmarkEnd w:id="191"/>
      <w:bookmarkStart w:id="192" w:name="_Toc184314459"/>
      <w:bookmarkEnd w:id="192"/>
      <w:bookmarkStart w:id="193" w:name="_Toc184313258"/>
      <w:bookmarkEnd w:id="193"/>
      <w:bookmarkStart w:id="194" w:name="_Toc184308086"/>
      <w:bookmarkEnd w:id="194"/>
      <w:bookmarkStart w:id="195" w:name="_Toc184312082"/>
      <w:bookmarkEnd w:id="195"/>
      <w:bookmarkStart w:id="196" w:name="_Toc184308063"/>
      <w:bookmarkEnd w:id="196"/>
      <w:bookmarkStart w:id="197" w:name="_Toc184313244"/>
      <w:bookmarkEnd w:id="197"/>
      <w:bookmarkStart w:id="198" w:name="_Toc184314463"/>
      <w:bookmarkEnd w:id="198"/>
      <w:bookmarkStart w:id="199" w:name="_Toc184312115"/>
      <w:bookmarkEnd w:id="199"/>
      <w:bookmarkStart w:id="200" w:name="_Toc184314451"/>
      <w:bookmarkEnd w:id="200"/>
      <w:bookmarkStart w:id="201" w:name="_Toc184308058"/>
      <w:bookmarkEnd w:id="201"/>
      <w:bookmarkStart w:id="202" w:name="_Toc184312076"/>
      <w:bookmarkEnd w:id="202"/>
      <w:bookmarkStart w:id="203" w:name="_Toc184314457"/>
      <w:bookmarkEnd w:id="203"/>
      <w:bookmarkStart w:id="204" w:name="_Toc184313261"/>
      <w:bookmarkEnd w:id="204"/>
      <w:bookmarkStart w:id="205" w:name="_Toc184312136"/>
      <w:bookmarkEnd w:id="205"/>
      <w:bookmarkStart w:id="206" w:name="_Toc184313267"/>
      <w:bookmarkEnd w:id="206"/>
      <w:bookmarkStart w:id="207" w:name="_Toc184313310"/>
      <w:bookmarkEnd w:id="207"/>
      <w:bookmarkStart w:id="208" w:name="_Toc184313252"/>
      <w:bookmarkEnd w:id="208"/>
      <w:bookmarkStart w:id="209" w:name="_Toc184308071"/>
      <w:bookmarkEnd w:id="209"/>
      <w:bookmarkStart w:id="210" w:name="_Toc184310313"/>
      <w:bookmarkEnd w:id="210"/>
      <w:bookmarkStart w:id="211" w:name="_Toc184308100"/>
      <w:bookmarkEnd w:id="211"/>
      <w:bookmarkStart w:id="212" w:name="_Toc184313271"/>
      <w:bookmarkEnd w:id="212"/>
      <w:bookmarkStart w:id="213" w:name="_Toc184310300"/>
      <w:bookmarkEnd w:id="213"/>
      <w:bookmarkStart w:id="214" w:name="_Toc184310291"/>
      <w:bookmarkEnd w:id="214"/>
      <w:bookmarkStart w:id="215" w:name="_Toc184312083"/>
      <w:bookmarkEnd w:id="215"/>
      <w:bookmarkStart w:id="216" w:name="_Toc184312128"/>
      <w:bookmarkEnd w:id="216"/>
      <w:bookmarkStart w:id="217" w:name="_Toc184313249"/>
      <w:bookmarkEnd w:id="217"/>
      <w:bookmarkStart w:id="218" w:name="_Toc184308064"/>
      <w:bookmarkEnd w:id="218"/>
      <w:bookmarkStart w:id="219" w:name="_Toc184313298"/>
      <w:bookmarkEnd w:id="219"/>
      <w:bookmarkStart w:id="220" w:name="_Toc184308074"/>
      <w:bookmarkEnd w:id="220"/>
      <w:bookmarkStart w:id="221" w:name="_Toc184313255"/>
      <w:bookmarkEnd w:id="221"/>
      <w:bookmarkStart w:id="222" w:name="_Toc184313263"/>
      <w:bookmarkEnd w:id="222"/>
      <w:bookmarkStart w:id="223" w:name="_Toc184314443"/>
      <w:bookmarkEnd w:id="223"/>
      <w:bookmarkStart w:id="224" w:name="_Toc184313306"/>
      <w:bookmarkEnd w:id="224"/>
      <w:bookmarkStart w:id="225" w:name="_Toc184310295"/>
      <w:bookmarkEnd w:id="225"/>
      <w:bookmarkStart w:id="226" w:name="_Toc184310335"/>
      <w:bookmarkEnd w:id="226"/>
      <w:bookmarkStart w:id="227" w:name="_Toc184308057"/>
      <w:bookmarkEnd w:id="227"/>
      <w:bookmarkStart w:id="228" w:name="_Toc184308085"/>
      <w:bookmarkEnd w:id="228"/>
      <w:bookmarkStart w:id="229" w:name="_Toc184314475"/>
      <w:bookmarkEnd w:id="229"/>
      <w:bookmarkStart w:id="230" w:name="_Toc184308051"/>
      <w:bookmarkEnd w:id="230"/>
      <w:bookmarkStart w:id="231" w:name="_Toc184313268"/>
      <w:bookmarkEnd w:id="231"/>
      <w:bookmarkStart w:id="232" w:name="_Toc184310344"/>
      <w:bookmarkEnd w:id="232"/>
      <w:bookmarkStart w:id="233" w:name="_Toc184313303"/>
      <w:bookmarkEnd w:id="233"/>
      <w:bookmarkStart w:id="234" w:name="_Toc184312068"/>
      <w:bookmarkEnd w:id="234"/>
      <w:bookmarkStart w:id="235" w:name="_Toc184314430"/>
      <w:bookmarkEnd w:id="235"/>
      <w:bookmarkStart w:id="236" w:name="_Toc184310309"/>
      <w:bookmarkEnd w:id="236"/>
      <w:bookmarkStart w:id="237" w:name="_Toc184310333"/>
      <w:bookmarkEnd w:id="237"/>
      <w:bookmarkStart w:id="238" w:name="_Toc184308068"/>
      <w:bookmarkEnd w:id="238"/>
      <w:bookmarkStart w:id="239" w:name="_Toc184308036"/>
      <w:bookmarkEnd w:id="239"/>
      <w:bookmarkStart w:id="240" w:name="_Toc184308069"/>
      <w:bookmarkEnd w:id="240"/>
      <w:bookmarkStart w:id="241" w:name="_Toc184308083"/>
      <w:bookmarkEnd w:id="241"/>
      <w:bookmarkStart w:id="242" w:name="_Toc184313300"/>
      <w:bookmarkEnd w:id="242"/>
      <w:bookmarkStart w:id="243" w:name="_Toc184310311"/>
      <w:bookmarkEnd w:id="243"/>
      <w:bookmarkStart w:id="244" w:name="_Toc184313242"/>
      <w:bookmarkEnd w:id="244"/>
      <w:bookmarkStart w:id="245" w:name="_Toc184314425"/>
      <w:bookmarkEnd w:id="245"/>
      <w:bookmarkStart w:id="246" w:name="_Toc184312069"/>
      <w:bookmarkEnd w:id="246"/>
      <w:bookmarkStart w:id="247" w:name="_Toc184308052"/>
      <w:bookmarkEnd w:id="247"/>
      <w:bookmarkStart w:id="248" w:name="_Toc184312088"/>
      <w:bookmarkEnd w:id="248"/>
      <w:bookmarkStart w:id="249" w:name="_Toc184308043"/>
      <w:bookmarkEnd w:id="249"/>
      <w:bookmarkStart w:id="250" w:name="_Toc184313266"/>
      <w:bookmarkEnd w:id="250"/>
      <w:bookmarkStart w:id="251" w:name="_Toc184313285"/>
      <w:bookmarkEnd w:id="251"/>
      <w:bookmarkStart w:id="252" w:name="_Toc184312108"/>
      <w:bookmarkEnd w:id="252"/>
      <w:bookmarkStart w:id="253" w:name="_Toc184314460"/>
      <w:bookmarkEnd w:id="253"/>
      <w:bookmarkStart w:id="254" w:name="_Toc184314437"/>
      <w:bookmarkEnd w:id="254"/>
      <w:bookmarkStart w:id="255" w:name="_Toc184313287"/>
      <w:bookmarkEnd w:id="255"/>
      <w:bookmarkStart w:id="256" w:name="_Toc184310304"/>
      <w:bookmarkEnd w:id="256"/>
      <w:bookmarkStart w:id="257" w:name="_Toc184312107"/>
      <w:bookmarkEnd w:id="257"/>
      <w:bookmarkStart w:id="258" w:name="_Toc184310343"/>
      <w:bookmarkEnd w:id="258"/>
      <w:bookmarkStart w:id="259" w:name="_Toc184310317"/>
      <w:bookmarkEnd w:id="259"/>
      <w:bookmarkStart w:id="260" w:name="_Toc184308054"/>
      <w:bookmarkEnd w:id="260"/>
      <w:bookmarkStart w:id="261" w:name="_Toc184312114"/>
      <w:bookmarkEnd w:id="261"/>
      <w:bookmarkStart w:id="262" w:name="_Toc184314442"/>
      <w:bookmarkEnd w:id="262"/>
      <w:bookmarkStart w:id="263" w:name="_Toc184314434"/>
      <w:bookmarkEnd w:id="263"/>
      <w:bookmarkStart w:id="264" w:name="_Toc184312113"/>
      <w:bookmarkEnd w:id="264"/>
      <w:bookmarkStart w:id="265" w:name="_Toc184308092"/>
      <w:bookmarkEnd w:id="265"/>
      <w:bookmarkStart w:id="266" w:name="_Toc184314412"/>
      <w:bookmarkEnd w:id="266"/>
      <w:bookmarkStart w:id="267" w:name="_Toc184313307"/>
      <w:bookmarkEnd w:id="267"/>
      <w:bookmarkStart w:id="268" w:name="_Toc184308066"/>
      <w:bookmarkEnd w:id="268"/>
      <w:bookmarkStart w:id="269" w:name="_Toc184312097"/>
      <w:bookmarkEnd w:id="269"/>
      <w:bookmarkStart w:id="270" w:name="_Toc184314413"/>
      <w:bookmarkEnd w:id="270"/>
      <w:bookmarkStart w:id="271" w:name="_Toc184310322"/>
      <w:bookmarkEnd w:id="271"/>
      <w:bookmarkStart w:id="272" w:name="_Toc184308045"/>
      <w:bookmarkEnd w:id="272"/>
      <w:bookmarkStart w:id="273" w:name="_Toc184308089"/>
      <w:bookmarkEnd w:id="273"/>
      <w:bookmarkStart w:id="274" w:name="_Toc184312123"/>
      <w:bookmarkEnd w:id="274"/>
      <w:bookmarkStart w:id="275" w:name="_Toc184310328"/>
      <w:bookmarkEnd w:id="275"/>
      <w:bookmarkStart w:id="276" w:name="_Toc184308095"/>
      <w:bookmarkEnd w:id="276"/>
      <w:bookmarkStart w:id="277" w:name="_Toc184312096"/>
      <w:bookmarkEnd w:id="277"/>
      <w:bookmarkStart w:id="278" w:name="_Toc184314439"/>
      <w:bookmarkEnd w:id="278"/>
      <w:bookmarkStart w:id="279" w:name="_Toc184314464"/>
      <w:bookmarkEnd w:id="279"/>
      <w:bookmarkStart w:id="280" w:name="_Toc184314450"/>
      <w:bookmarkEnd w:id="280"/>
      <w:bookmarkStart w:id="281" w:name="_Toc184308105"/>
      <w:bookmarkEnd w:id="281"/>
      <w:bookmarkStart w:id="282" w:name="_Toc184310306"/>
      <w:bookmarkEnd w:id="282"/>
      <w:bookmarkStart w:id="283" w:name="_Toc184308108"/>
      <w:bookmarkEnd w:id="283"/>
      <w:bookmarkStart w:id="284" w:name="_Toc184310277"/>
      <w:bookmarkEnd w:id="284"/>
      <w:bookmarkStart w:id="285" w:name="_Toc184312101"/>
      <w:bookmarkEnd w:id="285"/>
      <w:bookmarkStart w:id="286" w:name="_Toc184313290"/>
      <w:bookmarkEnd w:id="286"/>
      <w:bookmarkStart w:id="287" w:name="_Toc184313265"/>
      <w:bookmarkEnd w:id="287"/>
      <w:bookmarkStart w:id="288" w:name="_Toc184313257"/>
      <w:bookmarkEnd w:id="288"/>
      <w:bookmarkStart w:id="289" w:name="_Toc184314431"/>
      <w:bookmarkEnd w:id="289"/>
      <w:bookmarkStart w:id="290" w:name="_Toc184308055"/>
      <w:bookmarkEnd w:id="290"/>
      <w:bookmarkStart w:id="291" w:name="_Toc184314465"/>
      <w:bookmarkEnd w:id="291"/>
      <w:bookmarkStart w:id="292" w:name="_Toc184310314"/>
      <w:bookmarkEnd w:id="292"/>
      <w:bookmarkStart w:id="293" w:name="_Toc184308072"/>
      <w:bookmarkEnd w:id="293"/>
      <w:bookmarkStart w:id="294" w:name="_Toc184314476"/>
      <w:bookmarkEnd w:id="294"/>
      <w:bookmarkStart w:id="295" w:name="_Toc184314420"/>
      <w:bookmarkEnd w:id="295"/>
      <w:bookmarkStart w:id="296" w:name="_Toc184314417"/>
      <w:bookmarkEnd w:id="296"/>
      <w:bookmarkStart w:id="297" w:name="_Toc184314438"/>
      <w:bookmarkEnd w:id="297"/>
      <w:bookmarkStart w:id="298" w:name="_Toc184314466"/>
      <w:bookmarkEnd w:id="298"/>
      <w:bookmarkStart w:id="299" w:name="_Toc184310308"/>
      <w:bookmarkEnd w:id="299"/>
      <w:bookmarkStart w:id="300" w:name="_Toc184310334"/>
      <w:bookmarkEnd w:id="300"/>
      <w:bookmarkStart w:id="301" w:name="_Toc184310288"/>
      <w:bookmarkEnd w:id="301"/>
      <w:bookmarkStart w:id="302" w:name="_Toc184308091"/>
      <w:bookmarkEnd w:id="302"/>
      <w:bookmarkStart w:id="303" w:name="_Toc184312092"/>
      <w:bookmarkEnd w:id="303"/>
      <w:bookmarkStart w:id="304" w:name="_Toc184310305"/>
      <w:bookmarkEnd w:id="304"/>
      <w:bookmarkStart w:id="305" w:name="_Toc184310301"/>
      <w:bookmarkEnd w:id="305"/>
      <w:bookmarkStart w:id="306" w:name="_Toc184314416"/>
      <w:bookmarkEnd w:id="306"/>
      <w:bookmarkStart w:id="307" w:name="_Toc184308104"/>
      <w:bookmarkEnd w:id="307"/>
      <w:bookmarkStart w:id="308" w:name="_Toc184312119"/>
      <w:bookmarkEnd w:id="308"/>
      <w:bookmarkStart w:id="309" w:name="_Toc184308090"/>
      <w:bookmarkEnd w:id="309"/>
      <w:bookmarkStart w:id="310" w:name="_Toc184308098"/>
      <w:bookmarkEnd w:id="310"/>
      <w:bookmarkStart w:id="311" w:name="_Toc184314444"/>
      <w:bookmarkEnd w:id="311"/>
      <w:bookmarkStart w:id="312" w:name="_Toc184313283"/>
      <w:bookmarkEnd w:id="312"/>
      <w:bookmarkStart w:id="313" w:name="_Toc184308065"/>
      <w:bookmarkEnd w:id="313"/>
      <w:bookmarkStart w:id="314" w:name="_Toc184314433"/>
      <w:bookmarkEnd w:id="314"/>
      <w:bookmarkStart w:id="315" w:name="_Toc184308106"/>
      <w:bookmarkEnd w:id="315"/>
      <w:bookmarkStart w:id="316" w:name="_Toc184313296"/>
      <w:bookmarkEnd w:id="316"/>
      <w:bookmarkStart w:id="317" w:name="_Toc184314479"/>
      <w:bookmarkEnd w:id="317"/>
      <w:bookmarkStart w:id="318" w:name="_Toc184314424"/>
      <w:bookmarkEnd w:id="318"/>
      <w:bookmarkStart w:id="319" w:name="_Toc184308076"/>
      <w:bookmarkEnd w:id="319"/>
      <w:bookmarkStart w:id="320" w:name="_Toc184312121"/>
      <w:bookmarkEnd w:id="320"/>
      <w:bookmarkStart w:id="321" w:name="_Toc184312080"/>
      <w:bookmarkEnd w:id="321"/>
      <w:bookmarkStart w:id="322" w:name="_Toc184313295"/>
      <w:bookmarkEnd w:id="322"/>
      <w:bookmarkStart w:id="323" w:name="_Toc184310321"/>
      <w:bookmarkEnd w:id="323"/>
      <w:bookmarkStart w:id="324" w:name="_Toc184310330"/>
      <w:bookmarkEnd w:id="324"/>
      <w:bookmarkStart w:id="325" w:name="_Toc184312109"/>
      <w:bookmarkEnd w:id="325"/>
      <w:bookmarkStart w:id="326" w:name="_Toc184312071"/>
      <w:bookmarkEnd w:id="326"/>
      <w:bookmarkStart w:id="327" w:name="_Toc184313291"/>
      <w:bookmarkEnd w:id="327"/>
      <w:bookmarkStart w:id="328" w:name="_Toc184312139"/>
      <w:bookmarkEnd w:id="328"/>
      <w:bookmarkStart w:id="329" w:name="_Toc184312127"/>
      <w:bookmarkEnd w:id="329"/>
      <w:bookmarkStart w:id="330" w:name="_Toc184310341"/>
      <w:bookmarkEnd w:id="330"/>
      <w:bookmarkStart w:id="331" w:name="_Toc184310293"/>
      <w:bookmarkEnd w:id="331"/>
      <w:bookmarkStart w:id="332" w:name="_Toc184314477"/>
      <w:bookmarkEnd w:id="332"/>
      <w:bookmarkStart w:id="333" w:name="_Toc184314449"/>
      <w:bookmarkEnd w:id="333"/>
      <w:bookmarkStart w:id="334" w:name="_Toc184310299"/>
      <w:bookmarkEnd w:id="334"/>
      <w:bookmarkStart w:id="335" w:name="_Toc184312129"/>
      <w:bookmarkEnd w:id="335"/>
      <w:bookmarkStart w:id="336" w:name="_Toc184312094"/>
      <w:bookmarkEnd w:id="336"/>
      <w:bookmarkStart w:id="337" w:name="_Toc184310294"/>
      <w:bookmarkEnd w:id="337"/>
      <w:bookmarkStart w:id="338" w:name="_Toc184314432"/>
      <w:bookmarkEnd w:id="338"/>
      <w:bookmarkStart w:id="339" w:name="_Toc184310339"/>
      <w:bookmarkEnd w:id="339"/>
      <w:bookmarkStart w:id="340" w:name="_Toc184314447"/>
      <w:bookmarkEnd w:id="340"/>
      <w:bookmarkStart w:id="341" w:name="_Toc184308037"/>
      <w:bookmarkEnd w:id="341"/>
      <w:bookmarkStart w:id="342" w:name="_Toc184314453"/>
      <w:bookmarkEnd w:id="342"/>
      <w:bookmarkStart w:id="343" w:name="_Toc184310324"/>
      <w:bookmarkEnd w:id="343"/>
      <w:bookmarkStart w:id="344" w:name="_Toc184314418"/>
      <w:bookmarkEnd w:id="344"/>
      <w:bookmarkStart w:id="345" w:name="_Toc184312079"/>
      <w:bookmarkEnd w:id="345"/>
      <w:bookmarkStart w:id="346" w:name="_Toc184312095"/>
      <w:bookmarkEnd w:id="346"/>
      <w:bookmarkStart w:id="347" w:name="_Toc184313256"/>
      <w:bookmarkEnd w:id="347"/>
      <w:bookmarkStart w:id="348" w:name="_Toc184310329"/>
      <w:bookmarkEnd w:id="348"/>
      <w:bookmarkStart w:id="349" w:name="_Toc184310281"/>
      <w:bookmarkEnd w:id="349"/>
      <w:bookmarkStart w:id="350" w:name="_Toc184308039"/>
      <w:bookmarkEnd w:id="350"/>
      <w:bookmarkStart w:id="351" w:name="_Toc184314462"/>
      <w:bookmarkEnd w:id="351"/>
      <w:bookmarkStart w:id="352" w:name="_Toc184314469"/>
      <w:bookmarkEnd w:id="352"/>
      <w:bookmarkStart w:id="353" w:name="_Toc184312125"/>
      <w:bookmarkEnd w:id="353"/>
      <w:bookmarkStart w:id="354" w:name="_Toc184313297"/>
      <w:bookmarkEnd w:id="354"/>
      <w:bookmarkStart w:id="355" w:name="_Toc184314474"/>
      <w:bookmarkEnd w:id="355"/>
      <w:bookmarkStart w:id="356" w:name="_Toc184310285"/>
      <w:bookmarkEnd w:id="356"/>
      <w:bookmarkStart w:id="357" w:name="_Toc184310320"/>
      <w:bookmarkEnd w:id="357"/>
      <w:bookmarkStart w:id="358" w:name="_Toc184308059"/>
      <w:bookmarkEnd w:id="358"/>
      <w:bookmarkStart w:id="359" w:name="_Toc184312070"/>
      <w:bookmarkEnd w:id="359"/>
      <w:bookmarkStart w:id="360" w:name="_Toc184313277"/>
      <w:bookmarkEnd w:id="360"/>
      <w:bookmarkStart w:id="361" w:name="_Toc184313253"/>
      <w:bookmarkEnd w:id="361"/>
      <w:bookmarkStart w:id="362" w:name="_Toc184313280"/>
      <w:bookmarkEnd w:id="362"/>
      <w:bookmarkStart w:id="363" w:name="_Toc184308097"/>
      <w:bookmarkEnd w:id="363"/>
      <w:bookmarkStart w:id="364" w:name="_Toc184308038"/>
      <w:bookmarkEnd w:id="364"/>
      <w:bookmarkStart w:id="365" w:name="_Toc184312134"/>
      <w:bookmarkEnd w:id="365"/>
      <w:bookmarkStart w:id="366" w:name="_Toc184313305"/>
      <w:bookmarkEnd w:id="366"/>
      <w:bookmarkStart w:id="367" w:name="_Toc184312132"/>
      <w:bookmarkEnd w:id="367"/>
      <w:bookmarkStart w:id="368" w:name="_Toc184313243"/>
      <w:bookmarkEnd w:id="368"/>
      <w:bookmarkStart w:id="369" w:name="_Toc184314441"/>
      <w:bookmarkEnd w:id="369"/>
      <w:bookmarkStart w:id="370" w:name="_Toc184313292"/>
      <w:bookmarkEnd w:id="370"/>
      <w:bookmarkStart w:id="371" w:name="_Toc184313240"/>
      <w:bookmarkEnd w:id="371"/>
      <w:bookmarkStart w:id="372" w:name="_Toc184308093"/>
      <w:bookmarkEnd w:id="372"/>
      <w:bookmarkStart w:id="373" w:name="_Toc184313294"/>
      <w:bookmarkEnd w:id="373"/>
      <w:bookmarkStart w:id="374" w:name="_Toc184314480"/>
      <w:bookmarkEnd w:id="374"/>
      <w:bookmarkStart w:id="375" w:name="_Toc184314448"/>
      <w:bookmarkEnd w:id="375"/>
      <w:bookmarkStart w:id="376" w:name="_Toc184308096"/>
      <w:bookmarkEnd w:id="376"/>
      <w:bookmarkStart w:id="377" w:name="_Toc184313308"/>
      <w:bookmarkEnd w:id="377"/>
      <w:bookmarkStart w:id="378" w:name="_Toc184313250"/>
      <w:bookmarkEnd w:id="378"/>
      <w:bookmarkStart w:id="379" w:name="_Toc184310310"/>
      <w:bookmarkEnd w:id="379"/>
      <w:bookmarkStart w:id="380" w:name="_Toc184314456"/>
      <w:bookmarkEnd w:id="380"/>
      <w:bookmarkStart w:id="381" w:name="_Toc184313241"/>
      <w:bookmarkEnd w:id="381"/>
      <w:bookmarkStart w:id="382" w:name="_Toc184310338"/>
      <w:bookmarkEnd w:id="382"/>
      <w:bookmarkStart w:id="383" w:name="_Toc184313259"/>
      <w:bookmarkEnd w:id="383"/>
      <w:bookmarkStart w:id="384" w:name="_Toc184308079"/>
      <w:bookmarkEnd w:id="384"/>
      <w:bookmarkStart w:id="385" w:name="_Toc184308082"/>
      <w:bookmarkEnd w:id="385"/>
      <w:bookmarkStart w:id="386" w:name="_Toc184308084"/>
      <w:bookmarkEnd w:id="386"/>
      <w:bookmarkStart w:id="387" w:name="_Toc184314428"/>
      <w:bookmarkEnd w:id="387"/>
      <w:bookmarkStart w:id="388" w:name="_Toc184308062"/>
      <w:bookmarkEnd w:id="388"/>
      <w:bookmarkStart w:id="389" w:name="_Toc184312084"/>
      <w:bookmarkEnd w:id="389"/>
      <w:bookmarkStart w:id="390" w:name="_Toc184312137"/>
      <w:bookmarkEnd w:id="390"/>
      <w:bookmarkStart w:id="391" w:name="_Toc184308075"/>
      <w:bookmarkEnd w:id="391"/>
      <w:bookmarkStart w:id="392" w:name="_Toc184308081"/>
      <w:bookmarkEnd w:id="392"/>
      <w:bookmarkStart w:id="393" w:name="_Toc184308073"/>
      <w:bookmarkEnd w:id="393"/>
      <w:bookmarkStart w:id="394" w:name="_Toc184312098"/>
      <w:bookmarkEnd w:id="394"/>
      <w:bookmarkStart w:id="395" w:name="_Toc184314470"/>
      <w:bookmarkEnd w:id="395"/>
      <w:bookmarkStart w:id="396" w:name="_Toc184312122"/>
      <w:bookmarkEnd w:id="396"/>
      <w:bookmarkStart w:id="397" w:name="_Toc184310315"/>
      <w:bookmarkEnd w:id="397"/>
      <w:bookmarkStart w:id="398" w:name="_Toc184308049"/>
      <w:bookmarkEnd w:id="398"/>
      <w:bookmarkStart w:id="399" w:name="_Toc184308103"/>
      <w:bookmarkEnd w:id="399"/>
      <w:bookmarkStart w:id="400" w:name="_Toc184313282"/>
      <w:bookmarkEnd w:id="400"/>
      <w:bookmarkStart w:id="401" w:name="_Toc184312091"/>
      <w:bookmarkEnd w:id="401"/>
      <w:bookmarkStart w:id="402" w:name="_Toc184314461"/>
      <w:bookmarkEnd w:id="402"/>
      <w:bookmarkStart w:id="403" w:name="_Toc184310284"/>
      <w:bookmarkEnd w:id="403"/>
      <w:bookmarkStart w:id="404" w:name="_Toc184310331"/>
      <w:bookmarkEnd w:id="404"/>
      <w:bookmarkStart w:id="405" w:name="_Toc184310274"/>
      <w:bookmarkEnd w:id="405"/>
      <w:bookmarkStart w:id="406" w:name="_Toc184313275"/>
      <w:bookmarkEnd w:id="406"/>
      <w:bookmarkStart w:id="407" w:name="_Toc184312086"/>
      <w:bookmarkEnd w:id="407"/>
      <w:bookmarkStart w:id="408" w:name="_Toc184310325"/>
      <w:bookmarkEnd w:id="408"/>
      <w:bookmarkStart w:id="409" w:name="_Toc184313238"/>
      <w:bookmarkEnd w:id="409"/>
      <w:bookmarkStart w:id="410" w:name="_Toc184308056"/>
      <w:bookmarkEnd w:id="410"/>
      <w:bookmarkStart w:id="411" w:name="_Toc184308102"/>
      <w:bookmarkEnd w:id="411"/>
      <w:bookmarkStart w:id="412" w:name="_Toc184310292"/>
      <w:bookmarkEnd w:id="412"/>
      <w:bookmarkStart w:id="413" w:name="_Toc184312120"/>
      <w:bookmarkEnd w:id="413"/>
      <w:bookmarkStart w:id="414" w:name="_Toc184310278"/>
      <w:bookmarkEnd w:id="414"/>
      <w:bookmarkStart w:id="415" w:name="_Toc184312074"/>
      <w:bookmarkEnd w:id="415"/>
      <w:bookmarkStart w:id="416" w:name="_Toc184310312"/>
      <w:bookmarkEnd w:id="416"/>
      <w:bookmarkStart w:id="417" w:name="_Toc184314454"/>
      <w:bookmarkEnd w:id="417"/>
      <w:bookmarkStart w:id="418" w:name="_Toc184314427"/>
      <w:bookmarkEnd w:id="418"/>
      <w:bookmarkStart w:id="419" w:name="_Toc184314481"/>
      <w:bookmarkEnd w:id="419"/>
      <w:bookmarkStart w:id="420" w:name="_Toc184313281"/>
      <w:bookmarkEnd w:id="420"/>
      <w:bookmarkStart w:id="421" w:name="_Toc184308048"/>
      <w:bookmarkEnd w:id="421"/>
      <w:bookmarkStart w:id="422" w:name="_Toc184314471"/>
      <w:bookmarkEnd w:id="422"/>
      <w:bookmarkStart w:id="423" w:name="_Toc184312118"/>
      <w:bookmarkEnd w:id="423"/>
      <w:r>
        <w:rPr>
          <w:rStyle w:val="285"/>
          <w:rFonts w:hint="eastAsia"/>
          <w:color w:val="auto"/>
          <w:highlight w:val="none"/>
        </w:rPr>
        <w:t xml:space="preserve"> 评审办法</w:t>
      </w:r>
    </w:p>
    <w:bookmarkEnd w:id="58"/>
    <w:p w14:paraId="0518E7C9">
      <w:pPr>
        <w:snapToGrid w:val="0"/>
        <w:spacing w:line="360" w:lineRule="auto"/>
        <w:jc w:val="center"/>
        <w:rPr>
          <w:rFonts w:hint="eastAsia" w:ascii="宋体" w:hAnsi="宋体" w:cs="宋体"/>
          <w:b/>
          <w:color w:val="auto"/>
          <w:sz w:val="32"/>
          <w:szCs w:val="20"/>
          <w:highlight w:val="none"/>
        </w:rPr>
      </w:pPr>
      <w:r>
        <w:rPr>
          <w:rFonts w:hint="eastAsia" w:ascii="宋体" w:hAnsi="宋体" w:cs="宋体"/>
          <w:b/>
          <w:color w:val="auto"/>
          <w:sz w:val="32"/>
          <w:szCs w:val="20"/>
          <w:highlight w:val="none"/>
        </w:rPr>
        <w:t>评审办法前附表</w:t>
      </w:r>
    </w:p>
    <w:tbl>
      <w:tblPr>
        <w:tblStyle w:val="63"/>
        <w:tblW w:w="93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5897"/>
        <w:gridCol w:w="953"/>
        <w:gridCol w:w="1824"/>
      </w:tblGrid>
      <w:tr w14:paraId="1FE2D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2780CAD6">
            <w:pPr>
              <w:snapToGrid w:val="0"/>
              <w:jc w:val="center"/>
              <w:outlineLvl w:val="0"/>
              <w:rPr>
                <w:rFonts w:hint="eastAsia" w:ascii="宋体" w:hAnsi="宋体" w:cs="宋体"/>
                <w:bCs/>
                <w:color w:val="auto"/>
                <w:sz w:val="24"/>
                <w:highlight w:val="none"/>
              </w:rPr>
            </w:pPr>
            <w:bookmarkStart w:id="424" w:name="_Toc3755"/>
            <w:bookmarkStart w:id="425" w:name="_Toc5721"/>
            <w:bookmarkStart w:id="426" w:name="_Toc6165"/>
            <w:r>
              <w:rPr>
                <w:rFonts w:hint="eastAsia" w:ascii="宋体" w:hAnsi="宋体" w:cs="宋体"/>
                <w:bCs/>
                <w:color w:val="auto"/>
                <w:sz w:val="24"/>
                <w:highlight w:val="none"/>
              </w:rPr>
              <w:t>序号</w:t>
            </w:r>
            <w:bookmarkEnd w:id="424"/>
            <w:bookmarkEnd w:id="425"/>
            <w:bookmarkEnd w:id="426"/>
          </w:p>
        </w:tc>
        <w:tc>
          <w:tcPr>
            <w:tcW w:w="5897" w:type="dxa"/>
            <w:vAlign w:val="center"/>
          </w:tcPr>
          <w:p w14:paraId="12F22BCB">
            <w:pPr>
              <w:snapToGrid w:val="0"/>
              <w:jc w:val="center"/>
              <w:outlineLvl w:val="0"/>
              <w:rPr>
                <w:rFonts w:hint="eastAsia" w:ascii="宋体" w:hAnsi="宋体" w:cs="宋体"/>
                <w:bCs/>
                <w:color w:val="auto"/>
                <w:sz w:val="24"/>
                <w:highlight w:val="none"/>
              </w:rPr>
            </w:pPr>
            <w:bookmarkStart w:id="427" w:name="_Toc23005"/>
            <w:bookmarkStart w:id="428" w:name="_Toc8145"/>
            <w:bookmarkStart w:id="429" w:name="_Toc795"/>
            <w:r>
              <w:rPr>
                <w:rFonts w:hint="eastAsia" w:ascii="宋体" w:hAnsi="宋体" w:cs="宋体"/>
                <w:bCs/>
                <w:color w:val="auto"/>
                <w:sz w:val="24"/>
                <w:highlight w:val="none"/>
              </w:rPr>
              <w:t>评审标准</w:t>
            </w:r>
            <w:bookmarkEnd w:id="427"/>
            <w:bookmarkEnd w:id="428"/>
            <w:bookmarkEnd w:id="429"/>
          </w:p>
        </w:tc>
        <w:tc>
          <w:tcPr>
            <w:tcW w:w="953" w:type="dxa"/>
            <w:vAlign w:val="center"/>
          </w:tcPr>
          <w:p w14:paraId="6F86B920">
            <w:pPr>
              <w:snapToGrid w:val="0"/>
              <w:jc w:val="center"/>
              <w:outlineLvl w:val="0"/>
              <w:rPr>
                <w:rFonts w:hint="eastAsia" w:ascii="宋体" w:hAnsi="宋体" w:cs="宋体"/>
                <w:bCs/>
                <w:color w:val="auto"/>
                <w:sz w:val="24"/>
                <w:highlight w:val="none"/>
              </w:rPr>
            </w:pPr>
            <w:bookmarkStart w:id="430" w:name="_Toc6326"/>
            <w:bookmarkStart w:id="431" w:name="_Toc10466"/>
            <w:bookmarkStart w:id="432" w:name="_Toc24457"/>
            <w:r>
              <w:rPr>
                <w:rFonts w:hint="eastAsia" w:ascii="宋体" w:hAnsi="宋体" w:cs="宋体"/>
                <w:bCs/>
                <w:color w:val="auto"/>
                <w:sz w:val="24"/>
                <w:highlight w:val="none"/>
              </w:rPr>
              <w:t>权重</w:t>
            </w:r>
            <w:bookmarkEnd w:id="430"/>
            <w:bookmarkEnd w:id="431"/>
            <w:bookmarkEnd w:id="432"/>
          </w:p>
        </w:tc>
        <w:tc>
          <w:tcPr>
            <w:tcW w:w="1824" w:type="dxa"/>
          </w:tcPr>
          <w:p w14:paraId="1E78EB2D">
            <w:pPr>
              <w:snapToGrid w:val="0"/>
              <w:jc w:val="center"/>
              <w:outlineLvl w:val="0"/>
              <w:rPr>
                <w:rFonts w:hint="eastAsia" w:ascii="宋体" w:hAnsi="宋体" w:cs="宋体"/>
                <w:bCs/>
                <w:color w:val="auto"/>
                <w:sz w:val="24"/>
                <w:highlight w:val="none"/>
              </w:rPr>
            </w:pPr>
            <w:bookmarkStart w:id="433" w:name="_Toc3923"/>
            <w:bookmarkStart w:id="434" w:name="_Toc29899"/>
            <w:bookmarkStart w:id="435" w:name="_Toc27087"/>
            <w:r>
              <w:rPr>
                <w:rFonts w:hint="eastAsia" w:ascii="宋体" w:hAnsi="宋体" w:cs="宋体"/>
                <w:bCs/>
                <w:color w:val="auto"/>
                <w:sz w:val="24"/>
                <w:highlight w:val="none"/>
              </w:rPr>
              <w:t>响应文件中评审标准相应的商务技术资料目录</w:t>
            </w:r>
            <w:r>
              <w:rPr>
                <w:rFonts w:hint="eastAsia" w:ascii="宋体" w:hAnsi="宋体" w:cs="宋体"/>
                <w:color w:val="auto"/>
                <w:sz w:val="24"/>
                <w:highlight w:val="none"/>
                <w:shd w:val="clear" w:color="auto" w:fill="FFFFFF"/>
              </w:rPr>
              <w:t> *</w:t>
            </w:r>
            <w:bookmarkEnd w:id="433"/>
            <w:bookmarkEnd w:id="434"/>
            <w:bookmarkEnd w:id="435"/>
          </w:p>
        </w:tc>
      </w:tr>
      <w:tr w14:paraId="4895F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D26ECAA">
            <w:pPr>
              <w:numPr>
                <w:ilvl w:val="0"/>
                <w:numId w:val="2"/>
              </w:numPr>
              <w:snapToGrid w:val="0"/>
              <w:jc w:val="center"/>
              <w:outlineLvl w:val="0"/>
              <w:rPr>
                <w:rFonts w:hint="eastAsia" w:ascii="宋体" w:hAnsi="宋体" w:cs="宋体"/>
                <w:color w:val="auto"/>
                <w:sz w:val="24"/>
                <w:highlight w:val="none"/>
              </w:rPr>
            </w:pPr>
            <w:bookmarkStart w:id="436" w:name="_Toc15719"/>
            <w:bookmarkEnd w:id="436"/>
          </w:p>
        </w:tc>
        <w:tc>
          <w:tcPr>
            <w:tcW w:w="5897" w:type="dxa"/>
            <w:vAlign w:val="center"/>
          </w:tcPr>
          <w:p w14:paraId="395228EC">
            <w:pPr>
              <w:spacing w:line="360" w:lineRule="auto"/>
              <w:rPr>
                <w:rFonts w:hint="eastAsia" w:ascii="宋体" w:hAnsi="宋体" w:cs="宋体"/>
                <w:color w:val="auto"/>
                <w:sz w:val="24"/>
                <w:highlight w:val="none"/>
              </w:rPr>
            </w:pPr>
            <w:r>
              <w:rPr>
                <w:rFonts w:hint="eastAsia" w:ascii="宋体" w:hAnsi="宋体" w:cs="宋体"/>
                <w:color w:val="auto"/>
                <w:sz w:val="24"/>
                <w:highlight w:val="none"/>
              </w:rPr>
              <w:t>供应商类似项目业绩：自2022年1月1日至响应文件提交截止时间，具有类似工程业绩的，每提供一个项目的证明材料得1分，最高2分，未提供的得0分。</w:t>
            </w:r>
          </w:p>
          <w:p w14:paraId="1FF8C68B">
            <w:pPr>
              <w:spacing w:line="360" w:lineRule="auto"/>
              <w:rPr>
                <w:rFonts w:hint="eastAsia" w:ascii="宋体" w:hAnsi="宋体" w:cs="宋体"/>
                <w:color w:val="auto"/>
                <w:sz w:val="24"/>
                <w:highlight w:val="none"/>
              </w:rPr>
            </w:pPr>
            <w:r>
              <w:rPr>
                <w:rFonts w:hint="eastAsia" w:ascii="宋体" w:hAnsi="宋体" w:cs="宋体"/>
                <w:color w:val="auto"/>
                <w:sz w:val="24"/>
                <w:highlight w:val="none"/>
              </w:rPr>
              <w:t>业绩证明材料须提供施工合同及竣工验收证明（以合同签订时间为准），要求证明材料能反映评审要素，提供的证明材料不能反映评审要素的可提供其他的佐证材料。</w:t>
            </w:r>
          </w:p>
        </w:tc>
        <w:tc>
          <w:tcPr>
            <w:tcW w:w="953" w:type="dxa"/>
            <w:vAlign w:val="center"/>
          </w:tcPr>
          <w:p w14:paraId="25E5900C">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2分</w:t>
            </w:r>
          </w:p>
        </w:tc>
        <w:tc>
          <w:tcPr>
            <w:tcW w:w="1824" w:type="dxa"/>
            <w:vAlign w:val="center"/>
          </w:tcPr>
          <w:p w14:paraId="72D3F61F">
            <w:pPr>
              <w:snapToGrid w:val="0"/>
              <w:jc w:val="center"/>
              <w:rPr>
                <w:rFonts w:hint="eastAsia" w:ascii="宋体" w:hAnsi="宋体" w:cs="宋体"/>
                <w:color w:val="auto"/>
                <w:sz w:val="24"/>
                <w:highlight w:val="none"/>
              </w:rPr>
            </w:pPr>
          </w:p>
        </w:tc>
      </w:tr>
      <w:tr w14:paraId="5E6A1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BCB181A">
            <w:pPr>
              <w:numPr>
                <w:ilvl w:val="0"/>
                <w:numId w:val="2"/>
              </w:numPr>
              <w:snapToGrid w:val="0"/>
              <w:jc w:val="center"/>
              <w:outlineLvl w:val="0"/>
              <w:rPr>
                <w:rFonts w:hint="eastAsia" w:ascii="宋体" w:hAnsi="宋体" w:cs="宋体"/>
                <w:color w:val="auto"/>
                <w:sz w:val="24"/>
                <w:highlight w:val="none"/>
              </w:rPr>
            </w:pPr>
            <w:bookmarkStart w:id="437" w:name="_Toc6368"/>
            <w:bookmarkEnd w:id="437"/>
          </w:p>
        </w:tc>
        <w:tc>
          <w:tcPr>
            <w:tcW w:w="5897" w:type="dxa"/>
            <w:vAlign w:val="center"/>
          </w:tcPr>
          <w:p w14:paraId="79687243">
            <w:pPr>
              <w:spacing w:line="360" w:lineRule="auto"/>
              <w:rPr>
                <w:rFonts w:hint="eastAsia" w:ascii="宋体" w:hAnsi="宋体" w:cs="宋体"/>
                <w:color w:val="auto"/>
                <w:sz w:val="24"/>
                <w:highlight w:val="none"/>
              </w:rPr>
            </w:pPr>
            <w:r>
              <w:rPr>
                <w:rFonts w:hint="eastAsia" w:ascii="宋体" w:hAnsi="宋体" w:cs="宋体"/>
                <w:color w:val="auto"/>
                <w:sz w:val="24"/>
                <w:highlight w:val="none"/>
              </w:rPr>
              <w:t>供应商具有质量管理体系认证证书、环境认证体系认证证书和职业健康管理体系认证证书且在有效期内的，每提供一个证书得1分。</w:t>
            </w:r>
          </w:p>
          <w:p w14:paraId="36F465DB">
            <w:pPr>
              <w:spacing w:line="360" w:lineRule="auto"/>
              <w:rPr>
                <w:rFonts w:hint="eastAsia" w:ascii="宋体" w:hAnsi="宋体" w:cs="宋体"/>
                <w:color w:val="auto"/>
                <w:sz w:val="24"/>
                <w:highlight w:val="none"/>
              </w:rPr>
            </w:pPr>
            <w:r>
              <w:rPr>
                <w:rFonts w:hint="eastAsia" w:ascii="宋体" w:hAnsi="宋体" w:cs="宋体"/>
                <w:color w:val="auto"/>
                <w:sz w:val="24"/>
                <w:highlight w:val="none"/>
              </w:rPr>
              <w:t>须提供证书复印件及《国家认证认可监督管理委员会》网站（http://www.cnca.gov.cn）查询截图并加盖公章。</w:t>
            </w:r>
          </w:p>
        </w:tc>
        <w:tc>
          <w:tcPr>
            <w:tcW w:w="953" w:type="dxa"/>
            <w:vAlign w:val="center"/>
          </w:tcPr>
          <w:p w14:paraId="58F46397">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329D7A50">
            <w:pPr>
              <w:snapToGrid w:val="0"/>
              <w:rPr>
                <w:rFonts w:hint="eastAsia" w:ascii="宋体" w:hAnsi="宋体" w:cs="宋体"/>
                <w:color w:val="auto"/>
                <w:sz w:val="24"/>
                <w:highlight w:val="none"/>
              </w:rPr>
            </w:pPr>
          </w:p>
        </w:tc>
      </w:tr>
      <w:tr w14:paraId="3D601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27D2CD0F">
            <w:pPr>
              <w:numPr>
                <w:ilvl w:val="0"/>
                <w:numId w:val="2"/>
              </w:numPr>
              <w:snapToGrid w:val="0"/>
              <w:jc w:val="center"/>
              <w:outlineLvl w:val="0"/>
              <w:rPr>
                <w:rFonts w:hint="eastAsia" w:ascii="宋体" w:hAnsi="宋体" w:cs="宋体"/>
                <w:color w:val="auto"/>
                <w:sz w:val="24"/>
                <w:highlight w:val="none"/>
              </w:rPr>
            </w:pPr>
            <w:bookmarkStart w:id="438" w:name="_Toc15165"/>
            <w:bookmarkEnd w:id="438"/>
          </w:p>
        </w:tc>
        <w:tc>
          <w:tcPr>
            <w:tcW w:w="5897" w:type="dxa"/>
            <w:vAlign w:val="center"/>
          </w:tcPr>
          <w:p w14:paraId="5D118B65">
            <w:pPr>
              <w:spacing w:line="360" w:lineRule="auto"/>
              <w:rPr>
                <w:rFonts w:hint="eastAsia" w:ascii="宋体" w:hAnsi="宋体" w:cs="宋体"/>
                <w:color w:val="auto"/>
                <w:sz w:val="24"/>
                <w:highlight w:val="none"/>
              </w:rPr>
            </w:pPr>
            <w:r>
              <w:rPr>
                <w:rFonts w:hint="eastAsia" w:ascii="宋体" w:hAnsi="宋体" w:cs="宋体"/>
                <w:color w:val="auto"/>
                <w:sz w:val="24"/>
                <w:highlight w:val="none"/>
              </w:rPr>
              <w:t>完全响应采购文件合同条款要求的，得</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分；未响应或部分不响应的均不得分。</w:t>
            </w:r>
          </w:p>
        </w:tc>
        <w:tc>
          <w:tcPr>
            <w:tcW w:w="953" w:type="dxa"/>
            <w:vAlign w:val="center"/>
          </w:tcPr>
          <w:p w14:paraId="051D7E75">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2分</w:t>
            </w:r>
          </w:p>
        </w:tc>
        <w:tc>
          <w:tcPr>
            <w:tcW w:w="1824" w:type="dxa"/>
          </w:tcPr>
          <w:p w14:paraId="5788FD09">
            <w:pPr>
              <w:snapToGrid w:val="0"/>
              <w:rPr>
                <w:rFonts w:hint="eastAsia" w:ascii="宋体" w:hAnsi="宋体" w:cs="宋体"/>
                <w:color w:val="auto"/>
                <w:sz w:val="24"/>
                <w:highlight w:val="none"/>
              </w:rPr>
            </w:pPr>
          </w:p>
        </w:tc>
      </w:tr>
      <w:tr w14:paraId="69D60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29FB1D2A">
            <w:pPr>
              <w:numPr>
                <w:ilvl w:val="0"/>
                <w:numId w:val="2"/>
              </w:numPr>
              <w:snapToGrid w:val="0"/>
              <w:jc w:val="center"/>
              <w:outlineLvl w:val="0"/>
              <w:rPr>
                <w:rFonts w:hint="eastAsia" w:ascii="宋体" w:hAnsi="宋体" w:cs="宋体"/>
                <w:color w:val="auto"/>
                <w:sz w:val="24"/>
                <w:highlight w:val="none"/>
              </w:rPr>
            </w:pPr>
            <w:bookmarkStart w:id="439" w:name="_Toc30653"/>
            <w:bookmarkEnd w:id="439"/>
          </w:p>
        </w:tc>
        <w:tc>
          <w:tcPr>
            <w:tcW w:w="5897" w:type="dxa"/>
            <w:vAlign w:val="center"/>
          </w:tcPr>
          <w:p w14:paraId="219AB01F">
            <w:pPr>
              <w:spacing w:line="360" w:lineRule="auto"/>
              <w:rPr>
                <w:rFonts w:hint="eastAsia" w:ascii="宋体" w:hAnsi="宋体" w:cs="宋体"/>
                <w:color w:val="auto"/>
                <w:sz w:val="24"/>
                <w:highlight w:val="none"/>
              </w:rPr>
            </w:pPr>
            <w:r>
              <w:rPr>
                <w:rFonts w:hint="eastAsia" w:ascii="宋体" w:hAnsi="宋体" w:cs="宋体"/>
                <w:color w:val="auto"/>
                <w:sz w:val="24"/>
                <w:highlight w:val="none"/>
              </w:rPr>
              <w:t>项目经理到位率承诺：</w:t>
            </w:r>
          </w:p>
          <w:p w14:paraId="46636343">
            <w:pPr>
              <w:spacing w:line="360" w:lineRule="auto"/>
              <w:rPr>
                <w:rFonts w:hint="eastAsia" w:ascii="宋体" w:hAnsi="宋体" w:cs="宋体"/>
                <w:color w:val="auto"/>
                <w:sz w:val="24"/>
                <w:highlight w:val="none"/>
              </w:rPr>
            </w:pPr>
            <w:r>
              <w:rPr>
                <w:rFonts w:hint="eastAsia" w:ascii="宋体" w:hAnsi="宋体" w:cs="宋体"/>
                <w:color w:val="auto"/>
                <w:sz w:val="24"/>
                <w:highlight w:val="none"/>
              </w:rPr>
              <w:t>项目经理到位率承诺100%的得2分；</w:t>
            </w:r>
          </w:p>
          <w:p w14:paraId="6DE3DE8C">
            <w:pPr>
              <w:spacing w:line="360" w:lineRule="auto"/>
              <w:rPr>
                <w:rFonts w:hint="eastAsia" w:ascii="宋体" w:hAnsi="宋体" w:cs="宋体"/>
                <w:color w:val="auto"/>
                <w:sz w:val="24"/>
                <w:highlight w:val="none"/>
              </w:rPr>
            </w:pPr>
            <w:r>
              <w:rPr>
                <w:rFonts w:hint="eastAsia" w:ascii="宋体" w:hAnsi="宋体" w:cs="宋体"/>
                <w:color w:val="auto"/>
                <w:sz w:val="24"/>
                <w:highlight w:val="none"/>
              </w:rPr>
              <w:t>项目经理到位率承诺95%的得1分；</w:t>
            </w:r>
          </w:p>
          <w:p w14:paraId="59DD9F90">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项目经理到位率承诺90%的得0.5分；其余不得分，提供承诺书，如合同履约阶段未按承诺到位的，采购人有权终止合同。 </w:t>
            </w:r>
          </w:p>
        </w:tc>
        <w:tc>
          <w:tcPr>
            <w:tcW w:w="953" w:type="dxa"/>
            <w:vAlign w:val="center"/>
          </w:tcPr>
          <w:p w14:paraId="263F3726">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2分</w:t>
            </w:r>
          </w:p>
        </w:tc>
        <w:tc>
          <w:tcPr>
            <w:tcW w:w="1824" w:type="dxa"/>
          </w:tcPr>
          <w:p w14:paraId="62336C7E">
            <w:pPr>
              <w:snapToGrid w:val="0"/>
              <w:rPr>
                <w:rFonts w:hint="eastAsia" w:ascii="宋体" w:hAnsi="宋体" w:cs="宋体"/>
                <w:color w:val="auto"/>
                <w:sz w:val="24"/>
                <w:highlight w:val="none"/>
              </w:rPr>
            </w:pPr>
          </w:p>
        </w:tc>
      </w:tr>
      <w:tr w14:paraId="39D86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2CDB995">
            <w:pPr>
              <w:numPr>
                <w:ilvl w:val="0"/>
                <w:numId w:val="2"/>
              </w:numPr>
              <w:snapToGrid w:val="0"/>
              <w:jc w:val="center"/>
              <w:outlineLvl w:val="0"/>
              <w:rPr>
                <w:rFonts w:hint="eastAsia" w:ascii="宋体" w:hAnsi="宋体" w:cs="宋体"/>
                <w:color w:val="auto"/>
                <w:sz w:val="24"/>
                <w:highlight w:val="none"/>
              </w:rPr>
            </w:pPr>
            <w:bookmarkStart w:id="440" w:name="_Toc20899"/>
            <w:bookmarkEnd w:id="440"/>
          </w:p>
        </w:tc>
        <w:tc>
          <w:tcPr>
            <w:tcW w:w="5897" w:type="dxa"/>
            <w:vAlign w:val="center"/>
          </w:tcPr>
          <w:p w14:paraId="39556E0F">
            <w:pPr>
              <w:spacing w:line="360" w:lineRule="auto"/>
              <w:rPr>
                <w:rFonts w:hint="eastAsia" w:ascii="宋体" w:hAnsi="宋体" w:cs="宋体"/>
                <w:color w:val="auto"/>
                <w:sz w:val="24"/>
                <w:highlight w:val="none"/>
              </w:rPr>
            </w:pPr>
            <w:r>
              <w:rPr>
                <w:rFonts w:hint="eastAsia" w:ascii="宋体" w:hAnsi="宋体" w:cs="宋体"/>
                <w:color w:val="auto"/>
                <w:sz w:val="24"/>
                <w:highlight w:val="none"/>
              </w:rPr>
              <w:t>拟派项目经理具有</w:t>
            </w:r>
            <w:r>
              <w:rPr>
                <w:rFonts w:hint="eastAsia" w:ascii="宋体" w:hAnsi="宋体" w:cs="宋体"/>
                <w:color w:val="auto"/>
                <w:sz w:val="24"/>
                <w:highlight w:val="none"/>
                <w:lang w:eastAsia="zh-CN"/>
              </w:rPr>
              <w:t>机电</w:t>
            </w:r>
            <w:r>
              <w:rPr>
                <w:rFonts w:hint="eastAsia" w:ascii="宋体" w:hAnsi="宋体" w:cs="宋体"/>
                <w:color w:val="auto"/>
                <w:sz w:val="24"/>
                <w:highlight w:val="none"/>
              </w:rPr>
              <w:t>工程二级建造师证书的，得1分，没有不得分。</w:t>
            </w:r>
          </w:p>
          <w:p w14:paraId="1D6C02A1">
            <w:pPr>
              <w:pStyle w:val="45"/>
              <w:spacing w:line="360" w:lineRule="auto"/>
              <w:rPr>
                <w:color w:val="auto"/>
                <w:highlight w:val="none"/>
              </w:rPr>
            </w:pPr>
            <w:r>
              <w:rPr>
                <w:rFonts w:hint="eastAsia" w:ascii="宋体" w:hAnsi="宋体" w:cs="宋体"/>
                <w:b/>
                <w:bCs/>
                <w:color w:val="auto"/>
                <w:sz w:val="24"/>
                <w:highlight w:val="none"/>
              </w:rPr>
              <w:t>注：</w:t>
            </w:r>
            <w:r>
              <w:rPr>
                <w:rFonts w:hint="eastAsia" w:ascii="宋体" w:hAnsi="宋体" w:cs="宋体"/>
                <w:color w:val="auto"/>
                <w:sz w:val="24"/>
                <w:highlight w:val="none"/>
              </w:rPr>
              <w:t>需提供证书及近三个月投标单位为在职人员缴纳的社保证明复印件加盖公章。</w:t>
            </w:r>
          </w:p>
        </w:tc>
        <w:tc>
          <w:tcPr>
            <w:tcW w:w="953" w:type="dxa"/>
            <w:vAlign w:val="center"/>
          </w:tcPr>
          <w:p w14:paraId="53AD9169">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1分</w:t>
            </w:r>
          </w:p>
        </w:tc>
        <w:tc>
          <w:tcPr>
            <w:tcW w:w="1824" w:type="dxa"/>
          </w:tcPr>
          <w:p w14:paraId="44B04874">
            <w:pPr>
              <w:snapToGrid w:val="0"/>
              <w:rPr>
                <w:rFonts w:hint="eastAsia" w:ascii="宋体" w:hAnsi="宋体" w:cs="宋体"/>
                <w:color w:val="auto"/>
                <w:sz w:val="24"/>
                <w:highlight w:val="none"/>
              </w:rPr>
            </w:pPr>
          </w:p>
        </w:tc>
      </w:tr>
      <w:tr w14:paraId="2289C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jc w:val="center"/>
        </w:trPr>
        <w:tc>
          <w:tcPr>
            <w:tcW w:w="692" w:type="dxa"/>
            <w:vAlign w:val="center"/>
          </w:tcPr>
          <w:p w14:paraId="3DC562C1">
            <w:pPr>
              <w:numPr>
                <w:ilvl w:val="0"/>
                <w:numId w:val="2"/>
              </w:numPr>
              <w:snapToGrid w:val="0"/>
              <w:jc w:val="center"/>
              <w:outlineLvl w:val="0"/>
              <w:rPr>
                <w:rFonts w:hint="eastAsia" w:ascii="宋体" w:hAnsi="宋体" w:cs="宋体"/>
                <w:color w:val="auto"/>
                <w:sz w:val="24"/>
                <w:highlight w:val="none"/>
              </w:rPr>
            </w:pPr>
            <w:bookmarkStart w:id="441" w:name="_Toc26417"/>
            <w:bookmarkEnd w:id="441"/>
          </w:p>
        </w:tc>
        <w:tc>
          <w:tcPr>
            <w:tcW w:w="5897" w:type="dxa"/>
            <w:vAlign w:val="center"/>
          </w:tcPr>
          <w:p w14:paraId="586A4953">
            <w:pPr>
              <w:spacing w:line="360" w:lineRule="auto"/>
              <w:rPr>
                <w:rFonts w:hint="eastAsia" w:ascii="宋体" w:hAnsi="宋体" w:cs="宋体"/>
                <w:color w:val="auto"/>
                <w:sz w:val="24"/>
                <w:highlight w:val="none"/>
              </w:rPr>
            </w:pPr>
            <w:r>
              <w:rPr>
                <w:rFonts w:hint="eastAsia" w:ascii="宋体" w:hAnsi="宋体" w:cs="宋体"/>
                <w:color w:val="auto"/>
                <w:sz w:val="24"/>
                <w:highlight w:val="none"/>
              </w:rPr>
              <w:t>拟派技术负责人具有工程师职称证书且具有</w:t>
            </w:r>
            <w:r>
              <w:rPr>
                <w:rFonts w:hint="eastAsia" w:ascii="宋体" w:hAnsi="宋体" w:cs="宋体"/>
                <w:color w:val="auto"/>
                <w:sz w:val="24"/>
                <w:highlight w:val="none"/>
                <w:lang w:eastAsia="zh-CN"/>
              </w:rPr>
              <w:t>机电</w:t>
            </w:r>
            <w:r>
              <w:rPr>
                <w:rFonts w:hint="eastAsia" w:ascii="宋体" w:hAnsi="宋体" w:cs="宋体"/>
                <w:color w:val="auto"/>
                <w:sz w:val="24"/>
                <w:highlight w:val="none"/>
              </w:rPr>
              <w:t>工程二级建造师证书的，得1分，没有不得分。</w:t>
            </w:r>
          </w:p>
          <w:p w14:paraId="008BCC60">
            <w:pPr>
              <w:pStyle w:val="45"/>
              <w:spacing w:line="360" w:lineRule="auto"/>
              <w:rPr>
                <w:color w:val="auto"/>
                <w:highlight w:val="none"/>
              </w:rPr>
            </w:pPr>
            <w:r>
              <w:rPr>
                <w:rFonts w:hint="eastAsia" w:ascii="宋体" w:hAnsi="宋体" w:cs="宋体"/>
                <w:b/>
                <w:bCs/>
                <w:color w:val="auto"/>
                <w:sz w:val="24"/>
                <w:highlight w:val="none"/>
              </w:rPr>
              <w:t>注：</w:t>
            </w:r>
            <w:r>
              <w:rPr>
                <w:rFonts w:hint="eastAsia" w:ascii="宋体" w:hAnsi="宋体" w:cs="宋体"/>
                <w:color w:val="auto"/>
                <w:sz w:val="24"/>
                <w:highlight w:val="none"/>
              </w:rPr>
              <w:t>需提供证书及近三个月投标单位为在职人员缴纳的社保证明复印件加盖公章。</w:t>
            </w:r>
          </w:p>
        </w:tc>
        <w:tc>
          <w:tcPr>
            <w:tcW w:w="953" w:type="dxa"/>
            <w:vAlign w:val="center"/>
          </w:tcPr>
          <w:p w14:paraId="0E2C1C7A">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1分</w:t>
            </w:r>
          </w:p>
        </w:tc>
        <w:tc>
          <w:tcPr>
            <w:tcW w:w="1824" w:type="dxa"/>
          </w:tcPr>
          <w:p w14:paraId="4D4D1E22">
            <w:pPr>
              <w:snapToGrid w:val="0"/>
              <w:rPr>
                <w:rFonts w:hint="eastAsia" w:ascii="宋体" w:hAnsi="宋体" w:cs="宋体"/>
                <w:color w:val="auto"/>
                <w:sz w:val="24"/>
                <w:highlight w:val="none"/>
              </w:rPr>
            </w:pPr>
          </w:p>
        </w:tc>
      </w:tr>
      <w:tr w14:paraId="0D576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jc w:val="center"/>
        </w:trPr>
        <w:tc>
          <w:tcPr>
            <w:tcW w:w="692" w:type="dxa"/>
            <w:vAlign w:val="center"/>
          </w:tcPr>
          <w:p w14:paraId="1B3C4857">
            <w:pPr>
              <w:numPr>
                <w:ilvl w:val="0"/>
                <w:numId w:val="2"/>
              </w:numPr>
              <w:snapToGrid w:val="0"/>
              <w:jc w:val="center"/>
              <w:outlineLvl w:val="0"/>
              <w:rPr>
                <w:rFonts w:hint="eastAsia" w:ascii="宋体" w:hAnsi="宋体" w:cs="宋体"/>
                <w:color w:val="auto"/>
                <w:sz w:val="24"/>
                <w:highlight w:val="none"/>
              </w:rPr>
            </w:pPr>
            <w:bookmarkStart w:id="442" w:name="_Toc2168"/>
            <w:bookmarkEnd w:id="442"/>
          </w:p>
        </w:tc>
        <w:tc>
          <w:tcPr>
            <w:tcW w:w="5897" w:type="dxa"/>
            <w:vAlign w:val="center"/>
          </w:tcPr>
          <w:p w14:paraId="72AFE694">
            <w:pPr>
              <w:snapToGri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拟派项目班子成员具备施工员、安全员、质检员、材料员重要岗位的，每个岗位工种得0.5分，最高得2分。</w:t>
            </w:r>
          </w:p>
          <w:p w14:paraId="612DA5B6">
            <w:pPr>
              <w:pStyle w:val="45"/>
              <w:snapToGrid w:val="0"/>
              <w:spacing w:line="360" w:lineRule="auto"/>
              <w:jc w:val="left"/>
              <w:rPr>
                <w:color w:val="auto"/>
                <w:highlight w:val="none"/>
              </w:rPr>
            </w:pPr>
            <w:r>
              <w:rPr>
                <w:rFonts w:hint="eastAsia" w:ascii="宋体" w:hAnsi="宋体" w:cs="宋体"/>
                <w:b/>
                <w:bCs/>
                <w:color w:val="auto"/>
                <w:sz w:val="24"/>
                <w:highlight w:val="none"/>
              </w:rPr>
              <w:t>注：</w:t>
            </w:r>
            <w:r>
              <w:rPr>
                <w:rFonts w:hint="eastAsia" w:ascii="宋体" w:hAnsi="宋体" w:cs="宋体"/>
                <w:color w:val="auto"/>
                <w:sz w:val="24"/>
                <w:highlight w:val="none"/>
              </w:rPr>
              <w:t>需提供上岗证书及近三个月投标单位为在职人员缴纳的社保证明复印件加盖公章。</w:t>
            </w:r>
          </w:p>
        </w:tc>
        <w:tc>
          <w:tcPr>
            <w:tcW w:w="953" w:type="dxa"/>
            <w:vAlign w:val="center"/>
          </w:tcPr>
          <w:p w14:paraId="2F3B3154">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2分</w:t>
            </w:r>
          </w:p>
        </w:tc>
        <w:tc>
          <w:tcPr>
            <w:tcW w:w="1824" w:type="dxa"/>
          </w:tcPr>
          <w:p w14:paraId="0CE020CF">
            <w:pPr>
              <w:snapToGrid w:val="0"/>
              <w:rPr>
                <w:rFonts w:hint="eastAsia" w:ascii="宋体" w:hAnsi="宋体" w:cs="宋体"/>
                <w:color w:val="auto"/>
                <w:sz w:val="24"/>
                <w:highlight w:val="none"/>
              </w:rPr>
            </w:pPr>
          </w:p>
        </w:tc>
      </w:tr>
      <w:tr w14:paraId="7D302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E4A4FFA">
            <w:pPr>
              <w:numPr>
                <w:ilvl w:val="0"/>
                <w:numId w:val="2"/>
              </w:numPr>
              <w:snapToGrid w:val="0"/>
              <w:jc w:val="center"/>
              <w:outlineLvl w:val="0"/>
              <w:rPr>
                <w:rFonts w:hint="eastAsia" w:ascii="宋体" w:hAnsi="宋体" w:cs="宋体"/>
                <w:color w:val="auto"/>
                <w:sz w:val="24"/>
                <w:highlight w:val="none"/>
              </w:rPr>
            </w:pPr>
            <w:bookmarkStart w:id="443" w:name="_Toc23484"/>
            <w:bookmarkEnd w:id="443"/>
          </w:p>
        </w:tc>
        <w:tc>
          <w:tcPr>
            <w:tcW w:w="5897" w:type="dxa"/>
            <w:vAlign w:val="center"/>
          </w:tcPr>
          <w:p w14:paraId="33EB2920">
            <w:pPr>
              <w:spacing w:line="360" w:lineRule="auto"/>
              <w:rPr>
                <w:rFonts w:hint="eastAsia" w:ascii="宋体" w:hAnsi="宋体" w:cs="宋体"/>
                <w:color w:val="auto"/>
                <w:sz w:val="24"/>
                <w:highlight w:val="none"/>
              </w:rPr>
            </w:pPr>
            <w:r>
              <w:rPr>
                <w:rFonts w:hint="eastAsia" w:ascii="宋体" w:hAnsi="宋体" w:cs="宋体"/>
                <w:color w:val="auto"/>
                <w:sz w:val="24"/>
                <w:highlight w:val="none"/>
              </w:rPr>
              <w:t>针对采购人工程的特点和施工环境、特殊区域环境条件下组织施工和养护的技术方案和措施。</w:t>
            </w:r>
          </w:p>
          <w:p w14:paraId="5F957B7A">
            <w:pPr>
              <w:spacing w:line="360" w:lineRule="auto"/>
              <w:rPr>
                <w:rFonts w:hint="eastAsia" w:ascii="宋体" w:hAnsi="宋体" w:cs="宋体"/>
                <w:color w:val="auto"/>
                <w:sz w:val="24"/>
                <w:highlight w:val="none"/>
              </w:rPr>
            </w:pPr>
            <w:r>
              <w:rPr>
                <w:rFonts w:hint="eastAsia" w:ascii="宋体" w:hAnsi="宋体" w:cs="宋体"/>
                <w:color w:val="auto"/>
                <w:sz w:val="24"/>
                <w:highlight w:val="none"/>
              </w:rPr>
              <w:t>（1）施工技术方案和措施:（4分）</w:t>
            </w:r>
          </w:p>
          <w:p w14:paraId="04AEE2C5">
            <w:pPr>
              <w:spacing w:line="360" w:lineRule="auto"/>
              <w:rPr>
                <w:rFonts w:hint="eastAsia" w:ascii="宋体" w:hAnsi="宋体" w:cs="宋体"/>
                <w:color w:val="auto"/>
                <w:sz w:val="24"/>
                <w:highlight w:val="none"/>
              </w:rPr>
            </w:pPr>
            <w:r>
              <w:rPr>
                <w:rFonts w:hint="eastAsia" w:ascii="宋体" w:hAnsi="宋体" w:cs="宋体"/>
                <w:color w:val="auto"/>
                <w:sz w:val="24"/>
                <w:highlight w:val="none"/>
              </w:rPr>
              <w:t>（2）施工组织设计:（4分）</w:t>
            </w:r>
          </w:p>
          <w:p w14:paraId="443E652D">
            <w:pPr>
              <w:spacing w:line="360" w:lineRule="auto"/>
              <w:rPr>
                <w:rFonts w:hint="eastAsia" w:ascii="宋体" w:hAnsi="宋体" w:cs="宋体"/>
                <w:color w:val="auto"/>
                <w:sz w:val="24"/>
                <w:highlight w:val="none"/>
              </w:rPr>
            </w:pPr>
            <w:r>
              <w:rPr>
                <w:rFonts w:hint="eastAsia" w:ascii="宋体" w:hAnsi="宋体" w:cs="宋体"/>
                <w:color w:val="auto"/>
                <w:sz w:val="24"/>
                <w:highlight w:val="none"/>
              </w:rPr>
              <w:t>（3）针对本项目的主要施工方法:（4分）</w:t>
            </w:r>
          </w:p>
          <w:p w14:paraId="28BC3F5F">
            <w:pPr>
              <w:spacing w:line="360" w:lineRule="auto"/>
              <w:rPr>
                <w:rFonts w:hint="eastAsia" w:ascii="宋体" w:hAnsi="宋体" w:cs="宋体"/>
                <w:color w:val="auto"/>
                <w:sz w:val="24"/>
                <w:highlight w:val="none"/>
              </w:rPr>
            </w:pPr>
            <w:r>
              <w:rPr>
                <w:rFonts w:hint="eastAsia" w:ascii="宋体" w:hAnsi="宋体" w:cs="宋体"/>
                <w:color w:val="auto"/>
                <w:sz w:val="24"/>
                <w:highlight w:val="none"/>
              </w:rPr>
              <w:t>（4）工程养护技术方案和措施:（4分）</w:t>
            </w:r>
          </w:p>
          <w:p w14:paraId="58D7F90D">
            <w:pPr>
              <w:spacing w:line="360" w:lineRule="auto"/>
              <w:rPr>
                <w:rFonts w:hint="eastAsia" w:ascii="宋体" w:hAnsi="宋体" w:cs="宋体"/>
                <w:color w:val="auto"/>
                <w:sz w:val="24"/>
                <w:highlight w:val="none"/>
              </w:rPr>
            </w:pPr>
            <w:r>
              <w:rPr>
                <w:rFonts w:hint="eastAsia" w:ascii="宋体" w:hAnsi="宋体" w:cs="宋体"/>
                <w:color w:val="auto"/>
                <w:sz w:val="24"/>
                <w:highlight w:val="none"/>
              </w:rPr>
              <w:t>单项打分依据：内容合理能满足项目需求，具有明确的针对性及可操作性的，得4分；内容较合理能满足项目需求，具有较明确的针对性及可操作性的，得3分；内容能基本满足项目需求，针对性及可操作性基本满足的，得2分；方案内容无针对性，得0.5分；未提供的得0分。</w:t>
            </w:r>
          </w:p>
        </w:tc>
        <w:tc>
          <w:tcPr>
            <w:tcW w:w="953" w:type="dxa"/>
            <w:vAlign w:val="center"/>
          </w:tcPr>
          <w:p w14:paraId="707A43E2">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16分</w:t>
            </w:r>
          </w:p>
        </w:tc>
        <w:tc>
          <w:tcPr>
            <w:tcW w:w="1824" w:type="dxa"/>
          </w:tcPr>
          <w:p w14:paraId="1D8B1EFA">
            <w:pPr>
              <w:snapToGrid w:val="0"/>
              <w:rPr>
                <w:rFonts w:hint="eastAsia" w:ascii="宋体" w:hAnsi="宋体" w:cs="宋体"/>
                <w:color w:val="auto"/>
                <w:sz w:val="24"/>
                <w:highlight w:val="none"/>
              </w:rPr>
            </w:pPr>
          </w:p>
        </w:tc>
      </w:tr>
      <w:tr w14:paraId="7BA41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BB99992">
            <w:pPr>
              <w:numPr>
                <w:ilvl w:val="0"/>
                <w:numId w:val="2"/>
              </w:numPr>
              <w:snapToGrid w:val="0"/>
              <w:jc w:val="center"/>
              <w:outlineLvl w:val="0"/>
              <w:rPr>
                <w:rFonts w:hint="eastAsia" w:ascii="宋体" w:hAnsi="宋体" w:cs="宋体"/>
                <w:color w:val="auto"/>
                <w:sz w:val="24"/>
                <w:highlight w:val="none"/>
              </w:rPr>
            </w:pPr>
            <w:bookmarkStart w:id="444" w:name="_Toc26071"/>
            <w:bookmarkEnd w:id="444"/>
          </w:p>
        </w:tc>
        <w:tc>
          <w:tcPr>
            <w:tcW w:w="5897" w:type="dxa"/>
            <w:vAlign w:val="center"/>
          </w:tcPr>
          <w:p w14:paraId="5A454397">
            <w:pPr>
              <w:spacing w:line="360" w:lineRule="auto"/>
              <w:rPr>
                <w:rFonts w:hint="eastAsia" w:ascii="宋体" w:hAnsi="宋体" w:cs="宋体"/>
                <w:color w:val="auto"/>
                <w:sz w:val="24"/>
                <w:highlight w:val="none"/>
              </w:rPr>
            </w:pPr>
            <w:r>
              <w:rPr>
                <w:rFonts w:hint="eastAsia" w:ascii="宋体" w:hAnsi="宋体" w:cs="宋体"/>
                <w:color w:val="auto"/>
                <w:sz w:val="24"/>
                <w:highlight w:val="none"/>
              </w:rPr>
              <w:t>特殊施工环境的具体措施、预防自然灾害(台风、干旱及防汛等)及灾后重建的组织和技术措施：</w:t>
            </w:r>
          </w:p>
          <w:p w14:paraId="2E3ED19F">
            <w:pPr>
              <w:spacing w:line="360" w:lineRule="auto"/>
              <w:rPr>
                <w:rFonts w:hint="eastAsia" w:ascii="宋体" w:hAnsi="宋体" w:cs="宋体"/>
                <w:color w:val="auto"/>
                <w:sz w:val="24"/>
                <w:highlight w:val="none"/>
              </w:rPr>
            </w:pPr>
            <w:r>
              <w:rPr>
                <w:rFonts w:hint="eastAsia" w:ascii="宋体" w:hAnsi="宋体" w:cs="宋体"/>
                <w:color w:val="auto"/>
                <w:sz w:val="24"/>
                <w:highlight w:val="none"/>
              </w:rPr>
              <w:t>各项内容及措施完善且到位的，得3分；各项内容及措施基本完善的，得2分；各项内容及措施部分不善的，得0.5分；未提供的得0分。</w:t>
            </w:r>
          </w:p>
        </w:tc>
        <w:tc>
          <w:tcPr>
            <w:tcW w:w="953" w:type="dxa"/>
            <w:vAlign w:val="center"/>
          </w:tcPr>
          <w:p w14:paraId="3AFC8B77">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057F31BF">
            <w:pPr>
              <w:snapToGrid w:val="0"/>
              <w:rPr>
                <w:rFonts w:hint="eastAsia" w:ascii="宋体" w:hAnsi="宋体" w:cs="宋体"/>
                <w:color w:val="auto"/>
                <w:sz w:val="24"/>
                <w:highlight w:val="none"/>
              </w:rPr>
            </w:pPr>
          </w:p>
        </w:tc>
      </w:tr>
      <w:tr w14:paraId="62D84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09B47A6">
            <w:pPr>
              <w:numPr>
                <w:ilvl w:val="0"/>
                <w:numId w:val="2"/>
              </w:numPr>
              <w:snapToGrid w:val="0"/>
              <w:jc w:val="center"/>
              <w:outlineLvl w:val="0"/>
              <w:rPr>
                <w:rFonts w:hint="eastAsia" w:ascii="宋体" w:hAnsi="宋体" w:cs="宋体"/>
                <w:color w:val="auto"/>
                <w:sz w:val="24"/>
                <w:highlight w:val="none"/>
              </w:rPr>
            </w:pPr>
            <w:bookmarkStart w:id="445" w:name="_Toc31098"/>
            <w:bookmarkEnd w:id="445"/>
            <w:bookmarkStart w:id="446" w:name="_Toc66"/>
            <w:bookmarkEnd w:id="446"/>
          </w:p>
        </w:tc>
        <w:tc>
          <w:tcPr>
            <w:tcW w:w="5897" w:type="dxa"/>
            <w:vAlign w:val="center"/>
          </w:tcPr>
          <w:p w14:paraId="40188C0A">
            <w:pPr>
              <w:spacing w:line="360" w:lineRule="auto"/>
              <w:rPr>
                <w:rFonts w:hint="eastAsia" w:ascii="宋体" w:hAnsi="宋体" w:cs="宋体"/>
                <w:color w:val="auto"/>
                <w:sz w:val="24"/>
                <w:highlight w:val="none"/>
              </w:rPr>
            </w:pPr>
            <w:r>
              <w:rPr>
                <w:rFonts w:hint="eastAsia" w:ascii="宋体" w:hAnsi="宋体" w:cs="宋体"/>
                <w:color w:val="auto"/>
                <w:sz w:val="24"/>
                <w:highlight w:val="none"/>
              </w:rPr>
              <w:t>供应商的施工降噪措施：</w:t>
            </w:r>
          </w:p>
          <w:p w14:paraId="08C12238">
            <w:pPr>
              <w:spacing w:line="360" w:lineRule="auto"/>
              <w:rPr>
                <w:rFonts w:hint="eastAsia" w:ascii="宋体" w:hAnsi="宋体" w:cs="宋体"/>
                <w:color w:val="auto"/>
                <w:sz w:val="24"/>
                <w:highlight w:val="none"/>
              </w:rPr>
            </w:pPr>
            <w:r>
              <w:rPr>
                <w:rFonts w:hint="eastAsia" w:ascii="宋体" w:hAnsi="宋体" w:cs="宋体"/>
                <w:color w:val="auto"/>
                <w:sz w:val="24"/>
                <w:highlight w:val="none"/>
              </w:rPr>
              <w:t>各项内容及措施完善且到位的，得3分；各项内容及措施基本完善的，得2分；各项内容及措施部分不善的，得0.5分；未提供的得0分。</w:t>
            </w:r>
          </w:p>
        </w:tc>
        <w:tc>
          <w:tcPr>
            <w:tcW w:w="953" w:type="dxa"/>
            <w:vAlign w:val="center"/>
          </w:tcPr>
          <w:p w14:paraId="744A75DD">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67988FFA">
            <w:pPr>
              <w:snapToGrid w:val="0"/>
              <w:rPr>
                <w:rFonts w:hint="eastAsia" w:ascii="宋体" w:hAnsi="宋体" w:cs="宋体"/>
                <w:color w:val="auto"/>
                <w:sz w:val="24"/>
                <w:highlight w:val="none"/>
              </w:rPr>
            </w:pPr>
          </w:p>
        </w:tc>
      </w:tr>
      <w:tr w14:paraId="3D79C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1EBC6FA7">
            <w:pPr>
              <w:numPr>
                <w:ilvl w:val="0"/>
                <w:numId w:val="2"/>
              </w:numPr>
              <w:snapToGrid w:val="0"/>
              <w:jc w:val="center"/>
              <w:outlineLvl w:val="0"/>
              <w:rPr>
                <w:rFonts w:hint="eastAsia" w:ascii="宋体" w:hAnsi="宋体" w:cs="宋体"/>
                <w:color w:val="auto"/>
                <w:sz w:val="24"/>
                <w:highlight w:val="none"/>
              </w:rPr>
            </w:pPr>
            <w:bookmarkStart w:id="447" w:name="_Toc7254"/>
            <w:bookmarkEnd w:id="447"/>
          </w:p>
        </w:tc>
        <w:tc>
          <w:tcPr>
            <w:tcW w:w="5897" w:type="dxa"/>
            <w:vAlign w:val="center"/>
          </w:tcPr>
          <w:p w14:paraId="3E142712">
            <w:pPr>
              <w:spacing w:line="360" w:lineRule="auto"/>
              <w:rPr>
                <w:rFonts w:hint="eastAsia" w:ascii="宋体" w:hAnsi="宋体" w:cs="宋体"/>
                <w:color w:val="auto"/>
                <w:sz w:val="24"/>
                <w:highlight w:val="none"/>
              </w:rPr>
            </w:pPr>
            <w:r>
              <w:rPr>
                <w:rFonts w:hint="eastAsia" w:ascii="宋体" w:hAnsi="宋体" w:cs="宋体"/>
                <w:color w:val="auto"/>
                <w:sz w:val="24"/>
                <w:highlight w:val="none"/>
              </w:rPr>
              <w:t>材料设备进场计划及施工计划情况：具有详细的材料设备进场计划且计划周密，材料数量、质量控制，时间安排合理，满足施工需要的，得3分；各项内容及措施基本完善的，得2分；各项内容及措施部分不善的，得0.5分；未提供的得0分。</w:t>
            </w:r>
          </w:p>
        </w:tc>
        <w:tc>
          <w:tcPr>
            <w:tcW w:w="953" w:type="dxa"/>
            <w:vAlign w:val="center"/>
          </w:tcPr>
          <w:p w14:paraId="262BA95E">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740D4E17">
            <w:pPr>
              <w:snapToGrid w:val="0"/>
              <w:rPr>
                <w:rFonts w:hint="eastAsia" w:ascii="宋体" w:hAnsi="宋体" w:cs="宋体"/>
                <w:color w:val="auto"/>
                <w:sz w:val="24"/>
                <w:highlight w:val="none"/>
              </w:rPr>
            </w:pPr>
          </w:p>
        </w:tc>
      </w:tr>
      <w:tr w14:paraId="16EC9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048002BB">
            <w:pPr>
              <w:numPr>
                <w:ilvl w:val="0"/>
                <w:numId w:val="2"/>
              </w:numPr>
              <w:snapToGrid w:val="0"/>
              <w:jc w:val="center"/>
              <w:outlineLvl w:val="0"/>
              <w:rPr>
                <w:rFonts w:hint="eastAsia" w:ascii="宋体" w:hAnsi="宋体" w:cs="宋体"/>
                <w:color w:val="auto"/>
                <w:sz w:val="24"/>
                <w:highlight w:val="none"/>
              </w:rPr>
            </w:pPr>
            <w:bookmarkStart w:id="448" w:name="_Toc4199"/>
            <w:bookmarkEnd w:id="448"/>
          </w:p>
        </w:tc>
        <w:tc>
          <w:tcPr>
            <w:tcW w:w="5897" w:type="dxa"/>
            <w:vAlign w:val="center"/>
          </w:tcPr>
          <w:p w14:paraId="3DF579A1">
            <w:pPr>
              <w:spacing w:line="360" w:lineRule="auto"/>
              <w:rPr>
                <w:rFonts w:hint="eastAsia" w:ascii="宋体" w:hAnsi="宋体" w:cs="宋体"/>
                <w:color w:val="auto"/>
                <w:sz w:val="24"/>
                <w:highlight w:val="none"/>
              </w:rPr>
            </w:pPr>
            <w:r>
              <w:rPr>
                <w:rFonts w:hint="eastAsia" w:ascii="宋体" w:hAnsi="宋体" w:cs="宋体"/>
                <w:color w:val="auto"/>
                <w:sz w:val="24"/>
                <w:highlight w:val="none"/>
              </w:rPr>
              <w:t>项目保修期内措施：</w:t>
            </w:r>
          </w:p>
          <w:p w14:paraId="0D47EA16">
            <w:pPr>
              <w:spacing w:line="360" w:lineRule="auto"/>
              <w:rPr>
                <w:rFonts w:hint="eastAsia" w:ascii="宋体" w:hAnsi="宋体" w:cs="宋体"/>
                <w:color w:val="auto"/>
                <w:sz w:val="24"/>
                <w:highlight w:val="none"/>
              </w:rPr>
            </w:pPr>
            <w:r>
              <w:rPr>
                <w:rFonts w:hint="eastAsia" w:ascii="宋体" w:hAnsi="宋体" w:cs="宋体"/>
                <w:color w:val="auto"/>
                <w:sz w:val="24"/>
                <w:highlight w:val="none"/>
              </w:rPr>
              <w:t>各项内容及措施完善且到位的，得3分；各项内容及措施基本完善的，得2分；各项内容及措施部分不善的，得0.5分；未提供的得0分。</w:t>
            </w:r>
          </w:p>
        </w:tc>
        <w:tc>
          <w:tcPr>
            <w:tcW w:w="953" w:type="dxa"/>
            <w:vAlign w:val="center"/>
          </w:tcPr>
          <w:p w14:paraId="1AEC043E">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6B6B857A">
            <w:pPr>
              <w:snapToGrid w:val="0"/>
              <w:rPr>
                <w:rFonts w:hint="eastAsia" w:ascii="宋体" w:hAnsi="宋体" w:cs="宋体"/>
                <w:color w:val="auto"/>
                <w:sz w:val="24"/>
                <w:highlight w:val="none"/>
              </w:rPr>
            </w:pPr>
          </w:p>
        </w:tc>
      </w:tr>
      <w:tr w14:paraId="1EA6A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0DDE9A99">
            <w:pPr>
              <w:numPr>
                <w:ilvl w:val="0"/>
                <w:numId w:val="2"/>
              </w:numPr>
              <w:snapToGrid w:val="0"/>
              <w:jc w:val="center"/>
              <w:outlineLvl w:val="0"/>
              <w:rPr>
                <w:rFonts w:hint="eastAsia" w:ascii="宋体" w:hAnsi="宋体" w:cs="宋体"/>
                <w:color w:val="auto"/>
                <w:sz w:val="24"/>
                <w:highlight w:val="none"/>
              </w:rPr>
            </w:pPr>
            <w:bookmarkStart w:id="449" w:name="_Toc17849"/>
            <w:bookmarkEnd w:id="449"/>
          </w:p>
        </w:tc>
        <w:tc>
          <w:tcPr>
            <w:tcW w:w="5897" w:type="dxa"/>
            <w:vAlign w:val="center"/>
          </w:tcPr>
          <w:p w14:paraId="2FDDAA10">
            <w:pPr>
              <w:spacing w:line="360" w:lineRule="auto"/>
              <w:rPr>
                <w:rFonts w:hint="eastAsia" w:ascii="宋体" w:hAnsi="宋体" w:cs="宋体"/>
                <w:color w:val="auto"/>
                <w:sz w:val="24"/>
                <w:highlight w:val="none"/>
              </w:rPr>
            </w:pPr>
            <w:r>
              <w:rPr>
                <w:rFonts w:hint="eastAsia" w:ascii="宋体" w:hAnsi="宋体" w:cs="宋体"/>
                <w:color w:val="auto"/>
                <w:sz w:val="24"/>
                <w:highlight w:val="none"/>
              </w:rPr>
              <w:t>分析本工程的特点、难点,具体施工方案及措施：</w:t>
            </w:r>
          </w:p>
          <w:p w14:paraId="65D1F06B">
            <w:pPr>
              <w:spacing w:line="360" w:lineRule="auto"/>
              <w:rPr>
                <w:rFonts w:hint="eastAsia" w:ascii="宋体" w:hAnsi="宋体" w:cs="宋体"/>
                <w:color w:val="auto"/>
                <w:sz w:val="24"/>
                <w:highlight w:val="none"/>
              </w:rPr>
            </w:pPr>
            <w:r>
              <w:rPr>
                <w:rFonts w:hint="eastAsia" w:ascii="宋体" w:hAnsi="宋体" w:cs="宋体"/>
                <w:color w:val="auto"/>
                <w:sz w:val="24"/>
                <w:highlight w:val="none"/>
              </w:rPr>
              <w:t>各项内容及措施完善且到位的，工程特点、难点分析到位的得3分；各项内容及措施基本完善的，得2分；各项内容及措施部分不善的，得0.5分；未提供的得0分。</w:t>
            </w:r>
          </w:p>
        </w:tc>
        <w:tc>
          <w:tcPr>
            <w:tcW w:w="953" w:type="dxa"/>
            <w:vAlign w:val="center"/>
          </w:tcPr>
          <w:p w14:paraId="42011316">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3E460125">
            <w:pPr>
              <w:snapToGrid w:val="0"/>
              <w:rPr>
                <w:rFonts w:hint="eastAsia" w:ascii="宋体" w:hAnsi="宋体" w:cs="宋体"/>
                <w:color w:val="auto"/>
                <w:sz w:val="24"/>
                <w:highlight w:val="none"/>
              </w:rPr>
            </w:pPr>
          </w:p>
        </w:tc>
      </w:tr>
      <w:tr w14:paraId="5D979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7B505A2A">
            <w:pPr>
              <w:numPr>
                <w:ilvl w:val="0"/>
                <w:numId w:val="2"/>
              </w:numPr>
              <w:snapToGrid w:val="0"/>
              <w:jc w:val="center"/>
              <w:outlineLvl w:val="0"/>
              <w:rPr>
                <w:rFonts w:hint="eastAsia" w:ascii="宋体" w:hAnsi="宋体" w:cs="宋体"/>
                <w:color w:val="auto"/>
                <w:sz w:val="24"/>
                <w:highlight w:val="none"/>
              </w:rPr>
            </w:pPr>
            <w:bookmarkStart w:id="450" w:name="_Toc15071"/>
            <w:bookmarkEnd w:id="450"/>
          </w:p>
        </w:tc>
        <w:tc>
          <w:tcPr>
            <w:tcW w:w="5897" w:type="dxa"/>
            <w:vAlign w:val="center"/>
          </w:tcPr>
          <w:p w14:paraId="54A00421">
            <w:pPr>
              <w:spacing w:line="360" w:lineRule="auto"/>
              <w:rPr>
                <w:rFonts w:hint="eastAsia" w:ascii="宋体" w:hAnsi="宋体" w:cs="宋体"/>
                <w:color w:val="auto"/>
                <w:sz w:val="24"/>
                <w:highlight w:val="none"/>
              </w:rPr>
            </w:pPr>
            <w:r>
              <w:rPr>
                <w:rFonts w:hint="eastAsia" w:ascii="宋体" w:hAnsi="宋体" w:cs="宋体"/>
                <w:color w:val="auto"/>
                <w:sz w:val="24"/>
                <w:highlight w:val="none"/>
              </w:rPr>
              <w:t>安全、文明施工及市政、市容、环保、消防等的保证措施：</w:t>
            </w:r>
          </w:p>
          <w:p w14:paraId="19CB3E08">
            <w:pPr>
              <w:spacing w:line="360" w:lineRule="auto"/>
              <w:rPr>
                <w:rFonts w:hint="eastAsia" w:ascii="宋体" w:hAnsi="宋体" w:cs="宋体"/>
                <w:color w:val="auto"/>
                <w:sz w:val="24"/>
                <w:highlight w:val="none"/>
              </w:rPr>
            </w:pPr>
            <w:r>
              <w:rPr>
                <w:rFonts w:hint="eastAsia" w:ascii="宋体" w:hAnsi="宋体" w:cs="宋体"/>
                <w:color w:val="auto"/>
                <w:sz w:val="24"/>
                <w:highlight w:val="none"/>
              </w:rPr>
              <w:t>各项内容及措施完善且到位的，得5分；各项内容及措施基本完善的，得4分；各项内容及措施部分完善的，得3分；各项内容及措施不足的，得2分；各项内容及措施较多不足的，得1分；未提供的得0分。</w:t>
            </w:r>
          </w:p>
        </w:tc>
        <w:tc>
          <w:tcPr>
            <w:tcW w:w="953" w:type="dxa"/>
            <w:vAlign w:val="center"/>
          </w:tcPr>
          <w:p w14:paraId="25177CCB">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5分</w:t>
            </w:r>
          </w:p>
        </w:tc>
        <w:tc>
          <w:tcPr>
            <w:tcW w:w="1824" w:type="dxa"/>
          </w:tcPr>
          <w:p w14:paraId="111B40F4">
            <w:pPr>
              <w:snapToGrid w:val="0"/>
              <w:rPr>
                <w:rFonts w:hint="eastAsia" w:ascii="宋体" w:hAnsi="宋体" w:cs="宋体"/>
                <w:color w:val="auto"/>
                <w:sz w:val="24"/>
                <w:highlight w:val="none"/>
              </w:rPr>
            </w:pPr>
          </w:p>
        </w:tc>
      </w:tr>
      <w:tr w14:paraId="57099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1B5D85EC">
            <w:pPr>
              <w:numPr>
                <w:ilvl w:val="0"/>
                <w:numId w:val="2"/>
              </w:numPr>
              <w:snapToGrid w:val="0"/>
              <w:jc w:val="center"/>
              <w:outlineLvl w:val="0"/>
              <w:rPr>
                <w:rFonts w:hint="eastAsia" w:ascii="宋体" w:hAnsi="宋体" w:cs="宋体"/>
                <w:color w:val="auto"/>
                <w:sz w:val="24"/>
                <w:highlight w:val="none"/>
              </w:rPr>
            </w:pPr>
            <w:bookmarkStart w:id="451" w:name="_Toc32523"/>
            <w:bookmarkEnd w:id="451"/>
          </w:p>
        </w:tc>
        <w:tc>
          <w:tcPr>
            <w:tcW w:w="5897" w:type="dxa"/>
            <w:vAlign w:val="center"/>
          </w:tcPr>
          <w:p w14:paraId="6DE77683">
            <w:pPr>
              <w:spacing w:line="360" w:lineRule="auto"/>
              <w:rPr>
                <w:rFonts w:hint="eastAsia" w:ascii="宋体" w:hAnsi="宋体" w:cs="宋体"/>
                <w:color w:val="auto"/>
                <w:sz w:val="24"/>
                <w:highlight w:val="none"/>
              </w:rPr>
            </w:pPr>
            <w:r>
              <w:rPr>
                <w:rFonts w:hint="eastAsia" w:ascii="宋体" w:hAnsi="宋体" w:cs="宋体"/>
                <w:color w:val="auto"/>
                <w:sz w:val="24"/>
                <w:highlight w:val="none"/>
              </w:rPr>
              <w:t>项目实施过程中针对成品保护的各项措施：</w:t>
            </w:r>
          </w:p>
          <w:p w14:paraId="63BA803D">
            <w:pPr>
              <w:spacing w:line="360" w:lineRule="auto"/>
              <w:rPr>
                <w:rFonts w:hint="eastAsia" w:ascii="宋体" w:hAnsi="宋体" w:cs="宋体"/>
                <w:color w:val="auto"/>
                <w:sz w:val="24"/>
                <w:highlight w:val="none"/>
              </w:rPr>
            </w:pPr>
            <w:r>
              <w:rPr>
                <w:rFonts w:hint="eastAsia" w:ascii="宋体" w:hAnsi="宋体" w:cs="宋体"/>
                <w:color w:val="auto"/>
                <w:sz w:val="24"/>
                <w:highlight w:val="none"/>
              </w:rPr>
              <w:t>成品保护各项内容及措施完善且到位的，得3分；成品保护各项内容及措施基本完善的，得2分；成品保护各项内容及措施部分不善的，得0.5分；未提供的得0分。</w:t>
            </w:r>
          </w:p>
        </w:tc>
        <w:tc>
          <w:tcPr>
            <w:tcW w:w="953" w:type="dxa"/>
            <w:vAlign w:val="center"/>
          </w:tcPr>
          <w:p w14:paraId="04D69FB9">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38BA1D7A">
            <w:pPr>
              <w:snapToGrid w:val="0"/>
              <w:rPr>
                <w:rFonts w:hint="eastAsia" w:ascii="宋体" w:hAnsi="宋体" w:cs="宋体"/>
                <w:color w:val="auto"/>
                <w:sz w:val="24"/>
                <w:highlight w:val="none"/>
              </w:rPr>
            </w:pPr>
          </w:p>
        </w:tc>
      </w:tr>
      <w:tr w14:paraId="148BF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26F2ACD9">
            <w:pPr>
              <w:numPr>
                <w:ilvl w:val="0"/>
                <w:numId w:val="2"/>
              </w:numPr>
              <w:snapToGrid w:val="0"/>
              <w:jc w:val="center"/>
              <w:outlineLvl w:val="0"/>
              <w:rPr>
                <w:rFonts w:hint="eastAsia" w:ascii="宋体" w:hAnsi="宋体" w:cs="宋体"/>
                <w:color w:val="auto"/>
                <w:sz w:val="24"/>
                <w:highlight w:val="none"/>
              </w:rPr>
            </w:pPr>
            <w:bookmarkStart w:id="452" w:name="_Toc24290"/>
            <w:bookmarkEnd w:id="452"/>
          </w:p>
        </w:tc>
        <w:tc>
          <w:tcPr>
            <w:tcW w:w="5897" w:type="dxa"/>
            <w:vAlign w:val="center"/>
          </w:tcPr>
          <w:p w14:paraId="46DDC0BF">
            <w:pPr>
              <w:spacing w:line="360" w:lineRule="auto"/>
              <w:rPr>
                <w:rFonts w:hint="eastAsia" w:ascii="宋体" w:hAnsi="宋体" w:cs="宋体"/>
                <w:color w:val="auto"/>
                <w:sz w:val="24"/>
                <w:highlight w:val="none"/>
              </w:rPr>
            </w:pPr>
            <w:r>
              <w:rPr>
                <w:rFonts w:hint="eastAsia" w:ascii="宋体" w:hAnsi="宋体" w:cs="宋体"/>
                <w:color w:val="auto"/>
                <w:sz w:val="24"/>
                <w:highlight w:val="none"/>
              </w:rPr>
              <w:t>针对工期承诺的进度计划实施方案进行评审：</w:t>
            </w:r>
          </w:p>
          <w:p w14:paraId="443836E7">
            <w:pPr>
              <w:spacing w:line="360" w:lineRule="auto"/>
              <w:rPr>
                <w:rFonts w:hint="eastAsia" w:ascii="宋体" w:hAnsi="宋体" w:cs="宋体"/>
                <w:color w:val="auto"/>
                <w:sz w:val="24"/>
                <w:highlight w:val="none"/>
              </w:rPr>
            </w:pPr>
            <w:r>
              <w:rPr>
                <w:rFonts w:hint="eastAsia" w:ascii="宋体" w:hAnsi="宋体" w:cs="宋体"/>
                <w:color w:val="auto"/>
                <w:sz w:val="24"/>
                <w:highlight w:val="none"/>
              </w:rPr>
              <w:t>进度计划制定及进度控制措施针对性和可行性强的得3分；进度计划制定及进度控制措施基本保障项目的实施的得2分；进度计划制定及进度控制措施针对性和可行性差的得0.5分；未提供的得0分。</w:t>
            </w:r>
          </w:p>
        </w:tc>
        <w:tc>
          <w:tcPr>
            <w:tcW w:w="953" w:type="dxa"/>
            <w:vAlign w:val="center"/>
          </w:tcPr>
          <w:p w14:paraId="3B9F1BC0">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61F87ACD">
            <w:pPr>
              <w:snapToGrid w:val="0"/>
              <w:rPr>
                <w:rFonts w:hint="eastAsia" w:ascii="宋体" w:hAnsi="宋体" w:cs="宋体"/>
                <w:color w:val="auto"/>
                <w:sz w:val="24"/>
                <w:highlight w:val="none"/>
              </w:rPr>
            </w:pPr>
          </w:p>
        </w:tc>
      </w:tr>
      <w:tr w14:paraId="52ECF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807489C">
            <w:pPr>
              <w:numPr>
                <w:ilvl w:val="0"/>
                <w:numId w:val="2"/>
              </w:numPr>
              <w:snapToGrid w:val="0"/>
              <w:jc w:val="center"/>
              <w:outlineLvl w:val="0"/>
              <w:rPr>
                <w:rFonts w:hint="eastAsia" w:ascii="宋体" w:hAnsi="宋体" w:cs="宋体"/>
                <w:color w:val="auto"/>
                <w:sz w:val="24"/>
                <w:highlight w:val="none"/>
              </w:rPr>
            </w:pPr>
            <w:bookmarkStart w:id="453" w:name="_Toc13497"/>
            <w:bookmarkEnd w:id="453"/>
          </w:p>
        </w:tc>
        <w:tc>
          <w:tcPr>
            <w:tcW w:w="5897" w:type="dxa"/>
            <w:vAlign w:val="center"/>
          </w:tcPr>
          <w:p w14:paraId="2A796D9A">
            <w:pPr>
              <w:spacing w:line="360" w:lineRule="auto"/>
              <w:rPr>
                <w:rFonts w:hint="eastAsia" w:ascii="宋体" w:hAnsi="宋体" w:cs="宋体"/>
                <w:color w:val="auto"/>
                <w:sz w:val="24"/>
                <w:highlight w:val="none"/>
              </w:rPr>
            </w:pPr>
            <w:r>
              <w:rPr>
                <w:rFonts w:hint="eastAsia" w:ascii="宋体" w:hAnsi="宋体" w:cs="宋体"/>
                <w:color w:val="auto"/>
                <w:sz w:val="24"/>
                <w:highlight w:val="none"/>
              </w:rPr>
              <w:t>施工质量控制措施：</w:t>
            </w:r>
          </w:p>
          <w:p w14:paraId="0F6E7A20">
            <w:pPr>
              <w:spacing w:line="360" w:lineRule="auto"/>
              <w:rPr>
                <w:rFonts w:hint="eastAsia" w:ascii="宋体" w:hAnsi="宋体" w:cs="宋体"/>
                <w:color w:val="auto"/>
                <w:sz w:val="24"/>
                <w:highlight w:val="none"/>
              </w:rPr>
            </w:pPr>
            <w:r>
              <w:rPr>
                <w:rFonts w:hint="eastAsia" w:ascii="宋体" w:hAnsi="宋体" w:cs="宋体"/>
                <w:color w:val="auto"/>
                <w:sz w:val="24"/>
                <w:highlight w:val="none"/>
              </w:rPr>
              <w:t>质量控制措施内容完善并到位的，得3分；质量控制措施内容基本完善的，得2分；质量控制措施内容存在缺陷的，得0.5分；未提供的得0分。</w:t>
            </w:r>
          </w:p>
        </w:tc>
        <w:tc>
          <w:tcPr>
            <w:tcW w:w="953" w:type="dxa"/>
            <w:vAlign w:val="center"/>
          </w:tcPr>
          <w:p w14:paraId="1C4FD48D">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3D99DE2B">
            <w:pPr>
              <w:snapToGrid w:val="0"/>
              <w:rPr>
                <w:rFonts w:hint="eastAsia" w:ascii="宋体" w:hAnsi="宋体" w:cs="宋体"/>
                <w:color w:val="auto"/>
                <w:sz w:val="24"/>
                <w:highlight w:val="none"/>
              </w:rPr>
            </w:pPr>
          </w:p>
        </w:tc>
      </w:tr>
      <w:tr w14:paraId="01D46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73D0A6F">
            <w:pPr>
              <w:numPr>
                <w:ilvl w:val="0"/>
                <w:numId w:val="2"/>
              </w:numPr>
              <w:snapToGrid w:val="0"/>
              <w:jc w:val="center"/>
              <w:outlineLvl w:val="0"/>
              <w:rPr>
                <w:rFonts w:hint="eastAsia" w:ascii="宋体" w:hAnsi="宋体" w:cs="宋体"/>
                <w:color w:val="auto"/>
                <w:sz w:val="24"/>
                <w:highlight w:val="none"/>
              </w:rPr>
            </w:pPr>
            <w:bookmarkStart w:id="454" w:name="_Toc9166"/>
            <w:bookmarkEnd w:id="454"/>
          </w:p>
        </w:tc>
        <w:tc>
          <w:tcPr>
            <w:tcW w:w="5897" w:type="dxa"/>
            <w:vAlign w:val="center"/>
          </w:tcPr>
          <w:p w14:paraId="2BC62DE6">
            <w:pPr>
              <w:spacing w:line="360" w:lineRule="auto"/>
              <w:rPr>
                <w:rFonts w:hint="eastAsia" w:ascii="宋体" w:hAnsi="宋体" w:cs="宋体"/>
                <w:color w:val="auto"/>
                <w:sz w:val="24"/>
                <w:highlight w:val="none"/>
              </w:rPr>
            </w:pPr>
            <w:r>
              <w:rPr>
                <w:rFonts w:hint="eastAsia" w:ascii="宋体" w:hAnsi="宋体" w:cs="宋体"/>
                <w:color w:val="auto"/>
                <w:sz w:val="24"/>
                <w:highlight w:val="none"/>
              </w:rPr>
              <w:t>施工机具和检验仪器的投入满足项目实施需求的，得3分；不满足的不得分。</w:t>
            </w:r>
          </w:p>
        </w:tc>
        <w:tc>
          <w:tcPr>
            <w:tcW w:w="953" w:type="dxa"/>
            <w:vAlign w:val="center"/>
          </w:tcPr>
          <w:p w14:paraId="6CDBA7C5">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41C01AE4">
            <w:pPr>
              <w:snapToGrid w:val="0"/>
              <w:rPr>
                <w:rFonts w:hint="eastAsia" w:ascii="宋体" w:hAnsi="宋体" w:cs="宋体"/>
                <w:color w:val="auto"/>
                <w:sz w:val="24"/>
                <w:highlight w:val="none"/>
              </w:rPr>
            </w:pPr>
          </w:p>
        </w:tc>
      </w:tr>
      <w:tr w14:paraId="4EF8A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D696059">
            <w:pPr>
              <w:numPr>
                <w:ilvl w:val="0"/>
                <w:numId w:val="2"/>
              </w:numPr>
              <w:snapToGrid w:val="0"/>
              <w:jc w:val="center"/>
              <w:outlineLvl w:val="0"/>
              <w:rPr>
                <w:rFonts w:hint="eastAsia" w:ascii="宋体" w:hAnsi="宋体" w:cs="宋体"/>
                <w:color w:val="auto"/>
                <w:sz w:val="24"/>
                <w:highlight w:val="none"/>
              </w:rPr>
            </w:pPr>
            <w:bookmarkStart w:id="455" w:name="_Toc21169"/>
            <w:bookmarkEnd w:id="455"/>
          </w:p>
        </w:tc>
        <w:tc>
          <w:tcPr>
            <w:tcW w:w="5897" w:type="dxa"/>
            <w:vAlign w:val="center"/>
          </w:tcPr>
          <w:p w14:paraId="5EA20622">
            <w:pPr>
              <w:spacing w:line="360" w:lineRule="auto"/>
              <w:rPr>
                <w:rFonts w:hint="eastAsia" w:ascii="宋体" w:hAnsi="宋体" w:cs="宋体"/>
                <w:color w:val="auto"/>
                <w:sz w:val="24"/>
                <w:highlight w:val="none"/>
              </w:rPr>
            </w:pPr>
            <w:r>
              <w:rPr>
                <w:rFonts w:hint="eastAsia" w:ascii="宋体" w:hAnsi="宋体" w:cs="宋体"/>
                <w:color w:val="auto"/>
                <w:sz w:val="24"/>
                <w:highlight w:val="none"/>
              </w:rPr>
              <w:t>投入施工材料规格、供应计划及质量保证措施：</w:t>
            </w:r>
          </w:p>
          <w:p w14:paraId="08D221FE">
            <w:pPr>
              <w:spacing w:line="360" w:lineRule="auto"/>
              <w:rPr>
                <w:rFonts w:hint="eastAsia" w:ascii="宋体" w:hAnsi="宋体" w:cs="宋体"/>
                <w:color w:val="auto"/>
                <w:sz w:val="24"/>
                <w:highlight w:val="none"/>
              </w:rPr>
            </w:pPr>
            <w:r>
              <w:rPr>
                <w:rFonts w:hint="eastAsia" w:ascii="宋体" w:hAnsi="宋体" w:cs="宋体"/>
                <w:color w:val="auto"/>
                <w:sz w:val="24"/>
                <w:highlight w:val="none"/>
              </w:rPr>
              <w:t>材料规格详细、供应计划及质量保证措施全面合理的得3分；材料规格详细、供应计划及质量保证措施基本满足项目需求的得2分；材料规格不详细、供应计划及质量保证措施部分满足项目需求的，得0.5分；未提供的得0分。</w:t>
            </w:r>
          </w:p>
        </w:tc>
        <w:tc>
          <w:tcPr>
            <w:tcW w:w="953" w:type="dxa"/>
            <w:vAlign w:val="center"/>
          </w:tcPr>
          <w:p w14:paraId="006EC65F">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34BCEDB9">
            <w:pPr>
              <w:snapToGrid w:val="0"/>
              <w:rPr>
                <w:rFonts w:hint="eastAsia" w:ascii="宋体" w:hAnsi="宋体" w:cs="宋体"/>
                <w:color w:val="auto"/>
                <w:sz w:val="24"/>
                <w:highlight w:val="none"/>
              </w:rPr>
            </w:pPr>
          </w:p>
        </w:tc>
      </w:tr>
      <w:tr w14:paraId="69331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4888A0F">
            <w:pPr>
              <w:numPr>
                <w:ilvl w:val="0"/>
                <w:numId w:val="2"/>
              </w:numPr>
              <w:snapToGrid w:val="0"/>
              <w:jc w:val="center"/>
              <w:outlineLvl w:val="0"/>
              <w:rPr>
                <w:rFonts w:hint="eastAsia" w:ascii="宋体" w:hAnsi="宋体" w:cs="宋体"/>
                <w:color w:val="auto"/>
                <w:sz w:val="24"/>
                <w:highlight w:val="none"/>
              </w:rPr>
            </w:pPr>
            <w:bookmarkStart w:id="456" w:name="_Toc10199"/>
            <w:bookmarkEnd w:id="456"/>
          </w:p>
        </w:tc>
        <w:tc>
          <w:tcPr>
            <w:tcW w:w="5897" w:type="dxa"/>
            <w:vAlign w:val="center"/>
          </w:tcPr>
          <w:p w14:paraId="7525404E">
            <w:pPr>
              <w:spacing w:line="360" w:lineRule="auto"/>
              <w:rPr>
                <w:rFonts w:hint="eastAsia" w:ascii="宋体" w:hAnsi="宋体" w:cs="宋体"/>
                <w:color w:val="auto"/>
                <w:sz w:val="24"/>
                <w:highlight w:val="none"/>
              </w:rPr>
            </w:pPr>
            <w:r>
              <w:rPr>
                <w:rFonts w:hint="eastAsia" w:ascii="宋体" w:hAnsi="宋体" w:cs="宋体"/>
                <w:color w:val="auto"/>
                <w:sz w:val="24"/>
                <w:highlight w:val="none"/>
              </w:rPr>
              <w:t>缺陷责任期内具备完善的售后技术支持和服务体系，能够提供服务标准、服务流程、服务内容：服务体系及内容完善满足采购需求的，得3分；服务体系及内容基本满足采购需求的，得2分；服务体系及内容仅部分满足采购需求的，得0.5分；未提供的得0分。</w:t>
            </w:r>
          </w:p>
        </w:tc>
        <w:tc>
          <w:tcPr>
            <w:tcW w:w="953" w:type="dxa"/>
            <w:vAlign w:val="center"/>
          </w:tcPr>
          <w:p w14:paraId="3120EEE4">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577972B9">
            <w:pPr>
              <w:snapToGrid w:val="0"/>
              <w:rPr>
                <w:rFonts w:hint="eastAsia" w:ascii="宋体" w:hAnsi="宋体" w:cs="宋体"/>
                <w:color w:val="auto"/>
                <w:sz w:val="24"/>
                <w:highlight w:val="none"/>
              </w:rPr>
            </w:pPr>
          </w:p>
        </w:tc>
      </w:tr>
      <w:tr w14:paraId="27C46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73343B9">
            <w:pPr>
              <w:numPr>
                <w:ilvl w:val="0"/>
                <w:numId w:val="2"/>
              </w:numPr>
              <w:snapToGrid w:val="0"/>
              <w:jc w:val="center"/>
              <w:outlineLvl w:val="0"/>
              <w:rPr>
                <w:rFonts w:hint="eastAsia" w:ascii="宋体" w:hAnsi="宋体" w:cs="宋体"/>
                <w:color w:val="auto"/>
                <w:sz w:val="24"/>
                <w:highlight w:val="none"/>
              </w:rPr>
            </w:pPr>
            <w:bookmarkStart w:id="457" w:name="_Toc16484"/>
            <w:bookmarkEnd w:id="457"/>
          </w:p>
        </w:tc>
        <w:tc>
          <w:tcPr>
            <w:tcW w:w="5897" w:type="dxa"/>
            <w:vAlign w:val="center"/>
          </w:tcPr>
          <w:p w14:paraId="34BA0373">
            <w:pPr>
              <w:spacing w:line="360" w:lineRule="auto"/>
              <w:rPr>
                <w:rFonts w:hint="eastAsia" w:ascii="宋体" w:hAnsi="宋体" w:cs="宋体"/>
                <w:color w:val="auto"/>
                <w:sz w:val="24"/>
                <w:highlight w:val="none"/>
              </w:rPr>
            </w:pPr>
            <w:r>
              <w:rPr>
                <w:rFonts w:hint="eastAsia" w:ascii="宋体" w:hAnsi="宋体" w:cs="宋体"/>
                <w:color w:val="auto"/>
                <w:sz w:val="24"/>
                <w:highlight w:val="none"/>
              </w:rPr>
              <w:t>应急预案完整性，承诺紧急的响应时间情况：</w:t>
            </w:r>
          </w:p>
          <w:p w14:paraId="5F231430">
            <w:pPr>
              <w:pStyle w:val="969"/>
              <w:ind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内容完善并到位的，得3分；内容基本完善的，得2分；内容存在缺陷的，得0.5分；未提供的得0分。</w:t>
            </w:r>
          </w:p>
        </w:tc>
        <w:tc>
          <w:tcPr>
            <w:tcW w:w="953" w:type="dxa"/>
            <w:vAlign w:val="center"/>
          </w:tcPr>
          <w:p w14:paraId="5FCA653B">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729A6292">
            <w:pPr>
              <w:snapToGrid w:val="0"/>
              <w:rPr>
                <w:rFonts w:hint="eastAsia" w:ascii="宋体" w:hAnsi="宋体" w:cs="宋体"/>
                <w:color w:val="auto"/>
                <w:sz w:val="24"/>
                <w:highlight w:val="none"/>
              </w:rPr>
            </w:pPr>
          </w:p>
        </w:tc>
      </w:tr>
      <w:tr w14:paraId="4000B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4ED0B8C">
            <w:pPr>
              <w:numPr>
                <w:ilvl w:val="0"/>
                <w:numId w:val="2"/>
              </w:numPr>
              <w:snapToGrid w:val="0"/>
              <w:jc w:val="center"/>
              <w:outlineLvl w:val="0"/>
              <w:rPr>
                <w:rFonts w:hint="eastAsia" w:ascii="宋体" w:hAnsi="宋体" w:cs="宋体"/>
                <w:color w:val="auto"/>
                <w:sz w:val="24"/>
                <w:highlight w:val="none"/>
              </w:rPr>
            </w:pPr>
            <w:bookmarkStart w:id="458" w:name="_Toc13938"/>
            <w:bookmarkEnd w:id="458"/>
          </w:p>
        </w:tc>
        <w:tc>
          <w:tcPr>
            <w:tcW w:w="5897" w:type="dxa"/>
          </w:tcPr>
          <w:p w14:paraId="04E0D786">
            <w:pPr>
              <w:spacing w:line="360" w:lineRule="auto"/>
              <w:rPr>
                <w:rFonts w:hint="eastAsia" w:ascii="宋体" w:hAnsi="宋体" w:cs="宋体"/>
                <w:color w:val="auto"/>
                <w:sz w:val="24"/>
                <w:highlight w:val="none"/>
              </w:rPr>
            </w:pPr>
            <w:r>
              <w:rPr>
                <w:rFonts w:hint="eastAsia" w:ascii="宋体" w:hAnsi="宋体" w:cs="宋体"/>
                <w:color w:val="auto"/>
                <w:sz w:val="24"/>
                <w:highlight w:val="none"/>
              </w:rPr>
              <w:t>有效最后报价的最低价作为评审基准价，其最低报价为满分；按［最后报价得分=（评审基准价/最后报价）×30］的计算公式计算。</w:t>
            </w:r>
          </w:p>
          <w:p w14:paraId="40B8E51B">
            <w:pPr>
              <w:widowControl/>
              <w:shd w:val="clear" w:color="auto" w:fill="FFFFFF"/>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评审过程中，不得去掉报价中的最高报价和最低报价。</w:t>
            </w:r>
          </w:p>
          <w:p w14:paraId="103A03D8">
            <w:pPr>
              <w:widowControl/>
              <w:shd w:val="clear" w:color="auto" w:fill="FFFFFF"/>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因落实政府采购政策需要进行价格调整的，以调整后的价格计算评审基准价和报价。</w:t>
            </w:r>
          </w:p>
        </w:tc>
        <w:tc>
          <w:tcPr>
            <w:tcW w:w="953" w:type="dxa"/>
            <w:vAlign w:val="center"/>
          </w:tcPr>
          <w:p w14:paraId="1CB23071">
            <w:pPr>
              <w:spacing w:line="360" w:lineRule="auto"/>
              <w:jc w:val="center"/>
              <w:rPr>
                <w:rFonts w:hint="eastAsia" w:ascii="宋体" w:hAnsi="宋体" w:cs="宋体"/>
                <w:bCs/>
                <w:color w:val="auto"/>
                <w:sz w:val="24"/>
                <w:highlight w:val="none"/>
              </w:rPr>
            </w:pPr>
            <w:r>
              <w:rPr>
                <w:rFonts w:hint="eastAsia" w:ascii="宋体" w:hAnsi="宋体" w:cs="宋体"/>
                <w:color w:val="auto"/>
                <w:sz w:val="24"/>
                <w:highlight w:val="none"/>
              </w:rPr>
              <w:t>30分</w:t>
            </w:r>
          </w:p>
        </w:tc>
        <w:tc>
          <w:tcPr>
            <w:tcW w:w="1824" w:type="dxa"/>
          </w:tcPr>
          <w:p w14:paraId="7AF910A6">
            <w:pPr>
              <w:snapToGrid w:val="0"/>
              <w:rPr>
                <w:rFonts w:hint="eastAsia" w:ascii="宋体" w:hAnsi="宋体" w:cs="宋体"/>
                <w:color w:val="auto"/>
                <w:sz w:val="24"/>
                <w:highlight w:val="none"/>
              </w:rPr>
            </w:pPr>
          </w:p>
        </w:tc>
      </w:tr>
    </w:tbl>
    <w:p w14:paraId="76EA6CAD">
      <w:pPr>
        <w:pStyle w:val="27"/>
        <w:rPr>
          <w:color w:val="auto"/>
          <w:highlight w:val="none"/>
        </w:rPr>
      </w:pPr>
    </w:p>
    <w:p w14:paraId="1A581B0A">
      <w:pPr>
        <w:snapToGrid w:val="0"/>
        <w:spacing w:line="360" w:lineRule="auto"/>
        <w:rPr>
          <w:rFonts w:hint="eastAsia" w:ascii="宋体" w:hAnsi="宋体" w:cs="宋体"/>
          <w:b/>
          <w:color w:val="auto"/>
          <w:sz w:val="24"/>
          <w:highlight w:val="none"/>
        </w:rPr>
      </w:pPr>
      <w:r>
        <w:rPr>
          <w:rFonts w:hint="eastAsia" w:ascii="宋体" w:hAnsi="宋体" w:cs="宋体"/>
          <w:color w:val="auto"/>
          <w:sz w:val="20"/>
          <w:szCs w:val="20"/>
          <w:highlight w:val="none"/>
          <w:shd w:val="clear" w:color="auto" w:fill="FFFFFF"/>
        </w:rPr>
        <w:t> *</w:t>
      </w:r>
      <w:r>
        <w:rPr>
          <w:rFonts w:hint="eastAsia" w:ascii="宋体" w:hAnsi="宋体" w:cs="宋体"/>
          <w:b/>
          <w:color w:val="auto"/>
          <w:sz w:val="24"/>
          <w:highlight w:val="none"/>
        </w:rPr>
        <w:t>备注：</w:t>
      </w:r>
      <w:r>
        <w:rPr>
          <w:rFonts w:hint="eastAsia" w:ascii="宋体" w:hAnsi="宋体" w:cs="宋体"/>
          <w:color w:val="auto"/>
          <w:sz w:val="24"/>
          <w:highlight w:val="none"/>
        </w:rPr>
        <w:t>供应商编制响应文件（商务技术文件部分）时，建议按此目录（序号和内容）提供评审标准相应的商务技术资料。 </w:t>
      </w:r>
    </w:p>
    <w:p w14:paraId="41122194">
      <w:pPr>
        <w:jc w:val="left"/>
        <w:rPr>
          <w:rFonts w:hint="eastAsia" w:ascii="宋体" w:hAnsi="宋体" w:cs="宋体"/>
          <w:b/>
          <w:color w:val="auto"/>
          <w:sz w:val="32"/>
          <w:highlight w:val="none"/>
        </w:rPr>
      </w:pPr>
      <w:r>
        <w:rPr>
          <w:rFonts w:hint="eastAsia" w:ascii="宋体" w:hAnsi="宋体" w:cs="宋体"/>
          <w:b/>
          <w:color w:val="auto"/>
          <w:sz w:val="32"/>
          <w:highlight w:val="none"/>
        </w:rPr>
        <w:br w:type="page"/>
      </w:r>
    </w:p>
    <w:p w14:paraId="6F9F0786">
      <w:pPr>
        <w:snapToGrid w:val="0"/>
        <w:spacing w:line="360" w:lineRule="auto"/>
        <w:jc w:val="center"/>
        <w:rPr>
          <w:rFonts w:hint="eastAsia" w:ascii="宋体" w:hAnsi="宋体" w:cs="宋体"/>
          <w:b/>
          <w:color w:val="auto"/>
          <w:sz w:val="28"/>
          <w:szCs w:val="28"/>
          <w:highlight w:val="none"/>
        </w:rPr>
      </w:pPr>
      <w:r>
        <w:rPr>
          <w:rFonts w:hint="eastAsia" w:ascii="宋体" w:hAnsi="宋体" w:cs="宋体"/>
          <w:b/>
          <w:color w:val="auto"/>
          <w:sz w:val="32"/>
          <w:highlight w:val="none"/>
        </w:rPr>
        <w:t>一、评审方法</w:t>
      </w:r>
    </w:p>
    <w:p w14:paraId="42F09AF0">
      <w:pPr>
        <w:adjustRightInd/>
        <w:spacing w:line="360" w:lineRule="auto"/>
        <w:ind w:firstLine="472" w:firstLineChars="196"/>
        <w:rPr>
          <w:rFonts w:hint="eastAsia" w:ascii="宋体" w:hAnsi="宋体" w:cs="宋体"/>
          <w:color w:val="auto"/>
          <w:kern w:val="0"/>
          <w:sz w:val="24"/>
          <w:highlight w:val="none"/>
        </w:rPr>
      </w:pPr>
      <w:r>
        <w:rPr>
          <w:rFonts w:hint="eastAsia" w:ascii="宋体" w:hAnsi="宋体" w:cs="宋体"/>
          <w:b/>
          <w:color w:val="auto"/>
          <w:kern w:val="0"/>
          <w:sz w:val="24"/>
          <w:highlight w:val="none"/>
        </w:rPr>
        <w:t>1.本项目采用综合评分法。</w:t>
      </w:r>
      <w:r>
        <w:rPr>
          <w:rFonts w:hint="eastAsia" w:ascii="宋体" w:hAnsi="宋体" w:cs="宋体"/>
          <w:color w:val="auto"/>
          <w:kern w:val="0"/>
          <w:sz w:val="24"/>
          <w:highlight w:val="none"/>
        </w:rPr>
        <w:t>综合评分法，是指响应文件满足磋商文件全部实质性要求且按评审因素的量化指标评审得分最高的供应商为成交候选供应商的评审方法。</w:t>
      </w:r>
    </w:p>
    <w:p w14:paraId="2374BB63">
      <w:pPr>
        <w:snapToGrid w:val="0"/>
        <w:spacing w:line="360" w:lineRule="auto"/>
        <w:jc w:val="center"/>
        <w:rPr>
          <w:rFonts w:hint="eastAsia" w:ascii="宋体" w:hAnsi="宋体" w:cs="宋体"/>
          <w:b/>
          <w:color w:val="auto"/>
          <w:sz w:val="32"/>
          <w:highlight w:val="none"/>
        </w:rPr>
      </w:pPr>
      <w:r>
        <w:rPr>
          <w:rFonts w:hint="eastAsia" w:ascii="宋体" w:hAnsi="宋体" w:cs="宋体"/>
          <w:b/>
          <w:color w:val="auto"/>
          <w:sz w:val="32"/>
          <w:highlight w:val="none"/>
        </w:rPr>
        <w:t>二、评审标准</w:t>
      </w:r>
    </w:p>
    <w:p w14:paraId="50458268">
      <w:pPr>
        <w:spacing w:line="360" w:lineRule="auto"/>
        <w:ind w:firstLine="472" w:firstLineChars="196"/>
        <w:rPr>
          <w:rFonts w:hint="eastAsia" w:ascii="宋体" w:hAnsi="宋体" w:cs="宋体"/>
          <w:b/>
          <w:color w:val="auto"/>
          <w:sz w:val="24"/>
          <w:highlight w:val="none"/>
        </w:rPr>
      </w:pPr>
      <w:r>
        <w:rPr>
          <w:rFonts w:hint="eastAsia" w:ascii="宋体" w:hAnsi="宋体" w:cs="宋体"/>
          <w:b/>
          <w:color w:val="auto"/>
          <w:sz w:val="24"/>
          <w:highlight w:val="none"/>
        </w:rPr>
        <w:t>2.</w:t>
      </w:r>
      <w:r>
        <w:rPr>
          <w:rFonts w:hint="eastAsia" w:ascii="宋体" w:hAnsi="宋体" w:cs="宋体"/>
          <w:color w:val="auto"/>
          <w:highlight w:val="none"/>
        </w:rPr>
        <w:t xml:space="preserve"> </w:t>
      </w:r>
      <w:r>
        <w:rPr>
          <w:rFonts w:hint="eastAsia" w:ascii="宋体" w:hAnsi="宋体" w:cs="宋体"/>
          <w:b/>
          <w:color w:val="auto"/>
          <w:sz w:val="24"/>
          <w:highlight w:val="none"/>
        </w:rPr>
        <w:t>评审标准：</w:t>
      </w:r>
      <w:r>
        <w:rPr>
          <w:rFonts w:hint="eastAsia" w:ascii="宋体" w:hAnsi="宋体" w:cs="宋体"/>
          <w:color w:val="auto"/>
          <w:kern w:val="0"/>
          <w:sz w:val="24"/>
          <w:highlight w:val="none"/>
        </w:rPr>
        <w:t>见评审办法前附表。</w:t>
      </w:r>
    </w:p>
    <w:p w14:paraId="15A8A786">
      <w:pPr>
        <w:snapToGrid w:val="0"/>
        <w:spacing w:line="360" w:lineRule="auto"/>
        <w:jc w:val="center"/>
        <w:rPr>
          <w:rFonts w:hint="eastAsia" w:ascii="宋体" w:hAnsi="宋体" w:cs="宋体"/>
          <w:b/>
          <w:color w:val="auto"/>
          <w:sz w:val="32"/>
          <w:highlight w:val="none"/>
        </w:rPr>
      </w:pPr>
      <w:r>
        <w:rPr>
          <w:rFonts w:hint="eastAsia" w:ascii="宋体" w:hAnsi="宋体" w:cs="宋体"/>
          <w:b/>
          <w:color w:val="auto"/>
          <w:sz w:val="32"/>
          <w:highlight w:val="none"/>
        </w:rPr>
        <w:t>三、评审程序</w:t>
      </w:r>
    </w:p>
    <w:p w14:paraId="022F8E0F">
      <w:pPr>
        <w:spacing w:line="360" w:lineRule="auto"/>
        <w:ind w:firstLine="472" w:firstLineChars="196"/>
        <w:rPr>
          <w:rFonts w:hint="eastAsia" w:ascii="宋体" w:hAnsi="宋体" w:cs="宋体"/>
          <w:color w:val="auto"/>
          <w:kern w:val="0"/>
          <w:sz w:val="24"/>
          <w:highlight w:val="none"/>
        </w:rPr>
      </w:pPr>
      <w:r>
        <w:rPr>
          <w:rFonts w:hint="eastAsia" w:ascii="宋体" w:hAnsi="宋体" w:cs="宋体"/>
          <w:b/>
          <w:color w:val="auto"/>
          <w:kern w:val="0"/>
          <w:sz w:val="24"/>
          <w:highlight w:val="none"/>
        </w:rPr>
        <w:t>3.1符合性审查。</w:t>
      </w:r>
      <w:r>
        <w:rPr>
          <w:rFonts w:hint="eastAsia" w:ascii="宋体" w:hAnsi="宋体" w:cs="宋体"/>
          <w:color w:val="auto"/>
          <w:kern w:val="0"/>
          <w:sz w:val="24"/>
          <w:highlight w:val="none"/>
        </w:rPr>
        <w:t>磋商小组应当对符合资格的供应商的响应文件进行符合性审查，以确定其是否满足采购文件的实质性要求。不满足采购文件的实质性要求的，响应文件无效。</w:t>
      </w:r>
    </w:p>
    <w:p w14:paraId="756988C6">
      <w:pPr>
        <w:spacing w:line="360" w:lineRule="auto"/>
        <w:ind w:firstLine="472" w:firstLineChars="196"/>
        <w:rPr>
          <w:rFonts w:hint="eastAsia" w:ascii="宋体" w:hAnsi="宋体" w:cs="宋体"/>
          <w:color w:val="auto"/>
          <w:sz w:val="24"/>
          <w:highlight w:val="none"/>
        </w:rPr>
      </w:pPr>
      <w:r>
        <w:rPr>
          <w:rFonts w:hint="eastAsia" w:ascii="宋体" w:hAnsi="宋体" w:cs="宋体"/>
          <w:b/>
          <w:color w:val="auto"/>
          <w:kern w:val="0"/>
          <w:sz w:val="24"/>
          <w:highlight w:val="none"/>
        </w:rPr>
        <w:t>3.2 磋商。</w:t>
      </w:r>
      <w:r>
        <w:rPr>
          <w:rFonts w:hint="eastAsia" w:ascii="宋体" w:hAnsi="宋体" w:cs="宋体"/>
          <w:color w:val="auto"/>
          <w:sz w:val="24"/>
          <w:highlight w:val="none"/>
        </w:rPr>
        <w:t>磋商小组将对确定为实质性响应本采购文件的响应文件进行详细评价和比较，主要就资信、服务方案内容、服务承诺等磋商小组认为与本次采购有关的因素与</w:t>
      </w:r>
      <w:r>
        <w:rPr>
          <w:rFonts w:hint="eastAsia" w:ascii="宋体" w:hAnsi="宋体" w:cs="宋体"/>
          <w:color w:val="auto"/>
          <w:kern w:val="0"/>
          <w:sz w:val="24"/>
          <w:highlight w:val="none"/>
        </w:rPr>
        <w:t>符合性审查合格的</w:t>
      </w:r>
      <w:r>
        <w:rPr>
          <w:rFonts w:hint="eastAsia" w:ascii="宋体" w:hAnsi="宋体" w:cs="宋体"/>
          <w:color w:val="auto"/>
          <w:sz w:val="24"/>
          <w:highlight w:val="none"/>
        </w:rPr>
        <w:t>供应商逐一进行磋商。</w:t>
      </w:r>
    </w:p>
    <w:p w14:paraId="6CB0FE07">
      <w:pPr>
        <w:spacing w:line="360" w:lineRule="auto"/>
        <w:ind w:firstLine="470" w:firstLineChars="196"/>
        <w:rPr>
          <w:rFonts w:hint="eastAsia" w:ascii="宋体" w:hAnsi="宋体" w:cs="宋体"/>
          <w:b/>
          <w:color w:val="auto"/>
          <w:sz w:val="24"/>
          <w:highlight w:val="none"/>
        </w:rPr>
      </w:pPr>
      <w:r>
        <w:rPr>
          <w:rFonts w:hint="eastAsia" w:ascii="宋体" w:hAnsi="宋体" w:cs="宋体"/>
          <w:bCs/>
          <w:color w:val="auto"/>
          <w:sz w:val="24"/>
          <w:highlight w:val="none"/>
        </w:rPr>
        <w:t xml:space="preserve">3.2.1 </w:t>
      </w:r>
      <w:r>
        <w:rPr>
          <w:rFonts w:hint="eastAsia" w:ascii="宋体" w:hAnsi="宋体" w:cs="宋体"/>
          <w:color w:val="auto"/>
          <w:sz w:val="24"/>
          <w:highlight w:val="none"/>
        </w:rPr>
        <w:t>供应商逐家回答磋商小组的提问；</w:t>
      </w:r>
      <w:r>
        <w:rPr>
          <w:rFonts w:hint="eastAsia" w:ascii="宋体" w:hAnsi="宋体" w:cs="宋体"/>
          <w:b/>
          <w:color w:val="auto"/>
          <w:sz w:val="24"/>
          <w:highlight w:val="none"/>
        </w:rPr>
        <w:t>逐家磋商一次为一个轮次，磋商轮次根据实际情况进行。</w:t>
      </w:r>
    </w:p>
    <w:p w14:paraId="5D0E4B40">
      <w:pPr>
        <w:spacing w:line="360" w:lineRule="auto"/>
        <w:ind w:firstLine="470" w:firstLineChars="196"/>
        <w:rPr>
          <w:rFonts w:hint="eastAsia" w:ascii="宋体" w:hAnsi="宋体" w:cs="宋体"/>
          <w:color w:val="auto"/>
          <w:sz w:val="24"/>
          <w:highlight w:val="none"/>
        </w:rPr>
      </w:pPr>
      <w:r>
        <w:rPr>
          <w:rFonts w:hint="eastAsia" w:ascii="宋体" w:hAnsi="宋体" w:cs="宋体"/>
          <w:bCs/>
          <w:color w:val="auto"/>
          <w:sz w:val="24"/>
          <w:highlight w:val="none"/>
        </w:rPr>
        <w:t xml:space="preserve">3.2.2 </w:t>
      </w:r>
      <w:r>
        <w:rPr>
          <w:rFonts w:hint="eastAsia" w:ascii="宋体" w:hAnsi="宋体" w:cs="宋体"/>
          <w:color w:val="auto"/>
          <w:sz w:val="24"/>
          <w:highlight w:val="none"/>
        </w:rPr>
        <w:t>供应商应按磋商小组通知的时间在线或以邮件回复做出承诺或回复，承诺或回复的内容须由供应商法定代表人或授权代表签署，并作为响应文件的补充部分。</w:t>
      </w:r>
    </w:p>
    <w:p w14:paraId="0869C812">
      <w:pPr>
        <w:spacing w:line="360" w:lineRule="auto"/>
        <w:ind w:firstLine="470" w:firstLineChars="196"/>
        <w:rPr>
          <w:rFonts w:hint="eastAsia" w:ascii="宋体" w:hAnsi="宋体" w:cs="宋体"/>
          <w:bCs/>
          <w:color w:val="auto"/>
          <w:kern w:val="0"/>
          <w:sz w:val="24"/>
          <w:highlight w:val="none"/>
        </w:rPr>
      </w:pPr>
      <w:r>
        <w:rPr>
          <w:rFonts w:hint="eastAsia" w:ascii="宋体" w:hAnsi="宋体" w:cs="宋体"/>
          <w:color w:val="auto"/>
          <w:sz w:val="24"/>
          <w:highlight w:val="none"/>
        </w:rPr>
        <w:t xml:space="preserve">3.2.3 </w:t>
      </w:r>
      <w:r>
        <w:rPr>
          <w:rFonts w:hint="eastAsia" w:ascii="宋体" w:hAnsi="宋体" w:cs="宋体"/>
          <w:b/>
          <w:bCs/>
          <w:color w:val="auto"/>
          <w:sz w:val="24"/>
          <w:highlight w:val="none"/>
        </w:rPr>
        <w:t>在磋商过程中，磋商小组可以根据磋商文件和磋商情况实质性变动采购需求中的“※”号技术、服务要求以及合同草案中的“※”号条款，但不得变动磋商文件中的其他内容。</w:t>
      </w:r>
      <w:r>
        <w:rPr>
          <w:rFonts w:hint="eastAsia" w:ascii="宋体" w:hAnsi="宋体" w:cs="宋体"/>
          <w:color w:val="auto"/>
          <w:sz w:val="24"/>
          <w:highlight w:val="none"/>
        </w:rPr>
        <w:t>实质性变动的内容，须经采购人代表确认。磋商文件有实质性变动的，磋商小组将以书面形式通知所有</w:t>
      </w:r>
      <w:r>
        <w:rPr>
          <w:rFonts w:hint="eastAsia" w:ascii="宋体" w:hAnsi="宋体" w:cs="宋体"/>
          <w:color w:val="auto"/>
          <w:kern w:val="0"/>
          <w:sz w:val="24"/>
          <w:highlight w:val="none"/>
        </w:rPr>
        <w:t>符合性审查合格的</w:t>
      </w:r>
      <w:r>
        <w:rPr>
          <w:rFonts w:hint="eastAsia" w:ascii="宋体" w:hAnsi="宋体" w:cs="宋体"/>
          <w:color w:val="auto"/>
          <w:sz w:val="24"/>
          <w:highlight w:val="none"/>
        </w:rPr>
        <w:t xml:space="preserve">供应商。 </w:t>
      </w:r>
    </w:p>
    <w:p w14:paraId="5D2D0AA4">
      <w:pPr>
        <w:spacing w:line="360" w:lineRule="auto"/>
        <w:ind w:firstLine="472" w:firstLineChars="196"/>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3.3最后报价</w:t>
      </w:r>
    </w:p>
    <w:p w14:paraId="23FE26F2">
      <w:pPr>
        <w:spacing w:line="360" w:lineRule="auto"/>
        <w:ind w:firstLine="470" w:firstLineChars="196"/>
        <w:rPr>
          <w:rFonts w:hint="eastAsia" w:ascii="宋体" w:hAnsi="宋体" w:cs="宋体"/>
          <w:color w:val="auto"/>
          <w:kern w:val="0"/>
          <w:sz w:val="24"/>
          <w:highlight w:val="none"/>
        </w:rPr>
      </w:pPr>
      <w:r>
        <w:rPr>
          <w:rFonts w:hint="eastAsia" w:ascii="宋体" w:hAnsi="宋体" w:cs="宋体"/>
          <w:color w:val="auto"/>
          <w:kern w:val="0"/>
          <w:sz w:val="24"/>
          <w:highlight w:val="none"/>
        </w:rPr>
        <w:t>3.3.1 磋商文件能够详细列明采购标的的技术、服务要求的，磋商结束后，磋商小组应当要求所有符合性审查合格的供应商在规定时间内提交最后报价，提交最后报价的供应商不得少于3家。</w:t>
      </w:r>
    </w:p>
    <w:p w14:paraId="6828E4EF">
      <w:pPr>
        <w:spacing w:line="360" w:lineRule="auto"/>
        <w:ind w:firstLine="470" w:firstLineChars="196"/>
        <w:rPr>
          <w:rFonts w:hint="eastAsia" w:ascii="宋体" w:hAnsi="宋体" w:cs="宋体"/>
          <w:color w:val="auto"/>
          <w:kern w:val="0"/>
          <w:sz w:val="24"/>
          <w:highlight w:val="none"/>
        </w:rPr>
      </w:pPr>
      <w:r>
        <w:rPr>
          <w:rFonts w:hint="eastAsia" w:ascii="宋体" w:hAnsi="宋体" w:cs="宋体"/>
          <w:color w:val="auto"/>
          <w:kern w:val="0"/>
          <w:sz w:val="24"/>
          <w:highlight w:val="none"/>
        </w:rPr>
        <w:t>3.3.2 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14:paraId="03E3888F">
      <w:pPr>
        <w:spacing w:line="360" w:lineRule="auto"/>
        <w:ind w:firstLine="470" w:firstLineChars="196"/>
        <w:rPr>
          <w:rFonts w:hint="eastAsia" w:ascii="宋体" w:hAnsi="宋体" w:cs="宋体"/>
          <w:color w:val="auto"/>
          <w:kern w:val="0"/>
          <w:sz w:val="24"/>
          <w:highlight w:val="none"/>
        </w:rPr>
      </w:pPr>
      <w:r>
        <w:rPr>
          <w:rFonts w:hint="eastAsia" w:ascii="宋体" w:hAnsi="宋体" w:cs="宋体"/>
          <w:color w:val="auto"/>
          <w:kern w:val="0"/>
          <w:sz w:val="24"/>
          <w:highlight w:val="none"/>
        </w:rPr>
        <w:t>3.3.3 已提交响应文件的供应商，在提交最后报价之前，可以根据磋商情况退出磋商。</w:t>
      </w:r>
    </w:p>
    <w:p w14:paraId="4AFA805C">
      <w:pPr>
        <w:spacing w:line="360" w:lineRule="auto"/>
        <w:ind w:firstLine="472" w:firstLineChars="196"/>
        <w:rPr>
          <w:rFonts w:hint="eastAsia" w:ascii="宋体" w:hAnsi="宋体" w:cs="宋体"/>
          <w:color w:val="auto"/>
          <w:kern w:val="0"/>
          <w:sz w:val="24"/>
          <w:highlight w:val="none"/>
        </w:rPr>
      </w:pPr>
      <w:r>
        <w:rPr>
          <w:rFonts w:hint="eastAsia" w:ascii="宋体" w:hAnsi="宋体" w:cs="宋体"/>
          <w:b/>
          <w:color w:val="auto"/>
          <w:kern w:val="0"/>
          <w:sz w:val="24"/>
          <w:highlight w:val="none"/>
        </w:rPr>
        <w:t>3.4 综合评分。</w:t>
      </w:r>
      <w:r>
        <w:rPr>
          <w:rFonts w:hint="eastAsia" w:ascii="宋体" w:hAnsi="宋体" w:cs="宋体"/>
          <w:bCs/>
          <w:color w:val="auto"/>
          <w:kern w:val="0"/>
          <w:sz w:val="24"/>
          <w:highlight w:val="none"/>
        </w:rPr>
        <w:t>经磋商确定最终采购需求和提交最后报价的供应商后，</w:t>
      </w:r>
      <w:r>
        <w:rPr>
          <w:rFonts w:hint="eastAsia" w:ascii="宋体" w:hAnsi="宋体" w:cs="宋体"/>
          <w:color w:val="auto"/>
          <w:kern w:val="0"/>
          <w:sz w:val="24"/>
          <w:highlight w:val="none"/>
        </w:rPr>
        <w:t>磋商小组应当按照采购文件中规定的评审标准，对符合性审查合格的响应文件进行综合评分。磋商文件中没有规定的评审标准不得作为评审依据。</w:t>
      </w:r>
    </w:p>
    <w:p w14:paraId="071B1BEC">
      <w:pPr>
        <w:spacing w:line="360" w:lineRule="auto"/>
        <w:ind w:firstLine="472" w:firstLineChars="196"/>
        <w:rPr>
          <w:rFonts w:hint="eastAsia" w:ascii="宋体" w:hAnsi="宋体" w:cs="宋体"/>
          <w:color w:val="auto"/>
          <w:kern w:val="0"/>
          <w:sz w:val="24"/>
          <w:highlight w:val="none"/>
        </w:rPr>
      </w:pPr>
      <w:r>
        <w:rPr>
          <w:rFonts w:hint="eastAsia" w:ascii="宋体" w:hAnsi="宋体" w:cs="宋体"/>
          <w:b/>
          <w:color w:val="auto"/>
          <w:kern w:val="0"/>
          <w:sz w:val="24"/>
          <w:highlight w:val="none"/>
        </w:rPr>
        <w:t>3.5汇总商务技术得分。</w:t>
      </w:r>
      <w:r>
        <w:rPr>
          <w:rFonts w:hint="eastAsia" w:ascii="宋体" w:hAnsi="宋体" w:cs="宋体"/>
          <w:color w:val="auto"/>
          <w:kern w:val="0"/>
          <w:sz w:val="24"/>
          <w:highlight w:val="none"/>
        </w:rPr>
        <w:t>磋商小组各成员应当独立对每个供应商的商务和技术文件进行评价，并汇总商务技术得分情况。磋商小组成员总评分偏离平均分30%以上的，以及个人主观打分偏离所有磋商小组成员主观打分平均值</w:t>
      </w:r>
      <w:r>
        <w:rPr>
          <w:rFonts w:ascii="宋体" w:hAnsi="宋体" w:cs="宋体"/>
          <w:color w:val="auto"/>
          <w:kern w:val="0"/>
          <w:sz w:val="24"/>
          <w:highlight w:val="none"/>
        </w:rPr>
        <w:t>30%以上的，由</w:t>
      </w:r>
      <w:r>
        <w:rPr>
          <w:rFonts w:hint="eastAsia" w:ascii="宋体" w:hAnsi="宋体" w:cs="宋体"/>
          <w:color w:val="auto"/>
          <w:kern w:val="0"/>
          <w:sz w:val="24"/>
          <w:highlight w:val="none"/>
        </w:rPr>
        <w:t>磋商小组</w:t>
      </w:r>
      <w:r>
        <w:rPr>
          <w:rFonts w:ascii="宋体" w:hAnsi="宋体" w:cs="宋体"/>
          <w:color w:val="auto"/>
          <w:kern w:val="0"/>
          <w:sz w:val="24"/>
          <w:highlight w:val="none"/>
        </w:rPr>
        <w:t>启动评分畸高、畸低行为认定程序</w:t>
      </w:r>
      <w:r>
        <w:rPr>
          <w:rFonts w:hint="eastAsia" w:ascii="宋体" w:hAnsi="宋体" w:cs="宋体"/>
          <w:color w:val="auto"/>
          <w:kern w:val="0"/>
          <w:sz w:val="24"/>
          <w:highlight w:val="none"/>
        </w:rPr>
        <w:t>，磋商小组组长应提醒相关评审人员进行复核或书面说明理由，评审人员拒绝说明的，由现场监督员据实记录；评审人员的评审、修改记录应保留原件，随项目其他资料一并存档。</w:t>
      </w:r>
    </w:p>
    <w:p w14:paraId="360ADFB0">
      <w:pPr>
        <w:spacing w:line="360" w:lineRule="auto"/>
        <w:ind w:firstLine="472" w:firstLineChars="196"/>
        <w:rPr>
          <w:rFonts w:hint="eastAsia" w:ascii="宋体" w:hAnsi="宋体" w:cs="宋体"/>
          <w:b/>
          <w:color w:val="auto"/>
          <w:kern w:val="0"/>
          <w:sz w:val="24"/>
          <w:highlight w:val="none"/>
        </w:rPr>
      </w:pPr>
      <w:r>
        <w:rPr>
          <w:rFonts w:hint="eastAsia" w:ascii="宋体" w:hAnsi="宋体" w:cs="宋体"/>
          <w:b/>
          <w:color w:val="auto"/>
          <w:kern w:val="0"/>
          <w:sz w:val="24"/>
          <w:highlight w:val="none"/>
        </w:rPr>
        <w:t>3.6报价评审。</w:t>
      </w:r>
    </w:p>
    <w:p w14:paraId="5A342A31">
      <w:pPr>
        <w:pStyle w:val="133"/>
        <w:spacing w:before="0"/>
        <w:ind w:firstLine="508" w:firstLineChars="212"/>
        <w:rPr>
          <w:rFonts w:hint="eastAsia" w:ascii="宋体" w:hAnsi="宋体" w:cs="宋体"/>
          <w:color w:val="auto"/>
          <w:kern w:val="0"/>
          <w:highlight w:val="none"/>
        </w:rPr>
      </w:pPr>
      <w:r>
        <w:rPr>
          <w:rFonts w:hint="eastAsia" w:ascii="宋体" w:hAnsi="宋体" w:cs="宋体"/>
          <w:color w:val="auto"/>
          <w:kern w:val="0"/>
          <w:highlight w:val="none"/>
        </w:rPr>
        <w:t>3.6.1响应文件报价出现前后不一致的，按照下列规定修正：</w:t>
      </w:r>
    </w:p>
    <w:p w14:paraId="1E43900A">
      <w:pPr>
        <w:pStyle w:val="133"/>
        <w:spacing w:before="0"/>
        <w:ind w:firstLine="480"/>
        <w:rPr>
          <w:rFonts w:hint="eastAsia" w:ascii="宋体" w:hAnsi="宋体" w:cs="宋体"/>
          <w:color w:val="auto"/>
          <w:kern w:val="0"/>
          <w:szCs w:val="24"/>
          <w:highlight w:val="none"/>
        </w:rPr>
      </w:pPr>
      <w:r>
        <w:rPr>
          <w:rFonts w:hint="eastAsia" w:ascii="宋体" w:hAnsi="宋体" w:cs="宋体"/>
          <w:color w:val="auto"/>
          <w:kern w:val="0"/>
          <w:szCs w:val="24"/>
          <w:highlight w:val="none"/>
        </w:rPr>
        <w:t>3.6.1.1响应文件中已标价工程量清单内容与响应文件中相应内容不一致的，以已标价工程量清单为准；</w:t>
      </w:r>
    </w:p>
    <w:p w14:paraId="20F99B3D">
      <w:pPr>
        <w:pStyle w:val="133"/>
        <w:spacing w:before="0"/>
        <w:ind w:firstLine="480"/>
        <w:rPr>
          <w:rFonts w:hint="eastAsia" w:ascii="宋体" w:hAnsi="宋体" w:cs="宋体"/>
          <w:color w:val="auto"/>
          <w:kern w:val="0"/>
          <w:szCs w:val="24"/>
          <w:highlight w:val="none"/>
        </w:rPr>
      </w:pPr>
      <w:r>
        <w:rPr>
          <w:rFonts w:hint="eastAsia" w:ascii="宋体" w:hAnsi="宋体" w:cs="宋体"/>
          <w:color w:val="auto"/>
          <w:kern w:val="0"/>
          <w:szCs w:val="24"/>
          <w:highlight w:val="none"/>
        </w:rPr>
        <w:t>3.6.1.2大写金额和小写金额不一致的，以大写金额为准；</w:t>
      </w:r>
    </w:p>
    <w:p w14:paraId="22C53134">
      <w:pPr>
        <w:pStyle w:val="133"/>
        <w:spacing w:before="0"/>
        <w:ind w:firstLine="480"/>
        <w:rPr>
          <w:rFonts w:hint="eastAsia" w:ascii="宋体" w:hAnsi="宋体" w:cs="宋体"/>
          <w:color w:val="auto"/>
          <w:kern w:val="0"/>
          <w:szCs w:val="24"/>
          <w:highlight w:val="none"/>
        </w:rPr>
      </w:pPr>
      <w:r>
        <w:rPr>
          <w:rFonts w:hint="eastAsia" w:ascii="宋体" w:hAnsi="宋体" w:cs="宋体"/>
          <w:color w:val="auto"/>
          <w:kern w:val="0"/>
          <w:szCs w:val="24"/>
          <w:highlight w:val="none"/>
        </w:rPr>
        <w:t>3.6.1.3单价金额小数点或者百分比有明显错位的，以已标价工程量清单的总价为准，并修改单价；</w:t>
      </w:r>
    </w:p>
    <w:p w14:paraId="01FD5AA8">
      <w:pPr>
        <w:pStyle w:val="133"/>
        <w:spacing w:before="0"/>
        <w:ind w:firstLine="480"/>
        <w:rPr>
          <w:rFonts w:hint="eastAsia" w:ascii="宋体" w:hAnsi="宋体" w:cs="宋体"/>
          <w:color w:val="auto"/>
          <w:kern w:val="0"/>
          <w:szCs w:val="24"/>
          <w:highlight w:val="none"/>
        </w:rPr>
      </w:pPr>
      <w:r>
        <w:rPr>
          <w:rFonts w:hint="eastAsia" w:ascii="宋体" w:hAnsi="宋体" w:cs="宋体"/>
          <w:color w:val="auto"/>
          <w:kern w:val="0"/>
          <w:szCs w:val="24"/>
          <w:highlight w:val="none"/>
        </w:rPr>
        <w:t>3.6.1.4总价金额与按单价汇总金额不一致的，以单价金额计算结果为准；</w:t>
      </w:r>
    </w:p>
    <w:p w14:paraId="6F8B8C6F">
      <w:pPr>
        <w:pStyle w:val="133"/>
        <w:spacing w:before="0"/>
        <w:ind w:firstLine="480"/>
        <w:rPr>
          <w:rFonts w:hint="eastAsia" w:ascii="宋体" w:hAnsi="宋体" w:cs="宋体"/>
          <w:color w:val="auto"/>
          <w:kern w:val="0"/>
          <w:szCs w:val="24"/>
          <w:highlight w:val="none"/>
        </w:rPr>
      </w:pPr>
      <w:r>
        <w:rPr>
          <w:rFonts w:hint="eastAsia" w:ascii="宋体" w:hAnsi="宋体" w:cs="宋体"/>
          <w:color w:val="auto"/>
          <w:kern w:val="0"/>
          <w:szCs w:val="24"/>
          <w:highlight w:val="none"/>
        </w:rPr>
        <w:t>3.6.1.5同时出现两种以上不一致的，按照3.6.1规定的顺序修正。修正后的报价经供应商确认后产生约束力。</w:t>
      </w:r>
    </w:p>
    <w:p w14:paraId="57978160">
      <w:pPr>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3.6.2响应文件出现不是唯一的、有选择性最后报价的，响应文件无效。</w:t>
      </w:r>
    </w:p>
    <w:p w14:paraId="6A4B24CD">
      <w:pPr>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3.6.3最后报价超过采购文件中规定的预算金额或者最高限价的，响应文件无效。</w:t>
      </w:r>
    </w:p>
    <w:p w14:paraId="5FCFC003">
      <w:pPr>
        <w:pStyle w:val="133"/>
        <w:spacing w:before="0"/>
        <w:ind w:firstLine="480"/>
        <w:rPr>
          <w:rFonts w:hint="eastAsia" w:ascii="宋体" w:hAnsi="宋体" w:cs="宋体"/>
          <w:color w:val="auto"/>
          <w:kern w:val="0"/>
          <w:szCs w:val="24"/>
          <w:highlight w:val="none"/>
        </w:rPr>
      </w:pPr>
      <w:r>
        <w:rPr>
          <w:rFonts w:hint="eastAsia" w:ascii="宋体" w:hAnsi="宋体" w:cs="宋体"/>
          <w:color w:val="auto"/>
          <w:kern w:val="0"/>
          <w:szCs w:val="24"/>
          <w:highlight w:val="none"/>
        </w:rPr>
        <w:t>3.6.4对于未预留份额专门面向中小企业的政府采购工程项目，以及预留份额政府采购工程项目中的非预留部分标项，对小型和微型企业的最后报价给予5%的扣除，用扣除后的价格参与评审。接受大中型企业与小微企业组成联合体或者允许大中型企业向一家或者多家小微企业分包的政府采购工程项目，对于联合协议或者分包意向协议约定小微企业的合同份额占到合同总金额30%以上的，对联合体或者大中型企业的报价给予2%的扣除，用扣除后的价格参加评审。组成联合体或者接受分包的小微企业与联合体内其他企业、分包企业之间存在直接控股、管理关系的，不享受价格扣除优惠政策。</w:t>
      </w:r>
    </w:p>
    <w:p w14:paraId="40061060">
      <w:pPr>
        <w:spacing w:line="360" w:lineRule="auto"/>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3.7排序与推荐。</w:t>
      </w:r>
      <w:r>
        <w:rPr>
          <w:rFonts w:hint="eastAsia" w:ascii="宋体" w:hAnsi="宋体" w:cs="宋体"/>
          <w:color w:val="auto"/>
          <w:kern w:val="0"/>
          <w:sz w:val="24"/>
          <w:highlight w:val="none"/>
        </w:rPr>
        <w:t>评审结果按评审后得分由高到低顺序排列。得分相同的，按最后报价由低到高顺序排列。得分且最后报价相同的并列。响应文件满足采购文件全部实质性要求，且按照评审因素的量化指标评审得分由高到低顺序推荐3名以上成交候选供应商。</w:t>
      </w:r>
    </w:p>
    <w:p w14:paraId="43AF122F">
      <w:pPr>
        <w:spacing w:line="360" w:lineRule="auto"/>
        <w:ind w:firstLine="472" w:firstLineChars="196"/>
        <w:rPr>
          <w:rFonts w:hint="eastAsia" w:ascii="宋体" w:hAnsi="宋体" w:cs="宋体"/>
          <w:color w:val="auto"/>
          <w:kern w:val="0"/>
          <w:sz w:val="24"/>
          <w:highlight w:val="none"/>
        </w:rPr>
      </w:pPr>
      <w:r>
        <w:rPr>
          <w:rFonts w:hint="eastAsia" w:ascii="宋体" w:hAnsi="宋体" w:cs="宋体"/>
          <w:b/>
          <w:color w:val="auto"/>
          <w:kern w:val="0"/>
          <w:sz w:val="24"/>
          <w:highlight w:val="none"/>
        </w:rPr>
        <w:t>3.8编写评审报告。</w:t>
      </w:r>
      <w:r>
        <w:rPr>
          <w:rFonts w:hint="eastAsia" w:ascii="宋体" w:hAnsi="宋体" w:cs="宋体"/>
          <w:color w:val="auto"/>
          <w:kern w:val="0"/>
          <w:sz w:val="24"/>
          <w:highlight w:val="none"/>
        </w:rPr>
        <w:t>磋商小组根据全体评审成员签字的原始评审记录和评审结果编写评审报告。磋商小组成员对需要共同认定的事项存在争议的，应当按照少数服从多数的原则作出结论。持不同意见的磋商小组成员应当在评审报告上签署不同意见及理由，否则视为同意评审报告。</w:t>
      </w:r>
    </w:p>
    <w:p w14:paraId="2E5970B7">
      <w:pPr>
        <w:snapToGrid w:val="0"/>
        <w:spacing w:line="360" w:lineRule="auto"/>
        <w:jc w:val="center"/>
        <w:rPr>
          <w:rFonts w:hint="eastAsia" w:ascii="宋体" w:hAnsi="宋体" w:cs="宋体"/>
          <w:b/>
          <w:color w:val="auto"/>
          <w:sz w:val="32"/>
          <w:highlight w:val="none"/>
        </w:rPr>
      </w:pPr>
      <w:r>
        <w:rPr>
          <w:rFonts w:hint="eastAsia" w:ascii="宋体" w:hAnsi="宋体" w:cs="宋体"/>
          <w:b/>
          <w:color w:val="auto"/>
          <w:sz w:val="32"/>
          <w:highlight w:val="none"/>
        </w:rPr>
        <w:t>四、评审中的其他事项</w:t>
      </w:r>
    </w:p>
    <w:p w14:paraId="3845D594">
      <w:pPr>
        <w:pStyle w:val="133"/>
        <w:spacing w:before="0"/>
        <w:ind w:firstLine="472" w:firstLineChars="196"/>
        <w:rPr>
          <w:rFonts w:hint="eastAsia" w:ascii="宋体" w:hAnsi="宋体" w:cs="宋体"/>
          <w:color w:val="auto"/>
          <w:kern w:val="0"/>
          <w:szCs w:val="24"/>
          <w:highlight w:val="none"/>
        </w:rPr>
      </w:pPr>
      <w:r>
        <w:rPr>
          <w:rFonts w:hint="eastAsia" w:ascii="宋体" w:hAnsi="宋体" w:cs="宋体"/>
          <w:b/>
          <w:color w:val="auto"/>
          <w:kern w:val="0"/>
          <w:szCs w:val="24"/>
          <w:highlight w:val="none"/>
        </w:rPr>
        <w:t>4.1供应商澄清、说明或者补正。</w:t>
      </w:r>
      <w:r>
        <w:rPr>
          <w:rFonts w:hint="eastAsia" w:ascii="宋体" w:hAnsi="宋体" w:cs="宋体"/>
          <w:color w:val="auto"/>
          <w:kern w:val="0"/>
          <w:szCs w:val="24"/>
          <w:highlight w:val="none"/>
        </w:rPr>
        <w:t>对于响应文件中含义不明确、同类问题表述不一致或者有明显文字和计算错误的内容需要供应商作出必要的澄清、说明或者补正的，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补正不得超出响应文件的范围或者改变响应文件的实质性内容。</w:t>
      </w:r>
    </w:p>
    <w:p w14:paraId="6A1F51F9">
      <w:pPr>
        <w:pStyle w:val="26"/>
        <w:spacing w:line="360" w:lineRule="auto"/>
        <w:ind w:left="954" w:leftChars="226" w:hanging="479" w:firstLineChars="0"/>
        <w:rPr>
          <w:rFonts w:hint="eastAsia" w:cs="宋体"/>
          <w:color w:val="auto"/>
          <w:szCs w:val="21"/>
          <w:highlight w:val="none"/>
        </w:rPr>
      </w:pPr>
      <w:r>
        <w:rPr>
          <w:rFonts w:hint="eastAsia" w:cs="宋体"/>
          <w:b/>
          <w:color w:val="auto"/>
          <w:kern w:val="0"/>
          <w:highlight w:val="none"/>
        </w:rPr>
        <w:t>4.2响应文件无效。</w:t>
      </w:r>
      <w:r>
        <w:rPr>
          <w:rFonts w:hint="eastAsia" w:cs="宋体"/>
          <w:color w:val="auto"/>
          <w:szCs w:val="21"/>
          <w:highlight w:val="none"/>
        </w:rPr>
        <w:t>有下列情形之一的，响应文件无效：</w:t>
      </w:r>
    </w:p>
    <w:p w14:paraId="4E98BB09">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4.2.1供应商不具备采购文件中规定的资格要求的（供应商未提供有效的资格文件的，视为供应商不具备采购文件中规定的资格要求）；</w:t>
      </w:r>
    </w:p>
    <w:p w14:paraId="544C3298">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4.2.2响应文件未按照采购文件要求签署、盖章的；</w:t>
      </w:r>
    </w:p>
    <w:p w14:paraId="0A3DC165">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4.2.3采购人拟采购的产品属于政府强制采购的节能产品品目清单范围的，供应商未按采购文件要求提供国家确定的认证机构出具的、处于有效期之内的节能产品认证证书的；</w:t>
      </w:r>
    </w:p>
    <w:p w14:paraId="7E3100CD">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4.2.4响应文件含有采购人不能接受的附加条件的；</w:t>
      </w:r>
    </w:p>
    <w:p w14:paraId="38F8B2C2">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4.2.5响应文件中承诺的响应文件有效期少于采购文件中载明的响应文件有效期的；</w:t>
      </w:r>
    </w:p>
    <w:p w14:paraId="37EE80BD">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4.2.6响应文件出现不是唯一的、有选择性最后报价的；</w:t>
      </w:r>
    </w:p>
    <w:p w14:paraId="53CD9858">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4.2.7最后报价超过采购文件中规定的预算金额或者最高限价的；</w:t>
      </w:r>
    </w:p>
    <w:p w14:paraId="115A3EF7">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4.2.8报价明显低于其他通过符合性审查供应商的报价，有可能影响产品质量或者不能诚信履约的，未能按要求提供书面说明或者提交相关证明材料，不能证明其报价合理性的；</w:t>
      </w:r>
    </w:p>
    <w:p w14:paraId="4E2E38C9">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4.2.9供应商对根据修正原则修正后的报价不确认的；</w:t>
      </w:r>
    </w:p>
    <w:p w14:paraId="5E45538E">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4.2.10供应商提供虚假材料响应的；</w:t>
      </w:r>
    </w:p>
    <w:p w14:paraId="24A354F1">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4.2.11供应商有恶意串通、妨碍其他供应商的竞争行为、损害采购人或者其他供应商的合法权益情形的；</w:t>
      </w:r>
    </w:p>
    <w:p w14:paraId="28FE59AC">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4.2.12供应商仅提交备份响应文件，未在电子交易平台传输递交响应文件的，响应文件无效；</w:t>
      </w:r>
    </w:p>
    <w:p w14:paraId="40C2F732">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4.2.13 响应文件不满足采购文件的其它实质性要求的；</w:t>
      </w:r>
    </w:p>
    <w:p w14:paraId="12921F98">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4.2.14法律、法规、规章（适用本市的）及省级以上规范性文件（适用本市的）规定的其他无效情形。</w:t>
      </w:r>
    </w:p>
    <w:p w14:paraId="0AD2C950">
      <w:pPr>
        <w:pStyle w:val="26"/>
        <w:snapToGrid w:val="0"/>
        <w:spacing w:line="360" w:lineRule="auto"/>
        <w:ind w:firstLine="472" w:firstLineChars="196"/>
        <w:rPr>
          <w:rFonts w:hint="eastAsia" w:cs="宋体"/>
          <w:color w:val="auto"/>
          <w:highlight w:val="none"/>
        </w:rPr>
      </w:pPr>
      <w:r>
        <w:rPr>
          <w:rFonts w:hint="eastAsia" w:cs="宋体"/>
          <w:b/>
          <w:color w:val="auto"/>
          <w:highlight w:val="none"/>
        </w:rPr>
        <w:t>5.终止竞争性磋商采购活动。</w:t>
      </w:r>
      <w:r>
        <w:rPr>
          <w:rFonts w:hint="eastAsia" w:cs="宋体"/>
          <w:color w:val="auto"/>
          <w:highlight w:val="none"/>
        </w:rPr>
        <w:t>出现下列情形之一的，采购人或者采购代理机构应当终止竞争性磋商采购活动，发布项目终止公告并说明原因，重新开展采购活动：</w:t>
      </w:r>
    </w:p>
    <w:p w14:paraId="5381B34A">
      <w:pPr>
        <w:pStyle w:val="26"/>
        <w:snapToGrid w:val="0"/>
        <w:spacing w:line="360" w:lineRule="auto"/>
        <w:rPr>
          <w:rFonts w:hint="eastAsia" w:cs="宋体"/>
          <w:color w:val="auto"/>
          <w:highlight w:val="none"/>
        </w:rPr>
      </w:pPr>
      <w:r>
        <w:rPr>
          <w:rFonts w:hint="eastAsia" w:cs="宋体"/>
          <w:color w:val="auto"/>
          <w:highlight w:val="none"/>
        </w:rPr>
        <w:t>5.1因情况变化，不再符合规定的竞争性磋商采购方式适用情形的；</w:t>
      </w:r>
    </w:p>
    <w:p w14:paraId="31C804B0">
      <w:pPr>
        <w:pStyle w:val="26"/>
        <w:snapToGrid w:val="0"/>
        <w:spacing w:line="360" w:lineRule="auto"/>
        <w:rPr>
          <w:rFonts w:hint="eastAsia" w:cs="宋体"/>
          <w:color w:val="auto"/>
          <w:highlight w:val="none"/>
        </w:rPr>
      </w:pPr>
      <w:r>
        <w:rPr>
          <w:rFonts w:hint="eastAsia" w:cs="宋体"/>
          <w:color w:val="auto"/>
          <w:highlight w:val="none"/>
        </w:rPr>
        <w:t>5.2出现影响采购公正的违法、违规行为的；</w:t>
      </w:r>
    </w:p>
    <w:p w14:paraId="61688F81">
      <w:pPr>
        <w:pStyle w:val="26"/>
        <w:snapToGrid w:val="0"/>
        <w:spacing w:line="360" w:lineRule="auto"/>
        <w:rPr>
          <w:rFonts w:hint="eastAsia" w:cs="宋体"/>
          <w:color w:val="auto"/>
          <w:highlight w:val="none"/>
        </w:rPr>
      </w:pPr>
      <w:r>
        <w:rPr>
          <w:rFonts w:hint="eastAsia" w:cs="宋体"/>
          <w:color w:val="auto"/>
          <w:highlight w:val="none"/>
        </w:rPr>
        <w:t>5.3除本办法第二十一条第三款规定的情形外，在采购过程中符合要求的供应商或者报价未超过采购预算的供应商不足3家的。</w:t>
      </w:r>
    </w:p>
    <w:p w14:paraId="03563137">
      <w:pPr>
        <w:pStyle w:val="26"/>
        <w:snapToGrid w:val="0"/>
        <w:spacing w:line="360" w:lineRule="auto"/>
        <w:rPr>
          <w:rFonts w:hint="eastAsia" w:cs="宋体"/>
          <w:color w:val="auto"/>
          <w:highlight w:val="none"/>
        </w:rPr>
      </w:pPr>
      <w:r>
        <w:rPr>
          <w:rFonts w:hint="eastAsia" w:cs="宋体"/>
          <w:color w:val="auto"/>
          <w:highlight w:val="none"/>
        </w:rPr>
        <w:t>5.4在采购活动中因重大变故，采购任务取消的，采购人或者采购代理机构应当终止采购活动，通知所有参加采购活动的供应商，并将项目实施情况和采购任务取消原因报送本级财政部门。</w:t>
      </w:r>
    </w:p>
    <w:p w14:paraId="1CAACD4B">
      <w:pPr>
        <w:pStyle w:val="26"/>
        <w:snapToGrid w:val="0"/>
        <w:spacing w:line="360" w:lineRule="auto"/>
        <w:ind w:firstLine="482"/>
        <w:rPr>
          <w:rFonts w:hint="eastAsia" w:cs="宋体"/>
          <w:color w:val="auto"/>
          <w:highlight w:val="none"/>
        </w:rPr>
      </w:pPr>
      <w:r>
        <w:rPr>
          <w:rFonts w:hint="eastAsia" w:cs="宋体"/>
          <w:b/>
          <w:color w:val="auto"/>
          <w:kern w:val="0"/>
          <w:highlight w:val="none"/>
        </w:rPr>
        <w:t>6.重新开展采购。</w:t>
      </w:r>
      <w:r>
        <w:rPr>
          <w:rFonts w:hint="eastAsia" w:cs="宋体"/>
          <w:color w:val="auto"/>
          <w:highlight w:val="none"/>
        </w:rPr>
        <w:t>有政府采购法第七十一条、第七十二条规定的违法行为之一，影响或者可能影响成交结果的，依照下列规定处理：</w:t>
      </w:r>
    </w:p>
    <w:p w14:paraId="5F928691">
      <w:pPr>
        <w:pStyle w:val="26"/>
        <w:snapToGrid w:val="0"/>
        <w:spacing w:line="360" w:lineRule="auto"/>
        <w:rPr>
          <w:rFonts w:hint="eastAsia" w:cs="宋体"/>
          <w:color w:val="auto"/>
          <w:highlight w:val="none"/>
        </w:rPr>
      </w:pPr>
      <w:r>
        <w:rPr>
          <w:rFonts w:hint="eastAsia" w:cs="宋体"/>
          <w:color w:val="auto"/>
          <w:highlight w:val="none"/>
        </w:rPr>
        <w:t>6.1未确定成交供应商的，终止本次政府采购活动，重新开展政府采购活动。</w:t>
      </w:r>
    </w:p>
    <w:p w14:paraId="13415E17">
      <w:pPr>
        <w:pStyle w:val="26"/>
        <w:snapToGrid w:val="0"/>
        <w:spacing w:line="360" w:lineRule="auto"/>
        <w:rPr>
          <w:rFonts w:hint="eastAsia" w:cs="宋体"/>
          <w:color w:val="auto"/>
          <w:highlight w:val="none"/>
        </w:rPr>
      </w:pPr>
      <w:r>
        <w:rPr>
          <w:rFonts w:hint="eastAsia" w:cs="宋体"/>
          <w:color w:val="auto"/>
          <w:highlight w:val="none"/>
        </w:rPr>
        <w:t>6.2已确定成交供应商但尚未签订政府采购合同的，成交结果无效，从合格的成交候选供应商中另行确定成交供应商；没有合格的成交候选供应商的，重新开展政府采购活动。</w:t>
      </w:r>
    </w:p>
    <w:p w14:paraId="4DC36408">
      <w:pPr>
        <w:pStyle w:val="26"/>
        <w:snapToGrid w:val="0"/>
        <w:spacing w:line="360" w:lineRule="auto"/>
        <w:rPr>
          <w:rFonts w:hint="eastAsia" w:cs="宋体"/>
          <w:color w:val="auto"/>
          <w:highlight w:val="none"/>
        </w:rPr>
      </w:pPr>
      <w:r>
        <w:rPr>
          <w:rFonts w:hint="eastAsia" w:cs="宋体"/>
          <w:color w:val="auto"/>
          <w:highlight w:val="none"/>
        </w:rPr>
        <w:t>6.3政府采购合同已签订但尚未履行的，撤销合同，从合格的成交候选供应商中另行确定成交供应商；没有合格的成交候选供应商的，重新开展政府采购活动。</w:t>
      </w:r>
    </w:p>
    <w:p w14:paraId="5BE17247">
      <w:pPr>
        <w:pStyle w:val="26"/>
        <w:snapToGrid w:val="0"/>
        <w:spacing w:line="360" w:lineRule="auto"/>
        <w:rPr>
          <w:rFonts w:hint="eastAsia" w:cs="宋体"/>
          <w:color w:val="auto"/>
          <w:highlight w:val="none"/>
        </w:rPr>
      </w:pPr>
      <w:r>
        <w:rPr>
          <w:rFonts w:hint="eastAsia" w:cs="宋体"/>
          <w:color w:val="auto"/>
          <w:highlight w:val="none"/>
        </w:rPr>
        <w:t>6.4政府采购合同已经履行，给采购人、供应商造成损失的，由责任人承担赔偿责任。</w:t>
      </w:r>
    </w:p>
    <w:p w14:paraId="72E9F2CB">
      <w:pPr>
        <w:pStyle w:val="26"/>
        <w:snapToGrid w:val="0"/>
        <w:spacing w:line="360" w:lineRule="auto"/>
        <w:rPr>
          <w:rFonts w:hint="eastAsia" w:cs="宋体"/>
          <w:color w:val="auto"/>
          <w:highlight w:val="none"/>
        </w:rPr>
      </w:pPr>
      <w:r>
        <w:rPr>
          <w:rFonts w:hint="eastAsia" w:cs="宋体"/>
          <w:color w:val="auto"/>
          <w:highlight w:val="none"/>
        </w:rPr>
        <w:t>6.5政府采购当事人有其他违反政府采购法或者政府采购法实施条例等法律法规规定的行为，经改正后仍然影响或者可能影响成交结果或者依法被认定为成交无效的，依照6.1-6.4规定处理。</w:t>
      </w:r>
    </w:p>
    <w:p w14:paraId="14145042">
      <w:pPr>
        <w:pStyle w:val="26"/>
        <w:snapToGrid w:val="0"/>
        <w:spacing w:line="360" w:lineRule="auto"/>
        <w:ind w:firstLine="0" w:firstLineChars="0"/>
        <w:rPr>
          <w:rFonts w:hint="eastAsia" w:cs="宋体"/>
          <w:color w:val="auto"/>
          <w:highlight w:val="none"/>
        </w:rPr>
        <w:sectPr>
          <w:pgSz w:w="11907" w:h="16840"/>
          <w:pgMar w:top="1440" w:right="1080" w:bottom="1440" w:left="1080" w:header="851" w:footer="851" w:gutter="0"/>
          <w:cols w:space="720" w:num="1"/>
        </w:sectPr>
      </w:pPr>
    </w:p>
    <w:bookmarkEnd w:id="57"/>
    <w:p w14:paraId="6A57A6DA">
      <w:pPr>
        <w:pStyle w:val="5"/>
        <w:snapToGrid w:val="0"/>
        <w:spacing w:before="0" w:after="0" w:line="360" w:lineRule="auto"/>
        <w:ind w:left="0" w:firstLine="0"/>
        <w:jc w:val="center"/>
        <w:rPr>
          <w:color w:val="auto"/>
          <w:highlight w:val="none"/>
        </w:rPr>
      </w:pPr>
      <w:bookmarkStart w:id="459" w:name="_Toc12059"/>
      <w:bookmarkStart w:id="460" w:name="第五部分"/>
      <w:bookmarkStart w:id="461" w:name="_Toc86217003"/>
      <w:r>
        <w:rPr>
          <w:rFonts w:hint="eastAsia"/>
          <w:color w:val="auto"/>
          <w:highlight w:val="none"/>
        </w:rPr>
        <w:t>第五部分 拟签订的合同文本</w:t>
      </w:r>
      <w:bookmarkEnd w:id="459"/>
    </w:p>
    <w:p w14:paraId="3FA8DFD9">
      <w:pPr>
        <w:snapToGrid w:val="0"/>
        <w:spacing w:line="360" w:lineRule="auto"/>
        <w:ind w:firstLine="480" w:firstLineChars="200"/>
        <w:jc w:val="left"/>
        <w:rPr>
          <w:rFonts w:hint="eastAsia" w:ascii="宋体" w:hAnsi="宋体"/>
          <w:snapToGrid w:val="0"/>
          <w:color w:val="auto"/>
          <w:kern w:val="0"/>
          <w:sz w:val="24"/>
          <w:szCs w:val="20"/>
          <w:highlight w:val="none"/>
        </w:rPr>
      </w:pPr>
      <w:r>
        <w:rPr>
          <w:rFonts w:hint="eastAsia" w:ascii="宋体" w:hAnsi="宋体"/>
          <w:snapToGrid w:val="0"/>
          <w:color w:val="auto"/>
          <w:kern w:val="0"/>
          <w:sz w:val="24"/>
          <w:szCs w:val="20"/>
          <w:highlight w:val="none"/>
        </w:rPr>
        <w:t>参考住房城乡建设部、原国家工商行政管理总局制定的《建设工程施工合同（示范文本）》（GF-2017-0201），其中专用条款使用杭州市城乡建设委员会、市工商行政管理局制定印发的《杭州市房屋建筑工程和市政基础设施工程施工合同专用条款（示范文本）（2019年修订）》。</w:t>
      </w:r>
    </w:p>
    <w:p w14:paraId="4CA05BD4">
      <w:pPr>
        <w:pStyle w:val="6"/>
        <w:spacing w:before="312" w:beforeLines="100" w:after="312" w:afterLines="100" w:line="336" w:lineRule="auto"/>
        <w:jc w:val="center"/>
        <w:rPr>
          <w:rFonts w:hint="eastAsia" w:eastAsia="华文中宋"/>
          <w:b w:val="0"/>
          <w:color w:val="auto"/>
          <w:sz w:val="24"/>
          <w:szCs w:val="24"/>
          <w:highlight w:val="none"/>
        </w:rPr>
      </w:pPr>
      <w:r>
        <w:rPr>
          <w:rFonts w:hint="eastAsia" w:ascii="宋体" w:hAnsi="宋体" w:cs="宋体"/>
          <w:snapToGrid w:val="0"/>
          <w:color w:val="auto"/>
          <w:kern w:val="44"/>
          <w:sz w:val="24"/>
          <w:szCs w:val="20"/>
          <w:highlight w:val="none"/>
        </w:rPr>
        <w:br w:type="page"/>
      </w:r>
      <w:r>
        <w:rPr>
          <w:rFonts w:hAnsi="宋体"/>
          <w:color w:val="auto"/>
          <w:sz w:val="24"/>
          <w:szCs w:val="24"/>
          <w:highlight w:val="none"/>
        </w:rPr>
        <w:t>第一部分 合同协议书</w:t>
      </w:r>
    </w:p>
    <w:p w14:paraId="3EEF9F3E">
      <w:pPr>
        <w:adjustRightInd/>
        <w:spacing w:line="336" w:lineRule="auto"/>
        <w:rPr>
          <w:rFonts w:eastAsia="仿宋_GB2312"/>
          <w:b/>
          <w:color w:val="auto"/>
          <w:sz w:val="24"/>
          <w:highlight w:val="none"/>
          <w:u w:val="single"/>
        </w:rPr>
      </w:pPr>
      <w:r>
        <w:rPr>
          <w:rFonts w:eastAsia="仿宋_GB2312"/>
          <w:b/>
          <w:color w:val="auto"/>
          <w:sz w:val="24"/>
          <w:highlight w:val="none"/>
        </w:rPr>
        <w:t>发包人（全称）：</w:t>
      </w:r>
      <w:r>
        <w:rPr>
          <w:rFonts w:hint="eastAsia" w:eastAsia="仿宋_GB2312"/>
          <w:b/>
          <w:color w:val="auto"/>
          <w:sz w:val="24"/>
          <w:highlight w:val="none"/>
          <w:u w:val="single"/>
        </w:rPr>
        <w:t xml:space="preserve"> 杭州市源清中学  </w:t>
      </w:r>
    </w:p>
    <w:p w14:paraId="09BCF574">
      <w:pPr>
        <w:adjustRightInd/>
        <w:spacing w:line="336" w:lineRule="auto"/>
        <w:rPr>
          <w:rFonts w:eastAsia="仿宋_GB2312"/>
          <w:b/>
          <w:color w:val="auto"/>
          <w:sz w:val="24"/>
          <w:highlight w:val="none"/>
          <w:u w:val="single"/>
        </w:rPr>
      </w:pPr>
      <w:r>
        <w:rPr>
          <w:rFonts w:eastAsia="仿宋_GB2312"/>
          <w:b/>
          <w:color w:val="auto"/>
          <w:sz w:val="24"/>
          <w:highlight w:val="none"/>
        </w:rPr>
        <w:t>承包人（全称）：</w:t>
      </w:r>
      <w:r>
        <w:rPr>
          <w:rFonts w:eastAsia="仿宋_GB2312"/>
          <w:b/>
          <w:color w:val="auto"/>
          <w:sz w:val="24"/>
          <w:highlight w:val="none"/>
          <w:u w:val="single"/>
        </w:rPr>
        <w:t>     </w:t>
      </w:r>
    </w:p>
    <w:p w14:paraId="31211425">
      <w:pPr>
        <w:adjustRightInd/>
        <w:spacing w:line="336" w:lineRule="auto"/>
        <w:ind w:firstLine="480" w:firstLineChars="200"/>
        <w:rPr>
          <w:rFonts w:eastAsia="仿宋_GB2312"/>
          <w:color w:val="auto"/>
          <w:sz w:val="24"/>
          <w:highlight w:val="none"/>
        </w:rPr>
      </w:pPr>
      <w:r>
        <w:rPr>
          <w:rFonts w:eastAsia="仿宋_GB2312"/>
          <w:color w:val="auto"/>
          <w:sz w:val="24"/>
          <w:highlight w:val="none"/>
        </w:rPr>
        <w:t>根据</w:t>
      </w:r>
      <w:r>
        <w:rPr>
          <w:rFonts w:hint="eastAsia" w:eastAsia="仿宋_GB2312"/>
          <w:color w:val="auto"/>
          <w:sz w:val="24"/>
          <w:highlight w:val="none"/>
        </w:rPr>
        <w:t>《中华人民共和国民法典》</w:t>
      </w:r>
      <w:r>
        <w:rPr>
          <w:rFonts w:eastAsia="仿宋_GB2312"/>
          <w:color w:val="auto"/>
          <w:sz w:val="24"/>
          <w:highlight w:val="none"/>
        </w:rPr>
        <w:t>、《中华人民共和国建筑法》及有关法律规定，遵循平等、自愿、公平和诚实信用的原则，双方就工程施工及有关事项协商一致</w:t>
      </w:r>
      <w:r>
        <w:rPr>
          <w:rFonts w:hint="eastAsia" w:eastAsia="仿宋_GB2312"/>
          <w:color w:val="auto"/>
          <w:sz w:val="24"/>
          <w:highlight w:val="none"/>
        </w:rPr>
        <w:t>，</w:t>
      </w:r>
      <w:r>
        <w:rPr>
          <w:rFonts w:eastAsia="仿宋_GB2312"/>
          <w:color w:val="auto"/>
          <w:sz w:val="24"/>
          <w:highlight w:val="none"/>
        </w:rPr>
        <w:t>共同达成如下协议：</w:t>
      </w:r>
    </w:p>
    <w:p w14:paraId="5D0EA156">
      <w:pPr>
        <w:pStyle w:val="8"/>
        <w:spacing w:before="0" w:after="0" w:line="336" w:lineRule="auto"/>
        <w:rPr>
          <w:rFonts w:ascii="Times New Roman" w:hAnsi="Times New Roman"/>
          <w:bCs w:val="0"/>
          <w:color w:val="auto"/>
          <w:sz w:val="24"/>
          <w:szCs w:val="24"/>
          <w:highlight w:val="none"/>
        </w:rPr>
      </w:pPr>
      <w:bookmarkStart w:id="462" w:name="_Toc351203481"/>
      <w:r>
        <w:rPr>
          <w:rFonts w:ascii="Times New Roman" w:hAnsi="Times New Roman"/>
          <w:b w:val="0"/>
          <w:color w:val="auto"/>
          <w:sz w:val="24"/>
          <w:szCs w:val="24"/>
          <w:highlight w:val="none"/>
        </w:rPr>
        <w:t>一、工程概况</w:t>
      </w:r>
      <w:bookmarkEnd w:id="462"/>
    </w:p>
    <w:p w14:paraId="15504E8A">
      <w:pPr>
        <w:adjustRightInd/>
        <w:spacing w:line="336" w:lineRule="auto"/>
        <w:ind w:firstLine="470" w:firstLineChars="196"/>
        <w:rPr>
          <w:rFonts w:eastAsia="仿宋_GB2312"/>
          <w:color w:val="auto"/>
          <w:sz w:val="24"/>
          <w:highlight w:val="none"/>
          <w:u w:val="single"/>
        </w:rPr>
      </w:pPr>
      <w:r>
        <w:rPr>
          <w:rFonts w:eastAsia="仿宋_GB2312"/>
          <w:bCs/>
          <w:color w:val="auto"/>
          <w:sz w:val="24"/>
          <w:highlight w:val="none"/>
        </w:rPr>
        <w:t>1.工程名称</w:t>
      </w:r>
      <w:r>
        <w:rPr>
          <w:rFonts w:eastAsia="仿宋_GB2312"/>
          <w:color w:val="auto"/>
          <w:sz w:val="24"/>
          <w:highlight w:val="none"/>
        </w:rPr>
        <w:t>：</w:t>
      </w:r>
      <w:r>
        <w:rPr>
          <w:rFonts w:hint="eastAsia" w:eastAsia="仿宋_GB2312"/>
          <w:color w:val="auto"/>
          <w:sz w:val="24"/>
          <w:highlight w:val="none"/>
          <w:u w:val="single"/>
        </w:rPr>
        <w:t xml:space="preserve">                   </w:t>
      </w:r>
      <w:r>
        <w:rPr>
          <w:rFonts w:eastAsia="仿宋_GB2312"/>
          <w:color w:val="auto"/>
          <w:sz w:val="24"/>
          <w:highlight w:val="none"/>
        </w:rPr>
        <w:t>。</w:t>
      </w:r>
    </w:p>
    <w:p w14:paraId="44E1C5FF">
      <w:pPr>
        <w:adjustRightInd/>
        <w:spacing w:line="336" w:lineRule="auto"/>
        <w:ind w:firstLine="470" w:firstLineChars="196"/>
        <w:rPr>
          <w:rFonts w:eastAsia="仿宋_GB2312"/>
          <w:bCs/>
          <w:color w:val="auto"/>
          <w:sz w:val="24"/>
          <w:highlight w:val="none"/>
        </w:rPr>
      </w:pPr>
      <w:r>
        <w:rPr>
          <w:rFonts w:eastAsia="仿宋_GB2312"/>
          <w:bCs/>
          <w:color w:val="auto"/>
          <w:sz w:val="24"/>
          <w:highlight w:val="none"/>
        </w:rPr>
        <w:t>2.工程地点：</w:t>
      </w:r>
      <w:r>
        <w:rPr>
          <w:rFonts w:hint="eastAsia" w:eastAsia="仿宋_GB2312"/>
          <w:bCs/>
          <w:color w:val="auto"/>
          <w:sz w:val="24"/>
          <w:highlight w:val="none"/>
          <w:u w:val="single"/>
        </w:rPr>
        <w:t xml:space="preserve">                   </w:t>
      </w:r>
      <w:r>
        <w:rPr>
          <w:rFonts w:eastAsia="仿宋_GB2312"/>
          <w:color w:val="auto"/>
          <w:sz w:val="24"/>
          <w:highlight w:val="none"/>
        </w:rPr>
        <w:t>。</w:t>
      </w:r>
    </w:p>
    <w:p w14:paraId="24759484">
      <w:pPr>
        <w:adjustRightInd/>
        <w:spacing w:line="336" w:lineRule="auto"/>
        <w:ind w:firstLine="470" w:firstLineChars="196"/>
        <w:rPr>
          <w:rFonts w:eastAsia="仿宋_GB2312"/>
          <w:bCs/>
          <w:color w:val="auto"/>
          <w:sz w:val="24"/>
          <w:highlight w:val="none"/>
        </w:rPr>
      </w:pPr>
      <w:r>
        <w:rPr>
          <w:rFonts w:eastAsia="仿宋_GB2312"/>
          <w:bCs/>
          <w:color w:val="auto"/>
          <w:sz w:val="24"/>
          <w:highlight w:val="none"/>
        </w:rPr>
        <w:t>3.工程立项批准文号：</w:t>
      </w:r>
      <w:r>
        <w:rPr>
          <w:rFonts w:hint="eastAsia" w:eastAsia="仿宋_GB2312"/>
          <w:bCs/>
          <w:color w:val="auto"/>
          <w:sz w:val="24"/>
          <w:highlight w:val="none"/>
          <w:u w:val="single"/>
        </w:rPr>
        <w:t xml:space="preserve">                 </w:t>
      </w:r>
      <w:r>
        <w:rPr>
          <w:rFonts w:eastAsia="仿宋_GB2312"/>
          <w:bCs/>
          <w:color w:val="auto"/>
          <w:sz w:val="24"/>
          <w:highlight w:val="none"/>
        </w:rPr>
        <w:t>。</w:t>
      </w:r>
    </w:p>
    <w:p w14:paraId="4DCF4D5D">
      <w:pPr>
        <w:adjustRightInd/>
        <w:spacing w:line="336" w:lineRule="auto"/>
        <w:ind w:firstLine="470" w:firstLineChars="196"/>
        <w:rPr>
          <w:rFonts w:eastAsia="仿宋_GB2312"/>
          <w:bCs/>
          <w:color w:val="auto"/>
          <w:sz w:val="24"/>
          <w:highlight w:val="none"/>
        </w:rPr>
      </w:pPr>
      <w:r>
        <w:rPr>
          <w:rFonts w:eastAsia="仿宋_GB2312"/>
          <w:bCs/>
          <w:color w:val="auto"/>
          <w:sz w:val="24"/>
          <w:highlight w:val="none"/>
        </w:rPr>
        <w:t>4.资金来源：</w:t>
      </w:r>
      <w:r>
        <w:rPr>
          <w:rFonts w:hint="eastAsia" w:eastAsia="仿宋_GB2312"/>
          <w:bCs/>
          <w:color w:val="auto"/>
          <w:sz w:val="24"/>
          <w:highlight w:val="none"/>
          <w:u w:val="single"/>
        </w:rPr>
        <w:t xml:space="preserve">             </w:t>
      </w:r>
      <w:r>
        <w:rPr>
          <w:rFonts w:eastAsia="仿宋_GB2312"/>
          <w:bCs/>
          <w:color w:val="auto"/>
          <w:sz w:val="24"/>
          <w:highlight w:val="none"/>
        </w:rPr>
        <w:t>。</w:t>
      </w:r>
    </w:p>
    <w:p w14:paraId="24D7D895">
      <w:pPr>
        <w:adjustRightInd/>
        <w:spacing w:line="336" w:lineRule="auto"/>
        <w:ind w:firstLine="470" w:firstLineChars="196"/>
        <w:rPr>
          <w:rFonts w:eastAsia="仿宋_GB2312"/>
          <w:bCs/>
          <w:color w:val="auto"/>
          <w:sz w:val="24"/>
          <w:highlight w:val="none"/>
        </w:rPr>
      </w:pPr>
      <w:r>
        <w:rPr>
          <w:rFonts w:hint="eastAsia" w:eastAsia="仿宋_GB2312"/>
          <w:bCs/>
          <w:color w:val="auto"/>
          <w:sz w:val="24"/>
          <w:highlight w:val="none"/>
        </w:rPr>
        <w:t>5.工程内容：</w:t>
      </w:r>
      <w:bookmarkStart w:id="463" w:name="SOA_hhxys_gcnr"/>
      <w:r>
        <w:rPr>
          <w:rFonts w:eastAsia="仿宋_GB2312"/>
          <w:bCs/>
          <w:color w:val="auto"/>
          <w:sz w:val="24"/>
          <w:highlight w:val="none"/>
          <w:u w:val="single"/>
        </w:rPr>
        <w:t>具体以提供的施工图、工程量清单及其编制说明、招标文件中明确的内容为准</w:t>
      </w:r>
      <w:bookmarkEnd w:id="463"/>
      <w:r>
        <w:rPr>
          <w:rFonts w:eastAsia="仿宋_GB2312"/>
          <w:bCs/>
          <w:color w:val="auto"/>
          <w:sz w:val="24"/>
          <w:highlight w:val="none"/>
        </w:rPr>
        <w:t>。</w:t>
      </w:r>
    </w:p>
    <w:p w14:paraId="079C7FE8">
      <w:pPr>
        <w:adjustRightInd/>
        <w:spacing w:line="336" w:lineRule="auto"/>
        <w:ind w:firstLine="470" w:firstLineChars="196"/>
        <w:rPr>
          <w:rFonts w:eastAsia="仿宋_GB2312"/>
          <w:bCs/>
          <w:color w:val="auto"/>
          <w:sz w:val="24"/>
          <w:highlight w:val="none"/>
        </w:rPr>
      </w:pPr>
      <w:r>
        <w:rPr>
          <w:rFonts w:hint="eastAsia" w:eastAsia="仿宋_GB2312"/>
          <w:color w:val="auto"/>
          <w:sz w:val="24"/>
          <w:highlight w:val="none"/>
        </w:rPr>
        <w:t>群体工程应附《</w:t>
      </w:r>
      <w:r>
        <w:rPr>
          <w:rFonts w:eastAsia="仿宋_GB2312"/>
          <w:color w:val="auto"/>
          <w:sz w:val="24"/>
          <w:highlight w:val="none"/>
        </w:rPr>
        <w:t>承包人承揽工程项目一览表</w:t>
      </w:r>
      <w:r>
        <w:rPr>
          <w:rFonts w:hint="eastAsia" w:eastAsia="仿宋_GB2312"/>
          <w:color w:val="auto"/>
          <w:sz w:val="24"/>
          <w:highlight w:val="none"/>
        </w:rPr>
        <w:t>》（附件1）。</w:t>
      </w:r>
    </w:p>
    <w:p w14:paraId="19E3AE77">
      <w:pPr>
        <w:adjustRightInd/>
        <w:spacing w:line="336" w:lineRule="auto"/>
        <w:ind w:firstLine="470" w:firstLineChars="196"/>
        <w:rPr>
          <w:rFonts w:eastAsia="仿宋_GB2312"/>
          <w:bCs/>
          <w:color w:val="auto"/>
          <w:sz w:val="24"/>
          <w:highlight w:val="none"/>
        </w:rPr>
      </w:pPr>
      <w:r>
        <w:rPr>
          <w:rFonts w:hint="eastAsia" w:eastAsia="仿宋_GB2312"/>
          <w:bCs/>
          <w:color w:val="auto"/>
          <w:sz w:val="24"/>
          <w:highlight w:val="none"/>
        </w:rPr>
        <w:t>6</w:t>
      </w:r>
      <w:r>
        <w:rPr>
          <w:rFonts w:eastAsia="仿宋_GB2312"/>
          <w:bCs/>
          <w:color w:val="auto"/>
          <w:sz w:val="24"/>
          <w:highlight w:val="none"/>
        </w:rPr>
        <w:t>.工程承包范围：</w:t>
      </w:r>
    </w:p>
    <w:p w14:paraId="4EA8D423">
      <w:pPr>
        <w:adjustRightInd/>
        <w:spacing w:line="336" w:lineRule="auto"/>
        <w:ind w:firstLine="463" w:firstLineChars="193"/>
        <w:rPr>
          <w:rFonts w:eastAsia="仿宋_GB2312"/>
          <w:color w:val="auto"/>
          <w:sz w:val="24"/>
          <w:highlight w:val="none"/>
        </w:rPr>
      </w:pPr>
      <w:r>
        <w:rPr>
          <w:rFonts w:hint="eastAsia" w:eastAsia="仿宋_GB2312"/>
          <w:color w:val="auto"/>
          <w:sz w:val="24"/>
          <w:highlight w:val="none"/>
          <w:u w:val="single"/>
        </w:rPr>
        <w:t>施工图范围内所有工程以及因需要变更增减的该项目的工程内容，具体以提供的施工图、工程量清单及其编制说明、招标文件、联系单中明确的内容为准。</w:t>
      </w:r>
    </w:p>
    <w:p w14:paraId="3DDF1270">
      <w:pPr>
        <w:pStyle w:val="8"/>
        <w:spacing w:before="0" w:after="0" w:line="336" w:lineRule="auto"/>
        <w:rPr>
          <w:rFonts w:ascii="Times New Roman" w:hAnsi="Times New Roman"/>
          <w:b w:val="0"/>
          <w:color w:val="auto"/>
          <w:sz w:val="24"/>
          <w:szCs w:val="24"/>
          <w:highlight w:val="none"/>
        </w:rPr>
      </w:pPr>
      <w:bookmarkStart w:id="464" w:name="_Toc351203482"/>
      <w:r>
        <w:rPr>
          <w:rFonts w:ascii="Times New Roman" w:hAnsi="Times New Roman"/>
          <w:b w:val="0"/>
          <w:color w:val="auto"/>
          <w:sz w:val="24"/>
          <w:szCs w:val="24"/>
          <w:highlight w:val="none"/>
        </w:rPr>
        <w:t>二、合同工期</w:t>
      </w:r>
      <w:bookmarkEnd w:id="464"/>
    </w:p>
    <w:p w14:paraId="31D336B8">
      <w:pPr>
        <w:adjustRightInd/>
        <w:spacing w:line="336" w:lineRule="auto"/>
        <w:ind w:firstLine="459"/>
        <w:rPr>
          <w:rFonts w:eastAsia="仿宋_GB2312"/>
          <w:color w:val="auto"/>
          <w:sz w:val="24"/>
          <w:highlight w:val="none"/>
        </w:rPr>
      </w:pPr>
      <w:r>
        <w:rPr>
          <w:rFonts w:eastAsia="仿宋_GB2312"/>
          <w:color w:val="auto"/>
          <w:sz w:val="24"/>
          <w:highlight w:val="none"/>
        </w:rPr>
        <w:t>计划开工日期：</w:t>
      </w:r>
      <w:r>
        <w:rPr>
          <w:rFonts w:eastAsia="仿宋_GB2312"/>
          <w:color w:val="auto"/>
          <w:sz w:val="24"/>
          <w:highlight w:val="none"/>
          <w:u w:val="single"/>
        </w:rPr>
        <w:t></w:t>
      </w:r>
      <w:r>
        <w:rPr>
          <w:rFonts w:eastAsia="仿宋_GB2312"/>
          <w:color w:val="auto"/>
          <w:sz w:val="24"/>
          <w:highlight w:val="none"/>
        </w:rPr>
        <w:t>年</w:t>
      </w:r>
      <w:r>
        <w:rPr>
          <w:rFonts w:eastAsia="仿宋_GB2312"/>
          <w:color w:val="auto"/>
          <w:sz w:val="24"/>
          <w:highlight w:val="none"/>
          <w:u w:val="single"/>
        </w:rPr>
        <w:t></w:t>
      </w:r>
      <w:r>
        <w:rPr>
          <w:rFonts w:eastAsia="仿宋_GB2312"/>
          <w:color w:val="auto"/>
          <w:sz w:val="24"/>
          <w:highlight w:val="none"/>
        </w:rPr>
        <w:t>月</w:t>
      </w:r>
      <w:r>
        <w:rPr>
          <w:rFonts w:eastAsia="仿宋_GB2312"/>
          <w:color w:val="auto"/>
          <w:sz w:val="24"/>
          <w:highlight w:val="none"/>
          <w:u w:val="single"/>
        </w:rPr>
        <w:t></w:t>
      </w:r>
      <w:r>
        <w:rPr>
          <w:rFonts w:eastAsia="仿宋_GB2312"/>
          <w:color w:val="auto"/>
          <w:sz w:val="24"/>
          <w:highlight w:val="none"/>
        </w:rPr>
        <w:t>日。</w:t>
      </w:r>
    </w:p>
    <w:p w14:paraId="0EE6F721">
      <w:pPr>
        <w:adjustRightInd/>
        <w:spacing w:line="336" w:lineRule="auto"/>
        <w:ind w:firstLine="459"/>
        <w:rPr>
          <w:rFonts w:eastAsia="仿宋_GB2312"/>
          <w:color w:val="auto"/>
          <w:sz w:val="24"/>
          <w:highlight w:val="none"/>
        </w:rPr>
      </w:pPr>
      <w:r>
        <w:rPr>
          <w:rFonts w:eastAsia="仿宋_GB2312"/>
          <w:color w:val="auto"/>
          <w:sz w:val="24"/>
          <w:highlight w:val="none"/>
        </w:rPr>
        <w:t>计划竣工日期：</w:t>
      </w:r>
      <w:r>
        <w:rPr>
          <w:rFonts w:eastAsia="仿宋_GB2312"/>
          <w:color w:val="auto"/>
          <w:sz w:val="24"/>
          <w:highlight w:val="none"/>
          <w:u w:val="single"/>
        </w:rPr>
        <w:t></w:t>
      </w:r>
      <w:r>
        <w:rPr>
          <w:rFonts w:eastAsia="仿宋_GB2312"/>
          <w:color w:val="auto"/>
          <w:sz w:val="24"/>
          <w:highlight w:val="none"/>
        </w:rPr>
        <w:t>年</w:t>
      </w:r>
      <w:r>
        <w:rPr>
          <w:rFonts w:eastAsia="仿宋_GB2312"/>
          <w:color w:val="auto"/>
          <w:sz w:val="24"/>
          <w:highlight w:val="none"/>
          <w:u w:val="single"/>
        </w:rPr>
        <w:t></w:t>
      </w:r>
      <w:r>
        <w:rPr>
          <w:rFonts w:eastAsia="仿宋_GB2312"/>
          <w:color w:val="auto"/>
          <w:sz w:val="24"/>
          <w:highlight w:val="none"/>
        </w:rPr>
        <w:t>月</w:t>
      </w:r>
      <w:r>
        <w:rPr>
          <w:rFonts w:eastAsia="仿宋_GB2312"/>
          <w:color w:val="auto"/>
          <w:sz w:val="24"/>
          <w:highlight w:val="none"/>
          <w:u w:val="single"/>
        </w:rPr>
        <w:t></w:t>
      </w:r>
      <w:r>
        <w:rPr>
          <w:rFonts w:eastAsia="仿宋_GB2312"/>
          <w:color w:val="auto"/>
          <w:sz w:val="24"/>
          <w:highlight w:val="none"/>
        </w:rPr>
        <w:t>日。</w:t>
      </w:r>
    </w:p>
    <w:p w14:paraId="4DA36F00">
      <w:pPr>
        <w:adjustRightInd/>
        <w:spacing w:line="336" w:lineRule="auto"/>
        <w:ind w:firstLine="459"/>
        <w:rPr>
          <w:rFonts w:eastAsia="仿宋_GB2312"/>
          <w:color w:val="auto"/>
          <w:sz w:val="24"/>
          <w:highlight w:val="none"/>
        </w:rPr>
      </w:pPr>
      <w:r>
        <w:rPr>
          <w:rFonts w:eastAsia="仿宋_GB2312"/>
          <w:color w:val="auto"/>
          <w:sz w:val="24"/>
          <w:highlight w:val="none"/>
        </w:rPr>
        <w:t>工期总日历天数：</w:t>
      </w:r>
      <w:r>
        <w:rPr>
          <w:rFonts w:hint="eastAsia" w:eastAsia="仿宋_GB2312"/>
          <w:color w:val="auto"/>
          <w:sz w:val="24"/>
          <w:highlight w:val="none"/>
          <w:u w:val="single"/>
        </w:rPr>
        <w:t xml:space="preserve">    </w:t>
      </w:r>
      <w:r>
        <w:rPr>
          <w:rFonts w:eastAsia="仿宋_GB2312"/>
          <w:color w:val="auto"/>
          <w:sz w:val="24"/>
          <w:highlight w:val="none"/>
        </w:rPr>
        <w:t>天。工期总日历天数与根据前述计划开竣工日期计算的工期天数不一致的，以工期总日历天数为准。</w:t>
      </w:r>
    </w:p>
    <w:p w14:paraId="11E62DD1">
      <w:pPr>
        <w:pStyle w:val="8"/>
        <w:spacing w:before="0" w:after="0" w:line="336" w:lineRule="auto"/>
        <w:rPr>
          <w:rFonts w:ascii="Times New Roman" w:hAnsi="Times New Roman"/>
          <w:bCs w:val="0"/>
          <w:color w:val="auto"/>
          <w:sz w:val="24"/>
          <w:szCs w:val="24"/>
          <w:highlight w:val="none"/>
        </w:rPr>
      </w:pPr>
      <w:bookmarkStart w:id="465" w:name="_Toc351203483"/>
      <w:r>
        <w:rPr>
          <w:rFonts w:ascii="Times New Roman" w:hAnsi="Times New Roman"/>
          <w:b w:val="0"/>
          <w:color w:val="auto"/>
          <w:sz w:val="24"/>
          <w:szCs w:val="24"/>
          <w:highlight w:val="none"/>
        </w:rPr>
        <w:t>三、质量标准</w:t>
      </w:r>
      <w:bookmarkEnd w:id="465"/>
    </w:p>
    <w:p w14:paraId="46786419">
      <w:pPr>
        <w:adjustRightInd/>
        <w:spacing w:line="336" w:lineRule="auto"/>
        <w:ind w:firstLine="459"/>
        <w:rPr>
          <w:rFonts w:eastAsia="仿宋_GB2312"/>
          <w:color w:val="auto"/>
          <w:sz w:val="24"/>
          <w:highlight w:val="none"/>
        </w:rPr>
      </w:pPr>
      <w:r>
        <w:rPr>
          <w:rFonts w:eastAsia="仿宋_GB2312"/>
          <w:color w:val="auto"/>
          <w:sz w:val="24"/>
          <w:highlight w:val="none"/>
        </w:rPr>
        <w:t>工程质量符合</w:t>
      </w:r>
      <w:r>
        <w:rPr>
          <w:rFonts w:eastAsia="仿宋_GB2312"/>
          <w:color w:val="auto"/>
          <w:sz w:val="24"/>
          <w:highlight w:val="none"/>
          <w:u w:val="single"/>
        </w:rPr>
        <w:t></w:t>
      </w:r>
      <w:r>
        <w:rPr>
          <w:rFonts w:hint="eastAsia" w:eastAsia="仿宋_GB2312"/>
          <w:color w:val="auto"/>
          <w:sz w:val="24"/>
          <w:highlight w:val="none"/>
          <w:u w:val="single"/>
        </w:rPr>
        <w:t>工程施工质量验收合格</w:t>
      </w:r>
      <w:r>
        <w:rPr>
          <w:rFonts w:eastAsia="仿宋_GB2312"/>
          <w:color w:val="auto"/>
          <w:sz w:val="24"/>
          <w:highlight w:val="none"/>
          <w:u w:val="single"/>
        </w:rPr>
        <w:t></w:t>
      </w:r>
      <w:r>
        <w:rPr>
          <w:rFonts w:eastAsia="仿宋_GB2312"/>
          <w:color w:val="auto"/>
          <w:sz w:val="24"/>
          <w:highlight w:val="none"/>
        </w:rPr>
        <w:t>标准。</w:t>
      </w:r>
    </w:p>
    <w:p w14:paraId="13A4DD44">
      <w:pPr>
        <w:pStyle w:val="8"/>
        <w:spacing w:before="0" w:after="0" w:line="336" w:lineRule="auto"/>
        <w:rPr>
          <w:rFonts w:ascii="Times New Roman" w:hAnsi="Times New Roman"/>
          <w:bCs w:val="0"/>
          <w:color w:val="auto"/>
          <w:sz w:val="24"/>
          <w:szCs w:val="24"/>
          <w:highlight w:val="none"/>
        </w:rPr>
      </w:pPr>
      <w:bookmarkStart w:id="466" w:name="_Toc351203484"/>
      <w:r>
        <w:rPr>
          <w:rFonts w:ascii="Times New Roman" w:hAnsi="Times New Roman"/>
          <w:b w:val="0"/>
          <w:color w:val="auto"/>
          <w:sz w:val="24"/>
          <w:szCs w:val="24"/>
          <w:highlight w:val="none"/>
        </w:rPr>
        <w:t>四、签约合同价与合同价格形式</w:t>
      </w:r>
      <w:bookmarkEnd w:id="466"/>
      <w:r>
        <w:rPr>
          <w:rFonts w:ascii="Times New Roman" w:hAnsi="Times New Roman"/>
          <w:b w:val="0"/>
          <w:color w:val="auto"/>
          <w:sz w:val="24"/>
          <w:szCs w:val="24"/>
          <w:highlight w:val="none"/>
        </w:rPr>
        <w:tab/>
      </w:r>
    </w:p>
    <w:p w14:paraId="36C92670">
      <w:pPr>
        <w:adjustRightInd/>
        <w:spacing w:line="336" w:lineRule="auto"/>
        <w:ind w:firstLine="480" w:firstLineChars="200"/>
        <w:rPr>
          <w:rFonts w:eastAsia="仿宋_GB2312"/>
          <w:color w:val="auto"/>
          <w:sz w:val="24"/>
          <w:highlight w:val="none"/>
        </w:rPr>
      </w:pPr>
      <w:r>
        <w:rPr>
          <w:rFonts w:eastAsia="仿宋_GB2312"/>
          <w:color w:val="auto"/>
          <w:sz w:val="24"/>
          <w:highlight w:val="none"/>
        </w:rPr>
        <w:t>1.签约合同价为：</w:t>
      </w:r>
    </w:p>
    <w:p w14:paraId="5DD45B05">
      <w:pPr>
        <w:adjustRightInd/>
        <w:spacing w:line="336" w:lineRule="auto"/>
        <w:ind w:firstLine="600" w:firstLineChars="250"/>
        <w:rPr>
          <w:rFonts w:eastAsia="仿宋_GB2312"/>
          <w:color w:val="auto"/>
          <w:sz w:val="24"/>
          <w:highlight w:val="none"/>
        </w:rPr>
      </w:pPr>
      <w:r>
        <w:rPr>
          <w:rFonts w:eastAsia="仿宋_GB2312"/>
          <w:color w:val="auto"/>
          <w:sz w:val="24"/>
          <w:highlight w:val="none"/>
        </w:rPr>
        <w:t>人民币（大写）</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w:t>
      </w:r>
      <w:r>
        <w:rPr>
          <w:rFonts w:hint="eastAsia" w:eastAsia="仿宋_GB2312"/>
          <w:color w:val="auto"/>
          <w:sz w:val="24"/>
          <w:highlight w:val="none"/>
        </w:rPr>
        <w:t>¥</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w:t>
      </w:r>
    </w:p>
    <w:p w14:paraId="36B4C1D5">
      <w:pPr>
        <w:adjustRightInd/>
        <w:spacing w:line="336" w:lineRule="auto"/>
        <w:ind w:firstLine="480" w:firstLineChars="200"/>
        <w:rPr>
          <w:rFonts w:eastAsia="仿宋_GB2312"/>
          <w:color w:val="auto"/>
          <w:sz w:val="24"/>
          <w:highlight w:val="none"/>
        </w:rPr>
      </w:pPr>
      <w:bookmarkStart w:id="467" w:name="_Toc351203485"/>
      <w:r>
        <w:rPr>
          <w:rFonts w:eastAsia="仿宋_GB2312"/>
          <w:color w:val="auto"/>
          <w:sz w:val="24"/>
          <w:highlight w:val="none"/>
        </w:rPr>
        <w:t>其中：</w:t>
      </w:r>
    </w:p>
    <w:p w14:paraId="4F7CDB40">
      <w:pPr>
        <w:adjustRightInd/>
        <w:spacing w:line="336" w:lineRule="auto"/>
        <w:ind w:firstLine="480" w:firstLineChars="200"/>
        <w:rPr>
          <w:rFonts w:eastAsia="仿宋_GB2312"/>
          <w:color w:val="auto"/>
          <w:sz w:val="24"/>
          <w:highlight w:val="none"/>
        </w:rPr>
      </w:pPr>
      <w:r>
        <w:rPr>
          <w:rFonts w:eastAsia="仿宋_GB2312"/>
          <w:color w:val="auto"/>
          <w:sz w:val="24"/>
          <w:highlight w:val="none"/>
        </w:rPr>
        <w:t>（1）安全文明施工费：</w:t>
      </w:r>
    </w:p>
    <w:p w14:paraId="03F3FC0C">
      <w:pPr>
        <w:adjustRightInd/>
        <w:spacing w:line="336" w:lineRule="auto"/>
        <w:ind w:firstLine="1080" w:firstLineChars="450"/>
        <w:rPr>
          <w:rFonts w:eastAsia="仿宋_GB2312"/>
          <w:color w:val="auto"/>
          <w:sz w:val="24"/>
          <w:highlight w:val="none"/>
        </w:rPr>
      </w:pPr>
      <w:r>
        <w:rPr>
          <w:rFonts w:eastAsia="仿宋_GB2312"/>
          <w:color w:val="auto"/>
          <w:sz w:val="24"/>
          <w:highlight w:val="none"/>
        </w:rPr>
        <w:t>人民币（大写）</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rPr>
        <w:t>)；</w:t>
      </w:r>
    </w:p>
    <w:p w14:paraId="42190B03">
      <w:pPr>
        <w:adjustRightInd/>
        <w:spacing w:line="336" w:lineRule="auto"/>
        <w:ind w:firstLine="480" w:firstLineChars="200"/>
        <w:rPr>
          <w:rFonts w:eastAsia="仿宋_GB2312"/>
          <w:color w:val="auto"/>
          <w:sz w:val="24"/>
          <w:highlight w:val="none"/>
        </w:rPr>
      </w:pPr>
      <w:r>
        <w:rPr>
          <w:rFonts w:eastAsia="仿宋_GB2312"/>
          <w:color w:val="auto"/>
          <w:sz w:val="24"/>
          <w:highlight w:val="none"/>
        </w:rPr>
        <w:t>（2）材料和工程设备暂估价金额：</w:t>
      </w:r>
    </w:p>
    <w:p w14:paraId="55C843D6">
      <w:pPr>
        <w:adjustRightInd/>
        <w:spacing w:line="336" w:lineRule="auto"/>
        <w:ind w:firstLine="1080" w:firstLineChars="450"/>
        <w:rPr>
          <w:rFonts w:eastAsia="仿宋_GB2312"/>
          <w:color w:val="auto"/>
          <w:sz w:val="24"/>
          <w:highlight w:val="none"/>
        </w:rPr>
      </w:pPr>
      <w:r>
        <w:rPr>
          <w:rFonts w:eastAsia="仿宋_GB2312"/>
          <w:color w:val="auto"/>
          <w:sz w:val="24"/>
          <w:highlight w:val="none"/>
        </w:rPr>
        <w:t>人民币（大写）</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w:t>
      </w:r>
    </w:p>
    <w:p w14:paraId="7EDF4919">
      <w:pPr>
        <w:adjustRightInd/>
        <w:spacing w:line="336" w:lineRule="auto"/>
        <w:ind w:firstLine="480" w:firstLineChars="200"/>
        <w:rPr>
          <w:rFonts w:eastAsia="仿宋_GB2312"/>
          <w:color w:val="auto"/>
          <w:sz w:val="24"/>
          <w:highlight w:val="none"/>
        </w:rPr>
      </w:pPr>
      <w:r>
        <w:rPr>
          <w:rFonts w:eastAsia="仿宋_GB2312"/>
          <w:color w:val="auto"/>
          <w:sz w:val="24"/>
          <w:highlight w:val="none"/>
        </w:rPr>
        <w:t>（3）专业工程暂估价金额：</w:t>
      </w:r>
    </w:p>
    <w:p w14:paraId="5704348C">
      <w:pPr>
        <w:adjustRightInd/>
        <w:spacing w:line="336" w:lineRule="auto"/>
        <w:ind w:firstLine="1080" w:firstLineChars="450"/>
        <w:rPr>
          <w:rFonts w:eastAsia="仿宋_GB2312"/>
          <w:color w:val="auto"/>
          <w:sz w:val="24"/>
          <w:highlight w:val="none"/>
        </w:rPr>
      </w:pPr>
      <w:r>
        <w:rPr>
          <w:rFonts w:eastAsia="仿宋_GB2312"/>
          <w:color w:val="auto"/>
          <w:sz w:val="24"/>
          <w:highlight w:val="none"/>
        </w:rPr>
        <w:t>人民币（大写）</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w:t>
      </w:r>
    </w:p>
    <w:p w14:paraId="5760D16C">
      <w:pPr>
        <w:adjustRightInd/>
        <w:spacing w:line="336" w:lineRule="auto"/>
        <w:ind w:firstLine="480" w:firstLineChars="200"/>
        <w:rPr>
          <w:rFonts w:eastAsia="仿宋_GB2312"/>
          <w:color w:val="auto"/>
          <w:sz w:val="24"/>
          <w:highlight w:val="none"/>
        </w:rPr>
      </w:pPr>
      <w:r>
        <w:rPr>
          <w:rFonts w:eastAsia="仿宋_GB2312"/>
          <w:color w:val="auto"/>
          <w:sz w:val="24"/>
          <w:highlight w:val="none"/>
        </w:rPr>
        <w:t>（4）暂列金额：</w:t>
      </w:r>
    </w:p>
    <w:p w14:paraId="384F1206">
      <w:pPr>
        <w:adjustRightInd/>
        <w:spacing w:line="336" w:lineRule="auto"/>
        <w:ind w:firstLine="1080" w:firstLineChars="450"/>
        <w:rPr>
          <w:rFonts w:eastAsia="仿宋_GB2312"/>
          <w:color w:val="auto"/>
          <w:sz w:val="24"/>
          <w:highlight w:val="none"/>
        </w:rPr>
      </w:pPr>
      <w:r>
        <w:rPr>
          <w:rFonts w:eastAsia="仿宋_GB2312"/>
          <w:color w:val="auto"/>
          <w:sz w:val="24"/>
          <w:highlight w:val="none"/>
        </w:rPr>
        <w:t>人民币（大写）</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w:t>
      </w:r>
    </w:p>
    <w:p w14:paraId="4C733856">
      <w:pPr>
        <w:adjustRightInd/>
        <w:spacing w:line="336" w:lineRule="auto"/>
        <w:ind w:firstLine="480" w:firstLineChars="200"/>
        <w:rPr>
          <w:rFonts w:eastAsia="仿宋_GB2312"/>
          <w:color w:val="auto"/>
          <w:sz w:val="24"/>
          <w:highlight w:val="none"/>
        </w:rPr>
      </w:pPr>
      <w:r>
        <w:rPr>
          <w:rFonts w:eastAsia="仿宋_GB2312"/>
          <w:color w:val="auto"/>
          <w:sz w:val="24"/>
          <w:highlight w:val="none"/>
        </w:rPr>
        <w:t>2.合同价格形式：</w:t>
      </w:r>
      <w:r>
        <w:rPr>
          <w:rFonts w:eastAsia="仿宋_GB2312"/>
          <w:color w:val="auto"/>
          <w:sz w:val="24"/>
          <w:highlight w:val="none"/>
          <w:u w:val="single"/>
        </w:rPr>
        <w:t></w:t>
      </w:r>
      <w:r>
        <w:rPr>
          <w:rFonts w:hint="eastAsia" w:eastAsia="仿宋_GB2312"/>
          <w:color w:val="auto"/>
          <w:sz w:val="24"/>
          <w:highlight w:val="none"/>
          <w:u w:val="single"/>
        </w:rPr>
        <w:t>单价合同</w:t>
      </w:r>
      <w:r>
        <w:rPr>
          <w:rFonts w:eastAsia="仿宋_GB2312"/>
          <w:color w:val="auto"/>
          <w:sz w:val="24"/>
          <w:highlight w:val="none"/>
          <w:u w:val="single"/>
        </w:rPr>
        <w:t></w:t>
      </w:r>
      <w:r>
        <w:rPr>
          <w:rFonts w:eastAsia="仿宋_GB2312"/>
          <w:color w:val="auto"/>
          <w:sz w:val="24"/>
          <w:highlight w:val="none"/>
        </w:rPr>
        <w:t>。</w:t>
      </w:r>
    </w:p>
    <w:p w14:paraId="7B451201">
      <w:pPr>
        <w:pStyle w:val="8"/>
        <w:spacing w:before="0" w:after="0" w:line="336" w:lineRule="auto"/>
        <w:rPr>
          <w:rFonts w:ascii="Times New Roman" w:hAnsi="Times New Roman"/>
          <w:b w:val="0"/>
          <w:color w:val="auto"/>
          <w:sz w:val="24"/>
          <w:szCs w:val="24"/>
          <w:highlight w:val="none"/>
        </w:rPr>
      </w:pPr>
      <w:r>
        <w:rPr>
          <w:rFonts w:ascii="Times New Roman" w:hAnsi="Times New Roman"/>
          <w:b w:val="0"/>
          <w:color w:val="auto"/>
          <w:sz w:val="24"/>
          <w:szCs w:val="24"/>
          <w:highlight w:val="none"/>
        </w:rPr>
        <w:t>五、</w:t>
      </w:r>
      <w:bookmarkEnd w:id="467"/>
      <w:r>
        <w:rPr>
          <w:rFonts w:ascii="Times New Roman" w:hAnsi="Times New Roman"/>
          <w:b w:val="0"/>
          <w:color w:val="auto"/>
          <w:sz w:val="24"/>
          <w:szCs w:val="24"/>
          <w:highlight w:val="none"/>
        </w:rPr>
        <w:t>项目经理</w:t>
      </w:r>
    </w:p>
    <w:p w14:paraId="23D0BD9B">
      <w:pPr>
        <w:adjustRightInd/>
        <w:spacing w:line="336" w:lineRule="auto"/>
        <w:ind w:firstLine="480" w:firstLineChars="200"/>
        <w:rPr>
          <w:rFonts w:eastAsia="仿宋_GB2312"/>
          <w:color w:val="auto"/>
          <w:sz w:val="24"/>
          <w:highlight w:val="none"/>
        </w:rPr>
      </w:pPr>
      <w:r>
        <w:rPr>
          <w:rFonts w:eastAsia="仿宋_GB2312"/>
          <w:color w:val="auto"/>
          <w:sz w:val="24"/>
          <w:highlight w:val="none"/>
        </w:rPr>
        <w:t>承包人项目经理：</w:t>
      </w:r>
      <w:r>
        <w:rPr>
          <w:rFonts w:eastAsia="仿宋_GB2312"/>
          <w:color w:val="auto"/>
          <w:sz w:val="24"/>
          <w:highlight w:val="none"/>
          <w:u w:val="single"/>
        </w:rPr>
        <w:t>         </w:t>
      </w:r>
      <w:r>
        <w:rPr>
          <w:rFonts w:eastAsia="仿宋_GB2312"/>
          <w:color w:val="auto"/>
          <w:sz w:val="24"/>
          <w:highlight w:val="none"/>
        </w:rPr>
        <w:t>。</w:t>
      </w:r>
    </w:p>
    <w:p w14:paraId="1A06A5EC">
      <w:pPr>
        <w:pStyle w:val="8"/>
        <w:spacing w:before="0" w:after="0" w:line="336" w:lineRule="auto"/>
        <w:rPr>
          <w:rFonts w:ascii="Times New Roman" w:hAnsi="Times New Roman"/>
          <w:bCs w:val="0"/>
          <w:color w:val="auto"/>
          <w:sz w:val="24"/>
          <w:szCs w:val="24"/>
          <w:highlight w:val="none"/>
        </w:rPr>
      </w:pPr>
      <w:bookmarkStart w:id="468" w:name="_Toc351203486"/>
      <w:r>
        <w:rPr>
          <w:rFonts w:ascii="Times New Roman" w:hAnsi="Times New Roman"/>
          <w:b w:val="0"/>
          <w:color w:val="auto"/>
          <w:sz w:val="24"/>
          <w:szCs w:val="24"/>
          <w:highlight w:val="none"/>
        </w:rPr>
        <w:t>六、合同文件构成</w:t>
      </w:r>
      <w:bookmarkEnd w:id="468"/>
    </w:p>
    <w:p w14:paraId="0C181492">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本协议书与下列文件一起构成合同文件：</w:t>
      </w:r>
    </w:p>
    <w:p w14:paraId="12D9E39B">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（1）中标通知书（如果有）；</w:t>
      </w:r>
    </w:p>
    <w:p w14:paraId="4BFD7E7C">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 xml:space="preserve">（2）投标函及其附录（如果有）； </w:t>
      </w:r>
    </w:p>
    <w:p w14:paraId="56EA3855">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（3）专用合同条款及其附件；</w:t>
      </w:r>
    </w:p>
    <w:p w14:paraId="727FF42F">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（4）通用合同条款；</w:t>
      </w:r>
    </w:p>
    <w:p w14:paraId="31C7B113">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（5）技术标准和要求；</w:t>
      </w:r>
    </w:p>
    <w:p w14:paraId="54E1056F">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（6）图纸；</w:t>
      </w:r>
    </w:p>
    <w:p w14:paraId="579A63DE">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（7）已标价工程量清单或预算书；</w:t>
      </w:r>
    </w:p>
    <w:p w14:paraId="58F60EBE">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（8）其他合同文件。</w:t>
      </w:r>
    </w:p>
    <w:p w14:paraId="72A079B8">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在合同订立及履行过程中形成的与合同有关的文件均构成合同文件组成部分。</w:t>
      </w:r>
    </w:p>
    <w:p w14:paraId="116A7ADD">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上述各项合同文件包括合同当事人就该项合同文件所作出的补充和修改，属于同一类内容的文件，应以最新签署的为准。</w:t>
      </w:r>
      <w:r>
        <w:rPr>
          <w:rFonts w:hint="eastAsia" w:eastAsia="仿宋_GB2312"/>
          <w:color w:val="auto"/>
          <w:sz w:val="24"/>
          <w:highlight w:val="none"/>
        </w:rPr>
        <w:t>专用合同条款及其附件须经合同当事人签字或盖章。</w:t>
      </w:r>
    </w:p>
    <w:p w14:paraId="3CF81CDE">
      <w:pPr>
        <w:pStyle w:val="8"/>
        <w:spacing w:before="0" w:after="0" w:line="336" w:lineRule="auto"/>
        <w:rPr>
          <w:rFonts w:ascii="Times New Roman" w:hAnsi="Times New Roman"/>
          <w:b w:val="0"/>
          <w:bCs w:val="0"/>
          <w:color w:val="auto"/>
          <w:sz w:val="24"/>
          <w:szCs w:val="24"/>
          <w:highlight w:val="none"/>
        </w:rPr>
      </w:pPr>
      <w:bookmarkStart w:id="469" w:name="_Toc351203487"/>
      <w:r>
        <w:rPr>
          <w:rFonts w:ascii="Times New Roman" w:hAnsi="Times New Roman"/>
          <w:b w:val="0"/>
          <w:color w:val="auto"/>
          <w:sz w:val="24"/>
          <w:szCs w:val="24"/>
          <w:highlight w:val="none"/>
        </w:rPr>
        <w:t>七、承诺</w:t>
      </w:r>
      <w:bookmarkEnd w:id="469"/>
    </w:p>
    <w:p w14:paraId="15784D6A">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1.发包人承诺按照法律规定履行项目审批手续、筹集工程建设资金并按照合同约定的期限和方式支付合同价款。</w:t>
      </w:r>
    </w:p>
    <w:p w14:paraId="433E8A0A">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2.承包人承诺按照法律规定及合同约定组织完成工程施工，确保工程质量和安全，不进行转包及违法分包，并在缺陷责任期及保修期内承担相应的工程维修责任。</w:t>
      </w:r>
    </w:p>
    <w:p w14:paraId="514273C1">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3.发包人和承包人通过招投标形式签订合同的，双方理解并</w:t>
      </w:r>
      <w:r>
        <w:rPr>
          <w:rFonts w:hint="eastAsia" w:eastAsia="仿宋_GB2312"/>
          <w:bCs/>
          <w:color w:val="auto"/>
          <w:sz w:val="24"/>
          <w:highlight w:val="none"/>
        </w:rPr>
        <w:t>承诺</w:t>
      </w:r>
      <w:r>
        <w:rPr>
          <w:rFonts w:eastAsia="仿宋_GB2312"/>
          <w:bCs/>
          <w:color w:val="auto"/>
          <w:sz w:val="24"/>
          <w:highlight w:val="none"/>
        </w:rPr>
        <w:t>不再就同一工程另行签订与合同实质性内容相背离的协议。</w:t>
      </w:r>
    </w:p>
    <w:p w14:paraId="7D5F8FF2">
      <w:pPr>
        <w:adjustRightInd/>
        <w:spacing w:line="336" w:lineRule="auto"/>
        <w:rPr>
          <w:rFonts w:eastAsia="黑体"/>
          <w:bCs/>
          <w:color w:val="auto"/>
          <w:sz w:val="24"/>
          <w:highlight w:val="none"/>
        </w:rPr>
      </w:pPr>
      <w:bookmarkStart w:id="470" w:name="_Toc351203488"/>
      <w:r>
        <w:rPr>
          <w:rFonts w:eastAsia="黑体"/>
          <w:b/>
          <w:color w:val="auto"/>
          <w:sz w:val="24"/>
          <w:highlight w:val="none"/>
        </w:rPr>
        <w:t>八、词语含义</w:t>
      </w:r>
      <w:bookmarkEnd w:id="470"/>
    </w:p>
    <w:p w14:paraId="56223923">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本协议书中词语含义与第二部分通用合同条款中赋予的含义相同。</w:t>
      </w:r>
    </w:p>
    <w:p w14:paraId="79F6E83A">
      <w:pPr>
        <w:pStyle w:val="8"/>
        <w:spacing w:before="0" w:after="0" w:line="336" w:lineRule="auto"/>
        <w:rPr>
          <w:rFonts w:ascii="Times New Roman" w:hAnsi="Times New Roman"/>
          <w:bCs w:val="0"/>
          <w:color w:val="auto"/>
          <w:sz w:val="24"/>
          <w:szCs w:val="24"/>
          <w:highlight w:val="none"/>
        </w:rPr>
      </w:pPr>
      <w:bookmarkStart w:id="471" w:name="_Toc351203489"/>
      <w:r>
        <w:rPr>
          <w:rFonts w:ascii="Times New Roman" w:hAnsi="Times New Roman"/>
          <w:b w:val="0"/>
          <w:color w:val="auto"/>
          <w:sz w:val="24"/>
          <w:szCs w:val="24"/>
          <w:highlight w:val="none"/>
        </w:rPr>
        <w:t>九、签订时间</w:t>
      </w:r>
      <w:bookmarkEnd w:id="471"/>
    </w:p>
    <w:p w14:paraId="1037E439">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本合同于</w:t>
      </w:r>
      <w:r>
        <w:rPr>
          <w:rFonts w:eastAsia="仿宋_GB2312"/>
          <w:bCs/>
          <w:color w:val="auto"/>
          <w:sz w:val="24"/>
          <w:highlight w:val="none"/>
          <w:u w:val="single"/>
        </w:rPr>
        <w:t xml:space="preserve">        </w:t>
      </w:r>
      <w:r>
        <w:rPr>
          <w:rFonts w:eastAsia="仿宋_GB2312"/>
          <w:bCs/>
          <w:color w:val="auto"/>
          <w:sz w:val="24"/>
          <w:highlight w:val="none"/>
        </w:rPr>
        <w:t>年</w:t>
      </w:r>
      <w:r>
        <w:rPr>
          <w:rFonts w:eastAsia="仿宋_GB2312"/>
          <w:bCs/>
          <w:color w:val="auto"/>
          <w:sz w:val="24"/>
          <w:highlight w:val="none"/>
          <w:u w:val="single"/>
        </w:rPr>
        <w:t xml:space="preserve"> </w:t>
      </w:r>
      <w:r>
        <w:rPr>
          <w:rFonts w:hint="eastAsia" w:eastAsia="仿宋_GB2312"/>
          <w:bCs/>
          <w:color w:val="auto"/>
          <w:sz w:val="24"/>
          <w:highlight w:val="none"/>
          <w:u w:val="single"/>
        </w:rPr>
        <w:t xml:space="preserve">  </w:t>
      </w:r>
      <w:r>
        <w:rPr>
          <w:rFonts w:eastAsia="仿宋_GB2312"/>
          <w:bCs/>
          <w:color w:val="auto"/>
          <w:sz w:val="24"/>
          <w:highlight w:val="none"/>
          <w:u w:val="single"/>
        </w:rPr>
        <w:t xml:space="preserve">   </w:t>
      </w:r>
      <w:r>
        <w:rPr>
          <w:rFonts w:eastAsia="仿宋_GB2312"/>
          <w:bCs/>
          <w:color w:val="auto"/>
          <w:sz w:val="24"/>
          <w:highlight w:val="none"/>
        </w:rPr>
        <w:t>月</w:t>
      </w:r>
      <w:r>
        <w:rPr>
          <w:rFonts w:eastAsia="仿宋_GB2312"/>
          <w:bCs/>
          <w:color w:val="auto"/>
          <w:sz w:val="24"/>
          <w:highlight w:val="none"/>
          <w:u w:val="single"/>
        </w:rPr>
        <w:t xml:space="preserve">  </w:t>
      </w:r>
      <w:r>
        <w:rPr>
          <w:rFonts w:hint="eastAsia" w:eastAsia="仿宋_GB2312"/>
          <w:bCs/>
          <w:color w:val="auto"/>
          <w:sz w:val="24"/>
          <w:highlight w:val="none"/>
          <w:u w:val="single"/>
        </w:rPr>
        <w:t xml:space="preserve">  </w:t>
      </w:r>
      <w:r>
        <w:rPr>
          <w:rFonts w:eastAsia="仿宋_GB2312"/>
          <w:bCs/>
          <w:color w:val="auto"/>
          <w:sz w:val="24"/>
          <w:highlight w:val="none"/>
          <w:u w:val="single"/>
        </w:rPr>
        <w:t xml:space="preserve">  </w:t>
      </w:r>
      <w:r>
        <w:rPr>
          <w:rFonts w:eastAsia="仿宋_GB2312"/>
          <w:bCs/>
          <w:color w:val="auto"/>
          <w:sz w:val="24"/>
          <w:highlight w:val="none"/>
        </w:rPr>
        <w:t>日签订。</w:t>
      </w:r>
    </w:p>
    <w:p w14:paraId="4B3B0897">
      <w:pPr>
        <w:pStyle w:val="8"/>
        <w:spacing w:before="0" w:after="0" w:line="336" w:lineRule="auto"/>
        <w:rPr>
          <w:rFonts w:ascii="Times New Roman" w:hAnsi="Times New Roman"/>
          <w:bCs w:val="0"/>
          <w:color w:val="auto"/>
          <w:sz w:val="24"/>
          <w:szCs w:val="24"/>
          <w:highlight w:val="none"/>
        </w:rPr>
      </w:pPr>
      <w:bookmarkStart w:id="472" w:name="_Toc351203490"/>
      <w:r>
        <w:rPr>
          <w:rFonts w:ascii="Times New Roman" w:hAnsi="Times New Roman"/>
          <w:b w:val="0"/>
          <w:color w:val="auto"/>
          <w:sz w:val="24"/>
          <w:szCs w:val="24"/>
          <w:highlight w:val="none"/>
        </w:rPr>
        <w:t>十、签订地点</w:t>
      </w:r>
      <w:bookmarkEnd w:id="472"/>
    </w:p>
    <w:p w14:paraId="32C5774D">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本合同在</w:t>
      </w:r>
      <w:r>
        <w:rPr>
          <w:rFonts w:hint="eastAsia" w:eastAsia="仿宋_GB2312"/>
          <w:bCs/>
          <w:color w:val="auto"/>
          <w:sz w:val="24"/>
          <w:highlight w:val="none"/>
          <w:u w:val="single"/>
        </w:rPr>
        <w:t>工程所在地</w:t>
      </w:r>
      <w:r>
        <w:rPr>
          <w:rFonts w:eastAsia="仿宋_GB2312"/>
          <w:bCs/>
          <w:color w:val="auto"/>
          <w:sz w:val="24"/>
          <w:highlight w:val="none"/>
        </w:rPr>
        <w:t>签订。</w:t>
      </w:r>
    </w:p>
    <w:p w14:paraId="5C7E94C5">
      <w:pPr>
        <w:pStyle w:val="8"/>
        <w:spacing w:before="0" w:after="0" w:line="336" w:lineRule="auto"/>
        <w:rPr>
          <w:rFonts w:ascii="Times New Roman" w:hAnsi="Times New Roman"/>
          <w:bCs w:val="0"/>
          <w:color w:val="auto"/>
          <w:sz w:val="24"/>
          <w:szCs w:val="24"/>
          <w:highlight w:val="none"/>
        </w:rPr>
      </w:pPr>
      <w:bookmarkStart w:id="473" w:name="_Toc351203491"/>
      <w:r>
        <w:rPr>
          <w:rFonts w:ascii="Times New Roman" w:hAnsi="Times New Roman"/>
          <w:b w:val="0"/>
          <w:color w:val="auto"/>
          <w:sz w:val="24"/>
          <w:szCs w:val="24"/>
          <w:highlight w:val="none"/>
        </w:rPr>
        <w:t>十一、补充协议</w:t>
      </w:r>
      <w:bookmarkEnd w:id="473"/>
    </w:p>
    <w:p w14:paraId="7F1E348F">
      <w:pPr>
        <w:adjustRightInd/>
        <w:spacing w:line="336" w:lineRule="auto"/>
        <w:ind w:firstLine="480" w:firstLineChars="200"/>
        <w:rPr>
          <w:rFonts w:eastAsia="仿宋_GB2312"/>
          <w:b/>
          <w:bCs/>
          <w:color w:val="auto"/>
          <w:sz w:val="24"/>
          <w:highlight w:val="none"/>
        </w:rPr>
      </w:pPr>
      <w:r>
        <w:rPr>
          <w:rFonts w:eastAsia="仿宋_GB2312"/>
          <w:bCs/>
          <w:color w:val="auto"/>
          <w:sz w:val="24"/>
          <w:highlight w:val="none"/>
        </w:rPr>
        <w:t>合同未尽事宜，合同当事人另行签订补充协议</w:t>
      </w:r>
      <w:r>
        <w:rPr>
          <w:rFonts w:hint="eastAsia" w:eastAsia="仿宋_GB2312"/>
          <w:bCs/>
          <w:color w:val="auto"/>
          <w:sz w:val="24"/>
          <w:highlight w:val="none"/>
        </w:rPr>
        <w:t>，</w:t>
      </w:r>
      <w:r>
        <w:rPr>
          <w:rFonts w:eastAsia="仿宋_GB2312"/>
          <w:bCs/>
          <w:color w:val="auto"/>
          <w:sz w:val="24"/>
          <w:highlight w:val="none"/>
        </w:rPr>
        <w:t>补充协议是合同的组成部分。</w:t>
      </w:r>
    </w:p>
    <w:p w14:paraId="44D360D6">
      <w:pPr>
        <w:pStyle w:val="8"/>
        <w:spacing w:before="0" w:after="0" w:line="336" w:lineRule="auto"/>
        <w:rPr>
          <w:rFonts w:ascii="Times New Roman" w:hAnsi="Times New Roman"/>
          <w:bCs w:val="0"/>
          <w:color w:val="auto"/>
          <w:sz w:val="24"/>
          <w:szCs w:val="24"/>
          <w:highlight w:val="none"/>
        </w:rPr>
      </w:pPr>
      <w:bookmarkStart w:id="474" w:name="_Toc351203492"/>
      <w:r>
        <w:rPr>
          <w:rFonts w:ascii="Times New Roman" w:hAnsi="Times New Roman"/>
          <w:b w:val="0"/>
          <w:color w:val="auto"/>
          <w:sz w:val="24"/>
          <w:szCs w:val="24"/>
          <w:highlight w:val="none"/>
        </w:rPr>
        <w:t>十二、合同生效</w:t>
      </w:r>
      <w:bookmarkEnd w:id="474"/>
    </w:p>
    <w:p w14:paraId="7C36DA90">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本合同自</w:t>
      </w:r>
      <w:r>
        <w:rPr>
          <w:rFonts w:hint="eastAsia" w:eastAsia="仿宋_GB2312"/>
          <w:bCs/>
          <w:color w:val="auto"/>
          <w:sz w:val="24"/>
          <w:highlight w:val="none"/>
          <w:u w:val="single"/>
        </w:rPr>
        <w:t>双方签字盖章后</w:t>
      </w:r>
      <w:r>
        <w:rPr>
          <w:rFonts w:eastAsia="仿宋_GB2312"/>
          <w:bCs/>
          <w:color w:val="auto"/>
          <w:sz w:val="24"/>
          <w:highlight w:val="none"/>
        </w:rPr>
        <w:t>生效。</w:t>
      </w:r>
    </w:p>
    <w:p w14:paraId="5F6BCAEF">
      <w:pPr>
        <w:pStyle w:val="8"/>
        <w:spacing w:before="0" w:after="0" w:line="336" w:lineRule="auto"/>
        <w:rPr>
          <w:rFonts w:ascii="Times New Roman" w:hAnsi="Times New Roman"/>
          <w:bCs w:val="0"/>
          <w:color w:val="auto"/>
          <w:sz w:val="24"/>
          <w:szCs w:val="24"/>
          <w:highlight w:val="none"/>
        </w:rPr>
      </w:pPr>
      <w:bookmarkStart w:id="475" w:name="_Toc351203493"/>
      <w:r>
        <w:rPr>
          <w:rFonts w:ascii="Times New Roman" w:hAnsi="Times New Roman"/>
          <w:b w:val="0"/>
          <w:color w:val="auto"/>
          <w:sz w:val="24"/>
          <w:szCs w:val="24"/>
          <w:highlight w:val="none"/>
        </w:rPr>
        <w:t>十三、合同份数</w:t>
      </w:r>
      <w:bookmarkEnd w:id="475"/>
    </w:p>
    <w:p w14:paraId="45552025">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本合同一式</w:t>
      </w:r>
      <w:r>
        <w:rPr>
          <w:rFonts w:hint="eastAsia" w:eastAsia="仿宋_GB2312"/>
          <w:bCs/>
          <w:color w:val="auto"/>
          <w:sz w:val="24"/>
          <w:highlight w:val="none"/>
          <w:u w:val="single"/>
        </w:rPr>
        <w:t>壹拾陆</w:t>
      </w:r>
      <w:r>
        <w:rPr>
          <w:rFonts w:eastAsia="仿宋_GB2312"/>
          <w:bCs/>
          <w:color w:val="auto"/>
          <w:sz w:val="24"/>
          <w:highlight w:val="none"/>
        </w:rPr>
        <w:t>份，均具有同等法律效力，发包人执</w:t>
      </w:r>
      <w:r>
        <w:rPr>
          <w:rFonts w:hint="eastAsia" w:eastAsia="仿宋_GB2312"/>
          <w:bCs/>
          <w:color w:val="auto"/>
          <w:sz w:val="24"/>
          <w:highlight w:val="none"/>
          <w:u w:val="single"/>
        </w:rPr>
        <w:t>捌</w:t>
      </w:r>
      <w:r>
        <w:rPr>
          <w:rFonts w:eastAsia="仿宋_GB2312"/>
          <w:bCs/>
          <w:color w:val="auto"/>
          <w:sz w:val="24"/>
          <w:highlight w:val="none"/>
        </w:rPr>
        <w:t>份，承包人执</w:t>
      </w:r>
      <w:r>
        <w:rPr>
          <w:rFonts w:hint="eastAsia" w:eastAsia="仿宋_GB2312"/>
          <w:bCs/>
          <w:color w:val="auto"/>
          <w:sz w:val="24"/>
          <w:highlight w:val="none"/>
          <w:u w:val="single"/>
        </w:rPr>
        <w:t>捌</w:t>
      </w:r>
      <w:r>
        <w:rPr>
          <w:rFonts w:eastAsia="仿宋_GB2312"/>
          <w:bCs/>
          <w:color w:val="auto"/>
          <w:sz w:val="24"/>
          <w:highlight w:val="none"/>
        </w:rPr>
        <w:t>份。</w:t>
      </w:r>
    </w:p>
    <w:p w14:paraId="6DBF05CD">
      <w:pPr>
        <w:adjustRightInd/>
        <w:spacing w:line="336" w:lineRule="auto"/>
        <w:rPr>
          <w:rFonts w:eastAsia="仿宋_GB2312"/>
          <w:color w:val="auto"/>
          <w:sz w:val="24"/>
          <w:highlight w:val="none"/>
        </w:rPr>
      </w:pPr>
    </w:p>
    <w:p w14:paraId="544E8BEC">
      <w:pPr>
        <w:adjustRightInd/>
        <w:spacing w:line="336" w:lineRule="auto"/>
        <w:rPr>
          <w:rFonts w:eastAsia="仿宋_GB2312"/>
          <w:color w:val="auto"/>
          <w:sz w:val="24"/>
          <w:highlight w:val="none"/>
        </w:rPr>
      </w:pPr>
    </w:p>
    <w:p w14:paraId="645ABFB6">
      <w:pPr>
        <w:adjustRightInd/>
        <w:spacing w:line="336" w:lineRule="auto"/>
        <w:rPr>
          <w:rFonts w:eastAsia="仿宋_GB2312"/>
          <w:color w:val="auto"/>
          <w:sz w:val="24"/>
          <w:highlight w:val="none"/>
        </w:rPr>
      </w:pPr>
      <w:r>
        <w:rPr>
          <w:rFonts w:eastAsia="仿宋_GB2312"/>
          <w:color w:val="auto"/>
          <w:sz w:val="24"/>
          <w:highlight w:val="none"/>
        </w:rPr>
        <w:t>发包人</w:t>
      </w:r>
      <w:r>
        <w:rPr>
          <w:rFonts w:hint="eastAsia" w:eastAsia="仿宋_GB2312"/>
          <w:color w:val="auto"/>
          <w:sz w:val="24"/>
          <w:highlight w:val="none"/>
        </w:rPr>
        <w:t xml:space="preserve">：  </w:t>
      </w:r>
      <w:r>
        <w:rPr>
          <w:rFonts w:eastAsia="仿宋_GB2312"/>
          <w:color w:val="auto"/>
          <w:sz w:val="24"/>
          <w:highlight w:val="none"/>
        </w:rPr>
        <w:t>(公章)</w:t>
      </w:r>
      <w:r>
        <w:rPr>
          <w:rFonts w:hint="eastAsia" w:eastAsia="仿宋_GB2312"/>
          <w:color w:val="auto"/>
          <w:sz w:val="24"/>
          <w:highlight w:val="none"/>
        </w:rPr>
        <w:t xml:space="preserve">                      </w:t>
      </w:r>
      <w:r>
        <w:rPr>
          <w:rFonts w:eastAsia="仿宋_GB2312"/>
          <w:color w:val="auto"/>
          <w:sz w:val="24"/>
          <w:highlight w:val="none"/>
        </w:rPr>
        <w:t>承包人</w:t>
      </w:r>
      <w:r>
        <w:rPr>
          <w:rFonts w:hint="eastAsia" w:eastAsia="仿宋_GB2312"/>
          <w:color w:val="auto"/>
          <w:sz w:val="24"/>
          <w:highlight w:val="none"/>
        </w:rPr>
        <w:t xml:space="preserve">：  </w:t>
      </w:r>
      <w:r>
        <w:rPr>
          <w:rFonts w:eastAsia="仿宋_GB2312"/>
          <w:color w:val="auto"/>
          <w:sz w:val="24"/>
          <w:highlight w:val="none"/>
        </w:rPr>
        <w:t>(公章)</w:t>
      </w:r>
    </w:p>
    <w:p w14:paraId="0879A74D">
      <w:pPr>
        <w:adjustRightInd/>
        <w:spacing w:line="336" w:lineRule="auto"/>
        <w:rPr>
          <w:rFonts w:eastAsia="仿宋_GB2312"/>
          <w:color w:val="auto"/>
          <w:sz w:val="24"/>
          <w:highlight w:val="none"/>
        </w:rPr>
      </w:pPr>
      <w:r>
        <w:rPr>
          <w:rFonts w:hint="eastAsia" w:eastAsia="仿宋_GB2312"/>
          <w:color w:val="auto"/>
          <w:sz w:val="24"/>
          <w:highlight w:val="none"/>
        </w:rPr>
        <w:t>法定代表人或其委托代理人：           法定代表人或其委托代理人：</w:t>
      </w:r>
    </w:p>
    <w:p w14:paraId="3E13E3F4">
      <w:pPr>
        <w:adjustRightInd/>
        <w:spacing w:line="336" w:lineRule="auto"/>
        <w:rPr>
          <w:rFonts w:eastAsia="仿宋_GB2312"/>
          <w:color w:val="auto"/>
          <w:sz w:val="24"/>
          <w:highlight w:val="none"/>
        </w:rPr>
      </w:pPr>
      <w:r>
        <w:rPr>
          <w:rFonts w:hint="eastAsia" w:eastAsia="仿宋_GB2312"/>
          <w:color w:val="auto"/>
          <w:sz w:val="24"/>
          <w:highlight w:val="none"/>
        </w:rPr>
        <w:t>（签字）                                            （签字）</w:t>
      </w:r>
    </w:p>
    <w:p w14:paraId="1C1CDD36">
      <w:pPr>
        <w:tabs>
          <w:tab w:val="left" w:pos="4410"/>
        </w:tabs>
        <w:adjustRightInd/>
        <w:spacing w:line="336" w:lineRule="auto"/>
        <w:rPr>
          <w:rFonts w:eastAsia="仿宋_GB2312"/>
          <w:color w:val="auto"/>
          <w:sz w:val="24"/>
          <w:highlight w:val="none"/>
        </w:rPr>
      </w:pPr>
      <w:r>
        <w:rPr>
          <w:rFonts w:hint="eastAsia" w:eastAsia="仿宋_GB2312"/>
          <w:color w:val="auto"/>
          <w:sz w:val="24"/>
          <w:highlight w:val="none"/>
        </w:rPr>
        <w:t>组织机构代码：</w:t>
      </w:r>
      <w:r>
        <w:rPr>
          <w:rFonts w:eastAsia="仿宋_GB2312"/>
          <w:color w:val="auto"/>
          <w:sz w:val="24"/>
          <w:highlight w:val="none"/>
          <w:u w:val="single"/>
        </w:rPr>
        <w:t xml:space="preserve">      </w:t>
      </w:r>
      <w:r>
        <w:rPr>
          <w:rFonts w:hint="eastAsia" w:eastAsia="仿宋_GB2312"/>
          <w:color w:val="auto"/>
          <w:sz w:val="24"/>
          <w:highlight w:val="none"/>
        </w:rPr>
        <w:t xml:space="preserve">            组织机构代码：</w:t>
      </w:r>
      <w:r>
        <w:rPr>
          <w:rFonts w:eastAsia="仿宋_GB2312"/>
          <w:color w:val="auto"/>
          <w:sz w:val="24"/>
          <w:highlight w:val="none"/>
          <w:u w:val="single"/>
        </w:rPr>
        <w:t xml:space="preserve">   </w:t>
      </w:r>
      <w:r>
        <w:rPr>
          <w:rFonts w:hint="eastAsia" w:eastAsia="仿宋_GB2312"/>
          <w:color w:val="auto"/>
          <w:sz w:val="24"/>
          <w:highlight w:val="none"/>
          <w:u w:val="single"/>
        </w:rPr>
        <w:t xml:space="preserve">     </w:t>
      </w:r>
    </w:p>
    <w:p w14:paraId="1A5F24BB">
      <w:pPr>
        <w:adjustRightInd/>
        <w:spacing w:line="336" w:lineRule="auto"/>
        <w:rPr>
          <w:rFonts w:eastAsia="仿宋_GB2312"/>
          <w:color w:val="auto"/>
          <w:sz w:val="24"/>
          <w:highlight w:val="none"/>
        </w:rPr>
      </w:pPr>
      <w:r>
        <w:rPr>
          <w:rFonts w:eastAsia="仿宋_GB2312"/>
          <w:color w:val="auto"/>
          <w:sz w:val="24"/>
          <w:highlight w:val="none"/>
        </w:rPr>
        <w:t>地  址：</w:t>
      </w:r>
      <w:r>
        <w:rPr>
          <w:rFonts w:eastAsia="仿宋_GB2312"/>
          <w:color w:val="auto"/>
          <w:sz w:val="24"/>
          <w:highlight w:val="none"/>
          <w:u w:val="single"/>
        </w:rPr>
        <w:t xml:space="preserve">     </w:t>
      </w:r>
      <w:r>
        <w:rPr>
          <w:rFonts w:hint="eastAsia" w:eastAsia="仿宋_GB2312"/>
          <w:color w:val="auto"/>
          <w:sz w:val="24"/>
          <w:highlight w:val="none"/>
        </w:rPr>
        <w:t xml:space="preserve">           </w:t>
      </w:r>
      <w:r>
        <w:rPr>
          <w:rFonts w:eastAsia="仿宋_GB2312"/>
          <w:color w:val="auto"/>
          <w:sz w:val="24"/>
          <w:highlight w:val="none"/>
        </w:rPr>
        <w:t>地  址：</w:t>
      </w:r>
      <w:r>
        <w:rPr>
          <w:rFonts w:eastAsia="仿宋_GB2312"/>
          <w:color w:val="auto"/>
          <w:sz w:val="24"/>
          <w:highlight w:val="none"/>
          <w:u w:val="single"/>
        </w:rPr>
        <w:t></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4F10D1AE">
      <w:pPr>
        <w:adjustRightInd/>
        <w:spacing w:line="336" w:lineRule="auto"/>
        <w:rPr>
          <w:rFonts w:eastAsia="仿宋_GB2312"/>
          <w:color w:val="auto"/>
          <w:sz w:val="24"/>
          <w:highlight w:val="none"/>
        </w:rPr>
      </w:pPr>
      <w:r>
        <w:rPr>
          <w:rFonts w:eastAsia="仿宋_GB2312"/>
          <w:color w:val="auto"/>
          <w:sz w:val="24"/>
          <w:highlight w:val="none"/>
        </w:rPr>
        <w:t>邮政编码：</w:t>
      </w:r>
      <w:r>
        <w:rPr>
          <w:rFonts w:eastAsia="仿宋_GB2312"/>
          <w:color w:val="auto"/>
          <w:sz w:val="24"/>
          <w:highlight w:val="none"/>
          <w:u w:val="single"/>
        </w:rPr>
        <w:t xml:space="preserve">   </w:t>
      </w:r>
      <w:r>
        <w:rPr>
          <w:rFonts w:hint="eastAsia" w:eastAsia="仿宋_GB2312"/>
          <w:color w:val="auto"/>
          <w:sz w:val="24"/>
          <w:highlight w:val="none"/>
        </w:rPr>
        <w:t xml:space="preserve">             </w:t>
      </w:r>
      <w:r>
        <w:rPr>
          <w:rFonts w:eastAsia="仿宋_GB2312"/>
          <w:color w:val="auto"/>
          <w:sz w:val="24"/>
          <w:highlight w:val="none"/>
        </w:rPr>
        <w:t>邮政编码：</w:t>
      </w:r>
      <w:r>
        <w:rPr>
          <w:rFonts w:eastAsia="仿宋_GB2312"/>
          <w:color w:val="auto"/>
          <w:sz w:val="24"/>
          <w:highlight w:val="none"/>
          <w:u w:val="single"/>
        </w:rPr>
        <w:t></w:t>
      </w:r>
    </w:p>
    <w:p w14:paraId="5348DF72">
      <w:pPr>
        <w:adjustRightInd/>
        <w:spacing w:line="336" w:lineRule="auto"/>
        <w:rPr>
          <w:rFonts w:eastAsia="仿宋_GB2312"/>
          <w:color w:val="auto"/>
          <w:sz w:val="24"/>
          <w:highlight w:val="none"/>
        </w:rPr>
      </w:pPr>
      <w:r>
        <w:rPr>
          <w:rFonts w:eastAsia="仿宋_GB2312"/>
          <w:color w:val="auto"/>
          <w:sz w:val="24"/>
          <w:highlight w:val="none"/>
        </w:rPr>
        <w:t>法定代表人：</w:t>
      </w:r>
      <w:r>
        <w:rPr>
          <w:rFonts w:eastAsia="仿宋_GB2312"/>
          <w:color w:val="auto"/>
          <w:sz w:val="24"/>
          <w:highlight w:val="none"/>
          <w:u w:val="single"/>
        </w:rPr>
        <w:t></w:t>
      </w:r>
      <w:r>
        <w:rPr>
          <w:rFonts w:hint="eastAsia" w:eastAsia="仿宋_GB2312"/>
          <w:color w:val="auto"/>
          <w:sz w:val="24"/>
          <w:highlight w:val="none"/>
          <w:u w:val="single"/>
        </w:rPr>
        <w:t xml:space="preserve">         </w:t>
      </w:r>
      <w:r>
        <w:rPr>
          <w:rFonts w:hint="eastAsia" w:eastAsia="仿宋_GB2312"/>
          <w:color w:val="auto"/>
          <w:sz w:val="24"/>
          <w:highlight w:val="none"/>
        </w:rPr>
        <w:t xml:space="preserve">             </w:t>
      </w:r>
      <w:r>
        <w:rPr>
          <w:rFonts w:eastAsia="仿宋_GB2312"/>
          <w:color w:val="auto"/>
          <w:sz w:val="24"/>
          <w:highlight w:val="none"/>
        </w:rPr>
        <w:t>法定代表人：</w:t>
      </w:r>
      <w:r>
        <w:rPr>
          <w:rFonts w:eastAsia="仿宋_GB2312"/>
          <w:color w:val="auto"/>
          <w:sz w:val="24"/>
          <w:highlight w:val="none"/>
          <w:u w:val="single"/>
        </w:rPr>
        <w:t></w:t>
      </w:r>
      <w:r>
        <w:rPr>
          <w:rFonts w:hint="eastAsia" w:eastAsia="仿宋_GB2312"/>
          <w:color w:val="auto"/>
          <w:sz w:val="24"/>
          <w:highlight w:val="none"/>
          <w:u w:val="single"/>
        </w:rPr>
        <w:t xml:space="preserve">          </w:t>
      </w:r>
    </w:p>
    <w:p w14:paraId="2DB0ED16">
      <w:pPr>
        <w:adjustRightInd/>
        <w:spacing w:line="336" w:lineRule="auto"/>
        <w:rPr>
          <w:rFonts w:eastAsia="仿宋_GB2312"/>
          <w:color w:val="auto"/>
          <w:sz w:val="24"/>
          <w:highlight w:val="none"/>
        </w:rPr>
      </w:pPr>
      <w:r>
        <w:rPr>
          <w:rFonts w:eastAsia="仿宋_GB2312"/>
          <w:color w:val="auto"/>
          <w:sz w:val="24"/>
          <w:highlight w:val="none"/>
        </w:rPr>
        <w:t>委托代理人：</w:t>
      </w:r>
      <w:r>
        <w:rPr>
          <w:rFonts w:eastAsia="仿宋_GB2312"/>
          <w:color w:val="auto"/>
          <w:sz w:val="24"/>
          <w:highlight w:val="none"/>
          <w:u w:val="single"/>
        </w:rPr>
        <w:t></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hint="eastAsia" w:eastAsia="仿宋_GB2312"/>
          <w:color w:val="auto"/>
          <w:sz w:val="24"/>
          <w:highlight w:val="none"/>
        </w:rPr>
        <w:t xml:space="preserve">          </w:t>
      </w:r>
      <w:r>
        <w:rPr>
          <w:rFonts w:eastAsia="仿宋_GB2312"/>
          <w:color w:val="auto"/>
          <w:sz w:val="24"/>
          <w:highlight w:val="none"/>
        </w:rPr>
        <w:t>委托代理人：</w:t>
      </w:r>
      <w:r>
        <w:rPr>
          <w:rFonts w:eastAsia="仿宋_GB2312"/>
          <w:color w:val="auto"/>
          <w:sz w:val="24"/>
          <w:highlight w:val="none"/>
          <w:u w:val="single"/>
        </w:rPr>
        <w:t></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77842235">
      <w:pPr>
        <w:adjustRightInd/>
        <w:spacing w:line="336" w:lineRule="auto"/>
        <w:rPr>
          <w:rFonts w:eastAsia="仿宋_GB2312"/>
          <w:color w:val="auto"/>
          <w:sz w:val="24"/>
          <w:highlight w:val="none"/>
        </w:rPr>
      </w:pPr>
      <w:r>
        <w:rPr>
          <w:rFonts w:eastAsia="仿宋_GB2312"/>
          <w:color w:val="auto"/>
          <w:sz w:val="24"/>
          <w:highlight w:val="none"/>
        </w:rPr>
        <w:t>电  话：</w:t>
      </w:r>
      <w:r>
        <w:rPr>
          <w:rFonts w:eastAsia="仿宋_GB2312"/>
          <w:color w:val="auto"/>
          <w:sz w:val="24"/>
          <w:highlight w:val="none"/>
          <w:u w:val="single"/>
        </w:rPr>
        <w:t></w:t>
      </w:r>
      <w:r>
        <w:rPr>
          <w:rFonts w:hint="eastAsia" w:eastAsia="仿宋_GB2312"/>
          <w:color w:val="auto"/>
          <w:sz w:val="24"/>
          <w:highlight w:val="none"/>
        </w:rPr>
        <w:t xml:space="preserve">              </w:t>
      </w:r>
      <w:r>
        <w:rPr>
          <w:rFonts w:eastAsia="仿宋_GB2312"/>
          <w:color w:val="auto"/>
          <w:sz w:val="24"/>
          <w:highlight w:val="none"/>
        </w:rPr>
        <w:t>电  话：</w:t>
      </w:r>
      <w:r>
        <w:rPr>
          <w:rFonts w:eastAsia="仿宋_GB2312"/>
          <w:color w:val="auto"/>
          <w:sz w:val="24"/>
          <w:highlight w:val="none"/>
          <w:u w:val="single"/>
        </w:rPr>
        <w:t></w:t>
      </w:r>
      <w:r>
        <w:rPr>
          <w:rFonts w:hint="eastAsia" w:eastAsia="仿宋_GB2312"/>
          <w:color w:val="auto"/>
          <w:sz w:val="24"/>
          <w:highlight w:val="none"/>
          <w:u w:val="single"/>
        </w:rPr>
        <w:t xml:space="preserve">   </w:t>
      </w:r>
      <w:r>
        <w:rPr>
          <w:rFonts w:eastAsia="仿宋_GB2312"/>
          <w:color w:val="auto"/>
          <w:sz w:val="24"/>
          <w:highlight w:val="none"/>
          <w:u w:val="single"/>
        </w:rPr>
        <w:t></w:t>
      </w:r>
    </w:p>
    <w:p w14:paraId="23213475">
      <w:pPr>
        <w:adjustRightInd/>
        <w:spacing w:line="336" w:lineRule="auto"/>
        <w:rPr>
          <w:rFonts w:eastAsia="仿宋_GB2312"/>
          <w:color w:val="auto"/>
          <w:sz w:val="24"/>
          <w:highlight w:val="none"/>
        </w:rPr>
      </w:pPr>
      <w:r>
        <w:rPr>
          <w:rFonts w:eastAsia="仿宋_GB2312"/>
          <w:color w:val="auto"/>
          <w:sz w:val="24"/>
          <w:highlight w:val="none"/>
        </w:rPr>
        <w:t>传  真：</w:t>
      </w:r>
      <w:r>
        <w:rPr>
          <w:rFonts w:eastAsia="仿宋_GB2312"/>
          <w:color w:val="auto"/>
          <w:sz w:val="24"/>
          <w:highlight w:val="none"/>
          <w:u w:val="single"/>
        </w:rPr>
        <w:t xml:space="preserve"> </w:t>
      </w:r>
      <w:r>
        <w:rPr>
          <w:rFonts w:hint="eastAsia" w:eastAsia="仿宋_GB2312"/>
          <w:color w:val="auto"/>
          <w:sz w:val="24"/>
          <w:highlight w:val="none"/>
        </w:rPr>
        <w:t xml:space="preserve">             </w:t>
      </w:r>
      <w:r>
        <w:rPr>
          <w:rFonts w:eastAsia="仿宋_GB2312"/>
          <w:color w:val="auto"/>
          <w:sz w:val="24"/>
          <w:highlight w:val="none"/>
        </w:rPr>
        <w:t>传  真：</w:t>
      </w:r>
      <w:r>
        <w:rPr>
          <w:rFonts w:eastAsia="仿宋_GB2312"/>
          <w:color w:val="auto"/>
          <w:sz w:val="24"/>
          <w:highlight w:val="none"/>
          <w:u w:val="single"/>
        </w:rPr>
        <w:t xml:space="preserve">   </w:t>
      </w:r>
    </w:p>
    <w:p w14:paraId="4BE620E1">
      <w:pPr>
        <w:adjustRightInd/>
        <w:spacing w:line="336" w:lineRule="auto"/>
        <w:rPr>
          <w:rFonts w:eastAsia="仿宋_GB2312"/>
          <w:color w:val="auto"/>
          <w:sz w:val="24"/>
          <w:highlight w:val="none"/>
        </w:rPr>
      </w:pPr>
      <w:r>
        <w:rPr>
          <w:rFonts w:eastAsia="仿宋_GB2312"/>
          <w:color w:val="auto"/>
          <w:sz w:val="24"/>
          <w:highlight w:val="none"/>
        </w:rPr>
        <w:t>电子信箱：</w:t>
      </w:r>
      <w:r>
        <w:rPr>
          <w:rFonts w:hint="eastAsia" w:eastAsia="仿宋_GB2312"/>
          <w:color w:val="auto"/>
          <w:sz w:val="24"/>
          <w:highlight w:val="none"/>
          <w:u w:val="single"/>
        </w:rPr>
        <w:t xml:space="preserve">               </w:t>
      </w:r>
      <w:r>
        <w:rPr>
          <w:rFonts w:hint="eastAsia" w:eastAsia="仿宋_GB2312"/>
          <w:color w:val="auto"/>
          <w:sz w:val="24"/>
          <w:highlight w:val="none"/>
        </w:rPr>
        <w:t xml:space="preserve">             </w:t>
      </w:r>
      <w:r>
        <w:rPr>
          <w:rFonts w:eastAsia="仿宋_GB2312"/>
          <w:color w:val="auto"/>
          <w:sz w:val="24"/>
          <w:highlight w:val="none"/>
        </w:rPr>
        <w:t>电子信箱：</w:t>
      </w:r>
      <w:r>
        <w:rPr>
          <w:rFonts w:eastAsia="仿宋_GB2312"/>
          <w:color w:val="auto"/>
          <w:sz w:val="24"/>
          <w:highlight w:val="none"/>
          <w:u w:val="single"/>
        </w:rPr>
        <w:t xml:space="preserve">   </w:t>
      </w:r>
    </w:p>
    <w:p w14:paraId="5688304D">
      <w:pPr>
        <w:adjustRightInd/>
        <w:spacing w:line="336" w:lineRule="auto"/>
        <w:rPr>
          <w:rFonts w:eastAsia="仿宋_GB2312"/>
          <w:color w:val="auto"/>
          <w:sz w:val="24"/>
          <w:highlight w:val="none"/>
        </w:rPr>
      </w:pPr>
      <w:r>
        <w:rPr>
          <w:rFonts w:eastAsia="仿宋_GB2312"/>
          <w:color w:val="auto"/>
          <w:sz w:val="24"/>
          <w:highlight w:val="none"/>
        </w:rPr>
        <w:t>开户银行：</w:t>
      </w:r>
      <w:r>
        <w:rPr>
          <w:rFonts w:eastAsia="仿宋_GB2312"/>
          <w:color w:val="auto"/>
          <w:sz w:val="24"/>
          <w:highlight w:val="none"/>
          <w:u w:val="single"/>
        </w:rPr>
        <w:t xml:space="preserve">   </w:t>
      </w:r>
      <w:r>
        <w:rPr>
          <w:rFonts w:hint="eastAsia" w:eastAsia="仿宋_GB2312"/>
          <w:color w:val="auto"/>
          <w:sz w:val="24"/>
          <w:highlight w:val="none"/>
        </w:rPr>
        <w:t xml:space="preserve">           </w:t>
      </w:r>
      <w:r>
        <w:rPr>
          <w:rFonts w:eastAsia="仿宋_GB2312"/>
          <w:color w:val="auto"/>
          <w:sz w:val="24"/>
          <w:highlight w:val="none"/>
        </w:rPr>
        <w:t>开户银行：</w:t>
      </w:r>
      <w:r>
        <w:rPr>
          <w:rFonts w:eastAsia="仿宋_GB2312"/>
          <w:color w:val="auto"/>
          <w:sz w:val="24"/>
          <w:highlight w:val="none"/>
          <w:u w:val="single"/>
        </w:rPr>
        <w:t xml:space="preserve">   </w:t>
      </w:r>
    </w:p>
    <w:p w14:paraId="41B1EEA3">
      <w:pPr>
        <w:adjustRightInd/>
        <w:spacing w:line="336" w:lineRule="auto"/>
        <w:rPr>
          <w:rFonts w:eastAsia="仿宋_GB2312"/>
          <w:color w:val="auto"/>
          <w:sz w:val="24"/>
          <w:highlight w:val="none"/>
        </w:rPr>
      </w:pPr>
      <w:r>
        <w:rPr>
          <w:rFonts w:eastAsia="仿宋_GB2312"/>
          <w:color w:val="auto"/>
          <w:sz w:val="24"/>
          <w:highlight w:val="none"/>
        </w:rPr>
        <w:t>账  号：</w:t>
      </w:r>
      <w:r>
        <w:rPr>
          <w:rFonts w:eastAsia="仿宋_GB2312"/>
          <w:color w:val="auto"/>
          <w:sz w:val="24"/>
          <w:highlight w:val="none"/>
          <w:u w:val="single"/>
        </w:rPr>
        <w:t xml:space="preserve">       </w:t>
      </w:r>
      <w:r>
        <w:rPr>
          <w:rFonts w:hint="eastAsia" w:eastAsia="仿宋_GB2312"/>
          <w:color w:val="auto"/>
          <w:sz w:val="24"/>
          <w:highlight w:val="none"/>
        </w:rPr>
        <w:t xml:space="preserve">            </w:t>
      </w:r>
      <w:r>
        <w:rPr>
          <w:rFonts w:eastAsia="仿宋_GB2312"/>
          <w:color w:val="auto"/>
          <w:sz w:val="24"/>
          <w:highlight w:val="none"/>
        </w:rPr>
        <w:t>账 号：</w:t>
      </w:r>
      <w:r>
        <w:rPr>
          <w:rFonts w:eastAsia="仿宋_GB2312"/>
          <w:color w:val="auto"/>
          <w:sz w:val="24"/>
          <w:highlight w:val="none"/>
          <w:u w:val="single"/>
        </w:rPr>
        <w:t></w:t>
      </w:r>
      <w:r>
        <w:rPr>
          <w:rFonts w:hint="eastAsia" w:eastAsia="仿宋_GB2312"/>
          <w:color w:val="auto"/>
          <w:sz w:val="24"/>
          <w:highlight w:val="none"/>
          <w:u w:val="single"/>
        </w:rPr>
        <w:t xml:space="preserve">      </w:t>
      </w:r>
      <w:r>
        <w:rPr>
          <w:rFonts w:eastAsia="仿宋_GB2312"/>
          <w:color w:val="auto"/>
          <w:sz w:val="24"/>
          <w:highlight w:val="none"/>
          <w:u w:val="single"/>
        </w:rPr>
        <w:t></w:t>
      </w:r>
    </w:p>
    <w:p w14:paraId="621CB5EF">
      <w:pPr>
        <w:pStyle w:val="6"/>
        <w:spacing w:line="240" w:lineRule="auto"/>
        <w:jc w:val="center"/>
        <w:rPr>
          <w:rFonts w:hint="eastAsia" w:hAnsi="宋体"/>
          <w:color w:val="auto"/>
          <w:sz w:val="28"/>
          <w:szCs w:val="28"/>
          <w:highlight w:val="none"/>
        </w:rPr>
      </w:pPr>
      <w:r>
        <w:rPr>
          <w:rFonts w:hint="eastAsia" w:hAnsi="宋体"/>
          <w:color w:val="auto"/>
          <w:sz w:val="28"/>
          <w:szCs w:val="28"/>
          <w:highlight w:val="none"/>
          <w:lang w:val="en-US"/>
        </w:rPr>
        <w:t xml:space="preserve">   </w:t>
      </w:r>
      <w:r>
        <w:rPr>
          <w:rFonts w:hAnsi="宋体"/>
          <w:color w:val="auto"/>
          <w:sz w:val="28"/>
          <w:szCs w:val="28"/>
          <w:highlight w:val="none"/>
        </w:rPr>
        <w:br w:type="page"/>
      </w:r>
      <w:bookmarkStart w:id="476" w:name="_Toc408212527"/>
      <w:r>
        <w:rPr>
          <w:rFonts w:hint="eastAsia" w:hAnsi="宋体"/>
          <w:color w:val="auto"/>
          <w:sz w:val="28"/>
          <w:szCs w:val="28"/>
          <w:highlight w:val="none"/>
        </w:rPr>
        <w:t>第二部分 通用合同条款（略）</w:t>
      </w:r>
      <w:bookmarkEnd w:id="476"/>
    </w:p>
    <w:p w14:paraId="027C800C">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 一般约定</w:t>
      </w:r>
    </w:p>
    <w:p w14:paraId="7D49074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1.1词语定义与解释</w:t>
      </w:r>
    </w:p>
    <w:p w14:paraId="75A8199C">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1.2语言文字</w:t>
      </w:r>
    </w:p>
    <w:p w14:paraId="4CEB7413">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1.3法律</w:t>
      </w:r>
    </w:p>
    <w:p w14:paraId="7FD0E73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1.4 标准和规范</w:t>
      </w:r>
    </w:p>
    <w:p w14:paraId="0C436C3F">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1.5 合同文件的优先顺序</w:t>
      </w:r>
    </w:p>
    <w:p w14:paraId="119C6E2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1.6图纸和承包人文件</w:t>
      </w:r>
    </w:p>
    <w:p w14:paraId="393A89A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1.7联络</w:t>
      </w:r>
    </w:p>
    <w:p w14:paraId="15BFFAC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1.8严禁贿赂</w:t>
      </w:r>
    </w:p>
    <w:p w14:paraId="01046ABB">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1.9化石、文物</w:t>
      </w:r>
    </w:p>
    <w:p w14:paraId="217F3185">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1.10交通运输</w:t>
      </w:r>
    </w:p>
    <w:p w14:paraId="279B8DE4">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1.11知识产权</w:t>
      </w:r>
    </w:p>
    <w:p w14:paraId="159F294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1.12保密</w:t>
      </w:r>
    </w:p>
    <w:p w14:paraId="15FE4E0A">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1.13工程量清单错误的修正</w:t>
      </w:r>
    </w:p>
    <w:p w14:paraId="58047FEE">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 发包人</w:t>
      </w:r>
    </w:p>
    <w:p w14:paraId="3FACA8B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2.1 许可或批准</w:t>
      </w:r>
    </w:p>
    <w:p w14:paraId="5DD0343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2.2 发包人代表</w:t>
      </w:r>
    </w:p>
    <w:p w14:paraId="176FF86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2.3 发包人人员</w:t>
      </w:r>
    </w:p>
    <w:p w14:paraId="3D983EE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2.4 施工现场、施工条件和基础资料的提供</w:t>
      </w:r>
    </w:p>
    <w:p w14:paraId="14B247CA">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2.5 资金来源证明及支付担保</w:t>
      </w:r>
    </w:p>
    <w:p w14:paraId="1678CD6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2.6 支付合同价款</w:t>
      </w:r>
    </w:p>
    <w:p w14:paraId="336BB02C">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2.7 组织竣工验收</w:t>
      </w:r>
    </w:p>
    <w:p w14:paraId="455248B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2.8 现场统一管理协议</w:t>
      </w:r>
    </w:p>
    <w:p w14:paraId="00BCB8A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3. 承包人</w:t>
      </w:r>
    </w:p>
    <w:p w14:paraId="6304912B">
      <w:pPr>
        <w:adjustRightInd/>
        <w:spacing w:line="296" w:lineRule="exact"/>
        <w:rPr>
          <w:rFonts w:hint="eastAsia" w:ascii="宋体" w:hAnsi="宋体"/>
          <w:color w:val="auto"/>
          <w:szCs w:val="21"/>
          <w:highlight w:val="none"/>
        </w:rPr>
      </w:pPr>
      <w:r>
        <w:rPr>
          <w:rFonts w:hint="eastAsia" w:ascii="宋体" w:hAnsi="宋体"/>
          <w:color w:val="auto"/>
          <w:szCs w:val="21"/>
          <w:highlight w:val="none"/>
        </w:rPr>
        <w:t>3.1 承包人的一般义务</w:t>
      </w:r>
    </w:p>
    <w:p w14:paraId="414208CC">
      <w:pPr>
        <w:adjustRightInd/>
        <w:spacing w:line="296" w:lineRule="exact"/>
        <w:rPr>
          <w:rFonts w:hint="eastAsia" w:ascii="宋体" w:hAnsi="宋体"/>
          <w:color w:val="auto"/>
          <w:szCs w:val="21"/>
          <w:highlight w:val="none"/>
        </w:rPr>
      </w:pPr>
      <w:r>
        <w:rPr>
          <w:rFonts w:hint="eastAsia" w:ascii="宋体" w:hAnsi="宋体"/>
          <w:color w:val="auto"/>
          <w:szCs w:val="21"/>
          <w:highlight w:val="none"/>
        </w:rPr>
        <w:t>3.2 项目经理</w:t>
      </w:r>
    </w:p>
    <w:p w14:paraId="1D5847D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3.3 承包人人员</w:t>
      </w:r>
    </w:p>
    <w:p w14:paraId="5EC7B7E6">
      <w:pPr>
        <w:adjustRightInd/>
        <w:spacing w:line="296" w:lineRule="exact"/>
        <w:rPr>
          <w:rFonts w:hint="eastAsia" w:ascii="宋体" w:hAnsi="宋体"/>
          <w:color w:val="auto"/>
          <w:szCs w:val="21"/>
          <w:highlight w:val="none"/>
        </w:rPr>
      </w:pPr>
      <w:r>
        <w:rPr>
          <w:rFonts w:hint="eastAsia" w:ascii="宋体" w:hAnsi="宋体"/>
          <w:color w:val="auto"/>
          <w:szCs w:val="21"/>
          <w:highlight w:val="none"/>
        </w:rPr>
        <w:t>3.4 承包人现场查勘</w:t>
      </w:r>
    </w:p>
    <w:p w14:paraId="2EE6DB6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3.5 分包</w:t>
      </w:r>
    </w:p>
    <w:p w14:paraId="697AF67F">
      <w:pPr>
        <w:adjustRightInd/>
        <w:spacing w:line="296" w:lineRule="exact"/>
        <w:rPr>
          <w:rFonts w:hint="eastAsia" w:ascii="宋体" w:hAnsi="宋体"/>
          <w:color w:val="auto"/>
          <w:szCs w:val="21"/>
          <w:highlight w:val="none"/>
        </w:rPr>
      </w:pPr>
      <w:r>
        <w:rPr>
          <w:rFonts w:hint="eastAsia" w:ascii="宋体" w:hAnsi="宋体"/>
          <w:color w:val="auto"/>
          <w:szCs w:val="21"/>
          <w:highlight w:val="none"/>
        </w:rPr>
        <w:t>3.6 工程照管与成品、半成品保护</w:t>
      </w:r>
    </w:p>
    <w:p w14:paraId="2D4F534F">
      <w:pPr>
        <w:adjustRightInd/>
        <w:spacing w:line="296" w:lineRule="exact"/>
        <w:rPr>
          <w:rFonts w:hint="eastAsia" w:ascii="宋体" w:hAnsi="宋体"/>
          <w:color w:val="auto"/>
          <w:szCs w:val="21"/>
          <w:highlight w:val="none"/>
        </w:rPr>
      </w:pPr>
      <w:r>
        <w:rPr>
          <w:rFonts w:hint="eastAsia" w:ascii="宋体" w:hAnsi="宋体"/>
          <w:color w:val="auto"/>
          <w:szCs w:val="21"/>
          <w:highlight w:val="none"/>
        </w:rPr>
        <w:t>3.7 履约担保</w:t>
      </w:r>
    </w:p>
    <w:p w14:paraId="573BCA2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3.8 联合体</w:t>
      </w:r>
    </w:p>
    <w:p w14:paraId="2BC611F5">
      <w:pPr>
        <w:adjustRightInd/>
        <w:spacing w:line="296" w:lineRule="exact"/>
        <w:rPr>
          <w:rFonts w:hint="eastAsia" w:ascii="宋体" w:hAnsi="宋体"/>
          <w:color w:val="auto"/>
          <w:szCs w:val="21"/>
          <w:highlight w:val="none"/>
        </w:rPr>
      </w:pPr>
      <w:r>
        <w:rPr>
          <w:rFonts w:hint="eastAsia" w:ascii="宋体" w:hAnsi="宋体"/>
          <w:color w:val="auto"/>
          <w:szCs w:val="21"/>
          <w:highlight w:val="none"/>
        </w:rPr>
        <w:t>4. 监理人</w:t>
      </w:r>
    </w:p>
    <w:p w14:paraId="68AB9FCB">
      <w:pPr>
        <w:adjustRightInd/>
        <w:spacing w:line="296" w:lineRule="exact"/>
        <w:rPr>
          <w:rFonts w:hint="eastAsia" w:ascii="宋体" w:hAnsi="宋体"/>
          <w:color w:val="auto"/>
          <w:szCs w:val="21"/>
          <w:highlight w:val="none"/>
        </w:rPr>
      </w:pPr>
      <w:r>
        <w:rPr>
          <w:rFonts w:hint="eastAsia" w:ascii="宋体" w:hAnsi="宋体"/>
          <w:color w:val="auto"/>
          <w:szCs w:val="21"/>
          <w:highlight w:val="none"/>
        </w:rPr>
        <w:t>4.1监理人的一般规定</w:t>
      </w:r>
    </w:p>
    <w:p w14:paraId="1B1E2D0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4.2监理人员</w:t>
      </w:r>
    </w:p>
    <w:p w14:paraId="6FB1354F">
      <w:pPr>
        <w:adjustRightInd/>
        <w:spacing w:line="296" w:lineRule="exact"/>
        <w:rPr>
          <w:rFonts w:hint="eastAsia" w:ascii="宋体" w:hAnsi="宋体"/>
          <w:color w:val="auto"/>
          <w:szCs w:val="21"/>
          <w:highlight w:val="none"/>
        </w:rPr>
      </w:pPr>
      <w:r>
        <w:rPr>
          <w:rFonts w:hint="eastAsia" w:ascii="宋体" w:hAnsi="宋体"/>
          <w:color w:val="auto"/>
          <w:szCs w:val="21"/>
          <w:highlight w:val="none"/>
        </w:rPr>
        <w:t>4.3监理人的指示</w:t>
      </w:r>
    </w:p>
    <w:p w14:paraId="7C570F82">
      <w:pPr>
        <w:adjustRightInd/>
        <w:spacing w:line="296" w:lineRule="exact"/>
        <w:rPr>
          <w:rFonts w:hint="eastAsia" w:ascii="宋体" w:hAnsi="宋体"/>
          <w:color w:val="auto"/>
          <w:szCs w:val="21"/>
          <w:highlight w:val="none"/>
        </w:rPr>
      </w:pPr>
      <w:r>
        <w:rPr>
          <w:rFonts w:hint="eastAsia" w:ascii="宋体" w:hAnsi="宋体"/>
          <w:color w:val="auto"/>
          <w:szCs w:val="21"/>
          <w:highlight w:val="none"/>
        </w:rPr>
        <w:t>4.4 商定或确定</w:t>
      </w:r>
    </w:p>
    <w:p w14:paraId="32FAD926">
      <w:pPr>
        <w:adjustRightInd/>
        <w:spacing w:line="296" w:lineRule="exact"/>
        <w:rPr>
          <w:rFonts w:hint="eastAsia" w:ascii="宋体" w:hAnsi="宋体"/>
          <w:color w:val="auto"/>
          <w:szCs w:val="21"/>
          <w:highlight w:val="none"/>
        </w:rPr>
      </w:pPr>
      <w:r>
        <w:rPr>
          <w:rFonts w:hint="eastAsia" w:ascii="宋体" w:hAnsi="宋体"/>
          <w:color w:val="auto"/>
          <w:szCs w:val="21"/>
          <w:highlight w:val="none"/>
        </w:rPr>
        <w:t>5. 工程质量</w:t>
      </w:r>
    </w:p>
    <w:p w14:paraId="5C69686F">
      <w:pPr>
        <w:adjustRightInd/>
        <w:spacing w:line="296" w:lineRule="exact"/>
        <w:rPr>
          <w:rFonts w:hint="eastAsia" w:ascii="宋体" w:hAnsi="宋体"/>
          <w:color w:val="auto"/>
          <w:szCs w:val="21"/>
          <w:highlight w:val="none"/>
        </w:rPr>
      </w:pPr>
      <w:r>
        <w:rPr>
          <w:rFonts w:hint="eastAsia" w:ascii="宋体" w:hAnsi="宋体"/>
          <w:color w:val="auto"/>
          <w:szCs w:val="21"/>
          <w:highlight w:val="none"/>
        </w:rPr>
        <w:t>5.1质量要求</w:t>
      </w:r>
    </w:p>
    <w:p w14:paraId="52D85E2A">
      <w:pPr>
        <w:adjustRightInd/>
        <w:spacing w:line="296" w:lineRule="exact"/>
        <w:rPr>
          <w:rFonts w:hint="eastAsia" w:ascii="宋体" w:hAnsi="宋体"/>
          <w:color w:val="auto"/>
          <w:szCs w:val="21"/>
          <w:highlight w:val="none"/>
        </w:rPr>
      </w:pPr>
      <w:r>
        <w:rPr>
          <w:rFonts w:hint="eastAsia" w:ascii="宋体" w:hAnsi="宋体"/>
          <w:color w:val="auto"/>
          <w:szCs w:val="21"/>
          <w:highlight w:val="none"/>
        </w:rPr>
        <w:t>5.2质量保证措施</w:t>
      </w:r>
    </w:p>
    <w:p w14:paraId="51A1440E">
      <w:pPr>
        <w:adjustRightInd/>
        <w:spacing w:line="296" w:lineRule="exact"/>
        <w:rPr>
          <w:rFonts w:hint="eastAsia" w:ascii="宋体" w:hAnsi="宋体"/>
          <w:color w:val="auto"/>
          <w:szCs w:val="21"/>
          <w:highlight w:val="none"/>
        </w:rPr>
      </w:pPr>
      <w:r>
        <w:rPr>
          <w:rFonts w:hint="eastAsia" w:ascii="宋体" w:hAnsi="宋体"/>
          <w:color w:val="auto"/>
          <w:szCs w:val="21"/>
          <w:highlight w:val="none"/>
        </w:rPr>
        <w:t>5.3 隐蔽工程检查</w:t>
      </w:r>
    </w:p>
    <w:p w14:paraId="32BC9BE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5.4不合格工程的处理</w:t>
      </w:r>
    </w:p>
    <w:p w14:paraId="08B616C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5.5 质量争议检测</w:t>
      </w:r>
    </w:p>
    <w:p w14:paraId="4C94C80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6. 安全文明施工与环境保护</w:t>
      </w:r>
    </w:p>
    <w:p w14:paraId="02CA986D">
      <w:pPr>
        <w:adjustRightInd/>
        <w:spacing w:line="296" w:lineRule="exact"/>
        <w:rPr>
          <w:rFonts w:hint="eastAsia" w:ascii="宋体" w:hAnsi="宋体"/>
          <w:color w:val="auto"/>
          <w:szCs w:val="21"/>
          <w:highlight w:val="none"/>
        </w:rPr>
      </w:pPr>
      <w:r>
        <w:rPr>
          <w:rFonts w:hint="eastAsia" w:ascii="宋体" w:hAnsi="宋体"/>
          <w:color w:val="auto"/>
          <w:szCs w:val="21"/>
          <w:highlight w:val="none"/>
        </w:rPr>
        <w:t>6.1安全文明施工</w:t>
      </w:r>
    </w:p>
    <w:p w14:paraId="314645F2">
      <w:pPr>
        <w:adjustRightInd/>
        <w:spacing w:line="296" w:lineRule="exact"/>
        <w:rPr>
          <w:rFonts w:hint="eastAsia" w:ascii="宋体" w:hAnsi="宋体"/>
          <w:color w:val="auto"/>
          <w:szCs w:val="21"/>
          <w:highlight w:val="none"/>
        </w:rPr>
      </w:pPr>
      <w:r>
        <w:rPr>
          <w:rFonts w:hint="eastAsia" w:ascii="宋体" w:hAnsi="宋体"/>
          <w:color w:val="auto"/>
          <w:szCs w:val="21"/>
          <w:highlight w:val="none"/>
        </w:rPr>
        <w:t>6.2 职业健康</w:t>
      </w:r>
    </w:p>
    <w:p w14:paraId="6FF61F2B">
      <w:pPr>
        <w:adjustRightInd/>
        <w:spacing w:line="296" w:lineRule="exact"/>
        <w:rPr>
          <w:rFonts w:hint="eastAsia" w:ascii="宋体" w:hAnsi="宋体"/>
          <w:color w:val="auto"/>
          <w:szCs w:val="21"/>
          <w:highlight w:val="none"/>
        </w:rPr>
      </w:pPr>
      <w:r>
        <w:rPr>
          <w:rFonts w:hint="eastAsia" w:ascii="宋体" w:hAnsi="宋体"/>
          <w:color w:val="auto"/>
          <w:szCs w:val="21"/>
          <w:highlight w:val="none"/>
        </w:rPr>
        <w:t>6.3 环境保护</w:t>
      </w:r>
    </w:p>
    <w:p w14:paraId="5016A5B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7. 工期和进度</w:t>
      </w:r>
    </w:p>
    <w:p w14:paraId="0FDF2E8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7.1施工组织设计</w:t>
      </w:r>
    </w:p>
    <w:p w14:paraId="00089F8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7.2 施工进度计划</w:t>
      </w:r>
    </w:p>
    <w:p w14:paraId="65DBBCA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7.3 开工</w:t>
      </w:r>
    </w:p>
    <w:p w14:paraId="39E133A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7.4测量放线</w:t>
      </w:r>
    </w:p>
    <w:p w14:paraId="0F866A4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7.5工期延误</w:t>
      </w:r>
    </w:p>
    <w:p w14:paraId="32A6ED05">
      <w:pPr>
        <w:adjustRightInd/>
        <w:spacing w:line="296" w:lineRule="exact"/>
        <w:rPr>
          <w:rFonts w:hint="eastAsia" w:ascii="宋体" w:hAnsi="宋体"/>
          <w:color w:val="auto"/>
          <w:szCs w:val="21"/>
          <w:highlight w:val="none"/>
        </w:rPr>
      </w:pPr>
      <w:r>
        <w:rPr>
          <w:rFonts w:hint="eastAsia" w:ascii="宋体" w:hAnsi="宋体"/>
          <w:color w:val="auto"/>
          <w:szCs w:val="21"/>
          <w:highlight w:val="none"/>
        </w:rPr>
        <w:t>7.6 不利物质条件</w:t>
      </w:r>
    </w:p>
    <w:p w14:paraId="48DFB58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7.7异常恶劣的气候条件</w:t>
      </w:r>
    </w:p>
    <w:p w14:paraId="4942E3CA">
      <w:pPr>
        <w:adjustRightInd/>
        <w:spacing w:line="296" w:lineRule="exact"/>
        <w:rPr>
          <w:rFonts w:hint="eastAsia" w:ascii="宋体" w:hAnsi="宋体"/>
          <w:color w:val="auto"/>
          <w:szCs w:val="21"/>
          <w:highlight w:val="none"/>
        </w:rPr>
      </w:pPr>
      <w:r>
        <w:rPr>
          <w:rFonts w:hint="eastAsia" w:ascii="宋体" w:hAnsi="宋体"/>
          <w:color w:val="auto"/>
          <w:szCs w:val="21"/>
          <w:highlight w:val="none"/>
        </w:rPr>
        <w:t>7.8 暂停施工</w:t>
      </w:r>
    </w:p>
    <w:p w14:paraId="262992A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7.9 提前竣工</w:t>
      </w:r>
    </w:p>
    <w:p w14:paraId="23EAE09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8. 材料与设备</w:t>
      </w:r>
    </w:p>
    <w:p w14:paraId="04B6B9E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8.1发包人供应材料与工程设备</w:t>
      </w:r>
    </w:p>
    <w:p w14:paraId="7105A8FA">
      <w:pPr>
        <w:adjustRightInd/>
        <w:spacing w:line="296" w:lineRule="exact"/>
        <w:rPr>
          <w:rFonts w:hint="eastAsia" w:ascii="宋体" w:hAnsi="宋体"/>
          <w:color w:val="auto"/>
          <w:szCs w:val="21"/>
          <w:highlight w:val="none"/>
        </w:rPr>
      </w:pPr>
      <w:r>
        <w:rPr>
          <w:rFonts w:hint="eastAsia" w:ascii="宋体" w:hAnsi="宋体"/>
          <w:color w:val="auto"/>
          <w:szCs w:val="21"/>
          <w:highlight w:val="none"/>
        </w:rPr>
        <w:t>8.2承包人采购材料与工程设备</w:t>
      </w:r>
    </w:p>
    <w:p w14:paraId="01308086">
      <w:pPr>
        <w:adjustRightInd/>
        <w:spacing w:line="296" w:lineRule="exact"/>
        <w:rPr>
          <w:rFonts w:hint="eastAsia" w:ascii="宋体" w:hAnsi="宋体"/>
          <w:color w:val="auto"/>
          <w:szCs w:val="21"/>
          <w:highlight w:val="none"/>
        </w:rPr>
      </w:pPr>
      <w:r>
        <w:rPr>
          <w:rFonts w:hint="eastAsia" w:ascii="宋体" w:hAnsi="宋体"/>
          <w:color w:val="auto"/>
          <w:szCs w:val="21"/>
          <w:highlight w:val="none"/>
        </w:rPr>
        <w:t>8.3材料与工程设备的接收与拒收</w:t>
      </w:r>
    </w:p>
    <w:p w14:paraId="3CBF585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8.4材料与工程设备的保管与使用</w:t>
      </w:r>
    </w:p>
    <w:p w14:paraId="13ACDC46">
      <w:pPr>
        <w:adjustRightInd/>
        <w:spacing w:line="296" w:lineRule="exact"/>
        <w:rPr>
          <w:rFonts w:hint="eastAsia" w:ascii="宋体" w:hAnsi="宋体"/>
          <w:color w:val="auto"/>
          <w:szCs w:val="21"/>
          <w:highlight w:val="none"/>
        </w:rPr>
      </w:pPr>
      <w:r>
        <w:rPr>
          <w:rFonts w:hint="eastAsia" w:ascii="宋体" w:hAnsi="宋体"/>
          <w:color w:val="auto"/>
          <w:szCs w:val="21"/>
          <w:highlight w:val="none"/>
        </w:rPr>
        <w:t>8.5 禁止使用不合格的材料和工程设备</w:t>
      </w:r>
    </w:p>
    <w:p w14:paraId="698B202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8.6 样品</w:t>
      </w:r>
    </w:p>
    <w:p w14:paraId="195C5C65">
      <w:pPr>
        <w:adjustRightInd/>
        <w:spacing w:line="296" w:lineRule="exact"/>
        <w:rPr>
          <w:rFonts w:hint="eastAsia" w:ascii="宋体" w:hAnsi="宋体"/>
          <w:color w:val="auto"/>
          <w:szCs w:val="21"/>
          <w:highlight w:val="none"/>
        </w:rPr>
      </w:pPr>
      <w:r>
        <w:rPr>
          <w:rFonts w:hint="eastAsia" w:ascii="宋体" w:hAnsi="宋体"/>
          <w:color w:val="auto"/>
          <w:szCs w:val="21"/>
          <w:highlight w:val="none"/>
        </w:rPr>
        <w:t>8.7 材料与工程设备的替代</w:t>
      </w:r>
    </w:p>
    <w:p w14:paraId="07515055">
      <w:pPr>
        <w:adjustRightInd/>
        <w:spacing w:line="296" w:lineRule="exact"/>
        <w:rPr>
          <w:rFonts w:hint="eastAsia" w:ascii="宋体" w:hAnsi="宋体"/>
          <w:color w:val="auto"/>
          <w:szCs w:val="21"/>
          <w:highlight w:val="none"/>
        </w:rPr>
      </w:pPr>
      <w:r>
        <w:rPr>
          <w:rFonts w:hint="eastAsia" w:ascii="宋体" w:hAnsi="宋体"/>
          <w:color w:val="auto"/>
          <w:szCs w:val="21"/>
          <w:highlight w:val="none"/>
        </w:rPr>
        <w:t>8.8 施工设备和临时设施</w:t>
      </w:r>
    </w:p>
    <w:p w14:paraId="558384D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8.9材料与设备专用要求</w:t>
      </w:r>
    </w:p>
    <w:p w14:paraId="318C6CF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9. 试验与检验</w:t>
      </w:r>
    </w:p>
    <w:p w14:paraId="733D54C3">
      <w:pPr>
        <w:adjustRightInd/>
        <w:spacing w:line="296" w:lineRule="exact"/>
        <w:rPr>
          <w:rFonts w:hint="eastAsia" w:ascii="宋体" w:hAnsi="宋体"/>
          <w:color w:val="auto"/>
          <w:szCs w:val="21"/>
          <w:highlight w:val="none"/>
        </w:rPr>
      </w:pPr>
      <w:r>
        <w:rPr>
          <w:rFonts w:hint="eastAsia" w:ascii="宋体" w:hAnsi="宋体"/>
          <w:color w:val="auto"/>
          <w:szCs w:val="21"/>
          <w:highlight w:val="none"/>
        </w:rPr>
        <w:t>9.1试验设备与试验人员</w:t>
      </w:r>
    </w:p>
    <w:p w14:paraId="12E9A18C">
      <w:pPr>
        <w:adjustRightInd/>
        <w:spacing w:line="296" w:lineRule="exact"/>
        <w:rPr>
          <w:rFonts w:hint="eastAsia" w:ascii="宋体" w:hAnsi="宋体"/>
          <w:color w:val="auto"/>
          <w:szCs w:val="21"/>
          <w:highlight w:val="none"/>
        </w:rPr>
      </w:pPr>
      <w:r>
        <w:rPr>
          <w:rFonts w:hint="eastAsia" w:ascii="宋体" w:hAnsi="宋体"/>
          <w:color w:val="auto"/>
          <w:szCs w:val="21"/>
          <w:highlight w:val="none"/>
        </w:rPr>
        <w:t>9.2取样</w:t>
      </w:r>
    </w:p>
    <w:p w14:paraId="27E73022">
      <w:pPr>
        <w:adjustRightInd/>
        <w:spacing w:line="296" w:lineRule="exact"/>
        <w:rPr>
          <w:rFonts w:hint="eastAsia" w:ascii="宋体" w:hAnsi="宋体"/>
          <w:color w:val="auto"/>
          <w:szCs w:val="21"/>
          <w:highlight w:val="none"/>
        </w:rPr>
      </w:pPr>
      <w:r>
        <w:rPr>
          <w:rFonts w:hint="eastAsia" w:ascii="宋体" w:hAnsi="宋体"/>
          <w:color w:val="auto"/>
          <w:szCs w:val="21"/>
          <w:highlight w:val="none"/>
        </w:rPr>
        <w:t>9.3 材料、工程设备和工程的试验和检验</w:t>
      </w:r>
    </w:p>
    <w:p w14:paraId="6B2E4BA3">
      <w:pPr>
        <w:adjustRightInd/>
        <w:spacing w:line="296" w:lineRule="exact"/>
        <w:rPr>
          <w:rFonts w:hint="eastAsia" w:ascii="宋体" w:hAnsi="宋体"/>
          <w:color w:val="auto"/>
          <w:szCs w:val="21"/>
          <w:highlight w:val="none"/>
        </w:rPr>
      </w:pPr>
      <w:r>
        <w:rPr>
          <w:rFonts w:hint="eastAsia" w:ascii="宋体" w:hAnsi="宋体"/>
          <w:color w:val="auto"/>
          <w:szCs w:val="21"/>
          <w:highlight w:val="none"/>
        </w:rPr>
        <w:t>9.4 现场工艺试验</w:t>
      </w:r>
    </w:p>
    <w:p w14:paraId="6A188A66">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10. 变更</w:t>
      </w:r>
    </w:p>
    <w:p w14:paraId="4A825155">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10.1变更的范围</w:t>
      </w:r>
    </w:p>
    <w:p w14:paraId="04770166">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10.2 变更权</w:t>
      </w:r>
    </w:p>
    <w:p w14:paraId="647D5F86">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10.3变更程序</w:t>
      </w:r>
    </w:p>
    <w:p w14:paraId="38C67DBC">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10.4变更估价</w:t>
      </w:r>
    </w:p>
    <w:p w14:paraId="31D257E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10.5 承包人的合理化建议</w:t>
      </w:r>
    </w:p>
    <w:p w14:paraId="6D834B7A">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10.6 变更引起的工期调整</w:t>
      </w:r>
    </w:p>
    <w:p w14:paraId="60F36C3F">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10.7 暂估价</w:t>
      </w:r>
    </w:p>
    <w:p w14:paraId="758CA08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10.8 暂列金额</w:t>
      </w:r>
    </w:p>
    <w:p w14:paraId="2EF632C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10.9 计日工</w:t>
      </w:r>
    </w:p>
    <w:p w14:paraId="3605F174">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11. 价格调整</w:t>
      </w:r>
    </w:p>
    <w:p w14:paraId="1D0CB2BA">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11.1 市场价格波动引起的调整</w:t>
      </w:r>
    </w:p>
    <w:p w14:paraId="0B315D45">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11.2 法律变化引起的调整</w:t>
      </w:r>
    </w:p>
    <w:p w14:paraId="7FD3CF6B">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12. 合同价格、计量与支付</w:t>
      </w:r>
    </w:p>
    <w:p w14:paraId="7BC9344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12.1 合同价格形式</w:t>
      </w:r>
    </w:p>
    <w:p w14:paraId="70E7841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12.2 预付款</w:t>
      </w:r>
    </w:p>
    <w:p w14:paraId="7CC39A1B">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12.3 计量</w:t>
      </w:r>
    </w:p>
    <w:p w14:paraId="76FBF4B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12.4 工程进度款支付</w:t>
      </w:r>
    </w:p>
    <w:p w14:paraId="3AE81AE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12.5 支付账户</w:t>
      </w:r>
    </w:p>
    <w:p w14:paraId="755BC9BB">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13. 验收和工程试车</w:t>
      </w:r>
    </w:p>
    <w:p w14:paraId="5D56FA4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13.1 分部分项工程验收</w:t>
      </w:r>
    </w:p>
    <w:p w14:paraId="6CCC4CA2">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13.2竣工验收</w:t>
      </w:r>
    </w:p>
    <w:p w14:paraId="74A4D0B2">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13.3工程试车</w:t>
      </w:r>
    </w:p>
    <w:p w14:paraId="71E7219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13.4提前交付单位工程的验收</w:t>
      </w:r>
    </w:p>
    <w:p w14:paraId="4B009178">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13.5 施工期运行</w:t>
      </w:r>
    </w:p>
    <w:p w14:paraId="6FD98CEC">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13.6 竣工退场</w:t>
      </w:r>
    </w:p>
    <w:p w14:paraId="08001BE5">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14. 竣工结算</w:t>
      </w:r>
    </w:p>
    <w:p w14:paraId="073AD1DF">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14.1 竣工结算申请</w:t>
      </w:r>
    </w:p>
    <w:p w14:paraId="76921BE5">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14.2 竣工结算审核</w:t>
      </w:r>
    </w:p>
    <w:p w14:paraId="5E450FC2">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14.3 甩项竣工协议</w:t>
      </w:r>
    </w:p>
    <w:p w14:paraId="1A7A712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14.4 最终结清</w:t>
      </w:r>
    </w:p>
    <w:p w14:paraId="6653995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15. 缺陷责任与保修</w:t>
      </w:r>
    </w:p>
    <w:p w14:paraId="302DA273">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15.1 工程保修的原则</w:t>
      </w:r>
    </w:p>
    <w:p w14:paraId="61BDF07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15.2 缺陷责任期</w:t>
      </w:r>
    </w:p>
    <w:p w14:paraId="4EBDF0A6">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15.3 质量保证金</w:t>
      </w:r>
    </w:p>
    <w:p w14:paraId="67C5E2B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15.4 保修</w:t>
      </w:r>
    </w:p>
    <w:p w14:paraId="2D97CBEB">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16. 违约</w:t>
      </w:r>
    </w:p>
    <w:p w14:paraId="3376C1C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16.1 发包人违约</w:t>
      </w:r>
    </w:p>
    <w:p w14:paraId="6DF3B23F">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16.2 承包人违约</w:t>
      </w:r>
    </w:p>
    <w:p w14:paraId="390A106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16.3 第三人造成的违约</w:t>
      </w:r>
    </w:p>
    <w:p w14:paraId="52230585">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17. 不可抗力</w:t>
      </w:r>
    </w:p>
    <w:p w14:paraId="2497A692">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17.1 不可抗力的确认</w:t>
      </w:r>
    </w:p>
    <w:p w14:paraId="68DDEE0D">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17.2 不可抗力的通知</w:t>
      </w:r>
    </w:p>
    <w:p w14:paraId="25025FB6">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17.3 不可抗力后果的承担</w:t>
      </w:r>
    </w:p>
    <w:p w14:paraId="671E8DAD">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17.4 因不可抗力解除合同</w:t>
      </w:r>
    </w:p>
    <w:p w14:paraId="1A2E0768">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18. 保险</w:t>
      </w:r>
    </w:p>
    <w:p w14:paraId="72DEE74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18.1 工程保险</w:t>
      </w:r>
    </w:p>
    <w:p w14:paraId="6C5BD8CC">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18.2 工伤保险</w:t>
      </w:r>
    </w:p>
    <w:p w14:paraId="1A98FEED">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18.3 其他保险</w:t>
      </w:r>
    </w:p>
    <w:p w14:paraId="7A78847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18.4 持续保险</w:t>
      </w:r>
    </w:p>
    <w:p w14:paraId="7C7EB62C">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18.5 保险凭证</w:t>
      </w:r>
    </w:p>
    <w:p w14:paraId="241FBA62">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18.6 未按约定投保的补救</w:t>
      </w:r>
    </w:p>
    <w:p w14:paraId="703E19F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18.7 通知义务</w:t>
      </w:r>
    </w:p>
    <w:p w14:paraId="19761250">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19. 索赔</w:t>
      </w:r>
    </w:p>
    <w:p w14:paraId="61A93FEE">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19.1 承包人的索赔</w:t>
      </w:r>
    </w:p>
    <w:p w14:paraId="3506887F">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19.2 对承包人索赔的处理</w:t>
      </w:r>
    </w:p>
    <w:p w14:paraId="56AF2D5A">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19.3 发包人的索赔</w:t>
      </w:r>
    </w:p>
    <w:p w14:paraId="196BBEE6">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19.4 对发包人索赔的处理</w:t>
      </w:r>
    </w:p>
    <w:p w14:paraId="558731EE">
      <w:pPr>
        <w:adjustRightInd/>
        <w:spacing w:line="296" w:lineRule="exact"/>
        <w:rPr>
          <w:rFonts w:hint="eastAsia" w:ascii="宋体" w:hAnsi="宋体"/>
          <w:color w:val="auto"/>
          <w:szCs w:val="21"/>
          <w:highlight w:val="none"/>
        </w:rPr>
      </w:pPr>
      <w:r>
        <w:rPr>
          <w:rFonts w:hint="eastAsia" w:ascii="宋体" w:hAnsi="宋体"/>
          <w:color w:val="auto"/>
          <w:szCs w:val="21"/>
          <w:highlight w:val="none"/>
        </w:rPr>
        <w:t>19.5 提出索赔的期限</w:t>
      </w:r>
    </w:p>
    <w:p w14:paraId="3E935007">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20. 争议解决</w:t>
      </w:r>
    </w:p>
    <w:p w14:paraId="3471EAD8">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20.1和解</w:t>
      </w:r>
    </w:p>
    <w:p w14:paraId="114B3331">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20.2调解</w:t>
      </w:r>
    </w:p>
    <w:p w14:paraId="0CF7A6A9">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20.3争议评审</w:t>
      </w:r>
    </w:p>
    <w:p w14:paraId="13C15C4B">
      <w:pPr>
        <w:adjustRightInd/>
        <w:spacing w:line="296" w:lineRule="exact"/>
        <w:rPr>
          <w:rFonts w:hint="eastAsia" w:ascii="宋体" w:hAnsi="宋体"/>
          <w:color w:val="auto"/>
          <w:szCs w:val="21"/>
          <w:highlight w:val="none"/>
        </w:rPr>
      </w:pPr>
      <w:r>
        <w:rPr>
          <w:rFonts w:hint="eastAsia" w:ascii="宋体" w:hAnsi="宋体"/>
          <w:color w:val="auto"/>
          <w:szCs w:val="21"/>
          <w:highlight w:val="none"/>
        </w:rPr>
        <w:t>20.4仲裁或诉讼</w:t>
      </w:r>
    </w:p>
    <w:p w14:paraId="7BFE53E1">
      <w:pPr>
        <w:adjustRightInd/>
        <w:spacing w:line="296" w:lineRule="exact"/>
        <w:rPr>
          <w:rFonts w:hint="eastAsia" w:ascii="宋体" w:hAnsi="宋体"/>
          <w:color w:val="auto"/>
          <w:sz w:val="24"/>
          <w:highlight w:val="none"/>
        </w:rPr>
      </w:pPr>
      <w:r>
        <w:rPr>
          <w:rFonts w:hint="eastAsia" w:ascii="宋体" w:hAnsi="宋体"/>
          <w:color w:val="auto"/>
          <w:szCs w:val="21"/>
          <w:highlight w:val="none"/>
        </w:rPr>
        <w:t>20.5争议解决条款效力</w:t>
      </w:r>
    </w:p>
    <w:p w14:paraId="66E4C623">
      <w:pPr>
        <w:rPr>
          <w:rFonts w:hint="eastAsia" w:hAnsi="宋体"/>
          <w:color w:val="auto"/>
          <w:sz w:val="28"/>
          <w:szCs w:val="28"/>
          <w:highlight w:val="none"/>
        </w:rPr>
      </w:pPr>
    </w:p>
    <w:p w14:paraId="71922007">
      <w:pPr>
        <w:pStyle w:val="5"/>
        <w:jc w:val="center"/>
        <w:rPr>
          <w:color w:val="auto"/>
          <w:sz w:val="32"/>
          <w:szCs w:val="32"/>
          <w:highlight w:val="none"/>
        </w:rPr>
      </w:pPr>
      <w:r>
        <w:rPr>
          <w:rFonts w:hint="eastAsia"/>
          <w:color w:val="auto"/>
          <w:sz w:val="32"/>
          <w:szCs w:val="32"/>
          <w:highlight w:val="none"/>
        </w:rPr>
        <w:t>第三部分 专用合同条款</w:t>
      </w:r>
    </w:p>
    <w:p w14:paraId="0DE39B4A">
      <w:pPr>
        <w:pStyle w:val="8"/>
        <w:spacing w:before="0" w:after="0" w:line="300" w:lineRule="auto"/>
        <w:rPr>
          <w:rFonts w:ascii="Times New Roman" w:hAnsi="Times New Roman"/>
          <w:b w:val="0"/>
          <w:color w:val="auto"/>
          <w:sz w:val="24"/>
          <w:szCs w:val="24"/>
          <w:highlight w:val="none"/>
        </w:rPr>
      </w:pPr>
      <w:bookmarkStart w:id="477" w:name="_Toc351203633"/>
      <w:r>
        <w:rPr>
          <w:rFonts w:ascii="Times New Roman" w:hAnsi="Times New Roman"/>
          <w:b w:val="0"/>
          <w:color w:val="auto"/>
          <w:sz w:val="24"/>
          <w:szCs w:val="24"/>
          <w:highlight w:val="none"/>
        </w:rPr>
        <w:t>1</w:t>
      </w:r>
      <w:bookmarkStart w:id="478" w:name="_Toc292559866"/>
      <w:bookmarkStart w:id="479" w:name="_Toc297048342"/>
      <w:bookmarkStart w:id="480" w:name="_Toc297120456"/>
      <w:bookmarkStart w:id="481" w:name="_Toc296347155"/>
      <w:bookmarkStart w:id="482" w:name="_Toc292559361"/>
      <w:bookmarkStart w:id="483" w:name="_Toc296891196"/>
      <w:bookmarkStart w:id="484" w:name="_Toc296503156"/>
      <w:bookmarkStart w:id="485" w:name="_Toc296346657"/>
      <w:bookmarkStart w:id="486" w:name="_Toc296890984"/>
      <w:bookmarkStart w:id="487" w:name="_Toc296944495"/>
      <w:r>
        <w:rPr>
          <w:rFonts w:ascii="Times New Roman" w:hAnsi="Times New Roman"/>
          <w:b w:val="0"/>
          <w:color w:val="auto"/>
          <w:sz w:val="24"/>
          <w:szCs w:val="24"/>
          <w:highlight w:val="none"/>
        </w:rPr>
        <w:t>. 一般约定</w:t>
      </w:r>
      <w:bookmarkEnd w:id="477"/>
    </w:p>
    <w:bookmarkEnd w:id="478"/>
    <w:bookmarkEnd w:id="479"/>
    <w:bookmarkEnd w:id="480"/>
    <w:bookmarkEnd w:id="481"/>
    <w:bookmarkEnd w:id="482"/>
    <w:bookmarkEnd w:id="483"/>
    <w:bookmarkEnd w:id="484"/>
    <w:bookmarkEnd w:id="485"/>
    <w:bookmarkEnd w:id="486"/>
    <w:bookmarkEnd w:id="487"/>
    <w:p w14:paraId="6FC92B57">
      <w:pPr>
        <w:adjustRightInd/>
        <w:spacing w:line="300" w:lineRule="auto"/>
        <w:ind w:firstLine="420" w:firstLineChars="175"/>
        <w:rPr>
          <w:rFonts w:eastAsia="黑体"/>
          <w:color w:val="auto"/>
          <w:sz w:val="24"/>
          <w:highlight w:val="none"/>
        </w:rPr>
      </w:pPr>
      <w:r>
        <w:rPr>
          <w:rFonts w:eastAsia="黑体"/>
          <w:color w:val="auto"/>
          <w:sz w:val="24"/>
          <w:highlight w:val="none"/>
        </w:rPr>
        <w:t>1.1 词语定义</w:t>
      </w:r>
    </w:p>
    <w:p w14:paraId="1390910F">
      <w:pPr>
        <w:adjustRightInd/>
        <w:spacing w:line="300" w:lineRule="auto"/>
        <w:ind w:firstLine="420" w:firstLineChars="175"/>
        <w:rPr>
          <w:rFonts w:eastAsia="仿宋_GB2312"/>
          <w:color w:val="auto"/>
          <w:sz w:val="24"/>
          <w:highlight w:val="none"/>
        </w:rPr>
      </w:pPr>
      <w:r>
        <w:rPr>
          <w:rFonts w:eastAsia="仿宋_GB2312"/>
          <w:color w:val="auto"/>
          <w:sz w:val="24"/>
          <w:highlight w:val="none"/>
        </w:rPr>
        <w:t>1.1.1合同</w:t>
      </w:r>
    </w:p>
    <w:p w14:paraId="2C19A805">
      <w:pPr>
        <w:adjustRightInd/>
        <w:spacing w:line="300" w:lineRule="auto"/>
        <w:ind w:firstLine="420" w:firstLineChars="175"/>
        <w:rPr>
          <w:rFonts w:eastAsia="仿宋_GB2312"/>
          <w:color w:val="auto"/>
          <w:sz w:val="24"/>
          <w:highlight w:val="none"/>
        </w:rPr>
      </w:pPr>
      <w:r>
        <w:rPr>
          <w:rFonts w:eastAsia="仿宋_GB2312"/>
          <w:color w:val="auto"/>
          <w:sz w:val="24"/>
          <w:highlight w:val="none"/>
        </w:rPr>
        <w:t>1.1.1.10其他合同文件包括：</w:t>
      </w:r>
    </w:p>
    <w:p w14:paraId="6F4F8ACD">
      <w:pPr>
        <w:autoSpaceDE w:val="0"/>
        <w:autoSpaceDN w:val="0"/>
        <w:adjustRightInd/>
        <w:spacing w:line="300" w:lineRule="auto"/>
        <w:ind w:left="596" w:leftChars="284"/>
        <w:rPr>
          <w:rFonts w:ascii="仿宋_GB2312" w:eastAsia="仿宋_GB2312"/>
          <w:b/>
          <w:color w:val="auto"/>
          <w:sz w:val="24"/>
          <w:highlight w:val="none"/>
          <w:u w:val="single"/>
        </w:rPr>
      </w:pPr>
      <w:r>
        <w:rPr>
          <w:rFonts w:hint="eastAsia" w:ascii="仿宋_GB2312" w:eastAsia="仿宋_GB2312"/>
          <w:b/>
          <w:color w:val="auto"/>
          <w:sz w:val="24"/>
          <w:highlight w:val="none"/>
          <w:u w:val="single"/>
        </w:rPr>
        <w:t>经发包人确认施工组织设计：施工组织设计是用来指导施工项目全过程各项活动的技术、经济和组织的综合性文件。</w:t>
      </w:r>
    </w:p>
    <w:p w14:paraId="598CC325">
      <w:pPr>
        <w:pStyle w:val="897"/>
        <w:spacing w:line="300" w:lineRule="auto"/>
        <w:ind w:left="420" w:firstLine="482"/>
        <w:rPr>
          <w:rFonts w:ascii="仿宋_GB2312" w:hAnsi="Tahoma" w:eastAsia="仿宋_GB2312"/>
          <w:b/>
          <w:color w:val="auto"/>
          <w:highlight w:val="none"/>
          <w:u w:val="single"/>
        </w:rPr>
      </w:pPr>
      <w:r>
        <w:rPr>
          <w:rFonts w:ascii="仿宋_GB2312" w:hAnsi="Tahoma" w:eastAsia="仿宋_GB2312"/>
          <w:b/>
          <w:color w:val="auto"/>
          <w:highlight w:val="none"/>
          <w:u w:val="single"/>
        </w:rPr>
        <w:t>投标文件中除投标函及其附录和已标价工程量清单或预算书外的其它文件</w:t>
      </w:r>
      <w:r>
        <w:rPr>
          <w:rFonts w:hint="eastAsia" w:ascii="仿宋_GB2312" w:hAnsi="Tahoma" w:eastAsia="仿宋_GB2312"/>
          <w:b/>
          <w:color w:val="auto"/>
          <w:highlight w:val="none"/>
          <w:u w:val="single"/>
        </w:rPr>
        <w:t>。</w:t>
      </w:r>
    </w:p>
    <w:p w14:paraId="08275935">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1.1.2 合同当事人及其他相关方</w:t>
      </w:r>
    </w:p>
    <w:p w14:paraId="6895F5E8">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1.1.2.4监理人：</w:t>
      </w:r>
    </w:p>
    <w:p w14:paraId="5C07B333">
      <w:pPr>
        <w:adjustRightInd/>
        <w:spacing w:line="300" w:lineRule="auto"/>
        <w:ind w:firstLine="480" w:firstLineChars="200"/>
        <w:rPr>
          <w:rFonts w:eastAsia="仿宋_GB2312"/>
          <w:color w:val="auto"/>
          <w:sz w:val="24"/>
          <w:highlight w:val="none"/>
        </w:rPr>
      </w:pPr>
      <w:r>
        <w:rPr>
          <w:rFonts w:eastAsia="仿宋_GB2312"/>
          <w:color w:val="auto"/>
          <w:sz w:val="24"/>
          <w:highlight w:val="none"/>
        </w:rPr>
        <w:t>名    称：</w:t>
      </w:r>
      <w:r>
        <w:rPr>
          <w:rFonts w:eastAsia="仿宋_GB2312"/>
          <w:color w:val="auto"/>
          <w:sz w:val="24"/>
          <w:highlight w:val="none"/>
          <w:u w:val="single"/>
        </w:rPr>
        <w:t xml:space="preserve">    </w:t>
      </w:r>
      <w:r>
        <w:rPr>
          <w:rFonts w:eastAsia="仿宋_GB2312"/>
          <w:color w:val="auto"/>
          <w:sz w:val="24"/>
          <w:highlight w:val="none"/>
        </w:rPr>
        <w:t>；</w:t>
      </w:r>
    </w:p>
    <w:p w14:paraId="2E729747">
      <w:pPr>
        <w:adjustRightInd/>
        <w:spacing w:line="300" w:lineRule="auto"/>
        <w:ind w:firstLine="480" w:firstLineChars="200"/>
        <w:rPr>
          <w:rFonts w:eastAsia="仿宋_GB2312"/>
          <w:color w:val="auto"/>
          <w:sz w:val="24"/>
          <w:highlight w:val="none"/>
        </w:rPr>
      </w:pPr>
      <w:r>
        <w:rPr>
          <w:rFonts w:eastAsia="仿宋_GB2312"/>
          <w:color w:val="auto"/>
          <w:sz w:val="24"/>
          <w:highlight w:val="none"/>
        </w:rPr>
        <w:t>资质类别和等级：</w:t>
      </w:r>
      <w:r>
        <w:rPr>
          <w:rFonts w:eastAsia="仿宋_GB2312"/>
          <w:color w:val="auto"/>
          <w:sz w:val="24"/>
          <w:highlight w:val="none"/>
          <w:u w:val="single"/>
        </w:rPr>
        <w:t>  </w:t>
      </w:r>
      <w:r>
        <w:rPr>
          <w:rFonts w:eastAsia="仿宋_GB2312"/>
          <w:color w:val="auto"/>
          <w:sz w:val="24"/>
          <w:highlight w:val="none"/>
        </w:rPr>
        <w:t>；</w:t>
      </w:r>
    </w:p>
    <w:p w14:paraId="7D2239E8">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联系电话：</w:t>
      </w:r>
      <w:r>
        <w:rPr>
          <w:rFonts w:eastAsia="仿宋_GB2312"/>
          <w:color w:val="auto"/>
          <w:sz w:val="24"/>
          <w:highlight w:val="none"/>
          <w:u w:val="single"/>
        </w:rPr>
        <w:t>    </w:t>
      </w:r>
      <w:r>
        <w:rPr>
          <w:rFonts w:eastAsia="仿宋_GB2312"/>
          <w:color w:val="auto"/>
          <w:sz w:val="24"/>
          <w:highlight w:val="none"/>
        </w:rPr>
        <w:t>；</w:t>
      </w:r>
    </w:p>
    <w:p w14:paraId="2514858D">
      <w:pPr>
        <w:adjustRightInd/>
        <w:spacing w:line="300" w:lineRule="auto"/>
        <w:ind w:firstLine="480" w:firstLineChars="200"/>
        <w:rPr>
          <w:rFonts w:eastAsia="仿宋_GB2312"/>
          <w:color w:val="auto"/>
          <w:sz w:val="24"/>
          <w:highlight w:val="none"/>
        </w:rPr>
      </w:pPr>
      <w:r>
        <w:rPr>
          <w:rFonts w:eastAsia="仿宋_GB2312"/>
          <w:color w:val="auto"/>
          <w:sz w:val="24"/>
          <w:highlight w:val="none"/>
        </w:rPr>
        <w:t>电子信箱：</w:t>
      </w:r>
      <w:r>
        <w:rPr>
          <w:rFonts w:eastAsia="仿宋_GB2312"/>
          <w:color w:val="auto"/>
          <w:sz w:val="24"/>
          <w:highlight w:val="none"/>
          <w:u w:val="single"/>
        </w:rPr>
        <w:t>   </w:t>
      </w:r>
      <w:r>
        <w:rPr>
          <w:rFonts w:eastAsia="仿宋_GB2312"/>
          <w:color w:val="auto"/>
          <w:sz w:val="24"/>
          <w:highlight w:val="none"/>
        </w:rPr>
        <w:t>；</w:t>
      </w:r>
    </w:p>
    <w:p w14:paraId="1F5426E6">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通信地址：</w:t>
      </w:r>
      <w:r>
        <w:rPr>
          <w:rFonts w:eastAsia="仿宋_GB2312"/>
          <w:color w:val="auto"/>
          <w:sz w:val="24"/>
          <w:highlight w:val="none"/>
          <w:u w:val="single"/>
        </w:rPr>
        <w:t>    </w:t>
      </w:r>
      <w:r>
        <w:rPr>
          <w:rFonts w:eastAsia="仿宋_GB2312"/>
          <w:color w:val="auto"/>
          <w:sz w:val="24"/>
          <w:highlight w:val="none"/>
        </w:rPr>
        <w:t>。</w:t>
      </w:r>
    </w:p>
    <w:p w14:paraId="7A6513A0">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1.1.2.5 设计人：</w:t>
      </w:r>
    </w:p>
    <w:p w14:paraId="12AEEBAC">
      <w:pPr>
        <w:adjustRightInd/>
        <w:spacing w:line="300" w:lineRule="auto"/>
        <w:ind w:firstLine="480" w:firstLineChars="200"/>
        <w:rPr>
          <w:rFonts w:eastAsia="仿宋_GB2312"/>
          <w:color w:val="auto"/>
          <w:sz w:val="24"/>
          <w:highlight w:val="none"/>
        </w:rPr>
      </w:pPr>
      <w:r>
        <w:rPr>
          <w:rFonts w:eastAsia="仿宋_GB2312"/>
          <w:color w:val="auto"/>
          <w:sz w:val="24"/>
          <w:highlight w:val="none"/>
        </w:rPr>
        <w:t>名    称：</w:t>
      </w:r>
      <w:r>
        <w:rPr>
          <w:rFonts w:eastAsia="仿宋_GB2312"/>
          <w:color w:val="auto"/>
          <w:sz w:val="24"/>
          <w:highlight w:val="none"/>
          <w:u w:val="single"/>
        </w:rPr>
        <w:t xml:space="preserve">    </w:t>
      </w:r>
      <w:r>
        <w:rPr>
          <w:rFonts w:eastAsia="仿宋_GB2312"/>
          <w:color w:val="auto"/>
          <w:sz w:val="24"/>
          <w:highlight w:val="none"/>
        </w:rPr>
        <w:t>；</w:t>
      </w:r>
    </w:p>
    <w:p w14:paraId="5B93D36A">
      <w:pPr>
        <w:adjustRightInd/>
        <w:spacing w:line="300" w:lineRule="auto"/>
        <w:ind w:firstLine="480" w:firstLineChars="200"/>
        <w:rPr>
          <w:rFonts w:eastAsia="仿宋_GB2312"/>
          <w:color w:val="auto"/>
          <w:sz w:val="24"/>
          <w:highlight w:val="none"/>
        </w:rPr>
      </w:pPr>
      <w:r>
        <w:rPr>
          <w:rFonts w:eastAsia="仿宋_GB2312"/>
          <w:color w:val="auto"/>
          <w:sz w:val="24"/>
          <w:highlight w:val="none"/>
        </w:rPr>
        <w:t>资质类别和等级：</w:t>
      </w:r>
      <w:r>
        <w:rPr>
          <w:rFonts w:eastAsia="仿宋_GB2312"/>
          <w:color w:val="auto"/>
          <w:sz w:val="24"/>
          <w:highlight w:val="none"/>
          <w:u w:val="single"/>
        </w:rPr>
        <w:t></w:t>
      </w:r>
      <w:r>
        <w:rPr>
          <w:rFonts w:eastAsia="仿宋_GB2312"/>
          <w:color w:val="auto"/>
          <w:sz w:val="24"/>
          <w:highlight w:val="none"/>
        </w:rPr>
        <w:t>；</w:t>
      </w:r>
    </w:p>
    <w:p w14:paraId="5122709C">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联系电话：</w:t>
      </w:r>
      <w:r>
        <w:rPr>
          <w:rFonts w:eastAsia="仿宋_GB2312"/>
          <w:color w:val="auto"/>
          <w:sz w:val="24"/>
          <w:highlight w:val="none"/>
          <w:u w:val="single"/>
        </w:rPr>
        <w:t>    </w:t>
      </w:r>
      <w:r>
        <w:rPr>
          <w:rFonts w:eastAsia="仿宋_GB2312"/>
          <w:color w:val="auto"/>
          <w:sz w:val="24"/>
          <w:highlight w:val="none"/>
        </w:rPr>
        <w:t>；</w:t>
      </w:r>
    </w:p>
    <w:p w14:paraId="3146E81D">
      <w:pPr>
        <w:adjustRightInd/>
        <w:spacing w:line="300" w:lineRule="auto"/>
        <w:ind w:firstLine="480" w:firstLineChars="200"/>
        <w:rPr>
          <w:rFonts w:eastAsia="仿宋_GB2312"/>
          <w:color w:val="auto"/>
          <w:sz w:val="24"/>
          <w:highlight w:val="none"/>
        </w:rPr>
      </w:pPr>
      <w:r>
        <w:rPr>
          <w:rFonts w:eastAsia="仿宋_GB2312"/>
          <w:color w:val="auto"/>
          <w:sz w:val="24"/>
          <w:highlight w:val="none"/>
        </w:rPr>
        <w:t>电子信箱：</w:t>
      </w:r>
      <w:r>
        <w:rPr>
          <w:rFonts w:eastAsia="仿宋_GB2312"/>
          <w:color w:val="auto"/>
          <w:sz w:val="24"/>
          <w:highlight w:val="none"/>
          <w:u w:val="single"/>
        </w:rPr>
        <w:t>    </w:t>
      </w:r>
      <w:r>
        <w:rPr>
          <w:rFonts w:eastAsia="仿宋_GB2312"/>
          <w:color w:val="auto"/>
          <w:sz w:val="24"/>
          <w:highlight w:val="none"/>
        </w:rPr>
        <w:t>；</w:t>
      </w:r>
    </w:p>
    <w:p w14:paraId="08437967">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通信地址：</w:t>
      </w:r>
      <w:r>
        <w:rPr>
          <w:rFonts w:eastAsia="仿宋_GB2312"/>
          <w:color w:val="auto"/>
          <w:sz w:val="24"/>
          <w:highlight w:val="none"/>
          <w:u w:val="single"/>
        </w:rPr>
        <w:t>    </w:t>
      </w:r>
      <w:r>
        <w:rPr>
          <w:rFonts w:eastAsia="仿宋_GB2312"/>
          <w:color w:val="auto"/>
          <w:sz w:val="24"/>
          <w:highlight w:val="none"/>
        </w:rPr>
        <w:t>。</w:t>
      </w:r>
    </w:p>
    <w:p w14:paraId="1F95283B">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1.1.3 工程和设备</w:t>
      </w:r>
    </w:p>
    <w:p w14:paraId="383521AC">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1.1.3.7 作为施工现场组成部分的其他场所包括：</w:t>
      </w:r>
      <w:r>
        <w:rPr>
          <w:rFonts w:hint="eastAsia" w:eastAsia="仿宋_GB2312"/>
          <w:color w:val="auto"/>
          <w:sz w:val="24"/>
          <w:highlight w:val="none"/>
          <w:u w:val="single"/>
        </w:rPr>
        <w:t xml:space="preserve">指用于工程施工的场所 </w:t>
      </w:r>
      <w:r>
        <w:rPr>
          <w:rFonts w:eastAsia="仿宋_GB2312"/>
          <w:color w:val="auto"/>
          <w:sz w:val="24"/>
          <w:highlight w:val="none"/>
        </w:rPr>
        <w:t>。</w:t>
      </w:r>
    </w:p>
    <w:p w14:paraId="69598CD6">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1.1.3.9 永久占地包括：</w:t>
      </w:r>
      <w:r>
        <w:rPr>
          <w:rFonts w:hint="eastAsia" w:eastAsia="仿宋_GB2312"/>
          <w:color w:val="auto"/>
          <w:sz w:val="24"/>
          <w:highlight w:val="none"/>
          <w:u w:val="single"/>
        </w:rPr>
        <w:t>规划红线范围内为实施本工程需永久占用的土地</w:t>
      </w:r>
      <w:r>
        <w:rPr>
          <w:rFonts w:eastAsia="仿宋_GB2312"/>
          <w:color w:val="auto"/>
          <w:sz w:val="24"/>
          <w:highlight w:val="none"/>
        </w:rPr>
        <w:t>。</w:t>
      </w:r>
    </w:p>
    <w:p w14:paraId="2B7CE747">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1.1.3.10 临时占地包括：</w:t>
      </w:r>
      <w:r>
        <w:rPr>
          <w:rFonts w:hint="eastAsia" w:eastAsia="仿宋_GB2312"/>
          <w:color w:val="auto"/>
          <w:sz w:val="24"/>
          <w:highlight w:val="none"/>
          <w:u w:val="single"/>
        </w:rPr>
        <w:t>永久占地之外红线范围外为配合施工需要临时占用的土地，招标文件有另行规定的，以招标文件为准</w:t>
      </w:r>
      <w:r>
        <w:rPr>
          <w:rFonts w:eastAsia="仿宋_GB2312"/>
          <w:color w:val="auto"/>
          <w:sz w:val="24"/>
          <w:highlight w:val="none"/>
          <w:u w:val="single"/>
        </w:rPr>
        <w:t>。</w:t>
      </w:r>
    </w:p>
    <w:p w14:paraId="71C15A18">
      <w:pPr>
        <w:adjustRightInd/>
        <w:spacing w:line="300" w:lineRule="auto"/>
        <w:ind w:firstLine="480" w:firstLineChars="200"/>
        <w:rPr>
          <w:rFonts w:eastAsia="黑体"/>
          <w:color w:val="auto"/>
          <w:sz w:val="24"/>
          <w:highlight w:val="none"/>
        </w:rPr>
      </w:pPr>
      <w:r>
        <w:rPr>
          <w:rFonts w:eastAsia="黑体"/>
          <w:color w:val="auto"/>
          <w:sz w:val="24"/>
          <w:highlight w:val="none"/>
        </w:rPr>
        <w:t xml:space="preserve">1.3法律 </w:t>
      </w:r>
    </w:p>
    <w:p w14:paraId="21AA399D">
      <w:pPr>
        <w:autoSpaceDE w:val="0"/>
        <w:autoSpaceDN w:val="0"/>
        <w:adjustRightInd/>
        <w:spacing w:line="300" w:lineRule="auto"/>
        <w:ind w:left="596" w:leftChars="284"/>
        <w:rPr>
          <w:rFonts w:eastAsia="仿宋_GB2312"/>
          <w:color w:val="auto"/>
          <w:sz w:val="24"/>
          <w:highlight w:val="none"/>
        </w:rPr>
      </w:pPr>
      <w:r>
        <w:rPr>
          <w:rFonts w:eastAsia="仿宋_GB2312"/>
          <w:color w:val="auto"/>
          <w:sz w:val="24"/>
          <w:highlight w:val="none"/>
        </w:rPr>
        <w:t>适用于合同的其他规范性文件：</w:t>
      </w:r>
    </w:p>
    <w:p w14:paraId="1A710F48">
      <w:pPr>
        <w:pStyle w:val="45"/>
        <w:tabs>
          <w:tab w:val="right" w:leader="dot" w:pos="8296"/>
        </w:tabs>
        <w:ind w:left="567" w:leftChars="27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1.3.1  《杭州市建设工程工程量清单计价实施细则》(杭建市发〔2018〕578号)；</w:t>
      </w:r>
    </w:p>
    <w:p w14:paraId="7E640F6D">
      <w:pPr>
        <w:pStyle w:val="45"/>
        <w:tabs>
          <w:tab w:val="right" w:leader="dot" w:pos="8296"/>
        </w:tabs>
        <w:ind w:left="567" w:leftChars="27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1.3.2  《关于进一步加强杭州市建设工程市场要素价格动态管理 的指导意见》（杭建市发〔2018〕579号）；</w:t>
      </w:r>
    </w:p>
    <w:p w14:paraId="5FB0B35E">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1.3.3  省市建设行政部门颁发的其他现行有效文件(包括但不仅限于以下文件)：</w:t>
      </w:r>
    </w:p>
    <w:p w14:paraId="18DE1736">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（1）《关于转发省建设厅&lt;关于进一步加强建筑施工领域企业安全生产工作的实施意见&gt;的通知》（杭建工发〔2011〕130号）；</w:t>
      </w:r>
    </w:p>
    <w:p w14:paraId="1B2D21F9">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（2）《关于进一步加强建设工程安全质量物联网管理应用平台建设的通知》（杭建工发〔2012〕426号）；</w:t>
      </w:r>
    </w:p>
    <w:p w14:paraId="2D7D1F81">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（3）《关于开展建筑工程扬尘在线监测设施安装工作的通知》（杭建工〔2019〕103号）；</w:t>
      </w:r>
    </w:p>
    <w:p w14:paraId="342E6DBB">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（4）《关于巩固G20杭州峰会成果进一步加强建设工程文明施工管理的若干意见》（杭建工发〔2017〕112号）；</w:t>
      </w:r>
    </w:p>
    <w:p w14:paraId="74347EEA">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（5）《杭州市建设领域农民工“无欠薪”管理实施细则（试行）》（杭建市〔2018〕161号）；</w:t>
      </w:r>
    </w:p>
    <w:p w14:paraId="1CF5CB00">
      <w:pPr>
        <w:pStyle w:val="45"/>
        <w:tabs>
          <w:tab w:val="right" w:leader="dot" w:pos="8296"/>
        </w:tabs>
        <w:ind w:left="458" w:leftChars="218"/>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（6）《关于在全省工程建设领域改革保证金制度的通知》浙建【2020】7号；</w:t>
      </w:r>
    </w:p>
    <w:p w14:paraId="1C79795F">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（7）关于印发《杭州市建设工地扬尘污染防治细则》和《杭州 市道路施工扬尘污染防治细则》的函 </w:t>
      </w:r>
    </w:p>
    <w:p w14:paraId="7B31F817">
      <w:pPr>
        <w:autoSpaceDE w:val="0"/>
        <w:autoSpaceDN w:val="0"/>
        <w:adjustRightInd/>
        <w:spacing w:line="300" w:lineRule="auto"/>
        <w:ind w:firstLine="482" w:firstLineChars="200"/>
        <w:rPr>
          <w:rFonts w:ascii="仿宋_GB2312" w:eastAsia="仿宋_GB2312"/>
          <w:b/>
          <w:color w:val="auto"/>
          <w:sz w:val="24"/>
          <w:highlight w:val="none"/>
          <w:u w:val="single"/>
        </w:rPr>
      </w:pPr>
      <w:r>
        <w:rPr>
          <w:rFonts w:hint="eastAsia" w:ascii="仿宋_GB2312" w:eastAsia="仿宋_GB2312"/>
          <w:b/>
          <w:color w:val="auto"/>
          <w:sz w:val="24"/>
          <w:highlight w:val="none"/>
          <w:u w:val="single"/>
        </w:rPr>
        <w:t>（8）其他：</w:t>
      </w:r>
    </w:p>
    <w:p w14:paraId="47078E9B">
      <w:pPr>
        <w:autoSpaceDE w:val="0"/>
        <w:autoSpaceDN w:val="0"/>
        <w:adjustRightInd/>
        <w:spacing w:line="300" w:lineRule="auto"/>
        <w:ind w:left="420" w:leftChars="200"/>
        <w:rPr>
          <w:rFonts w:eastAsia="黑体"/>
          <w:color w:val="auto"/>
          <w:sz w:val="24"/>
          <w:highlight w:val="none"/>
        </w:rPr>
      </w:pPr>
      <w:r>
        <w:rPr>
          <w:rFonts w:eastAsia="黑体"/>
          <w:color w:val="auto"/>
          <w:sz w:val="24"/>
          <w:highlight w:val="none"/>
        </w:rPr>
        <w:t>1.4 标准和规范</w:t>
      </w:r>
    </w:p>
    <w:p w14:paraId="07F69AB7">
      <w:pPr>
        <w:adjustRightInd/>
        <w:spacing w:line="300" w:lineRule="auto"/>
        <w:ind w:left="420" w:leftChars="200"/>
        <w:rPr>
          <w:rFonts w:hint="eastAsia" w:ascii="黑体" w:hAnsi="黑体" w:eastAsia="黑体"/>
          <w:b/>
          <w:color w:val="auto"/>
          <w:sz w:val="24"/>
          <w:highlight w:val="none"/>
          <w:u w:val="single"/>
        </w:rPr>
      </w:pPr>
      <w:r>
        <w:rPr>
          <w:rFonts w:eastAsia="仿宋_GB2312"/>
          <w:color w:val="auto"/>
          <w:sz w:val="24"/>
          <w:highlight w:val="none"/>
        </w:rPr>
        <w:t>1.4.1适用于工程的标准规范包括：</w:t>
      </w:r>
      <w:r>
        <w:rPr>
          <w:rFonts w:hint="eastAsia" w:ascii="仿宋_GB2312" w:hAnsi="黑体" w:eastAsia="仿宋_GB2312"/>
          <w:b/>
          <w:color w:val="auto"/>
          <w:sz w:val="24"/>
          <w:highlight w:val="none"/>
          <w:u w:val="single"/>
        </w:rPr>
        <w:t xml:space="preserve">（1）按通用条款约定；   </w:t>
      </w:r>
    </w:p>
    <w:p w14:paraId="1A9A201F">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1.4.2 发包人提供国外标准、规范的名称：</w:t>
      </w:r>
      <w:r>
        <w:rPr>
          <w:rFonts w:hint="eastAsia" w:eastAsia="仿宋_GB2312"/>
          <w:color w:val="auto"/>
          <w:sz w:val="24"/>
          <w:highlight w:val="none"/>
          <w:u w:val="single"/>
        </w:rPr>
        <w:t xml:space="preserve"> /  </w:t>
      </w:r>
      <w:r>
        <w:rPr>
          <w:rFonts w:eastAsia="仿宋_GB2312"/>
          <w:color w:val="auto"/>
          <w:sz w:val="24"/>
          <w:highlight w:val="none"/>
        </w:rPr>
        <w:t>；</w:t>
      </w:r>
    </w:p>
    <w:p w14:paraId="25CEFD3C">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发包人提供国外标准、规范的份数：</w:t>
      </w:r>
      <w:r>
        <w:rPr>
          <w:rFonts w:hint="eastAsia" w:eastAsia="仿宋_GB2312"/>
          <w:color w:val="auto"/>
          <w:sz w:val="24"/>
          <w:highlight w:val="none"/>
          <w:u w:val="single"/>
        </w:rPr>
        <w:t>/</w:t>
      </w:r>
      <w:r>
        <w:rPr>
          <w:rFonts w:eastAsia="仿宋_GB2312"/>
          <w:color w:val="auto"/>
          <w:sz w:val="24"/>
          <w:highlight w:val="none"/>
        </w:rPr>
        <w:t>；</w:t>
      </w:r>
    </w:p>
    <w:p w14:paraId="10D5B493">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发包人提供国外标准、规范的名称：</w:t>
      </w:r>
      <w:r>
        <w:rPr>
          <w:rFonts w:hint="eastAsia" w:eastAsia="仿宋_GB2312"/>
          <w:color w:val="auto"/>
          <w:sz w:val="24"/>
          <w:highlight w:val="none"/>
          <w:u w:val="single"/>
        </w:rPr>
        <w:t xml:space="preserve"> /  </w:t>
      </w:r>
      <w:r>
        <w:rPr>
          <w:rFonts w:eastAsia="仿宋_GB2312"/>
          <w:color w:val="auto"/>
          <w:sz w:val="24"/>
          <w:highlight w:val="none"/>
        </w:rPr>
        <w:t>。</w:t>
      </w:r>
    </w:p>
    <w:p w14:paraId="717D33B5">
      <w:pPr>
        <w:adjustRightInd/>
        <w:spacing w:line="300" w:lineRule="auto"/>
        <w:ind w:left="420" w:leftChars="200"/>
        <w:rPr>
          <w:rFonts w:eastAsia="仿宋_GB2312"/>
          <w:color w:val="auto"/>
          <w:sz w:val="24"/>
          <w:highlight w:val="none"/>
        </w:rPr>
      </w:pPr>
      <w:r>
        <w:rPr>
          <w:rFonts w:eastAsia="仿宋_GB2312"/>
          <w:color w:val="auto"/>
          <w:sz w:val="24"/>
          <w:highlight w:val="none"/>
        </w:rPr>
        <w:t>1.4.3发包人对工程的技术标准和功能要求的特殊要求：</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rPr>
        <w:t>。</w:t>
      </w:r>
    </w:p>
    <w:p w14:paraId="6B358B75">
      <w:pPr>
        <w:adjustRightInd/>
        <w:spacing w:line="300" w:lineRule="auto"/>
        <w:ind w:firstLine="480" w:firstLineChars="200"/>
        <w:rPr>
          <w:rFonts w:eastAsia="黑体"/>
          <w:color w:val="auto"/>
          <w:sz w:val="24"/>
          <w:highlight w:val="none"/>
        </w:rPr>
      </w:pPr>
      <w:r>
        <w:rPr>
          <w:rFonts w:eastAsia="黑体"/>
          <w:color w:val="auto"/>
          <w:sz w:val="24"/>
          <w:highlight w:val="none"/>
        </w:rPr>
        <w:t>1.5 合同文件的优先顺序</w:t>
      </w:r>
    </w:p>
    <w:p w14:paraId="0033E624">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合同文件组成及优先顺序为：</w:t>
      </w:r>
    </w:p>
    <w:p w14:paraId="6210B670">
      <w:pPr>
        <w:autoSpaceDE w:val="0"/>
        <w:autoSpaceDN w:val="0"/>
        <w:adjustRightInd/>
        <w:spacing w:line="300" w:lineRule="auto"/>
        <w:ind w:firstLine="477" w:firstLineChars="198"/>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（1）合同协议书</w:t>
      </w:r>
      <w:r>
        <w:rPr>
          <w:rFonts w:hint="eastAsia" w:ascii="仿宋_GB2312" w:hAnsi="黑体" w:eastAsia="仿宋_GB2312"/>
          <w:b/>
          <w:color w:val="auto"/>
          <w:sz w:val="24"/>
          <w:highlight w:val="none"/>
        </w:rPr>
        <w:t>；</w:t>
      </w:r>
    </w:p>
    <w:p w14:paraId="3633CBD8">
      <w:pPr>
        <w:autoSpaceDE w:val="0"/>
        <w:autoSpaceDN w:val="0"/>
        <w:adjustRightInd/>
        <w:spacing w:line="300" w:lineRule="auto"/>
        <w:ind w:firstLine="477" w:firstLineChars="198"/>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（2）中标通知书（或项目发承包基本情况表）</w:t>
      </w:r>
      <w:r>
        <w:rPr>
          <w:rFonts w:hint="eastAsia" w:ascii="仿宋_GB2312" w:hAnsi="黑体" w:eastAsia="仿宋_GB2312"/>
          <w:b/>
          <w:color w:val="auto"/>
          <w:sz w:val="24"/>
          <w:highlight w:val="none"/>
        </w:rPr>
        <w:t>；</w:t>
      </w:r>
    </w:p>
    <w:p w14:paraId="7C1FE792">
      <w:pPr>
        <w:adjustRightInd/>
        <w:spacing w:line="300" w:lineRule="auto"/>
        <w:ind w:firstLine="477" w:firstLineChars="198"/>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（3）投标函及其附录（如果有）</w:t>
      </w:r>
      <w:r>
        <w:rPr>
          <w:rFonts w:hint="eastAsia" w:ascii="仿宋_GB2312" w:hAnsi="黑体" w:eastAsia="仿宋_GB2312"/>
          <w:b/>
          <w:color w:val="auto"/>
          <w:sz w:val="24"/>
          <w:highlight w:val="none"/>
        </w:rPr>
        <w:t>；</w:t>
      </w:r>
    </w:p>
    <w:p w14:paraId="6F03BE87">
      <w:pPr>
        <w:autoSpaceDE w:val="0"/>
        <w:autoSpaceDN w:val="0"/>
        <w:adjustRightInd/>
        <w:spacing w:line="300" w:lineRule="auto"/>
        <w:ind w:firstLine="477" w:firstLineChars="198"/>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（4）专用合同条款及其附件</w:t>
      </w:r>
      <w:r>
        <w:rPr>
          <w:rFonts w:hint="eastAsia" w:ascii="仿宋_GB2312" w:hAnsi="黑体" w:eastAsia="仿宋_GB2312"/>
          <w:b/>
          <w:color w:val="auto"/>
          <w:sz w:val="24"/>
          <w:highlight w:val="none"/>
        </w:rPr>
        <w:t>；</w:t>
      </w:r>
    </w:p>
    <w:p w14:paraId="7DB12FDC">
      <w:pPr>
        <w:autoSpaceDE w:val="0"/>
        <w:autoSpaceDN w:val="0"/>
        <w:adjustRightInd/>
        <w:spacing w:line="300" w:lineRule="auto"/>
        <w:ind w:firstLine="477" w:firstLineChars="198"/>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（5）通用合同条款</w:t>
      </w:r>
      <w:r>
        <w:rPr>
          <w:rFonts w:hint="eastAsia" w:ascii="仿宋_GB2312" w:hAnsi="黑体" w:eastAsia="仿宋_GB2312"/>
          <w:b/>
          <w:color w:val="auto"/>
          <w:sz w:val="24"/>
          <w:highlight w:val="none"/>
        </w:rPr>
        <w:t>；</w:t>
      </w:r>
    </w:p>
    <w:p w14:paraId="1185FDA4">
      <w:pPr>
        <w:adjustRightInd/>
        <w:spacing w:line="300" w:lineRule="auto"/>
        <w:ind w:firstLine="477" w:firstLineChars="198"/>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（6）技术标准和要求</w:t>
      </w:r>
      <w:r>
        <w:rPr>
          <w:rFonts w:hint="eastAsia" w:ascii="仿宋_GB2312" w:hAnsi="黑体" w:eastAsia="仿宋_GB2312"/>
          <w:b/>
          <w:color w:val="auto"/>
          <w:sz w:val="24"/>
          <w:highlight w:val="none"/>
        </w:rPr>
        <w:t>；</w:t>
      </w:r>
    </w:p>
    <w:p w14:paraId="5C6033A6">
      <w:pPr>
        <w:adjustRightInd/>
        <w:spacing w:line="300" w:lineRule="auto"/>
        <w:ind w:firstLine="477" w:firstLineChars="198"/>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（7）图纸；</w:t>
      </w:r>
    </w:p>
    <w:p w14:paraId="71AA548C">
      <w:pPr>
        <w:adjustRightInd/>
        <w:spacing w:line="300" w:lineRule="auto"/>
        <w:ind w:firstLine="477" w:firstLineChars="198"/>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（8）已标价工程量清单或预算书</w:t>
      </w:r>
      <w:r>
        <w:rPr>
          <w:rFonts w:hint="eastAsia" w:ascii="仿宋_GB2312" w:hAnsi="黑体" w:eastAsia="仿宋_GB2312"/>
          <w:b/>
          <w:color w:val="auto"/>
          <w:sz w:val="24"/>
          <w:highlight w:val="none"/>
        </w:rPr>
        <w:t>；</w:t>
      </w:r>
    </w:p>
    <w:p w14:paraId="2E7A789F">
      <w:pPr>
        <w:adjustRightInd/>
        <w:spacing w:line="300" w:lineRule="auto"/>
        <w:ind w:firstLine="477" w:firstLineChars="198"/>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（9）其他合同文件</w:t>
      </w:r>
      <w:r>
        <w:rPr>
          <w:rFonts w:hint="eastAsia" w:ascii="仿宋_GB2312" w:hAnsi="黑体" w:eastAsia="仿宋_GB2312"/>
          <w:b/>
          <w:color w:val="auto"/>
          <w:sz w:val="24"/>
          <w:highlight w:val="none"/>
        </w:rPr>
        <w:t>：</w:t>
      </w:r>
    </w:p>
    <w:p w14:paraId="2B7225AF">
      <w:pPr>
        <w:adjustRightInd/>
        <w:spacing w:line="300" w:lineRule="auto"/>
        <w:ind w:firstLine="477" w:firstLineChars="198"/>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①施工组织设计</w:t>
      </w:r>
      <w:r>
        <w:rPr>
          <w:rFonts w:hint="eastAsia" w:ascii="仿宋_GB2312" w:hAnsi="黑体" w:eastAsia="仿宋_GB2312"/>
          <w:b/>
          <w:color w:val="auto"/>
          <w:sz w:val="24"/>
          <w:highlight w:val="none"/>
        </w:rPr>
        <w:t>；</w:t>
      </w:r>
    </w:p>
    <w:p w14:paraId="551C6DB6">
      <w:pPr>
        <w:adjustRightInd/>
        <w:spacing w:line="300" w:lineRule="auto"/>
        <w:ind w:firstLine="477" w:firstLineChars="198"/>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②招标文件（含招标工程量清单）及招标答疑。</w:t>
      </w:r>
    </w:p>
    <w:p w14:paraId="3EA9AF5E">
      <w:pPr>
        <w:adjustRightInd/>
        <w:spacing w:line="300" w:lineRule="auto"/>
        <w:ind w:firstLine="480" w:firstLineChars="200"/>
        <w:rPr>
          <w:rFonts w:eastAsia="黑体"/>
          <w:color w:val="auto"/>
          <w:sz w:val="24"/>
          <w:highlight w:val="none"/>
        </w:rPr>
      </w:pPr>
      <w:r>
        <w:rPr>
          <w:rFonts w:eastAsia="黑体"/>
          <w:color w:val="auto"/>
          <w:sz w:val="24"/>
          <w:highlight w:val="none"/>
        </w:rPr>
        <w:t>1.6 图纸和承包人文件</w:t>
      </w:r>
      <w:r>
        <w:rPr>
          <w:rFonts w:eastAsia="黑体"/>
          <w:color w:val="auto"/>
          <w:sz w:val="24"/>
          <w:highlight w:val="none"/>
        </w:rPr>
        <w:tab/>
      </w:r>
    </w:p>
    <w:p w14:paraId="0EB9713C">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1.6.1 图纸的提供</w:t>
      </w:r>
    </w:p>
    <w:p w14:paraId="7B39B43B">
      <w:pPr>
        <w:adjustRightInd/>
        <w:spacing w:line="300" w:lineRule="auto"/>
        <w:ind w:left="105" w:leftChars="50" w:firstLine="480" w:firstLineChars="200"/>
        <w:rPr>
          <w:rFonts w:eastAsia="仿宋_GB2312"/>
          <w:color w:val="auto"/>
          <w:sz w:val="24"/>
          <w:highlight w:val="none"/>
          <w:u w:val="single"/>
        </w:rPr>
      </w:pPr>
      <w:r>
        <w:rPr>
          <w:rFonts w:eastAsia="仿宋_GB2312"/>
          <w:color w:val="auto"/>
          <w:sz w:val="24"/>
          <w:highlight w:val="none"/>
        </w:rPr>
        <w:t>发包人向承包人提供图纸的期限：</w:t>
      </w:r>
      <w:r>
        <w:rPr>
          <w:rFonts w:hint="eastAsia" w:eastAsia="仿宋_GB2312"/>
          <w:color w:val="auto"/>
          <w:sz w:val="24"/>
          <w:highlight w:val="none"/>
          <w:u w:val="single"/>
        </w:rPr>
        <w:t>合同签订后5个工作日内（至迟不得晚于第7.3.2项〔开工通知〕载明的开工日期前14天）。</w:t>
      </w:r>
    </w:p>
    <w:p w14:paraId="6FC4266E">
      <w:pPr>
        <w:pStyle w:val="897"/>
        <w:spacing w:line="300" w:lineRule="auto"/>
        <w:ind w:left="420" w:firstLine="482" w:firstLineChars="0"/>
        <w:rPr>
          <w:rFonts w:eastAsia="仿宋_GB2312"/>
          <w:color w:val="auto"/>
          <w:highlight w:val="none"/>
          <w:u w:val="single"/>
        </w:rPr>
      </w:pPr>
      <w:r>
        <w:rPr>
          <w:rFonts w:eastAsia="仿宋_GB2312"/>
          <w:color w:val="auto"/>
          <w:highlight w:val="none"/>
        </w:rPr>
        <w:t>发包人向承包人提供图纸的数量：</w:t>
      </w:r>
      <w:r>
        <w:rPr>
          <w:rFonts w:hint="eastAsia" w:eastAsia="仿宋_GB2312"/>
          <w:color w:val="auto"/>
          <w:highlight w:val="none"/>
          <w:u w:val="single"/>
        </w:rPr>
        <w:t>肆套</w:t>
      </w:r>
      <w:r>
        <w:rPr>
          <w:rFonts w:eastAsia="仿宋_GB2312"/>
          <w:color w:val="auto"/>
          <w:highlight w:val="none"/>
          <w:u w:val="single"/>
        </w:rPr>
        <w:t>；</w:t>
      </w:r>
      <w:r>
        <w:rPr>
          <w:rFonts w:hint="eastAsia" w:eastAsia="仿宋_GB2312"/>
          <w:color w:val="auto"/>
          <w:highlight w:val="none"/>
          <w:u w:val="single"/>
        </w:rPr>
        <w:t>如承包人额外需要提供施工图纸的，则额外增加的施工图纸的制作费由承包人承担。承包人接收图纸后应出具相应书面签收单。</w:t>
      </w:r>
    </w:p>
    <w:p w14:paraId="5303327C">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发包人向承包人提供图纸的内容：</w:t>
      </w:r>
      <w:r>
        <w:rPr>
          <w:rFonts w:hint="eastAsia" w:eastAsia="仿宋_GB2312"/>
          <w:color w:val="auto"/>
          <w:sz w:val="24"/>
          <w:highlight w:val="none"/>
          <w:u w:val="single"/>
        </w:rPr>
        <w:t>施工图、设计联系单等</w:t>
      </w:r>
      <w:r>
        <w:rPr>
          <w:rFonts w:eastAsia="仿宋_GB2312"/>
          <w:color w:val="auto"/>
          <w:sz w:val="24"/>
          <w:highlight w:val="none"/>
        </w:rPr>
        <w:t>。</w:t>
      </w:r>
    </w:p>
    <w:p w14:paraId="3CB4A7DF">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1.6.4 承包人文件</w:t>
      </w:r>
    </w:p>
    <w:p w14:paraId="7998F445">
      <w:pPr>
        <w:adjustRightInd/>
        <w:spacing w:line="300" w:lineRule="auto"/>
        <w:ind w:firstLine="475" w:firstLineChars="198"/>
        <w:rPr>
          <w:rFonts w:eastAsia="仿宋_GB2312"/>
          <w:color w:val="auto"/>
          <w:sz w:val="24"/>
          <w:highlight w:val="none"/>
          <w:u w:val="single"/>
        </w:rPr>
      </w:pPr>
      <w:r>
        <w:rPr>
          <w:rFonts w:eastAsia="仿宋_GB2312"/>
          <w:color w:val="auto"/>
          <w:sz w:val="24"/>
          <w:highlight w:val="none"/>
        </w:rPr>
        <w:t>需要由承包人提供的文件，包括：</w:t>
      </w:r>
      <w:r>
        <w:rPr>
          <w:rFonts w:hint="eastAsia" w:eastAsia="仿宋_GB2312"/>
          <w:color w:val="auto"/>
          <w:sz w:val="24"/>
          <w:highlight w:val="none"/>
          <w:u w:val="single"/>
        </w:rPr>
        <w:t>发包人、监理人、质监站要求提供的开工前所需的所有资料。包括本工程适用的国家现行的施工规范、国家现行的验收规范、国家现行的质量验评标准及国家及地方现行施工验收及施工安全技术规范等，对危险性较大的分部分项工程，投标人需提供与自身报价相应的安全专项施工方案，防范建筑施工生产安全事故的发生。还应提供符合监理工程师要求的施工组织设计、详细的工期质量安全文明保证措施方案、工程进度计划、专项施工方案、月工程量报表、月进度报表及发包人（监理）和政府规定要求必须提供的其他文件。</w:t>
      </w:r>
    </w:p>
    <w:p w14:paraId="7BDFE83C">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承包人提供的文件的期限为：</w:t>
      </w:r>
      <w:r>
        <w:rPr>
          <w:rFonts w:hint="eastAsia" w:eastAsia="仿宋_GB2312"/>
          <w:color w:val="auto"/>
          <w:sz w:val="24"/>
          <w:highlight w:val="none"/>
          <w:u w:val="single"/>
        </w:rPr>
        <w:t>合同签订后5个工作日内</w:t>
      </w:r>
      <w:r>
        <w:rPr>
          <w:rFonts w:eastAsia="仿宋_GB2312"/>
          <w:color w:val="auto"/>
          <w:sz w:val="24"/>
          <w:highlight w:val="none"/>
        </w:rPr>
        <w:t>；</w:t>
      </w:r>
    </w:p>
    <w:p w14:paraId="57DD38A9">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承包人提供的文件的数量为：</w:t>
      </w:r>
      <w:r>
        <w:rPr>
          <w:rFonts w:hint="eastAsia" w:eastAsia="仿宋_GB2312"/>
          <w:color w:val="auto"/>
          <w:sz w:val="24"/>
          <w:highlight w:val="none"/>
          <w:u w:val="single"/>
        </w:rPr>
        <w:t>开工报告一式四份，其余两份</w:t>
      </w:r>
      <w:r>
        <w:rPr>
          <w:rFonts w:eastAsia="仿宋_GB2312"/>
          <w:color w:val="auto"/>
          <w:sz w:val="24"/>
          <w:highlight w:val="none"/>
        </w:rPr>
        <w:t>；</w:t>
      </w:r>
    </w:p>
    <w:p w14:paraId="5CD396C4">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承包人提供的文件的形式为：</w:t>
      </w:r>
      <w:r>
        <w:rPr>
          <w:rFonts w:hint="eastAsia" w:eastAsia="仿宋_GB2312"/>
          <w:color w:val="auto"/>
          <w:sz w:val="24"/>
          <w:highlight w:val="none"/>
          <w:u w:val="single"/>
        </w:rPr>
        <w:t>书面形式和电子资料</w:t>
      </w:r>
      <w:r>
        <w:rPr>
          <w:rFonts w:eastAsia="仿宋_GB2312"/>
          <w:color w:val="auto"/>
          <w:sz w:val="24"/>
          <w:highlight w:val="none"/>
        </w:rPr>
        <w:t>；</w:t>
      </w:r>
    </w:p>
    <w:p w14:paraId="3C4BC235">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w:t>
      </w:r>
      <w:r>
        <w:rPr>
          <w:rFonts w:hint="eastAsia" w:eastAsia="仿宋_GB2312"/>
          <w:color w:val="auto"/>
          <w:sz w:val="24"/>
          <w:highlight w:val="none"/>
        </w:rPr>
        <w:t>审批</w:t>
      </w:r>
      <w:r>
        <w:rPr>
          <w:rFonts w:eastAsia="仿宋_GB2312"/>
          <w:color w:val="auto"/>
          <w:sz w:val="24"/>
          <w:highlight w:val="none"/>
        </w:rPr>
        <w:t>承包人文件的期限：</w:t>
      </w:r>
      <w:r>
        <w:rPr>
          <w:rFonts w:hint="eastAsia" w:eastAsia="仿宋_GB2312"/>
          <w:color w:val="auto"/>
          <w:sz w:val="24"/>
          <w:highlight w:val="none"/>
          <w:u w:val="single"/>
        </w:rPr>
        <w:t>收到承包人文件后7天内</w:t>
      </w:r>
      <w:r>
        <w:rPr>
          <w:rFonts w:eastAsia="仿宋_GB2312"/>
          <w:color w:val="auto"/>
          <w:sz w:val="24"/>
          <w:highlight w:val="none"/>
        </w:rPr>
        <w:t>。</w:t>
      </w:r>
    </w:p>
    <w:p w14:paraId="41663F66">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1.6.5 现场图纸准备</w:t>
      </w:r>
    </w:p>
    <w:p w14:paraId="0A9B0539">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关于现场图纸准备的约定</w:t>
      </w:r>
      <w:r>
        <w:rPr>
          <w:rFonts w:hint="eastAsia" w:eastAsia="仿宋_GB2312"/>
          <w:color w:val="auto"/>
          <w:sz w:val="24"/>
          <w:highlight w:val="none"/>
        </w:rPr>
        <w:t>：</w:t>
      </w:r>
      <w:r>
        <w:rPr>
          <w:rFonts w:hint="eastAsia" w:eastAsia="仿宋_GB2312"/>
          <w:color w:val="auto"/>
          <w:sz w:val="24"/>
          <w:highlight w:val="none"/>
          <w:u w:val="single"/>
        </w:rPr>
        <w:t xml:space="preserve">承包人应在现场保留1套完整图纸，供发包人代表、监理人员及其它有关人员进行工程检查时使用。  </w:t>
      </w:r>
    </w:p>
    <w:p w14:paraId="78241506">
      <w:pPr>
        <w:adjustRightInd/>
        <w:spacing w:line="300" w:lineRule="auto"/>
        <w:ind w:firstLine="480" w:firstLineChars="200"/>
        <w:rPr>
          <w:rFonts w:eastAsia="黑体"/>
          <w:color w:val="auto"/>
          <w:sz w:val="24"/>
          <w:highlight w:val="none"/>
        </w:rPr>
      </w:pPr>
      <w:r>
        <w:rPr>
          <w:rFonts w:eastAsia="黑体"/>
          <w:color w:val="auto"/>
          <w:sz w:val="24"/>
          <w:highlight w:val="none"/>
        </w:rPr>
        <w:t>1.7 联络</w:t>
      </w:r>
    </w:p>
    <w:p w14:paraId="1B4785A9">
      <w:pPr>
        <w:adjustRightInd/>
        <w:spacing w:line="300" w:lineRule="auto"/>
        <w:ind w:firstLine="480" w:firstLineChars="200"/>
        <w:rPr>
          <w:rFonts w:eastAsia="仿宋_GB2312"/>
          <w:color w:val="auto"/>
          <w:sz w:val="24"/>
          <w:highlight w:val="none"/>
        </w:rPr>
      </w:pPr>
      <w:r>
        <w:rPr>
          <w:rFonts w:eastAsia="仿宋_GB2312"/>
          <w:color w:val="auto"/>
          <w:sz w:val="24"/>
          <w:highlight w:val="none"/>
        </w:rPr>
        <w:t>1.7.1发包人和承包人应当在</w:t>
      </w:r>
      <w:r>
        <w:rPr>
          <w:rFonts w:hint="eastAsia" w:eastAsia="仿宋_GB2312"/>
          <w:color w:val="auto"/>
          <w:sz w:val="24"/>
          <w:highlight w:val="none"/>
          <w:u w:val="single"/>
        </w:rPr>
        <w:t>7</w:t>
      </w:r>
      <w:r>
        <w:rPr>
          <w:rFonts w:eastAsia="仿宋_GB2312"/>
          <w:color w:val="auto"/>
          <w:sz w:val="24"/>
          <w:highlight w:val="none"/>
        </w:rPr>
        <w:t>天内将与合同有关的通知、批准、证明、证书、指示、指令、要求、请求、同意、意见、确定和决定等书面函件送达对方当事人</w:t>
      </w:r>
      <w:r>
        <w:rPr>
          <w:rFonts w:hint="eastAsia" w:eastAsia="仿宋_GB2312"/>
          <w:color w:val="auto"/>
          <w:sz w:val="24"/>
          <w:highlight w:val="none"/>
        </w:rPr>
        <w:t>。</w:t>
      </w:r>
    </w:p>
    <w:p w14:paraId="21DF6F40">
      <w:pPr>
        <w:adjustRightInd/>
        <w:spacing w:line="300" w:lineRule="auto"/>
        <w:ind w:firstLine="480" w:firstLineChars="200"/>
        <w:rPr>
          <w:rFonts w:eastAsia="仿宋_GB2312"/>
          <w:color w:val="auto"/>
          <w:sz w:val="24"/>
          <w:highlight w:val="none"/>
        </w:rPr>
      </w:pPr>
      <w:r>
        <w:rPr>
          <w:rFonts w:eastAsia="仿宋_GB2312"/>
          <w:color w:val="auto"/>
          <w:sz w:val="24"/>
          <w:highlight w:val="none"/>
        </w:rPr>
        <w:t>1.7.2 发包人接收文件的地点：</w:t>
      </w:r>
      <w:r>
        <w:rPr>
          <w:rFonts w:hint="eastAsia" w:eastAsia="仿宋_GB2312"/>
          <w:color w:val="auto"/>
          <w:sz w:val="24"/>
          <w:highlight w:val="none"/>
          <w:u w:val="single"/>
        </w:rPr>
        <w:t>工程现场或发包人所在地</w:t>
      </w:r>
      <w:r>
        <w:rPr>
          <w:rFonts w:eastAsia="仿宋_GB2312"/>
          <w:color w:val="auto"/>
          <w:sz w:val="24"/>
          <w:highlight w:val="none"/>
        </w:rPr>
        <w:t>；</w:t>
      </w:r>
    </w:p>
    <w:p w14:paraId="13BBAF56">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发包人指定的接收人为：</w:t>
      </w:r>
      <w:r>
        <w:rPr>
          <w:rFonts w:hint="eastAsia" w:eastAsia="仿宋_GB2312"/>
          <w:color w:val="auto"/>
          <w:sz w:val="24"/>
          <w:highlight w:val="none"/>
          <w:u w:val="single"/>
        </w:rPr>
        <w:t>发包人代表</w:t>
      </w:r>
      <w:r>
        <w:rPr>
          <w:rFonts w:eastAsia="仿宋_GB2312"/>
          <w:color w:val="auto"/>
          <w:sz w:val="24"/>
          <w:highlight w:val="none"/>
        </w:rPr>
        <w:t>。</w:t>
      </w:r>
    </w:p>
    <w:p w14:paraId="22423BDA">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承包人接收文件的地点：</w:t>
      </w:r>
      <w:r>
        <w:rPr>
          <w:rFonts w:hint="eastAsia" w:eastAsia="仿宋_GB2312"/>
          <w:color w:val="auto"/>
          <w:sz w:val="24"/>
          <w:highlight w:val="none"/>
          <w:u w:val="single"/>
        </w:rPr>
        <w:t>工程现场</w:t>
      </w:r>
      <w:r>
        <w:rPr>
          <w:rFonts w:eastAsia="仿宋_GB2312"/>
          <w:color w:val="auto"/>
          <w:sz w:val="24"/>
          <w:highlight w:val="none"/>
        </w:rPr>
        <w:t>；</w:t>
      </w:r>
    </w:p>
    <w:p w14:paraId="61FEEA38">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承包人指定的接收人为：</w:t>
      </w:r>
      <w:r>
        <w:rPr>
          <w:rFonts w:hint="eastAsia" w:eastAsia="仿宋_GB2312"/>
          <w:color w:val="auto"/>
          <w:sz w:val="24"/>
          <w:highlight w:val="none"/>
          <w:u w:val="single"/>
        </w:rPr>
        <w:t>项目经理</w:t>
      </w:r>
      <w:r>
        <w:rPr>
          <w:rFonts w:eastAsia="仿宋_GB2312"/>
          <w:color w:val="auto"/>
          <w:sz w:val="24"/>
          <w:highlight w:val="none"/>
        </w:rPr>
        <w:t>。</w:t>
      </w:r>
    </w:p>
    <w:p w14:paraId="0B6C3FE3">
      <w:pPr>
        <w:adjustRightInd/>
        <w:spacing w:line="300" w:lineRule="auto"/>
        <w:ind w:firstLine="480" w:firstLineChars="200"/>
        <w:rPr>
          <w:rFonts w:eastAsia="仿宋_GB2312"/>
          <w:color w:val="auto"/>
          <w:sz w:val="24"/>
          <w:highlight w:val="none"/>
        </w:rPr>
      </w:pPr>
      <w:r>
        <w:rPr>
          <w:rFonts w:eastAsia="仿宋_GB2312"/>
          <w:color w:val="auto"/>
          <w:sz w:val="24"/>
          <w:highlight w:val="none"/>
        </w:rPr>
        <w:t>监理人接收文件的地点：</w:t>
      </w:r>
      <w:r>
        <w:rPr>
          <w:rFonts w:hint="eastAsia" w:eastAsia="仿宋_GB2312"/>
          <w:color w:val="auto"/>
          <w:sz w:val="24"/>
          <w:highlight w:val="none"/>
          <w:u w:val="single"/>
        </w:rPr>
        <w:t>工程现场</w:t>
      </w:r>
      <w:r>
        <w:rPr>
          <w:rFonts w:eastAsia="仿宋_GB2312"/>
          <w:color w:val="auto"/>
          <w:sz w:val="24"/>
          <w:highlight w:val="none"/>
        </w:rPr>
        <w:t>；</w:t>
      </w:r>
    </w:p>
    <w:p w14:paraId="52DB9D43">
      <w:pPr>
        <w:adjustRightInd/>
        <w:spacing w:line="300" w:lineRule="auto"/>
        <w:ind w:firstLine="480" w:firstLineChars="200"/>
        <w:rPr>
          <w:rFonts w:eastAsia="仿宋_GB2312"/>
          <w:color w:val="auto"/>
          <w:sz w:val="24"/>
          <w:highlight w:val="none"/>
        </w:rPr>
      </w:pPr>
      <w:r>
        <w:rPr>
          <w:rFonts w:eastAsia="仿宋_GB2312"/>
          <w:color w:val="auto"/>
          <w:sz w:val="24"/>
          <w:highlight w:val="none"/>
        </w:rPr>
        <w:t>监理人指定的接收人为：</w:t>
      </w:r>
      <w:r>
        <w:rPr>
          <w:rFonts w:hint="eastAsia" w:eastAsia="仿宋_GB2312"/>
          <w:color w:val="auto"/>
          <w:sz w:val="24"/>
          <w:highlight w:val="none"/>
          <w:u w:val="single"/>
        </w:rPr>
        <w:t>总监或总监代表</w:t>
      </w:r>
      <w:r>
        <w:rPr>
          <w:rFonts w:eastAsia="仿宋_GB2312"/>
          <w:color w:val="auto"/>
          <w:sz w:val="24"/>
          <w:highlight w:val="none"/>
        </w:rPr>
        <w:t>。</w:t>
      </w:r>
    </w:p>
    <w:p w14:paraId="4E2CFD37">
      <w:pPr>
        <w:adjustRightInd/>
        <w:spacing w:line="300" w:lineRule="auto"/>
        <w:ind w:firstLine="480" w:firstLineChars="200"/>
        <w:rPr>
          <w:rFonts w:eastAsia="黑体"/>
          <w:color w:val="auto"/>
          <w:sz w:val="24"/>
          <w:highlight w:val="none"/>
        </w:rPr>
      </w:pPr>
      <w:r>
        <w:rPr>
          <w:rFonts w:eastAsia="黑体"/>
          <w:color w:val="auto"/>
          <w:sz w:val="24"/>
          <w:highlight w:val="none"/>
        </w:rPr>
        <w:t>1.10 交通运输</w:t>
      </w:r>
    </w:p>
    <w:p w14:paraId="2EFAF3B5">
      <w:pPr>
        <w:adjustRightInd/>
        <w:spacing w:line="300" w:lineRule="auto"/>
        <w:ind w:firstLine="480" w:firstLineChars="200"/>
        <w:rPr>
          <w:rFonts w:eastAsia="仿宋_GB2312"/>
          <w:color w:val="auto"/>
          <w:sz w:val="24"/>
          <w:highlight w:val="none"/>
        </w:rPr>
      </w:pPr>
      <w:r>
        <w:rPr>
          <w:rFonts w:eastAsia="仿宋_GB2312"/>
          <w:color w:val="auto"/>
          <w:sz w:val="24"/>
          <w:highlight w:val="none"/>
        </w:rPr>
        <w:t>1</w:t>
      </w:r>
      <w:bookmarkStart w:id="488" w:name="_Toc312677986"/>
      <w:bookmarkStart w:id="489" w:name="_Toc318581155"/>
      <w:bookmarkStart w:id="490" w:name="_Toc304295521"/>
      <w:bookmarkStart w:id="491" w:name="_Toc300934943"/>
      <w:bookmarkStart w:id="492" w:name="_Toc303539100"/>
      <w:r>
        <w:rPr>
          <w:rFonts w:eastAsia="仿宋_GB2312"/>
          <w:color w:val="auto"/>
          <w:sz w:val="24"/>
          <w:highlight w:val="none"/>
        </w:rPr>
        <w:t>.10.1 出入现场的权利</w:t>
      </w:r>
    </w:p>
    <w:p w14:paraId="6C644097">
      <w:pPr>
        <w:pStyle w:val="897"/>
        <w:spacing w:line="300" w:lineRule="auto"/>
        <w:ind w:left="420" w:firstLineChars="0"/>
        <w:rPr>
          <w:rFonts w:eastAsia="仿宋_GB2312"/>
          <w:color w:val="auto"/>
          <w:highlight w:val="none"/>
          <w:u w:val="single"/>
        </w:rPr>
      </w:pPr>
      <w:r>
        <w:rPr>
          <w:rFonts w:hint="eastAsia" w:eastAsia="仿宋_GB2312"/>
          <w:color w:val="auto"/>
          <w:highlight w:val="none"/>
        </w:rPr>
        <w:t>关于出入现场的权利的约定：</w:t>
      </w:r>
      <w:r>
        <w:rPr>
          <w:rFonts w:hint="eastAsia" w:eastAsia="仿宋_GB2312"/>
          <w:color w:val="auto"/>
          <w:highlight w:val="none"/>
          <w:u w:val="single"/>
        </w:rPr>
        <w:t xml:space="preserve">由承包人按发包人要求负责取得出入施工现场所需的批准手续和全部权利，以及取得因施工所需修建道路、桥梁以及其他基础设施的权利，并负责实施施工现场内临时道路、场地硬化、给排水以及场地清理、平整、裸土全覆盖、扬尘防护措施、夜间施工车辆进出场噪音防护措施等，以及承担相关手续费用和建设费用。  </w:t>
      </w:r>
    </w:p>
    <w:bookmarkEnd w:id="488"/>
    <w:bookmarkEnd w:id="489"/>
    <w:bookmarkEnd w:id="490"/>
    <w:bookmarkEnd w:id="491"/>
    <w:bookmarkEnd w:id="492"/>
    <w:p w14:paraId="5D0ED8E4">
      <w:pPr>
        <w:adjustRightInd/>
        <w:spacing w:line="300" w:lineRule="auto"/>
        <w:ind w:firstLine="480" w:firstLineChars="200"/>
        <w:rPr>
          <w:rFonts w:eastAsia="仿宋_GB2312"/>
          <w:color w:val="auto"/>
          <w:sz w:val="24"/>
          <w:highlight w:val="none"/>
        </w:rPr>
      </w:pPr>
      <w:r>
        <w:rPr>
          <w:rFonts w:eastAsia="仿宋_GB2312"/>
          <w:color w:val="auto"/>
          <w:sz w:val="24"/>
          <w:highlight w:val="none"/>
        </w:rPr>
        <w:t>1</w:t>
      </w:r>
      <w:bookmarkStart w:id="493" w:name="_Toc303539101"/>
      <w:bookmarkStart w:id="494" w:name="_Toc300934944"/>
      <w:bookmarkStart w:id="495" w:name="_Toc312677987"/>
      <w:bookmarkStart w:id="496" w:name="_Toc318581156"/>
      <w:bookmarkStart w:id="497" w:name="_Toc304295522"/>
      <w:r>
        <w:rPr>
          <w:rFonts w:eastAsia="仿宋_GB2312"/>
          <w:color w:val="auto"/>
          <w:sz w:val="24"/>
          <w:highlight w:val="none"/>
        </w:rPr>
        <w:t>.10.3 场内交通</w:t>
      </w:r>
    </w:p>
    <w:p w14:paraId="1DA37C5F">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关于场外交通和场内交通的边界的约定：</w:t>
      </w:r>
      <w:r>
        <w:rPr>
          <w:rFonts w:hint="eastAsia" w:eastAsia="仿宋_GB2312"/>
          <w:color w:val="auto"/>
          <w:sz w:val="24"/>
          <w:highlight w:val="none"/>
          <w:u w:val="single"/>
        </w:rPr>
        <w:t>以规划用地红线为界</w:t>
      </w:r>
      <w:r>
        <w:rPr>
          <w:rFonts w:eastAsia="仿宋_GB2312"/>
          <w:color w:val="auto"/>
          <w:sz w:val="24"/>
          <w:highlight w:val="none"/>
        </w:rPr>
        <w:t>。</w:t>
      </w:r>
    </w:p>
    <w:p w14:paraId="23E6FE50">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关于发包人向承包人免费提供满足工程施工需要的场内道路和交通设施的约定：</w:t>
      </w:r>
      <w:r>
        <w:rPr>
          <w:rFonts w:hint="eastAsia" w:eastAsia="仿宋_GB2312"/>
          <w:color w:val="auto"/>
          <w:sz w:val="24"/>
          <w:highlight w:val="none"/>
          <w:u w:val="single"/>
        </w:rPr>
        <w:t>具体道路由承包人在投标前自行踏勘确定，在施工期间的维护及相应费用由承包人承担；发包人不提供场内道路和交通设施，由承包人自行解决承担</w:t>
      </w:r>
      <w:r>
        <w:rPr>
          <w:rFonts w:eastAsia="仿宋_GB2312"/>
          <w:color w:val="auto"/>
          <w:sz w:val="24"/>
          <w:highlight w:val="none"/>
          <w:u w:val="single"/>
        </w:rPr>
        <w:t>。</w:t>
      </w:r>
      <w:bookmarkEnd w:id="493"/>
      <w:bookmarkEnd w:id="494"/>
      <w:bookmarkEnd w:id="495"/>
      <w:bookmarkEnd w:id="496"/>
      <w:bookmarkEnd w:id="497"/>
      <w:bookmarkStart w:id="498" w:name="_Toc318581157"/>
    </w:p>
    <w:p w14:paraId="6FB70692">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1.10.4超大件和超重件的运输</w:t>
      </w:r>
    </w:p>
    <w:p w14:paraId="5B840221">
      <w:pPr>
        <w:adjustRightInd/>
        <w:spacing w:line="300" w:lineRule="auto"/>
        <w:ind w:firstLine="480" w:firstLineChars="200"/>
        <w:rPr>
          <w:rFonts w:eastAsia="仿宋_GB2312"/>
          <w:color w:val="auto"/>
          <w:sz w:val="24"/>
          <w:highlight w:val="none"/>
        </w:rPr>
      </w:pPr>
      <w:r>
        <w:rPr>
          <w:rFonts w:eastAsia="仿宋_GB2312"/>
          <w:color w:val="auto"/>
          <w:sz w:val="24"/>
          <w:highlight w:val="none"/>
        </w:rPr>
        <w:t>运输超大件或超重件所需的道路和桥梁临时加固改造费用和其他有关费用由</w:t>
      </w:r>
      <w:r>
        <w:rPr>
          <w:rFonts w:hint="eastAsia" w:eastAsia="仿宋_GB2312"/>
          <w:color w:val="auto"/>
          <w:sz w:val="24"/>
          <w:highlight w:val="none"/>
          <w:u w:val="single"/>
        </w:rPr>
        <w:t>承包人</w:t>
      </w:r>
      <w:r>
        <w:rPr>
          <w:rFonts w:eastAsia="仿宋_GB2312"/>
          <w:color w:val="auto"/>
          <w:sz w:val="24"/>
          <w:highlight w:val="none"/>
        </w:rPr>
        <w:t>承担。</w:t>
      </w:r>
    </w:p>
    <w:p w14:paraId="725285D3">
      <w:pPr>
        <w:adjustRightInd/>
        <w:spacing w:line="300" w:lineRule="auto"/>
        <w:ind w:firstLine="482" w:firstLineChars="200"/>
        <w:rPr>
          <w:rFonts w:ascii="仿宋_GB2312" w:eastAsia="仿宋_GB2312"/>
          <w:b/>
          <w:color w:val="auto"/>
          <w:sz w:val="24"/>
          <w:highlight w:val="none"/>
        </w:rPr>
      </w:pPr>
      <w:r>
        <w:rPr>
          <w:rFonts w:hint="eastAsia" w:ascii="仿宋_GB2312" w:eastAsia="仿宋_GB2312"/>
          <w:b/>
          <w:color w:val="auto"/>
          <w:sz w:val="24"/>
          <w:highlight w:val="none"/>
        </w:rPr>
        <w:t>本工程的超大件：</w:t>
      </w:r>
      <w:r>
        <w:rPr>
          <w:rFonts w:hint="eastAsia" w:ascii="仿宋_GB2312" w:eastAsia="仿宋_GB2312"/>
          <w:color w:val="auto"/>
          <w:sz w:val="24"/>
          <w:highlight w:val="none"/>
          <w:u w:val="single"/>
        </w:rPr>
        <w:t>见设计文件。</w:t>
      </w:r>
    </w:p>
    <w:p w14:paraId="62E4E7B0">
      <w:pPr>
        <w:adjustRightInd/>
        <w:spacing w:line="300" w:lineRule="auto"/>
        <w:ind w:firstLine="482" w:firstLineChars="200"/>
        <w:rPr>
          <w:rFonts w:ascii="仿宋_GB2312" w:eastAsia="仿宋_GB2312"/>
          <w:color w:val="auto"/>
          <w:sz w:val="24"/>
          <w:highlight w:val="none"/>
        </w:rPr>
      </w:pPr>
      <w:r>
        <w:rPr>
          <w:rFonts w:hint="eastAsia" w:ascii="仿宋_GB2312" w:eastAsia="仿宋_GB2312"/>
          <w:b/>
          <w:color w:val="auto"/>
          <w:sz w:val="24"/>
          <w:highlight w:val="none"/>
        </w:rPr>
        <w:t>本工程的超重件：</w:t>
      </w:r>
      <w:r>
        <w:rPr>
          <w:rFonts w:hint="eastAsia" w:ascii="仿宋_GB2312" w:eastAsia="仿宋_GB2312"/>
          <w:color w:val="auto"/>
          <w:sz w:val="24"/>
          <w:highlight w:val="none"/>
          <w:u w:val="single"/>
        </w:rPr>
        <w:t>见设计文件。</w:t>
      </w:r>
    </w:p>
    <w:bookmarkEnd w:id="498"/>
    <w:p w14:paraId="0299247B">
      <w:pPr>
        <w:adjustRightInd/>
        <w:spacing w:line="300" w:lineRule="auto"/>
        <w:ind w:firstLine="480" w:firstLineChars="200"/>
        <w:rPr>
          <w:rFonts w:eastAsia="黑体"/>
          <w:color w:val="auto"/>
          <w:sz w:val="24"/>
          <w:highlight w:val="none"/>
        </w:rPr>
      </w:pPr>
      <w:r>
        <w:rPr>
          <w:rFonts w:eastAsia="黑体"/>
          <w:color w:val="auto"/>
          <w:sz w:val="24"/>
          <w:highlight w:val="none"/>
        </w:rPr>
        <w:t>1.11 知识产权</w:t>
      </w:r>
    </w:p>
    <w:p w14:paraId="4819387B">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1.11.1关于发包人提供给承包人的图纸、发包人为实施工程自行编制或委托编制的技术规范以及反映发包人关于合同要求或其他类似性质的文件的著作权的归属：</w:t>
      </w:r>
      <w:r>
        <w:rPr>
          <w:rFonts w:eastAsia="仿宋_GB2312"/>
          <w:color w:val="auto"/>
          <w:sz w:val="24"/>
          <w:highlight w:val="none"/>
          <w:u w:val="single"/>
        </w:rPr>
        <w:t></w:t>
      </w:r>
      <w:r>
        <w:rPr>
          <w:rFonts w:hint="eastAsia" w:eastAsia="仿宋_GB2312"/>
          <w:color w:val="auto"/>
          <w:sz w:val="24"/>
          <w:highlight w:val="none"/>
          <w:u w:val="single"/>
        </w:rPr>
        <w:t xml:space="preserve"> 发包人 。</w:t>
      </w:r>
    </w:p>
    <w:p w14:paraId="0A98B090">
      <w:pPr>
        <w:pStyle w:val="897"/>
        <w:spacing w:line="300" w:lineRule="auto"/>
        <w:ind w:left="420" w:firstLine="480"/>
        <w:rPr>
          <w:rFonts w:hint="eastAsia" w:ascii="宋体" w:hAnsi="宋体"/>
          <w:color w:val="auto"/>
          <w:highlight w:val="none"/>
          <w:u w:val="single"/>
        </w:rPr>
      </w:pPr>
      <w:r>
        <w:rPr>
          <w:rFonts w:eastAsia="仿宋_GB2312"/>
          <w:color w:val="auto"/>
          <w:highlight w:val="none"/>
        </w:rPr>
        <w:t>关于发包人提供的上述文件的使用限制的要求：</w:t>
      </w:r>
      <w:r>
        <w:rPr>
          <w:rFonts w:hint="eastAsia" w:eastAsia="仿宋_GB2312"/>
          <w:color w:val="auto"/>
          <w:highlight w:val="none"/>
          <w:u w:val="single"/>
        </w:rPr>
        <w:t>本工程设计图纸，未经发包人同意，承包人不得以任何方式或理由转给第三方 。</w:t>
      </w:r>
    </w:p>
    <w:p w14:paraId="1EBA41AE">
      <w:pPr>
        <w:adjustRightInd/>
        <w:spacing w:line="300" w:lineRule="auto"/>
        <w:ind w:left="596" w:leftChars="284"/>
        <w:rPr>
          <w:rFonts w:eastAsia="仿宋_GB2312"/>
          <w:color w:val="auto"/>
          <w:sz w:val="24"/>
          <w:highlight w:val="none"/>
        </w:rPr>
      </w:pPr>
      <w:r>
        <w:rPr>
          <w:rFonts w:eastAsia="仿宋_GB2312"/>
          <w:color w:val="auto"/>
          <w:sz w:val="24"/>
          <w:highlight w:val="none"/>
        </w:rPr>
        <w:t>1.11.2 关于承包人为实施工程所编制文件的著作权的归属：</w:t>
      </w:r>
      <w:r>
        <w:rPr>
          <w:rFonts w:hint="eastAsia" w:eastAsia="仿宋_GB2312"/>
          <w:color w:val="auto"/>
          <w:sz w:val="24"/>
          <w:highlight w:val="none"/>
          <w:u w:val="single"/>
        </w:rPr>
        <w:t>/</w:t>
      </w:r>
      <w:r>
        <w:rPr>
          <w:rFonts w:eastAsia="仿宋_GB2312"/>
          <w:color w:val="auto"/>
          <w:sz w:val="24"/>
          <w:highlight w:val="none"/>
        </w:rPr>
        <w:t>。</w:t>
      </w:r>
    </w:p>
    <w:p w14:paraId="6A7680FB">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关于承包人提供的上述文件的使用限制的要求：</w:t>
      </w:r>
      <w:r>
        <w:rPr>
          <w:rFonts w:eastAsia="仿宋_GB2312"/>
          <w:color w:val="auto"/>
          <w:sz w:val="24"/>
          <w:highlight w:val="none"/>
          <w:u w:val="single"/>
        </w:rPr>
        <w:t></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w:t>
      </w:r>
    </w:p>
    <w:p w14:paraId="5F3F160B">
      <w:pPr>
        <w:adjustRightInd/>
        <w:spacing w:line="300" w:lineRule="auto"/>
        <w:ind w:firstLine="480" w:firstLineChars="200"/>
        <w:rPr>
          <w:rFonts w:ascii="仿宋_GB2312" w:eastAsia="仿宋_GB2312"/>
          <w:color w:val="auto"/>
          <w:sz w:val="24"/>
          <w:highlight w:val="none"/>
        </w:rPr>
      </w:pPr>
      <w:r>
        <w:rPr>
          <w:rFonts w:eastAsia="仿宋_GB2312"/>
          <w:color w:val="auto"/>
          <w:sz w:val="24"/>
          <w:highlight w:val="none"/>
        </w:rPr>
        <w:t>1.11.4 承包人在施工过程中所采用的专利、专有技术、技术秘密的使用费的承担方式：</w:t>
      </w:r>
      <w:r>
        <w:rPr>
          <w:rFonts w:hint="eastAsia" w:eastAsia="仿宋_GB2312"/>
          <w:color w:val="auto"/>
          <w:sz w:val="24"/>
          <w:highlight w:val="none"/>
          <w:u w:val="single"/>
        </w:rPr>
        <w:t>/</w:t>
      </w:r>
      <w:r>
        <w:rPr>
          <w:rFonts w:hint="eastAsia" w:ascii="仿宋_GB2312" w:eastAsia="仿宋_GB2312"/>
          <w:b/>
          <w:color w:val="auto"/>
          <w:sz w:val="24"/>
          <w:highlight w:val="none"/>
          <w:u w:val="single"/>
        </w:rPr>
        <w:t>。</w:t>
      </w:r>
    </w:p>
    <w:p w14:paraId="123D7D50">
      <w:pPr>
        <w:adjustRightInd/>
        <w:spacing w:line="300" w:lineRule="auto"/>
        <w:ind w:firstLine="480" w:firstLineChars="200"/>
        <w:rPr>
          <w:rFonts w:eastAsia="黑体"/>
          <w:color w:val="auto"/>
          <w:sz w:val="24"/>
          <w:highlight w:val="none"/>
        </w:rPr>
      </w:pPr>
      <w:r>
        <w:rPr>
          <w:rFonts w:eastAsia="黑体"/>
          <w:color w:val="auto"/>
          <w:sz w:val="24"/>
          <w:highlight w:val="none"/>
        </w:rPr>
        <w:t>1.13工程量清单错误的修正</w:t>
      </w:r>
    </w:p>
    <w:p w14:paraId="5BFD2D51">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出现工程量清单错误时，是否调整合同价格：</w:t>
      </w:r>
      <w:r>
        <w:rPr>
          <w:rFonts w:hint="eastAsia" w:ascii="仿宋_GB2312" w:eastAsia="仿宋_GB2312"/>
          <w:b/>
          <w:color w:val="auto"/>
          <w:sz w:val="24"/>
          <w:highlight w:val="none"/>
          <w:u w:val="single"/>
        </w:rPr>
        <w:t xml:space="preserve">   是         </w:t>
      </w:r>
      <w:r>
        <w:rPr>
          <w:rFonts w:hint="eastAsia" w:ascii="仿宋_GB2312" w:eastAsia="仿宋_GB2312"/>
          <w:b/>
          <w:color w:val="auto"/>
          <w:sz w:val="24"/>
          <w:highlight w:val="none"/>
        </w:rPr>
        <w:t>；</w:t>
      </w:r>
    </w:p>
    <w:p w14:paraId="1AC072AA">
      <w:pPr>
        <w:adjustRightInd/>
        <w:spacing w:line="300" w:lineRule="auto"/>
        <w:ind w:firstLine="480" w:firstLineChars="200"/>
        <w:rPr>
          <w:rFonts w:ascii="黑体" w:eastAsia="黑体"/>
          <w:b/>
          <w:color w:val="auto"/>
          <w:sz w:val="24"/>
          <w:highlight w:val="none"/>
        </w:rPr>
      </w:pPr>
      <w:r>
        <w:rPr>
          <w:rFonts w:eastAsia="仿宋_GB2312"/>
          <w:color w:val="auto"/>
          <w:sz w:val="24"/>
          <w:highlight w:val="none"/>
        </w:rPr>
        <w:t>允许调整合同价格的工程量偏差范围：</w:t>
      </w:r>
      <w:r>
        <w:rPr>
          <w:rFonts w:hint="eastAsia" w:eastAsia="仿宋_GB2312"/>
          <w:color w:val="auto"/>
          <w:sz w:val="24"/>
          <w:highlight w:val="none"/>
          <w:u w:val="single"/>
        </w:rPr>
        <w:t>按专用合同条款10.4.1执行；</w:t>
      </w:r>
    </w:p>
    <w:p w14:paraId="63FBAF5C">
      <w:pPr>
        <w:adjustRightInd/>
        <w:spacing w:line="300" w:lineRule="auto"/>
        <w:ind w:firstLine="482" w:firstLineChars="200"/>
        <w:rPr>
          <w:rFonts w:hint="eastAsia" w:ascii="仿宋_GB2312" w:hAnsi="宋体" w:eastAsia="仿宋_GB2312"/>
          <w:b/>
          <w:color w:val="auto"/>
          <w:sz w:val="24"/>
          <w:highlight w:val="none"/>
        </w:rPr>
      </w:pPr>
      <w:bookmarkStart w:id="499" w:name="_Toc351203634"/>
      <w:r>
        <w:rPr>
          <w:rFonts w:hint="eastAsia" w:ascii="仿宋_GB2312" w:hAnsi="宋体" w:eastAsia="仿宋_GB2312"/>
          <w:b/>
          <w:color w:val="auto"/>
          <w:sz w:val="24"/>
          <w:highlight w:val="none"/>
        </w:rPr>
        <w:t>调整合同价格的修正时间：</w:t>
      </w:r>
      <w:r>
        <w:rPr>
          <w:rFonts w:hint="eastAsia" w:eastAsia="仿宋_GB2312"/>
          <w:color w:val="auto"/>
          <w:sz w:val="24"/>
          <w:highlight w:val="none"/>
          <w:u w:val="single"/>
        </w:rPr>
        <w:t>工程竣工结算审计时，</w:t>
      </w:r>
      <w:r>
        <w:rPr>
          <w:rFonts w:hint="eastAsia" w:ascii="仿宋_GB2312" w:hAnsi="宋体" w:eastAsia="仿宋_GB2312"/>
          <w:color w:val="auto"/>
          <w:sz w:val="24"/>
          <w:highlight w:val="none"/>
          <w:u w:val="single"/>
        </w:rPr>
        <w:t>最终价格以竣工结算审计为准</w:t>
      </w:r>
      <w:r>
        <w:rPr>
          <w:rFonts w:hint="eastAsia" w:ascii="仿宋_GB2312" w:hAnsi="宋体" w:eastAsia="仿宋_GB2312"/>
          <w:b/>
          <w:color w:val="auto"/>
          <w:sz w:val="24"/>
          <w:highlight w:val="none"/>
        </w:rPr>
        <w:t>。</w:t>
      </w:r>
    </w:p>
    <w:p w14:paraId="498340D3">
      <w:pPr>
        <w:pStyle w:val="8"/>
        <w:spacing w:before="0" w:after="0" w:line="300" w:lineRule="auto"/>
        <w:rPr>
          <w:rFonts w:ascii="Times New Roman" w:hAnsi="Times New Roman"/>
          <w:b w:val="0"/>
          <w:color w:val="auto"/>
          <w:sz w:val="24"/>
          <w:szCs w:val="24"/>
          <w:highlight w:val="none"/>
        </w:rPr>
      </w:pPr>
      <w:r>
        <w:rPr>
          <w:rFonts w:ascii="Times New Roman" w:hAnsi="Times New Roman"/>
          <w:b w:val="0"/>
          <w:color w:val="auto"/>
          <w:sz w:val="24"/>
          <w:szCs w:val="24"/>
          <w:highlight w:val="none"/>
        </w:rPr>
        <w:t>2</w:t>
      </w:r>
      <w:bookmarkStart w:id="500" w:name="_Toc296503157"/>
      <w:bookmarkStart w:id="501" w:name="_Toc296346658"/>
      <w:bookmarkStart w:id="502" w:name="_Toc296890985"/>
      <w:bookmarkStart w:id="503" w:name="_Toc292559867"/>
      <w:bookmarkStart w:id="504" w:name="_Toc296944496"/>
      <w:bookmarkStart w:id="505" w:name="_Toc297048343"/>
      <w:bookmarkStart w:id="506" w:name="_Toc292559362"/>
      <w:bookmarkStart w:id="507" w:name="_Toc296347156"/>
      <w:bookmarkStart w:id="508" w:name="_Toc297120457"/>
      <w:bookmarkStart w:id="509" w:name="_Toc296891197"/>
      <w:r>
        <w:rPr>
          <w:rFonts w:ascii="Times New Roman" w:hAnsi="Times New Roman"/>
          <w:b w:val="0"/>
          <w:color w:val="auto"/>
          <w:sz w:val="24"/>
          <w:szCs w:val="24"/>
          <w:highlight w:val="none"/>
        </w:rPr>
        <w:t>. 发包人</w:t>
      </w:r>
      <w:bookmarkEnd w:id="499"/>
    </w:p>
    <w:bookmarkEnd w:id="500"/>
    <w:bookmarkEnd w:id="501"/>
    <w:bookmarkEnd w:id="502"/>
    <w:bookmarkEnd w:id="503"/>
    <w:bookmarkEnd w:id="504"/>
    <w:bookmarkEnd w:id="505"/>
    <w:bookmarkEnd w:id="506"/>
    <w:bookmarkEnd w:id="507"/>
    <w:bookmarkEnd w:id="508"/>
    <w:bookmarkEnd w:id="509"/>
    <w:p w14:paraId="4B5AC7C7">
      <w:pPr>
        <w:adjustRightInd/>
        <w:spacing w:line="300" w:lineRule="auto"/>
        <w:ind w:left="149" w:leftChars="71" w:firstLine="354" w:firstLineChars="147"/>
        <w:rPr>
          <w:rFonts w:hint="eastAsia" w:ascii="仿宋_GB2312" w:hAnsi="宋体" w:eastAsia="仿宋_GB2312"/>
          <w:b/>
          <w:color w:val="auto"/>
          <w:sz w:val="24"/>
          <w:highlight w:val="none"/>
        </w:rPr>
      </w:pPr>
      <w:r>
        <w:rPr>
          <w:rFonts w:hint="eastAsia" w:ascii="仿宋_GB2312" w:hAnsi="宋体" w:eastAsia="仿宋_GB2312"/>
          <w:b/>
          <w:color w:val="auto"/>
          <w:sz w:val="24"/>
          <w:highlight w:val="none"/>
        </w:rPr>
        <w:t>发包人应根据工程所需配备发包人代表，同时配备1-2名相关人员到岗履职。</w:t>
      </w:r>
    </w:p>
    <w:p w14:paraId="74AEF10F">
      <w:pPr>
        <w:adjustRightInd/>
        <w:spacing w:line="300" w:lineRule="auto"/>
        <w:ind w:firstLine="480" w:firstLineChars="200"/>
        <w:rPr>
          <w:rFonts w:eastAsia="黑体"/>
          <w:color w:val="auto"/>
          <w:sz w:val="24"/>
          <w:highlight w:val="none"/>
        </w:rPr>
      </w:pPr>
      <w:r>
        <w:rPr>
          <w:rFonts w:eastAsia="黑体"/>
          <w:color w:val="auto"/>
          <w:sz w:val="24"/>
          <w:highlight w:val="none"/>
        </w:rPr>
        <w:t>2.2 发包人代表</w:t>
      </w:r>
    </w:p>
    <w:p w14:paraId="7662CF7F">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发包人代表：</w:t>
      </w:r>
    </w:p>
    <w:p w14:paraId="47BF2F80">
      <w:pPr>
        <w:adjustRightInd/>
        <w:spacing w:line="300" w:lineRule="auto"/>
        <w:ind w:firstLine="480" w:firstLineChars="200"/>
        <w:rPr>
          <w:rFonts w:eastAsia="仿宋_GB2312"/>
          <w:color w:val="auto"/>
          <w:sz w:val="24"/>
          <w:highlight w:val="none"/>
        </w:rPr>
      </w:pPr>
      <w:r>
        <w:rPr>
          <w:rFonts w:eastAsia="仿宋_GB2312"/>
          <w:color w:val="auto"/>
          <w:sz w:val="24"/>
          <w:highlight w:val="none"/>
        </w:rPr>
        <w:t>姓    名：</w:t>
      </w:r>
      <w:r>
        <w:rPr>
          <w:rFonts w:eastAsia="仿宋_GB2312"/>
          <w:color w:val="auto"/>
          <w:sz w:val="24"/>
          <w:highlight w:val="none"/>
          <w:u w:val="single"/>
        </w:rPr>
        <w:t>   </w:t>
      </w:r>
      <w:r>
        <w:rPr>
          <w:rFonts w:eastAsia="仿宋_GB2312"/>
          <w:color w:val="auto"/>
          <w:sz w:val="24"/>
          <w:highlight w:val="none"/>
        </w:rPr>
        <w:t>；</w:t>
      </w:r>
    </w:p>
    <w:p w14:paraId="0C8E1ECA">
      <w:pPr>
        <w:adjustRightInd/>
        <w:spacing w:line="300" w:lineRule="auto"/>
        <w:ind w:firstLine="480" w:firstLineChars="200"/>
        <w:rPr>
          <w:rFonts w:eastAsia="仿宋_GB2312"/>
          <w:color w:val="auto"/>
          <w:sz w:val="24"/>
          <w:highlight w:val="none"/>
        </w:rPr>
      </w:pPr>
      <w:r>
        <w:rPr>
          <w:rFonts w:eastAsia="仿宋_GB2312"/>
          <w:color w:val="auto"/>
          <w:sz w:val="24"/>
          <w:highlight w:val="none"/>
        </w:rPr>
        <w:t>身份证号：</w:t>
      </w:r>
      <w:r>
        <w:rPr>
          <w:rFonts w:eastAsia="仿宋_GB2312"/>
          <w:color w:val="auto"/>
          <w:sz w:val="24"/>
          <w:highlight w:val="none"/>
          <w:u w:val="single"/>
        </w:rPr>
        <w:t>    </w:t>
      </w:r>
      <w:r>
        <w:rPr>
          <w:rFonts w:eastAsia="仿宋_GB2312"/>
          <w:color w:val="auto"/>
          <w:sz w:val="24"/>
          <w:highlight w:val="none"/>
        </w:rPr>
        <w:t>；</w:t>
      </w:r>
    </w:p>
    <w:p w14:paraId="433FE454">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职    务：</w:t>
      </w:r>
      <w:r>
        <w:rPr>
          <w:rFonts w:eastAsia="仿宋_GB2312"/>
          <w:color w:val="auto"/>
          <w:sz w:val="24"/>
          <w:highlight w:val="none"/>
          <w:u w:val="single"/>
        </w:rPr>
        <w:t>    </w:t>
      </w:r>
      <w:r>
        <w:rPr>
          <w:rFonts w:eastAsia="仿宋_GB2312"/>
          <w:color w:val="auto"/>
          <w:sz w:val="24"/>
          <w:highlight w:val="none"/>
        </w:rPr>
        <w:t>；</w:t>
      </w:r>
    </w:p>
    <w:p w14:paraId="05274628">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联系电话：</w:t>
      </w:r>
      <w:r>
        <w:rPr>
          <w:rFonts w:eastAsia="仿宋_GB2312"/>
          <w:color w:val="auto"/>
          <w:sz w:val="24"/>
          <w:highlight w:val="none"/>
          <w:u w:val="single"/>
        </w:rPr>
        <w:t>    </w:t>
      </w:r>
      <w:r>
        <w:rPr>
          <w:rFonts w:eastAsia="仿宋_GB2312"/>
          <w:color w:val="auto"/>
          <w:sz w:val="24"/>
          <w:highlight w:val="none"/>
        </w:rPr>
        <w:t>；</w:t>
      </w:r>
    </w:p>
    <w:p w14:paraId="4EBB25A0">
      <w:pPr>
        <w:adjustRightInd/>
        <w:spacing w:line="300" w:lineRule="auto"/>
        <w:ind w:firstLine="480" w:firstLineChars="200"/>
        <w:rPr>
          <w:rFonts w:eastAsia="仿宋_GB2312"/>
          <w:color w:val="auto"/>
          <w:sz w:val="24"/>
          <w:highlight w:val="none"/>
        </w:rPr>
      </w:pPr>
      <w:r>
        <w:rPr>
          <w:rFonts w:eastAsia="仿宋_GB2312"/>
          <w:color w:val="auto"/>
          <w:sz w:val="24"/>
          <w:highlight w:val="none"/>
        </w:rPr>
        <w:t>电子信箱：</w:t>
      </w:r>
      <w:r>
        <w:rPr>
          <w:rFonts w:eastAsia="仿宋_GB2312"/>
          <w:color w:val="auto"/>
          <w:sz w:val="24"/>
          <w:highlight w:val="none"/>
          <w:u w:val="single"/>
        </w:rPr>
        <w:t>    </w:t>
      </w:r>
      <w:r>
        <w:rPr>
          <w:rFonts w:eastAsia="仿宋_GB2312"/>
          <w:color w:val="auto"/>
          <w:sz w:val="24"/>
          <w:highlight w:val="none"/>
        </w:rPr>
        <w:t>；</w:t>
      </w:r>
    </w:p>
    <w:p w14:paraId="7C9F54B2">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通信地址：</w:t>
      </w:r>
      <w:r>
        <w:rPr>
          <w:rFonts w:eastAsia="仿宋_GB2312"/>
          <w:color w:val="auto"/>
          <w:sz w:val="24"/>
          <w:highlight w:val="none"/>
          <w:u w:val="single"/>
        </w:rPr>
        <w:t>  </w:t>
      </w:r>
      <w:r>
        <w:rPr>
          <w:rFonts w:eastAsia="仿宋_GB2312"/>
          <w:color w:val="auto"/>
          <w:sz w:val="24"/>
          <w:highlight w:val="none"/>
        </w:rPr>
        <w:t>。</w:t>
      </w:r>
    </w:p>
    <w:p w14:paraId="07812E3F">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发包人对发包人代表的授权范围如下：</w:t>
      </w:r>
    </w:p>
    <w:p w14:paraId="01D7EADA">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a．代表发包人对工程质量、进度、成本、安全及文明施工进行监督，工程存在质量问题或安全问题或施工进度不符合要求的，现场代表有权要求施工单位采取整改措施；</w:t>
      </w:r>
    </w:p>
    <w:p w14:paraId="53595701">
      <w:pPr>
        <w:adjustRightInd/>
        <w:spacing w:line="300" w:lineRule="auto"/>
        <w:ind w:firstLine="480" w:firstLineChars="200"/>
        <w:rPr>
          <w:rFonts w:eastAsia="黑体"/>
          <w:color w:val="auto"/>
          <w:sz w:val="24"/>
          <w:highlight w:val="none"/>
        </w:rPr>
      </w:pPr>
      <w:r>
        <w:rPr>
          <w:rFonts w:eastAsia="黑体"/>
          <w:color w:val="auto"/>
          <w:sz w:val="24"/>
          <w:highlight w:val="none"/>
        </w:rPr>
        <w:t>2.4 施工现场、施工条件和基础资料的提供</w:t>
      </w:r>
    </w:p>
    <w:p w14:paraId="256BA8D8">
      <w:pPr>
        <w:adjustRightInd/>
        <w:spacing w:line="300" w:lineRule="auto"/>
        <w:ind w:firstLine="480" w:firstLineChars="200"/>
        <w:rPr>
          <w:rFonts w:eastAsia="仿宋_GB2312"/>
          <w:color w:val="auto"/>
          <w:sz w:val="24"/>
          <w:highlight w:val="none"/>
        </w:rPr>
      </w:pPr>
      <w:r>
        <w:rPr>
          <w:rFonts w:eastAsia="仿宋_GB2312"/>
          <w:color w:val="auto"/>
          <w:sz w:val="24"/>
          <w:highlight w:val="none"/>
        </w:rPr>
        <w:t>2.4.1 提供施工现场</w:t>
      </w:r>
    </w:p>
    <w:p w14:paraId="2E392B08">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关于发包人移交施工现场的期限要求</w:t>
      </w:r>
      <w:r>
        <w:rPr>
          <w:rFonts w:eastAsia="仿宋_GB2312"/>
          <w:color w:val="auto"/>
          <w:sz w:val="24"/>
          <w:highlight w:val="none"/>
          <w:u w:val="single"/>
        </w:rPr>
        <w:t>：</w:t>
      </w:r>
      <w:r>
        <w:rPr>
          <w:rFonts w:hint="eastAsia" w:eastAsia="仿宋_GB2312"/>
          <w:color w:val="auto"/>
          <w:sz w:val="24"/>
          <w:highlight w:val="none"/>
          <w:u w:val="single"/>
        </w:rPr>
        <w:t xml:space="preserve">  开工前移交</w:t>
      </w:r>
      <w:r>
        <w:rPr>
          <w:rFonts w:eastAsia="仿宋_GB2312"/>
          <w:color w:val="auto"/>
          <w:sz w:val="24"/>
          <w:highlight w:val="none"/>
        </w:rPr>
        <w:t>。</w:t>
      </w:r>
    </w:p>
    <w:p w14:paraId="62348D19">
      <w:pPr>
        <w:adjustRightInd/>
        <w:spacing w:line="300" w:lineRule="auto"/>
        <w:ind w:firstLine="480" w:firstLineChars="200"/>
        <w:rPr>
          <w:rFonts w:eastAsia="仿宋_GB2312"/>
          <w:color w:val="auto"/>
          <w:sz w:val="24"/>
          <w:highlight w:val="none"/>
        </w:rPr>
      </w:pPr>
      <w:r>
        <w:rPr>
          <w:rFonts w:eastAsia="仿宋_GB2312"/>
          <w:color w:val="auto"/>
          <w:sz w:val="24"/>
          <w:highlight w:val="none"/>
        </w:rPr>
        <w:t>2.4.2 提供施工条件</w:t>
      </w:r>
    </w:p>
    <w:p w14:paraId="1515E4F5">
      <w:pPr>
        <w:autoSpaceDE w:val="0"/>
        <w:autoSpaceDN w:val="0"/>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关于发包人应负责提供施工</w:t>
      </w:r>
      <w:r>
        <w:rPr>
          <w:rFonts w:hint="eastAsia" w:eastAsia="仿宋_GB2312"/>
          <w:color w:val="auto"/>
          <w:sz w:val="24"/>
          <w:highlight w:val="none"/>
        </w:rPr>
        <w:t>所需要的条件，</w:t>
      </w:r>
      <w:r>
        <w:rPr>
          <w:rFonts w:eastAsia="仿宋_GB2312"/>
          <w:color w:val="auto"/>
          <w:sz w:val="24"/>
          <w:highlight w:val="none"/>
        </w:rPr>
        <w:t>包括：</w:t>
      </w:r>
    </w:p>
    <w:p w14:paraId="03FD3B90">
      <w:pPr>
        <w:pStyle w:val="897"/>
        <w:spacing w:line="300" w:lineRule="auto"/>
        <w:ind w:left="420" w:firstLine="480"/>
        <w:rPr>
          <w:rFonts w:eastAsia="仿宋_GB2312"/>
          <w:color w:val="auto"/>
          <w:highlight w:val="none"/>
          <w:u w:val="single"/>
        </w:rPr>
      </w:pPr>
      <w:r>
        <w:rPr>
          <w:rFonts w:hint="eastAsia" w:eastAsia="仿宋_GB2312"/>
          <w:color w:val="auto"/>
          <w:highlight w:val="none"/>
          <w:u w:val="single"/>
        </w:rPr>
        <w:t>(1)施工用水、用电接入点由发包人提供，场地内水电线路架设及用水用电产生的费用由承包人承担，如因施工场地原因临时变压器位置需迁移的，所发生的费用由承包人承担，如需重新报批的，由承包人负责。由变压器下端和自来水出口接至施工现场的相关费用及场内的用电接线盒、用水接管（含水表和电表）等由承包人负责并自行考虑在技术措施项目中综合报价，结算时不作调整。承包人应考虑自备发电设备和临时蓄水池，以防止施工过程中的临时停电和停水对工程进度和质量等的影响，费用包含在相关措施费中。水准点与坐标点交验完毕即由承包人负责保护，施工期间因承包人原因造成水、电总计量表损坏导致无法抄表，或由于破坏和失准带来的重新测量、放点费用等，由承包人无条件承担所有费用及责任。</w:t>
      </w:r>
    </w:p>
    <w:p w14:paraId="24E2AB67">
      <w:pPr>
        <w:pStyle w:val="897"/>
        <w:spacing w:line="300" w:lineRule="auto"/>
        <w:ind w:left="420" w:firstLine="480"/>
        <w:rPr>
          <w:rFonts w:eastAsia="仿宋_GB2312"/>
          <w:color w:val="auto"/>
          <w:highlight w:val="none"/>
          <w:u w:val="single"/>
        </w:rPr>
      </w:pPr>
      <w:r>
        <w:rPr>
          <w:rFonts w:hint="eastAsia" w:eastAsia="仿宋_GB2312"/>
          <w:color w:val="auto"/>
          <w:highlight w:val="none"/>
          <w:u w:val="single"/>
        </w:rPr>
        <w:t>(2)承包人在投标前已踏勘现场，进出场通道、临时施工便道和临时变压器的位置迁移由承包人自行考虑，费用已计入报价。通道在施工期间由承包人围护，道路围护、清洁所发生的费用由承包人承担。</w:t>
      </w:r>
    </w:p>
    <w:p w14:paraId="26D648B7">
      <w:pPr>
        <w:pStyle w:val="897"/>
        <w:spacing w:line="300" w:lineRule="auto"/>
        <w:ind w:left="420" w:firstLine="480"/>
        <w:rPr>
          <w:rFonts w:eastAsia="仿宋_GB2312"/>
          <w:color w:val="auto"/>
          <w:highlight w:val="none"/>
          <w:u w:val="single"/>
        </w:rPr>
      </w:pPr>
      <w:r>
        <w:rPr>
          <w:rFonts w:hint="eastAsia" w:eastAsia="仿宋_GB2312"/>
          <w:color w:val="auto"/>
          <w:highlight w:val="none"/>
          <w:u w:val="single"/>
        </w:rPr>
        <w:t>(3)开工前向承包人提供工程地质和地下管网线资料，承包人在收到发包人提供的资料后（5）日内对资料进行复核。逾期未提出异议的，视为承包人对资料无异议。承包人需采取措施保护地下管网线，费用由承包人负责。如工程施工损坏地下管线的，由承包人承担责任。发包人向承包人提供的工程地质和地下管网线资料不全的，施工过程中，承包人如发现施工场地周围可能存在资料中未反映的地下管网线的，应立即停止施工并向发包人及相关单位书面报告，待确认安全后方可施工，否则因施工损坏地下管网线的，由承包人承担责任。</w:t>
      </w:r>
    </w:p>
    <w:p w14:paraId="05B05419">
      <w:pPr>
        <w:adjustRightInd/>
        <w:spacing w:line="300" w:lineRule="auto"/>
        <w:ind w:firstLine="480" w:firstLineChars="200"/>
        <w:rPr>
          <w:rFonts w:eastAsia="黑体"/>
          <w:color w:val="auto"/>
          <w:sz w:val="24"/>
          <w:highlight w:val="none"/>
        </w:rPr>
      </w:pPr>
      <w:r>
        <w:rPr>
          <w:rFonts w:eastAsia="黑体"/>
          <w:color w:val="auto"/>
          <w:sz w:val="24"/>
          <w:highlight w:val="none"/>
        </w:rPr>
        <w:t>2.5 资金来源证明及支付担保</w:t>
      </w:r>
    </w:p>
    <w:p w14:paraId="5896FEB9">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发包人提供资金来源证明的期限要求：</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rPr>
        <w:t>。</w:t>
      </w:r>
    </w:p>
    <w:p w14:paraId="33B6EF87">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发包人是否提供支付担保：</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w:t>
      </w:r>
    </w:p>
    <w:p w14:paraId="0C0FCC3D">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发包人提供支付担保的形式：</w:t>
      </w:r>
      <w:r>
        <w:rPr>
          <w:rFonts w:hint="eastAsia" w:eastAsia="仿宋_GB2312"/>
          <w:color w:val="auto"/>
          <w:sz w:val="24"/>
          <w:highlight w:val="none"/>
          <w:u w:val="single"/>
        </w:rPr>
        <w:t xml:space="preserve">           /           </w:t>
      </w:r>
      <w:r>
        <w:rPr>
          <w:rFonts w:eastAsia="仿宋_GB2312"/>
          <w:color w:val="auto"/>
          <w:sz w:val="24"/>
          <w:highlight w:val="none"/>
        </w:rPr>
        <w:t>。</w:t>
      </w:r>
    </w:p>
    <w:p w14:paraId="551AEA7E">
      <w:pPr>
        <w:pStyle w:val="8"/>
        <w:spacing w:before="0" w:after="0" w:line="300" w:lineRule="auto"/>
        <w:rPr>
          <w:rFonts w:ascii="Times New Roman" w:hAnsi="Times New Roman"/>
          <w:b w:val="0"/>
          <w:color w:val="auto"/>
          <w:sz w:val="24"/>
          <w:szCs w:val="24"/>
          <w:highlight w:val="none"/>
        </w:rPr>
      </w:pPr>
      <w:bookmarkStart w:id="510" w:name="_Toc351203635"/>
      <w:r>
        <w:rPr>
          <w:rFonts w:ascii="Times New Roman" w:hAnsi="Times New Roman"/>
          <w:b w:val="0"/>
          <w:color w:val="auto"/>
          <w:sz w:val="24"/>
          <w:szCs w:val="24"/>
          <w:highlight w:val="none"/>
        </w:rPr>
        <w:t>3</w:t>
      </w:r>
      <w:bookmarkStart w:id="511" w:name="_Toc296346659"/>
      <w:bookmarkStart w:id="512" w:name="_Toc296503158"/>
      <w:bookmarkStart w:id="513" w:name="_Toc292559363"/>
      <w:bookmarkStart w:id="514" w:name="_Toc297048344"/>
      <w:bookmarkStart w:id="515" w:name="_Toc292559868"/>
      <w:bookmarkStart w:id="516" w:name="_Toc296944497"/>
      <w:bookmarkStart w:id="517" w:name="_Toc296347157"/>
      <w:bookmarkStart w:id="518" w:name="_Toc296890986"/>
      <w:bookmarkStart w:id="519" w:name="_Toc296891198"/>
      <w:bookmarkStart w:id="520" w:name="_Toc297120458"/>
      <w:r>
        <w:rPr>
          <w:rFonts w:ascii="Times New Roman" w:hAnsi="Times New Roman"/>
          <w:b w:val="0"/>
          <w:color w:val="auto"/>
          <w:sz w:val="24"/>
          <w:szCs w:val="24"/>
          <w:highlight w:val="none"/>
        </w:rPr>
        <w:t>. 承包人</w:t>
      </w:r>
      <w:bookmarkEnd w:id="510"/>
    </w:p>
    <w:bookmarkEnd w:id="511"/>
    <w:bookmarkEnd w:id="512"/>
    <w:bookmarkEnd w:id="513"/>
    <w:bookmarkEnd w:id="514"/>
    <w:bookmarkEnd w:id="515"/>
    <w:bookmarkEnd w:id="516"/>
    <w:bookmarkEnd w:id="517"/>
    <w:bookmarkEnd w:id="518"/>
    <w:bookmarkEnd w:id="519"/>
    <w:bookmarkEnd w:id="520"/>
    <w:p w14:paraId="04A2D5AB">
      <w:pPr>
        <w:adjustRightInd/>
        <w:spacing w:line="300" w:lineRule="auto"/>
        <w:ind w:firstLine="480" w:firstLineChars="200"/>
        <w:rPr>
          <w:rFonts w:eastAsia="黑体"/>
          <w:color w:val="auto"/>
          <w:sz w:val="24"/>
          <w:highlight w:val="none"/>
        </w:rPr>
      </w:pPr>
      <w:r>
        <w:rPr>
          <w:rFonts w:eastAsia="黑体"/>
          <w:color w:val="auto"/>
          <w:sz w:val="24"/>
          <w:highlight w:val="none"/>
        </w:rPr>
        <w:t>3.1 承包人的一般义务</w:t>
      </w:r>
    </w:p>
    <w:p w14:paraId="75EBB831">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（1）</w:t>
      </w:r>
    </w:p>
    <w:p w14:paraId="6F061D0B">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①办理法律规定应由承包人办理的许可和批准，并将办理结果书面报送发包人留存；</w:t>
      </w:r>
    </w:p>
    <w:p w14:paraId="589528E7">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②按法律规定和合同约定完成工程，并在保修期内承担保修义务；</w:t>
      </w:r>
    </w:p>
    <w:p w14:paraId="6D4F1423">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③按法律规定和合同约定采取施工安全和环境保护措施，办理工伤保险，确保工程及人员、材料、设备和设施的安全；</w:t>
      </w:r>
    </w:p>
    <w:p w14:paraId="0DC463FA">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④按合同约定的工作内容和施工进度要求，编制施工组织设计和施工措施计划，并对所有施工作业和施工方法的完备性和安全可靠性负责；</w:t>
      </w:r>
    </w:p>
    <w:p w14:paraId="423C189B">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⑤按第6.1款[安全文明施工]约定采取施工安全措施，确保工程及其人员、材料、设备和设施的安全，防止因工程施工造成的人身伤害和财产损失；</w:t>
      </w:r>
    </w:p>
    <w:p w14:paraId="1688C149">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⑥按照法律规定和合同约定编制竣工资料，完成竣工资料立卷及归档，并按专用合同条款约定的竣工资料的套数、内容、时间等要求移交发包人；</w:t>
      </w:r>
    </w:p>
    <w:p w14:paraId="176BD23B">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⑦根据国家与工程所在地的相关档案管理规定及备案要求，提交完整、标准的竣工图及技术资料、光盘和竣工图电子文档(包括分包工程的竣工资料及政府部门验收所需的其他相关资料)，如因资料不符合城建档案馆及其他有关部门的要求，而产生的资料整理费用，由承包人承担</w:t>
      </w:r>
      <w:r>
        <w:rPr>
          <w:rFonts w:eastAsia="仿宋_GB2312"/>
          <w:color w:val="auto"/>
          <w:sz w:val="24"/>
          <w:highlight w:val="none"/>
          <w:u w:val="single"/>
        </w:rPr>
        <w:t>。</w:t>
      </w:r>
    </w:p>
    <w:p w14:paraId="1E6CEA91">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⑧承包人应履行的其他义务：</w:t>
      </w:r>
    </w:p>
    <w:p w14:paraId="536F7AF1">
      <w:pPr>
        <w:snapToGrid w:val="0"/>
        <w:spacing w:line="300" w:lineRule="auto"/>
        <w:ind w:firstLine="480" w:firstLineChars="200"/>
        <w:jc w:val="left"/>
        <w:rPr>
          <w:rFonts w:eastAsia="仿宋_GB2312"/>
          <w:color w:val="auto"/>
          <w:sz w:val="24"/>
          <w:highlight w:val="none"/>
          <w:u w:val="single"/>
        </w:rPr>
      </w:pPr>
      <w:r>
        <w:rPr>
          <w:rFonts w:eastAsia="仿宋_GB2312"/>
          <w:color w:val="auto"/>
          <w:sz w:val="24"/>
          <w:highlight w:val="none"/>
        </w:rPr>
        <w:t>（5）承包人提交的竣工资料的内容：</w:t>
      </w:r>
      <w:r>
        <w:rPr>
          <w:rFonts w:hint="eastAsia" w:eastAsia="仿宋_GB2312"/>
          <w:color w:val="auto"/>
          <w:sz w:val="24"/>
          <w:highlight w:val="none"/>
          <w:u w:val="single"/>
        </w:rPr>
        <w:t>按GB/T 50328—2014、JGJ／T185-2009、杭建办发〔2013〕153 号及杭州市城建档案馆资料归档要求的竣工图、技术资料、光盘和竣工图电子文档 (包括分包工程的竣工资料及政府部门验收所需的其他相关资料)</w:t>
      </w:r>
      <w:r>
        <w:rPr>
          <w:rFonts w:eastAsia="仿宋_GB2312"/>
          <w:color w:val="auto"/>
          <w:sz w:val="24"/>
          <w:highlight w:val="none"/>
          <w:u w:val="single"/>
        </w:rPr>
        <w:t>。</w:t>
      </w:r>
    </w:p>
    <w:p w14:paraId="76CC4737">
      <w:pPr>
        <w:snapToGrid w:val="0"/>
        <w:spacing w:line="300" w:lineRule="auto"/>
        <w:ind w:firstLine="480" w:firstLineChars="200"/>
        <w:jc w:val="left"/>
        <w:rPr>
          <w:rFonts w:eastAsia="仿宋_GB2312"/>
          <w:color w:val="auto"/>
          <w:sz w:val="24"/>
          <w:highlight w:val="none"/>
        </w:rPr>
      </w:pPr>
      <w:r>
        <w:rPr>
          <w:rFonts w:eastAsia="仿宋_GB2312"/>
          <w:color w:val="auto"/>
          <w:sz w:val="24"/>
          <w:highlight w:val="none"/>
        </w:rPr>
        <w:t>承包人需要提交的竣工资料套数：</w:t>
      </w:r>
      <w:r>
        <w:rPr>
          <w:rFonts w:hint="eastAsia" w:eastAsia="仿宋_GB2312"/>
          <w:color w:val="auto"/>
          <w:sz w:val="24"/>
          <w:highlight w:val="none"/>
          <w:u w:val="single"/>
        </w:rPr>
        <w:t>一式八套</w:t>
      </w:r>
      <w:r>
        <w:rPr>
          <w:rFonts w:eastAsia="仿宋_GB2312"/>
          <w:color w:val="auto"/>
          <w:sz w:val="24"/>
          <w:highlight w:val="none"/>
        </w:rPr>
        <w:t>。</w:t>
      </w:r>
    </w:p>
    <w:p w14:paraId="15D4F6C1">
      <w:pPr>
        <w:snapToGrid w:val="0"/>
        <w:spacing w:line="300" w:lineRule="auto"/>
        <w:ind w:firstLine="480" w:firstLineChars="200"/>
        <w:jc w:val="left"/>
        <w:rPr>
          <w:rFonts w:eastAsia="仿宋_GB2312"/>
          <w:color w:val="auto"/>
          <w:sz w:val="24"/>
          <w:highlight w:val="none"/>
        </w:rPr>
      </w:pPr>
      <w:r>
        <w:rPr>
          <w:rFonts w:eastAsia="仿宋_GB2312"/>
          <w:color w:val="auto"/>
          <w:sz w:val="24"/>
          <w:highlight w:val="none"/>
        </w:rPr>
        <w:t>承包人提交的竣工资料的费用承担：</w:t>
      </w:r>
      <w:r>
        <w:rPr>
          <w:rFonts w:hint="eastAsia" w:eastAsia="仿宋_GB2312"/>
          <w:color w:val="auto"/>
          <w:sz w:val="24"/>
          <w:highlight w:val="none"/>
          <w:u w:val="single"/>
        </w:rPr>
        <w:t>由承包人承担</w:t>
      </w:r>
      <w:r>
        <w:rPr>
          <w:rFonts w:eastAsia="仿宋_GB2312"/>
          <w:color w:val="auto"/>
          <w:sz w:val="24"/>
          <w:highlight w:val="none"/>
        </w:rPr>
        <w:t>。</w:t>
      </w:r>
    </w:p>
    <w:p w14:paraId="260B01A3">
      <w:pPr>
        <w:snapToGrid w:val="0"/>
        <w:spacing w:line="300" w:lineRule="auto"/>
        <w:ind w:firstLine="480" w:firstLineChars="200"/>
        <w:jc w:val="left"/>
        <w:rPr>
          <w:rFonts w:eastAsia="仿宋_GB2312"/>
          <w:color w:val="auto"/>
          <w:sz w:val="24"/>
          <w:highlight w:val="none"/>
        </w:rPr>
      </w:pPr>
      <w:r>
        <w:rPr>
          <w:rFonts w:eastAsia="仿宋_GB2312"/>
          <w:color w:val="auto"/>
          <w:sz w:val="24"/>
          <w:highlight w:val="none"/>
        </w:rPr>
        <w:t>承包人提交的竣工资料移交时间：</w:t>
      </w:r>
      <w:r>
        <w:rPr>
          <w:rFonts w:hint="eastAsia" w:eastAsia="仿宋_GB2312"/>
          <w:color w:val="auto"/>
          <w:sz w:val="24"/>
          <w:highlight w:val="none"/>
          <w:u w:val="single"/>
        </w:rPr>
        <w:t>工程完工后60 个工作日移交</w:t>
      </w:r>
      <w:r>
        <w:rPr>
          <w:rFonts w:eastAsia="仿宋_GB2312"/>
          <w:color w:val="auto"/>
          <w:sz w:val="24"/>
          <w:highlight w:val="none"/>
        </w:rPr>
        <w:t>。</w:t>
      </w:r>
    </w:p>
    <w:p w14:paraId="0F4A948C">
      <w:pPr>
        <w:snapToGrid w:val="0"/>
        <w:spacing w:line="300" w:lineRule="auto"/>
        <w:ind w:firstLine="480" w:firstLineChars="200"/>
        <w:jc w:val="left"/>
        <w:rPr>
          <w:rFonts w:eastAsia="仿宋_GB2312"/>
          <w:color w:val="auto"/>
          <w:sz w:val="24"/>
          <w:highlight w:val="none"/>
          <w:u w:val="single"/>
        </w:rPr>
      </w:pPr>
      <w:r>
        <w:rPr>
          <w:rFonts w:eastAsia="仿宋_GB2312"/>
          <w:color w:val="auto"/>
          <w:sz w:val="24"/>
          <w:highlight w:val="none"/>
        </w:rPr>
        <w:t>承包人提交的竣工资料形式要求：</w:t>
      </w:r>
      <w:r>
        <w:rPr>
          <w:rFonts w:hint="eastAsia" w:eastAsia="仿宋_GB2312"/>
          <w:color w:val="auto"/>
          <w:sz w:val="24"/>
          <w:highlight w:val="none"/>
          <w:u w:val="single"/>
        </w:rPr>
        <w:t>按GB/T 50328—2014、JGJ／T185-2009、杭建办发〔2013〕153 号及杭州市城建档案馆资料归档要求，包括书面纸质文件、影像资料及档案馆要求的电子文档(光盘)等，需符合JGJ／T185-2009及杭州市城建档案馆资料归档要求</w:t>
      </w:r>
      <w:r>
        <w:rPr>
          <w:rFonts w:eastAsia="仿宋_GB2312"/>
          <w:color w:val="auto"/>
          <w:sz w:val="24"/>
          <w:highlight w:val="none"/>
          <w:u w:val="single"/>
        </w:rPr>
        <w:t>。</w:t>
      </w:r>
    </w:p>
    <w:p w14:paraId="3B317987">
      <w:pPr>
        <w:widowControl/>
        <w:snapToGrid w:val="0"/>
        <w:spacing w:line="300" w:lineRule="auto"/>
        <w:ind w:firstLine="480" w:firstLineChars="200"/>
        <w:jc w:val="left"/>
        <w:rPr>
          <w:rFonts w:eastAsia="仿宋_GB2312"/>
          <w:color w:val="auto"/>
          <w:sz w:val="24"/>
          <w:highlight w:val="none"/>
          <w:u w:val="single"/>
        </w:rPr>
      </w:pPr>
      <w:r>
        <w:rPr>
          <w:rFonts w:eastAsia="仿宋_GB2312"/>
          <w:color w:val="auto"/>
          <w:sz w:val="24"/>
          <w:highlight w:val="none"/>
        </w:rPr>
        <w:t>（6）</w:t>
      </w:r>
      <w:r>
        <w:rPr>
          <w:rFonts w:hint="eastAsia" w:eastAsia="仿宋_GB2312"/>
          <w:color w:val="auto"/>
          <w:sz w:val="24"/>
          <w:highlight w:val="none"/>
          <w:u w:val="single"/>
        </w:rPr>
        <w:t>其它</w:t>
      </w:r>
    </w:p>
    <w:p w14:paraId="7410127F">
      <w:pPr>
        <w:pStyle w:val="897"/>
        <w:adjustRightInd w:val="0"/>
        <w:snapToGrid w:val="0"/>
        <w:spacing w:line="300" w:lineRule="auto"/>
        <w:ind w:left="479" w:leftChars="228" w:firstLine="0" w:firstLineChars="0"/>
        <w:jc w:val="left"/>
        <w:rPr>
          <w:rFonts w:eastAsia="仿宋_GB2312"/>
          <w:color w:val="auto"/>
          <w:highlight w:val="none"/>
          <w:u w:val="single"/>
        </w:rPr>
      </w:pPr>
      <w:r>
        <w:rPr>
          <w:rFonts w:hint="eastAsia" w:eastAsia="仿宋_GB2312"/>
          <w:color w:val="auto"/>
          <w:highlight w:val="none"/>
          <w:u w:val="single"/>
        </w:rPr>
        <w:t>①需由设计资质等级和业务范围允许的承包人完成的设计文件提交时间：开工前（7）天完成施工现场平面布置图。</w:t>
      </w:r>
    </w:p>
    <w:p w14:paraId="27A285E7">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②提供计划、报表的名称及完成时间:a、合同签订后（15）天内，承包人应编制施工组织计划及详细的工期、质量、安全文明保证措施方案，并报监理工程师审定。b、按月提供已完成工程量统计报表和下月工程进度计划，每月25日前报发包人和监理方；</w:t>
      </w:r>
    </w:p>
    <w:p w14:paraId="20F7BAD3">
      <w:pPr>
        <w:pStyle w:val="969"/>
        <w:snapToGrid w:val="0"/>
        <w:spacing w:line="300" w:lineRule="auto"/>
        <w:ind w:firstLine="480"/>
        <w:jc w:val="left"/>
        <w:rPr>
          <w:rFonts w:eastAsia="仿宋_GB2312"/>
          <w:color w:val="auto"/>
          <w:kern w:val="0"/>
          <w:highlight w:val="none"/>
          <w:u w:val="single"/>
        </w:rPr>
      </w:pPr>
      <w:r>
        <w:rPr>
          <w:rFonts w:hint="eastAsia" w:eastAsia="仿宋_GB2312"/>
          <w:color w:val="auto"/>
          <w:kern w:val="0"/>
          <w:highlight w:val="none"/>
          <w:u w:val="single"/>
        </w:rPr>
        <w:t>③承担施工安全保卫工作及非夜间施工照明的责任和要求: 严格按照《杭州市建筑工地文明施工管理规定》等有关规定、要求和投标文件承诺的安全文明措施执行。自费承担相应工作(如警卫)和提供相应设施(如护板、围栏等)以保护公共安全，并提供方便。</w:t>
      </w:r>
    </w:p>
    <w:p w14:paraId="5AC6E434">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④完工工程成品保护的特殊要求及费用承担</w:t>
      </w:r>
      <w:r>
        <w:rPr>
          <w:rFonts w:eastAsia="仿宋_GB2312"/>
          <w:color w:val="auto"/>
          <w:highlight w:val="none"/>
          <w:u w:val="single"/>
        </w:rPr>
        <w:t xml:space="preserve">: </w:t>
      </w:r>
      <w:r>
        <w:rPr>
          <w:rFonts w:hint="eastAsia" w:eastAsia="仿宋_GB2312"/>
          <w:color w:val="auto"/>
          <w:highlight w:val="none"/>
          <w:u w:val="single"/>
        </w:rPr>
        <w:t>工程未正式办理交接手续前，成品保护由承包人完全负责(包括所需费用)，如果保护期间发生损坏，承包人须自费予以修复，直至发包人满意为止。</w:t>
      </w:r>
    </w:p>
    <w:p w14:paraId="1B2D7789">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⑤施工场地周围地下管线和邻近建筑物、构筑物</w:t>
      </w:r>
      <w:r>
        <w:rPr>
          <w:rFonts w:eastAsia="仿宋_GB2312"/>
          <w:color w:val="auto"/>
          <w:highlight w:val="none"/>
          <w:u w:val="single"/>
        </w:rPr>
        <w:t>(</w:t>
      </w:r>
      <w:r>
        <w:rPr>
          <w:rFonts w:hint="eastAsia" w:eastAsia="仿宋_GB2312"/>
          <w:color w:val="auto"/>
          <w:highlight w:val="none"/>
          <w:u w:val="single"/>
        </w:rPr>
        <w:t>含文物保护建筑</w:t>
      </w:r>
      <w:r>
        <w:rPr>
          <w:rFonts w:eastAsia="仿宋_GB2312"/>
          <w:color w:val="auto"/>
          <w:highlight w:val="none"/>
          <w:u w:val="single"/>
        </w:rPr>
        <w:t>)</w:t>
      </w:r>
      <w:r>
        <w:rPr>
          <w:rFonts w:hint="eastAsia" w:eastAsia="仿宋_GB2312"/>
          <w:color w:val="auto"/>
          <w:highlight w:val="none"/>
          <w:u w:val="single"/>
        </w:rPr>
        <w:t>、古树名木的保护要求及费用承担</w:t>
      </w:r>
      <w:r>
        <w:rPr>
          <w:rFonts w:eastAsia="仿宋_GB2312"/>
          <w:color w:val="auto"/>
          <w:highlight w:val="none"/>
          <w:u w:val="single"/>
        </w:rPr>
        <w:t xml:space="preserve">: </w:t>
      </w:r>
      <w:r>
        <w:rPr>
          <w:rFonts w:hint="eastAsia" w:eastAsia="仿宋_GB2312"/>
          <w:color w:val="auto"/>
          <w:highlight w:val="none"/>
          <w:u w:val="single"/>
        </w:rPr>
        <w:t>承包人应采取相应保护措施，并承担费用。如因承包人原因造成损坏的，则因承担相应赔偿责任并无条件修复。</w:t>
      </w:r>
    </w:p>
    <w:p w14:paraId="3A4F71AD">
      <w:pPr>
        <w:snapToGrid w:val="0"/>
        <w:spacing w:line="300" w:lineRule="auto"/>
        <w:ind w:firstLine="420" w:firstLineChars="200"/>
        <w:jc w:val="left"/>
        <w:rPr>
          <w:rFonts w:eastAsia="仿宋_GB2312"/>
          <w:color w:val="auto"/>
          <w:sz w:val="24"/>
          <w:highlight w:val="none"/>
          <w:u w:val="single"/>
        </w:rPr>
      </w:pPr>
      <w:r>
        <w:rPr>
          <w:rFonts w:hint="eastAsia" w:eastAsia="仿宋_GB2312"/>
          <w:color w:val="auto"/>
          <w:highlight w:val="none"/>
          <w:u w:val="single"/>
        </w:rPr>
        <w:t>⑥</w:t>
      </w:r>
      <w:r>
        <w:rPr>
          <w:rFonts w:hint="eastAsia" w:eastAsia="仿宋_GB2312"/>
          <w:color w:val="auto"/>
          <w:sz w:val="24"/>
          <w:highlight w:val="none"/>
          <w:u w:val="single"/>
        </w:rPr>
        <w:t>在实际施工过程中，承包人必须仔细审核施工图纸，对于下列问题，应及时向监理人、设计单位、发包人提出；如未提出，或直接按图纸中的错误、矛盾之处施工或者擅自变更，由承包人自行承担损失。</w:t>
      </w:r>
    </w:p>
    <w:p w14:paraId="14C8C873">
      <w:pPr>
        <w:pStyle w:val="969"/>
        <w:snapToGrid w:val="0"/>
        <w:spacing w:line="300" w:lineRule="auto"/>
        <w:ind w:firstLine="480"/>
        <w:jc w:val="left"/>
        <w:rPr>
          <w:rFonts w:eastAsia="仿宋_GB2312"/>
          <w:color w:val="auto"/>
          <w:kern w:val="0"/>
          <w:highlight w:val="none"/>
          <w:u w:val="single"/>
        </w:rPr>
      </w:pPr>
      <w:r>
        <w:rPr>
          <w:rFonts w:hint="eastAsia" w:eastAsia="仿宋_GB2312"/>
          <w:color w:val="auto"/>
          <w:kern w:val="0"/>
          <w:highlight w:val="none"/>
          <w:u w:val="single"/>
        </w:rPr>
        <w:t>（a）施工图纸尺寸、标高的错误；</w:t>
      </w:r>
    </w:p>
    <w:p w14:paraId="75BEAC01">
      <w:pPr>
        <w:pStyle w:val="969"/>
        <w:snapToGrid w:val="0"/>
        <w:spacing w:line="300" w:lineRule="auto"/>
        <w:ind w:firstLine="480"/>
        <w:jc w:val="left"/>
        <w:rPr>
          <w:rFonts w:eastAsia="仿宋_GB2312"/>
          <w:color w:val="auto"/>
          <w:kern w:val="0"/>
          <w:highlight w:val="none"/>
          <w:u w:val="single"/>
        </w:rPr>
      </w:pPr>
      <w:r>
        <w:rPr>
          <w:rFonts w:hint="eastAsia" w:eastAsia="仿宋_GB2312"/>
          <w:color w:val="auto"/>
          <w:kern w:val="0"/>
          <w:highlight w:val="none"/>
          <w:u w:val="single"/>
        </w:rPr>
        <w:t>（b）建筑、结构、安装等专业图纸中的互相矛盾；</w:t>
      </w:r>
    </w:p>
    <w:p w14:paraId="2ED9A677">
      <w:pPr>
        <w:pStyle w:val="969"/>
        <w:snapToGrid w:val="0"/>
        <w:spacing w:line="300" w:lineRule="auto"/>
        <w:ind w:firstLine="480"/>
        <w:jc w:val="left"/>
        <w:rPr>
          <w:rFonts w:eastAsia="仿宋_GB2312"/>
          <w:color w:val="auto"/>
          <w:kern w:val="0"/>
          <w:highlight w:val="none"/>
          <w:u w:val="single"/>
        </w:rPr>
      </w:pPr>
      <w:r>
        <w:rPr>
          <w:rFonts w:hint="eastAsia" w:eastAsia="仿宋_GB2312"/>
          <w:color w:val="auto"/>
          <w:kern w:val="0"/>
          <w:highlight w:val="none"/>
          <w:u w:val="single"/>
        </w:rPr>
        <w:t>（c）节点详图与平立面图纸之间的矛盾；</w:t>
      </w:r>
    </w:p>
    <w:p w14:paraId="6ED3DFB2">
      <w:pPr>
        <w:adjustRightInd/>
        <w:spacing w:line="300" w:lineRule="auto"/>
        <w:ind w:firstLine="480" w:firstLineChars="200"/>
        <w:rPr>
          <w:rFonts w:eastAsia="黑体"/>
          <w:color w:val="auto"/>
          <w:sz w:val="24"/>
          <w:highlight w:val="none"/>
        </w:rPr>
      </w:pPr>
      <w:r>
        <w:rPr>
          <w:rFonts w:eastAsia="黑体"/>
          <w:color w:val="auto"/>
          <w:sz w:val="24"/>
          <w:highlight w:val="none"/>
        </w:rPr>
        <w:t>3.2 项目经理</w:t>
      </w:r>
    </w:p>
    <w:p w14:paraId="51399FE8">
      <w:pPr>
        <w:adjustRightInd/>
        <w:spacing w:line="300" w:lineRule="auto"/>
        <w:ind w:firstLine="480" w:firstLineChars="200"/>
        <w:rPr>
          <w:rFonts w:eastAsia="仿宋_GB2312"/>
          <w:color w:val="auto"/>
          <w:sz w:val="24"/>
          <w:highlight w:val="none"/>
        </w:rPr>
      </w:pPr>
      <w:r>
        <w:rPr>
          <w:rFonts w:eastAsia="仿宋_GB2312"/>
          <w:color w:val="auto"/>
          <w:sz w:val="24"/>
          <w:highlight w:val="none"/>
        </w:rPr>
        <w:t>3.2.1 项目经理：</w:t>
      </w:r>
    </w:p>
    <w:p w14:paraId="2AB86505">
      <w:pPr>
        <w:adjustRightInd/>
        <w:spacing w:line="300" w:lineRule="auto"/>
        <w:ind w:firstLine="480" w:firstLineChars="200"/>
        <w:rPr>
          <w:rFonts w:eastAsia="仿宋_GB2312"/>
          <w:color w:val="auto"/>
          <w:sz w:val="24"/>
          <w:highlight w:val="none"/>
        </w:rPr>
      </w:pPr>
      <w:r>
        <w:rPr>
          <w:rFonts w:eastAsia="仿宋_GB2312"/>
          <w:color w:val="auto"/>
          <w:sz w:val="24"/>
          <w:highlight w:val="none"/>
        </w:rPr>
        <w:t>姓    名：</w:t>
      </w:r>
      <w:r>
        <w:rPr>
          <w:rFonts w:eastAsia="仿宋_GB2312"/>
          <w:color w:val="auto"/>
          <w:sz w:val="24"/>
          <w:highlight w:val="none"/>
          <w:u w:val="single"/>
        </w:rPr>
        <w:t>   </w:t>
      </w:r>
      <w:r>
        <w:rPr>
          <w:rFonts w:eastAsia="仿宋_GB2312"/>
          <w:color w:val="auto"/>
          <w:sz w:val="24"/>
          <w:highlight w:val="none"/>
        </w:rPr>
        <w:t>；</w:t>
      </w:r>
    </w:p>
    <w:p w14:paraId="7F082D35">
      <w:pPr>
        <w:adjustRightInd/>
        <w:spacing w:line="300" w:lineRule="auto"/>
        <w:ind w:firstLine="480" w:firstLineChars="200"/>
        <w:rPr>
          <w:rFonts w:eastAsia="仿宋_GB2312"/>
          <w:color w:val="auto"/>
          <w:sz w:val="24"/>
          <w:highlight w:val="none"/>
        </w:rPr>
      </w:pPr>
      <w:r>
        <w:rPr>
          <w:rFonts w:eastAsia="仿宋_GB2312"/>
          <w:color w:val="auto"/>
          <w:sz w:val="24"/>
          <w:highlight w:val="none"/>
        </w:rPr>
        <w:t>身份证号：</w:t>
      </w:r>
      <w:r>
        <w:rPr>
          <w:rFonts w:eastAsia="仿宋_GB2312"/>
          <w:color w:val="auto"/>
          <w:sz w:val="24"/>
          <w:highlight w:val="none"/>
          <w:u w:val="single"/>
        </w:rPr>
        <w:t>   </w:t>
      </w:r>
      <w:r>
        <w:rPr>
          <w:rFonts w:eastAsia="仿宋_GB2312"/>
          <w:color w:val="auto"/>
          <w:sz w:val="24"/>
          <w:highlight w:val="none"/>
        </w:rPr>
        <w:t>；</w:t>
      </w:r>
    </w:p>
    <w:p w14:paraId="77BB3386">
      <w:pPr>
        <w:adjustRightInd/>
        <w:spacing w:line="300" w:lineRule="auto"/>
        <w:ind w:firstLine="480" w:firstLineChars="200"/>
        <w:rPr>
          <w:rFonts w:eastAsia="仿宋_GB2312"/>
          <w:color w:val="auto"/>
          <w:sz w:val="24"/>
          <w:highlight w:val="none"/>
        </w:rPr>
      </w:pPr>
      <w:r>
        <w:rPr>
          <w:rFonts w:eastAsia="仿宋_GB2312"/>
          <w:color w:val="auto"/>
          <w:sz w:val="24"/>
          <w:highlight w:val="none"/>
        </w:rPr>
        <w:t>建造师执业资格等级：</w:t>
      </w:r>
      <w:r>
        <w:rPr>
          <w:rFonts w:eastAsia="仿宋_GB2312"/>
          <w:color w:val="auto"/>
          <w:sz w:val="24"/>
          <w:highlight w:val="none"/>
          <w:u w:val="single"/>
        </w:rPr>
        <w:t>   </w:t>
      </w:r>
      <w:r>
        <w:rPr>
          <w:rFonts w:eastAsia="仿宋_GB2312"/>
          <w:color w:val="auto"/>
          <w:sz w:val="24"/>
          <w:highlight w:val="none"/>
        </w:rPr>
        <w:t>；</w:t>
      </w:r>
    </w:p>
    <w:p w14:paraId="63B4A3D3">
      <w:pPr>
        <w:adjustRightInd/>
        <w:spacing w:line="300" w:lineRule="auto"/>
        <w:ind w:firstLine="480" w:firstLineChars="200"/>
        <w:rPr>
          <w:rFonts w:eastAsia="仿宋_GB2312"/>
          <w:color w:val="auto"/>
          <w:sz w:val="24"/>
          <w:highlight w:val="none"/>
        </w:rPr>
      </w:pPr>
      <w:r>
        <w:rPr>
          <w:rFonts w:eastAsia="仿宋_GB2312"/>
          <w:color w:val="auto"/>
          <w:sz w:val="24"/>
          <w:highlight w:val="none"/>
        </w:rPr>
        <w:t>建造师注册证书号：</w:t>
      </w:r>
      <w:r>
        <w:rPr>
          <w:rFonts w:eastAsia="仿宋_GB2312"/>
          <w:color w:val="auto"/>
          <w:sz w:val="24"/>
          <w:highlight w:val="none"/>
          <w:u w:val="single"/>
        </w:rPr>
        <w:t> </w:t>
      </w:r>
      <w:r>
        <w:rPr>
          <w:rFonts w:eastAsia="仿宋_GB2312"/>
          <w:color w:val="auto"/>
          <w:sz w:val="24"/>
          <w:highlight w:val="none"/>
        </w:rPr>
        <w:t>；</w:t>
      </w:r>
    </w:p>
    <w:p w14:paraId="23FDB124">
      <w:pPr>
        <w:adjustRightInd/>
        <w:spacing w:line="300" w:lineRule="auto"/>
        <w:ind w:firstLine="480" w:firstLineChars="200"/>
        <w:rPr>
          <w:rFonts w:eastAsia="仿宋_GB2312"/>
          <w:color w:val="auto"/>
          <w:sz w:val="24"/>
          <w:highlight w:val="none"/>
        </w:rPr>
      </w:pPr>
      <w:r>
        <w:rPr>
          <w:rFonts w:eastAsia="仿宋_GB2312"/>
          <w:color w:val="auto"/>
          <w:sz w:val="24"/>
          <w:highlight w:val="none"/>
        </w:rPr>
        <w:t>建造师执业印章号：</w:t>
      </w:r>
      <w:r>
        <w:rPr>
          <w:rFonts w:eastAsia="仿宋_GB2312"/>
          <w:color w:val="auto"/>
          <w:sz w:val="24"/>
          <w:highlight w:val="none"/>
          <w:u w:val="single"/>
        </w:rPr>
        <w:t> </w:t>
      </w:r>
      <w:r>
        <w:rPr>
          <w:rFonts w:eastAsia="仿宋_GB2312"/>
          <w:color w:val="auto"/>
          <w:sz w:val="24"/>
          <w:highlight w:val="none"/>
        </w:rPr>
        <w:t>；</w:t>
      </w:r>
    </w:p>
    <w:p w14:paraId="56818399">
      <w:pPr>
        <w:adjustRightInd/>
        <w:spacing w:line="300" w:lineRule="auto"/>
        <w:ind w:firstLine="480" w:firstLineChars="200"/>
        <w:rPr>
          <w:rFonts w:eastAsia="仿宋_GB2312"/>
          <w:color w:val="auto"/>
          <w:sz w:val="24"/>
          <w:highlight w:val="none"/>
        </w:rPr>
      </w:pPr>
      <w:r>
        <w:rPr>
          <w:rFonts w:eastAsia="仿宋_GB2312"/>
          <w:color w:val="auto"/>
          <w:sz w:val="24"/>
          <w:highlight w:val="none"/>
        </w:rPr>
        <w:t>安全生产考核合格证书号：</w:t>
      </w:r>
      <w:r>
        <w:rPr>
          <w:rFonts w:eastAsia="仿宋_GB2312"/>
          <w:color w:val="auto"/>
          <w:sz w:val="24"/>
          <w:highlight w:val="none"/>
          <w:u w:val="single"/>
        </w:rPr>
        <w:t> </w:t>
      </w:r>
      <w:r>
        <w:rPr>
          <w:rFonts w:eastAsia="仿宋_GB2312"/>
          <w:color w:val="auto"/>
          <w:sz w:val="24"/>
          <w:highlight w:val="none"/>
        </w:rPr>
        <w:t>；</w:t>
      </w:r>
    </w:p>
    <w:p w14:paraId="41A27666">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联系电话：</w:t>
      </w:r>
      <w:r>
        <w:rPr>
          <w:rFonts w:eastAsia="仿宋_GB2312"/>
          <w:color w:val="auto"/>
          <w:sz w:val="24"/>
          <w:highlight w:val="none"/>
          <w:u w:val="single"/>
        </w:rPr>
        <w:t>   </w:t>
      </w:r>
      <w:r>
        <w:rPr>
          <w:rFonts w:eastAsia="仿宋_GB2312"/>
          <w:color w:val="auto"/>
          <w:sz w:val="24"/>
          <w:highlight w:val="none"/>
        </w:rPr>
        <w:t>；</w:t>
      </w:r>
    </w:p>
    <w:p w14:paraId="10A4FD86">
      <w:pPr>
        <w:adjustRightInd/>
        <w:spacing w:line="300" w:lineRule="auto"/>
        <w:ind w:firstLine="480" w:firstLineChars="200"/>
        <w:rPr>
          <w:rFonts w:eastAsia="仿宋_GB2312"/>
          <w:color w:val="auto"/>
          <w:sz w:val="24"/>
          <w:highlight w:val="none"/>
        </w:rPr>
      </w:pPr>
      <w:r>
        <w:rPr>
          <w:rFonts w:eastAsia="仿宋_GB2312"/>
          <w:color w:val="auto"/>
          <w:sz w:val="24"/>
          <w:highlight w:val="none"/>
        </w:rPr>
        <w:t>电子信箱：</w:t>
      </w:r>
      <w:r>
        <w:rPr>
          <w:rFonts w:eastAsia="仿宋_GB2312"/>
          <w:color w:val="auto"/>
          <w:sz w:val="24"/>
          <w:highlight w:val="none"/>
          <w:u w:val="single"/>
        </w:rPr>
        <w:t>   </w:t>
      </w:r>
      <w:r>
        <w:rPr>
          <w:rFonts w:eastAsia="仿宋_GB2312"/>
          <w:color w:val="auto"/>
          <w:sz w:val="24"/>
          <w:highlight w:val="none"/>
        </w:rPr>
        <w:t>；</w:t>
      </w:r>
    </w:p>
    <w:p w14:paraId="249EC8AF">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通信地址：</w:t>
      </w:r>
      <w:r>
        <w:rPr>
          <w:rFonts w:eastAsia="仿宋_GB2312"/>
          <w:color w:val="auto"/>
          <w:sz w:val="24"/>
          <w:highlight w:val="none"/>
          <w:u w:val="single"/>
        </w:rPr>
        <w:t>   </w:t>
      </w:r>
      <w:r>
        <w:rPr>
          <w:rFonts w:eastAsia="仿宋_GB2312"/>
          <w:color w:val="auto"/>
          <w:sz w:val="24"/>
          <w:highlight w:val="none"/>
        </w:rPr>
        <w:t>；</w:t>
      </w:r>
    </w:p>
    <w:p w14:paraId="7A85B497">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承包人对项目经理的授权范围如下：</w:t>
      </w:r>
      <w:r>
        <w:rPr>
          <w:rFonts w:hint="eastAsia" w:eastAsia="仿宋_GB2312"/>
          <w:color w:val="auto"/>
          <w:sz w:val="24"/>
          <w:highlight w:val="none"/>
          <w:u w:val="single"/>
        </w:rPr>
        <w:t>按国家相应法规约定，</w:t>
      </w:r>
      <w:bookmarkStart w:id="521" w:name="SOA_zyht_xmjlqlfw"/>
      <w:r>
        <w:rPr>
          <w:rFonts w:hint="eastAsia" w:eastAsia="仿宋_GB2312"/>
          <w:color w:val="auto"/>
          <w:sz w:val="24"/>
          <w:highlight w:val="none"/>
          <w:u w:val="single"/>
        </w:rPr>
        <w:t>项目经理负责处理项目部一切事务，为承包人法定代表人在该项目上的全权授权代表人</w:t>
      </w:r>
      <w:bookmarkEnd w:id="521"/>
      <w:r>
        <w:rPr>
          <w:rFonts w:eastAsia="仿宋_GB2312"/>
          <w:color w:val="auto"/>
          <w:sz w:val="24"/>
          <w:highlight w:val="none"/>
          <w:u w:val="single"/>
        </w:rPr>
        <w:t>。</w:t>
      </w:r>
    </w:p>
    <w:p w14:paraId="766E0EF2">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u w:val="single"/>
        </w:rPr>
        <w:t>关于项目经理每月在施工现场的时间要求：</w:t>
      </w:r>
      <w:r>
        <w:rPr>
          <w:rFonts w:hint="eastAsia" w:eastAsia="仿宋_GB2312"/>
          <w:color w:val="auto"/>
          <w:sz w:val="24"/>
          <w:highlight w:val="none"/>
          <w:u w:val="single"/>
        </w:rPr>
        <w:t>项目经理每月出勤率不得少于</w:t>
      </w:r>
      <w:r>
        <w:rPr>
          <w:rFonts w:eastAsia="仿宋_GB2312"/>
          <w:color w:val="auto"/>
          <w:sz w:val="24"/>
          <w:highlight w:val="none"/>
          <w:u w:val="single"/>
        </w:rPr>
        <w:t>〔</w:t>
      </w:r>
      <w:r>
        <w:rPr>
          <w:rFonts w:hint="eastAsia" w:eastAsia="仿宋_GB2312"/>
          <w:color w:val="auto"/>
          <w:sz w:val="24"/>
          <w:highlight w:val="none"/>
          <w:u w:val="single"/>
        </w:rPr>
        <w:t>26</w:t>
      </w:r>
      <w:r>
        <w:rPr>
          <w:rFonts w:eastAsia="仿宋_GB2312"/>
          <w:color w:val="auto"/>
          <w:sz w:val="24"/>
          <w:highlight w:val="none"/>
          <w:u w:val="single"/>
        </w:rPr>
        <w:t>〕</w:t>
      </w:r>
      <w:r>
        <w:rPr>
          <w:rFonts w:hint="eastAsia" w:eastAsia="仿宋_GB2312"/>
          <w:color w:val="auto"/>
          <w:sz w:val="24"/>
          <w:highlight w:val="none"/>
          <w:u w:val="single"/>
        </w:rPr>
        <w:t>天，且每天不少于</w:t>
      </w:r>
      <w:r>
        <w:rPr>
          <w:rFonts w:eastAsia="仿宋_GB2312"/>
          <w:color w:val="auto"/>
          <w:sz w:val="24"/>
          <w:highlight w:val="none"/>
          <w:u w:val="single"/>
        </w:rPr>
        <w:t>〔</w:t>
      </w:r>
      <w:r>
        <w:rPr>
          <w:rFonts w:hint="eastAsia" w:eastAsia="仿宋_GB2312"/>
          <w:color w:val="auto"/>
          <w:sz w:val="24"/>
          <w:highlight w:val="none"/>
          <w:u w:val="single"/>
        </w:rPr>
        <w:t>8</w:t>
      </w:r>
      <w:r>
        <w:rPr>
          <w:rFonts w:eastAsia="仿宋_GB2312"/>
          <w:color w:val="auto"/>
          <w:sz w:val="24"/>
          <w:highlight w:val="none"/>
          <w:u w:val="single"/>
        </w:rPr>
        <w:t>〕</w:t>
      </w:r>
      <w:r>
        <w:rPr>
          <w:rFonts w:hint="eastAsia" w:eastAsia="仿宋_GB2312"/>
          <w:color w:val="auto"/>
          <w:sz w:val="24"/>
          <w:highlight w:val="none"/>
          <w:u w:val="single"/>
        </w:rPr>
        <w:t>小时在工地)，项目技术负责人考勤要求参照项目经理每月到位率不少于80%（休息日必须保证通讯畅通）。</w:t>
      </w:r>
    </w:p>
    <w:p w14:paraId="7740511F">
      <w:pPr>
        <w:adjustRightInd/>
        <w:spacing w:line="300" w:lineRule="auto"/>
        <w:ind w:firstLine="480" w:firstLineChars="200"/>
        <w:rPr>
          <w:rFonts w:eastAsia="黑体"/>
          <w:color w:val="auto"/>
          <w:sz w:val="24"/>
          <w:highlight w:val="none"/>
        </w:rPr>
      </w:pPr>
      <w:r>
        <w:rPr>
          <w:rFonts w:eastAsia="黑体"/>
          <w:color w:val="auto"/>
          <w:sz w:val="24"/>
          <w:highlight w:val="none"/>
        </w:rPr>
        <w:t>3.3 承包人人员</w:t>
      </w:r>
    </w:p>
    <w:p w14:paraId="79751229">
      <w:pPr>
        <w:adjustRightInd/>
        <w:spacing w:line="300" w:lineRule="auto"/>
        <w:ind w:firstLine="480" w:firstLineChars="200"/>
        <w:rPr>
          <w:rFonts w:eastAsia="仿宋_GB2312"/>
          <w:color w:val="auto"/>
          <w:sz w:val="24"/>
          <w:highlight w:val="none"/>
        </w:rPr>
      </w:pPr>
      <w:r>
        <w:rPr>
          <w:rFonts w:eastAsia="仿宋_GB2312"/>
          <w:color w:val="auto"/>
          <w:sz w:val="24"/>
          <w:highlight w:val="none"/>
        </w:rPr>
        <w:t>3.3.1 承包人提交项目管理机构及施工现场管理人员安排报告的期限：</w:t>
      </w:r>
      <w:r>
        <w:rPr>
          <w:rFonts w:hint="eastAsia" w:eastAsia="仿宋_GB2312"/>
          <w:color w:val="auto"/>
          <w:sz w:val="24"/>
          <w:highlight w:val="none"/>
          <w:u w:val="single"/>
        </w:rPr>
        <w:t>/</w:t>
      </w:r>
      <w:r>
        <w:rPr>
          <w:rFonts w:eastAsia="仿宋_GB2312"/>
          <w:color w:val="auto"/>
          <w:sz w:val="24"/>
          <w:highlight w:val="none"/>
          <w:u w:val="single"/>
        </w:rPr>
        <w:t>。</w:t>
      </w:r>
    </w:p>
    <w:p w14:paraId="1B46B17F">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3.3.</w:t>
      </w:r>
      <w:r>
        <w:rPr>
          <w:rFonts w:hint="eastAsia" w:eastAsia="仿宋_GB2312"/>
          <w:color w:val="auto"/>
          <w:highlight w:val="none"/>
          <w:u w:val="single"/>
        </w:rPr>
        <w:t>6承包人派驻施工现场人员有下列情形之一的，经监理人提出，发包人同意，必须在24小时内调离本工程范围，承包人应立即用资格、资历、管理经验、工作能力可为发包人接受的人员代替，由此发生的一切费用由承包人承担：</w:t>
      </w:r>
    </w:p>
    <w:p w14:paraId="02141FB2">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a.发包人有证据证明现场人员不胜任岗位的；</w:t>
      </w:r>
      <w:r>
        <w:rPr>
          <w:rFonts w:hint="eastAsia" w:eastAsia="仿宋_GB2312"/>
          <w:color w:val="auto"/>
          <w:highlight w:val="none"/>
          <w:u w:val="single"/>
        </w:rPr>
        <w:tab/>
      </w:r>
    </w:p>
    <w:p w14:paraId="591098E0">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b.不能积极配合监理人员及发包人的；</w:t>
      </w:r>
    </w:p>
    <w:p w14:paraId="6CC59F78">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c.违反发包人或承包人工地现场管理规定的；</w:t>
      </w:r>
    </w:p>
    <w:p w14:paraId="7483A41E">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d.无证上岗的(适用于按规定必须有上岗证)；</w:t>
      </w:r>
    </w:p>
    <w:p w14:paraId="793C17E5">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e.与本合同规定人员名称不符的；</w:t>
      </w:r>
    </w:p>
    <w:p w14:paraId="116D95EB">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f.与本工程施工无关的人员。</w:t>
      </w:r>
    </w:p>
    <w:p w14:paraId="341D173D">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3.3.</w:t>
      </w:r>
      <w:r>
        <w:rPr>
          <w:rFonts w:hint="eastAsia" w:eastAsia="仿宋_GB2312"/>
          <w:color w:val="auto"/>
          <w:highlight w:val="none"/>
          <w:u w:val="single"/>
        </w:rPr>
        <w:t>7联系单、通知等签收代表:/。</w:t>
      </w:r>
    </w:p>
    <w:p w14:paraId="5B1141D8">
      <w:pPr>
        <w:pStyle w:val="897"/>
        <w:spacing w:line="300" w:lineRule="auto"/>
        <w:ind w:left="420" w:firstLine="482" w:firstLineChars="0"/>
        <w:rPr>
          <w:rFonts w:eastAsia="仿宋_GB2312"/>
          <w:color w:val="auto"/>
          <w:highlight w:val="none"/>
          <w:u w:val="single"/>
        </w:rPr>
      </w:pPr>
    </w:p>
    <w:p w14:paraId="4017EEA2">
      <w:pPr>
        <w:adjustRightInd/>
        <w:spacing w:line="300" w:lineRule="auto"/>
        <w:ind w:firstLine="480" w:firstLineChars="200"/>
        <w:rPr>
          <w:rFonts w:eastAsia="黑体"/>
          <w:color w:val="auto"/>
          <w:sz w:val="24"/>
          <w:highlight w:val="none"/>
        </w:rPr>
      </w:pPr>
      <w:r>
        <w:rPr>
          <w:rFonts w:eastAsia="黑体"/>
          <w:color w:val="auto"/>
          <w:sz w:val="24"/>
          <w:highlight w:val="none"/>
        </w:rPr>
        <w:t>3</w:t>
      </w:r>
      <w:bookmarkStart w:id="522" w:name="_Toc297216151"/>
      <w:bookmarkStart w:id="523" w:name="_Toc296503159"/>
      <w:bookmarkStart w:id="524" w:name="_Toc297048345"/>
      <w:bookmarkStart w:id="525" w:name="_Toc297123492"/>
      <w:bookmarkStart w:id="526" w:name="_Toc296944498"/>
      <w:bookmarkStart w:id="527" w:name="_Toc304295523"/>
      <w:bookmarkStart w:id="528" w:name="_Toc296347158"/>
      <w:bookmarkStart w:id="529" w:name="_Toc303539102"/>
      <w:bookmarkStart w:id="530" w:name="_Toc312677988"/>
      <w:bookmarkStart w:id="531" w:name="_Toc297120459"/>
      <w:bookmarkStart w:id="532" w:name="_Toc292559869"/>
      <w:bookmarkStart w:id="533" w:name="_Toc292559364"/>
      <w:bookmarkStart w:id="534" w:name="_Toc296890987"/>
      <w:bookmarkStart w:id="535" w:name="_Toc296891199"/>
      <w:bookmarkStart w:id="536" w:name="_Toc300934945"/>
      <w:bookmarkStart w:id="537" w:name="_Toc296346660"/>
      <w:r>
        <w:rPr>
          <w:rFonts w:eastAsia="黑体"/>
          <w:color w:val="auto"/>
          <w:sz w:val="24"/>
          <w:highlight w:val="none"/>
        </w:rPr>
        <w:t>.5 分包</w:t>
      </w:r>
    </w:p>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14:paraId="712A9DA8">
      <w:pPr>
        <w:adjustRightInd/>
        <w:spacing w:line="300" w:lineRule="auto"/>
        <w:ind w:firstLine="480" w:firstLineChars="200"/>
        <w:rPr>
          <w:rFonts w:eastAsia="仿宋_GB2312"/>
          <w:color w:val="auto"/>
          <w:sz w:val="24"/>
          <w:highlight w:val="none"/>
        </w:rPr>
      </w:pPr>
      <w:r>
        <w:rPr>
          <w:rFonts w:eastAsia="仿宋_GB2312"/>
          <w:color w:val="auto"/>
          <w:sz w:val="24"/>
          <w:highlight w:val="none"/>
        </w:rPr>
        <w:t>3</w:t>
      </w:r>
      <w:bookmarkStart w:id="538" w:name="_Toc296891200"/>
      <w:bookmarkStart w:id="539" w:name="_Toc304295524"/>
      <w:bookmarkStart w:id="540" w:name="_Toc303539103"/>
      <w:bookmarkStart w:id="541" w:name="_Toc292559870"/>
      <w:bookmarkStart w:id="542" w:name="_Toc297216152"/>
      <w:bookmarkStart w:id="543" w:name="_Toc300934946"/>
      <w:bookmarkStart w:id="544" w:name="_Toc296944499"/>
      <w:bookmarkStart w:id="545" w:name="_Toc296890988"/>
      <w:bookmarkStart w:id="546" w:name="_Toc297123493"/>
      <w:bookmarkStart w:id="547" w:name="_Toc296347159"/>
      <w:bookmarkStart w:id="548" w:name="_Toc296346661"/>
      <w:bookmarkStart w:id="549" w:name="_Toc297048346"/>
      <w:bookmarkStart w:id="550" w:name="_Toc297120460"/>
      <w:bookmarkStart w:id="551" w:name="_Toc292559365"/>
      <w:bookmarkStart w:id="552" w:name="_Toc296503160"/>
      <w:bookmarkStart w:id="553" w:name="_Toc318581158"/>
      <w:bookmarkStart w:id="554" w:name="_Toc312677989"/>
      <w:r>
        <w:rPr>
          <w:rFonts w:eastAsia="仿宋_GB2312"/>
          <w:color w:val="auto"/>
          <w:sz w:val="24"/>
          <w:highlight w:val="none"/>
        </w:rPr>
        <w:t>.5.1 分包的一般约定</w:t>
      </w:r>
    </w:p>
    <w:p w14:paraId="0AEF29F3">
      <w:pPr>
        <w:adjustRightInd/>
        <w:spacing w:line="300" w:lineRule="auto"/>
        <w:ind w:firstLine="480" w:firstLineChars="200"/>
        <w:rPr>
          <w:rFonts w:eastAsia="仿宋_GB2312"/>
          <w:color w:val="auto"/>
          <w:sz w:val="24"/>
          <w:highlight w:val="none"/>
        </w:rPr>
      </w:pPr>
      <w:r>
        <w:rPr>
          <w:rFonts w:eastAsia="仿宋_GB2312"/>
          <w:color w:val="auto"/>
          <w:sz w:val="24"/>
          <w:highlight w:val="none"/>
        </w:rPr>
        <w:t>禁止分包的工程包括：</w:t>
      </w:r>
      <w:r>
        <w:rPr>
          <w:rFonts w:eastAsia="仿宋_GB2312"/>
          <w:color w:val="auto"/>
          <w:sz w:val="24"/>
          <w:highlight w:val="none"/>
          <w:u w:val="single"/>
        </w:rPr>
        <w:t xml:space="preserve">          </w:t>
      </w:r>
      <w:r>
        <w:rPr>
          <w:rFonts w:hint="eastAsia" w:eastAsia="仿宋_GB2312"/>
          <w:color w:val="auto"/>
          <w:sz w:val="24"/>
          <w:highlight w:val="none"/>
          <w:u w:val="single"/>
        </w:rPr>
        <w:t>/</w:t>
      </w:r>
      <w:r>
        <w:rPr>
          <w:rFonts w:eastAsia="仿宋_GB2312"/>
          <w:color w:val="auto"/>
          <w:sz w:val="24"/>
          <w:highlight w:val="none"/>
        </w:rPr>
        <w:t>。</w:t>
      </w:r>
    </w:p>
    <w:p w14:paraId="142902C2">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主体结构、关键性工作的范围：</w:t>
      </w:r>
      <w:r>
        <w:rPr>
          <w:rFonts w:eastAsia="仿宋_GB2312"/>
          <w:color w:val="auto"/>
          <w:sz w:val="24"/>
          <w:highlight w:val="none"/>
          <w:u w:val="single"/>
        </w:rPr>
        <w:t xml:space="preserve">     </w:t>
      </w:r>
      <w:r>
        <w:rPr>
          <w:rFonts w:hint="eastAsia" w:eastAsia="仿宋_GB2312"/>
          <w:color w:val="auto"/>
          <w:sz w:val="24"/>
          <w:highlight w:val="none"/>
          <w:u w:val="single"/>
        </w:rPr>
        <w:t>/</w:t>
      </w:r>
      <w:r>
        <w:rPr>
          <w:rFonts w:eastAsia="仿宋_GB2312"/>
          <w:color w:val="auto"/>
          <w:sz w:val="24"/>
          <w:highlight w:val="none"/>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Start w:id="555" w:name="_Toc304295525"/>
      <w:bookmarkStart w:id="556" w:name="_Toc296347160"/>
      <w:bookmarkStart w:id="557" w:name="_Toc297216153"/>
      <w:bookmarkStart w:id="558" w:name="_Toc296944500"/>
      <w:bookmarkStart w:id="559" w:name="_Toc300934947"/>
      <w:bookmarkStart w:id="560" w:name="_Toc296891201"/>
      <w:bookmarkStart w:id="561" w:name="_Toc297048347"/>
      <w:bookmarkStart w:id="562" w:name="_Toc296503161"/>
      <w:bookmarkStart w:id="563" w:name="_Toc296890989"/>
      <w:bookmarkStart w:id="564" w:name="_Toc303539104"/>
      <w:bookmarkStart w:id="565" w:name="_Toc297123494"/>
      <w:bookmarkStart w:id="566" w:name="_Toc296346662"/>
      <w:bookmarkStart w:id="567" w:name="_Toc297120461"/>
    </w:p>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14:paraId="30561D18">
      <w:pPr>
        <w:adjustRightInd/>
        <w:spacing w:line="300" w:lineRule="auto"/>
        <w:ind w:firstLine="480" w:firstLineChars="200"/>
        <w:rPr>
          <w:rFonts w:eastAsia="黑体"/>
          <w:color w:val="auto"/>
          <w:sz w:val="24"/>
          <w:highlight w:val="none"/>
        </w:rPr>
      </w:pPr>
      <w:r>
        <w:rPr>
          <w:rFonts w:eastAsia="黑体"/>
          <w:color w:val="auto"/>
          <w:sz w:val="24"/>
          <w:highlight w:val="none"/>
        </w:rPr>
        <w:t>3.6 工程照管与成品、半成品保护</w:t>
      </w:r>
    </w:p>
    <w:p w14:paraId="72A6F63C">
      <w:pPr>
        <w:adjustRightInd/>
        <w:spacing w:line="300" w:lineRule="auto"/>
        <w:ind w:left="147" w:leftChars="70" w:firstLine="360" w:firstLineChars="150"/>
        <w:rPr>
          <w:rFonts w:eastAsia="仿宋_GB2312"/>
          <w:color w:val="auto"/>
          <w:sz w:val="24"/>
          <w:highlight w:val="none"/>
          <w:u w:val="single"/>
        </w:rPr>
      </w:pPr>
      <w:r>
        <w:rPr>
          <w:rFonts w:eastAsia="仿宋_GB2312"/>
          <w:color w:val="auto"/>
          <w:sz w:val="24"/>
          <w:highlight w:val="none"/>
        </w:rPr>
        <w:t>承包人负责照管工程及工程相关的材料、工程设备的起始时间：</w:t>
      </w:r>
      <w:r>
        <w:rPr>
          <w:rFonts w:hint="eastAsia" w:eastAsia="仿宋_GB2312"/>
          <w:color w:val="auto"/>
          <w:sz w:val="24"/>
          <w:highlight w:val="none"/>
          <w:u w:val="single"/>
        </w:rPr>
        <w:t xml:space="preserve">    /  。</w:t>
      </w:r>
    </w:p>
    <w:p w14:paraId="0A4157CF">
      <w:pPr>
        <w:adjustRightInd/>
        <w:spacing w:line="300" w:lineRule="auto"/>
        <w:ind w:firstLine="480" w:firstLineChars="200"/>
        <w:rPr>
          <w:rFonts w:eastAsia="黑体"/>
          <w:color w:val="auto"/>
          <w:sz w:val="24"/>
          <w:highlight w:val="none"/>
        </w:rPr>
      </w:pPr>
      <w:r>
        <w:rPr>
          <w:rFonts w:eastAsia="黑体"/>
          <w:color w:val="auto"/>
          <w:sz w:val="24"/>
          <w:highlight w:val="none"/>
        </w:rPr>
        <w:t>3.7 履约担保</w:t>
      </w:r>
    </w:p>
    <w:p w14:paraId="07D244FE">
      <w:pPr>
        <w:adjustRightInd/>
        <w:spacing w:line="300" w:lineRule="auto"/>
        <w:ind w:left="147" w:leftChars="70" w:firstLine="360" w:firstLineChars="150"/>
        <w:rPr>
          <w:rFonts w:eastAsia="仿宋_GB2312"/>
          <w:color w:val="auto"/>
          <w:sz w:val="24"/>
          <w:highlight w:val="none"/>
          <w:u w:val="single"/>
        </w:rPr>
      </w:pPr>
      <w:r>
        <w:rPr>
          <w:rFonts w:hint="eastAsia" w:eastAsia="仿宋_GB2312"/>
          <w:color w:val="auto"/>
          <w:sz w:val="24"/>
          <w:highlight w:val="none"/>
          <w:u w:val="single"/>
        </w:rPr>
        <w:t>承包人是否提供履约担保：是。</w:t>
      </w:r>
    </w:p>
    <w:p w14:paraId="28AD7EDE">
      <w:pPr>
        <w:adjustRightInd/>
        <w:spacing w:line="300" w:lineRule="auto"/>
        <w:ind w:left="147" w:leftChars="70" w:firstLine="360" w:firstLineChars="150"/>
        <w:rPr>
          <w:rFonts w:eastAsia="仿宋_GB2312"/>
          <w:color w:val="auto"/>
          <w:sz w:val="24"/>
          <w:highlight w:val="none"/>
          <w:u w:val="single"/>
        </w:rPr>
      </w:pPr>
      <w:r>
        <w:rPr>
          <w:rFonts w:hint="eastAsia" w:eastAsia="仿宋_GB2312"/>
          <w:color w:val="auto"/>
          <w:sz w:val="24"/>
          <w:highlight w:val="none"/>
          <w:u w:val="single"/>
        </w:rPr>
        <w:t>（1）承包人在合同签订后14天内，向发包人提交签约合同金额1％的履约保证金或保函担保。执行本条各项要求所需的费用由承包人承担。</w:t>
      </w:r>
    </w:p>
    <w:p w14:paraId="22E8E623">
      <w:pPr>
        <w:adjustRightInd/>
        <w:spacing w:line="300" w:lineRule="auto"/>
        <w:ind w:left="147" w:leftChars="70" w:firstLine="360" w:firstLineChars="150"/>
        <w:rPr>
          <w:rFonts w:eastAsia="仿宋_GB2312"/>
          <w:color w:val="auto"/>
          <w:sz w:val="24"/>
          <w:highlight w:val="none"/>
          <w:u w:val="single"/>
        </w:rPr>
      </w:pPr>
      <w:r>
        <w:rPr>
          <w:rFonts w:hint="eastAsia" w:eastAsia="仿宋_GB2312"/>
          <w:color w:val="auto"/>
          <w:sz w:val="24"/>
          <w:highlight w:val="none"/>
          <w:u w:val="single"/>
        </w:rPr>
        <w:t>（2）履约保证金内容包括： 工程质量占30%，工期占30%，安全文明施工占10%，管理人员到岗率占30%。</w:t>
      </w:r>
    </w:p>
    <w:p w14:paraId="5BD19E3C">
      <w:pPr>
        <w:adjustRightInd/>
        <w:spacing w:line="300" w:lineRule="auto"/>
        <w:ind w:left="147" w:leftChars="70" w:firstLine="360" w:firstLineChars="150"/>
        <w:rPr>
          <w:rFonts w:eastAsia="仿宋_GB2312"/>
          <w:color w:val="auto"/>
          <w:sz w:val="24"/>
          <w:highlight w:val="none"/>
          <w:u w:val="single"/>
        </w:rPr>
      </w:pPr>
      <w:r>
        <w:rPr>
          <w:rFonts w:hint="eastAsia" w:eastAsia="仿宋_GB2312"/>
          <w:color w:val="auto"/>
          <w:sz w:val="24"/>
          <w:highlight w:val="none"/>
          <w:u w:val="single"/>
        </w:rPr>
        <w:t>（3）履约担保的有效期: 履约担保自提交之日起至工程竣工验收后90天内有效。在此有效期截止日后14天内此履约担保退还给承包人。</w:t>
      </w:r>
    </w:p>
    <w:p w14:paraId="13B0559E">
      <w:pPr>
        <w:pStyle w:val="8"/>
        <w:spacing w:before="0" w:after="0" w:line="300" w:lineRule="auto"/>
        <w:rPr>
          <w:rFonts w:ascii="Times New Roman" w:hAnsi="Times New Roman"/>
          <w:b w:val="0"/>
          <w:color w:val="auto"/>
          <w:sz w:val="24"/>
          <w:szCs w:val="24"/>
          <w:highlight w:val="none"/>
        </w:rPr>
      </w:pPr>
      <w:bookmarkStart w:id="568" w:name="_Toc351203636"/>
      <w:r>
        <w:rPr>
          <w:rFonts w:ascii="Times New Roman" w:hAnsi="Times New Roman"/>
          <w:b w:val="0"/>
          <w:color w:val="auto"/>
          <w:sz w:val="24"/>
          <w:szCs w:val="24"/>
          <w:highlight w:val="none"/>
        </w:rPr>
        <w:t>4</w:t>
      </w:r>
      <w:bookmarkStart w:id="569" w:name="_Toc292559366"/>
      <w:bookmarkStart w:id="570" w:name="_Toc297120462"/>
      <w:bookmarkStart w:id="571" w:name="_Toc296503162"/>
      <w:bookmarkStart w:id="572" w:name="_Toc296346663"/>
      <w:bookmarkStart w:id="573" w:name="_Toc296890990"/>
      <w:bookmarkStart w:id="574" w:name="_Toc297048348"/>
      <w:bookmarkStart w:id="575" w:name="_Toc267251413"/>
      <w:bookmarkStart w:id="576" w:name="_Toc292559871"/>
      <w:bookmarkStart w:id="577" w:name="_Toc296944501"/>
      <w:bookmarkStart w:id="578" w:name="_Toc296347161"/>
      <w:bookmarkStart w:id="579" w:name="_Toc296891202"/>
      <w:r>
        <w:rPr>
          <w:rFonts w:ascii="Times New Roman" w:hAnsi="Times New Roman"/>
          <w:b w:val="0"/>
          <w:color w:val="auto"/>
          <w:sz w:val="24"/>
          <w:szCs w:val="24"/>
          <w:highlight w:val="none"/>
        </w:rPr>
        <w:t>. 监</w:t>
      </w:r>
      <w:bookmarkEnd w:id="569"/>
      <w:bookmarkEnd w:id="570"/>
      <w:bookmarkEnd w:id="571"/>
      <w:bookmarkEnd w:id="572"/>
      <w:bookmarkEnd w:id="573"/>
      <w:bookmarkEnd w:id="574"/>
      <w:bookmarkEnd w:id="575"/>
      <w:bookmarkEnd w:id="576"/>
      <w:bookmarkEnd w:id="577"/>
      <w:bookmarkEnd w:id="578"/>
      <w:bookmarkEnd w:id="579"/>
      <w:r>
        <w:rPr>
          <w:rFonts w:ascii="Times New Roman" w:hAnsi="Times New Roman"/>
          <w:b w:val="0"/>
          <w:color w:val="auto"/>
          <w:sz w:val="24"/>
          <w:szCs w:val="24"/>
          <w:highlight w:val="none"/>
        </w:rPr>
        <w:t>理人</w:t>
      </w:r>
      <w:bookmarkEnd w:id="568"/>
    </w:p>
    <w:p w14:paraId="6ED13E80">
      <w:pPr>
        <w:adjustRightInd/>
        <w:spacing w:line="300" w:lineRule="auto"/>
        <w:ind w:firstLine="480" w:firstLineChars="200"/>
        <w:rPr>
          <w:rFonts w:eastAsia="黑体"/>
          <w:color w:val="auto"/>
          <w:sz w:val="24"/>
          <w:highlight w:val="none"/>
        </w:rPr>
      </w:pPr>
      <w:r>
        <w:rPr>
          <w:rFonts w:eastAsia="黑体"/>
          <w:color w:val="auto"/>
          <w:sz w:val="24"/>
          <w:highlight w:val="none"/>
        </w:rPr>
        <w:t>4.1监理人的一般规定</w:t>
      </w:r>
    </w:p>
    <w:p w14:paraId="6C57A5DD">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关于监理人的监理内容：</w:t>
      </w:r>
      <w:r>
        <w:rPr>
          <w:rFonts w:hint="eastAsia" w:eastAsia="仿宋_GB2312"/>
          <w:color w:val="auto"/>
          <w:sz w:val="24"/>
          <w:highlight w:val="none"/>
          <w:u w:val="single"/>
        </w:rPr>
        <w:t>详见监理合同。</w:t>
      </w:r>
    </w:p>
    <w:p w14:paraId="798308BE">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关于监理人的监理权限：</w:t>
      </w:r>
      <w:r>
        <w:rPr>
          <w:rFonts w:hint="eastAsia" w:eastAsia="仿宋_GB2312"/>
          <w:color w:val="auto"/>
          <w:sz w:val="24"/>
          <w:highlight w:val="none"/>
          <w:u w:val="single"/>
        </w:rPr>
        <w:t>详见监理合同。</w:t>
      </w:r>
    </w:p>
    <w:p w14:paraId="32F34BCC">
      <w:pPr>
        <w:adjustRightInd/>
        <w:spacing w:line="300" w:lineRule="auto"/>
        <w:ind w:firstLine="480" w:firstLineChars="200"/>
        <w:rPr>
          <w:rFonts w:eastAsia="黑体"/>
          <w:color w:val="auto"/>
          <w:sz w:val="24"/>
          <w:highlight w:val="none"/>
        </w:rPr>
      </w:pPr>
      <w:r>
        <w:rPr>
          <w:rFonts w:eastAsia="黑体"/>
          <w:color w:val="auto"/>
          <w:sz w:val="24"/>
          <w:highlight w:val="none"/>
        </w:rPr>
        <w:t>4.2 监理人员</w:t>
      </w:r>
    </w:p>
    <w:p w14:paraId="3AAFA4CE">
      <w:pPr>
        <w:adjustRightInd/>
        <w:spacing w:line="300" w:lineRule="auto"/>
        <w:ind w:firstLine="480" w:firstLineChars="200"/>
        <w:rPr>
          <w:rFonts w:eastAsia="仿宋_GB2312"/>
          <w:color w:val="auto"/>
          <w:sz w:val="24"/>
          <w:highlight w:val="none"/>
        </w:rPr>
      </w:pPr>
      <w:r>
        <w:rPr>
          <w:rFonts w:eastAsia="仿宋_GB2312"/>
          <w:color w:val="auto"/>
          <w:sz w:val="24"/>
          <w:highlight w:val="none"/>
        </w:rPr>
        <w:t>总监理工程师：</w:t>
      </w:r>
    </w:p>
    <w:p w14:paraId="7F52488D">
      <w:pPr>
        <w:adjustRightInd/>
        <w:spacing w:line="300" w:lineRule="auto"/>
        <w:ind w:firstLine="480" w:firstLineChars="200"/>
        <w:rPr>
          <w:rFonts w:eastAsia="仿宋_GB2312"/>
          <w:color w:val="auto"/>
          <w:sz w:val="24"/>
          <w:highlight w:val="none"/>
        </w:rPr>
      </w:pPr>
      <w:r>
        <w:rPr>
          <w:rFonts w:eastAsia="仿宋_GB2312"/>
          <w:color w:val="auto"/>
          <w:sz w:val="24"/>
          <w:highlight w:val="none"/>
        </w:rPr>
        <w:t>姓    名：</w:t>
      </w:r>
      <w:r>
        <w:rPr>
          <w:rFonts w:eastAsia="仿宋_GB2312"/>
          <w:color w:val="auto"/>
          <w:sz w:val="24"/>
          <w:highlight w:val="none"/>
          <w:u w:val="single"/>
        </w:rPr>
        <w:t>   </w:t>
      </w:r>
      <w:r>
        <w:rPr>
          <w:rFonts w:eastAsia="仿宋_GB2312"/>
          <w:color w:val="auto"/>
          <w:sz w:val="24"/>
          <w:highlight w:val="none"/>
        </w:rPr>
        <w:t>；</w:t>
      </w:r>
    </w:p>
    <w:p w14:paraId="12B641A3">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职    务：</w:t>
      </w:r>
      <w:r>
        <w:rPr>
          <w:rFonts w:eastAsia="仿宋_GB2312"/>
          <w:color w:val="auto"/>
          <w:sz w:val="24"/>
          <w:highlight w:val="none"/>
          <w:u w:val="single"/>
        </w:rPr>
        <w:t>   </w:t>
      </w:r>
      <w:r>
        <w:rPr>
          <w:rFonts w:eastAsia="仿宋_GB2312"/>
          <w:color w:val="auto"/>
          <w:sz w:val="24"/>
          <w:highlight w:val="none"/>
        </w:rPr>
        <w:t>；</w:t>
      </w:r>
    </w:p>
    <w:p w14:paraId="7500B9CB">
      <w:pPr>
        <w:adjustRightInd/>
        <w:spacing w:line="300" w:lineRule="auto"/>
        <w:ind w:firstLine="480" w:firstLineChars="200"/>
        <w:rPr>
          <w:rFonts w:eastAsia="仿宋_GB2312"/>
          <w:color w:val="auto"/>
          <w:sz w:val="24"/>
          <w:highlight w:val="none"/>
        </w:rPr>
      </w:pPr>
      <w:r>
        <w:rPr>
          <w:rFonts w:eastAsia="仿宋_GB2312"/>
          <w:color w:val="auto"/>
          <w:sz w:val="24"/>
          <w:highlight w:val="none"/>
        </w:rPr>
        <w:t>监理工程师执业资格证书号：</w:t>
      </w:r>
      <w:r>
        <w:rPr>
          <w:rFonts w:eastAsia="仿宋_GB2312"/>
          <w:color w:val="auto"/>
          <w:sz w:val="24"/>
          <w:highlight w:val="none"/>
          <w:u w:val="single"/>
        </w:rPr>
        <w:t> </w:t>
      </w:r>
      <w:r>
        <w:rPr>
          <w:rFonts w:eastAsia="仿宋_GB2312"/>
          <w:color w:val="auto"/>
          <w:sz w:val="24"/>
          <w:highlight w:val="none"/>
        </w:rPr>
        <w:t>；</w:t>
      </w:r>
    </w:p>
    <w:p w14:paraId="37E487B3">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联系电话：</w:t>
      </w:r>
      <w:r>
        <w:rPr>
          <w:rFonts w:eastAsia="仿宋_GB2312"/>
          <w:color w:val="auto"/>
          <w:sz w:val="24"/>
          <w:highlight w:val="none"/>
          <w:u w:val="single"/>
        </w:rPr>
        <w:t>   </w:t>
      </w:r>
      <w:r>
        <w:rPr>
          <w:rFonts w:eastAsia="仿宋_GB2312"/>
          <w:color w:val="auto"/>
          <w:sz w:val="24"/>
          <w:highlight w:val="none"/>
        </w:rPr>
        <w:t>；</w:t>
      </w:r>
    </w:p>
    <w:p w14:paraId="5536A7AE">
      <w:pPr>
        <w:adjustRightInd/>
        <w:spacing w:line="300" w:lineRule="auto"/>
        <w:ind w:firstLine="480" w:firstLineChars="200"/>
        <w:rPr>
          <w:rFonts w:eastAsia="仿宋_GB2312"/>
          <w:color w:val="auto"/>
          <w:sz w:val="24"/>
          <w:highlight w:val="none"/>
        </w:rPr>
      </w:pPr>
      <w:r>
        <w:rPr>
          <w:rFonts w:eastAsia="仿宋_GB2312"/>
          <w:color w:val="auto"/>
          <w:sz w:val="24"/>
          <w:highlight w:val="none"/>
        </w:rPr>
        <w:t>电子信箱：</w:t>
      </w:r>
      <w:r>
        <w:rPr>
          <w:rFonts w:eastAsia="仿宋_GB2312"/>
          <w:color w:val="auto"/>
          <w:sz w:val="24"/>
          <w:highlight w:val="none"/>
          <w:u w:val="single"/>
        </w:rPr>
        <w:t>   </w:t>
      </w:r>
      <w:r>
        <w:rPr>
          <w:rFonts w:eastAsia="仿宋_GB2312"/>
          <w:color w:val="auto"/>
          <w:sz w:val="24"/>
          <w:highlight w:val="none"/>
        </w:rPr>
        <w:t>；</w:t>
      </w:r>
    </w:p>
    <w:p w14:paraId="2CCBAD42">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通信地址：</w:t>
      </w:r>
      <w:r>
        <w:rPr>
          <w:rFonts w:eastAsia="仿宋_GB2312"/>
          <w:color w:val="auto"/>
          <w:sz w:val="24"/>
          <w:highlight w:val="none"/>
          <w:u w:val="single"/>
        </w:rPr>
        <w:t>   </w:t>
      </w:r>
      <w:r>
        <w:rPr>
          <w:rFonts w:eastAsia="仿宋_GB2312"/>
          <w:color w:val="auto"/>
          <w:sz w:val="24"/>
          <w:highlight w:val="none"/>
        </w:rPr>
        <w:t>；</w:t>
      </w:r>
    </w:p>
    <w:p w14:paraId="1CC277CC">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关于监理人的其他约定：</w:t>
      </w:r>
      <w:r>
        <w:rPr>
          <w:rFonts w:eastAsia="仿宋_GB2312"/>
          <w:color w:val="auto"/>
          <w:sz w:val="24"/>
          <w:highlight w:val="none"/>
          <w:u w:val="single"/>
        </w:rPr>
        <w:t>   </w:t>
      </w:r>
      <w:r>
        <w:rPr>
          <w:rFonts w:eastAsia="仿宋_GB2312"/>
          <w:color w:val="auto"/>
          <w:sz w:val="24"/>
          <w:highlight w:val="none"/>
        </w:rPr>
        <w:t>。</w:t>
      </w:r>
    </w:p>
    <w:p w14:paraId="6B7A9723">
      <w:pPr>
        <w:adjustRightInd/>
        <w:spacing w:line="300" w:lineRule="auto"/>
        <w:ind w:firstLine="480" w:firstLineChars="200"/>
        <w:rPr>
          <w:rFonts w:eastAsia="黑体"/>
          <w:color w:val="auto"/>
          <w:sz w:val="24"/>
          <w:highlight w:val="none"/>
        </w:rPr>
      </w:pPr>
      <w:r>
        <w:rPr>
          <w:rFonts w:eastAsia="黑体"/>
          <w:color w:val="auto"/>
          <w:sz w:val="24"/>
          <w:highlight w:val="none"/>
        </w:rPr>
        <w:t>4.4 商定或确定</w:t>
      </w:r>
    </w:p>
    <w:p w14:paraId="5905053C">
      <w:pPr>
        <w:adjustRightInd/>
        <w:spacing w:line="300" w:lineRule="auto"/>
        <w:ind w:firstLine="480" w:firstLineChars="200"/>
        <w:rPr>
          <w:rFonts w:eastAsia="仿宋_GB2312"/>
          <w:color w:val="auto"/>
          <w:sz w:val="24"/>
          <w:highlight w:val="none"/>
        </w:rPr>
      </w:pPr>
      <w:bookmarkStart w:id="580" w:name="_Toc267251418"/>
      <w:r>
        <w:rPr>
          <w:rFonts w:eastAsia="仿宋_GB2312"/>
          <w:color w:val="auto"/>
          <w:sz w:val="24"/>
          <w:highlight w:val="none"/>
        </w:rPr>
        <w:t>在发包人和承包人不能通过协商达成一致意见时，发包人授权监理人对以下事项进行确定：</w:t>
      </w:r>
    </w:p>
    <w:p w14:paraId="30A6C1D0">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u w:val="single"/>
        </w:rPr>
        <w:t>/</w:t>
      </w:r>
      <w:r>
        <w:rPr>
          <w:rFonts w:eastAsia="仿宋_GB2312"/>
          <w:color w:val="auto"/>
          <w:sz w:val="24"/>
          <w:highlight w:val="none"/>
        </w:rPr>
        <w:t>；</w:t>
      </w:r>
    </w:p>
    <w:p w14:paraId="08661B70">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u w:val="single"/>
        </w:rPr>
        <w:t>/</w:t>
      </w:r>
      <w:r>
        <w:rPr>
          <w:rFonts w:eastAsia="仿宋_GB2312"/>
          <w:color w:val="auto"/>
          <w:sz w:val="24"/>
          <w:highlight w:val="none"/>
        </w:rPr>
        <w:t>；</w:t>
      </w:r>
    </w:p>
    <w:p w14:paraId="5037471E">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（3）</w:t>
      </w:r>
      <w:r>
        <w:rPr>
          <w:rFonts w:hint="eastAsia" w:eastAsia="仿宋_GB2312"/>
          <w:color w:val="auto"/>
          <w:sz w:val="24"/>
          <w:highlight w:val="none"/>
          <w:u w:val="single"/>
        </w:rPr>
        <w:t>/</w:t>
      </w:r>
      <w:r>
        <w:rPr>
          <w:rFonts w:eastAsia="仿宋_GB2312"/>
          <w:color w:val="auto"/>
          <w:sz w:val="24"/>
          <w:highlight w:val="none"/>
        </w:rPr>
        <w:t>。</w:t>
      </w:r>
    </w:p>
    <w:p w14:paraId="73B022E9">
      <w:pPr>
        <w:pStyle w:val="8"/>
        <w:spacing w:before="0" w:after="0" w:line="300" w:lineRule="auto"/>
        <w:rPr>
          <w:rFonts w:ascii="Times New Roman" w:hAnsi="Times New Roman"/>
          <w:b w:val="0"/>
          <w:color w:val="auto"/>
          <w:sz w:val="24"/>
          <w:szCs w:val="24"/>
          <w:highlight w:val="none"/>
        </w:rPr>
      </w:pPr>
      <w:bookmarkStart w:id="581" w:name="_Toc351203637"/>
      <w:r>
        <w:rPr>
          <w:rFonts w:ascii="Times New Roman" w:hAnsi="Times New Roman"/>
          <w:b w:val="0"/>
          <w:color w:val="auto"/>
          <w:sz w:val="24"/>
          <w:szCs w:val="24"/>
          <w:highlight w:val="none"/>
        </w:rPr>
        <w:t>5</w:t>
      </w:r>
      <w:bookmarkEnd w:id="580"/>
      <w:bookmarkStart w:id="582" w:name="_Toc296890991"/>
      <w:bookmarkStart w:id="583" w:name="_Toc292559872"/>
      <w:bookmarkStart w:id="584" w:name="_Toc297120463"/>
      <w:bookmarkStart w:id="585" w:name="_Toc297048349"/>
      <w:bookmarkStart w:id="586" w:name="_Toc296346664"/>
      <w:bookmarkStart w:id="587" w:name="_Toc292559367"/>
      <w:bookmarkStart w:id="588" w:name="_Toc296503163"/>
      <w:bookmarkStart w:id="589" w:name="_Toc296891203"/>
      <w:bookmarkStart w:id="590" w:name="_Toc296347162"/>
      <w:bookmarkStart w:id="591" w:name="_Toc296944502"/>
      <w:r>
        <w:rPr>
          <w:rFonts w:ascii="Times New Roman" w:hAnsi="Times New Roman"/>
          <w:b w:val="0"/>
          <w:color w:val="auto"/>
          <w:sz w:val="24"/>
          <w:szCs w:val="24"/>
          <w:highlight w:val="none"/>
        </w:rPr>
        <w:t>. 工程质量</w:t>
      </w:r>
      <w:bookmarkEnd w:id="581"/>
    </w:p>
    <w:p w14:paraId="47383CC1">
      <w:pPr>
        <w:adjustRightInd/>
        <w:spacing w:line="300" w:lineRule="auto"/>
        <w:ind w:firstLine="480" w:firstLineChars="200"/>
        <w:rPr>
          <w:rFonts w:eastAsia="黑体"/>
          <w:color w:val="auto"/>
          <w:sz w:val="24"/>
          <w:highlight w:val="none"/>
        </w:rPr>
      </w:pPr>
      <w:r>
        <w:rPr>
          <w:rFonts w:eastAsia="黑体"/>
          <w:color w:val="auto"/>
          <w:sz w:val="24"/>
          <w:highlight w:val="none"/>
        </w:rPr>
        <w:t>5.1 质量要求</w:t>
      </w:r>
    </w:p>
    <w:p w14:paraId="537F988C">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5</w:t>
      </w:r>
      <w:bookmarkStart w:id="592" w:name="_Toc304295527"/>
      <w:bookmarkStart w:id="593" w:name="_Toc297123496"/>
      <w:bookmarkStart w:id="594" w:name="_Toc303539106"/>
      <w:bookmarkStart w:id="595" w:name="_Toc318581164"/>
      <w:bookmarkStart w:id="596" w:name="_Toc300934949"/>
      <w:bookmarkStart w:id="597" w:name="_Toc312677997"/>
      <w:bookmarkStart w:id="598" w:name="_Toc297216155"/>
      <w:r>
        <w:rPr>
          <w:rFonts w:eastAsia="仿宋_GB2312"/>
          <w:color w:val="auto"/>
          <w:sz w:val="24"/>
          <w:highlight w:val="none"/>
        </w:rPr>
        <w:t>.1.1 特殊质量标准和要求：</w:t>
      </w:r>
      <w:r>
        <w:rPr>
          <w:rFonts w:hint="eastAsia" w:eastAsia="仿宋_GB2312"/>
          <w:color w:val="auto"/>
          <w:sz w:val="24"/>
          <w:highlight w:val="none"/>
          <w:u w:val="single"/>
        </w:rPr>
        <w:t>详见通用条款</w:t>
      </w:r>
      <w:r>
        <w:rPr>
          <w:rFonts w:eastAsia="仿宋_GB2312"/>
          <w:color w:val="auto"/>
          <w:sz w:val="24"/>
          <w:highlight w:val="none"/>
          <w:u w:val="single"/>
        </w:rPr>
        <w:t>。</w:t>
      </w:r>
    </w:p>
    <w:p w14:paraId="610C03EE">
      <w:pPr>
        <w:adjustRightInd/>
        <w:spacing w:line="300" w:lineRule="auto"/>
        <w:ind w:firstLine="480" w:firstLineChars="200"/>
        <w:rPr>
          <w:rFonts w:eastAsia="黑体"/>
          <w:color w:val="auto"/>
          <w:sz w:val="24"/>
          <w:highlight w:val="none"/>
        </w:rPr>
      </w:pPr>
      <w:r>
        <w:rPr>
          <w:rFonts w:eastAsia="黑体"/>
          <w:color w:val="auto"/>
          <w:sz w:val="24"/>
          <w:highlight w:val="none"/>
        </w:rPr>
        <w:t>5.3 隐蔽工程检查</w:t>
      </w:r>
    </w:p>
    <w:p w14:paraId="24FFAFD5">
      <w:pPr>
        <w:adjustRightInd/>
        <w:spacing w:line="300" w:lineRule="auto"/>
        <w:ind w:firstLine="480" w:firstLineChars="200"/>
        <w:rPr>
          <w:rFonts w:eastAsia="仿宋_GB2312"/>
          <w:color w:val="auto"/>
          <w:sz w:val="24"/>
          <w:highlight w:val="none"/>
        </w:rPr>
      </w:pPr>
      <w:r>
        <w:rPr>
          <w:rFonts w:eastAsia="仿宋_GB2312"/>
          <w:color w:val="auto"/>
          <w:sz w:val="24"/>
          <w:highlight w:val="none"/>
        </w:rPr>
        <w:t>5.3.2承包人提前通知监理人隐蔽工程检查的期限的约定：</w:t>
      </w:r>
    </w:p>
    <w:p w14:paraId="00094737">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双方约定隐蔽工程和中间验收部位的程序：</w:t>
      </w:r>
      <w:r>
        <w:rPr>
          <w:rFonts w:hint="eastAsia" w:eastAsia="仿宋_GB2312"/>
          <w:color w:val="auto"/>
          <w:sz w:val="24"/>
          <w:highlight w:val="none"/>
          <w:u w:val="single"/>
        </w:rPr>
        <w:t>承包人自检合格后，在隐蔽工程和中间验收48小时前通知监理工程师和发包人代表参加。通知时提交包括承包人自检记录、通知明确陪同检查人员名单、隐蔽和中间验收时间和地点。验收合格，监理工程师和发包人代表在记录上签字后方可进行隐蔽和继续施工。不合格的，承包人在限定期限内整改后重新组织验收，并承担由此发生的费用，且工期不予顺延。</w:t>
      </w:r>
    </w:p>
    <w:p w14:paraId="7EFDAB5E">
      <w:pPr>
        <w:pStyle w:val="8"/>
        <w:spacing w:before="0" w:after="0" w:line="300" w:lineRule="auto"/>
        <w:rPr>
          <w:rFonts w:ascii="Times New Roman" w:hAnsi="Times New Roman"/>
          <w:b w:val="0"/>
          <w:color w:val="auto"/>
          <w:sz w:val="24"/>
          <w:szCs w:val="24"/>
          <w:highlight w:val="none"/>
        </w:rPr>
      </w:pPr>
      <w:bookmarkStart w:id="599" w:name="_Toc351203638"/>
      <w:r>
        <w:rPr>
          <w:rFonts w:ascii="Times New Roman" w:hAnsi="Times New Roman"/>
          <w:b w:val="0"/>
          <w:color w:val="auto"/>
          <w:sz w:val="24"/>
          <w:szCs w:val="24"/>
          <w:highlight w:val="none"/>
        </w:rPr>
        <w:t>6. 安全文明施工与环境保护</w:t>
      </w:r>
      <w:bookmarkEnd w:id="599"/>
    </w:p>
    <w:p w14:paraId="64A443A9">
      <w:pPr>
        <w:adjustRightInd/>
        <w:spacing w:line="300" w:lineRule="auto"/>
        <w:ind w:firstLine="480" w:firstLineChars="200"/>
        <w:rPr>
          <w:rFonts w:eastAsia="黑体"/>
          <w:color w:val="auto"/>
          <w:sz w:val="24"/>
          <w:highlight w:val="none"/>
        </w:rPr>
      </w:pPr>
      <w:r>
        <w:rPr>
          <w:rFonts w:eastAsia="黑体"/>
          <w:color w:val="auto"/>
          <w:sz w:val="24"/>
          <w:highlight w:val="none"/>
        </w:rPr>
        <w:t>6.1安全文明施工</w:t>
      </w:r>
    </w:p>
    <w:p w14:paraId="0CC4A475">
      <w:pPr>
        <w:adjustRightInd/>
        <w:spacing w:line="300" w:lineRule="auto"/>
        <w:ind w:firstLine="480" w:firstLineChars="200"/>
        <w:rPr>
          <w:rFonts w:ascii="仿宋_GB2312" w:eastAsia="仿宋_GB2312"/>
          <w:color w:val="auto"/>
          <w:sz w:val="24"/>
          <w:highlight w:val="none"/>
          <w:u w:val="single"/>
        </w:rPr>
      </w:pPr>
      <w:r>
        <w:rPr>
          <w:rFonts w:eastAsia="仿宋_GB2312"/>
          <w:color w:val="auto"/>
          <w:sz w:val="24"/>
          <w:highlight w:val="none"/>
        </w:rPr>
        <w:t>6.1.1 项目安全生产的达标目标及相应事项的约定：</w:t>
      </w:r>
      <w:r>
        <w:rPr>
          <w:rFonts w:hint="eastAsia" w:ascii="仿宋_GB2312" w:eastAsia="仿宋_GB2312"/>
          <w:color w:val="auto"/>
          <w:sz w:val="24"/>
          <w:highlight w:val="none"/>
          <w:u w:val="single"/>
        </w:rPr>
        <w:t>施工现场按照《建筑施工安全检查标准》（JGJ59-2011）评定达到“合格”标准。</w:t>
      </w:r>
    </w:p>
    <w:p w14:paraId="6EE5CBDB">
      <w:pPr>
        <w:pStyle w:val="897"/>
        <w:adjustRightInd w:val="0"/>
        <w:snapToGrid w:val="0"/>
        <w:spacing w:line="300" w:lineRule="auto"/>
        <w:ind w:left="0" w:leftChars="0" w:firstLine="480"/>
        <w:jc w:val="left"/>
        <w:rPr>
          <w:rFonts w:eastAsia="仿宋_GB2312"/>
          <w:color w:val="auto"/>
          <w:highlight w:val="none"/>
          <w:u w:val="single"/>
        </w:rPr>
      </w:pPr>
      <w:r>
        <w:rPr>
          <w:rFonts w:eastAsia="仿宋_GB2312"/>
          <w:color w:val="auto"/>
          <w:highlight w:val="none"/>
        </w:rPr>
        <w:t>6.1.4 关于治安保卫的约定：</w:t>
      </w:r>
    </w:p>
    <w:p w14:paraId="00CA88F9">
      <w:pPr>
        <w:pStyle w:val="897"/>
        <w:adjustRightInd w:val="0"/>
        <w:snapToGrid w:val="0"/>
        <w:spacing w:line="300" w:lineRule="auto"/>
        <w:ind w:left="0" w:leftChars="0" w:firstLine="480"/>
        <w:jc w:val="left"/>
        <w:rPr>
          <w:rFonts w:ascii="仿宋_GB2312" w:hAnsi="Tahoma" w:eastAsia="仿宋_GB2312"/>
          <w:color w:val="auto"/>
          <w:highlight w:val="none"/>
          <w:u w:val="single"/>
          <w:lang w:val="zh-CN"/>
        </w:rPr>
      </w:pPr>
      <w:r>
        <w:rPr>
          <w:rFonts w:hint="eastAsia" w:eastAsia="仿宋_GB2312"/>
          <w:color w:val="auto"/>
          <w:highlight w:val="none"/>
          <w:u w:val="single"/>
        </w:rPr>
        <w:t>1）</w:t>
      </w:r>
      <w:r>
        <w:rPr>
          <w:rFonts w:hint="eastAsia" w:ascii="仿宋_GB2312" w:hAnsi="Tahoma" w:eastAsia="仿宋_GB2312"/>
          <w:color w:val="auto"/>
          <w:highlight w:val="none"/>
          <w:u w:val="single"/>
          <w:lang w:val="zh-CN"/>
        </w:rPr>
        <w:t>承包人应强化安全意识，抓好安全生产，杜绝事故发生，施工中若发生安全及人身事故均由承包人自行负责处理，承担一切责任包括全部费用，且发包人有权扣罚50000元</w:t>
      </w:r>
      <w:r>
        <w:rPr>
          <w:rFonts w:hint="eastAsia" w:ascii="仿宋_GB2312" w:eastAsia="仿宋_GB2312"/>
          <w:color w:val="auto"/>
          <w:highlight w:val="none"/>
          <w:u w:val="single"/>
          <w:lang w:val="zh-CN"/>
        </w:rPr>
        <w:t>安全生产、文明施工履约保证金。</w:t>
      </w:r>
      <w:r>
        <w:rPr>
          <w:rFonts w:hint="eastAsia" w:ascii="仿宋_GB2312" w:hAnsi="Tahoma" w:eastAsia="仿宋_GB2312"/>
          <w:color w:val="auto"/>
          <w:highlight w:val="none"/>
          <w:u w:val="single"/>
          <w:lang w:val="zh-CN"/>
        </w:rPr>
        <w:t>发包人、监理工程师有权对承包人的安全施工状况进行检查，发现有违反安全施工情况的，有权提出整改要求，承包人须按要求进行整改。</w:t>
      </w:r>
    </w:p>
    <w:p w14:paraId="74F56809">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2）施工过程中若发生死亡事故必须立即启动应急预案，并在</w:t>
      </w:r>
      <w:r>
        <w:rPr>
          <w:rFonts w:eastAsia="仿宋_GB2312"/>
          <w:color w:val="auto"/>
          <w:highlight w:val="none"/>
          <w:u w:val="single"/>
        </w:rPr>
        <w:t>24</w:t>
      </w:r>
      <w:r>
        <w:rPr>
          <w:rFonts w:hint="eastAsia" w:eastAsia="仿宋_GB2312"/>
          <w:color w:val="auto"/>
          <w:highlight w:val="none"/>
          <w:u w:val="single"/>
        </w:rPr>
        <w:t>小时内按事故等级通报上级，并做好事故处理和善后等各类事宜。否则发包人有权直接处理，所有费用在履约保证金及工程款中直接扣除，不足部分承包人应及时补足。</w:t>
      </w:r>
    </w:p>
    <w:p w14:paraId="05A5083A">
      <w:pPr>
        <w:snapToGrid w:val="0"/>
        <w:spacing w:line="300" w:lineRule="auto"/>
        <w:ind w:firstLine="480" w:firstLineChars="200"/>
        <w:jc w:val="left"/>
        <w:rPr>
          <w:rFonts w:eastAsia="仿宋_GB2312"/>
          <w:color w:val="auto"/>
          <w:sz w:val="24"/>
          <w:highlight w:val="none"/>
        </w:rPr>
      </w:pPr>
      <w:r>
        <w:rPr>
          <w:rFonts w:hint="eastAsia" w:eastAsia="仿宋_GB2312"/>
          <w:color w:val="auto"/>
          <w:sz w:val="24"/>
          <w:highlight w:val="none"/>
        </w:rPr>
        <w:t>6.1.5 文明施工</w:t>
      </w:r>
    </w:p>
    <w:p w14:paraId="273947C1">
      <w:pPr>
        <w:snapToGrid w:val="0"/>
        <w:spacing w:line="300" w:lineRule="auto"/>
        <w:ind w:firstLine="480" w:firstLineChars="200"/>
        <w:jc w:val="left"/>
        <w:rPr>
          <w:rFonts w:eastAsia="仿宋_GB2312"/>
          <w:color w:val="auto"/>
          <w:sz w:val="24"/>
          <w:highlight w:val="none"/>
        </w:rPr>
      </w:pPr>
      <w:r>
        <w:rPr>
          <w:rFonts w:hint="eastAsia" w:eastAsia="仿宋_GB2312"/>
          <w:color w:val="auto"/>
          <w:sz w:val="24"/>
          <w:highlight w:val="none"/>
        </w:rPr>
        <w:t>合同当事人对文明施工的要求：</w:t>
      </w:r>
    </w:p>
    <w:p w14:paraId="5B8270CF">
      <w:pPr>
        <w:snapToGrid w:val="0"/>
        <w:spacing w:line="300" w:lineRule="auto"/>
        <w:ind w:firstLine="480" w:firstLineChars="200"/>
        <w:jc w:val="left"/>
        <w:rPr>
          <w:rFonts w:ascii="仿宋_GB2312" w:eastAsia="仿宋_GB2312"/>
          <w:color w:val="auto"/>
          <w:sz w:val="24"/>
          <w:highlight w:val="none"/>
          <w:u w:val="single"/>
          <w:lang w:val="zh-CN"/>
        </w:rPr>
      </w:pPr>
      <w:r>
        <w:rPr>
          <w:rFonts w:hint="eastAsia" w:ascii="仿宋_GB2312" w:eastAsia="仿宋_GB2312"/>
          <w:color w:val="auto"/>
          <w:sz w:val="24"/>
          <w:highlight w:val="none"/>
          <w:u w:val="single"/>
          <w:lang w:val="zh-CN"/>
        </w:rPr>
        <w:t>（1）承包人应采取有效措施尽量减小尘土和噪音污染，需要进行夜间 作业时应经有关部门批准 。</w:t>
      </w:r>
    </w:p>
    <w:p w14:paraId="362E89CB">
      <w:pPr>
        <w:snapToGrid w:val="0"/>
        <w:spacing w:line="300" w:lineRule="auto"/>
        <w:ind w:firstLine="480" w:firstLineChars="200"/>
        <w:jc w:val="left"/>
        <w:rPr>
          <w:rFonts w:ascii="仿宋_GB2312" w:eastAsia="仿宋_GB2312"/>
          <w:color w:val="auto"/>
          <w:sz w:val="24"/>
          <w:highlight w:val="none"/>
          <w:u w:val="single"/>
          <w:lang w:val="zh-CN"/>
        </w:rPr>
      </w:pPr>
      <w:r>
        <w:rPr>
          <w:rFonts w:hint="eastAsia" w:ascii="仿宋_GB2312" w:eastAsia="仿宋_GB2312"/>
          <w:color w:val="auto"/>
          <w:sz w:val="24"/>
          <w:highlight w:val="none"/>
          <w:u w:val="single"/>
          <w:lang w:val="zh-CN"/>
        </w:rPr>
        <w:t>（2)扬尘要求：扬尘控制必须严格按杭建文领办[2015]1号文、杭建工发[2015]206号文、杭建监总2019（59）号文及杭建工2019（103）号）号文执行，施工现场出入口必须安装自动洗轮设备配套沉淀池，固定围挡上设置自动喷淋系统，两者应确保100%使用，并保证施工现场及施工车辆场尘不超过控制标准。发生空气重污染预警时，停止相应施工活动并加强洒水。</w:t>
      </w:r>
    </w:p>
    <w:p w14:paraId="32690D5C">
      <w:pPr>
        <w:snapToGrid w:val="0"/>
        <w:spacing w:line="300" w:lineRule="auto"/>
        <w:ind w:firstLine="480" w:firstLineChars="200"/>
        <w:jc w:val="left"/>
        <w:rPr>
          <w:rFonts w:ascii="仿宋_GB2312" w:eastAsia="仿宋_GB2312"/>
          <w:color w:val="auto"/>
          <w:sz w:val="24"/>
          <w:highlight w:val="none"/>
          <w:u w:val="single"/>
          <w:lang w:val="zh-CN"/>
        </w:rPr>
      </w:pPr>
      <w:r>
        <w:rPr>
          <w:rFonts w:hint="eastAsia" w:ascii="仿宋_GB2312" w:eastAsia="仿宋_GB2312"/>
          <w:color w:val="auto"/>
          <w:sz w:val="24"/>
          <w:highlight w:val="none"/>
          <w:u w:val="single"/>
        </w:rPr>
        <w:t>（3</w:t>
      </w:r>
      <w:r>
        <w:rPr>
          <w:rFonts w:hint="eastAsia" w:ascii="仿宋_GB2312" w:eastAsia="仿宋_GB2312"/>
          <w:color w:val="auto"/>
          <w:sz w:val="24"/>
          <w:highlight w:val="none"/>
          <w:u w:val="single"/>
          <w:lang w:val="zh-CN"/>
        </w:rPr>
        <w:t>)发包人将不区分土方类别全部归为土方外运，承包人须充分进行现场踏勘，在报价中综合考虑，其工程量须监理及发包人现场管理人员签证。施工中产生的废土等必须随挖随运，堆放时间原则上不得超过8小时，堆放期间必须作覆盖处理，报价中必须考虑土方短驳费用。</w:t>
      </w:r>
    </w:p>
    <w:p w14:paraId="03324962">
      <w:pPr>
        <w:adjustRightInd/>
        <w:spacing w:line="300" w:lineRule="auto"/>
        <w:ind w:firstLine="477" w:firstLineChars="198"/>
        <w:rPr>
          <w:rFonts w:ascii="仿宋_GB2312" w:eastAsia="仿宋_GB2312"/>
          <w:b/>
          <w:color w:val="auto"/>
          <w:sz w:val="24"/>
          <w:highlight w:val="none"/>
          <w:u w:val="single"/>
          <w:lang w:val="zh-CN"/>
        </w:rPr>
      </w:pPr>
      <w:r>
        <w:rPr>
          <w:rFonts w:hint="eastAsia" w:ascii="仿宋_GB2312" w:eastAsia="仿宋_GB2312"/>
          <w:b/>
          <w:color w:val="auto"/>
          <w:sz w:val="24"/>
          <w:highlight w:val="none"/>
          <w:u w:val="single"/>
          <w:lang w:val="zh-CN"/>
        </w:rPr>
        <w:t xml:space="preserve">（4）上述手续办理费用约定如下： </w:t>
      </w:r>
      <w:r>
        <w:rPr>
          <w:rFonts w:hint="eastAsia" w:ascii="仿宋_GB2312" w:eastAsia="仿宋_GB2312"/>
          <w:color w:val="auto"/>
          <w:sz w:val="24"/>
          <w:highlight w:val="none"/>
          <w:u w:val="single"/>
          <w:lang w:val="zh-CN"/>
        </w:rPr>
        <w:t>由承包人自行承担</w:t>
      </w:r>
      <w:r>
        <w:rPr>
          <w:rFonts w:hint="eastAsia" w:ascii="黑体" w:eastAsia="黑体"/>
          <w:b/>
          <w:color w:val="auto"/>
          <w:sz w:val="24"/>
          <w:highlight w:val="none"/>
          <w:u w:val="single"/>
          <w:lang w:val="zh-CN"/>
        </w:rPr>
        <w:t>。</w:t>
      </w:r>
    </w:p>
    <w:p w14:paraId="3B35E89A">
      <w:pPr>
        <w:adjustRightInd/>
        <w:spacing w:line="300" w:lineRule="auto"/>
        <w:ind w:left="149" w:leftChars="71" w:firstLine="360" w:firstLineChars="150"/>
        <w:rPr>
          <w:rFonts w:eastAsia="仿宋_GB2312"/>
          <w:color w:val="auto"/>
          <w:sz w:val="24"/>
          <w:highlight w:val="none"/>
        </w:rPr>
      </w:pPr>
      <w:r>
        <w:rPr>
          <w:rFonts w:eastAsia="仿宋_GB2312"/>
          <w:color w:val="auto"/>
          <w:sz w:val="24"/>
          <w:highlight w:val="none"/>
        </w:rPr>
        <w:t>6.1.6 关于安全文明施工费支付比例和支付期限的约定</w:t>
      </w:r>
      <w:r>
        <w:rPr>
          <w:rFonts w:hint="eastAsia" w:eastAsia="仿宋_GB2312"/>
          <w:color w:val="auto"/>
          <w:sz w:val="24"/>
          <w:highlight w:val="none"/>
        </w:rPr>
        <w:t>，按以下</w:t>
      </w:r>
      <w:r>
        <w:rPr>
          <w:rFonts w:hint="eastAsia" w:eastAsia="仿宋_GB2312"/>
          <w:color w:val="auto"/>
          <w:sz w:val="24"/>
          <w:highlight w:val="none"/>
          <w:u w:val="single"/>
        </w:rPr>
        <w:t>第（/）种方式</w:t>
      </w:r>
      <w:r>
        <w:rPr>
          <w:rFonts w:hint="eastAsia" w:eastAsia="仿宋_GB2312"/>
          <w:color w:val="auto"/>
          <w:sz w:val="24"/>
          <w:highlight w:val="none"/>
        </w:rPr>
        <w:t>约定：</w:t>
      </w:r>
    </w:p>
    <w:p w14:paraId="1E293809">
      <w:pPr>
        <w:adjustRightInd/>
        <w:spacing w:line="300" w:lineRule="auto"/>
        <w:ind w:firstLine="477" w:firstLineChars="198"/>
        <w:rPr>
          <w:rFonts w:ascii="黑体" w:eastAsia="仿宋_GB2312"/>
          <w:b/>
          <w:color w:val="auto"/>
          <w:sz w:val="24"/>
          <w:highlight w:val="none"/>
        </w:rPr>
      </w:pPr>
      <w:r>
        <w:rPr>
          <w:rFonts w:hint="eastAsia" w:ascii="仿宋_GB2312" w:eastAsia="仿宋_GB2312"/>
          <w:b/>
          <w:color w:val="auto"/>
          <w:sz w:val="24"/>
          <w:highlight w:val="none"/>
          <w:u w:val="single"/>
        </w:rPr>
        <w:t>（1）</w:t>
      </w:r>
      <w:r>
        <w:rPr>
          <w:rFonts w:hint="eastAsia" w:ascii="黑体" w:eastAsia="仿宋_GB2312"/>
          <w:b/>
          <w:color w:val="auto"/>
          <w:sz w:val="24"/>
          <w:highlight w:val="none"/>
          <w:u w:val="single"/>
        </w:rPr>
        <w:t xml:space="preserve">          /                                     </w:t>
      </w:r>
      <w:r>
        <w:rPr>
          <w:rFonts w:hint="eastAsia" w:ascii="黑体" w:eastAsia="仿宋_GB2312"/>
          <w:b/>
          <w:color w:val="auto"/>
          <w:sz w:val="24"/>
          <w:highlight w:val="none"/>
        </w:rPr>
        <w:t>。</w:t>
      </w:r>
    </w:p>
    <w:p w14:paraId="2E5784D1">
      <w:pPr>
        <w:adjustRightInd/>
        <w:spacing w:line="300" w:lineRule="auto"/>
        <w:ind w:firstLine="477" w:firstLineChars="198"/>
        <w:rPr>
          <w:rFonts w:ascii="黑体" w:eastAsia="仿宋_GB2312"/>
          <w:b/>
          <w:color w:val="auto"/>
          <w:sz w:val="24"/>
          <w:highlight w:val="none"/>
        </w:rPr>
      </w:pPr>
      <w:r>
        <w:rPr>
          <w:rFonts w:hint="eastAsia" w:ascii="黑体" w:eastAsia="仿宋_GB2312"/>
          <w:b/>
          <w:color w:val="auto"/>
          <w:sz w:val="24"/>
          <w:highlight w:val="none"/>
        </w:rPr>
        <w:t>①</w:t>
      </w:r>
      <w:r>
        <w:rPr>
          <w:rFonts w:hint="eastAsia" w:ascii="黑体" w:eastAsia="仿宋_GB2312"/>
          <w:b/>
          <w:color w:val="auto"/>
          <w:sz w:val="24"/>
          <w:highlight w:val="none"/>
          <w:u w:val="single"/>
        </w:rPr>
        <w:t xml:space="preserve">            /                                      </w:t>
      </w:r>
      <w:r>
        <w:rPr>
          <w:rFonts w:hint="eastAsia" w:ascii="黑体" w:eastAsia="仿宋_GB2312"/>
          <w:b/>
          <w:color w:val="auto"/>
          <w:sz w:val="24"/>
          <w:highlight w:val="none"/>
        </w:rPr>
        <w:t>。</w:t>
      </w:r>
    </w:p>
    <w:p w14:paraId="6E8F0DB4">
      <w:pPr>
        <w:adjustRightInd/>
        <w:spacing w:line="300" w:lineRule="auto"/>
        <w:ind w:firstLine="477" w:firstLineChars="198"/>
        <w:rPr>
          <w:rFonts w:ascii="黑体" w:eastAsia="仿宋_GB2312"/>
          <w:b/>
          <w:color w:val="auto"/>
          <w:sz w:val="24"/>
          <w:highlight w:val="none"/>
          <w:u w:val="single"/>
        </w:rPr>
      </w:pPr>
      <w:r>
        <w:rPr>
          <w:rFonts w:hint="eastAsia" w:ascii="黑体" w:eastAsia="仿宋_GB2312"/>
          <w:b/>
          <w:color w:val="auto"/>
          <w:sz w:val="24"/>
          <w:highlight w:val="none"/>
        </w:rPr>
        <w:t>②</w:t>
      </w:r>
      <w:r>
        <w:rPr>
          <w:rFonts w:hint="eastAsia" w:ascii="黑体" w:eastAsia="仿宋_GB2312"/>
          <w:b/>
          <w:color w:val="auto"/>
          <w:sz w:val="24"/>
          <w:highlight w:val="none"/>
          <w:u w:val="single"/>
        </w:rPr>
        <w:t xml:space="preserve">  其他：          /                                </w:t>
      </w:r>
      <w:r>
        <w:rPr>
          <w:rFonts w:hint="eastAsia" w:ascii="黑体" w:eastAsia="仿宋_GB2312"/>
          <w:b/>
          <w:color w:val="auto"/>
          <w:sz w:val="24"/>
          <w:highlight w:val="none"/>
        </w:rPr>
        <w:t>。</w:t>
      </w:r>
    </w:p>
    <w:p w14:paraId="010DB30C">
      <w:pPr>
        <w:adjustRightInd/>
        <w:spacing w:line="300" w:lineRule="auto"/>
        <w:ind w:firstLine="480" w:firstLineChars="200"/>
        <w:rPr>
          <w:rFonts w:ascii="黑体" w:eastAsia="仿宋_GB2312"/>
          <w:b/>
          <w:color w:val="auto"/>
          <w:sz w:val="24"/>
          <w:highlight w:val="none"/>
          <w:u w:val="single"/>
        </w:rPr>
      </w:pPr>
      <w:r>
        <w:rPr>
          <w:rFonts w:hint="eastAsia" w:eastAsia="仿宋_GB2312"/>
          <w:color w:val="auto"/>
          <w:sz w:val="24"/>
          <w:highlight w:val="none"/>
          <w:u w:val="single"/>
        </w:rPr>
        <w:t>（2）</w:t>
      </w:r>
      <w:r>
        <w:rPr>
          <w:rFonts w:hint="eastAsia" w:ascii="黑体" w:eastAsia="仿宋_GB2312"/>
          <w:b/>
          <w:color w:val="auto"/>
          <w:sz w:val="24"/>
          <w:highlight w:val="none"/>
          <w:u w:val="single"/>
        </w:rPr>
        <w:t>其他：         /                                。</w:t>
      </w:r>
    </w:p>
    <w:bookmarkEnd w:id="592"/>
    <w:bookmarkEnd w:id="593"/>
    <w:bookmarkEnd w:id="594"/>
    <w:bookmarkEnd w:id="595"/>
    <w:bookmarkEnd w:id="596"/>
    <w:bookmarkEnd w:id="597"/>
    <w:bookmarkEnd w:id="598"/>
    <w:p w14:paraId="059A8232">
      <w:pPr>
        <w:pStyle w:val="8"/>
        <w:spacing w:before="0" w:after="0" w:line="300" w:lineRule="auto"/>
        <w:rPr>
          <w:rFonts w:ascii="Times New Roman" w:hAnsi="Times New Roman"/>
          <w:b w:val="0"/>
          <w:color w:val="auto"/>
          <w:sz w:val="24"/>
          <w:szCs w:val="24"/>
          <w:highlight w:val="none"/>
        </w:rPr>
      </w:pPr>
      <w:bookmarkStart w:id="600" w:name="_Toc351203639"/>
      <w:r>
        <w:rPr>
          <w:rFonts w:ascii="Times New Roman" w:hAnsi="Times New Roman"/>
          <w:b w:val="0"/>
          <w:color w:val="auto"/>
          <w:sz w:val="24"/>
          <w:szCs w:val="24"/>
          <w:highlight w:val="none"/>
        </w:rPr>
        <w:t>7. 工期和进度</w:t>
      </w:r>
      <w:bookmarkEnd w:id="600"/>
    </w:p>
    <w:p w14:paraId="13815970">
      <w:pPr>
        <w:adjustRightInd/>
        <w:spacing w:line="300" w:lineRule="auto"/>
        <w:ind w:firstLine="480" w:firstLineChars="200"/>
        <w:rPr>
          <w:rFonts w:eastAsia="黑体"/>
          <w:color w:val="auto"/>
          <w:sz w:val="24"/>
          <w:highlight w:val="none"/>
        </w:rPr>
      </w:pPr>
      <w:r>
        <w:rPr>
          <w:rFonts w:eastAsia="黑体"/>
          <w:color w:val="auto"/>
          <w:sz w:val="24"/>
          <w:highlight w:val="none"/>
        </w:rPr>
        <w:t>7.1 施工组织设计</w:t>
      </w:r>
    </w:p>
    <w:p w14:paraId="6450CF2C">
      <w:pPr>
        <w:adjustRightInd/>
        <w:spacing w:line="300" w:lineRule="auto"/>
        <w:ind w:firstLine="480" w:firstLineChars="200"/>
        <w:rPr>
          <w:rFonts w:ascii="黑体" w:eastAsia="仿宋_GB2312"/>
          <w:b/>
          <w:color w:val="auto"/>
          <w:sz w:val="24"/>
          <w:highlight w:val="none"/>
          <w:u w:val="single"/>
        </w:rPr>
      </w:pPr>
      <w:r>
        <w:rPr>
          <w:rFonts w:eastAsia="仿宋_GB2312"/>
          <w:color w:val="auto"/>
          <w:sz w:val="24"/>
          <w:highlight w:val="none"/>
        </w:rPr>
        <w:t>7.1.</w:t>
      </w:r>
      <w:r>
        <w:rPr>
          <w:rFonts w:hint="eastAsia" w:eastAsia="仿宋_GB2312"/>
          <w:color w:val="auto"/>
          <w:sz w:val="24"/>
          <w:highlight w:val="none"/>
        </w:rPr>
        <w:t>1 合同当事人约定的</w:t>
      </w:r>
      <w:r>
        <w:rPr>
          <w:rFonts w:eastAsia="仿宋_GB2312"/>
          <w:color w:val="auto"/>
          <w:sz w:val="24"/>
          <w:highlight w:val="none"/>
        </w:rPr>
        <w:t>施工组织设计</w:t>
      </w:r>
      <w:r>
        <w:rPr>
          <w:rFonts w:hint="eastAsia" w:eastAsia="仿宋_GB2312"/>
          <w:color w:val="auto"/>
          <w:sz w:val="24"/>
          <w:highlight w:val="none"/>
        </w:rPr>
        <w:t>应包括的其他内容</w:t>
      </w:r>
      <w:r>
        <w:rPr>
          <w:rFonts w:eastAsia="仿宋_GB2312"/>
          <w:color w:val="auto"/>
          <w:sz w:val="24"/>
          <w:highlight w:val="none"/>
        </w:rPr>
        <w:t>：</w:t>
      </w:r>
      <w:r>
        <w:rPr>
          <w:rFonts w:hint="eastAsia" w:ascii="黑体" w:eastAsia="仿宋_GB2312"/>
          <w:b/>
          <w:color w:val="auto"/>
          <w:sz w:val="24"/>
          <w:highlight w:val="none"/>
          <w:u w:val="single"/>
        </w:rPr>
        <w:t xml:space="preserve">   /       。</w:t>
      </w:r>
    </w:p>
    <w:p w14:paraId="0B28AF60">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7.1.2 施工组织设计的提交和修改</w:t>
      </w:r>
    </w:p>
    <w:p w14:paraId="32DC9A24">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承包人提交详细施工组织设计的期限的约定：</w:t>
      </w:r>
      <w:r>
        <w:rPr>
          <w:rFonts w:hint="eastAsia" w:ascii="黑体" w:eastAsia="仿宋_GB2312"/>
          <w:b/>
          <w:color w:val="auto"/>
          <w:sz w:val="24"/>
          <w:highlight w:val="none"/>
          <w:u w:val="single"/>
        </w:rPr>
        <w:t xml:space="preserve">   /       。</w:t>
      </w:r>
    </w:p>
    <w:p w14:paraId="54122D9F">
      <w:pPr>
        <w:adjustRightInd/>
        <w:spacing w:line="300" w:lineRule="auto"/>
        <w:ind w:firstLine="480" w:firstLineChars="200"/>
        <w:rPr>
          <w:rFonts w:eastAsia="黑体"/>
          <w:color w:val="auto"/>
          <w:sz w:val="24"/>
          <w:highlight w:val="none"/>
        </w:rPr>
      </w:pPr>
      <w:r>
        <w:rPr>
          <w:rFonts w:eastAsia="黑体"/>
          <w:color w:val="auto"/>
          <w:sz w:val="24"/>
          <w:highlight w:val="none"/>
        </w:rPr>
        <w:t>7</w:t>
      </w:r>
      <w:bookmarkStart w:id="601" w:name="_Toc304295541"/>
      <w:bookmarkStart w:id="602" w:name="_Toc300934966"/>
      <w:bookmarkStart w:id="603" w:name="_Toc303539123"/>
      <w:bookmarkStart w:id="604" w:name="_Toc297216173"/>
      <w:bookmarkStart w:id="605" w:name="_Toc312678005"/>
      <w:bookmarkStart w:id="606" w:name="_Toc312677479"/>
      <w:bookmarkStart w:id="607" w:name="_Toc297123514"/>
      <w:r>
        <w:rPr>
          <w:rFonts w:eastAsia="黑体"/>
          <w:color w:val="auto"/>
          <w:sz w:val="24"/>
          <w:highlight w:val="none"/>
        </w:rPr>
        <w:t>.2 施工进度计划</w:t>
      </w:r>
    </w:p>
    <w:p w14:paraId="586CFEBB">
      <w:pPr>
        <w:adjustRightInd/>
        <w:spacing w:line="300" w:lineRule="auto"/>
        <w:ind w:firstLine="480" w:firstLineChars="200"/>
        <w:rPr>
          <w:rFonts w:eastAsia="仿宋_GB2312"/>
          <w:color w:val="auto"/>
          <w:sz w:val="24"/>
          <w:highlight w:val="none"/>
        </w:rPr>
      </w:pPr>
      <w:r>
        <w:rPr>
          <w:rFonts w:eastAsia="仿宋_GB2312"/>
          <w:color w:val="auto"/>
          <w:sz w:val="24"/>
          <w:highlight w:val="none"/>
        </w:rPr>
        <w:t>7.2.2 施工进度计划的修订</w:t>
      </w:r>
    </w:p>
    <w:p w14:paraId="68754132">
      <w:pPr>
        <w:adjustRightInd/>
        <w:spacing w:line="300" w:lineRule="auto"/>
        <w:ind w:firstLine="480" w:firstLineChars="200"/>
        <w:jc w:val="left"/>
        <w:rPr>
          <w:rFonts w:ascii="黑体" w:eastAsia="仿宋_GB2312"/>
          <w:b/>
          <w:color w:val="auto"/>
          <w:sz w:val="24"/>
          <w:highlight w:val="none"/>
          <w:u w:val="single"/>
        </w:rPr>
      </w:pPr>
      <w:r>
        <w:rPr>
          <w:rFonts w:eastAsia="仿宋_GB2312"/>
          <w:color w:val="auto"/>
          <w:sz w:val="24"/>
          <w:highlight w:val="none"/>
        </w:rPr>
        <w:t>发包人和监理人在收到修订的施工进度计划后确认或提出修改意见的期限：</w:t>
      </w:r>
      <w:r>
        <w:rPr>
          <w:rFonts w:hint="eastAsia" w:ascii="黑体" w:eastAsia="仿宋_GB2312"/>
          <w:b/>
          <w:color w:val="auto"/>
          <w:sz w:val="24"/>
          <w:highlight w:val="none"/>
          <w:u w:val="single"/>
        </w:rPr>
        <w:t xml:space="preserve">  /。</w:t>
      </w:r>
    </w:p>
    <w:p w14:paraId="7552FF44">
      <w:pPr>
        <w:adjustRightInd/>
        <w:spacing w:line="300" w:lineRule="auto"/>
        <w:ind w:firstLine="480" w:firstLineChars="200"/>
        <w:rPr>
          <w:rFonts w:eastAsia="黑体"/>
          <w:color w:val="auto"/>
          <w:sz w:val="24"/>
          <w:highlight w:val="none"/>
        </w:rPr>
      </w:pPr>
      <w:r>
        <w:rPr>
          <w:rFonts w:eastAsia="黑体"/>
          <w:color w:val="auto"/>
          <w:sz w:val="24"/>
          <w:highlight w:val="none"/>
        </w:rPr>
        <w:t>7.3 开工</w:t>
      </w:r>
    </w:p>
    <w:p w14:paraId="0C17C752">
      <w:pPr>
        <w:adjustRightInd/>
        <w:spacing w:line="300" w:lineRule="auto"/>
        <w:ind w:firstLine="480" w:firstLineChars="200"/>
        <w:rPr>
          <w:rFonts w:eastAsia="仿宋_GB2312"/>
          <w:color w:val="auto"/>
          <w:sz w:val="24"/>
          <w:highlight w:val="none"/>
        </w:rPr>
      </w:pPr>
      <w:r>
        <w:rPr>
          <w:rFonts w:eastAsia="仿宋_GB2312"/>
          <w:color w:val="auto"/>
          <w:sz w:val="24"/>
          <w:highlight w:val="none"/>
        </w:rPr>
        <w:t>7.3.1 开工准备</w:t>
      </w:r>
    </w:p>
    <w:p w14:paraId="074652C2">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关于承包人提交工程开工报审表的期限：</w:t>
      </w:r>
      <w:r>
        <w:rPr>
          <w:rFonts w:hint="eastAsia" w:eastAsia="仿宋_GB2312"/>
          <w:color w:val="auto"/>
          <w:sz w:val="24"/>
          <w:highlight w:val="none"/>
          <w:u w:val="single"/>
        </w:rPr>
        <w:t>按照第7.1款〔施工组织设计〕约定的期限</w:t>
      </w:r>
      <w:r>
        <w:rPr>
          <w:rFonts w:eastAsia="仿宋_GB2312"/>
          <w:color w:val="auto"/>
          <w:sz w:val="24"/>
          <w:highlight w:val="none"/>
        </w:rPr>
        <w:t>。</w:t>
      </w:r>
    </w:p>
    <w:p w14:paraId="2FE19845">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关于发包人应完成的其他开工准备工作及期限：</w:t>
      </w:r>
      <w:r>
        <w:rPr>
          <w:rFonts w:hint="eastAsia" w:eastAsia="仿宋_GB2312"/>
          <w:color w:val="auto"/>
          <w:sz w:val="24"/>
          <w:highlight w:val="none"/>
          <w:u w:val="single"/>
        </w:rPr>
        <w:t>按照第7.1款〔施工组织设计〕约定的期限</w:t>
      </w:r>
      <w:r>
        <w:rPr>
          <w:rFonts w:eastAsia="仿宋_GB2312"/>
          <w:color w:val="auto"/>
          <w:sz w:val="24"/>
          <w:highlight w:val="none"/>
        </w:rPr>
        <w:t>。</w:t>
      </w:r>
    </w:p>
    <w:p w14:paraId="7C9B66F4">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关于承包人应完成的其他开工准备工作及期限：</w:t>
      </w:r>
      <w:r>
        <w:rPr>
          <w:rFonts w:hint="eastAsia" w:eastAsia="仿宋_GB2312"/>
          <w:color w:val="auto"/>
          <w:sz w:val="24"/>
          <w:highlight w:val="none"/>
          <w:u w:val="single"/>
        </w:rPr>
        <w:t>按照第7.1款〔施工组织设计〕约定的期限</w:t>
      </w:r>
      <w:r>
        <w:rPr>
          <w:rFonts w:eastAsia="仿宋_GB2312"/>
          <w:color w:val="auto"/>
          <w:sz w:val="24"/>
          <w:highlight w:val="none"/>
        </w:rPr>
        <w:t>。</w:t>
      </w:r>
    </w:p>
    <w:p w14:paraId="70C9A150">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承包人进场前，需提交施工现场总平面布置图，经发包人的认可，方可进行施工现场布置。承包人进场后10天内需完成工地大门、政策标语、场地硬化、企业形象设计图牌、安全警示图牌等工作，并通过发包人的验收。企业形象设计图牌、安全警示图牌、临时用电、安全防护、临时宿舍等安全文明施工必须达到当地安全生产、文明施工标准化工地的要求。</w:t>
      </w:r>
    </w:p>
    <w:p w14:paraId="023E71E0">
      <w:pPr>
        <w:adjustRightInd/>
        <w:spacing w:line="300" w:lineRule="auto"/>
        <w:ind w:firstLine="480" w:firstLineChars="200"/>
        <w:rPr>
          <w:rFonts w:eastAsia="仿宋_GB2312"/>
          <w:color w:val="auto"/>
          <w:sz w:val="24"/>
          <w:highlight w:val="none"/>
        </w:rPr>
      </w:pPr>
      <w:r>
        <w:rPr>
          <w:rFonts w:eastAsia="仿宋_GB2312"/>
          <w:color w:val="auto"/>
          <w:sz w:val="24"/>
          <w:highlight w:val="none"/>
        </w:rPr>
        <w:t>7.3.2开工通知</w:t>
      </w:r>
    </w:p>
    <w:bookmarkEnd w:id="601"/>
    <w:bookmarkEnd w:id="602"/>
    <w:bookmarkEnd w:id="603"/>
    <w:bookmarkEnd w:id="604"/>
    <w:bookmarkEnd w:id="605"/>
    <w:bookmarkEnd w:id="606"/>
    <w:bookmarkEnd w:id="607"/>
    <w:p w14:paraId="30A362F0">
      <w:pPr>
        <w:adjustRightInd/>
        <w:spacing w:line="300" w:lineRule="auto"/>
        <w:ind w:firstLine="482" w:firstLineChars="200"/>
        <w:rPr>
          <w:rFonts w:ascii="黑体" w:eastAsia="仿宋_GB2312"/>
          <w:b/>
          <w:color w:val="auto"/>
          <w:sz w:val="24"/>
          <w:highlight w:val="none"/>
          <w:u w:val="single"/>
        </w:rPr>
      </w:pPr>
      <w:r>
        <w:rPr>
          <w:rFonts w:hint="eastAsia" w:ascii="黑体" w:eastAsia="仿宋_GB2312"/>
          <w:b/>
          <w:color w:val="auto"/>
          <w:sz w:val="24"/>
          <w:highlight w:val="none"/>
          <w:u w:val="single"/>
        </w:rPr>
        <w:t xml:space="preserve">   /                                。</w:t>
      </w:r>
    </w:p>
    <w:p w14:paraId="07174C63">
      <w:pPr>
        <w:adjustRightInd/>
        <w:spacing w:line="300" w:lineRule="auto"/>
        <w:ind w:firstLine="480" w:firstLineChars="200"/>
        <w:rPr>
          <w:rFonts w:eastAsia="黑体"/>
          <w:color w:val="auto"/>
          <w:sz w:val="24"/>
          <w:highlight w:val="none"/>
        </w:rPr>
      </w:pPr>
      <w:r>
        <w:rPr>
          <w:rFonts w:eastAsia="黑体"/>
          <w:color w:val="auto"/>
          <w:sz w:val="24"/>
          <w:highlight w:val="none"/>
        </w:rPr>
        <w:t>7.4 测量放线</w:t>
      </w:r>
    </w:p>
    <w:p w14:paraId="23DA291D">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7.4.1发包人通过监理人向承包人提供测量基准点、基准线和水准点及其书面资料的期限：</w:t>
      </w:r>
      <w:r>
        <w:rPr>
          <w:rFonts w:hint="eastAsia" w:eastAsia="仿宋_GB2312"/>
          <w:color w:val="auto"/>
          <w:sz w:val="24"/>
          <w:highlight w:val="none"/>
          <w:u w:val="single"/>
        </w:rPr>
        <w:t>开工前3天</w:t>
      </w:r>
      <w:r>
        <w:rPr>
          <w:rFonts w:eastAsia="仿宋_GB2312"/>
          <w:color w:val="auto"/>
          <w:sz w:val="24"/>
          <w:highlight w:val="none"/>
          <w:u w:val="single"/>
        </w:rPr>
        <w:t>。</w:t>
      </w:r>
    </w:p>
    <w:p w14:paraId="03680B64">
      <w:pPr>
        <w:adjustRightInd/>
        <w:spacing w:line="300" w:lineRule="auto"/>
        <w:ind w:firstLine="480" w:firstLineChars="200"/>
        <w:rPr>
          <w:rFonts w:eastAsia="黑体"/>
          <w:color w:val="auto"/>
          <w:sz w:val="24"/>
          <w:highlight w:val="none"/>
        </w:rPr>
      </w:pPr>
      <w:r>
        <w:rPr>
          <w:rFonts w:eastAsia="黑体"/>
          <w:color w:val="auto"/>
          <w:sz w:val="24"/>
          <w:highlight w:val="none"/>
        </w:rPr>
        <w:t>7</w:t>
      </w:r>
      <w:bookmarkStart w:id="608" w:name="_Toc297216175"/>
      <w:bookmarkStart w:id="609" w:name="_Toc300934968"/>
      <w:bookmarkStart w:id="610" w:name="_Toc303539125"/>
      <w:bookmarkStart w:id="611" w:name="_Toc312677484"/>
      <w:bookmarkStart w:id="612" w:name="_Toc297123516"/>
      <w:bookmarkStart w:id="613" w:name="_Toc304295546"/>
      <w:bookmarkStart w:id="614" w:name="_Toc312678010"/>
      <w:r>
        <w:rPr>
          <w:rFonts w:eastAsia="黑体"/>
          <w:color w:val="auto"/>
          <w:sz w:val="24"/>
          <w:highlight w:val="none"/>
        </w:rPr>
        <w:t>.5 工期延误</w:t>
      </w:r>
    </w:p>
    <w:bookmarkEnd w:id="608"/>
    <w:bookmarkEnd w:id="609"/>
    <w:bookmarkEnd w:id="610"/>
    <w:bookmarkEnd w:id="611"/>
    <w:bookmarkEnd w:id="612"/>
    <w:bookmarkEnd w:id="613"/>
    <w:bookmarkEnd w:id="614"/>
    <w:p w14:paraId="4989A43D">
      <w:pPr>
        <w:adjustRightInd/>
        <w:spacing w:line="300" w:lineRule="auto"/>
        <w:ind w:firstLine="480" w:firstLineChars="200"/>
        <w:rPr>
          <w:rFonts w:eastAsia="仿宋_GB2312"/>
          <w:color w:val="auto"/>
          <w:sz w:val="24"/>
          <w:highlight w:val="none"/>
        </w:rPr>
      </w:pPr>
      <w:r>
        <w:rPr>
          <w:rFonts w:eastAsia="仿宋_GB2312"/>
          <w:color w:val="auto"/>
          <w:sz w:val="24"/>
          <w:highlight w:val="none"/>
        </w:rPr>
        <w:t>7.5.1 因发包人原因导致工期延误</w:t>
      </w:r>
    </w:p>
    <w:p w14:paraId="406E98BE">
      <w:pPr>
        <w:adjustRightInd/>
        <w:spacing w:line="300" w:lineRule="auto"/>
        <w:ind w:firstLine="480" w:firstLineChars="200"/>
        <w:rPr>
          <w:rFonts w:eastAsia="仿宋_GB2312"/>
          <w:color w:val="auto"/>
          <w:sz w:val="24"/>
          <w:highlight w:val="none"/>
        </w:rPr>
      </w:pPr>
      <w:r>
        <w:rPr>
          <w:rFonts w:eastAsia="仿宋_GB2312"/>
          <w:color w:val="auto"/>
          <w:sz w:val="24"/>
          <w:highlight w:val="none"/>
        </w:rPr>
        <w:t>（7）因发包人原因导致工期延误的其他情形：</w:t>
      </w:r>
    </w:p>
    <w:p w14:paraId="6DE69008">
      <w:pPr>
        <w:adjustRightInd/>
        <w:spacing w:line="300" w:lineRule="auto"/>
        <w:ind w:firstLine="482" w:firstLineChars="200"/>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①</w:t>
      </w:r>
      <w:r>
        <w:rPr>
          <w:rFonts w:hint="eastAsia" w:ascii="黑体" w:eastAsia="仿宋_GB2312"/>
          <w:b/>
          <w:color w:val="auto"/>
          <w:sz w:val="24"/>
          <w:highlight w:val="none"/>
          <w:u w:val="single"/>
        </w:rPr>
        <w:t xml:space="preserve">   /                                。</w:t>
      </w:r>
    </w:p>
    <w:p w14:paraId="41306909">
      <w:pPr>
        <w:adjustRightInd/>
        <w:spacing w:line="300" w:lineRule="auto"/>
        <w:ind w:firstLine="422" w:firstLineChars="200"/>
        <w:rPr>
          <w:rFonts w:hint="eastAsia" w:ascii="宋体" w:hAnsi="宋体"/>
          <w:color w:val="auto"/>
          <w:highlight w:val="none"/>
          <w:u w:val="single"/>
        </w:rPr>
      </w:pPr>
      <w:r>
        <w:rPr>
          <w:rFonts w:hint="eastAsia" w:ascii="仿宋_GB2312" w:eastAsia="仿宋_GB2312"/>
          <w:b/>
          <w:color w:val="auto"/>
          <w:highlight w:val="none"/>
          <w:u w:val="single"/>
        </w:rPr>
        <w:t>②其他：</w:t>
      </w:r>
      <w:r>
        <w:rPr>
          <w:rFonts w:hint="eastAsia" w:ascii="黑体" w:eastAsia="仿宋_GB2312"/>
          <w:b/>
          <w:color w:val="auto"/>
          <w:sz w:val="24"/>
          <w:highlight w:val="none"/>
          <w:u w:val="single"/>
        </w:rPr>
        <w:t xml:space="preserve">   /                           。</w:t>
      </w:r>
    </w:p>
    <w:p w14:paraId="793A47EC">
      <w:pPr>
        <w:adjustRightInd/>
        <w:spacing w:line="300" w:lineRule="auto"/>
        <w:ind w:firstLine="480" w:firstLineChars="200"/>
        <w:rPr>
          <w:rFonts w:eastAsia="仿宋_GB2312"/>
          <w:color w:val="auto"/>
          <w:sz w:val="24"/>
          <w:highlight w:val="none"/>
        </w:rPr>
      </w:pPr>
      <w:r>
        <w:rPr>
          <w:rFonts w:eastAsia="仿宋_GB2312"/>
          <w:color w:val="auto"/>
          <w:sz w:val="24"/>
          <w:highlight w:val="none"/>
        </w:rPr>
        <w:t>7</w:t>
      </w:r>
      <w:bookmarkStart w:id="615" w:name="_Toc318581169"/>
      <w:bookmarkStart w:id="616" w:name="_Toc312678012"/>
      <w:bookmarkStart w:id="617" w:name="_Toc312677486"/>
      <w:bookmarkStart w:id="618" w:name="_Toc297216177"/>
      <w:bookmarkStart w:id="619" w:name="_Toc303539127"/>
      <w:bookmarkStart w:id="620" w:name="_Toc304295548"/>
      <w:bookmarkStart w:id="621" w:name="_Toc297123518"/>
      <w:bookmarkStart w:id="622" w:name="_Toc300934970"/>
      <w:r>
        <w:rPr>
          <w:rFonts w:eastAsia="仿宋_GB2312"/>
          <w:color w:val="auto"/>
          <w:sz w:val="24"/>
          <w:highlight w:val="none"/>
        </w:rPr>
        <w:t>.5.2 因承包人原因导致工期延误</w:t>
      </w:r>
    </w:p>
    <w:bookmarkEnd w:id="615"/>
    <w:bookmarkEnd w:id="616"/>
    <w:bookmarkEnd w:id="617"/>
    <w:p w14:paraId="4BE617C7">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因</w:t>
      </w:r>
      <w:bookmarkStart w:id="623" w:name="_Toc312677487"/>
      <w:bookmarkStart w:id="624" w:name="_Toc312678013"/>
      <w:bookmarkStart w:id="625" w:name="_Toc318581170"/>
      <w:r>
        <w:rPr>
          <w:rFonts w:eastAsia="仿宋_GB2312"/>
          <w:color w:val="auto"/>
          <w:sz w:val="24"/>
          <w:highlight w:val="none"/>
        </w:rPr>
        <w:t>承包人原因造成工期延误，逾期竣工违约金的计算方法为：</w:t>
      </w:r>
    </w:p>
    <w:p w14:paraId="552B0EA0">
      <w:pPr>
        <w:adjustRightInd/>
        <w:spacing w:line="300" w:lineRule="auto"/>
        <w:rPr>
          <w:rFonts w:eastAsia="仿宋_GB2312"/>
          <w:color w:val="auto"/>
          <w:sz w:val="24"/>
          <w:highlight w:val="none"/>
        </w:rPr>
      </w:pPr>
      <w:r>
        <w:rPr>
          <w:rFonts w:hint="eastAsia" w:eastAsia="仿宋_GB2312"/>
          <w:color w:val="auto"/>
          <w:sz w:val="24"/>
          <w:highlight w:val="none"/>
          <w:u w:val="single"/>
        </w:rPr>
        <w:t>每延误一天，按工程合同总价的千分之一支付违约金，精确到个位数</w:t>
      </w:r>
      <w:r>
        <w:rPr>
          <w:rFonts w:eastAsia="仿宋_GB2312"/>
          <w:color w:val="auto"/>
          <w:sz w:val="24"/>
          <w:highlight w:val="none"/>
        </w:rPr>
        <w:t>。</w:t>
      </w:r>
      <w:bookmarkEnd w:id="618"/>
      <w:bookmarkEnd w:id="619"/>
      <w:bookmarkEnd w:id="620"/>
      <w:bookmarkEnd w:id="621"/>
      <w:bookmarkEnd w:id="622"/>
      <w:bookmarkEnd w:id="623"/>
      <w:bookmarkEnd w:id="624"/>
    </w:p>
    <w:bookmarkEnd w:id="625"/>
    <w:p w14:paraId="6FDCE817">
      <w:pPr>
        <w:adjustRightInd/>
        <w:spacing w:line="300" w:lineRule="auto"/>
        <w:ind w:firstLine="480" w:firstLineChars="200"/>
        <w:rPr>
          <w:rFonts w:eastAsia="黑体"/>
          <w:color w:val="auto"/>
          <w:sz w:val="24"/>
          <w:highlight w:val="none"/>
        </w:rPr>
      </w:pPr>
      <w:r>
        <w:rPr>
          <w:rFonts w:eastAsia="黑体"/>
          <w:color w:val="auto"/>
          <w:sz w:val="24"/>
          <w:highlight w:val="none"/>
        </w:rPr>
        <w:t>7</w:t>
      </w:r>
      <w:bookmarkStart w:id="626" w:name="_Toc297123519"/>
      <w:bookmarkStart w:id="627" w:name="_Toc303539128"/>
      <w:bookmarkStart w:id="628" w:name="_Toc297216178"/>
      <w:bookmarkStart w:id="629" w:name="_Toc300934971"/>
      <w:bookmarkStart w:id="630" w:name="_Toc312678015"/>
      <w:bookmarkStart w:id="631" w:name="_Toc304295549"/>
      <w:r>
        <w:rPr>
          <w:rFonts w:eastAsia="黑体"/>
          <w:color w:val="auto"/>
          <w:sz w:val="24"/>
          <w:highlight w:val="none"/>
        </w:rPr>
        <w:t>.6 不</w:t>
      </w:r>
      <w:bookmarkEnd w:id="626"/>
      <w:bookmarkEnd w:id="627"/>
      <w:bookmarkEnd w:id="628"/>
      <w:bookmarkEnd w:id="629"/>
      <w:bookmarkEnd w:id="630"/>
      <w:bookmarkEnd w:id="631"/>
      <w:r>
        <w:rPr>
          <w:rFonts w:eastAsia="黑体"/>
          <w:color w:val="auto"/>
          <w:sz w:val="24"/>
          <w:highlight w:val="none"/>
        </w:rPr>
        <w:t>利物质条件</w:t>
      </w:r>
    </w:p>
    <w:p w14:paraId="08C09DA4">
      <w:pPr>
        <w:adjustRightInd/>
        <w:spacing w:line="300" w:lineRule="auto"/>
        <w:ind w:firstLine="475" w:firstLineChars="198"/>
        <w:rPr>
          <w:rFonts w:eastAsia="仿宋_GB2312"/>
          <w:color w:val="auto"/>
          <w:sz w:val="24"/>
          <w:highlight w:val="none"/>
          <w:u w:val="single"/>
        </w:rPr>
      </w:pPr>
      <w:bookmarkStart w:id="632" w:name="_Toc297123520"/>
      <w:bookmarkStart w:id="633" w:name="_Toc304295550"/>
      <w:bookmarkStart w:id="634" w:name="_Toc303539129"/>
      <w:bookmarkStart w:id="635" w:name="_Toc318581172"/>
      <w:bookmarkStart w:id="636" w:name="_Toc297216179"/>
      <w:bookmarkStart w:id="637" w:name="_Toc312678016"/>
      <w:bookmarkStart w:id="638" w:name="_Toc300934972"/>
      <w:r>
        <w:rPr>
          <w:rFonts w:eastAsia="仿宋_GB2312"/>
          <w:color w:val="auto"/>
          <w:sz w:val="24"/>
          <w:highlight w:val="none"/>
          <w:u w:val="single"/>
        </w:rPr>
        <w:t>不利物质条件的其他情形和有关约定：</w:t>
      </w:r>
    </w:p>
    <w:p w14:paraId="606C439D">
      <w:pPr>
        <w:adjustRightInd/>
        <w:spacing w:line="300" w:lineRule="auto"/>
        <w:ind w:firstLine="475" w:firstLineChars="198"/>
        <w:rPr>
          <w:rFonts w:hint="eastAsia" w:ascii="仿宋_GB2312" w:hAnsi="黑体" w:eastAsia="仿宋_GB2312"/>
          <w:bCs/>
          <w:color w:val="auto"/>
          <w:sz w:val="24"/>
          <w:highlight w:val="none"/>
          <w:u w:val="single"/>
        </w:rPr>
      </w:pPr>
      <w:r>
        <w:rPr>
          <w:rFonts w:hint="eastAsia" w:ascii="仿宋_GB2312" w:hAnsi="黑体" w:eastAsia="仿宋_GB2312"/>
          <w:bCs/>
          <w:color w:val="auto"/>
          <w:sz w:val="24"/>
          <w:highlight w:val="none"/>
          <w:u w:val="single"/>
        </w:rPr>
        <w:t>（1）施工场地周围地下管线；</w:t>
      </w:r>
    </w:p>
    <w:p w14:paraId="346AD03A">
      <w:pPr>
        <w:adjustRightInd/>
        <w:spacing w:line="300" w:lineRule="auto"/>
        <w:ind w:firstLine="475" w:firstLineChars="198"/>
        <w:rPr>
          <w:rFonts w:hint="eastAsia" w:ascii="仿宋_GB2312" w:hAnsi="黑体" w:eastAsia="仿宋_GB2312"/>
          <w:bCs/>
          <w:color w:val="auto"/>
          <w:sz w:val="24"/>
          <w:highlight w:val="none"/>
          <w:u w:val="single"/>
        </w:rPr>
      </w:pPr>
      <w:r>
        <w:rPr>
          <w:rFonts w:hint="eastAsia" w:ascii="仿宋_GB2312" w:hAnsi="黑体" w:eastAsia="仿宋_GB2312"/>
          <w:bCs/>
          <w:color w:val="auto"/>
          <w:sz w:val="24"/>
          <w:highlight w:val="none"/>
          <w:u w:val="single"/>
        </w:rPr>
        <w:t>（2）地下障碍物和污染物；</w:t>
      </w:r>
    </w:p>
    <w:p w14:paraId="00C31405">
      <w:pPr>
        <w:adjustRightInd/>
        <w:spacing w:line="300" w:lineRule="auto"/>
        <w:ind w:firstLine="475" w:firstLineChars="198"/>
        <w:rPr>
          <w:rFonts w:hint="eastAsia" w:ascii="仿宋_GB2312" w:hAnsi="黑体" w:eastAsia="仿宋_GB2312"/>
          <w:bCs/>
          <w:color w:val="auto"/>
          <w:sz w:val="24"/>
          <w:highlight w:val="none"/>
          <w:u w:val="single"/>
        </w:rPr>
      </w:pPr>
      <w:r>
        <w:rPr>
          <w:rFonts w:hint="eastAsia" w:ascii="仿宋_GB2312" w:hAnsi="黑体" w:eastAsia="仿宋_GB2312"/>
          <w:bCs/>
          <w:color w:val="auto"/>
          <w:sz w:val="24"/>
          <w:highlight w:val="none"/>
          <w:u w:val="single"/>
        </w:rPr>
        <w:t>（3）邻近建筑物、构筑物的保护要求；</w:t>
      </w:r>
    </w:p>
    <w:bookmarkEnd w:id="632"/>
    <w:bookmarkEnd w:id="633"/>
    <w:bookmarkEnd w:id="634"/>
    <w:bookmarkEnd w:id="635"/>
    <w:bookmarkEnd w:id="636"/>
    <w:bookmarkEnd w:id="637"/>
    <w:bookmarkEnd w:id="638"/>
    <w:p w14:paraId="796BA4DF">
      <w:pPr>
        <w:adjustRightInd/>
        <w:spacing w:line="300" w:lineRule="auto"/>
        <w:ind w:firstLine="480" w:firstLineChars="200"/>
        <w:rPr>
          <w:rFonts w:eastAsia="黑体"/>
          <w:color w:val="auto"/>
          <w:sz w:val="24"/>
          <w:highlight w:val="none"/>
        </w:rPr>
      </w:pPr>
      <w:r>
        <w:rPr>
          <w:rFonts w:eastAsia="黑体"/>
          <w:color w:val="auto"/>
          <w:sz w:val="24"/>
          <w:highlight w:val="none"/>
        </w:rPr>
        <w:t>7</w:t>
      </w:r>
      <w:bookmarkStart w:id="639" w:name="_Toc297123521"/>
      <w:bookmarkStart w:id="640" w:name="_Toc303539130"/>
      <w:bookmarkStart w:id="641" w:name="_Toc297216180"/>
      <w:bookmarkStart w:id="642" w:name="_Toc300934973"/>
      <w:bookmarkStart w:id="643" w:name="_Toc312678017"/>
      <w:bookmarkStart w:id="644" w:name="_Toc304295551"/>
      <w:r>
        <w:rPr>
          <w:rFonts w:eastAsia="黑体"/>
          <w:color w:val="auto"/>
          <w:sz w:val="24"/>
          <w:highlight w:val="none"/>
        </w:rPr>
        <w:t>.7异常恶劣的气候条件</w:t>
      </w:r>
    </w:p>
    <w:bookmarkEnd w:id="639"/>
    <w:bookmarkEnd w:id="640"/>
    <w:bookmarkEnd w:id="641"/>
    <w:bookmarkEnd w:id="642"/>
    <w:bookmarkEnd w:id="643"/>
    <w:bookmarkEnd w:id="644"/>
    <w:p w14:paraId="31A102F6">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发包人和承包人同意以下情形视为异常恶劣的气候条件：</w:t>
      </w:r>
      <w:r>
        <w:rPr>
          <w:rFonts w:hint="eastAsia" w:eastAsia="仿宋_GB2312"/>
          <w:color w:val="auto"/>
          <w:highlight w:val="none"/>
          <w:u w:val="single"/>
        </w:rPr>
        <w:t>异常恶劣的气候条件以当地气象部门或相关权威部门发布信息为准，杭州地区一般有以下情形：</w:t>
      </w:r>
    </w:p>
    <w:p w14:paraId="08FB6C44">
      <w:pPr>
        <w:adjustRightInd/>
        <w:spacing w:line="300" w:lineRule="auto"/>
        <w:ind w:firstLine="480" w:firstLineChars="200"/>
        <w:rPr>
          <w:rFonts w:hint="eastAsia" w:ascii="仿宋_GB2312" w:hAnsi="黑体" w:eastAsia="仿宋_GB2312"/>
          <w:color w:val="auto"/>
          <w:sz w:val="24"/>
          <w:highlight w:val="none"/>
          <w:u w:val="single"/>
        </w:rPr>
      </w:pPr>
      <w:r>
        <w:rPr>
          <w:rFonts w:hint="eastAsia" w:ascii="仿宋_GB2312" w:hAnsi="黑体" w:eastAsia="仿宋_GB2312"/>
          <w:color w:val="auto"/>
          <w:sz w:val="24"/>
          <w:highlight w:val="none"/>
          <w:u w:val="single"/>
        </w:rPr>
        <w:t>（1）日最高气温达到40度及以上的天气；</w:t>
      </w:r>
    </w:p>
    <w:p w14:paraId="30751876">
      <w:pPr>
        <w:adjustRightInd/>
        <w:spacing w:line="300" w:lineRule="auto"/>
        <w:ind w:firstLine="480" w:firstLineChars="200"/>
        <w:rPr>
          <w:rFonts w:hint="eastAsia" w:ascii="仿宋_GB2312" w:hAnsi="黑体" w:eastAsia="仿宋_GB2312"/>
          <w:color w:val="auto"/>
          <w:sz w:val="24"/>
          <w:highlight w:val="none"/>
          <w:u w:val="single"/>
        </w:rPr>
      </w:pPr>
      <w:r>
        <w:rPr>
          <w:rFonts w:hint="eastAsia" w:ascii="仿宋_GB2312" w:hAnsi="黑体" w:eastAsia="仿宋_GB2312"/>
          <w:color w:val="auto"/>
          <w:sz w:val="24"/>
          <w:highlight w:val="none"/>
          <w:u w:val="single"/>
        </w:rPr>
        <w:t>（2）启动台风橙色及以上预警的天气；</w:t>
      </w:r>
    </w:p>
    <w:p w14:paraId="173843B5">
      <w:pPr>
        <w:adjustRightInd/>
        <w:spacing w:line="300" w:lineRule="auto"/>
        <w:ind w:firstLine="480" w:firstLineChars="200"/>
        <w:rPr>
          <w:rFonts w:hint="eastAsia" w:ascii="仿宋_GB2312" w:hAnsi="黑体" w:eastAsia="仿宋_GB2312"/>
          <w:color w:val="auto"/>
          <w:sz w:val="24"/>
          <w:highlight w:val="none"/>
          <w:u w:val="single"/>
        </w:rPr>
      </w:pPr>
      <w:r>
        <w:rPr>
          <w:rFonts w:hint="eastAsia" w:ascii="仿宋_GB2312" w:hAnsi="黑体" w:eastAsia="仿宋_GB2312"/>
          <w:color w:val="auto"/>
          <w:sz w:val="24"/>
          <w:highlight w:val="none"/>
          <w:u w:val="single"/>
        </w:rPr>
        <w:t>（3）启动防汛预案一级响应的天气；</w:t>
      </w:r>
    </w:p>
    <w:p w14:paraId="648A2C40">
      <w:pPr>
        <w:adjustRightInd/>
        <w:spacing w:line="300" w:lineRule="auto"/>
        <w:ind w:firstLine="480" w:firstLineChars="200"/>
        <w:rPr>
          <w:rFonts w:hint="eastAsia" w:ascii="仿宋_GB2312" w:hAnsi="黑体" w:eastAsia="仿宋_GB2312"/>
          <w:color w:val="auto"/>
          <w:sz w:val="24"/>
          <w:highlight w:val="none"/>
        </w:rPr>
      </w:pPr>
      <w:r>
        <w:rPr>
          <w:rFonts w:hint="eastAsia" w:ascii="仿宋_GB2312" w:hAnsi="黑体" w:eastAsia="仿宋_GB2312"/>
          <w:color w:val="auto"/>
          <w:sz w:val="24"/>
          <w:highlight w:val="none"/>
          <w:u w:val="single"/>
        </w:rPr>
        <w:t>（4）启动防冻预案一级响应的天气。</w:t>
      </w:r>
    </w:p>
    <w:p w14:paraId="23D0879E">
      <w:pPr>
        <w:adjustRightInd/>
        <w:spacing w:line="300" w:lineRule="auto"/>
        <w:ind w:firstLine="480" w:firstLineChars="200"/>
        <w:rPr>
          <w:rFonts w:eastAsia="仿宋_GB2312"/>
          <w:color w:val="auto"/>
          <w:sz w:val="24"/>
          <w:highlight w:val="none"/>
        </w:rPr>
      </w:pPr>
      <w:r>
        <w:rPr>
          <w:rFonts w:eastAsia="黑体"/>
          <w:color w:val="auto"/>
          <w:sz w:val="24"/>
          <w:highlight w:val="none"/>
        </w:rPr>
        <w:t>7.9 提前竣工的奖励</w:t>
      </w:r>
    </w:p>
    <w:p w14:paraId="11EF6F40">
      <w:pPr>
        <w:adjustRightInd/>
        <w:spacing w:line="300" w:lineRule="auto"/>
        <w:ind w:firstLine="480" w:firstLineChars="200"/>
        <w:rPr>
          <w:rFonts w:eastAsia="仿宋_GB2312"/>
          <w:color w:val="auto"/>
          <w:sz w:val="24"/>
          <w:highlight w:val="none"/>
        </w:rPr>
      </w:pPr>
      <w:r>
        <w:rPr>
          <w:rFonts w:eastAsia="仿宋_GB2312"/>
          <w:color w:val="auto"/>
          <w:sz w:val="24"/>
          <w:highlight w:val="none"/>
        </w:rPr>
        <w:t>7.9.</w:t>
      </w:r>
      <w:r>
        <w:rPr>
          <w:rFonts w:hint="eastAsia" w:eastAsia="仿宋_GB2312"/>
          <w:color w:val="auto"/>
          <w:sz w:val="24"/>
          <w:highlight w:val="none"/>
        </w:rPr>
        <w:t>1</w:t>
      </w:r>
      <w:r>
        <w:rPr>
          <w:rFonts w:eastAsia="仿宋_GB2312"/>
          <w:color w:val="auto"/>
          <w:sz w:val="24"/>
          <w:highlight w:val="none"/>
        </w:rPr>
        <w:t>提前竣工的奖励：</w:t>
      </w:r>
      <w:r>
        <w:rPr>
          <w:rFonts w:hint="eastAsia" w:eastAsia="仿宋_GB2312"/>
          <w:color w:val="auto"/>
          <w:sz w:val="24"/>
          <w:highlight w:val="none"/>
          <w:u w:val="single"/>
        </w:rPr>
        <w:t>无奖励</w:t>
      </w:r>
      <w:r>
        <w:rPr>
          <w:rFonts w:eastAsia="仿宋_GB2312"/>
          <w:color w:val="auto"/>
          <w:sz w:val="24"/>
          <w:highlight w:val="none"/>
        </w:rPr>
        <w:t>。</w:t>
      </w:r>
    </w:p>
    <w:p w14:paraId="298B9C3B">
      <w:pPr>
        <w:pStyle w:val="8"/>
        <w:spacing w:before="0" w:after="0" w:line="300" w:lineRule="auto"/>
        <w:rPr>
          <w:rFonts w:ascii="Times New Roman" w:hAnsi="Times New Roman"/>
          <w:b w:val="0"/>
          <w:color w:val="auto"/>
          <w:sz w:val="24"/>
          <w:szCs w:val="24"/>
          <w:highlight w:val="none"/>
        </w:rPr>
      </w:pPr>
      <w:bookmarkStart w:id="645" w:name="_Toc351203640"/>
      <w:r>
        <w:rPr>
          <w:rFonts w:ascii="Times New Roman" w:hAnsi="Times New Roman"/>
          <w:b w:val="0"/>
          <w:color w:val="auto"/>
          <w:sz w:val="24"/>
          <w:szCs w:val="24"/>
          <w:highlight w:val="none"/>
        </w:rPr>
        <w:t>8. 材料与设备</w:t>
      </w:r>
      <w:bookmarkEnd w:id="645"/>
    </w:p>
    <w:bookmarkEnd w:id="582"/>
    <w:bookmarkEnd w:id="583"/>
    <w:bookmarkEnd w:id="584"/>
    <w:bookmarkEnd w:id="585"/>
    <w:bookmarkEnd w:id="586"/>
    <w:bookmarkEnd w:id="587"/>
    <w:bookmarkEnd w:id="588"/>
    <w:bookmarkEnd w:id="589"/>
    <w:bookmarkEnd w:id="590"/>
    <w:bookmarkEnd w:id="591"/>
    <w:p w14:paraId="6BF53CD4">
      <w:pPr>
        <w:adjustRightInd/>
        <w:spacing w:line="300" w:lineRule="auto"/>
        <w:ind w:firstLine="480" w:firstLineChars="200"/>
        <w:rPr>
          <w:rFonts w:eastAsia="黑体"/>
          <w:color w:val="auto"/>
          <w:sz w:val="24"/>
          <w:highlight w:val="none"/>
        </w:rPr>
      </w:pPr>
      <w:r>
        <w:rPr>
          <w:rFonts w:eastAsia="黑体"/>
          <w:color w:val="auto"/>
          <w:sz w:val="24"/>
          <w:highlight w:val="none"/>
        </w:rPr>
        <w:t>8</w:t>
      </w:r>
      <w:bookmarkStart w:id="646" w:name="_Toc312678019"/>
      <w:bookmarkStart w:id="647" w:name="_Toc312677493"/>
      <w:bookmarkStart w:id="648" w:name="_Toc296890995"/>
      <w:bookmarkStart w:id="649" w:name="_Toc296503167"/>
      <w:bookmarkStart w:id="650" w:name="_Toc297216186"/>
      <w:bookmarkStart w:id="651" w:name="_Toc296347166"/>
      <w:bookmarkStart w:id="652" w:name="_Toc297123527"/>
      <w:bookmarkStart w:id="653" w:name="_Toc280868654"/>
      <w:bookmarkStart w:id="654" w:name="_Toc300934979"/>
      <w:bookmarkStart w:id="655" w:name="_Toc292559372"/>
      <w:bookmarkStart w:id="656" w:name="_Toc292559877"/>
      <w:bookmarkStart w:id="657" w:name="_Toc304295556"/>
      <w:bookmarkStart w:id="658" w:name="_Toc296891207"/>
      <w:bookmarkStart w:id="659" w:name="_Toc296944506"/>
      <w:bookmarkStart w:id="660" w:name="_Toc303539136"/>
      <w:bookmarkStart w:id="661" w:name="_Toc297048353"/>
      <w:bookmarkStart w:id="662" w:name="_Toc296346668"/>
      <w:bookmarkStart w:id="663" w:name="_Toc297120467"/>
      <w:bookmarkStart w:id="664" w:name="_Toc280868655"/>
      <w:bookmarkStart w:id="665" w:name="_Toc267251424"/>
      <w:bookmarkStart w:id="666" w:name="_Toc280868656"/>
      <w:r>
        <w:rPr>
          <w:rFonts w:eastAsia="黑体"/>
          <w:color w:val="auto"/>
          <w:sz w:val="24"/>
          <w:highlight w:val="none"/>
        </w:rPr>
        <w:t>.4材料与工程设备的保管与使用</w:t>
      </w:r>
    </w:p>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14:paraId="3A2B701A">
      <w:pPr>
        <w:adjustRightInd/>
        <w:spacing w:line="300" w:lineRule="auto"/>
        <w:ind w:firstLine="482"/>
        <w:rPr>
          <w:rFonts w:eastAsia="仿宋_GB2312"/>
          <w:color w:val="auto"/>
          <w:sz w:val="24"/>
          <w:highlight w:val="none"/>
          <w:u w:val="single"/>
        </w:rPr>
      </w:pPr>
      <w:r>
        <w:rPr>
          <w:rFonts w:eastAsia="仿宋_GB2312"/>
          <w:color w:val="auto"/>
          <w:sz w:val="24"/>
          <w:highlight w:val="none"/>
        </w:rPr>
        <w:t>8</w:t>
      </w:r>
      <w:bookmarkStart w:id="667" w:name="_Toc292559373"/>
      <w:bookmarkStart w:id="668" w:name="_Toc292559878"/>
      <w:bookmarkStart w:id="669" w:name="_Toc296503168"/>
      <w:bookmarkStart w:id="670" w:name="_Toc300934980"/>
      <w:bookmarkStart w:id="671" w:name="_Toc296346669"/>
      <w:bookmarkStart w:id="672" w:name="_Toc297216187"/>
      <w:bookmarkStart w:id="673" w:name="_Toc297120468"/>
      <w:bookmarkStart w:id="674" w:name="_Toc296891208"/>
      <w:bookmarkStart w:id="675" w:name="_Toc304295557"/>
      <w:bookmarkStart w:id="676" w:name="_Toc303539137"/>
      <w:bookmarkStart w:id="677" w:name="_Toc312678020"/>
      <w:bookmarkStart w:id="678" w:name="_Toc296347167"/>
      <w:bookmarkStart w:id="679" w:name="_Toc297123528"/>
      <w:bookmarkStart w:id="680" w:name="_Toc312677494"/>
      <w:bookmarkStart w:id="681" w:name="_Toc296890996"/>
      <w:bookmarkStart w:id="682" w:name="_Toc297048354"/>
      <w:bookmarkStart w:id="683" w:name="_Toc296944507"/>
      <w:bookmarkStart w:id="684" w:name="_Toc318581173"/>
      <w:r>
        <w:rPr>
          <w:rFonts w:eastAsia="仿宋_GB2312"/>
          <w:color w:val="auto"/>
          <w:sz w:val="24"/>
          <w:highlight w:val="none"/>
        </w:rPr>
        <w:t>.4.1发包人供应的材料设备的保管费用的承担：</w:t>
      </w:r>
      <w:bookmarkEnd w:id="667"/>
      <w:bookmarkEnd w:id="668"/>
    </w:p>
    <w:p w14:paraId="2F785C41">
      <w:pPr>
        <w:adjustRightInd/>
        <w:spacing w:line="300" w:lineRule="auto"/>
        <w:ind w:firstLine="482"/>
        <w:rPr>
          <w:rFonts w:eastAsia="仿宋_GB2312"/>
          <w:color w:val="auto"/>
          <w:sz w:val="24"/>
          <w:highlight w:val="none"/>
          <w:u w:val="single"/>
        </w:rPr>
      </w:pPr>
      <w:r>
        <w:rPr>
          <w:rFonts w:eastAsia="仿宋_GB2312"/>
          <w:color w:val="auto"/>
          <w:sz w:val="24"/>
          <w:highlight w:val="none"/>
          <w:u w:val="single"/>
        </w:rPr>
        <w:t>(1)承包人采购的材料、设备到货后，必须附产品合格证等。</w:t>
      </w:r>
    </w:p>
    <w:p w14:paraId="3777F60A">
      <w:pPr>
        <w:adjustRightInd/>
        <w:spacing w:line="300" w:lineRule="auto"/>
        <w:ind w:firstLine="482"/>
        <w:rPr>
          <w:rFonts w:eastAsia="仿宋_GB2312"/>
          <w:color w:val="auto"/>
          <w:sz w:val="24"/>
          <w:highlight w:val="none"/>
          <w:u w:val="single"/>
        </w:rPr>
      </w:pPr>
      <w:r>
        <w:rPr>
          <w:rFonts w:hint="eastAsia" w:eastAsia="仿宋_GB2312"/>
          <w:color w:val="auto"/>
          <w:sz w:val="24"/>
          <w:highlight w:val="none"/>
          <w:u w:val="single"/>
        </w:rPr>
        <w:t>(</w:t>
      </w:r>
      <w:r>
        <w:rPr>
          <w:rFonts w:eastAsia="仿宋_GB2312"/>
          <w:color w:val="auto"/>
          <w:sz w:val="24"/>
          <w:highlight w:val="none"/>
          <w:u w:val="single"/>
        </w:rPr>
        <w:t>2)承包人采购的材料必须严格按照</w:t>
      </w:r>
      <w:r>
        <w:rPr>
          <w:rFonts w:hint="eastAsia" w:eastAsia="仿宋_GB2312"/>
          <w:color w:val="auto"/>
          <w:sz w:val="24"/>
          <w:highlight w:val="none"/>
          <w:u w:val="single"/>
        </w:rPr>
        <w:t>经发包人审核</w:t>
      </w:r>
      <w:r>
        <w:rPr>
          <w:rFonts w:eastAsia="仿宋_GB2312"/>
          <w:color w:val="auto"/>
          <w:sz w:val="24"/>
          <w:highlight w:val="none"/>
          <w:u w:val="single"/>
        </w:rPr>
        <w:t>的品牌、品种、规格、质量等级等要求进行采购，所有材料采购前均需书面报送监理及发包人审核，若采购材料的质量、品牌等不符合招标文件、投标文件规定的，必须无条件更换并承担相关费用，工期不予顺延。材料必须经监理和发包</w:t>
      </w:r>
      <w:r>
        <w:rPr>
          <w:rFonts w:hint="eastAsia" w:eastAsia="仿宋_GB2312"/>
          <w:color w:val="auto"/>
          <w:sz w:val="24"/>
          <w:highlight w:val="none"/>
          <w:u w:val="single"/>
        </w:rPr>
        <w:t>人</w:t>
      </w:r>
      <w:r>
        <w:rPr>
          <w:rFonts w:eastAsia="仿宋_GB2312"/>
          <w:color w:val="auto"/>
          <w:sz w:val="24"/>
          <w:highlight w:val="none"/>
          <w:u w:val="single"/>
        </w:rPr>
        <w:t xml:space="preserve">代表验收后方能用于本工程，且必须符合施工图纸设计要求及国家有关标准。当承包人选定的材料质量达不到预期质量目标要求时，发包人保留更换的权利。 </w:t>
      </w:r>
    </w:p>
    <w:p w14:paraId="1026C1F7">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(3</w:t>
      </w:r>
      <w:r>
        <w:rPr>
          <w:rFonts w:eastAsia="仿宋_GB2312"/>
          <w:color w:val="auto"/>
          <w:sz w:val="24"/>
          <w:highlight w:val="none"/>
          <w:u w:val="single"/>
        </w:rPr>
        <w:t>)若使用劣质材料施工，一经发现，发包人或监理有权制止使用，甚至停工、返工或中止合同。无论发包人及监理是否发现和制止，由于使用不符合本工程质量要求或劣质材料施工后所引起的一切责任均由承包人自负</w:t>
      </w:r>
      <w:r>
        <w:rPr>
          <w:rFonts w:hint="eastAsia" w:eastAsia="仿宋_GB2312"/>
          <w:color w:val="auto"/>
          <w:sz w:val="24"/>
          <w:highlight w:val="none"/>
          <w:u w:val="single"/>
        </w:rPr>
        <w:t>。</w:t>
      </w:r>
    </w:p>
    <w:p w14:paraId="39EBDC86">
      <w:pPr>
        <w:pStyle w:val="45"/>
        <w:tabs>
          <w:tab w:val="right" w:leader="dot" w:pos="8296"/>
        </w:tabs>
        <w:ind w:firstLine="480" w:firstLineChars="200"/>
        <w:rPr>
          <w:rFonts w:eastAsia="仿宋_GB2312"/>
          <w:color w:val="auto"/>
          <w:sz w:val="24"/>
          <w:highlight w:val="none"/>
          <w:u w:val="single"/>
        </w:rPr>
      </w:pPr>
      <w:r>
        <w:rPr>
          <w:rFonts w:eastAsia="仿宋_GB2312"/>
          <w:color w:val="auto"/>
          <w:sz w:val="24"/>
          <w:highlight w:val="none"/>
          <w:u w:val="single"/>
        </w:rPr>
        <w:t>(8)电梯、空调、厨房设备、机械车位等设备在质保期内由施工单位负责按要求维保，维保时间间隔根据相关规定执行，并承担相关费用。</w:t>
      </w:r>
    </w:p>
    <w:p w14:paraId="2877D893">
      <w:pPr>
        <w:adjustRightInd/>
        <w:spacing w:line="300" w:lineRule="auto"/>
        <w:ind w:firstLine="480" w:firstLineChars="200"/>
        <w:rPr>
          <w:rFonts w:eastAsia="黑体"/>
          <w:color w:val="auto"/>
          <w:sz w:val="24"/>
          <w:highlight w:val="none"/>
        </w:rPr>
      </w:pPr>
      <w:r>
        <w:rPr>
          <w:rFonts w:eastAsia="黑体"/>
          <w:color w:val="auto"/>
          <w:sz w:val="24"/>
          <w:highlight w:val="none"/>
        </w:rPr>
        <w:t>8.6 样品</w:t>
      </w:r>
    </w:p>
    <w:p w14:paraId="18BC355A">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8.6.1</w:t>
      </w:r>
      <w:r>
        <w:rPr>
          <w:rFonts w:eastAsia="仿宋_GB2312"/>
          <w:color w:val="auto"/>
          <w:sz w:val="24"/>
          <w:highlight w:val="none"/>
        </w:rPr>
        <w:tab/>
      </w:r>
      <w:r>
        <w:rPr>
          <w:rFonts w:eastAsia="仿宋_GB2312"/>
          <w:color w:val="auto"/>
          <w:sz w:val="24"/>
          <w:highlight w:val="none"/>
        </w:rPr>
        <w:t>样品的报送</w:t>
      </w:r>
      <w:r>
        <w:rPr>
          <w:rFonts w:hint="eastAsia" w:eastAsia="仿宋_GB2312"/>
          <w:color w:val="auto"/>
          <w:sz w:val="24"/>
          <w:highlight w:val="none"/>
        </w:rPr>
        <w:t>与封存</w:t>
      </w:r>
    </w:p>
    <w:p w14:paraId="07578F25">
      <w:pPr>
        <w:autoSpaceDE w:val="0"/>
        <w:autoSpaceDN w:val="0"/>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需要承包人报送样品的材料或工程设备，样品的种类、名称、规格、数量要求：</w:t>
      </w:r>
      <w:r>
        <w:rPr>
          <w:rFonts w:hint="eastAsia" w:eastAsia="仿宋_GB2312"/>
          <w:color w:val="auto"/>
          <w:sz w:val="24"/>
          <w:highlight w:val="none"/>
          <w:u w:val="single"/>
        </w:rPr>
        <w:t>按相关规范及发包人、监理人及设计有关要求，经发包人确认并封存的样品一并作为工程验收的标准</w:t>
      </w:r>
      <w:r>
        <w:rPr>
          <w:rFonts w:eastAsia="仿宋_GB2312"/>
          <w:color w:val="auto"/>
          <w:sz w:val="24"/>
          <w:highlight w:val="none"/>
          <w:u w:val="single"/>
        </w:rPr>
        <w:t>。</w:t>
      </w:r>
    </w:p>
    <w:p w14:paraId="451B42ED">
      <w:pPr>
        <w:adjustRightInd/>
        <w:spacing w:line="300" w:lineRule="auto"/>
        <w:ind w:firstLine="480" w:firstLineChars="200"/>
        <w:rPr>
          <w:rFonts w:eastAsia="黑体"/>
          <w:color w:val="auto"/>
          <w:sz w:val="24"/>
          <w:highlight w:val="none"/>
        </w:rPr>
      </w:pPr>
      <w:r>
        <w:rPr>
          <w:rFonts w:eastAsia="黑体"/>
          <w:color w:val="auto"/>
          <w:sz w:val="24"/>
          <w:highlight w:val="none"/>
        </w:rPr>
        <w:t>8.8 施工设备和临时设施</w:t>
      </w:r>
    </w:p>
    <w:p w14:paraId="41E358B0">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8.8.1 承包人提供的施工设备和临时设施</w:t>
      </w:r>
    </w:p>
    <w:p w14:paraId="49CE2291">
      <w:pPr>
        <w:autoSpaceDE w:val="0"/>
        <w:autoSpaceDN w:val="0"/>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关于修建临时设施费用承担的约定：</w:t>
      </w:r>
      <w:r>
        <w:rPr>
          <w:rFonts w:hint="eastAsia" w:eastAsia="仿宋_GB2312"/>
          <w:color w:val="auto"/>
          <w:sz w:val="24"/>
          <w:highlight w:val="none"/>
          <w:u w:val="single"/>
        </w:rPr>
        <w:t>与本工程有关的临时设施及场地由承包人自行承担（含租地、二次搬迁、临时污水并网、临时水电接驳、临时场地拆除清理等全部费用），费用已包含在投标报价中，发包人不再另行支付，在结算时不予调整。</w:t>
      </w:r>
    </w:p>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14:paraId="0410EB39">
      <w:pPr>
        <w:pStyle w:val="8"/>
        <w:spacing w:before="0" w:after="0" w:line="300" w:lineRule="auto"/>
        <w:rPr>
          <w:rFonts w:ascii="Times New Roman" w:hAnsi="Times New Roman"/>
          <w:b w:val="0"/>
          <w:color w:val="auto"/>
          <w:sz w:val="24"/>
          <w:szCs w:val="24"/>
          <w:highlight w:val="none"/>
        </w:rPr>
      </w:pPr>
      <w:bookmarkStart w:id="685" w:name="_Toc351203641"/>
      <w:r>
        <w:rPr>
          <w:rFonts w:ascii="Times New Roman" w:hAnsi="Times New Roman"/>
          <w:b w:val="0"/>
          <w:color w:val="auto"/>
          <w:sz w:val="24"/>
          <w:szCs w:val="24"/>
          <w:highlight w:val="none"/>
        </w:rPr>
        <w:t>9</w:t>
      </w:r>
      <w:bookmarkEnd w:id="664"/>
      <w:bookmarkEnd w:id="665"/>
      <w:bookmarkEnd w:id="666"/>
      <w:bookmarkStart w:id="686" w:name="_Toc300934982"/>
      <w:bookmarkStart w:id="687" w:name="_Toc312677495"/>
      <w:bookmarkStart w:id="688" w:name="_Toc312678021"/>
      <w:bookmarkStart w:id="689" w:name="_Toc303539139"/>
      <w:bookmarkStart w:id="690" w:name="_Toc297123533"/>
      <w:bookmarkStart w:id="691" w:name="_Toc297216192"/>
      <w:bookmarkStart w:id="692" w:name="_Toc304295559"/>
      <w:bookmarkStart w:id="693" w:name="_Toc296891001"/>
      <w:bookmarkStart w:id="694" w:name="_Toc297048359"/>
      <w:bookmarkStart w:id="695" w:name="_Toc292559378"/>
      <w:bookmarkStart w:id="696" w:name="_Toc296347172"/>
      <w:bookmarkStart w:id="697" w:name="_Toc296503173"/>
      <w:bookmarkStart w:id="698" w:name="_Toc297120473"/>
      <w:bookmarkStart w:id="699" w:name="_Toc296944512"/>
      <w:bookmarkStart w:id="700" w:name="_Toc267251427"/>
      <w:bookmarkStart w:id="701" w:name="_Toc296346674"/>
      <w:bookmarkStart w:id="702" w:name="_Toc296891213"/>
      <w:bookmarkStart w:id="703" w:name="_Toc292559883"/>
      <w:bookmarkStart w:id="704" w:name="_Toc267251428"/>
      <w:r>
        <w:rPr>
          <w:rFonts w:ascii="Times New Roman" w:hAnsi="Times New Roman"/>
          <w:b w:val="0"/>
          <w:color w:val="auto"/>
          <w:sz w:val="24"/>
          <w:szCs w:val="24"/>
          <w:highlight w:val="none"/>
        </w:rPr>
        <w:t>. 试验与检验</w:t>
      </w:r>
      <w:bookmarkEnd w:id="685"/>
    </w:p>
    <w:bookmarkEnd w:id="686"/>
    <w:bookmarkEnd w:id="687"/>
    <w:bookmarkEnd w:id="688"/>
    <w:bookmarkEnd w:id="689"/>
    <w:bookmarkEnd w:id="690"/>
    <w:bookmarkEnd w:id="691"/>
    <w:bookmarkEnd w:id="692"/>
    <w:p w14:paraId="181C9551">
      <w:pPr>
        <w:adjustRightInd/>
        <w:spacing w:line="300" w:lineRule="auto"/>
        <w:ind w:firstLine="480" w:firstLineChars="200"/>
        <w:rPr>
          <w:rFonts w:eastAsia="黑体"/>
          <w:color w:val="auto"/>
          <w:sz w:val="24"/>
          <w:highlight w:val="none"/>
        </w:rPr>
      </w:pPr>
      <w:r>
        <w:rPr>
          <w:rFonts w:eastAsia="黑体"/>
          <w:color w:val="auto"/>
          <w:sz w:val="24"/>
          <w:highlight w:val="none"/>
        </w:rPr>
        <w:t>9</w:t>
      </w:r>
      <w:bookmarkStart w:id="705" w:name="_Toc300934983"/>
      <w:bookmarkStart w:id="706" w:name="_Toc297123534"/>
      <w:bookmarkStart w:id="707" w:name="_Toc304295560"/>
      <w:bookmarkStart w:id="708" w:name="_Toc312678022"/>
      <w:bookmarkStart w:id="709" w:name="_Toc312677496"/>
      <w:bookmarkStart w:id="710" w:name="_Toc303539140"/>
      <w:bookmarkStart w:id="711" w:name="_Toc297216193"/>
      <w:r>
        <w:rPr>
          <w:rFonts w:eastAsia="黑体"/>
          <w:color w:val="auto"/>
          <w:sz w:val="24"/>
          <w:highlight w:val="none"/>
        </w:rPr>
        <w:t>.1试验设备与试验人员</w:t>
      </w:r>
    </w:p>
    <w:bookmarkEnd w:id="705"/>
    <w:bookmarkEnd w:id="706"/>
    <w:bookmarkEnd w:id="707"/>
    <w:bookmarkEnd w:id="708"/>
    <w:bookmarkEnd w:id="709"/>
    <w:bookmarkEnd w:id="710"/>
    <w:bookmarkEnd w:id="711"/>
    <w:p w14:paraId="1B991354">
      <w:pPr>
        <w:adjustRightInd/>
        <w:spacing w:line="300" w:lineRule="auto"/>
        <w:ind w:firstLine="480" w:firstLineChars="200"/>
        <w:rPr>
          <w:rFonts w:eastAsia="仿宋_GB2312"/>
          <w:color w:val="auto"/>
          <w:sz w:val="24"/>
          <w:highlight w:val="none"/>
        </w:rPr>
      </w:pPr>
      <w:r>
        <w:rPr>
          <w:rFonts w:eastAsia="仿宋_GB2312"/>
          <w:color w:val="auto"/>
          <w:sz w:val="24"/>
          <w:highlight w:val="none"/>
        </w:rPr>
        <w:t>9</w:t>
      </w:r>
      <w:bookmarkStart w:id="712" w:name="_Toc312678023"/>
      <w:bookmarkStart w:id="713" w:name="_Toc303539141"/>
      <w:bookmarkStart w:id="714" w:name="_Toc300934984"/>
      <w:bookmarkStart w:id="715" w:name="_Toc304295561"/>
      <w:bookmarkStart w:id="716" w:name="_Toc312677497"/>
      <w:bookmarkStart w:id="717" w:name="_Toc297216194"/>
      <w:bookmarkStart w:id="718" w:name="_Toc297123535"/>
      <w:bookmarkStart w:id="719" w:name="_Toc318581174"/>
      <w:r>
        <w:rPr>
          <w:rFonts w:eastAsia="仿宋_GB2312"/>
          <w:color w:val="auto"/>
          <w:sz w:val="24"/>
          <w:highlight w:val="none"/>
        </w:rPr>
        <w:t>.1.2 试验设备</w:t>
      </w:r>
    </w:p>
    <w:p w14:paraId="5A873B41">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施工现场需要配置的试验场所：</w:t>
      </w:r>
      <w:bookmarkEnd w:id="712"/>
      <w:bookmarkEnd w:id="713"/>
      <w:bookmarkEnd w:id="714"/>
      <w:bookmarkEnd w:id="715"/>
      <w:bookmarkEnd w:id="716"/>
      <w:bookmarkEnd w:id="717"/>
      <w:bookmarkEnd w:id="718"/>
      <w:bookmarkStart w:id="720" w:name="_Toc303539142"/>
      <w:bookmarkStart w:id="721" w:name="_Toc300934985"/>
      <w:bookmarkStart w:id="722" w:name="_Toc312678024"/>
      <w:bookmarkStart w:id="723" w:name="_Toc312677498"/>
      <w:bookmarkStart w:id="724" w:name="_Toc297123536"/>
      <w:bookmarkStart w:id="725" w:name="_Toc297216195"/>
      <w:bookmarkStart w:id="726" w:name="_Toc304295562"/>
      <w:r>
        <w:rPr>
          <w:rFonts w:hint="eastAsia" w:eastAsia="仿宋_GB2312"/>
          <w:color w:val="auto"/>
          <w:sz w:val="24"/>
          <w:highlight w:val="none"/>
          <w:u w:val="single"/>
        </w:rPr>
        <w:t>配置符合相关规范要求的试验场所，由承包人提供并承担费用</w:t>
      </w:r>
      <w:r>
        <w:rPr>
          <w:rFonts w:eastAsia="仿宋_GB2312"/>
          <w:color w:val="auto"/>
          <w:sz w:val="24"/>
          <w:highlight w:val="none"/>
        </w:rPr>
        <w:t>。</w:t>
      </w:r>
    </w:p>
    <w:p w14:paraId="10F9203B">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施工现场需要配备的试验设备：</w:t>
      </w:r>
      <w:r>
        <w:rPr>
          <w:rFonts w:hint="eastAsia" w:eastAsia="仿宋_GB2312"/>
          <w:color w:val="auto"/>
          <w:sz w:val="24"/>
          <w:highlight w:val="none"/>
          <w:u w:val="single"/>
        </w:rPr>
        <w:t>配置符合相关规范要求的试验设备，由承包人提供并承担费用</w:t>
      </w:r>
      <w:r>
        <w:rPr>
          <w:rFonts w:eastAsia="仿宋_GB2312"/>
          <w:color w:val="auto"/>
          <w:sz w:val="24"/>
          <w:highlight w:val="none"/>
        </w:rPr>
        <w:t>。</w:t>
      </w:r>
    </w:p>
    <w:p w14:paraId="40563553">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施工现场需要具备的其他试验条件：</w:t>
      </w:r>
      <w:r>
        <w:rPr>
          <w:rFonts w:hint="eastAsia" w:eastAsia="仿宋_GB2312"/>
          <w:color w:val="auto"/>
          <w:sz w:val="24"/>
          <w:highlight w:val="none"/>
          <w:u w:val="single"/>
        </w:rPr>
        <w:t>配置符合相关规范要求的试验条件，由承包人提供并承担费用</w:t>
      </w:r>
      <w:r>
        <w:rPr>
          <w:rFonts w:eastAsia="仿宋_GB2312"/>
          <w:color w:val="auto"/>
          <w:sz w:val="24"/>
          <w:highlight w:val="none"/>
        </w:rPr>
        <w:t>。</w:t>
      </w:r>
    </w:p>
    <w:p w14:paraId="46488C57">
      <w:pPr>
        <w:adjustRightInd/>
        <w:spacing w:line="300" w:lineRule="auto"/>
        <w:ind w:firstLine="480" w:firstLineChars="200"/>
        <w:rPr>
          <w:rFonts w:ascii="仿宋_GB2312" w:eastAsia="仿宋_GB2312"/>
          <w:b/>
          <w:color w:val="auto"/>
          <w:sz w:val="24"/>
          <w:highlight w:val="none"/>
        </w:rPr>
      </w:pPr>
      <w:r>
        <w:rPr>
          <w:rFonts w:eastAsia="黑体"/>
          <w:color w:val="auto"/>
          <w:sz w:val="24"/>
          <w:highlight w:val="none"/>
        </w:rPr>
        <w:t>9.</w:t>
      </w:r>
      <w:r>
        <w:rPr>
          <w:rFonts w:hint="eastAsia" w:eastAsia="黑体"/>
          <w:color w:val="auto"/>
          <w:sz w:val="24"/>
          <w:highlight w:val="none"/>
        </w:rPr>
        <w:t>3</w:t>
      </w:r>
      <w:r>
        <w:rPr>
          <w:rFonts w:hint="eastAsia" w:ascii="仿宋_GB2312" w:eastAsia="仿宋_GB2312"/>
          <w:b/>
          <w:color w:val="auto"/>
          <w:sz w:val="24"/>
          <w:highlight w:val="none"/>
        </w:rPr>
        <w:t>材</w:t>
      </w:r>
      <w:r>
        <w:rPr>
          <w:rFonts w:hint="eastAsia" w:ascii="黑体" w:eastAsia="黑体"/>
          <w:color w:val="auto"/>
          <w:sz w:val="24"/>
          <w:highlight w:val="none"/>
        </w:rPr>
        <w:t>料、工程设备和工程的试验和检验</w:t>
      </w:r>
    </w:p>
    <w:p w14:paraId="683CC19E">
      <w:pPr>
        <w:adjustRightInd/>
        <w:spacing w:line="300" w:lineRule="auto"/>
        <w:ind w:firstLine="455" w:firstLineChars="189"/>
        <w:rPr>
          <w:rFonts w:ascii="仿宋_GB2312" w:eastAsia="仿宋_GB2312"/>
          <w:b/>
          <w:color w:val="auto"/>
          <w:sz w:val="24"/>
          <w:highlight w:val="none"/>
          <w:u w:val="single"/>
        </w:rPr>
      </w:pPr>
      <w:r>
        <w:rPr>
          <w:rFonts w:hint="eastAsia" w:ascii="仿宋_GB2312" w:eastAsia="仿宋_GB2312"/>
          <w:b/>
          <w:color w:val="auto"/>
          <w:sz w:val="24"/>
          <w:highlight w:val="none"/>
        </w:rPr>
        <w:t>试验、检测单位资质条件约定：</w:t>
      </w:r>
      <w:r>
        <w:rPr>
          <w:rFonts w:hint="eastAsia" w:ascii="仿宋_GB2312" w:eastAsia="仿宋_GB2312"/>
          <w:b/>
          <w:color w:val="auto"/>
          <w:sz w:val="24"/>
          <w:highlight w:val="none"/>
          <w:u w:val="single"/>
        </w:rPr>
        <w:t>具备国家相关部门颁布的资质条件</w:t>
      </w:r>
      <w:r>
        <w:rPr>
          <w:rFonts w:hint="eastAsia" w:ascii="仿宋_GB2312" w:eastAsia="仿宋_GB2312"/>
          <w:b/>
          <w:color w:val="auto"/>
          <w:sz w:val="24"/>
          <w:highlight w:val="none"/>
        </w:rPr>
        <w:t>；</w:t>
      </w:r>
    </w:p>
    <w:p w14:paraId="7DDCA655">
      <w:pPr>
        <w:pStyle w:val="897"/>
        <w:spacing w:line="300" w:lineRule="auto"/>
        <w:ind w:left="420" w:firstLine="482"/>
        <w:rPr>
          <w:rFonts w:ascii="仿宋_GB2312" w:eastAsia="仿宋_GB2312"/>
          <w:b/>
          <w:color w:val="auto"/>
          <w:highlight w:val="none"/>
          <w:u w:val="single"/>
        </w:rPr>
      </w:pPr>
      <w:r>
        <w:rPr>
          <w:rFonts w:hint="eastAsia" w:ascii="仿宋_GB2312" w:eastAsia="仿宋_GB2312"/>
          <w:b/>
          <w:color w:val="auto"/>
          <w:highlight w:val="none"/>
        </w:rPr>
        <w:t>试验、检测单位选择约定：</w:t>
      </w:r>
      <w:r>
        <w:rPr>
          <w:rFonts w:hint="eastAsia" w:ascii="仿宋_GB2312" w:eastAsia="仿宋_GB2312"/>
          <w:b/>
          <w:color w:val="auto"/>
          <w:highlight w:val="none"/>
          <w:u w:val="single"/>
        </w:rPr>
        <w:t>由发包人委托具有相应资质的第三方检测机构，费用由承包人承担。</w:t>
      </w:r>
    </w:p>
    <w:p w14:paraId="14E60637">
      <w:pPr>
        <w:adjustRightInd/>
        <w:spacing w:line="300" w:lineRule="auto"/>
        <w:ind w:firstLine="482" w:firstLineChars="200"/>
        <w:rPr>
          <w:rFonts w:ascii="仿宋_GB2312" w:eastAsia="仿宋_GB2312"/>
          <w:b/>
          <w:color w:val="auto"/>
          <w:sz w:val="24"/>
          <w:highlight w:val="none"/>
        </w:rPr>
      </w:pPr>
      <w:r>
        <w:rPr>
          <w:rFonts w:hint="eastAsia" w:ascii="仿宋_GB2312" w:eastAsia="仿宋_GB2312"/>
          <w:b/>
          <w:color w:val="auto"/>
          <w:sz w:val="24"/>
          <w:highlight w:val="none"/>
        </w:rPr>
        <w:t>试验、检测费用约定：</w:t>
      </w:r>
      <w:r>
        <w:rPr>
          <w:rFonts w:hint="eastAsia" w:ascii="仿宋_GB2312" w:eastAsia="仿宋_GB2312"/>
          <w:b/>
          <w:color w:val="auto"/>
          <w:sz w:val="24"/>
          <w:highlight w:val="none"/>
          <w:u w:val="single"/>
        </w:rPr>
        <w:t>由承包人自行承担</w:t>
      </w:r>
      <w:r>
        <w:rPr>
          <w:rFonts w:hint="eastAsia" w:ascii="仿宋_GB2312" w:eastAsia="仿宋_GB2312"/>
          <w:b/>
          <w:color w:val="auto"/>
          <w:sz w:val="24"/>
          <w:highlight w:val="none"/>
        </w:rPr>
        <w:t>。</w:t>
      </w:r>
    </w:p>
    <w:p w14:paraId="57891EDB">
      <w:pPr>
        <w:adjustRightInd/>
        <w:spacing w:line="300" w:lineRule="auto"/>
        <w:ind w:firstLine="480" w:firstLineChars="200"/>
        <w:rPr>
          <w:rFonts w:ascii="仿宋_GB2312" w:eastAsia="仿宋_GB2312"/>
          <w:color w:val="auto"/>
          <w:sz w:val="24"/>
          <w:highlight w:val="none"/>
          <w:u w:val="single"/>
        </w:rPr>
      </w:pPr>
      <w:r>
        <w:rPr>
          <w:rFonts w:hint="eastAsia" w:ascii="仿宋_GB2312" w:eastAsia="仿宋_GB2312"/>
          <w:color w:val="auto"/>
          <w:sz w:val="24"/>
          <w:highlight w:val="none"/>
          <w:u w:val="single"/>
        </w:rPr>
        <w:t>工程有关试验、检测费用由承包人承担（政府有关部门明确规定须发包人另行支付除外），并已包含在合同价款中，不再另行计算 。</w:t>
      </w:r>
    </w:p>
    <w:p w14:paraId="42719E36">
      <w:pPr>
        <w:adjustRightInd/>
        <w:spacing w:line="300" w:lineRule="auto"/>
        <w:ind w:firstLine="480" w:firstLineChars="200"/>
        <w:rPr>
          <w:rFonts w:eastAsia="黑体"/>
          <w:color w:val="auto"/>
          <w:sz w:val="24"/>
          <w:highlight w:val="none"/>
        </w:rPr>
      </w:pPr>
      <w:r>
        <w:rPr>
          <w:rFonts w:eastAsia="黑体"/>
          <w:color w:val="auto"/>
          <w:sz w:val="24"/>
          <w:highlight w:val="none"/>
        </w:rPr>
        <w:t>9.4 现场工艺试验</w:t>
      </w:r>
    </w:p>
    <w:p w14:paraId="1BCF519D">
      <w:pPr>
        <w:pStyle w:val="897"/>
        <w:spacing w:line="300" w:lineRule="auto"/>
        <w:ind w:left="420" w:firstLine="480"/>
        <w:rPr>
          <w:rFonts w:ascii="仿宋_GB2312" w:eastAsia="仿宋_GB2312"/>
          <w:b/>
          <w:color w:val="auto"/>
          <w:highlight w:val="none"/>
          <w:u w:val="single"/>
        </w:rPr>
      </w:pPr>
      <w:r>
        <w:rPr>
          <w:rFonts w:eastAsia="仿宋_GB2312"/>
          <w:color w:val="auto"/>
          <w:highlight w:val="none"/>
        </w:rPr>
        <w:t>现场工艺试验的有关约定：</w:t>
      </w:r>
      <w:r>
        <w:rPr>
          <w:rFonts w:hint="eastAsia" w:ascii="仿宋_GB2312" w:eastAsia="仿宋_GB2312"/>
          <w:b/>
          <w:color w:val="auto"/>
          <w:highlight w:val="none"/>
          <w:u w:val="single"/>
        </w:rPr>
        <w:t xml:space="preserve">                /                    。</w:t>
      </w:r>
    </w:p>
    <w:bookmarkEnd w:id="719"/>
    <w:bookmarkEnd w:id="720"/>
    <w:bookmarkEnd w:id="721"/>
    <w:bookmarkEnd w:id="722"/>
    <w:bookmarkEnd w:id="723"/>
    <w:bookmarkEnd w:id="724"/>
    <w:bookmarkEnd w:id="725"/>
    <w:bookmarkEnd w:id="726"/>
    <w:p w14:paraId="5CEC094E">
      <w:pPr>
        <w:pStyle w:val="8"/>
        <w:spacing w:before="0" w:after="0" w:line="300" w:lineRule="auto"/>
        <w:rPr>
          <w:rFonts w:ascii="Times New Roman" w:hAnsi="Times New Roman"/>
          <w:b w:val="0"/>
          <w:color w:val="auto"/>
          <w:sz w:val="24"/>
          <w:szCs w:val="24"/>
          <w:highlight w:val="none"/>
        </w:rPr>
      </w:pPr>
      <w:bookmarkStart w:id="727" w:name="_Toc351203642"/>
      <w:r>
        <w:rPr>
          <w:rFonts w:ascii="Times New Roman" w:hAnsi="Times New Roman"/>
          <w:b w:val="0"/>
          <w:color w:val="auto"/>
          <w:sz w:val="24"/>
          <w:szCs w:val="24"/>
          <w:highlight w:val="none"/>
        </w:rPr>
        <w:t>1</w:t>
      </w:r>
      <w:bookmarkEnd w:id="693"/>
      <w:bookmarkEnd w:id="694"/>
      <w:bookmarkEnd w:id="695"/>
      <w:bookmarkEnd w:id="696"/>
      <w:bookmarkEnd w:id="697"/>
      <w:bookmarkEnd w:id="698"/>
      <w:bookmarkEnd w:id="699"/>
      <w:bookmarkEnd w:id="700"/>
      <w:bookmarkEnd w:id="701"/>
      <w:bookmarkEnd w:id="702"/>
      <w:bookmarkEnd w:id="703"/>
      <w:bookmarkEnd w:id="704"/>
      <w:bookmarkStart w:id="728" w:name="_Toc296891021"/>
      <w:bookmarkStart w:id="729" w:name="_Toc297120493"/>
      <w:bookmarkStart w:id="730" w:name="_Toc296346694"/>
      <w:bookmarkStart w:id="731" w:name="_Toc296347192"/>
      <w:bookmarkStart w:id="732" w:name="_Toc296944532"/>
      <w:bookmarkStart w:id="733" w:name="_Toc304295566"/>
      <w:bookmarkStart w:id="734" w:name="_Toc297123540"/>
      <w:bookmarkStart w:id="735" w:name="_Toc300934989"/>
      <w:bookmarkStart w:id="736" w:name="_Toc297048379"/>
      <w:bookmarkStart w:id="737" w:name="_Toc292559903"/>
      <w:bookmarkStart w:id="738" w:name="_Toc296891233"/>
      <w:bookmarkStart w:id="739" w:name="_Toc303539146"/>
      <w:bookmarkStart w:id="740" w:name="_Toc292559398"/>
      <w:bookmarkStart w:id="741" w:name="_Toc297216199"/>
      <w:bookmarkStart w:id="742" w:name="_Toc296503193"/>
      <w:bookmarkStart w:id="743" w:name="_Toc312677499"/>
      <w:bookmarkStart w:id="744" w:name="_Toc312678025"/>
      <w:bookmarkStart w:id="745" w:name="_Toc267251439"/>
      <w:bookmarkStart w:id="746" w:name="_Toc267251435"/>
      <w:bookmarkStart w:id="747" w:name="_Toc267251440"/>
      <w:bookmarkStart w:id="748" w:name="_Toc267251433"/>
      <w:bookmarkStart w:id="749" w:name="_Toc267251437"/>
      <w:bookmarkStart w:id="750" w:name="_Toc267251441"/>
      <w:bookmarkStart w:id="751" w:name="_Toc267251442"/>
      <w:r>
        <w:rPr>
          <w:rFonts w:ascii="Times New Roman" w:hAnsi="Times New Roman"/>
          <w:b w:val="0"/>
          <w:color w:val="auto"/>
          <w:sz w:val="24"/>
          <w:szCs w:val="24"/>
          <w:highlight w:val="none"/>
        </w:rPr>
        <w:t>0. 变更</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bookmarkEnd w:id="743"/>
    <w:bookmarkEnd w:id="744"/>
    <w:p w14:paraId="662DDFA8">
      <w:pPr>
        <w:adjustRightInd/>
        <w:spacing w:line="300" w:lineRule="auto"/>
        <w:ind w:firstLine="480" w:firstLineChars="200"/>
        <w:rPr>
          <w:rFonts w:eastAsia="黑体"/>
          <w:color w:val="auto"/>
          <w:sz w:val="24"/>
          <w:highlight w:val="none"/>
        </w:rPr>
      </w:pPr>
      <w:r>
        <w:rPr>
          <w:rFonts w:eastAsia="黑体"/>
          <w:color w:val="auto"/>
          <w:sz w:val="24"/>
          <w:highlight w:val="none"/>
        </w:rPr>
        <w:t>1</w:t>
      </w:r>
      <w:bookmarkStart w:id="752" w:name="_Toc296944533"/>
      <w:bookmarkStart w:id="753" w:name="_Toc297048380"/>
      <w:bookmarkStart w:id="754" w:name="_Toc312677500"/>
      <w:bookmarkStart w:id="755" w:name="_Toc296891022"/>
      <w:bookmarkStart w:id="756" w:name="_Toc292559399"/>
      <w:bookmarkStart w:id="757" w:name="_Toc296891234"/>
      <w:bookmarkStart w:id="758" w:name="_Toc296503194"/>
      <w:bookmarkStart w:id="759" w:name="_Toc296346695"/>
      <w:bookmarkStart w:id="760" w:name="_Toc303539147"/>
      <w:bookmarkStart w:id="761" w:name="_Toc292559904"/>
      <w:bookmarkStart w:id="762" w:name="_Toc312678026"/>
      <w:bookmarkStart w:id="763" w:name="_Toc297123541"/>
      <w:bookmarkStart w:id="764" w:name="_Toc296347193"/>
      <w:bookmarkStart w:id="765" w:name="_Toc297216200"/>
      <w:bookmarkStart w:id="766" w:name="_Toc300934990"/>
      <w:bookmarkStart w:id="767" w:name="_Toc297120494"/>
      <w:bookmarkStart w:id="768" w:name="_Toc304295567"/>
      <w:r>
        <w:rPr>
          <w:rFonts w:eastAsia="黑体"/>
          <w:color w:val="auto"/>
          <w:sz w:val="24"/>
          <w:highlight w:val="none"/>
        </w:rPr>
        <w:t>0.1变更的范围</w:t>
      </w:r>
    </w:p>
    <w:p w14:paraId="08EA2692">
      <w:pPr>
        <w:adjustRightInd/>
        <w:spacing w:line="300" w:lineRule="auto"/>
        <w:ind w:firstLine="600"/>
        <w:rPr>
          <w:rFonts w:hint="eastAsia" w:ascii="仿宋_GB2312" w:hAnsi="黑体" w:eastAsia="仿宋_GB2312"/>
          <w:b/>
          <w:color w:val="auto"/>
          <w:sz w:val="24"/>
          <w:highlight w:val="none"/>
          <w:u w:val="single"/>
        </w:rPr>
      </w:pPr>
      <w:r>
        <w:rPr>
          <w:rFonts w:eastAsia="仿宋_GB2312"/>
          <w:color w:val="auto"/>
          <w:sz w:val="24"/>
          <w:highlight w:val="none"/>
        </w:rPr>
        <w:t>关于变更的范围的约定：</w:t>
      </w:r>
    </w:p>
    <w:p w14:paraId="19D67028">
      <w:pPr>
        <w:pStyle w:val="897"/>
        <w:spacing w:line="300" w:lineRule="auto"/>
        <w:ind w:left="0" w:leftChars="0" w:firstLine="480"/>
        <w:rPr>
          <w:rFonts w:eastAsia="仿宋_GB2312"/>
          <w:color w:val="auto"/>
          <w:highlight w:val="none"/>
          <w:u w:val="single"/>
        </w:rPr>
      </w:pPr>
      <w:r>
        <w:rPr>
          <w:rFonts w:eastAsia="仿宋_GB2312"/>
          <w:color w:val="auto"/>
          <w:highlight w:val="none"/>
          <w:u w:val="single"/>
        </w:rPr>
        <w:t>（1）发包人有权以联系单形式根据工程实际情况增加、减少甚至删除合同范围内的工程量，并按</w:t>
      </w:r>
      <w:r>
        <w:rPr>
          <w:rFonts w:hint="eastAsia" w:eastAsia="仿宋_GB2312"/>
          <w:color w:val="auto"/>
          <w:highlight w:val="none"/>
          <w:u w:val="single"/>
        </w:rPr>
        <w:t>中标的固定</w:t>
      </w:r>
      <w:r>
        <w:rPr>
          <w:rFonts w:eastAsia="仿宋_GB2312"/>
          <w:color w:val="auto"/>
          <w:highlight w:val="none"/>
          <w:u w:val="single"/>
        </w:rPr>
        <w:t>综合单价对总价进行相应调整；发包人有权以联系单形式根据施工现场情况增加合同范围外的工程量，并按合同条款确定变更价格对总价进行相应调整</w:t>
      </w:r>
      <w:r>
        <w:rPr>
          <w:rFonts w:hint="eastAsia" w:eastAsia="仿宋_GB2312"/>
          <w:color w:val="auto"/>
          <w:highlight w:val="none"/>
          <w:u w:val="single"/>
        </w:rPr>
        <w:t>。</w:t>
      </w:r>
      <w:r>
        <w:rPr>
          <w:rFonts w:eastAsia="仿宋_GB2312"/>
          <w:color w:val="auto"/>
          <w:highlight w:val="none"/>
          <w:u w:val="single"/>
        </w:rPr>
        <w:t>承包人不得拒绝进行施工。</w:t>
      </w:r>
    </w:p>
    <w:p w14:paraId="52995C16">
      <w:pPr>
        <w:pStyle w:val="970"/>
        <w:spacing w:line="300" w:lineRule="auto"/>
        <w:ind w:firstLine="482"/>
        <w:rPr>
          <w:rFonts w:ascii="Times New Roman" w:hAnsi="Times New Roman" w:eastAsia="仿宋_GB2312"/>
          <w:color w:val="auto"/>
          <w:kern w:val="0"/>
          <w:sz w:val="24"/>
          <w:highlight w:val="none"/>
          <w:u w:val="single"/>
        </w:rPr>
      </w:pPr>
      <w:r>
        <w:rPr>
          <w:rFonts w:ascii="Times New Roman" w:hAnsi="Times New Roman" w:eastAsia="仿宋_GB2312"/>
          <w:color w:val="auto"/>
          <w:kern w:val="0"/>
          <w:sz w:val="24"/>
          <w:highlight w:val="none"/>
          <w:u w:val="single"/>
        </w:rPr>
        <w:t>（2）施工中承包人不得擅自对原工程设计进行变更。因承包人擅自变更设计发生的费用和由此导致发包人的损失由承包人承担，延误的工期不予顺延。</w:t>
      </w:r>
    </w:p>
    <w:p w14:paraId="606EA29D">
      <w:pPr>
        <w:pStyle w:val="970"/>
        <w:spacing w:line="300" w:lineRule="auto"/>
        <w:ind w:firstLine="482"/>
        <w:rPr>
          <w:rFonts w:ascii="Times New Roman" w:hAnsi="Times New Roman" w:eastAsia="仿宋_GB2312"/>
          <w:color w:val="auto"/>
          <w:kern w:val="0"/>
          <w:sz w:val="24"/>
          <w:highlight w:val="none"/>
          <w:u w:val="single"/>
        </w:rPr>
      </w:pPr>
      <w:r>
        <w:rPr>
          <w:rFonts w:ascii="Times New Roman" w:hAnsi="Times New Roman" w:eastAsia="仿宋_GB2312"/>
          <w:color w:val="auto"/>
          <w:kern w:val="0"/>
          <w:sz w:val="24"/>
          <w:highlight w:val="none"/>
          <w:u w:val="single"/>
        </w:rPr>
        <w:t>（3）承包人有义务在每个分部分项工程实施</w:t>
      </w:r>
      <w:r>
        <w:rPr>
          <w:rFonts w:hint="eastAsia" w:ascii="Times New Roman" w:hAnsi="Times New Roman" w:eastAsia="仿宋_GB2312"/>
          <w:color w:val="auto"/>
          <w:kern w:val="0"/>
          <w:sz w:val="24"/>
          <w:highlight w:val="none"/>
          <w:u w:val="single"/>
        </w:rPr>
        <w:t>5日</w:t>
      </w:r>
      <w:r>
        <w:rPr>
          <w:rFonts w:ascii="Times New Roman" w:hAnsi="Times New Roman" w:eastAsia="仿宋_GB2312"/>
          <w:color w:val="auto"/>
          <w:kern w:val="0"/>
          <w:sz w:val="24"/>
          <w:highlight w:val="none"/>
          <w:u w:val="single"/>
        </w:rPr>
        <w:t>前完成施工图纸审查，及时发现有需变更之处，并在不迟于该事项发生之日前</w:t>
      </w:r>
      <w:r>
        <w:rPr>
          <w:rFonts w:hint="eastAsia" w:ascii="Times New Roman" w:hAnsi="Times New Roman" w:eastAsia="仿宋_GB2312"/>
          <w:color w:val="auto"/>
          <w:kern w:val="0"/>
          <w:sz w:val="24"/>
          <w:highlight w:val="none"/>
          <w:u w:val="single"/>
        </w:rPr>
        <w:t>7日</w:t>
      </w:r>
      <w:r>
        <w:rPr>
          <w:rFonts w:ascii="Times New Roman" w:hAnsi="Times New Roman" w:eastAsia="仿宋_GB2312"/>
          <w:color w:val="auto"/>
          <w:kern w:val="0"/>
          <w:sz w:val="24"/>
          <w:highlight w:val="none"/>
          <w:u w:val="single"/>
        </w:rPr>
        <w:t>向发包人提出设计变更建议，经发包人确认后，若确需变更，承包人应在收到设计变更联系单后</w:t>
      </w:r>
      <w:r>
        <w:rPr>
          <w:rFonts w:hint="eastAsia" w:ascii="Times New Roman" w:hAnsi="Times New Roman" w:eastAsia="仿宋_GB2312"/>
          <w:color w:val="auto"/>
          <w:kern w:val="0"/>
          <w:sz w:val="24"/>
          <w:highlight w:val="none"/>
          <w:u w:val="single"/>
        </w:rPr>
        <w:t>5</w:t>
      </w:r>
      <w:r>
        <w:rPr>
          <w:rFonts w:ascii="Times New Roman" w:hAnsi="Times New Roman" w:eastAsia="仿宋_GB2312"/>
          <w:color w:val="auto"/>
          <w:kern w:val="0"/>
          <w:sz w:val="24"/>
          <w:highlight w:val="none"/>
          <w:u w:val="single"/>
        </w:rPr>
        <w:t>个工作日内提交工程变更联系单，否则发包人有权拒绝支付该变更增加工程款。任何由承包人提出，且未上报变更联系单进行审批就先行施工的变更，发包人有权不支付该项工程款</w:t>
      </w:r>
      <w:r>
        <w:rPr>
          <w:rFonts w:hint="eastAsia" w:ascii="Times New Roman" w:hAnsi="Times New Roman" w:eastAsia="仿宋_GB2312"/>
          <w:color w:val="auto"/>
          <w:kern w:val="0"/>
          <w:sz w:val="24"/>
          <w:highlight w:val="none"/>
          <w:u w:val="single"/>
        </w:rPr>
        <w:t>，同时有权要求按原方案进行施工</w:t>
      </w:r>
      <w:r>
        <w:rPr>
          <w:rFonts w:ascii="Times New Roman" w:hAnsi="Times New Roman" w:eastAsia="仿宋_GB2312"/>
          <w:color w:val="auto"/>
          <w:kern w:val="0"/>
          <w:sz w:val="24"/>
          <w:highlight w:val="none"/>
          <w:u w:val="single"/>
        </w:rPr>
        <w:t>。</w:t>
      </w:r>
    </w:p>
    <w:p w14:paraId="0F614D16">
      <w:pPr>
        <w:pStyle w:val="970"/>
        <w:spacing w:line="300" w:lineRule="auto"/>
        <w:ind w:firstLine="482"/>
        <w:rPr>
          <w:rFonts w:ascii="Times New Roman" w:hAnsi="Times New Roman" w:eastAsia="仿宋_GB2312"/>
          <w:color w:val="auto"/>
          <w:kern w:val="0"/>
          <w:sz w:val="24"/>
          <w:highlight w:val="none"/>
          <w:u w:val="single"/>
        </w:rPr>
      </w:pPr>
      <w:r>
        <w:rPr>
          <w:rFonts w:ascii="Times New Roman" w:hAnsi="Times New Roman" w:eastAsia="仿宋_GB2312"/>
          <w:color w:val="auto"/>
          <w:kern w:val="0"/>
          <w:sz w:val="24"/>
          <w:highlight w:val="none"/>
          <w:u w:val="single"/>
        </w:rPr>
        <w:t>（4）</w:t>
      </w:r>
      <w:r>
        <w:rPr>
          <w:rFonts w:hint="eastAsia" w:ascii="Times New Roman" w:hAnsi="Times New Roman" w:eastAsia="仿宋_GB2312"/>
          <w:color w:val="auto"/>
          <w:kern w:val="0"/>
          <w:sz w:val="24"/>
          <w:highlight w:val="none"/>
          <w:u w:val="single"/>
        </w:rPr>
        <w:t>发生工程变更，承包人对此工程变更的价或量有异议的，承包人应优先保证工程的进度，先行施工。所有变更后新增工程引起的计价、计量调整、报批和审核的时间过程，均不得作为影响变更任务执行的理由。在收到联系单且具备施工条件后，承包人不得拒绝施工。</w:t>
      </w:r>
    </w:p>
    <w:p w14:paraId="22D6F59F">
      <w:pPr>
        <w:pStyle w:val="970"/>
        <w:spacing w:line="300" w:lineRule="auto"/>
        <w:ind w:firstLine="480"/>
        <w:rPr>
          <w:rFonts w:ascii="Times New Roman" w:hAnsi="Times New Roman" w:eastAsia="仿宋_GB2312"/>
          <w:color w:val="auto"/>
          <w:kern w:val="0"/>
          <w:sz w:val="24"/>
          <w:highlight w:val="none"/>
          <w:u w:val="single"/>
        </w:rPr>
      </w:pPr>
      <w:r>
        <w:rPr>
          <w:rFonts w:ascii="Times New Roman" w:hAnsi="Times New Roman" w:eastAsia="仿宋_GB2312"/>
          <w:color w:val="auto"/>
          <w:kern w:val="0"/>
          <w:sz w:val="24"/>
          <w:highlight w:val="none"/>
          <w:u w:val="single"/>
        </w:rPr>
        <w:t>（5）承包人提出的尤其涉及费用的联系单必须依据充分，用详尽的资料（提供组价明细表及计算过程底稿等）、图纸附加图片、照片（至少张细部特征照片）予以说明，同时承包人应对联系单连续进行编号，否则发包人可予以退回或拒签。上报联系单符合要求的，发包人原则在收到上报资料后</w:t>
      </w:r>
      <w:r>
        <w:rPr>
          <w:rFonts w:hint="eastAsia" w:ascii="Times New Roman" w:hAnsi="Times New Roman" w:eastAsia="仿宋_GB2312"/>
          <w:color w:val="auto"/>
          <w:kern w:val="0"/>
          <w:sz w:val="24"/>
          <w:highlight w:val="none"/>
          <w:u w:val="single"/>
        </w:rPr>
        <w:t>60</w:t>
      </w:r>
      <w:r>
        <w:rPr>
          <w:rFonts w:ascii="Times New Roman" w:hAnsi="Times New Roman" w:eastAsia="仿宋_GB2312"/>
          <w:color w:val="auto"/>
          <w:kern w:val="0"/>
          <w:sz w:val="24"/>
          <w:highlight w:val="none"/>
          <w:u w:val="single"/>
        </w:rPr>
        <w:t>个工作日内签复</w:t>
      </w:r>
      <w:r>
        <w:rPr>
          <w:rFonts w:hint="eastAsia" w:ascii="Times New Roman" w:hAnsi="Times New Roman" w:eastAsia="仿宋_GB2312"/>
          <w:color w:val="auto"/>
          <w:kern w:val="0"/>
          <w:sz w:val="24"/>
          <w:highlight w:val="none"/>
          <w:u w:val="single"/>
        </w:rPr>
        <w:t>，未在该期限内签复的，不视为对上报联系单内容的确认，也不视为对其所涉费用的认可，且不免除应由承包人承担的责任</w:t>
      </w:r>
      <w:r>
        <w:rPr>
          <w:rFonts w:ascii="Times New Roman" w:hAnsi="Times New Roman" w:eastAsia="仿宋_GB2312"/>
          <w:color w:val="auto"/>
          <w:kern w:val="0"/>
          <w:sz w:val="24"/>
          <w:highlight w:val="none"/>
          <w:u w:val="single"/>
        </w:rPr>
        <w:t>。</w:t>
      </w:r>
    </w:p>
    <w:p w14:paraId="2B99AA2E">
      <w:pPr>
        <w:adjustRightInd/>
        <w:spacing w:line="300" w:lineRule="auto"/>
        <w:ind w:firstLine="480" w:firstLineChars="200"/>
        <w:rPr>
          <w:rFonts w:eastAsia="黑体"/>
          <w:color w:val="auto"/>
          <w:sz w:val="24"/>
          <w:highlight w:val="none"/>
        </w:rPr>
      </w:pPr>
      <w:r>
        <w:rPr>
          <w:rFonts w:eastAsia="黑体"/>
          <w:color w:val="auto"/>
          <w:sz w:val="24"/>
          <w:highlight w:val="none"/>
        </w:rPr>
        <w:t>10.4 变更估价</w:t>
      </w:r>
    </w:p>
    <w:p w14:paraId="4122833F">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10.4.1 变更估价原则</w:t>
      </w:r>
    </w:p>
    <w:p w14:paraId="6411EE3D">
      <w:pPr>
        <w:autoSpaceDE w:val="0"/>
        <w:autoSpaceDN w:val="0"/>
        <w:adjustRightInd/>
        <w:spacing w:line="300" w:lineRule="auto"/>
        <w:ind w:firstLine="480" w:firstLineChars="200"/>
        <w:rPr>
          <w:rFonts w:ascii="仿宋_GB2312" w:eastAsia="仿宋_GB2312"/>
          <w:color w:val="auto"/>
          <w:sz w:val="24"/>
          <w:highlight w:val="none"/>
          <w:u w:val="single"/>
        </w:rPr>
      </w:pPr>
      <w:r>
        <w:rPr>
          <w:rFonts w:hint="eastAsia" w:ascii="仿宋_GB2312" w:eastAsia="仿宋_GB2312"/>
          <w:color w:val="auto"/>
          <w:sz w:val="24"/>
          <w:highlight w:val="none"/>
          <w:u w:val="single"/>
        </w:rPr>
        <w:t xml:space="preserve">关于变更估价的约定: </w:t>
      </w:r>
    </w:p>
    <w:p w14:paraId="1EED78A6">
      <w:pPr>
        <w:autoSpaceDE w:val="0"/>
        <w:autoSpaceDN w:val="0"/>
        <w:snapToGrid w:val="0"/>
        <w:spacing w:line="360" w:lineRule="auto"/>
        <w:ind w:firstLine="480" w:firstLineChars="200"/>
        <w:jc w:val="left"/>
        <w:rPr>
          <w:rFonts w:ascii="仿宋_GB2312" w:eastAsia="仿宋_GB2312"/>
          <w:color w:val="auto"/>
          <w:sz w:val="24"/>
          <w:highlight w:val="none"/>
          <w:u w:val="single"/>
        </w:rPr>
      </w:pPr>
      <w:r>
        <w:rPr>
          <w:rFonts w:hint="eastAsia" w:ascii="仿宋_GB2312" w:eastAsia="仿宋_GB2312"/>
          <w:color w:val="auto"/>
          <w:sz w:val="24"/>
          <w:highlight w:val="none"/>
          <w:u w:val="single"/>
        </w:rPr>
        <w:t>(1)已标价工程量清单或预算书有相同项目的，按照相同项目单价确定。</w:t>
      </w:r>
    </w:p>
    <w:p w14:paraId="173A2DA8">
      <w:pPr>
        <w:autoSpaceDE w:val="0"/>
        <w:autoSpaceDN w:val="0"/>
        <w:snapToGrid w:val="0"/>
        <w:spacing w:line="360" w:lineRule="auto"/>
        <w:ind w:firstLine="480" w:firstLineChars="200"/>
        <w:jc w:val="left"/>
        <w:rPr>
          <w:rFonts w:ascii="仿宋_GB2312" w:eastAsia="仿宋_GB2312"/>
          <w:color w:val="auto"/>
          <w:sz w:val="24"/>
          <w:highlight w:val="none"/>
          <w:u w:val="single"/>
        </w:rPr>
      </w:pPr>
      <w:r>
        <w:rPr>
          <w:rFonts w:hint="eastAsia" w:ascii="仿宋_GB2312" w:eastAsia="仿宋_GB2312"/>
          <w:color w:val="auto"/>
          <w:sz w:val="24"/>
          <w:highlight w:val="none"/>
          <w:u w:val="single"/>
        </w:rPr>
        <w:t>(2)已标价工程量清单或预算书中无相同项目，但有类似项目的，参照类似项目的单价确定。</w:t>
      </w:r>
    </w:p>
    <w:p w14:paraId="2DF64619">
      <w:pPr>
        <w:autoSpaceDE w:val="0"/>
        <w:autoSpaceDN w:val="0"/>
        <w:snapToGrid w:val="0"/>
        <w:spacing w:line="360" w:lineRule="auto"/>
        <w:ind w:firstLine="480" w:firstLineChars="200"/>
        <w:jc w:val="left"/>
        <w:rPr>
          <w:rFonts w:ascii="仿宋_GB2312" w:eastAsia="仿宋_GB2312"/>
          <w:color w:val="auto"/>
          <w:sz w:val="24"/>
          <w:highlight w:val="none"/>
          <w:u w:val="single"/>
        </w:rPr>
      </w:pPr>
      <w:r>
        <w:rPr>
          <w:rFonts w:hint="eastAsia" w:ascii="仿宋_GB2312" w:eastAsia="仿宋_GB2312"/>
          <w:color w:val="auto"/>
          <w:sz w:val="24"/>
          <w:highlight w:val="none"/>
          <w:u w:val="single"/>
        </w:rPr>
        <w:t>(3)已标价工程量清单或预算书中无相同项目及类似项目单价的，其单价的确定，按以下约定：工程量按《建设工程工程量清单计价规范》(GB50500-2013)、《浙江省建设工程工程量清单计价指引》(2018版)计算规则计算。组价根据《2018版浙江省预算定额》、发生当期的浙江省、杭州市(市区)造价信息正刊(浙江省、杭州市市区造价信息正刊均有的，取其中较低者；无信息价的按发包人签证确认并经审计部门最终审定的价格为准。)进行组价，其中管理费、利润、风险费及规费、税金等按投标报价时各项目所报费率中最低费率计取，按照上述方法计算后综合单价乘以优惠率得出结算单价，优惠率=中标价/招标控制价。变更价格经监理和发包人审核签证后备案，最终结算价格以政府审计部门审定的金额为准。</w:t>
      </w:r>
    </w:p>
    <w:p w14:paraId="5BEBEC2C">
      <w:pPr>
        <w:snapToGrid w:val="0"/>
        <w:spacing w:line="360" w:lineRule="auto"/>
        <w:ind w:firstLine="480" w:firstLineChars="200"/>
        <w:jc w:val="left"/>
        <w:rPr>
          <w:rFonts w:hint="eastAsia" w:ascii="宋体" w:hAnsi="宋体"/>
          <w:color w:val="auto"/>
          <w:highlight w:val="none"/>
        </w:rPr>
      </w:pPr>
      <w:r>
        <w:rPr>
          <w:rFonts w:hint="eastAsia" w:ascii="仿宋_GB2312" w:eastAsia="仿宋_GB2312"/>
          <w:color w:val="auto"/>
          <w:sz w:val="24"/>
          <w:highlight w:val="none"/>
          <w:u w:val="single"/>
        </w:rPr>
        <w:t>(4)工程量清单错误和(或)设计变更导致实际完成的工程量与已标价工程量清单或预算书中列明的该项目工程量的变化幅度超过以下情况的，其单价允许调整：</w:t>
      </w:r>
      <w:r>
        <w:rPr>
          <w:rFonts w:hint="eastAsia" w:ascii="仿宋_GB2312" w:eastAsia="仿宋_GB2312"/>
          <w:bCs/>
          <w:color w:val="auto"/>
          <w:sz w:val="24"/>
          <w:highlight w:val="none"/>
          <w:u w:val="single"/>
        </w:rPr>
        <w:t>凡合价金额占合同总价2%及以上的分部分项清单项目，其工程量增加或减少超过本项目工程数量15%及以上时，或者合价金额占合同总价不到2%的分部分项清单项目，但其工程量增加或减少超过本项目工程数量25%以上时。</w:t>
      </w:r>
      <w:r>
        <w:rPr>
          <w:rFonts w:hint="eastAsia" w:ascii="仿宋_GB2312" w:eastAsia="仿宋_GB2312"/>
          <w:b/>
          <w:color w:val="auto"/>
          <w:sz w:val="24"/>
          <w:highlight w:val="none"/>
          <w:u w:val="single"/>
        </w:rPr>
        <w:t>工程量偏差超过上述变化幅度之外变动部分</w:t>
      </w:r>
      <w:r>
        <w:rPr>
          <w:rFonts w:hint="eastAsia" w:ascii="仿宋_GB2312" w:eastAsia="仿宋_GB2312"/>
          <w:bCs/>
          <w:color w:val="auto"/>
          <w:sz w:val="24"/>
          <w:highlight w:val="none"/>
          <w:u w:val="single"/>
        </w:rPr>
        <w:t>的相应单价调整方法按以下方式约定：按照10.4.1第（3）条约定执行（土方工程除外）。</w:t>
      </w:r>
    </w:p>
    <w:p w14:paraId="73B2C3F2">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left"/>
        <w:textAlignment w:val="auto"/>
        <w:rPr>
          <w:rFonts w:ascii="仿宋_GB2312" w:eastAsia="仿宋_GB2312"/>
          <w:b/>
          <w:color w:val="auto"/>
          <w:sz w:val="24"/>
          <w:highlight w:val="none"/>
          <w:u w:val="single"/>
        </w:rPr>
      </w:pPr>
      <w:r>
        <w:rPr>
          <w:rFonts w:hint="eastAsia" w:ascii="仿宋_GB2312" w:eastAsia="仿宋_GB2312"/>
          <w:b/>
          <w:color w:val="auto"/>
          <w:sz w:val="24"/>
          <w:highlight w:val="none"/>
          <w:u w:val="single"/>
        </w:rPr>
        <w:t>（5）其他：</w:t>
      </w:r>
    </w:p>
    <w:p w14:paraId="507356C4">
      <w:pPr>
        <w:autoSpaceDE w:val="0"/>
        <w:autoSpaceDN w:val="0"/>
        <w:snapToGrid w:val="0"/>
        <w:spacing w:line="360" w:lineRule="auto"/>
        <w:ind w:firstLine="480" w:firstLineChars="200"/>
        <w:jc w:val="left"/>
        <w:rPr>
          <w:rFonts w:ascii="仿宋_GB2312" w:eastAsia="仿宋_GB2312"/>
          <w:color w:val="auto"/>
          <w:sz w:val="24"/>
          <w:highlight w:val="none"/>
          <w:u w:val="single"/>
        </w:rPr>
      </w:pPr>
      <w:r>
        <w:rPr>
          <w:rFonts w:hint="eastAsia" w:ascii="仿宋_GB2312" w:eastAsia="仿宋_GB2312"/>
          <w:color w:val="auto"/>
          <w:sz w:val="24"/>
          <w:highlight w:val="none"/>
          <w:u w:val="single"/>
        </w:rPr>
        <w:t>①工程量根据施工图及联系单，《建设工程工程量清单计价规范》(GB50500-2013)、《浙江省建设工程计价规则》（2018版）计算，新增单价组价依据《杭州市建设工程工程量清单计价实施细则》（杭建市发〔2018〕578号）、《2018版浙江省预算定额》联系单管理按</w:t>
      </w:r>
      <w:r>
        <w:rPr>
          <w:rFonts w:hint="eastAsia" w:ascii="仿宋_GB2312" w:eastAsia="仿宋_GB2312"/>
          <w:color w:val="auto"/>
          <w:sz w:val="24"/>
          <w:highlight w:val="none"/>
          <w:u w:val="single"/>
          <w:lang w:val="en-US" w:eastAsia="zh-CN"/>
        </w:rPr>
        <w:t>杭州市最新管理办法</w:t>
      </w:r>
      <w:r>
        <w:rPr>
          <w:rFonts w:hint="eastAsia" w:ascii="仿宋_GB2312" w:eastAsia="仿宋_GB2312"/>
          <w:color w:val="auto"/>
          <w:sz w:val="24"/>
          <w:highlight w:val="none"/>
          <w:u w:val="single"/>
        </w:rPr>
        <w:t>执行，未履行规定程序的联系单，不得纳入工程结算。</w:t>
      </w:r>
    </w:p>
    <w:p w14:paraId="3249E5D3">
      <w:pPr>
        <w:autoSpaceDE w:val="0"/>
        <w:autoSpaceDN w:val="0"/>
        <w:snapToGrid w:val="0"/>
        <w:spacing w:line="360" w:lineRule="auto"/>
        <w:ind w:firstLine="480" w:firstLineChars="200"/>
        <w:jc w:val="left"/>
        <w:rPr>
          <w:rFonts w:ascii="仿宋_GB2312" w:eastAsia="仿宋_GB2312"/>
          <w:color w:val="auto"/>
          <w:sz w:val="24"/>
          <w:highlight w:val="none"/>
          <w:u w:val="single"/>
        </w:rPr>
      </w:pPr>
      <w:r>
        <w:rPr>
          <w:rFonts w:hint="eastAsia" w:ascii="仿宋_GB2312" w:eastAsia="仿宋_GB2312"/>
          <w:color w:val="auto"/>
          <w:sz w:val="24"/>
          <w:highlight w:val="none"/>
          <w:u w:val="single"/>
        </w:rPr>
        <w:t>②项目清单中项目特征或工程内容发生部分变更的，应以原综合单价为基础，仅就变更部分相应定额子目调整综合单价。材料变化的仅调整材料编制期信息价的差价，仅计税金。注：编制期信息价是指由工程造价管理部门在投标截止日28日历天所在月份造价信息正刊发布的当期信息价。所在月份信息价如遇工程造价管理部门发布信息价格调整的，则该月信息价格按所发布信息价执行天数加权平均。</w:t>
      </w:r>
    </w:p>
    <w:p w14:paraId="580292A3">
      <w:pPr>
        <w:snapToGrid w:val="0"/>
        <w:spacing w:line="360" w:lineRule="auto"/>
        <w:ind w:firstLine="480" w:firstLineChars="200"/>
        <w:jc w:val="left"/>
        <w:rPr>
          <w:rFonts w:ascii="仿宋_GB2312" w:eastAsia="仿宋_GB2312"/>
          <w:color w:val="auto"/>
          <w:sz w:val="24"/>
          <w:highlight w:val="none"/>
          <w:u w:val="single"/>
        </w:rPr>
      </w:pPr>
      <w:r>
        <w:rPr>
          <w:rFonts w:hint="eastAsia" w:ascii="仿宋_GB2312" w:eastAsia="仿宋_GB2312"/>
          <w:color w:val="auto"/>
          <w:sz w:val="24"/>
          <w:highlight w:val="none"/>
          <w:u w:val="single"/>
        </w:rPr>
        <w:t>③本工程结算造价以相关审计部门审核为准。</w:t>
      </w:r>
    </w:p>
    <w:p w14:paraId="75C05FE3">
      <w:pPr>
        <w:adjustRightInd/>
        <w:spacing w:line="300" w:lineRule="auto"/>
        <w:ind w:firstLine="480" w:firstLineChars="200"/>
        <w:rPr>
          <w:rFonts w:eastAsia="黑体"/>
          <w:color w:val="auto"/>
          <w:sz w:val="24"/>
          <w:highlight w:val="none"/>
        </w:rPr>
      </w:pPr>
      <w:r>
        <w:rPr>
          <w:rFonts w:eastAsia="黑体"/>
          <w:color w:val="auto"/>
          <w:sz w:val="24"/>
          <w:highlight w:val="none"/>
        </w:rPr>
        <w:t>1</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Start w:id="769" w:name="_Toc292559907"/>
      <w:bookmarkStart w:id="770" w:name="_Toc296346698"/>
      <w:bookmarkStart w:id="771" w:name="_Toc297048383"/>
      <w:bookmarkStart w:id="772" w:name="_Toc297216203"/>
      <w:bookmarkStart w:id="773" w:name="_Toc296891025"/>
      <w:bookmarkStart w:id="774" w:name="_Toc296503197"/>
      <w:bookmarkStart w:id="775" w:name="_Toc296347196"/>
      <w:bookmarkStart w:id="776" w:name="_Toc297123544"/>
      <w:bookmarkStart w:id="777" w:name="_Toc292559402"/>
      <w:bookmarkStart w:id="778" w:name="_Toc297120497"/>
      <w:bookmarkStart w:id="779" w:name="_Toc296944536"/>
      <w:bookmarkStart w:id="780" w:name="_Toc300934993"/>
      <w:bookmarkStart w:id="781" w:name="_Toc296891237"/>
      <w:bookmarkStart w:id="782" w:name="_Toc303539150"/>
      <w:bookmarkStart w:id="783" w:name="_Toc312678029"/>
      <w:bookmarkStart w:id="784" w:name="_Toc304295570"/>
      <w:bookmarkStart w:id="785" w:name="_Toc312677503"/>
      <w:r>
        <w:rPr>
          <w:rFonts w:eastAsia="黑体"/>
          <w:color w:val="auto"/>
          <w:sz w:val="24"/>
          <w:highlight w:val="none"/>
        </w:rPr>
        <w:t>0.5承</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Start w:id="786" w:name="_Toc297123545"/>
      <w:bookmarkStart w:id="787" w:name="_Toc296891031"/>
      <w:bookmarkStart w:id="788" w:name="_Toc297216204"/>
      <w:bookmarkStart w:id="789" w:name="_Toc292559408"/>
      <w:bookmarkStart w:id="790" w:name="_Toc296503203"/>
      <w:bookmarkStart w:id="791" w:name="_Toc296347202"/>
      <w:bookmarkStart w:id="792" w:name="_Toc303539151"/>
      <w:bookmarkStart w:id="793" w:name="_Toc297048389"/>
      <w:bookmarkStart w:id="794" w:name="_Toc292559913"/>
      <w:bookmarkStart w:id="795" w:name="_Toc296891243"/>
      <w:bookmarkStart w:id="796" w:name="_Toc297120503"/>
      <w:bookmarkStart w:id="797" w:name="_Toc296944542"/>
      <w:bookmarkStart w:id="798" w:name="_Toc296346704"/>
      <w:bookmarkStart w:id="799" w:name="_Toc300934994"/>
      <w:r>
        <w:rPr>
          <w:rFonts w:eastAsia="黑体"/>
          <w:color w:val="auto"/>
          <w:sz w:val="24"/>
          <w:highlight w:val="none"/>
        </w:rPr>
        <w:t>包人的合理化建议</w:t>
      </w:r>
    </w:p>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14:paraId="702B7E26">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监理人审查承包人合理化建议的期限：</w:t>
      </w:r>
      <w:r>
        <w:rPr>
          <w:rFonts w:hint="eastAsia" w:eastAsia="仿宋_GB2312"/>
          <w:color w:val="auto"/>
          <w:sz w:val="24"/>
          <w:highlight w:val="none"/>
          <w:u w:val="single"/>
        </w:rPr>
        <w:t xml:space="preserve">                /           </w:t>
      </w:r>
      <w:r>
        <w:rPr>
          <w:rFonts w:eastAsia="仿宋_GB2312"/>
          <w:color w:val="auto"/>
          <w:sz w:val="24"/>
          <w:highlight w:val="none"/>
          <w:u w:val="single"/>
        </w:rPr>
        <w:t xml:space="preserve">  。</w:t>
      </w:r>
    </w:p>
    <w:p w14:paraId="4F936D37">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发包人审批承包人合理化建议的期限：</w:t>
      </w:r>
      <w:r>
        <w:rPr>
          <w:rFonts w:hint="eastAsia" w:eastAsia="仿宋_GB2312"/>
          <w:color w:val="auto"/>
          <w:sz w:val="24"/>
          <w:highlight w:val="none"/>
          <w:u w:val="single"/>
        </w:rPr>
        <w:t xml:space="preserve">                    /       </w:t>
      </w:r>
      <w:r>
        <w:rPr>
          <w:rFonts w:eastAsia="仿宋_GB2312"/>
          <w:color w:val="auto"/>
          <w:sz w:val="24"/>
          <w:highlight w:val="none"/>
          <w:u w:val="single"/>
        </w:rPr>
        <w:t xml:space="preserve">  。</w:t>
      </w:r>
    </w:p>
    <w:p w14:paraId="65D1C918">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w:t>
      </w:r>
      <w:bookmarkStart w:id="800" w:name="_Toc296891032"/>
      <w:bookmarkStart w:id="801" w:name="_Toc292559914"/>
      <w:bookmarkStart w:id="802" w:name="_Toc312678030"/>
      <w:bookmarkStart w:id="803" w:name="_Toc297123546"/>
      <w:bookmarkStart w:id="804" w:name="_Toc296347203"/>
      <w:bookmarkStart w:id="805" w:name="_Toc297216205"/>
      <w:bookmarkStart w:id="806" w:name="_Toc303539152"/>
      <w:bookmarkStart w:id="807" w:name="_Toc312677504"/>
      <w:bookmarkStart w:id="808" w:name="_Toc297048390"/>
      <w:bookmarkStart w:id="809" w:name="_Toc296346705"/>
      <w:bookmarkStart w:id="810" w:name="_Toc297120504"/>
      <w:bookmarkStart w:id="811" w:name="_Toc300934995"/>
      <w:bookmarkStart w:id="812" w:name="_Toc296944543"/>
      <w:bookmarkStart w:id="813" w:name="_Toc296503204"/>
      <w:bookmarkStart w:id="814" w:name="_Toc318581175"/>
      <w:bookmarkStart w:id="815" w:name="_Toc292559409"/>
      <w:bookmarkStart w:id="816" w:name="_Toc296891244"/>
      <w:bookmarkStart w:id="817" w:name="_Toc304295571"/>
      <w:r>
        <w:rPr>
          <w:rFonts w:eastAsia="仿宋_GB2312"/>
          <w:color w:val="auto"/>
          <w:sz w:val="24"/>
          <w:highlight w:val="none"/>
        </w:rPr>
        <w:t>包人提出的合理化建议降低了合同价格或者提高了工程经济效益的奖励的方法和金额为：</w:t>
      </w:r>
      <w:r>
        <w:rPr>
          <w:rFonts w:hint="eastAsia" w:eastAsia="仿宋_GB2312"/>
          <w:color w:val="auto"/>
          <w:sz w:val="24"/>
          <w:highlight w:val="none"/>
          <w:u w:val="single"/>
        </w:rPr>
        <w:t xml:space="preserve">    /   </w:t>
      </w:r>
      <w:r>
        <w:rPr>
          <w:rFonts w:eastAsia="仿宋_GB2312"/>
          <w:color w:val="auto"/>
          <w:sz w:val="24"/>
          <w:highlight w:val="none"/>
        </w:rPr>
        <w:t>。</w:t>
      </w:r>
    </w:p>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14:paraId="3C1C900F">
      <w:pPr>
        <w:adjustRightInd/>
        <w:spacing w:line="300" w:lineRule="auto"/>
        <w:ind w:firstLine="480" w:firstLineChars="200"/>
        <w:rPr>
          <w:rFonts w:eastAsia="仿宋_GB2312"/>
          <w:color w:val="auto"/>
          <w:sz w:val="24"/>
          <w:highlight w:val="none"/>
        </w:rPr>
      </w:pPr>
      <w:r>
        <w:rPr>
          <w:rFonts w:eastAsia="黑体"/>
          <w:color w:val="auto"/>
          <w:sz w:val="24"/>
          <w:highlight w:val="none"/>
        </w:rPr>
        <w:t>1</w:t>
      </w:r>
      <w:bookmarkStart w:id="818" w:name="_Toc312677507"/>
      <w:bookmarkStart w:id="819" w:name="_Toc297048385"/>
      <w:bookmarkStart w:id="820" w:name="_Toc303539154"/>
      <w:bookmarkStart w:id="821" w:name="_Toc297120499"/>
      <w:bookmarkStart w:id="822" w:name="_Toc296944538"/>
      <w:bookmarkStart w:id="823" w:name="_Toc312678033"/>
      <w:bookmarkStart w:id="824" w:name="_Toc297123548"/>
      <w:bookmarkStart w:id="825" w:name="_Toc296347198"/>
      <w:bookmarkStart w:id="826" w:name="_Toc296891239"/>
      <w:bookmarkStart w:id="827" w:name="_Toc296503199"/>
      <w:bookmarkStart w:id="828" w:name="_Toc292559909"/>
      <w:bookmarkStart w:id="829" w:name="_Toc300934997"/>
      <w:bookmarkStart w:id="830" w:name="_Toc304295574"/>
      <w:bookmarkStart w:id="831" w:name="_Toc296891027"/>
      <w:bookmarkStart w:id="832" w:name="_Toc297216207"/>
      <w:bookmarkStart w:id="833" w:name="_Toc292559404"/>
      <w:bookmarkStart w:id="834" w:name="_Toc296346700"/>
      <w:r>
        <w:rPr>
          <w:rFonts w:eastAsia="黑体"/>
          <w:color w:val="auto"/>
          <w:sz w:val="24"/>
          <w:highlight w:val="none"/>
        </w:rPr>
        <w:t>0.7 暂估价</w:t>
      </w:r>
      <w:r>
        <w:rPr>
          <w:rFonts w:hint="eastAsia" w:eastAsia="黑体"/>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w:t>
      </w:r>
    </w:p>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14:paraId="2ECF7055">
      <w:pPr>
        <w:adjustRightInd/>
        <w:spacing w:line="300" w:lineRule="auto"/>
        <w:ind w:firstLine="480" w:firstLineChars="200"/>
        <w:rPr>
          <w:rFonts w:eastAsia="黑体"/>
          <w:color w:val="auto"/>
          <w:sz w:val="24"/>
          <w:highlight w:val="none"/>
        </w:rPr>
      </w:pPr>
      <w:r>
        <w:rPr>
          <w:rFonts w:eastAsia="黑体"/>
          <w:color w:val="auto"/>
          <w:sz w:val="24"/>
          <w:highlight w:val="none"/>
        </w:rPr>
        <w:t>10.8 暂列金额</w:t>
      </w:r>
    </w:p>
    <w:p w14:paraId="67154165">
      <w:pPr>
        <w:autoSpaceDE w:val="0"/>
        <w:autoSpaceDN w:val="0"/>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rPr>
        <w:t>合同当事人关于暂列金额使用的约定：</w:t>
      </w:r>
      <w:r>
        <w:rPr>
          <w:rFonts w:hint="eastAsia" w:eastAsia="仿宋_GB2312"/>
          <w:color w:val="auto"/>
          <w:sz w:val="24"/>
          <w:highlight w:val="none"/>
          <w:u w:val="single"/>
        </w:rPr>
        <w:t xml:space="preserve">                    /             </w:t>
      </w:r>
      <w:r>
        <w:rPr>
          <w:rFonts w:hint="eastAsia" w:eastAsia="仿宋_GB2312"/>
          <w:color w:val="auto"/>
          <w:sz w:val="24"/>
          <w:highlight w:val="none"/>
        </w:rPr>
        <w:t>。</w:t>
      </w:r>
    </w:p>
    <w:p w14:paraId="357ABBB3">
      <w:pPr>
        <w:pStyle w:val="8"/>
        <w:spacing w:before="0" w:after="0" w:line="300" w:lineRule="auto"/>
        <w:rPr>
          <w:rFonts w:ascii="Times New Roman" w:hAnsi="Times New Roman"/>
          <w:b w:val="0"/>
          <w:color w:val="auto"/>
          <w:sz w:val="24"/>
          <w:szCs w:val="24"/>
          <w:highlight w:val="none"/>
        </w:rPr>
      </w:pPr>
      <w:bookmarkStart w:id="835" w:name="_Toc351203643"/>
      <w:r>
        <w:rPr>
          <w:rFonts w:ascii="Times New Roman" w:hAnsi="Times New Roman"/>
          <w:b w:val="0"/>
          <w:color w:val="auto"/>
          <w:sz w:val="24"/>
          <w:szCs w:val="24"/>
          <w:highlight w:val="none"/>
        </w:rPr>
        <w:t>11. 价格调整</w:t>
      </w:r>
      <w:bookmarkEnd w:id="835"/>
    </w:p>
    <w:p w14:paraId="407F8D1B">
      <w:pPr>
        <w:adjustRightInd/>
        <w:spacing w:line="300" w:lineRule="auto"/>
        <w:ind w:firstLine="480" w:firstLineChars="200"/>
        <w:rPr>
          <w:rFonts w:eastAsia="黑体"/>
          <w:color w:val="auto"/>
          <w:sz w:val="24"/>
          <w:highlight w:val="none"/>
        </w:rPr>
      </w:pPr>
      <w:bookmarkStart w:id="836" w:name="_Toc296891029"/>
      <w:bookmarkStart w:id="837" w:name="_Toc297123550"/>
      <w:bookmarkStart w:id="838" w:name="_Toc297048387"/>
      <w:bookmarkStart w:id="839" w:name="_Toc297120501"/>
      <w:bookmarkStart w:id="840" w:name="_Toc312678039"/>
      <w:bookmarkStart w:id="841" w:name="_Toc296347200"/>
      <w:bookmarkStart w:id="842" w:name="_Toc300935000"/>
      <w:bookmarkStart w:id="843" w:name="_Toc303539157"/>
      <w:bookmarkStart w:id="844" w:name="_Toc296944540"/>
      <w:bookmarkStart w:id="845" w:name="_Toc292559911"/>
      <w:bookmarkStart w:id="846" w:name="_Toc296503201"/>
      <w:bookmarkStart w:id="847" w:name="_Toc297216209"/>
      <w:bookmarkStart w:id="848" w:name="_Toc296891241"/>
      <w:bookmarkStart w:id="849" w:name="_Toc292559406"/>
      <w:bookmarkStart w:id="850" w:name="_Toc296346702"/>
      <w:bookmarkStart w:id="851" w:name="_Toc304295577"/>
      <w:r>
        <w:rPr>
          <w:rFonts w:eastAsia="黑体"/>
          <w:color w:val="auto"/>
          <w:sz w:val="24"/>
          <w:highlight w:val="none"/>
        </w:rPr>
        <w:t>11.1 市场价格波动引起的调整</w:t>
      </w:r>
    </w:p>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14:paraId="78551ECB">
      <w:pPr>
        <w:adjustRightInd/>
        <w:spacing w:line="300" w:lineRule="auto"/>
        <w:ind w:firstLine="480" w:firstLineChars="200"/>
        <w:rPr>
          <w:rFonts w:eastAsia="仿宋_GB2312"/>
          <w:color w:val="auto"/>
          <w:sz w:val="24"/>
          <w:highlight w:val="none"/>
        </w:rPr>
      </w:pPr>
      <w:r>
        <w:rPr>
          <w:rFonts w:eastAsia="仿宋_GB2312"/>
          <w:color w:val="auto"/>
          <w:sz w:val="24"/>
          <w:highlight w:val="none"/>
        </w:rPr>
        <w:t>市场价格波动是否调整合同价格的约定：</w:t>
      </w:r>
      <w:r>
        <w:rPr>
          <w:rFonts w:hint="eastAsia" w:eastAsia="仿宋_GB2312"/>
          <w:color w:val="auto"/>
          <w:sz w:val="24"/>
          <w:highlight w:val="none"/>
          <w:u w:val="single"/>
        </w:rPr>
        <w:t xml:space="preserve"> 是 </w:t>
      </w:r>
      <w:r>
        <w:rPr>
          <w:rFonts w:eastAsia="仿宋_GB2312"/>
          <w:color w:val="auto"/>
          <w:sz w:val="24"/>
          <w:highlight w:val="none"/>
        </w:rPr>
        <w:t>。</w:t>
      </w:r>
    </w:p>
    <w:p w14:paraId="748B57B7">
      <w:pPr>
        <w:adjustRightInd/>
        <w:spacing w:line="300" w:lineRule="auto"/>
        <w:ind w:firstLine="480" w:firstLineChars="200"/>
        <w:rPr>
          <w:rFonts w:eastAsia="仿宋_GB2312"/>
          <w:color w:val="auto"/>
          <w:sz w:val="24"/>
          <w:highlight w:val="none"/>
        </w:rPr>
      </w:pPr>
      <w:r>
        <w:rPr>
          <w:rFonts w:eastAsia="仿宋_GB2312"/>
          <w:color w:val="auto"/>
          <w:sz w:val="24"/>
          <w:highlight w:val="none"/>
        </w:rPr>
        <w:t>因市场价格波动调整合同价格，采用以下第</w:t>
      </w:r>
      <w:r>
        <w:rPr>
          <w:rFonts w:hint="eastAsia" w:eastAsia="仿宋_GB2312"/>
          <w:color w:val="auto"/>
          <w:sz w:val="24"/>
          <w:highlight w:val="none"/>
          <w:u w:val="single"/>
        </w:rPr>
        <w:t xml:space="preserve">  3 </w:t>
      </w:r>
      <w:r>
        <w:rPr>
          <w:rFonts w:eastAsia="仿宋_GB2312"/>
          <w:color w:val="auto"/>
          <w:sz w:val="24"/>
          <w:highlight w:val="none"/>
        </w:rPr>
        <w:t>种方式对合同价格进行调整：</w:t>
      </w:r>
    </w:p>
    <w:p w14:paraId="20B0FEFE">
      <w:pPr>
        <w:adjustRightInd/>
        <w:spacing w:line="300" w:lineRule="auto"/>
        <w:ind w:firstLine="480" w:firstLineChars="200"/>
        <w:rPr>
          <w:rFonts w:eastAsia="仿宋_GB2312"/>
          <w:color w:val="auto"/>
          <w:sz w:val="24"/>
          <w:highlight w:val="none"/>
        </w:rPr>
      </w:pPr>
      <w:r>
        <w:rPr>
          <w:rFonts w:eastAsia="仿宋_GB2312"/>
          <w:color w:val="auto"/>
          <w:sz w:val="24"/>
          <w:highlight w:val="none"/>
        </w:rPr>
        <w:t>第1种方式：采用价格指数</w:t>
      </w:r>
      <w:r>
        <w:rPr>
          <w:rFonts w:hint="eastAsia" w:eastAsia="仿宋_GB2312"/>
          <w:color w:val="auto"/>
          <w:sz w:val="24"/>
          <w:highlight w:val="none"/>
        </w:rPr>
        <w:t>进行价格</w:t>
      </w:r>
      <w:r>
        <w:rPr>
          <w:rFonts w:eastAsia="仿宋_GB2312"/>
          <w:color w:val="auto"/>
          <w:sz w:val="24"/>
          <w:highlight w:val="none"/>
        </w:rPr>
        <w:t>调整。</w:t>
      </w:r>
    </w:p>
    <w:p w14:paraId="41332553">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关于各可调因子、定值和变值权重，以及基本价格指数及其来源的约定：</w:t>
      </w:r>
      <w:r>
        <w:rPr>
          <w:rFonts w:hint="eastAsia" w:eastAsia="仿宋_GB2312"/>
          <w:color w:val="auto"/>
          <w:sz w:val="24"/>
          <w:highlight w:val="none"/>
          <w:u w:val="single"/>
        </w:rPr>
        <w:t xml:space="preserve">  /  </w:t>
      </w:r>
      <w:r>
        <w:rPr>
          <w:rFonts w:eastAsia="仿宋_GB2312"/>
          <w:color w:val="auto"/>
          <w:sz w:val="24"/>
          <w:highlight w:val="none"/>
        </w:rPr>
        <w:t xml:space="preserve">；  </w:t>
      </w:r>
    </w:p>
    <w:p w14:paraId="622BACD4">
      <w:pPr>
        <w:adjustRightInd/>
        <w:spacing w:line="300" w:lineRule="auto"/>
        <w:ind w:firstLine="480" w:firstLineChars="200"/>
        <w:rPr>
          <w:rFonts w:eastAsia="仿宋_GB2312"/>
          <w:color w:val="auto"/>
          <w:sz w:val="24"/>
          <w:highlight w:val="none"/>
        </w:rPr>
      </w:pPr>
      <w:r>
        <w:rPr>
          <w:rFonts w:eastAsia="仿宋_GB2312"/>
          <w:color w:val="auto"/>
          <w:sz w:val="24"/>
          <w:highlight w:val="none"/>
        </w:rPr>
        <w:t>第2种方式：采用造价信息</w:t>
      </w:r>
      <w:r>
        <w:rPr>
          <w:rFonts w:hint="eastAsia" w:eastAsia="仿宋_GB2312"/>
          <w:color w:val="auto"/>
          <w:sz w:val="24"/>
          <w:highlight w:val="none"/>
        </w:rPr>
        <w:t>进行价格</w:t>
      </w:r>
      <w:r>
        <w:rPr>
          <w:rFonts w:eastAsia="仿宋_GB2312"/>
          <w:color w:val="auto"/>
          <w:sz w:val="24"/>
          <w:highlight w:val="none"/>
        </w:rPr>
        <w:t>调整。</w:t>
      </w:r>
    </w:p>
    <w:p w14:paraId="40922C63">
      <w:pPr>
        <w:adjustRightInd/>
        <w:spacing w:line="300" w:lineRule="auto"/>
        <w:ind w:firstLine="480" w:firstLineChars="200"/>
        <w:rPr>
          <w:rFonts w:eastAsia="仿宋_GB2312"/>
          <w:color w:val="auto"/>
          <w:sz w:val="24"/>
          <w:highlight w:val="none"/>
        </w:rPr>
      </w:pPr>
      <w:r>
        <w:rPr>
          <w:rFonts w:eastAsia="仿宋_GB2312"/>
          <w:color w:val="auto"/>
          <w:sz w:val="24"/>
          <w:highlight w:val="none"/>
        </w:rPr>
        <w:t>（2）关于基准价格的约定：</w:t>
      </w:r>
      <w:r>
        <w:rPr>
          <w:rFonts w:hint="eastAsia" w:eastAsia="仿宋_GB2312"/>
          <w:color w:val="auto"/>
          <w:sz w:val="24"/>
          <w:highlight w:val="none"/>
          <w:u w:val="single"/>
        </w:rPr>
        <w:t xml:space="preserve">  /  </w:t>
      </w:r>
      <w:r>
        <w:rPr>
          <w:rFonts w:eastAsia="仿宋_GB2312"/>
          <w:color w:val="auto"/>
          <w:sz w:val="24"/>
          <w:highlight w:val="none"/>
        </w:rPr>
        <w:t>。</w:t>
      </w:r>
    </w:p>
    <w:p w14:paraId="42BDB6F8">
      <w:pPr>
        <w:adjustRightInd/>
        <w:spacing w:line="300" w:lineRule="auto"/>
        <w:ind w:firstLine="482" w:firstLineChars="200"/>
        <w:rPr>
          <w:rFonts w:hint="eastAsia" w:ascii="仿宋_GB2312" w:hAnsi="黑体" w:eastAsia="仿宋_GB2312"/>
          <w:b/>
          <w:color w:val="auto"/>
          <w:sz w:val="24"/>
          <w:highlight w:val="none"/>
        </w:rPr>
      </w:pPr>
      <w:r>
        <w:rPr>
          <w:rFonts w:ascii="仿宋_GB2312" w:hAnsi="黑体" w:eastAsia="仿宋_GB2312"/>
          <w:b/>
          <w:color w:val="auto"/>
          <w:sz w:val="24"/>
          <w:highlight w:val="none"/>
        </w:rPr>
        <w:t>第3种方式：</w:t>
      </w:r>
      <w:r>
        <w:rPr>
          <w:rFonts w:hint="eastAsia" w:ascii="仿宋_GB2312" w:hAnsi="黑体" w:eastAsia="仿宋_GB2312"/>
          <w:b/>
          <w:color w:val="auto"/>
          <w:sz w:val="24"/>
          <w:highlight w:val="none"/>
        </w:rPr>
        <w:t>采用政策性文件进行价格调整。</w:t>
      </w:r>
    </w:p>
    <w:p w14:paraId="03211C3E">
      <w:pPr>
        <w:adjustRightInd/>
        <w:spacing w:line="300" w:lineRule="auto"/>
        <w:ind w:firstLine="482" w:firstLineChars="200"/>
        <w:rPr>
          <w:rFonts w:hint="eastAsia" w:ascii="仿宋_GB2312" w:hAnsi="黑体" w:eastAsia="仿宋_GB2312"/>
          <w:b/>
          <w:color w:val="auto"/>
          <w:sz w:val="24"/>
          <w:highlight w:val="none"/>
        </w:rPr>
      </w:pPr>
      <w:r>
        <w:rPr>
          <w:rFonts w:hint="eastAsia" w:ascii="仿宋_GB2312" w:hAnsi="黑体" w:eastAsia="仿宋_GB2312"/>
          <w:b/>
          <w:color w:val="auto"/>
          <w:sz w:val="24"/>
          <w:highlight w:val="none"/>
        </w:rPr>
        <w:t>政府投资工程因市场价格波动引起的调整按以下</w:t>
      </w:r>
      <w:r>
        <w:rPr>
          <w:rFonts w:hint="eastAsia" w:ascii="仿宋_GB2312" w:hAnsi="黑体" w:eastAsia="仿宋_GB2312"/>
          <w:b/>
          <w:color w:val="auto"/>
          <w:sz w:val="24"/>
          <w:highlight w:val="none"/>
          <w:u w:val="single"/>
        </w:rPr>
        <w:t>第（</w:t>
      </w:r>
      <w:r>
        <w:rPr>
          <w:rFonts w:hint="eastAsia" w:ascii="仿宋_GB2312" w:hAnsi="黑体" w:eastAsia="仿宋_GB2312"/>
          <w:color w:val="auto"/>
          <w:sz w:val="24"/>
          <w:highlight w:val="none"/>
          <w:u w:val="single"/>
        </w:rPr>
        <w:t>一</w:t>
      </w:r>
      <w:r>
        <w:rPr>
          <w:rFonts w:hint="eastAsia" w:ascii="仿宋_GB2312" w:hAnsi="黑体" w:eastAsia="仿宋_GB2312"/>
          <w:b/>
          <w:color w:val="auto"/>
          <w:sz w:val="24"/>
          <w:highlight w:val="none"/>
          <w:u w:val="single"/>
        </w:rPr>
        <w:t>）种方式</w:t>
      </w:r>
      <w:r>
        <w:rPr>
          <w:rFonts w:hint="eastAsia" w:ascii="仿宋_GB2312" w:hAnsi="黑体" w:eastAsia="仿宋_GB2312"/>
          <w:b/>
          <w:color w:val="auto"/>
          <w:sz w:val="24"/>
          <w:highlight w:val="none"/>
        </w:rPr>
        <w:t>约定执行：</w:t>
      </w:r>
    </w:p>
    <w:p w14:paraId="28452954">
      <w:pPr>
        <w:adjustRightInd/>
        <w:spacing w:line="300" w:lineRule="auto"/>
        <w:ind w:firstLine="645"/>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（一）</w:t>
      </w:r>
      <w:r>
        <w:rPr>
          <w:rFonts w:ascii="仿宋_GB2312" w:hAnsi="黑体" w:eastAsia="仿宋_GB2312"/>
          <w:b/>
          <w:color w:val="auto"/>
          <w:sz w:val="24"/>
          <w:highlight w:val="none"/>
          <w:u w:val="single"/>
        </w:rPr>
        <w:t>按</w:t>
      </w:r>
      <w:r>
        <w:rPr>
          <w:rFonts w:hint="eastAsia" w:ascii="仿宋_GB2312" w:hAnsi="黑体" w:eastAsia="仿宋_GB2312"/>
          <w:b/>
          <w:color w:val="auto"/>
          <w:sz w:val="24"/>
          <w:highlight w:val="none"/>
          <w:u w:val="single"/>
        </w:rPr>
        <w:t>《关于进一步加强杭州市建设工程市场要素价格动态管理的指导意见》（杭建市发〔2018〕579号</w:t>
      </w:r>
      <w:r>
        <w:rPr>
          <w:rFonts w:ascii="仿宋_GB2312" w:hAnsi="黑体" w:eastAsia="仿宋_GB2312"/>
          <w:b/>
          <w:color w:val="auto"/>
          <w:sz w:val="24"/>
          <w:highlight w:val="none"/>
          <w:u w:val="single"/>
        </w:rPr>
        <w:t>）执行</w:t>
      </w:r>
      <w:r>
        <w:rPr>
          <w:rFonts w:hint="eastAsia" w:ascii="仿宋_GB2312" w:hAnsi="黑体" w:eastAsia="仿宋_GB2312"/>
          <w:b/>
          <w:color w:val="auto"/>
          <w:sz w:val="24"/>
          <w:highlight w:val="none"/>
          <w:u w:val="single"/>
        </w:rPr>
        <w:t>《关于增值税调整后我省建设工程计价依据增值税税率及有关计价调整的通知》（浙建建发【2019】92 号）执行 ；</w:t>
      </w:r>
    </w:p>
    <w:p w14:paraId="004F34D8">
      <w:pPr>
        <w:adjustRightInd/>
        <w:spacing w:line="300" w:lineRule="auto"/>
        <w:ind w:firstLine="645"/>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 xml:space="preserve">（二）其他：                            </w:t>
      </w:r>
      <w:r>
        <w:rPr>
          <w:rFonts w:hint="eastAsia" w:ascii="仿宋_GB2312" w:hAnsi="黑体" w:eastAsia="仿宋_GB2312"/>
          <w:b/>
          <w:color w:val="auto"/>
          <w:sz w:val="24"/>
          <w:highlight w:val="none"/>
        </w:rPr>
        <w:t>。</w:t>
      </w:r>
    </w:p>
    <w:p w14:paraId="79AAE4DC">
      <w:pPr>
        <w:adjustRightInd/>
        <w:spacing w:line="300" w:lineRule="auto"/>
        <w:rPr>
          <w:rFonts w:hint="eastAsia" w:ascii="仿宋_GB2312" w:hAnsi="黑体" w:eastAsia="仿宋_GB2312"/>
          <w:b/>
          <w:color w:val="auto"/>
          <w:sz w:val="24"/>
          <w:highlight w:val="none"/>
        </w:rPr>
      </w:pPr>
      <w:r>
        <w:rPr>
          <w:rFonts w:hint="eastAsia" w:ascii="仿宋_GB2312" w:hAnsi="黑体" w:eastAsia="仿宋_GB2312"/>
          <w:b/>
          <w:color w:val="auto"/>
          <w:sz w:val="24"/>
          <w:highlight w:val="none"/>
        </w:rPr>
        <w:t>其中：</w:t>
      </w:r>
    </w:p>
    <w:p w14:paraId="2C1AB413">
      <w:pPr>
        <w:snapToGrid w:val="0"/>
        <w:spacing w:line="300" w:lineRule="auto"/>
        <w:ind w:firstLine="482" w:firstLineChars="200"/>
        <w:jc w:val="left"/>
        <w:rPr>
          <w:rFonts w:hint="eastAsia" w:ascii="仿宋_GB2312" w:hAnsi="黑体" w:eastAsia="仿宋_GB2312"/>
          <w:b/>
          <w:color w:val="auto"/>
          <w:sz w:val="24"/>
          <w:highlight w:val="none"/>
        </w:rPr>
      </w:pPr>
      <w:r>
        <w:rPr>
          <w:rFonts w:hint="eastAsia" w:ascii="仿宋_GB2312" w:hAnsi="黑体" w:eastAsia="仿宋_GB2312"/>
          <w:b/>
          <w:color w:val="auto"/>
          <w:sz w:val="24"/>
          <w:highlight w:val="none"/>
        </w:rPr>
        <w:t>1、风险范围及幅度的约定：</w:t>
      </w:r>
    </w:p>
    <w:p w14:paraId="177B1133">
      <w:pPr>
        <w:snapToGrid w:val="0"/>
        <w:spacing w:line="300" w:lineRule="auto"/>
        <w:ind w:firstLine="482" w:firstLineChars="200"/>
        <w:jc w:val="left"/>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（1）人工费的风险幅度（</w:t>
      </w:r>
      <w:r>
        <w:rPr>
          <w:rFonts w:hint="eastAsia" w:ascii="仿宋_GB2312" w:hAnsi="黑体" w:eastAsia="仿宋_GB2312"/>
          <w:color w:val="auto"/>
          <w:sz w:val="24"/>
          <w:highlight w:val="none"/>
          <w:u w:val="single"/>
        </w:rPr>
        <w:t>5</w:t>
      </w:r>
      <w:r>
        <w:rPr>
          <w:rFonts w:hint="eastAsia" w:ascii="仿宋_GB2312" w:hAnsi="黑体" w:eastAsia="仿宋_GB2312"/>
          <w:b/>
          <w:color w:val="auto"/>
          <w:sz w:val="24"/>
          <w:highlight w:val="none"/>
          <w:u w:val="single"/>
        </w:rPr>
        <w:t>%）</w:t>
      </w:r>
    </w:p>
    <w:p w14:paraId="674F9243">
      <w:pPr>
        <w:snapToGrid w:val="0"/>
        <w:spacing w:line="300" w:lineRule="auto"/>
        <w:ind w:firstLine="482" w:firstLineChars="200"/>
        <w:jc w:val="left"/>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（2）材料价格的风险幅度（</w:t>
      </w:r>
      <w:r>
        <w:rPr>
          <w:rFonts w:hint="eastAsia" w:ascii="仿宋_GB2312" w:hAnsi="黑体" w:eastAsia="仿宋_GB2312"/>
          <w:color w:val="auto"/>
          <w:sz w:val="24"/>
          <w:highlight w:val="none"/>
          <w:u w:val="single"/>
        </w:rPr>
        <w:t>5</w:t>
      </w:r>
      <w:r>
        <w:rPr>
          <w:rFonts w:hint="eastAsia" w:ascii="仿宋_GB2312" w:hAnsi="黑体" w:eastAsia="仿宋_GB2312"/>
          <w:b/>
          <w:color w:val="auto"/>
          <w:sz w:val="24"/>
          <w:highlight w:val="none"/>
          <w:u w:val="single"/>
        </w:rPr>
        <w:t>%）</w:t>
      </w:r>
    </w:p>
    <w:p w14:paraId="72AB1224">
      <w:pPr>
        <w:snapToGrid w:val="0"/>
        <w:spacing w:line="300" w:lineRule="auto"/>
        <w:ind w:firstLine="482" w:firstLineChars="200"/>
        <w:jc w:val="left"/>
        <w:rPr>
          <w:rFonts w:hint="eastAsia" w:ascii="仿宋_GB2312" w:hAnsi="黑体" w:eastAsia="仿宋_GB2312"/>
          <w:b/>
          <w:color w:val="auto"/>
          <w:sz w:val="24"/>
          <w:highlight w:val="none"/>
        </w:rPr>
      </w:pPr>
      <w:r>
        <w:rPr>
          <w:rFonts w:hint="eastAsia" w:ascii="仿宋_GB2312" w:hAnsi="黑体" w:eastAsia="仿宋_GB2312"/>
          <w:b/>
          <w:color w:val="auto"/>
          <w:sz w:val="24"/>
          <w:highlight w:val="none"/>
        </w:rPr>
        <w:t>2、材料价款动态调整结算方式采用以下</w:t>
      </w:r>
      <w:r>
        <w:rPr>
          <w:rFonts w:hint="eastAsia" w:ascii="仿宋_GB2312" w:hAnsi="黑体" w:eastAsia="仿宋_GB2312"/>
          <w:b/>
          <w:color w:val="auto"/>
          <w:sz w:val="24"/>
          <w:highlight w:val="none"/>
          <w:u w:val="single"/>
        </w:rPr>
        <w:t>第（</w:t>
      </w:r>
      <w:r>
        <w:rPr>
          <w:rFonts w:hint="eastAsia" w:ascii="仿宋_GB2312" w:hAnsi="黑体" w:eastAsia="仿宋_GB2312"/>
          <w:color w:val="auto"/>
          <w:sz w:val="24"/>
          <w:highlight w:val="none"/>
          <w:u w:val="single"/>
        </w:rPr>
        <w:t>3</w:t>
      </w:r>
      <w:r>
        <w:rPr>
          <w:rFonts w:hint="eastAsia" w:ascii="仿宋_GB2312" w:hAnsi="黑体" w:eastAsia="仿宋_GB2312"/>
          <w:b/>
          <w:color w:val="auto"/>
          <w:sz w:val="24"/>
          <w:highlight w:val="none"/>
          <w:u w:val="single"/>
        </w:rPr>
        <w:t>）种方式</w:t>
      </w:r>
      <w:r>
        <w:rPr>
          <w:rFonts w:hint="eastAsia" w:ascii="仿宋_GB2312" w:hAnsi="黑体" w:eastAsia="仿宋_GB2312"/>
          <w:b/>
          <w:color w:val="auto"/>
          <w:sz w:val="24"/>
          <w:highlight w:val="none"/>
        </w:rPr>
        <w:t>约定：</w:t>
      </w:r>
    </w:p>
    <w:p w14:paraId="27E3EE4F">
      <w:pPr>
        <w:snapToGrid w:val="0"/>
        <w:spacing w:line="300" w:lineRule="auto"/>
        <w:ind w:firstLine="482" w:firstLineChars="200"/>
        <w:jc w:val="left"/>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 xml:space="preserve">（1）按时间进度分段结算。   </w:t>
      </w:r>
    </w:p>
    <w:p w14:paraId="6E3A10A8">
      <w:pPr>
        <w:snapToGrid w:val="0"/>
        <w:spacing w:line="300" w:lineRule="auto"/>
        <w:ind w:firstLine="482" w:firstLineChars="200"/>
        <w:jc w:val="left"/>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（2）按工程形象部位(目标)分段结算。</w:t>
      </w:r>
    </w:p>
    <w:p w14:paraId="449DF391">
      <w:pPr>
        <w:snapToGrid w:val="0"/>
        <w:spacing w:line="300" w:lineRule="auto"/>
        <w:ind w:firstLine="482" w:firstLineChars="200"/>
        <w:jc w:val="left"/>
        <w:rPr>
          <w:rFonts w:hint="eastAsia" w:ascii="仿宋_GB2312" w:hAnsi="黑体" w:eastAsia="仿宋_GB2312"/>
          <w:b/>
          <w:color w:val="auto"/>
          <w:sz w:val="24"/>
          <w:highlight w:val="none"/>
        </w:rPr>
      </w:pPr>
      <w:r>
        <w:rPr>
          <w:rFonts w:hint="eastAsia" w:ascii="仿宋_GB2312" w:hAnsi="黑体" w:eastAsia="仿宋_GB2312"/>
          <w:b/>
          <w:color w:val="auto"/>
          <w:sz w:val="24"/>
          <w:highlight w:val="none"/>
          <w:u w:val="single"/>
        </w:rPr>
        <w:t>（3）竣工后一次性结算</w:t>
      </w:r>
      <w:r>
        <w:rPr>
          <w:rFonts w:hint="eastAsia" w:ascii="仿宋_GB2312" w:hAnsi="黑体" w:eastAsia="仿宋_GB2312"/>
          <w:b/>
          <w:color w:val="auto"/>
          <w:sz w:val="24"/>
          <w:highlight w:val="none"/>
        </w:rPr>
        <w:t>。</w:t>
      </w:r>
    </w:p>
    <w:bookmarkEnd w:id="745"/>
    <w:bookmarkEnd w:id="746"/>
    <w:bookmarkEnd w:id="747"/>
    <w:bookmarkEnd w:id="748"/>
    <w:bookmarkEnd w:id="749"/>
    <w:bookmarkEnd w:id="750"/>
    <w:p w14:paraId="7A95E94C">
      <w:pPr>
        <w:pStyle w:val="8"/>
        <w:spacing w:before="0" w:after="0" w:line="300" w:lineRule="auto"/>
        <w:rPr>
          <w:color w:val="auto"/>
          <w:sz w:val="24"/>
          <w:szCs w:val="24"/>
          <w:highlight w:val="none"/>
        </w:rPr>
      </w:pPr>
      <w:bookmarkStart w:id="852" w:name="_Toc296891033"/>
      <w:bookmarkStart w:id="853" w:name="_Toc296346706"/>
      <w:bookmarkStart w:id="854" w:name="_Toc292559915"/>
      <w:bookmarkStart w:id="855" w:name="_Toc296891245"/>
      <w:bookmarkStart w:id="856" w:name="_Toc292559410"/>
      <w:bookmarkStart w:id="857" w:name="_Toc297120505"/>
      <w:bookmarkStart w:id="858" w:name="_Toc296944544"/>
      <w:bookmarkStart w:id="859" w:name="_Toc296347204"/>
      <w:bookmarkStart w:id="860" w:name="_Toc297048391"/>
      <w:bookmarkStart w:id="861" w:name="_Toc296503205"/>
      <w:bookmarkStart w:id="862" w:name="_Toc304295579"/>
      <w:bookmarkStart w:id="863" w:name="_Toc300935002"/>
      <w:bookmarkStart w:id="864" w:name="_Toc297123552"/>
      <w:bookmarkStart w:id="865" w:name="_Toc351203644"/>
      <w:bookmarkStart w:id="866" w:name="_Toc303539159"/>
      <w:bookmarkStart w:id="867" w:name="_Toc297216211"/>
      <w:bookmarkStart w:id="868" w:name="_Toc312678040"/>
      <w:r>
        <w:rPr>
          <w:color w:val="auto"/>
          <w:sz w:val="24"/>
          <w:szCs w:val="24"/>
          <w:highlight w:val="none"/>
        </w:rPr>
        <w:t xml:space="preserve">12. </w:t>
      </w:r>
      <w:bookmarkEnd w:id="852"/>
      <w:bookmarkEnd w:id="853"/>
      <w:bookmarkEnd w:id="854"/>
      <w:bookmarkEnd w:id="855"/>
      <w:bookmarkEnd w:id="856"/>
      <w:bookmarkEnd w:id="857"/>
      <w:bookmarkEnd w:id="858"/>
      <w:bookmarkEnd w:id="859"/>
      <w:bookmarkEnd w:id="860"/>
      <w:bookmarkEnd w:id="861"/>
      <w:r>
        <w:rPr>
          <w:color w:val="auto"/>
          <w:sz w:val="24"/>
          <w:szCs w:val="24"/>
          <w:highlight w:val="none"/>
        </w:rPr>
        <w:t>合同价格、计量与支付</w:t>
      </w:r>
      <w:bookmarkEnd w:id="862"/>
      <w:bookmarkEnd w:id="863"/>
      <w:bookmarkEnd w:id="864"/>
      <w:bookmarkEnd w:id="865"/>
      <w:bookmarkEnd w:id="866"/>
      <w:bookmarkEnd w:id="867"/>
      <w:bookmarkEnd w:id="868"/>
      <w:bookmarkStart w:id="869" w:name="_Toc292559411"/>
      <w:bookmarkStart w:id="870" w:name="_Toc292559916"/>
      <w:bookmarkStart w:id="871" w:name="_Toc267251461"/>
      <w:bookmarkStart w:id="872" w:name="_Toc297120506"/>
      <w:bookmarkStart w:id="873" w:name="_Toc297048392"/>
      <w:bookmarkStart w:id="874" w:name="_Toc296891246"/>
      <w:bookmarkStart w:id="875" w:name="_Toc296503206"/>
      <w:bookmarkStart w:id="876" w:name="_Toc296891034"/>
      <w:bookmarkStart w:id="877" w:name="_Toc296347205"/>
      <w:bookmarkStart w:id="878" w:name="_Toc296944545"/>
      <w:bookmarkStart w:id="879" w:name="_Toc296346707"/>
      <w:bookmarkStart w:id="880" w:name="_Toc300935003"/>
      <w:bookmarkStart w:id="881" w:name="_Toc297216212"/>
      <w:bookmarkStart w:id="882" w:name="_Toc297123553"/>
      <w:bookmarkStart w:id="883" w:name="_Toc312678041"/>
      <w:bookmarkStart w:id="884" w:name="_Toc304295580"/>
      <w:bookmarkStart w:id="885" w:name="_Toc303539160"/>
    </w:p>
    <w:p w14:paraId="642410D4">
      <w:pPr>
        <w:pStyle w:val="8"/>
        <w:spacing w:before="0" w:after="0" w:line="300" w:lineRule="auto"/>
        <w:ind w:left="876" w:leftChars="176" w:hanging="506" w:hangingChars="210"/>
        <w:rPr>
          <w:rFonts w:ascii="Times New Roman" w:hAnsi="Times New Roman"/>
          <w:b w:val="0"/>
          <w:color w:val="auto"/>
          <w:sz w:val="24"/>
          <w:szCs w:val="24"/>
          <w:highlight w:val="none"/>
        </w:rPr>
      </w:pPr>
      <w:r>
        <w:rPr>
          <w:color w:val="auto"/>
          <w:sz w:val="24"/>
          <w:szCs w:val="24"/>
          <w:highlight w:val="none"/>
        </w:rPr>
        <w:t>12.1 合</w:t>
      </w:r>
      <w:bookmarkEnd w:id="869"/>
      <w:bookmarkEnd w:id="870"/>
      <w:bookmarkEnd w:id="871"/>
      <w:r>
        <w:rPr>
          <w:color w:val="auto"/>
          <w:sz w:val="24"/>
          <w:szCs w:val="24"/>
          <w:highlight w:val="none"/>
        </w:rPr>
        <w:t>同价</w:t>
      </w:r>
      <w:bookmarkEnd w:id="872"/>
      <w:bookmarkEnd w:id="873"/>
      <w:bookmarkEnd w:id="874"/>
      <w:bookmarkEnd w:id="875"/>
      <w:bookmarkEnd w:id="876"/>
      <w:bookmarkEnd w:id="877"/>
      <w:bookmarkEnd w:id="878"/>
      <w:bookmarkEnd w:id="879"/>
      <w:r>
        <w:rPr>
          <w:color w:val="auto"/>
          <w:sz w:val="24"/>
          <w:szCs w:val="24"/>
          <w:highlight w:val="none"/>
        </w:rPr>
        <w:t>格形式</w:t>
      </w:r>
    </w:p>
    <w:bookmarkEnd w:id="880"/>
    <w:bookmarkEnd w:id="881"/>
    <w:bookmarkEnd w:id="882"/>
    <w:bookmarkEnd w:id="883"/>
    <w:bookmarkEnd w:id="884"/>
    <w:bookmarkEnd w:id="885"/>
    <w:p w14:paraId="56A6778C">
      <w:pPr>
        <w:adjustRightInd/>
        <w:spacing w:line="300" w:lineRule="auto"/>
        <w:ind w:firstLine="480" w:firstLineChars="200"/>
        <w:rPr>
          <w:rFonts w:eastAsia="仿宋_GB2312"/>
          <w:color w:val="auto"/>
          <w:sz w:val="24"/>
          <w:highlight w:val="none"/>
        </w:rPr>
      </w:pPr>
      <w:r>
        <w:rPr>
          <w:rFonts w:eastAsia="仿宋_GB2312"/>
          <w:color w:val="auto"/>
          <w:sz w:val="24"/>
          <w:highlight w:val="none"/>
        </w:rPr>
        <w:t>1、单价合同。</w:t>
      </w:r>
    </w:p>
    <w:p w14:paraId="4B450A3A">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综合单价包含的风险范围：</w:t>
      </w:r>
    </w:p>
    <w:p w14:paraId="32A64124">
      <w:pPr>
        <w:adjustRightInd/>
        <w:spacing w:line="300" w:lineRule="auto"/>
        <w:ind w:firstLine="480" w:firstLineChars="200"/>
        <w:rPr>
          <w:rFonts w:ascii="仿宋_GB2312" w:eastAsia="仿宋_GB2312"/>
          <w:bCs/>
          <w:color w:val="auto"/>
          <w:sz w:val="24"/>
          <w:highlight w:val="none"/>
          <w:u w:val="single"/>
        </w:rPr>
      </w:pPr>
      <w:r>
        <w:rPr>
          <w:rFonts w:hint="eastAsia" w:ascii="仿宋_GB2312" w:eastAsia="仿宋_GB2312"/>
          <w:bCs/>
          <w:color w:val="auto"/>
          <w:sz w:val="24"/>
          <w:highlight w:val="none"/>
        </w:rPr>
        <w:t>（1）</w:t>
      </w:r>
      <w:r>
        <w:rPr>
          <w:rFonts w:hint="eastAsia" w:ascii="仿宋_GB2312" w:eastAsia="仿宋_GB2312"/>
          <w:bCs/>
          <w:color w:val="auto"/>
          <w:sz w:val="24"/>
          <w:highlight w:val="none"/>
          <w:u w:val="single"/>
        </w:rPr>
        <w:t>应由承包人承担的工、料、机在投标编制期或预算书编制期与合同实施期间所发生的市场价格波动。</w:t>
      </w:r>
    </w:p>
    <w:p w14:paraId="2F1DD566">
      <w:pPr>
        <w:adjustRightInd/>
        <w:spacing w:line="300" w:lineRule="auto"/>
        <w:ind w:firstLine="480" w:firstLineChars="200"/>
        <w:rPr>
          <w:rFonts w:ascii="黑体" w:eastAsia="仿宋_GB2312"/>
          <w:bCs/>
          <w:color w:val="auto"/>
          <w:sz w:val="24"/>
          <w:highlight w:val="none"/>
          <w:u w:val="single"/>
        </w:rPr>
      </w:pPr>
      <w:r>
        <w:rPr>
          <w:rFonts w:hint="eastAsia" w:ascii="仿宋_GB2312" w:eastAsia="仿宋_GB2312"/>
          <w:bCs/>
          <w:color w:val="auto"/>
          <w:sz w:val="24"/>
          <w:highlight w:val="none"/>
        </w:rPr>
        <w:t>（2）</w:t>
      </w:r>
      <w:r>
        <w:rPr>
          <w:rFonts w:hint="eastAsia" w:ascii="黑体" w:eastAsia="仿宋_GB2312"/>
          <w:bCs/>
          <w:color w:val="auto"/>
          <w:sz w:val="24"/>
          <w:highlight w:val="none"/>
          <w:u w:val="single"/>
        </w:rPr>
        <w:t>其他：a、承包人可以或应该能预见的风险（诸如中、高考引起的停工）；b、现行预算定额或计价规范未描述到，但又是完成分项工程必须有的工作内容，均应包括在报价内；c、材料价格的正常波动（合同约定的风险幅度范围内的涨跌）；d、施工期间非连续8小时停水、停电引起的费用增加；e、投标不平衡报价风险。</w:t>
      </w:r>
    </w:p>
    <w:p w14:paraId="2690834C">
      <w:pPr>
        <w:adjustRightInd/>
        <w:spacing w:line="300" w:lineRule="auto"/>
        <w:ind w:firstLine="480" w:firstLineChars="200"/>
        <w:rPr>
          <w:rFonts w:ascii="黑体" w:eastAsia="仿宋_GB2312"/>
          <w:bCs/>
          <w:color w:val="auto"/>
          <w:sz w:val="24"/>
          <w:highlight w:val="none"/>
          <w:u w:val="single"/>
        </w:rPr>
      </w:pPr>
      <w:r>
        <w:rPr>
          <w:rFonts w:hint="eastAsia" w:eastAsia="仿宋_GB2312"/>
          <w:color w:val="auto"/>
          <w:sz w:val="24"/>
          <w:highlight w:val="none"/>
        </w:rPr>
        <w:t>风险费用的计算方法</w:t>
      </w:r>
      <w:r>
        <w:rPr>
          <w:rFonts w:eastAsia="仿宋_GB2312"/>
          <w:color w:val="auto"/>
          <w:sz w:val="24"/>
          <w:highlight w:val="none"/>
        </w:rPr>
        <w:t>：</w:t>
      </w:r>
      <w:r>
        <w:rPr>
          <w:rFonts w:hint="eastAsia" w:ascii="黑体" w:eastAsia="仿宋_GB2312"/>
          <w:bCs/>
          <w:color w:val="auto"/>
          <w:sz w:val="24"/>
          <w:highlight w:val="none"/>
          <w:u w:val="single"/>
        </w:rPr>
        <w:t>以上风险费用已在投标报价时考虑，不再另行计取。</w:t>
      </w:r>
    </w:p>
    <w:p w14:paraId="1109BAE7">
      <w:pPr>
        <w:pStyle w:val="45"/>
        <w:tabs>
          <w:tab w:val="right" w:leader="dot" w:pos="8296"/>
        </w:tabs>
        <w:rPr>
          <w:rFonts w:eastAsia="仿宋_GB2312"/>
          <w:color w:val="auto"/>
          <w:sz w:val="24"/>
          <w:highlight w:val="none"/>
        </w:rPr>
      </w:pPr>
      <w:r>
        <w:rPr>
          <w:rFonts w:hint="eastAsia" w:eastAsia="仿宋_GB2312"/>
          <w:color w:val="auto"/>
          <w:sz w:val="24"/>
          <w:highlight w:val="none"/>
        </w:rPr>
        <w:t>风险范围以外合同价格的调整方法：</w:t>
      </w:r>
    </w:p>
    <w:p w14:paraId="3D53DD8D">
      <w:pPr>
        <w:adjustRightInd/>
        <w:spacing w:line="300" w:lineRule="auto"/>
        <w:ind w:firstLine="482" w:firstLineChars="200"/>
        <w:rPr>
          <w:rFonts w:hint="eastAsia" w:ascii="黑体" w:hAnsi="黑体" w:eastAsia="仿宋_GB2312"/>
          <w:b/>
          <w:color w:val="auto"/>
          <w:sz w:val="24"/>
          <w:highlight w:val="none"/>
          <w:u w:val="single"/>
        </w:rPr>
      </w:pPr>
      <w:r>
        <w:rPr>
          <w:rFonts w:hint="eastAsia" w:ascii="仿宋_GB2312" w:eastAsia="仿宋_GB2312"/>
          <w:b/>
          <w:color w:val="auto"/>
          <w:sz w:val="24"/>
          <w:highlight w:val="none"/>
        </w:rPr>
        <w:t>（1）</w:t>
      </w:r>
      <w:r>
        <w:rPr>
          <w:rFonts w:hint="eastAsia" w:ascii="黑体" w:hAnsi="黑体" w:eastAsia="仿宋_GB2312"/>
          <w:b/>
          <w:color w:val="auto"/>
          <w:sz w:val="24"/>
          <w:highlight w:val="none"/>
          <w:u w:val="single"/>
        </w:rPr>
        <w:t>市场价格波动引起的调整按本合同11.1第3种方式的约定计算</w:t>
      </w:r>
      <w:r>
        <w:rPr>
          <w:rFonts w:hint="eastAsia" w:ascii="黑体" w:hAnsi="黑体" w:eastAsia="仿宋_GB2312"/>
          <w:b/>
          <w:color w:val="auto"/>
          <w:sz w:val="24"/>
          <w:highlight w:val="none"/>
        </w:rPr>
        <w:t>。</w:t>
      </w:r>
    </w:p>
    <w:p w14:paraId="55673573">
      <w:pPr>
        <w:adjustRightInd/>
        <w:spacing w:line="300" w:lineRule="auto"/>
        <w:ind w:firstLine="504" w:firstLineChars="209"/>
        <w:rPr>
          <w:rFonts w:hint="eastAsia" w:ascii="黑体" w:hAnsi="黑体" w:eastAsia="仿宋_GB2312"/>
          <w:b/>
          <w:color w:val="auto"/>
          <w:sz w:val="24"/>
          <w:highlight w:val="none"/>
          <w:u w:val="single"/>
        </w:rPr>
      </w:pPr>
      <w:r>
        <w:rPr>
          <w:rFonts w:hint="eastAsia" w:ascii="仿宋_GB2312" w:hAnsi="黑体" w:eastAsia="仿宋_GB2312"/>
          <w:b/>
          <w:color w:val="auto"/>
          <w:sz w:val="24"/>
          <w:highlight w:val="none"/>
        </w:rPr>
        <w:t>（2）</w:t>
      </w:r>
      <w:r>
        <w:rPr>
          <w:rFonts w:hint="eastAsia" w:ascii="黑体" w:hAnsi="黑体" w:eastAsia="仿宋_GB2312"/>
          <w:b/>
          <w:color w:val="auto"/>
          <w:sz w:val="24"/>
          <w:highlight w:val="none"/>
          <w:u w:val="single"/>
        </w:rPr>
        <w:t>其他：</w:t>
      </w:r>
    </w:p>
    <w:p w14:paraId="737A64B3">
      <w:pPr>
        <w:adjustRightInd/>
        <w:spacing w:line="300" w:lineRule="auto"/>
        <w:ind w:firstLine="504" w:firstLineChars="210"/>
        <w:rPr>
          <w:rFonts w:hint="eastAsia" w:ascii="黑体" w:hAnsi="黑体" w:eastAsia="仿宋_GB2312"/>
          <w:color w:val="auto"/>
          <w:sz w:val="24"/>
          <w:highlight w:val="none"/>
          <w:u w:val="single"/>
        </w:rPr>
      </w:pPr>
      <w:r>
        <w:rPr>
          <w:rFonts w:hint="eastAsia" w:ascii="黑体" w:hAnsi="黑体" w:eastAsia="仿宋_GB2312"/>
          <w:color w:val="auto"/>
          <w:sz w:val="24"/>
          <w:highlight w:val="none"/>
          <w:u w:val="single"/>
        </w:rPr>
        <w:t>a、工程量按照《建设工程工程量清单计价规范》（GB50500-2013）、《浙江省建筑工程工程量清单计价指引（2013 版）》规定计算；b、由于工程量清单计算偏差、设计变更、施工联系单签证等发生的工程量增减，按照</w:t>
      </w:r>
      <w:r>
        <w:rPr>
          <w:rFonts w:hint="eastAsia" w:ascii="仿宋_GB2312" w:eastAsia="仿宋_GB2312"/>
          <w:color w:val="auto"/>
          <w:sz w:val="24"/>
          <w:highlight w:val="none"/>
          <w:u w:val="single"/>
        </w:rPr>
        <w:t>《杭州市建设工程工程量清单计价实施细则》(杭建市发〔2018〕578号)</w:t>
      </w:r>
      <w:r>
        <w:rPr>
          <w:rFonts w:hint="eastAsia" w:ascii="黑体" w:hAnsi="黑体" w:eastAsia="仿宋_GB2312"/>
          <w:color w:val="auto"/>
          <w:sz w:val="24"/>
          <w:highlight w:val="none"/>
          <w:u w:val="single"/>
        </w:rPr>
        <w:t>相关规定执行（招标文件或合同中另有约定的除外）；c、承包人投标时，材料设备有推荐的，在工程实施过程中，当所有推荐的品牌、规格型号、产品系列因停产等原因导致市场均无法采购的，须经发包人同意后选用不低于投标时技术标准和要求的产品 。</w:t>
      </w:r>
    </w:p>
    <w:p w14:paraId="397624C2">
      <w:pPr>
        <w:adjustRightInd/>
        <w:spacing w:line="300" w:lineRule="auto"/>
        <w:ind w:firstLine="504" w:firstLineChars="210"/>
        <w:rPr>
          <w:rFonts w:eastAsia="仿宋_GB2312"/>
          <w:color w:val="auto"/>
          <w:sz w:val="24"/>
          <w:highlight w:val="none"/>
        </w:rPr>
      </w:pPr>
      <w:r>
        <w:rPr>
          <w:rFonts w:eastAsia="仿宋_GB2312"/>
          <w:color w:val="auto"/>
          <w:sz w:val="24"/>
          <w:highlight w:val="none"/>
        </w:rPr>
        <w:t>2、总价合同。</w:t>
      </w:r>
    </w:p>
    <w:p w14:paraId="046CF887">
      <w:pPr>
        <w:adjustRightInd/>
        <w:spacing w:line="300" w:lineRule="auto"/>
        <w:ind w:firstLine="480" w:firstLineChars="200"/>
        <w:rPr>
          <w:rFonts w:hint="eastAsia" w:ascii="仿宋_GB2312" w:hAnsi="仿宋_GB2312" w:eastAsia="仿宋_GB2312"/>
          <w:color w:val="auto"/>
          <w:sz w:val="24"/>
          <w:highlight w:val="none"/>
        </w:rPr>
      </w:pPr>
      <w:r>
        <w:rPr>
          <w:rFonts w:eastAsia="仿宋_GB2312"/>
          <w:color w:val="auto"/>
          <w:sz w:val="24"/>
          <w:highlight w:val="none"/>
        </w:rPr>
        <w:t>总价包含的风险范围</w:t>
      </w:r>
      <w:r>
        <w:rPr>
          <w:rFonts w:ascii="仿宋_GB2312" w:hAnsi="仿宋_GB2312" w:eastAsia="仿宋_GB2312"/>
          <w:color w:val="auto"/>
          <w:sz w:val="24"/>
          <w:highlight w:val="none"/>
        </w:rPr>
        <w:t>：</w:t>
      </w:r>
      <w:r>
        <w:rPr>
          <w:rFonts w:hint="eastAsia" w:ascii="仿宋_GB2312" w:hAnsi="仿宋_GB2312" w:eastAsia="仿宋_GB2312"/>
          <w:color w:val="auto"/>
          <w:sz w:val="24"/>
          <w:highlight w:val="none"/>
          <w:u w:val="single"/>
        </w:rPr>
        <w:t xml:space="preserve">         /        </w:t>
      </w:r>
      <w:r>
        <w:rPr>
          <w:rFonts w:eastAsia="仿宋_GB2312"/>
          <w:color w:val="auto"/>
          <w:sz w:val="24"/>
          <w:highlight w:val="none"/>
        </w:rPr>
        <w:t>。</w:t>
      </w:r>
    </w:p>
    <w:p w14:paraId="6387028C">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风险费用的计算方法：</w:t>
      </w:r>
      <w:r>
        <w:rPr>
          <w:rFonts w:hint="eastAsia" w:eastAsia="仿宋_GB2312"/>
          <w:color w:val="auto"/>
          <w:sz w:val="24"/>
          <w:highlight w:val="none"/>
          <w:u w:val="single"/>
        </w:rPr>
        <w:t xml:space="preserve">/   </w:t>
      </w:r>
      <w:r>
        <w:rPr>
          <w:rFonts w:eastAsia="仿宋_GB2312"/>
          <w:color w:val="auto"/>
          <w:sz w:val="24"/>
          <w:highlight w:val="none"/>
        </w:rPr>
        <w:t>。</w:t>
      </w:r>
    </w:p>
    <w:p w14:paraId="4D7994D8">
      <w:pPr>
        <w:adjustRightInd/>
        <w:spacing w:line="300" w:lineRule="auto"/>
        <w:ind w:firstLine="480" w:firstLineChars="200"/>
        <w:rPr>
          <w:rFonts w:hint="eastAsia" w:ascii="黑体" w:hAnsi="黑体" w:eastAsia="黑体"/>
          <w:b/>
          <w:color w:val="auto"/>
          <w:sz w:val="24"/>
          <w:highlight w:val="none"/>
          <w:u w:val="single"/>
        </w:rPr>
      </w:pPr>
      <w:r>
        <w:rPr>
          <w:rFonts w:eastAsia="仿宋_GB2312"/>
          <w:color w:val="auto"/>
          <w:sz w:val="24"/>
          <w:highlight w:val="none"/>
        </w:rPr>
        <w:t>风险范围以外合同价格的调整</w:t>
      </w:r>
      <w:r>
        <w:rPr>
          <w:rFonts w:hint="eastAsia" w:eastAsia="仿宋_GB2312"/>
          <w:color w:val="auto"/>
          <w:sz w:val="24"/>
          <w:highlight w:val="none"/>
        </w:rPr>
        <w:t>方法：</w:t>
      </w:r>
      <w:r>
        <w:rPr>
          <w:rFonts w:hint="eastAsia" w:eastAsia="仿宋_GB2312"/>
          <w:color w:val="auto"/>
          <w:sz w:val="24"/>
          <w:highlight w:val="none"/>
          <w:u w:val="single"/>
        </w:rPr>
        <w:t xml:space="preserve">     /         </w:t>
      </w:r>
      <w:r>
        <w:rPr>
          <w:rFonts w:ascii="黑体" w:hAnsi="黑体" w:eastAsia="黑体"/>
          <w:color w:val="auto"/>
          <w:sz w:val="24"/>
          <w:highlight w:val="none"/>
        </w:rPr>
        <w:t>。</w:t>
      </w:r>
    </w:p>
    <w:p w14:paraId="4C4FF018">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3、其他价格方式：</w:t>
      </w:r>
      <w:r>
        <w:rPr>
          <w:rFonts w:hint="eastAsia" w:eastAsia="仿宋_GB2312"/>
          <w:color w:val="auto"/>
          <w:sz w:val="24"/>
          <w:highlight w:val="none"/>
          <w:u w:val="single"/>
        </w:rPr>
        <w:t>/</w:t>
      </w:r>
      <w:r>
        <w:rPr>
          <w:rFonts w:eastAsia="仿宋_GB2312"/>
          <w:color w:val="auto"/>
          <w:sz w:val="24"/>
          <w:highlight w:val="none"/>
        </w:rPr>
        <w:t>。</w:t>
      </w:r>
    </w:p>
    <w:p w14:paraId="31BAA974">
      <w:pPr>
        <w:adjustRightInd/>
        <w:spacing w:line="300" w:lineRule="auto"/>
        <w:ind w:firstLine="480" w:firstLineChars="200"/>
        <w:rPr>
          <w:rFonts w:eastAsia="黑体"/>
          <w:color w:val="auto"/>
          <w:sz w:val="24"/>
          <w:highlight w:val="none"/>
        </w:rPr>
      </w:pPr>
      <w:bookmarkStart w:id="886" w:name="_Toc297216213"/>
      <w:bookmarkStart w:id="887" w:name="_Toc304295581"/>
      <w:bookmarkStart w:id="888" w:name="_Toc297123554"/>
      <w:bookmarkStart w:id="889" w:name="_Toc300935004"/>
      <w:bookmarkStart w:id="890" w:name="_Toc303539161"/>
      <w:bookmarkStart w:id="891" w:name="_Toc312678042"/>
      <w:bookmarkStart w:id="892" w:name="_Toc292559917"/>
      <w:bookmarkStart w:id="893" w:name="_Toc297120507"/>
      <w:bookmarkStart w:id="894" w:name="_Toc297048393"/>
      <w:bookmarkStart w:id="895" w:name="_Toc296346708"/>
      <w:bookmarkStart w:id="896" w:name="_Toc296891035"/>
      <w:bookmarkStart w:id="897" w:name="_Toc296944546"/>
      <w:bookmarkStart w:id="898" w:name="_Toc292559412"/>
      <w:bookmarkStart w:id="899" w:name="_Toc296347206"/>
      <w:bookmarkStart w:id="900" w:name="_Toc296891247"/>
      <w:bookmarkStart w:id="901" w:name="_Toc296503207"/>
      <w:r>
        <w:rPr>
          <w:rFonts w:eastAsia="黑体"/>
          <w:color w:val="auto"/>
          <w:sz w:val="24"/>
          <w:highlight w:val="none"/>
        </w:rPr>
        <w:t>12.2 预付款</w:t>
      </w:r>
    </w:p>
    <w:bookmarkEnd w:id="886"/>
    <w:bookmarkEnd w:id="887"/>
    <w:bookmarkEnd w:id="888"/>
    <w:bookmarkEnd w:id="889"/>
    <w:bookmarkEnd w:id="890"/>
    <w:bookmarkEnd w:id="891"/>
    <w:p w14:paraId="61038DB9">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12.2.1 预付款的支付</w:t>
      </w:r>
    </w:p>
    <w:p w14:paraId="6060D017">
      <w:pPr>
        <w:adjustRightInd/>
        <w:spacing w:line="300" w:lineRule="auto"/>
        <w:ind w:firstLine="480" w:firstLineChars="200"/>
        <w:rPr>
          <w:rFonts w:eastAsia="仿宋_GB2312"/>
          <w:color w:val="auto"/>
          <w:sz w:val="24"/>
          <w:highlight w:val="none"/>
        </w:rPr>
      </w:pPr>
      <w:r>
        <w:rPr>
          <w:rFonts w:eastAsia="仿宋_GB2312"/>
          <w:color w:val="auto"/>
          <w:sz w:val="24"/>
          <w:highlight w:val="none"/>
        </w:rPr>
        <w:t>预付款支付比例或金额：</w:t>
      </w:r>
      <w:r>
        <w:rPr>
          <w:rFonts w:hint="eastAsia" w:eastAsia="仿宋_GB2312"/>
          <w:color w:val="auto"/>
          <w:sz w:val="24"/>
          <w:highlight w:val="none"/>
          <w:u w:val="single"/>
        </w:rPr>
        <w:t xml:space="preserve">合同价的65% </w:t>
      </w:r>
      <w:r>
        <w:rPr>
          <w:rFonts w:eastAsia="仿宋_GB2312"/>
          <w:color w:val="auto"/>
          <w:sz w:val="24"/>
          <w:highlight w:val="none"/>
        </w:rPr>
        <w:t>。</w:t>
      </w:r>
    </w:p>
    <w:p w14:paraId="7D1BF30B">
      <w:pPr>
        <w:adjustRightInd/>
        <w:spacing w:line="300" w:lineRule="auto"/>
        <w:ind w:firstLine="480" w:firstLineChars="200"/>
        <w:rPr>
          <w:rFonts w:eastAsia="仿宋_GB2312"/>
          <w:color w:val="auto"/>
          <w:sz w:val="24"/>
          <w:highlight w:val="none"/>
        </w:rPr>
      </w:pPr>
      <w:r>
        <w:rPr>
          <w:rFonts w:eastAsia="仿宋_GB2312"/>
          <w:color w:val="auto"/>
          <w:sz w:val="24"/>
          <w:highlight w:val="none"/>
        </w:rPr>
        <w:t>预付款支付期限：</w:t>
      </w:r>
      <w:r>
        <w:rPr>
          <w:rFonts w:hint="eastAsia" w:eastAsia="仿宋_GB2312"/>
          <w:color w:val="auto"/>
          <w:sz w:val="24"/>
          <w:highlight w:val="none"/>
          <w:u w:val="single"/>
        </w:rPr>
        <w:t>在合同签订后，自承包人的关键设备和主要人员到达施工现场，并经监理工程师核实、发包人批准后，发包人向承包人支付预付款</w:t>
      </w:r>
      <w:r>
        <w:rPr>
          <w:rFonts w:eastAsia="仿宋_GB2312"/>
          <w:color w:val="auto"/>
          <w:sz w:val="24"/>
          <w:highlight w:val="none"/>
        </w:rPr>
        <w:t>。</w:t>
      </w:r>
    </w:p>
    <w:p w14:paraId="3447F464">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12.2.2 预付款担保</w:t>
      </w:r>
    </w:p>
    <w:p w14:paraId="477782DC">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承包人提交预付款担保的期限：</w:t>
      </w:r>
      <w:r>
        <w:rPr>
          <w:rFonts w:hint="eastAsia" w:eastAsia="仿宋_GB2312"/>
          <w:color w:val="auto"/>
          <w:sz w:val="24"/>
          <w:highlight w:val="none"/>
          <w:u w:val="single"/>
        </w:rPr>
        <w:t xml:space="preserve">  /  </w:t>
      </w:r>
      <w:r>
        <w:rPr>
          <w:rFonts w:eastAsia="仿宋_GB2312"/>
          <w:color w:val="auto"/>
          <w:sz w:val="24"/>
          <w:highlight w:val="none"/>
        </w:rPr>
        <w:t>。</w:t>
      </w:r>
    </w:p>
    <w:p w14:paraId="4EE4064A">
      <w:pPr>
        <w:adjustRightInd/>
        <w:spacing w:line="300" w:lineRule="auto"/>
        <w:ind w:firstLine="480" w:firstLineChars="200"/>
        <w:rPr>
          <w:rFonts w:eastAsia="仿宋_GB2312"/>
          <w:color w:val="auto"/>
          <w:sz w:val="24"/>
          <w:highlight w:val="none"/>
        </w:rPr>
      </w:pPr>
      <w:r>
        <w:rPr>
          <w:rFonts w:eastAsia="仿宋_GB2312"/>
          <w:color w:val="auto"/>
          <w:sz w:val="24"/>
          <w:highlight w:val="none"/>
        </w:rPr>
        <w:t>预付款担保的形式为：</w:t>
      </w:r>
      <w:r>
        <w:rPr>
          <w:rFonts w:hint="eastAsia" w:eastAsia="仿宋_GB2312"/>
          <w:color w:val="auto"/>
          <w:sz w:val="24"/>
          <w:highlight w:val="none"/>
          <w:u w:val="single"/>
        </w:rPr>
        <w:t xml:space="preserve">  /  </w:t>
      </w:r>
      <w:r>
        <w:rPr>
          <w:rFonts w:eastAsia="仿宋_GB2312"/>
          <w:color w:val="auto"/>
          <w:sz w:val="24"/>
          <w:highlight w:val="none"/>
        </w:rPr>
        <w:t>。</w:t>
      </w:r>
    </w:p>
    <w:bookmarkEnd w:id="892"/>
    <w:bookmarkEnd w:id="893"/>
    <w:bookmarkEnd w:id="894"/>
    <w:bookmarkEnd w:id="895"/>
    <w:bookmarkEnd w:id="896"/>
    <w:bookmarkEnd w:id="897"/>
    <w:bookmarkEnd w:id="898"/>
    <w:bookmarkEnd w:id="899"/>
    <w:bookmarkEnd w:id="900"/>
    <w:bookmarkEnd w:id="901"/>
    <w:p w14:paraId="1CD232F4">
      <w:pPr>
        <w:adjustRightInd/>
        <w:spacing w:line="300" w:lineRule="auto"/>
        <w:ind w:firstLine="480" w:firstLineChars="200"/>
        <w:rPr>
          <w:rFonts w:eastAsia="黑体"/>
          <w:color w:val="auto"/>
          <w:sz w:val="24"/>
          <w:highlight w:val="none"/>
        </w:rPr>
      </w:pPr>
      <w:r>
        <w:rPr>
          <w:rFonts w:eastAsia="黑体"/>
          <w:color w:val="auto"/>
          <w:sz w:val="24"/>
          <w:highlight w:val="none"/>
        </w:rPr>
        <w:t>12.3 计量</w:t>
      </w:r>
    </w:p>
    <w:p w14:paraId="46F98DF6">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12.3.1 计量原则</w:t>
      </w:r>
    </w:p>
    <w:p w14:paraId="6EC7EF9B">
      <w:pPr>
        <w:adjustRightInd/>
        <w:spacing w:line="300" w:lineRule="auto"/>
        <w:ind w:firstLine="480" w:firstLineChars="200"/>
        <w:rPr>
          <w:rFonts w:eastAsia="仿宋_GB2312"/>
          <w:color w:val="auto"/>
          <w:sz w:val="24"/>
          <w:highlight w:val="none"/>
        </w:rPr>
      </w:pPr>
      <w:r>
        <w:rPr>
          <w:rFonts w:eastAsia="仿宋_GB2312"/>
          <w:color w:val="auto"/>
          <w:sz w:val="24"/>
          <w:highlight w:val="none"/>
        </w:rPr>
        <w:t>工程量计算规则：</w:t>
      </w:r>
    </w:p>
    <w:p w14:paraId="073FF3F7">
      <w:pPr>
        <w:adjustRightInd/>
        <w:spacing w:line="300" w:lineRule="auto"/>
        <w:ind w:firstLine="482" w:firstLineChars="200"/>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rPr>
        <w:t>（1）</w:t>
      </w:r>
      <w:r>
        <w:rPr>
          <w:rFonts w:hint="eastAsia" w:ascii="仿宋_GB2312" w:hAnsi="黑体" w:eastAsia="仿宋_GB2312"/>
          <w:b/>
          <w:color w:val="auto"/>
          <w:sz w:val="24"/>
          <w:highlight w:val="none"/>
          <w:u w:val="single"/>
        </w:rPr>
        <w:t>实行工程量清单计价的工程项目，其工程量的计算规则应按国家标准工程量计算规范及省级行业主管部门颁布的补充规定执行。</w:t>
      </w:r>
    </w:p>
    <w:p w14:paraId="3B7EF883">
      <w:pPr>
        <w:adjustRightInd/>
        <w:spacing w:line="300" w:lineRule="auto"/>
        <w:ind w:firstLine="482" w:firstLineChars="200"/>
        <w:rPr>
          <w:rFonts w:hint="eastAsia" w:ascii="仿宋_GB2312" w:hAnsi="黑体" w:eastAsia="仿宋_GB2312"/>
          <w:b/>
          <w:color w:val="auto"/>
          <w:sz w:val="24"/>
          <w:highlight w:val="none"/>
          <w:u w:val="single"/>
        </w:rPr>
      </w:pPr>
      <w:r>
        <w:rPr>
          <w:rFonts w:hint="eastAsia" w:ascii="仿宋_GB2312" w:hAnsi="黑体" w:eastAsia="仿宋_GB2312"/>
          <w:b/>
          <w:color w:val="auto"/>
          <w:sz w:val="24"/>
          <w:highlight w:val="none"/>
        </w:rPr>
        <w:t>（2）</w:t>
      </w:r>
      <w:r>
        <w:rPr>
          <w:rFonts w:hint="eastAsia" w:ascii="仿宋_GB2312" w:hAnsi="黑体" w:eastAsia="仿宋_GB2312"/>
          <w:b/>
          <w:color w:val="auto"/>
          <w:sz w:val="24"/>
          <w:highlight w:val="none"/>
          <w:u w:val="single"/>
        </w:rPr>
        <w:t>不实行工程量清单计价的工程项目，工程量的计算规则应按省、市行业主管部门颁布的各专业工程定额的工程量计算规则执行。</w:t>
      </w:r>
    </w:p>
    <w:p w14:paraId="111092C2">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12.3.2 计量周期</w:t>
      </w:r>
    </w:p>
    <w:p w14:paraId="43DAD5CC">
      <w:pPr>
        <w:snapToGrid w:val="0"/>
        <w:spacing w:line="300" w:lineRule="auto"/>
        <w:ind w:firstLine="480" w:firstLineChars="200"/>
        <w:jc w:val="left"/>
        <w:rPr>
          <w:rFonts w:eastAsia="仿宋_GB2312"/>
          <w:color w:val="auto"/>
          <w:sz w:val="24"/>
          <w:highlight w:val="none"/>
        </w:rPr>
      </w:pPr>
      <w:r>
        <w:rPr>
          <w:rFonts w:eastAsia="仿宋_GB2312"/>
          <w:color w:val="auto"/>
          <w:sz w:val="24"/>
          <w:highlight w:val="none"/>
        </w:rPr>
        <w:t>关于计量周期的约定：</w:t>
      </w:r>
      <w:r>
        <w:rPr>
          <w:rFonts w:hint="eastAsia" w:eastAsia="仿宋_GB2312"/>
          <w:color w:val="auto"/>
          <w:sz w:val="24"/>
          <w:highlight w:val="none"/>
          <w:u w:val="single"/>
        </w:rPr>
        <w:t>按月计量</w:t>
      </w:r>
      <w:r>
        <w:rPr>
          <w:rFonts w:eastAsia="仿宋_GB2312"/>
          <w:color w:val="auto"/>
          <w:sz w:val="24"/>
          <w:highlight w:val="none"/>
          <w:u w:val="single"/>
        </w:rPr>
        <w:t>。</w:t>
      </w:r>
    </w:p>
    <w:p w14:paraId="3D48CB3A">
      <w:pPr>
        <w:snapToGrid w:val="0"/>
        <w:spacing w:line="300" w:lineRule="auto"/>
        <w:ind w:firstLine="480" w:firstLineChars="200"/>
        <w:jc w:val="left"/>
        <w:rPr>
          <w:rFonts w:eastAsia="仿宋_GB2312"/>
          <w:color w:val="auto"/>
          <w:sz w:val="24"/>
          <w:highlight w:val="none"/>
        </w:rPr>
      </w:pPr>
      <w:r>
        <w:rPr>
          <w:rFonts w:eastAsia="仿宋_GB2312"/>
          <w:color w:val="auto"/>
          <w:sz w:val="24"/>
          <w:highlight w:val="none"/>
        </w:rPr>
        <w:t>12.3.3 单价合同的计量</w:t>
      </w:r>
    </w:p>
    <w:p w14:paraId="2CA93AED">
      <w:pPr>
        <w:pStyle w:val="897"/>
        <w:adjustRightInd w:val="0"/>
        <w:snapToGrid w:val="0"/>
        <w:spacing w:line="300" w:lineRule="auto"/>
        <w:ind w:left="0" w:leftChars="0" w:firstLine="480"/>
        <w:jc w:val="left"/>
        <w:rPr>
          <w:rFonts w:eastAsia="仿宋_GB2312"/>
          <w:color w:val="auto"/>
          <w:highlight w:val="none"/>
          <w:u w:val="single"/>
        </w:rPr>
      </w:pPr>
      <w:r>
        <w:rPr>
          <w:rFonts w:eastAsia="仿宋_GB2312"/>
          <w:color w:val="auto"/>
          <w:highlight w:val="none"/>
        </w:rPr>
        <w:t>关于单价合同计量的约定：</w:t>
      </w:r>
      <w:r>
        <w:rPr>
          <w:rFonts w:hint="eastAsia" w:eastAsia="仿宋_GB2312"/>
          <w:color w:val="auto"/>
          <w:highlight w:val="none"/>
          <w:u w:val="single"/>
        </w:rPr>
        <w:t>(1)承包人应于每月25日向监理人报送上月20日至当月19日已完成的工程量报告，并附具已完成工程量报表、有关资料及下月计划（加盖承包人公章或该项目专用章）。如未按期上报的，则当月工程量不予计量，延期至下月，相应月度的进度款也延至下月审核并支付。</w:t>
      </w:r>
    </w:p>
    <w:p w14:paraId="73465B2E">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(2)监理人在收到承包人提交的工程量报告后7个工作日内完成对承包人提交的工程量报表的审核并报送发包人，承包人当月实际完成的工程量以发包人最终核定的为准。监理人对工程量有异议的，有权要求承包人进行共同复核或抽样复测。承包人应协助监理人进行复核或抽样复测，并按监理人要求提供补充计量资料。承包人未按监理人要求参加复核或抽样复测的，监理人复核或修正并最终经发包人核定的工程量视为承包人实际完成的工程量。</w:t>
      </w:r>
    </w:p>
    <w:p w14:paraId="6D24DFAE">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(3)无论因何种事由，监理或发包人未能及时审核承包人提交的工程量报表的，均不构成监理人及发包人对承包人实际完成的工程量的默认。</w:t>
      </w:r>
    </w:p>
    <w:p w14:paraId="3AA60CAC">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(4)监理人、发包人对承包人月度工程量的审核并非对其最终完成工程量的认可，而是仅作为工程进度款的支付依据，不作为工程结算的依据。承包人实际完成的总工程量应当以结算审计确定的总工程量为准</w:t>
      </w:r>
      <w:r>
        <w:rPr>
          <w:rFonts w:eastAsia="仿宋_GB2312"/>
          <w:color w:val="auto"/>
          <w:highlight w:val="none"/>
          <w:u w:val="single"/>
        </w:rPr>
        <w:t>。</w:t>
      </w:r>
    </w:p>
    <w:p w14:paraId="0F410312">
      <w:pPr>
        <w:snapToGrid w:val="0"/>
        <w:spacing w:line="300" w:lineRule="auto"/>
        <w:ind w:firstLine="480" w:firstLineChars="200"/>
        <w:jc w:val="left"/>
        <w:rPr>
          <w:rFonts w:eastAsia="仿宋_GB2312"/>
          <w:color w:val="auto"/>
          <w:sz w:val="24"/>
          <w:highlight w:val="none"/>
        </w:rPr>
      </w:pPr>
      <w:r>
        <w:rPr>
          <w:rFonts w:eastAsia="仿宋_GB2312"/>
          <w:color w:val="auto"/>
          <w:sz w:val="24"/>
          <w:highlight w:val="none"/>
        </w:rPr>
        <w:t>12.3.4 总价合同的计量</w:t>
      </w:r>
    </w:p>
    <w:p w14:paraId="4C1F822F">
      <w:pPr>
        <w:snapToGrid w:val="0"/>
        <w:spacing w:line="300" w:lineRule="auto"/>
        <w:ind w:firstLine="480" w:firstLineChars="200"/>
        <w:jc w:val="left"/>
        <w:rPr>
          <w:rFonts w:eastAsia="仿宋_GB2312"/>
          <w:color w:val="auto"/>
          <w:sz w:val="24"/>
          <w:highlight w:val="none"/>
        </w:rPr>
      </w:pPr>
      <w:r>
        <w:rPr>
          <w:rFonts w:eastAsia="仿宋_GB2312"/>
          <w:color w:val="auto"/>
          <w:sz w:val="24"/>
          <w:highlight w:val="none"/>
        </w:rPr>
        <w:t>关于总价合同计量的约定：</w:t>
      </w:r>
      <w:r>
        <w:rPr>
          <w:rFonts w:hint="eastAsia" w:eastAsia="仿宋_GB2312"/>
          <w:color w:val="auto"/>
          <w:sz w:val="24"/>
          <w:highlight w:val="none"/>
          <w:u w:val="single"/>
        </w:rPr>
        <w:t xml:space="preserve">  /  </w:t>
      </w:r>
      <w:r>
        <w:rPr>
          <w:rFonts w:eastAsia="仿宋_GB2312"/>
          <w:color w:val="auto"/>
          <w:sz w:val="24"/>
          <w:highlight w:val="none"/>
        </w:rPr>
        <w:t>。</w:t>
      </w:r>
    </w:p>
    <w:p w14:paraId="6FD22B33">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12.3.5总价合同采用支付分解表计量支付的，是否适用第12.3.4 项</w:t>
      </w:r>
      <w:r>
        <w:rPr>
          <w:rFonts w:hint="eastAsia" w:eastAsia="仿宋_GB2312"/>
          <w:color w:val="auto"/>
          <w:sz w:val="24"/>
          <w:highlight w:val="none"/>
        </w:rPr>
        <w:t>〔</w:t>
      </w:r>
      <w:r>
        <w:rPr>
          <w:rFonts w:eastAsia="仿宋_GB2312"/>
          <w:color w:val="auto"/>
          <w:sz w:val="24"/>
          <w:highlight w:val="none"/>
        </w:rPr>
        <w:t>总价合同的计量</w:t>
      </w:r>
      <w:r>
        <w:rPr>
          <w:rFonts w:hint="eastAsia" w:eastAsia="仿宋_GB2312"/>
          <w:color w:val="auto"/>
          <w:sz w:val="24"/>
          <w:highlight w:val="none"/>
        </w:rPr>
        <w:t>〕</w:t>
      </w:r>
      <w:r>
        <w:rPr>
          <w:rFonts w:eastAsia="仿宋_GB2312"/>
          <w:color w:val="auto"/>
          <w:sz w:val="24"/>
          <w:highlight w:val="none"/>
        </w:rPr>
        <w:t>约定</w:t>
      </w:r>
      <w:r>
        <w:rPr>
          <w:rFonts w:hint="eastAsia" w:eastAsia="仿宋_GB2312"/>
          <w:color w:val="auto"/>
          <w:sz w:val="24"/>
          <w:highlight w:val="none"/>
        </w:rPr>
        <w:t>进行计量：</w:t>
      </w:r>
      <w:r>
        <w:rPr>
          <w:rFonts w:hint="eastAsia" w:eastAsia="仿宋_GB2312"/>
          <w:color w:val="auto"/>
          <w:sz w:val="24"/>
          <w:highlight w:val="none"/>
          <w:u w:val="single"/>
        </w:rPr>
        <w:t xml:space="preserve">  /  </w:t>
      </w:r>
      <w:r>
        <w:rPr>
          <w:rFonts w:eastAsia="仿宋_GB2312"/>
          <w:color w:val="auto"/>
          <w:sz w:val="24"/>
          <w:highlight w:val="none"/>
        </w:rPr>
        <w:t>。</w:t>
      </w:r>
    </w:p>
    <w:p w14:paraId="6CD03378">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12.3.6 其他价格形式合同的计量</w:t>
      </w:r>
    </w:p>
    <w:p w14:paraId="0A536AD3">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其他价格形式的计量方式和程序：</w:t>
      </w:r>
      <w:r>
        <w:rPr>
          <w:rFonts w:hint="eastAsia" w:eastAsia="仿宋_GB2312"/>
          <w:color w:val="auto"/>
          <w:sz w:val="24"/>
          <w:highlight w:val="none"/>
          <w:u w:val="single"/>
        </w:rPr>
        <w:t xml:space="preserve">  /  </w:t>
      </w:r>
      <w:r>
        <w:rPr>
          <w:rFonts w:eastAsia="仿宋_GB2312"/>
          <w:color w:val="auto"/>
          <w:sz w:val="24"/>
          <w:highlight w:val="none"/>
        </w:rPr>
        <w:t>。</w:t>
      </w:r>
    </w:p>
    <w:p w14:paraId="3D35C73E">
      <w:pPr>
        <w:adjustRightInd/>
        <w:spacing w:line="300" w:lineRule="auto"/>
        <w:ind w:firstLine="480" w:firstLineChars="200"/>
        <w:rPr>
          <w:rFonts w:eastAsia="黑体"/>
          <w:color w:val="auto"/>
          <w:sz w:val="24"/>
          <w:highlight w:val="none"/>
        </w:rPr>
      </w:pPr>
      <w:r>
        <w:rPr>
          <w:rFonts w:eastAsia="黑体"/>
          <w:color w:val="auto"/>
          <w:sz w:val="24"/>
          <w:highlight w:val="none"/>
        </w:rPr>
        <w:t>12.4 工程进度款支付</w:t>
      </w:r>
    </w:p>
    <w:p w14:paraId="53295DE7">
      <w:pPr>
        <w:snapToGrid w:val="0"/>
        <w:spacing w:line="300" w:lineRule="auto"/>
        <w:ind w:firstLine="480" w:firstLineChars="200"/>
        <w:jc w:val="left"/>
        <w:rPr>
          <w:rFonts w:eastAsia="仿宋_GB2312"/>
          <w:color w:val="auto"/>
          <w:sz w:val="24"/>
          <w:highlight w:val="none"/>
        </w:rPr>
      </w:pPr>
      <w:bookmarkStart w:id="902" w:name="_Toc303539163"/>
      <w:bookmarkStart w:id="903" w:name="_Toc296891039"/>
      <w:bookmarkStart w:id="904" w:name="_Toc296346712"/>
      <w:bookmarkStart w:id="905" w:name="_Toc300935006"/>
      <w:bookmarkStart w:id="906" w:name="_Toc296944550"/>
      <w:bookmarkStart w:id="907" w:name="_Toc296503211"/>
      <w:bookmarkStart w:id="908" w:name="_Toc296347210"/>
      <w:bookmarkStart w:id="909" w:name="_Toc297120511"/>
      <w:bookmarkStart w:id="910" w:name="_Toc297216215"/>
      <w:bookmarkStart w:id="911" w:name="_Toc292559921"/>
      <w:bookmarkStart w:id="912" w:name="_Toc297048397"/>
      <w:bookmarkStart w:id="913" w:name="_Toc292559416"/>
      <w:bookmarkStart w:id="914" w:name="_Toc297123556"/>
      <w:bookmarkStart w:id="915" w:name="_Toc296891251"/>
      <w:r>
        <w:rPr>
          <w:rFonts w:eastAsia="仿宋_GB2312"/>
          <w:color w:val="auto"/>
          <w:sz w:val="24"/>
          <w:highlight w:val="none"/>
        </w:rPr>
        <w:t>12.4.1 付款周期</w:t>
      </w:r>
    </w:p>
    <w:p w14:paraId="75045296">
      <w:pPr>
        <w:pStyle w:val="897"/>
        <w:adjustRightInd w:val="0"/>
        <w:snapToGrid w:val="0"/>
        <w:spacing w:line="300" w:lineRule="auto"/>
        <w:ind w:left="0" w:leftChars="0" w:firstLine="480"/>
        <w:jc w:val="left"/>
        <w:rPr>
          <w:rFonts w:eastAsia="仿宋_GB2312"/>
          <w:color w:val="auto"/>
          <w:highlight w:val="none"/>
          <w:u w:val="single"/>
        </w:rPr>
      </w:pPr>
      <w:r>
        <w:rPr>
          <w:rFonts w:eastAsia="仿宋_GB2312"/>
          <w:color w:val="auto"/>
          <w:highlight w:val="none"/>
        </w:rPr>
        <w:t>关于付款周期的约定：</w:t>
      </w:r>
      <w:r>
        <w:rPr>
          <w:rFonts w:hint="eastAsia" w:eastAsia="仿宋_GB2312"/>
          <w:color w:val="auto"/>
          <w:highlight w:val="none"/>
          <w:u w:val="single"/>
        </w:rPr>
        <w:t>按工程进度支付</w:t>
      </w:r>
      <w:r>
        <w:rPr>
          <w:rFonts w:eastAsia="仿宋_GB2312"/>
          <w:color w:val="auto"/>
          <w:highlight w:val="none"/>
          <w:u w:val="single"/>
        </w:rPr>
        <w:t>。</w:t>
      </w:r>
      <w:r>
        <w:rPr>
          <w:rFonts w:hint="eastAsia" w:eastAsia="仿宋_GB2312"/>
          <w:color w:val="auto"/>
          <w:highlight w:val="none"/>
          <w:u w:val="single"/>
        </w:rPr>
        <w:t>每次支付工程款时必须有监理人、发包人书面认可的工程进度报表、实测实量数据（各方签字盖章）等。</w:t>
      </w:r>
    </w:p>
    <w:p w14:paraId="41E1455E">
      <w:pPr>
        <w:snapToGrid w:val="0"/>
        <w:spacing w:line="300" w:lineRule="auto"/>
        <w:ind w:firstLine="480" w:firstLineChars="200"/>
        <w:jc w:val="left"/>
        <w:rPr>
          <w:rFonts w:eastAsia="仿宋_GB2312"/>
          <w:color w:val="auto"/>
          <w:sz w:val="24"/>
          <w:highlight w:val="none"/>
        </w:rPr>
      </w:pPr>
      <w:r>
        <w:rPr>
          <w:rFonts w:eastAsia="仿宋_GB2312"/>
          <w:color w:val="auto"/>
          <w:sz w:val="24"/>
          <w:highlight w:val="none"/>
        </w:rPr>
        <w:t>12.4.2 进度付款申请单的编制</w:t>
      </w:r>
    </w:p>
    <w:p w14:paraId="7A2F112B">
      <w:pPr>
        <w:snapToGrid w:val="0"/>
        <w:spacing w:line="300" w:lineRule="auto"/>
        <w:ind w:firstLine="480" w:firstLineChars="200"/>
        <w:jc w:val="left"/>
        <w:rPr>
          <w:rFonts w:eastAsia="仿宋_GB2312"/>
          <w:color w:val="auto"/>
          <w:sz w:val="24"/>
          <w:highlight w:val="none"/>
        </w:rPr>
      </w:pPr>
      <w:r>
        <w:rPr>
          <w:rFonts w:eastAsia="仿宋_GB2312"/>
          <w:color w:val="auto"/>
          <w:sz w:val="24"/>
          <w:highlight w:val="none"/>
        </w:rPr>
        <w:t>关于进度付款申请单编制的约定：</w:t>
      </w:r>
    </w:p>
    <w:p w14:paraId="7AB29FA5">
      <w:pPr>
        <w:snapToGrid w:val="0"/>
        <w:spacing w:line="300" w:lineRule="auto"/>
        <w:ind w:firstLine="480" w:firstLineChars="200"/>
        <w:jc w:val="left"/>
        <w:rPr>
          <w:rFonts w:eastAsia="仿宋_GB2312"/>
          <w:color w:val="auto"/>
          <w:sz w:val="24"/>
          <w:highlight w:val="none"/>
          <w:u w:val="single"/>
        </w:rPr>
      </w:pPr>
      <w:r>
        <w:rPr>
          <w:rFonts w:hint="eastAsia" w:eastAsia="仿宋_GB2312"/>
          <w:color w:val="auto"/>
          <w:sz w:val="24"/>
          <w:highlight w:val="none"/>
          <w:u w:val="single"/>
        </w:rPr>
        <w:t>a、合同价款内的工程款支付：</w:t>
      </w:r>
      <w:r>
        <w:rPr>
          <w:rFonts w:eastAsia="仿宋_GB2312"/>
          <w:color w:val="auto"/>
          <w:sz w:val="24"/>
          <w:highlight w:val="none"/>
          <w:u w:val="single"/>
        </w:rPr>
        <w:t>工程竣工验收合格且</w:t>
      </w:r>
      <w:r>
        <w:rPr>
          <w:rFonts w:hint="eastAsia" w:eastAsia="仿宋_GB2312"/>
          <w:color w:val="auto"/>
          <w:sz w:val="24"/>
          <w:highlight w:val="none"/>
          <w:u w:val="single"/>
        </w:rPr>
        <w:t>承包人将完整的结算资料送发包人审核后</w:t>
      </w:r>
      <w:r>
        <w:rPr>
          <w:rFonts w:eastAsia="仿宋_GB2312"/>
          <w:color w:val="auto"/>
          <w:sz w:val="24"/>
          <w:highlight w:val="none"/>
          <w:u w:val="single"/>
        </w:rPr>
        <w:t>，支付至签约合同价的</w:t>
      </w:r>
      <w:r>
        <w:rPr>
          <w:rFonts w:hint="eastAsia" w:eastAsia="仿宋_GB2312"/>
          <w:color w:val="auto"/>
          <w:sz w:val="24"/>
          <w:highlight w:val="none"/>
          <w:u w:val="single"/>
        </w:rPr>
        <w:t>（85）</w:t>
      </w:r>
      <w:r>
        <w:rPr>
          <w:rFonts w:eastAsia="仿宋_GB2312"/>
          <w:color w:val="auto"/>
          <w:sz w:val="24"/>
          <w:highlight w:val="none"/>
          <w:u w:val="single"/>
        </w:rPr>
        <w:t>％</w:t>
      </w:r>
      <w:r>
        <w:rPr>
          <w:rFonts w:hint="eastAsia" w:eastAsia="仿宋_GB2312"/>
          <w:color w:val="auto"/>
          <w:sz w:val="24"/>
          <w:highlight w:val="none"/>
          <w:u w:val="single"/>
        </w:rPr>
        <w:t>（若结算资料不完整，承包人需按发包人要求进行补充完善，否则发包人有权延期支付该笔款项）。余款</w:t>
      </w:r>
      <w:r>
        <w:rPr>
          <w:rFonts w:eastAsia="仿宋_GB2312"/>
          <w:color w:val="auto"/>
          <w:sz w:val="24"/>
          <w:highlight w:val="none"/>
          <w:u w:val="single"/>
        </w:rPr>
        <w:t>待政府财政部门结算审计</w:t>
      </w:r>
      <w:r>
        <w:rPr>
          <w:rFonts w:hint="eastAsia" w:eastAsia="仿宋_GB2312"/>
          <w:color w:val="auto"/>
          <w:sz w:val="24"/>
          <w:highlight w:val="none"/>
          <w:u w:val="single"/>
        </w:rPr>
        <w:t>完成</w:t>
      </w:r>
      <w:r>
        <w:rPr>
          <w:rFonts w:eastAsia="仿宋_GB2312"/>
          <w:color w:val="auto"/>
          <w:sz w:val="24"/>
          <w:highlight w:val="none"/>
          <w:u w:val="single"/>
        </w:rPr>
        <w:t>后付至</w:t>
      </w:r>
      <w:r>
        <w:rPr>
          <w:rFonts w:hint="eastAsia" w:eastAsia="仿宋_GB2312"/>
          <w:color w:val="auto"/>
          <w:sz w:val="24"/>
          <w:highlight w:val="none"/>
          <w:u w:val="single"/>
        </w:rPr>
        <w:t>结算</w:t>
      </w:r>
      <w:r>
        <w:rPr>
          <w:rFonts w:eastAsia="仿宋_GB2312"/>
          <w:color w:val="auto"/>
          <w:sz w:val="24"/>
          <w:highlight w:val="none"/>
          <w:u w:val="single"/>
        </w:rPr>
        <w:t>审定价的</w:t>
      </w:r>
      <w:r>
        <w:rPr>
          <w:rFonts w:hint="eastAsia" w:eastAsia="仿宋_GB2312"/>
          <w:color w:val="auto"/>
          <w:sz w:val="24"/>
          <w:highlight w:val="none"/>
          <w:u w:val="single"/>
        </w:rPr>
        <w:t>（100）</w:t>
      </w:r>
      <w:r>
        <w:rPr>
          <w:rFonts w:eastAsia="仿宋_GB2312"/>
          <w:color w:val="auto"/>
          <w:sz w:val="24"/>
          <w:highlight w:val="none"/>
          <w:u w:val="single"/>
        </w:rPr>
        <w:t>%</w:t>
      </w:r>
      <w:r>
        <w:rPr>
          <w:rFonts w:hint="eastAsia" w:eastAsia="仿宋_GB2312"/>
          <w:color w:val="auto"/>
          <w:sz w:val="24"/>
          <w:highlight w:val="none"/>
          <w:u w:val="single"/>
        </w:rPr>
        <w:t>。</w:t>
      </w:r>
    </w:p>
    <w:p w14:paraId="31A3750D">
      <w:pPr>
        <w:snapToGrid w:val="0"/>
        <w:spacing w:line="300" w:lineRule="auto"/>
        <w:ind w:firstLine="480" w:firstLineChars="200"/>
        <w:jc w:val="left"/>
        <w:rPr>
          <w:rFonts w:eastAsia="仿宋_GB2312"/>
          <w:color w:val="auto"/>
          <w:sz w:val="24"/>
          <w:highlight w:val="none"/>
          <w:u w:val="single"/>
        </w:rPr>
      </w:pPr>
      <w:r>
        <w:rPr>
          <w:rFonts w:eastAsia="仿宋_GB2312"/>
          <w:color w:val="auto"/>
          <w:sz w:val="24"/>
          <w:highlight w:val="none"/>
          <w:u w:val="single"/>
        </w:rPr>
        <w:t xml:space="preserve"> b、合同价款外的工程款支付：在施工进度、质量正常的前提下，工程变更后减少价款在主合同内不再支付，增加价款累计超过合同价</w:t>
      </w:r>
      <w:r>
        <w:rPr>
          <w:rFonts w:hint="eastAsia" w:eastAsia="仿宋_GB2312"/>
          <w:color w:val="auto"/>
          <w:sz w:val="24"/>
          <w:highlight w:val="none"/>
          <w:u w:val="single"/>
        </w:rPr>
        <w:t>10</w:t>
      </w:r>
      <w:r>
        <w:rPr>
          <w:rFonts w:eastAsia="仿宋_GB2312"/>
          <w:color w:val="auto"/>
          <w:sz w:val="24"/>
          <w:highlight w:val="none"/>
          <w:u w:val="single"/>
        </w:rPr>
        <w:t>%</w:t>
      </w:r>
      <w:r>
        <w:rPr>
          <w:rFonts w:hint="eastAsia" w:eastAsia="仿宋_GB2312"/>
          <w:color w:val="auto"/>
          <w:sz w:val="24"/>
          <w:highlight w:val="none"/>
          <w:u w:val="single"/>
        </w:rPr>
        <w:t>的</w:t>
      </w:r>
      <w:r>
        <w:rPr>
          <w:rFonts w:eastAsia="仿宋_GB2312"/>
          <w:color w:val="auto"/>
          <w:sz w:val="24"/>
          <w:highlight w:val="none"/>
          <w:u w:val="single"/>
        </w:rPr>
        <w:t>可以签订补充合同后支付工程款</w:t>
      </w:r>
      <w:r>
        <w:rPr>
          <w:rFonts w:hint="eastAsia" w:eastAsia="仿宋_GB2312"/>
          <w:color w:val="auto"/>
          <w:sz w:val="24"/>
          <w:highlight w:val="none"/>
          <w:u w:val="single"/>
        </w:rPr>
        <w:t>(原则上施工阶段签订补充协议不得超过2个，有争议的内容暂不计入工程变更补充合同)</w:t>
      </w:r>
      <w:r>
        <w:rPr>
          <w:rFonts w:eastAsia="仿宋_GB2312"/>
          <w:color w:val="auto"/>
          <w:sz w:val="24"/>
          <w:highlight w:val="none"/>
          <w:u w:val="single"/>
        </w:rPr>
        <w:t>，</w:t>
      </w:r>
      <w:r>
        <w:rPr>
          <w:rFonts w:hint="eastAsia" w:eastAsia="仿宋_GB2312"/>
          <w:color w:val="auto"/>
          <w:sz w:val="24"/>
          <w:highlight w:val="none"/>
          <w:u w:val="single"/>
        </w:rPr>
        <w:t>补充合同签订后付至已完成变更部分造价的50%，余款待结算审计定案后与主合同进度款同比例支付。</w:t>
      </w:r>
    </w:p>
    <w:p w14:paraId="66CE5427">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c</w:t>
      </w:r>
      <w:r>
        <w:rPr>
          <w:rFonts w:eastAsia="仿宋_GB2312"/>
          <w:color w:val="auto"/>
          <w:highlight w:val="none"/>
          <w:u w:val="single"/>
        </w:rPr>
        <w:t>、以上款项支付</w:t>
      </w:r>
      <w:r>
        <w:rPr>
          <w:rFonts w:hint="eastAsia" w:eastAsia="仿宋_GB2312"/>
          <w:color w:val="auto"/>
          <w:highlight w:val="none"/>
          <w:u w:val="single"/>
        </w:rPr>
        <w:t>时间</w:t>
      </w:r>
      <w:r>
        <w:rPr>
          <w:rFonts w:eastAsia="仿宋_GB2312"/>
          <w:color w:val="auto"/>
          <w:highlight w:val="none"/>
          <w:u w:val="single"/>
        </w:rPr>
        <w:t>允许发包人有</w:t>
      </w:r>
      <w:r>
        <w:rPr>
          <w:rFonts w:hint="eastAsia" w:eastAsia="仿宋_GB2312"/>
          <w:color w:val="auto"/>
          <w:highlight w:val="none"/>
          <w:u w:val="single"/>
        </w:rPr>
        <w:t>10</w:t>
      </w:r>
      <w:r>
        <w:rPr>
          <w:rFonts w:eastAsia="仿宋_GB2312"/>
          <w:color w:val="auto"/>
          <w:highlight w:val="none"/>
          <w:u w:val="single"/>
        </w:rPr>
        <w:t>天的误差</w:t>
      </w:r>
      <w:r>
        <w:rPr>
          <w:rFonts w:hint="eastAsia" w:eastAsia="仿宋_GB2312"/>
          <w:color w:val="auto"/>
          <w:highlight w:val="none"/>
          <w:u w:val="single"/>
        </w:rPr>
        <w:t>且不计任何费用</w:t>
      </w:r>
      <w:r>
        <w:rPr>
          <w:rFonts w:eastAsia="仿宋_GB2312"/>
          <w:color w:val="auto"/>
          <w:highlight w:val="none"/>
          <w:u w:val="single"/>
        </w:rPr>
        <w:t>。</w:t>
      </w:r>
    </w:p>
    <w:p w14:paraId="147F539B">
      <w:pPr>
        <w:pStyle w:val="897"/>
        <w:adjustRightInd w:val="0"/>
        <w:snapToGrid w:val="0"/>
        <w:spacing w:line="300" w:lineRule="auto"/>
        <w:ind w:left="0" w:leftChars="0" w:firstLine="480"/>
        <w:jc w:val="left"/>
        <w:rPr>
          <w:rFonts w:eastAsia="仿宋_GB2312"/>
          <w:color w:val="auto"/>
          <w:highlight w:val="none"/>
          <w:u w:val="single"/>
        </w:rPr>
      </w:pPr>
      <w:r>
        <w:rPr>
          <w:rFonts w:eastAsia="仿宋_GB2312"/>
          <w:color w:val="auto"/>
          <w:highlight w:val="none"/>
          <w:u w:val="single"/>
        </w:rPr>
        <w:t>d、</w:t>
      </w:r>
      <w:r>
        <w:rPr>
          <w:rFonts w:hint="eastAsia" w:eastAsia="仿宋_GB2312"/>
          <w:color w:val="auto"/>
          <w:highlight w:val="none"/>
          <w:u w:val="single"/>
        </w:rPr>
        <w:t>发包人每次付款前，承包人应向发包人开具等额有效的增值税专用发票原件，</w:t>
      </w:r>
      <w:r>
        <w:rPr>
          <w:rFonts w:eastAsia="仿宋_GB2312"/>
          <w:color w:val="auto"/>
          <w:highlight w:val="none"/>
          <w:u w:val="single"/>
        </w:rPr>
        <w:t>承包人未按发包人要求开具增值税发票原件的，发包人有权拒绝付款，且不承担任何责任。</w:t>
      </w:r>
      <w:r>
        <w:rPr>
          <w:rFonts w:hint="eastAsia" w:eastAsia="仿宋_GB2312"/>
          <w:color w:val="auto"/>
          <w:highlight w:val="none"/>
          <w:u w:val="single"/>
        </w:rPr>
        <w:t>发包人付款至结算审计总价的100</w:t>
      </w:r>
      <w:r>
        <w:rPr>
          <w:rFonts w:eastAsia="仿宋_GB2312"/>
          <w:color w:val="auto"/>
          <w:highlight w:val="none"/>
          <w:u w:val="single"/>
        </w:rPr>
        <w:t>%前，承包人应向发包人开具</w:t>
      </w:r>
      <w:r>
        <w:rPr>
          <w:rFonts w:hint="eastAsia" w:eastAsia="仿宋_GB2312"/>
          <w:color w:val="auto"/>
          <w:highlight w:val="none"/>
          <w:u w:val="single"/>
        </w:rPr>
        <w:t>相应</w:t>
      </w:r>
      <w:r>
        <w:rPr>
          <w:rFonts w:eastAsia="仿宋_GB2312"/>
          <w:color w:val="auto"/>
          <w:highlight w:val="none"/>
          <w:u w:val="single"/>
        </w:rPr>
        <w:t>金额的增值税专用发票原件。</w:t>
      </w:r>
    </w:p>
    <w:p w14:paraId="73B72950">
      <w:pPr>
        <w:snapToGrid w:val="0"/>
        <w:spacing w:line="300" w:lineRule="auto"/>
        <w:ind w:firstLine="480" w:firstLineChars="200"/>
        <w:jc w:val="left"/>
        <w:rPr>
          <w:rFonts w:eastAsia="仿宋_GB2312"/>
          <w:color w:val="auto"/>
          <w:sz w:val="24"/>
          <w:highlight w:val="none"/>
          <w:u w:val="single"/>
        </w:rPr>
      </w:pPr>
      <w:r>
        <w:rPr>
          <w:rFonts w:hint="eastAsia" w:eastAsia="仿宋_GB2312"/>
          <w:color w:val="auto"/>
          <w:sz w:val="24"/>
          <w:highlight w:val="none"/>
          <w:u w:val="single"/>
        </w:rPr>
        <w:t>e、施工中发现不合格项目或质量事故时，发包人有权暂缓支付工程进度款，待整改后再予支付。承包人应及时进行整改，同时把整改措施以书面形式报发包人存档备查，整改工作应在当次申请进度款之前完成，并请发包人复查通过，否则相应工程款顺延。已完工程量报告经监理人、发包人审定。</w:t>
      </w:r>
    </w:p>
    <w:p w14:paraId="54B8D141">
      <w:pPr>
        <w:snapToGrid w:val="0"/>
        <w:spacing w:line="300" w:lineRule="auto"/>
        <w:ind w:firstLine="480" w:firstLineChars="200"/>
        <w:jc w:val="left"/>
        <w:rPr>
          <w:rFonts w:eastAsia="仿宋_GB2312"/>
          <w:color w:val="auto"/>
          <w:sz w:val="24"/>
          <w:highlight w:val="none"/>
          <w:u w:val="single"/>
        </w:rPr>
      </w:pPr>
      <w:r>
        <w:rPr>
          <w:rFonts w:hint="eastAsia" w:eastAsia="仿宋_GB2312"/>
          <w:color w:val="auto"/>
          <w:sz w:val="24"/>
          <w:highlight w:val="none"/>
          <w:u w:val="single"/>
        </w:rPr>
        <w:t>f、总包管理和配合服务费在分包工程竣工验收合格后，提交的竣工资料档案馆备案完成后且经相关分包单位及发包人签字确认实际配合情况良好后一次性支付。</w:t>
      </w:r>
    </w:p>
    <w:p w14:paraId="514099BB">
      <w:pPr>
        <w:pStyle w:val="45"/>
        <w:tabs>
          <w:tab w:val="right" w:leader="dot" w:pos="8296"/>
        </w:tabs>
        <w:snapToGrid w:val="0"/>
        <w:spacing w:line="300" w:lineRule="auto"/>
        <w:ind w:firstLine="480" w:firstLineChars="200"/>
        <w:jc w:val="left"/>
        <w:rPr>
          <w:rFonts w:eastAsia="仿宋_GB2312"/>
          <w:color w:val="auto"/>
          <w:sz w:val="24"/>
          <w:highlight w:val="none"/>
          <w:u w:val="single"/>
        </w:rPr>
      </w:pPr>
      <w:r>
        <w:rPr>
          <w:rFonts w:hint="eastAsia" w:eastAsia="仿宋_GB2312"/>
          <w:color w:val="auto"/>
          <w:sz w:val="24"/>
          <w:highlight w:val="none"/>
          <w:u w:val="single"/>
        </w:rPr>
        <w:t>g、由建设单位代付的所有费用包括但不限于水电费、第三方材料检测费，及应由承包人支付的违约金等，应在结算审计时予以扣除。</w:t>
      </w:r>
    </w:p>
    <w:p w14:paraId="36568316">
      <w:pPr>
        <w:snapToGrid w:val="0"/>
        <w:spacing w:line="300" w:lineRule="auto"/>
        <w:ind w:firstLine="480" w:firstLineChars="200"/>
        <w:jc w:val="left"/>
        <w:rPr>
          <w:color w:val="auto"/>
          <w:highlight w:val="none"/>
          <w:u w:val="single"/>
        </w:rPr>
      </w:pPr>
      <w:r>
        <w:rPr>
          <w:rFonts w:hint="eastAsia" w:eastAsia="仿宋_GB2312"/>
          <w:color w:val="auto"/>
          <w:sz w:val="24"/>
          <w:highlight w:val="none"/>
          <w:u w:val="single"/>
        </w:rPr>
        <w:t>h、</w:t>
      </w:r>
      <w:r>
        <w:rPr>
          <w:color w:val="auto"/>
          <w:highlight w:val="none"/>
          <w:u w:val="single"/>
        </w:rPr>
        <w:t>工资性工程进度款按月拨付。</w:t>
      </w:r>
    </w:p>
    <w:p w14:paraId="2FEFA8E7">
      <w:pPr>
        <w:pStyle w:val="45"/>
        <w:tabs>
          <w:tab w:val="right" w:leader="dot" w:pos="8296"/>
        </w:tabs>
        <w:snapToGrid w:val="0"/>
        <w:spacing w:line="300" w:lineRule="auto"/>
        <w:ind w:firstLine="480" w:firstLineChars="200"/>
        <w:jc w:val="left"/>
        <w:rPr>
          <w:rFonts w:eastAsia="仿宋_GB2312"/>
          <w:color w:val="auto"/>
          <w:sz w:val="24"/>
          <w:highlight w:val="none"/>
          <w:u w:val="single"/>
        </w:rPr>
      </w:pPr>
      <w:r>
        <w:rPr>
          <w:rFonts w:eastAsia="仿宋_GB2312"/>
          <w:color w:val="auto"/>
          <w:sz w:val="24"/>
          <w:highlight w:val="none"/>
          <w:u w:val="single"/>
        </w:rPr>
        <w:t>上述各项费用的每笔款项支付前，承包人必须提供收款单位与本合同签订单位一致的正规、等额、合法、有效的正式发票，否则发包人有权拒绝付款并不承担逾期付款的违约责任。</w:t>
      </w:r>
    </w:p>
    <w:p w14:paraId="182F6B74">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发包人的开票主体信息如下：</w:t>
      </w:r>
    </w:p>
    <w:p w14:paraId="6E3A0A31">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 xml:space="preserve">公司名称（全称）： </w:t>
      </w:r>
    </w:p>
    <w:p w14:paraId="43A5FDD3">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 xml:space="preserve">纳税人识别号： </w:t>
      </w:r>
    </w:p>
    <w:p w14:paraId="52076397">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 xml:space="preserve">银行账户： </w:t>
      </w:r>
      <w:r>
        <w:rPr>
          <w:rFonts w:eastAsia="仿宋_GB2312"/>
          <w:color w:val="auto"/>
          <w:highlight w:val="none"/>
          <w:u w:val="single"/>
        </w:rPr>
        <w:t xml:space="preserve">     开户银行：</w:t>
      </w:r>
      <w:r>
        <w:rPr>
          <w:rFonts w:hint="eastAsia" w:eastAsia="仿宋_GB2312"/>
          <w:color w:val="auto"/>
          <w:highlight w:val="none"/>
          <w:u w:val="single"/>
        </w:rPr>
        <w:t xml:space="preserve"> </w:t>
      </w:r>
    </w:p>
    <w:p w14:paraId="00846CD4">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 xml:space="preserve">地址： </w:t>
      </w:r>
      <w:r>
        <w:rPr>
          <w:rFonts w:eastAsia="仿宋_GB2312"/>
          <w:color w:val="auto"/>
          <w:highlight w:val="none"/>
          <w:u w:val="single"/>
        </w:rPr>
        <w:t xml:space="preserve">     </w:t>
      </w:r>
      <w:r>
        <w:rPr>
          <w:rFonts w:hint="eastAsia" w:eastAsia="仿宋_GB2312"/>
          <w:color w:val="auto"/>
          <w:highlight w:val="none"/>
          <w:u w:val="single"/>
        </w:rPr>
        <w:t xml:space="preserve">    </w:t>
      </w:r>
      <w:r>
        <w:rPr>
          <w:rFonts w:eastAsia="仿宋_GB2312"/>
          <w:color w:val="auto"/>
          <w:highlight w:val="none"/>
          <w:u w:val="single"/>
        </w:rPr>
        <w:t>电话：</w:t>
      </w:r>
      <w:r>
        <w:rPr>
          <w:rFonts w:hint="eastAsia" w:eastAsia="仿宋_GB2312"/>
          <w:color w:val="auto"/>
          <w:highlight w:val="none"/>
          <w:u w:val="single"/>
        </w:rPr>
        <w:t xml:space="preserve">     </w:t>
      </w:r>
    </w:p>
    <w:p w14:paraId="734FB3BD">
      <w:pPr>
        <w:pStyle w:val="897"/>
        <w:adjustRightInd w:val="0"/>
        <w:snapToGrid w:val="0"/>
        <w:spacing w:line="300" w:lineRule="auto"/>
        <w:ind w:left="0" w:leftChars="0" w:firstLine="480"/>
        <w:jc w:val="left"/>
        <w:rPr>
          <w:rFonts w:eastAsia="仿宋_GB2312"/>
          <w:color w:val="auto"/>
          <w:highlight w:val="none"/>
          <w:u w:val="single"/>
        </w:rPr>
      </w:pPr>
      <w:r>
        <w:rPr>
          <w:rFonts w:hint="eastAsia" w:eastAsia="仿宋_GB2312"/>
          <w:color w:val="auto"/>
          <w:highlight w:val="none"/>
          <w:u w:val="single"/>
        </w:rPr>
        <w:t>承包人的计税方法为：</w:t>
      </w:r>
      <w:r>
        <w:rPr>
          <w:rFonts w:hint="eastAsia" w:eastAsia="仿宋_GB2312"/>
          <w:color w:val="auto"/>
          <w:highlight w:val="none"/>
          <w:u w:val="single"/>
        </w:rPr>
        <w:sym w:font="Wingdings 2" w:char="0052"/>
      </w:r>
      <w:r>
        <w:rPr>
          <w:rFonts w:hint="eastAsia" w:eastAsia="仿宋_GB2312"/>
          <w:color w:val="auto"/>
          <w:highlight w:val="none"/>
          <w:u w:val="single"/>
        </w:rPr>
        <w:t>一般计税方法（税率【</w:t>
      </w:r>
      <w:r>
        <w:rPr>
          <w:rFonts w:eastAsia="仿宋_GB2312"/>
          <w:color w:val="auto"/>
          <w:highlight w:val="none"/>
          <w:u w:val="single"/>
        </w:rPr>
        <w:t xml:space="preserve">  】%）；□简易计税方法（征收率【   】%）。</w:t>
      </w:r>
    </w:p>
    <w:p w14:paraId="53AF58BD">
      <w:pPr>
        <w:adjustRightInd/>
        <w:spacing w:line="300" w:lineRule="auto"/>
        <w:ind w:firstLine="480" w:firstLineChars="200"/>
        <w:rPr>
          <w:rFonts w:eastAsia="仿宋_GB2312"/>
          <w:color w:val="auto"/>
          <w:sz w:val="24"/>
          <w:highlight w:val="none"/>
        </w:rPr>
      </w:pPr>
      <w:r>
        <w:rPr>
          <w:rFonts w:eastAsia="仿宋_GB2312"/>
          <w:color w:val="auto"/>
          <w:sz w:val="24"/>
          <w:highlight w:val="none"/>
        </w:rPr>
        <w:t>1</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r>
        <w:rPr>
          <w:rFonts w:eastAsia="仿宋_GB2312"/>
          <w:color w:val="auto"/>
          <w:sz w:val="24"/>
          <w:highlight w:val="none"/>
        </w:rPr>
        <w:t>2.4.3 进度付款申请单的提交</w:t>
      </w:r>
    </w:p>
    <w:p w14:paraId="08EC3271">
      <w:pPr>
        <w:adjustRightInd/>
        <w:spacing w:line="300" w:lineRule="auto"/>
        <w:ind w:firstLine="480" w:firstLineChars="200"/>
        <w:rPr>
          <w:rFonts w:eastAsia="仿宋_GB2312"/>
          <w:color w:val="auto"/>
          <w:sz w:val="24"/>
          <w:highlight w:val="none"/>
        </w:rPr>
      </w:pPr>
      <w:r>
        <w:rPr>
          <w:rFonts w:eastAsia="仿宋_GB2312"/>
          <w:color w:val="auto"/>
          <w:sz w:val="24"/>
          <w:highlight w:val="none"/>
        </w:rPr>
        <w:t>（1）单价合同进度付款申请单提交的约定</w:t>
      </w:r>
      <w:r>
        <w:rPr>
          <w:rFonts w:hint="eastAsia" w:eastAsia="仿宋_GB2312"/>
          <w:color w:val="auto"/>
          <w:sz w:val="24"/>
          <w:highlight w:val="none"/>
        </w:rPr>
        <w:t>：</w:t>
      </w:r>
      <w:r>
        <w:rPr>
          <w:rFonts w:hint="eastAsia" w:eastAsia="仿宋_GB2312"/>
          <w:color w:val="auto"/>
          <w:sz w:val="24"/>
          <w:highlight w:val="none"/>
          <w:u w:val="single"/>
        </w:rPr>
        <w:t>在工程量经发包人审核后提交，具体时间详见第12.3.3款</w:t>
      </w:r>
      <w:r>
        <w:rPr>
          <w:rFonts w:eastAsia="仿宋_GB2312"/>
          <w:color w:val="auto"/>
          <w:sz w:val="24"/>
          <w:highlight w:val="none"/>
        </w:rPr>
        <w:t>。</w:t>
      </w:r>
    </w:p>
    <w:p w14:paraId="6857BC1D">
      <w:pPr>
        <w:adjustRightInd/>
        <w:spacing w:line="300" w:lineRule="auto"/>
        <w:ind w:firstLine="480" w:firstLineChars="200"/>
        <w:rPr>
          <w:rFonts w:eastAsia="仿宋_GB2312"/>
          <w:color w:val="auto"/>
          <w:sz w:val="24"/>
          <w:highlight w:val="none"/>
        </w:rPr>
      </w:pPr>
      <w:r>
        <w:rPr>
          <w:rFonts w:eastAsia="仿宋_GB2312"/>
          <w:color w:val="auto"/>
          <w:sz w:val="24"/>
          <w:highlight w:val="none"/>
        </w:rPr>
        <w:t>（2）总价合同进度付款申请单提交的约定</w:t>
      </w:r>
      <w:r>
        <w:rPr>
          <w:rFonts w:hint="eastAsia" w:eastAsia="仿宋_GB2312"/>
          <w:color w:val="auto"/>
          <w:sz w:val="24"/>
          <w:highlight w:val="none"/>
        </w:rPr>
        <w:t>：</w:t>
      </w:r>
      <w:r>
        <w:rPr>
          <w:rFonts w:hint="eastAsia" w:eastAsia="仿宋_GB2312"/>
          <w:color w:val="auto"/>
          <w:sz w:val="24"/>
          <w:highlight w:val="none"/>
          <w:u w:val="single"/>
        </w:rPr>
        <w:t xml:space="preserve"> /</w:t>
      </w:r>
      <w:r>
        <w:rPr>
          <w:rFonts w:eastAsia="仿宋_GB2312"/>
          <w:color w:val="auto"/>
          <w:sz w:val="24"/>
          <w:highlight w:val="none"/>
        </w:rPr>
        <w:t>。</w:t>
      </w:r>
    </w:p>
    <w:p w14:paraId="08D8A50A">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（3）其他价格形式合同进度付款申请单提交的约定：</w:t>
      </w:r>
      <w:r>
        <w:rPr>
          <w:rFonts w:hint="eastAsia" w:eastAsia="仿宋_GB2312"/>
          <w:color w:val="auto"/>
          <w:sz w:val="24"/>
          <w:highlight w:val="none"/>
          <w:u w:val="single"/>
        </w:rPr>
        <w:t>/</w:t>
      </w:r>
      <w:r>
        <w:rPr>
          <w:rFonts w:eastAsia="仿宋_GB2312"/>
          <w:color w:val="auto"/>
          <w:sz w:val="24"/>
          <w:highlight w:val="none"/>
        </w:rPr>
        <w:t>。</w:t>
      </w:r>
    </w:p>
    <w:p w14:paraId="7A4037D0">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12.4.4 进度款审核和支付</w:t>
      </w:r>
    </w:p>
    <w:p w14:paraId="0CAA15D6">
      <w:pPr>
        <w:pStyle w:val="897"/>
        <w:adjustRightInd w:val="0"/>
        <w:snapToGrid w:val="0"/>
        <w:spacing w:line="300" w:lineRule="auto"/>
        <w:ind w:left="0" w:leftChars="0" w:firstLine="480"/>
        <w:jc w:val="left"/>
        <w:rPr>
          <w:rFonts w:eastAsia="仿宋_GB2312"/>
          <w:color w:val="auto"/>
          <w:highlight w:val="none"/>
          <w:u w:val="single"/>
        </w:rPr>
      </w:pPr>
      <w:r>
        <w:rPr>
          <w:rFonts w:eastAsia="仿宋_GB2312"/>
          <w:color w:val="auto"/>
          <w:highlight w:val="none"/>
        </w:rPr>
        <w:t>（1）监理人审查并报送发包人的期限：</w:t>
      </w:r>
      <w:r>
        <w:rPr>
          <w:rFonts w:hint="eastAsia" w:eastAsia="仿宋_GB2312"/>
          <w:color w:val="auto"/>
          <w:highlight w:val="none"/>
          <w:u w:val="single"/>
        </w:rPr>
        <w:t xml:space="preserve">    /      。</w:t>
      </w:r>
    </w:p>
    <w:p w14:paraId="74145C2D">
      <w:pPr>
        <w:pStyle w:val="897"/>
        <w:adjustRightInd w:val="0"/>
        <w:snapToGrid w:val="0"/>
        <w:spacing w:line="300" w:lineRule="auto"/>
        <w:ind w:left="0" w:leftChars="0" w:firstLine="480"/>
        <w:jc w:val="left"/>
        <w:rPr>
          <w:rFonts w:eastAsia="仿宋_GB2312"/>
          <w:color w:val="auto"/>
          <w:highlight w:val="none"/>
          <w:u w:val="single"/>
        </w:rPr>
      </w:pPr>
      <w:r>
        <w:rPr>
          <w:rFonts w:eastAsia="仿宋_GB2312"/>
          <w:color w:val="auto"/>
          <w:highlight w:val="none"/>
        </w:rPr>
        <w:t>发包人完成审批并签发进度款支付证书的期限：</w:t>
      </w:r>
      <w:r>
        <w:rPr>
          <w:rFonts w:hint="eastAsia" w:eastAsia="仿宋_GB2312"/>
          <w:color w:val="auto"/>
          <w:highlight w:val="none"/>
          <w:u w:val="single"/>
        </w:rPr>
        <w:t xml:space="preserve">    /      。</w:t>
      </w:r>
    </w:p>
    <w:p w14:paraId="4C211558">
      <w:pPr>
        <w:pStyle w:val="897"/>
        <w:adjustRightInd w:val="0"/>
        <w:snapToGrid w:val="0"/>
        <w:spacing w:line="300" w:lineRule="auto"/>
        <w:ind w:left="0" w:leftChars="0" w:firstLine="480"/>
        <w:jc w:val="left"/>
        <w:rPr>
          <w:rFonts w:eastAsia="仿宋_GB2312"/>
          <w:color w:val="auto"/>
          <w:highlight w:val="none"/>
          <w:u w:val="single"/>
        </w:rPr>
      </w:pPr>
      <w:r>
        <w:rPr>
          <w:rFonts w:eastAsia="仿宋_GB2312"/>
          <w:color w:val="auto"/>
          <w:highlight w:val="none"/>
        </w:rPr>
        <w:t>（2）发包人支付进度款的期限：</w:t>
      </w:r>
      <w:r>
        <w:rPr>
          <w:rFonts w:hint="eastAsia" w:eastAsia="仿宋_GB2312"/>
          <w:color w:val="auto"/>
          <w:highlight w:val="none"/>
          <w:u w:val="single"/>
        </w:rPr>
        <w:t xml:space="preserve">    /      。</w:t>
      </w:r>
    </w:p>
    <w:p w14:paraId="2C3CB97F">
      <w:pPr>
        <w:snapToGrid w:val="0"/>
        <w:spacing w:line="300" w:lineRule="auto"/>
        <w:ind w:firstLine="480" w:firstLineChars="200"/>
        <w:jc w:val="left"/>
        <w:rPr>
          <w:rFonts w:eastAsia="仿宋_GB2312"/>
          <w:color w:val="auto"/>
          <w:sz w:val="24"/>
          <w:highlight w:val="none"/>
          <w:u w:val="single"/>
        </w:rPr>
      </w:pPr>
      <w:r>
        <w:rPr>
          <w:rFonts w:eastAsia="仿宋_GB2312"/>
          <w:color w:val="auto"/>
          <w:sz w:val="24"/>
          <w:highlight w:val="none"/>
        </w:rPr>
        <w:t>发包人逾期支付进度款的违约金的计算方式：</w:t>
      </w:r>
      <w:r>
        <w:rPr>
          <w:rFonts w:hint="eastAsia" w:eastAsia="仿宋_GB2312"/>
          <w:color w:val="auto"/>
          <w:sz w:val="24"/>
          <w:highlight w:val="none"/>
          <w:u w:val="single"/>
        </w:rPr>
        <w:t xml:space="preserve"> /     </w:t>
      </w:r>
      <w:r>
        <w:rPr>
          <w:rFonts w:eastAsia="仿宋_GB2312"/>
          <w:color w:val="auto"/>
          <w:sz w:val="24"/>
          <w:highlight w:val="none"/>
        </w:rPr>
        <w:t>。</w:t>
      </w:r>
    </w:p>
    <w:p w14:paraId="30A4FF86">
      <w:pPr>
        <w:adjustRightInd/>
        <w:spacing w:line="300" w:lineRule="auto"/>
        <w:ind w:firstLine="600" w:firstLineChars="250"/>
        <w:rPr>
          <w:rFonts w:eastAsia="仿宋_GB2312"/>
          <w:color w:val="auto"/>
          <w:sz w:val="24"/>
          <w:highlight w:val="none"/>
        </w:rPr>
      </w:pPr>
      <w:r>
        <w:rPr>
          <w:rFonts w:eastAsia="仿宋_GB2312"/>
          <w:color w:val="auto"/>
          <w:sz w:val="24"/>
          <w:highlight w:val="none"/>
        </w:rPr>
        <w:t>12.4.6 支付分解表的编制</w:t>
      </w:r>
    </w:p>
    <w:p w14:paraId="44EB8EF9">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总价合同支付分解表的编制与审批：</w:t>
      </w:r>
      <w:r>
        <w:rPr>
          <w:rFonts w:hint="eastAsia" w:eastAsia="仿宋_GB2312"/>
          <w:color w:val="auto"/>
          <w:sz w:val="24"/>
          <w:highlight w:val="none"/>
          <w:u w:val="single"/>
        </w:rPr>
        <w:t>/</w:t>
      </w:r>
      <w:r>
        <w:rPr>
          <w:rFonts w:eastAsia="仿宋_GB2312"/>
          <w:color w:val="auto"/>
          <w:sz w:val="24"/>
          <w:highlight w:val="none"/>
        </w:rPr>
        <w:t>。</w:t>
      </w:r>
    </w:p>
    <w:bookmarkEnd w:id="751"/>
    <w:p w14:paraId="1BD8B163">
      <w:pPr>
        <w:pStyle w:val="8"/>
        <w:spacing w:before="0" w:after="0" w:line="300" w:lineRule="auto"/>
        <w:rPr>
          <w:rFonts w:ascii="Times New Roman" w:hAnsi="Times New Roman"/>
          <w:b w:val="0"/>
          <w:color w:val="auto"/>
          <w:sz w:val="24"/>
          <w:szCs w:val="24"/>
          <w:highlight w:val="none"/>
        </w:rPr>
      </w:pPr>
      <w:bookmarkStart w:id="916" w:name="_Toc351203645"/>
      <w:bookmarkStart w:id="917" w:name="_Toc296346720"/>
      <w:bookmarkStart w:id="918" w:name="_Toc304295593"/>
      <w:bookmarkStart w:id="919" w:name="_Toc297216223"/>
      <w:bookmarkStart w:id="920" w:name="_Toc297120519"/>
      <w:bookmarkStart w:id="921" w:name="_Toc296503219"/>
      <w:bookmarkStart w:id="922" w:name="_Toc292559424"/>
      <w:bookmarkStart w:id="923" w:name="_Toc303539172"/>
      <w:bookmarkStart w:id="924" w:name="_Toc296944558"/>
      <w:bookmarkStart w:id="925" w:name="_Toc292559929"/>
      <w:bookmarkStart w:id="926" w:name="_Toc296347218"/>
      <w:bookmarkStart w:id="927" w:name="_Toc297123564"/>
      <w:bookmarkStart w:id="928" w:name="_Toc300935015"/>
      <w:bookmarkStart w:id="929" w:name="_Toc297048405"/>
      <w:bookmarkStart w:id="930" w:name="_Toc296891047"/>
      <w:bookmarkStart w:id="931" w:name="_Toc296891259"/>
      <w:bookmarkStart w:id="932" w:name="_Toc312678053"/>
      <w:r>
        <w:rPr>
          <w:rFonts w:ascii="Times New Roman" w:hAnsi="Times New Roman"/>
          <w:b w:val="0"/>
          <w:color w:val="auto"/>
          <w:sz w:val="24"/>
          <w:szCs w:val="24"/>
          <w:highlight w:val="none"/>
        </w:rPr>
        <w:t>13.验收和工程试车</w:t>
      </w:r>
      <w:bookmarkEnd w:id="916"/>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6319EF04">
      <w:pPr>
        <w:adjustRightInd/>
        <w:spacing w:line="300" w:lineRule="auto"/>
        <w:ind w:firstLine="480" w:firstLineChars="200"/>
        <w:rPr>
          <w:rFonts w:eastAsia="黑体"/>
          <w:color w:val="auto"/>
          <w:sz w:val="24"/>
          <w:highlight w:val="none"/>
        </w:rPr>
      </w:pPr>
      <w:r>
        <w:rPr>
          <w:rFonts w:eastAsia="黑体"/>
          <w:color w:val="auto"/>
          <w:sz w:val="24"/>
          <w:highlight w:val="none"/>
        </w:rPr>
        <w:t>13.1 分部分项工程验收</w:t>
      </w:r>
    </w:p>
    <w:p w14:paraId="74F3544D">
      <w:pPr>
        <w:adjustRightInd/>
        <w:spacing w:line="300" w:lineRule="auto"/>
        <w:ind w:firstLine="480" w:firstLineChars="200"/>
        <w:rPr>
          <w:rFonts w:eastAsia="仿宋_GB2312"/>
          <w:color w:val="auto"/>
          <w:sz w:val="24"/>
          <w:highlight w:val="none"/>
        </w:rPr>
      </w:pPr>
      <w:r>
        <w:rPr>
          <w:rFonts w:eastAsia="仿宋_GB2312"/>
          <w:color w:val="auto"/>
          <w:sz w:val="24"/>
          <w:highlight w:val="none"/>
        </w:rPr>
        <w:t>13.1.2监理人不能按时进行验收时，应提前</w:t>
      </w:r>
      <w:r>
        <w:rPr>
          <w:rFonts w:hint="eastAsia" w:eastAsia="仿宋_GB2312"/>
          <w:color w:val="auto"/>
          <w:sz w:val="24"/>
          <w:highlight w:val="none"/>
          <w:u w:val="single"/>
        </w:rPr>
        <w:t>24</w:t>
      </w:r>
      <w:r>
        <w:rPr>
          <w:rFonts w:eastAsia="仿宋_GB2312"/>
          <w:color w:val="auto"/>
          <w:sz w:val="24"/>
          <w:highlight w:val="none"/>
        </w:rPr>
        <w:t>小时提交书面延期要求。</w:t>
      </w:r>
    </w:p>
    <w:p w14:paraId="35F604BC">
      <w:pPr>
        <w:adjustRightInd/>
        <w:spacing w:line="300" w:lineRule="auto"/>
        <w:ind w:firstLine="480" w:firstLineChars="200"/>
        <w:rPr>
          <w:rFonts w:eastAsia="仿宋_GB2312"/>
          <w:b/>
          <w:color w:val="auto"/>
          <w:sz w:val="24"/>
          <w:highlight w:val="none"/>
        </w:rPr>
      </w:pPr>
      <w:r>
        <w:rPr>
          <w:rFonts w:eastAsia="仿宋_GB2312"/>
          <w:color w:val="auto"/>
          <w:sz w:val="24"/>
          <w:highlight w:val="none"/>
        </w:rPr>
        <w:t>关于延期最长不得超过：</w:t>
      </w:r>
      <w:r>
        <w:rPr>
          <w:rFonts w:hint="eastAsia" w:eastAsia="仿宋_GB2312"/>
          <w:color w:val="auto"/>
          <w:sz w:val="24"/>
          <w:highlight w:val="none"/>
          <w:u w:val="single"/>
        </w:rPr>
        <w:t>48</w:t>
      </w:r>
      <w:r>
        <w:rPr>
          <w:rFonts w:eastAsia="仿宋_GB2312"/>
          <w:color w:val="auto"/>
          <w:sz w:val="24"/>
          <w:highlight w:val="none"/>
        </w:rPr>
        <w:t>小时。</w:t>
      </w:r>
    </w:p>
    <w:p w14:paraId="3A207664">
      <w:pPr>
        <w:adjustRightInd/>
        <w:spacing w:line="300" w:lineRule="auto"/>
        <w:ind w:firstLine="480" w:firstLineChars="200"/>
        <w:rPr>
          <w:rFonts w:eastAsia="黑体"/>
          <w:color w:val="auto"/>
          <w:sz w:val="24"/>
          <w:highlight w:val="none"/>
        </w:rPr>
      </w:pPr>
      <w:bookmarkStart w:id="933" w:name="_Toc292559428"/>
      <w:bookmarkStart w:id="934" w:name="_Toc312678056"/>
      <w:bookmarkStart w:id="935" w:name="_Toc292559933"/>
      <w:bookmarkStart w:id="936" w:name="_Toc300935016"/>
      <w:bookmarkStart w:id="937" w:name="_Toc297216224"/>
      <w:bookmarkStart w:id="938" w:name="_Toc303539173"/>
      <w:bookmarkStart w:id="939" w:name="_Toc297120523"/>
      <w:bookmarkStart w:id="940" w:name="_Toc296346724"/>
      <w:bookmarkStart w:id="941" w:name="_Toc296891263"/>
      <w:bookmarkStart w:id="942" w:name="_Toc296891051"/>
      <w:bookmarkStart w:id="943" w:name="_Toc304295596"/>
      <w:bookmarkStart w:id="944" w:name="_Toc297123565"/>
      <w:bookmarkStart w:id="945" w:name="_Toc296944562"/>
      <w:bookmarkStart w:id="946" w:name="_Toc296347222"/>
      <w:bookmarkStart w:id="947" w:name="_Toc296503223"/>
      <w:bookmarkStart w:id="948" w:name="_Toc297048409"/>
      <w:bookmarkStart w:id="949" w:name="_Toc267251475"/>
      <w:bookmarkStart w:id="950" w:name="_Toc267251474"/>
      <w:bookmarkStart w:id="951" w:name="_Toc267251476"/>
      <w:bookmarkStart w:id="952" w:name="_Toc267251472"/>
      <w:bookmarkStart w:id="953" w:name="_Toc267251470"/>
      <w:bookmarkStart w:id="954" w:name="_Toc267251471"/>
      <w:bookmarkStart w:id="955" w:name="_Toc267251473"/>
      <w:r>
        <w:rPr>
          <w:rFonts w:eastAsia="黑体"/>
          <w:color w:val="auto"/>
          <w:sz w:val="24"/>
          <w:highlight w:val="none"/>
        </w:rPr>
        <w:t>13.2 竣工验收</w:t>
      </w:r>
    </w:p>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14:paraId="0A6AA8DB">
      <w:pPr>
        <w:adjustRightInd/>
        <w:spacing w:line="300" w:lineRule="auto"/>
        <w:ind w:firstLine="480" w:firstLineChars="200"/>
        <w:rPr>
          <w:rFonts w:eastAsia="仿宋_GB2312"/>
          <w:color w:val="auto"/>
          <w:sz w:val="24"/>
          <w:highlight w:val="none"/>
        </w:rPr>
      </w:pPr>
      <w:bookmarkStart w:id="956" w:name="_Toc280868704"/>
      <w:bookmarkStart w:id="957" w:name="_Toc280868705"/>
      <w:bookmarkStart w:id="958" w:name="_Toc280868706"/>
      <w:bookmarkStart w:id="959" w:name="_Toc280868707"/>
      <w:bookmarkStart w:id="960" w:name="_Toc280868708"/>
      <w:bookmarkStart w:id="961" w:name="_Toc280868709"/>
      <w:r>
        <w:rPr>
          <w:rFonts w:eastAsia="仿宋_GB2312"/>
          <w:color w:val="auto"/>
          <w:sz w:val="24"/>
          <w:highlight w:val="none"/>
        </w:rPr>
        <w:t>13.2.2竣工验收程序</w:t>
      </w:r>
    </w:p>
    <w:bookmarkEnd w:id="956"/>
    <w:p w14:paraId="38DC9AD2">
      <w:pPr>
        <w:pStyle w:val="897"/>
        <w:spacing w:line="300" w:lineRule="auto"/>
        <w:ind w:left="420" w:firstLine="482" w:firstLineChars="0"/>
        <w:rPr>
          <w:rFonts w:eastAsia="仿宋_GB2312"/>
          <w:color w:val="auto"/>
          <w:highlight w:val="none"/>
        </w:rPr>
      </w:pPr>
      <w:r>
        <w:rPr>
          <w:rFonts w:eastAsia="仿宋_GB2312"/>
          <w:color w:val="auto"/>
          <w:highlight w:val="none"/>
        </w:rPr>
        <w:t>关于竣工验收程序的约定：</w:t>
      </w:r>
      <w:r>
        <w:rPr>
          <w:rFonts w:hint="eastAsia" w:eastAsia="仿宋_GB2312"/>
          <w:color w:val="auto"/>
          <w:highlight w:val="none"/>
        </w:rPr>
        <w:t>除按通用条款执行外，竣工验收还应符合以下要求:</w:t>
      </w:r>
    </w:p>
    <w:p w14:paraId="022C4C26">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(1)工程竣工时承包人应按《杭州市房屋建筑工程和市政基础工程竣工验收备案管理实施细则》办理工程竣工验收手续。</w:t>
      </w:r>
    </w:p>
    <w:p w14:paraId="787209D2">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(2)工程竣工验收通过且发包人已签发工程接收证书后（20）日内，承包人须无条件向发包人移交全部工程，逾期移交的，每逾期一日，扣罚工程总价的0.1%。同时，承包人移交所有工程之前，发包人有权拒绝支付工程款。</w:t>
      </w:r>
    </w:p>
    <w:p w14:paraId="49EFAA16">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3）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A5CF506">
      <w:pPr>
        <w:adjustRightInd/>
        <w:spacing w:line="300" w:lineRule="auto"/>
        <w:ind w:firstLine="480" w:firstLineChars="200"/>
        <w:jc w:val="left"/>
        <w:rPr>
          <w:rFonts w:eastAsia="仿宋_GB2312"/>
          <w:color w:val="auto"/>
          <w:sz w:val="24"/>
          <w:highlight w:val="none"/>
          <w:u w:val="single"/>
        </w:rPr>
      </w:pPr>
      <w:r>
        <w:rPr>
          <w:rFonts w:eastAsia="仿宋_GB2312"/>
          <w:color w:val="auto"/>
          <w:sz w:val="24"/>
          <w:highlight w:val="none"/>
        </w:rPr>
        <w:t>发包人不按照本项约定组织竣工验收、颁发工程接收证书的违约金的计算方法：</w:t>
      </w:r>
      <w:r>
        <w:rPr>
          <w:rFonts w:hint="eastAsia" w:eastAsia="仿宋_GB2312"/>
          <w:color w:val="auto"/>
          <w:sz w:val="24"/>
          <w:highlight w:val="none"/>
          <w:u w:val="single"/>
        </w:rPr>
        <w:t xml:space="preserve">    /         </w:t>
      </w:r>
      <w:r>
        <w:rPr>
          <w:rFonts w:eastAsia="仿宋_GB2312"/>
          <w:color w:val="auto"/>
          <w:sz w:val="24"/>
          <w:highlight w:val="none"/>
        </w:rPr>
        <w:t>。</w:t>
      </w:r>
    </w:p>
    <w:bookmarkEnd w:id="957"/>
    <w:p w14:paraId="2B30914A">
      <w:pPr>
        <w:adjustRightInd/>
        <w:spacing w:line="300" w:lineRule="auto"/>
        <w:ind w:firstLine="480" w:firstLineChars="200"/>
        <w:rPr>
          <w:rFonts w:eastAsia="仿宋_GB2312"/>
          <w:color w:val="auto"/>
          <w:sz w:val="24"/>
          <w:highlight w:val="none"/>
        </w:rPr>
      </w:pPr>
      <w:r>
        <w:rPr>
          <w:rFonts w:eastAsia="仿宋_GB2312"/>
          <w:color w:val="auto"/>
          <w:sz w:val="24"/>
          <w:highlight w:val="none"/>
        </w:rPr>
        <w:t>13.2.5移交、接收全部与部分工程</w:t>
      </w:r>
    </w:p>
    <w:bookmarkEnd w:id="958"/>
    <w:p w14:paraId="0142A0DF">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承包人向发包人移交工程的期限：</w:t>
      </w:r>
      <w:r>
        <w:rPr>
          <w:rFonts w:hint="eastAsia" w:eastAsia="仿宋_GB2312"/>
          <w:color w:val="auto"/>
          <w:sz w:val="24"/>
          <w:highlight w:val="none"/>
          <w:u w:val="single"/>
        </w:rPr>
        <w:t>待接管单位同意之日后30日内完成</w:t>
      </w:r>
      <w:r>
        <w:rPr>
          <w:rFonts w:hint="eastAsia" w:eastAsia="仿宋_GB2312"/>
          <w:color w:val="auto"/>
          <w:sz w:val="24"/>
          <w:highlight w:val="none"/>
        </w:rPr>
        <w:t>。</w:t>
      </w:r>
    </w:p>
    <w:p w14:paraId="74224E72">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发包人未按本合同约定接收全部或部分工程的，违约金的计算方法为：</w:t>
      </w:r>
      <w:r>
        <w:rPr>
          <w:rFonts w:hint="eastAsia" w:eastAsia="仿宋_GB2312"/>
          <w:color w:val="auto"/>
          <w:sz w:val="24"/>
          <w:highlight w:val="none"/>
          <w:u w:val="single"/>
        </w:rPr>
        <w:t xml:space="preserve">   /    </w:t>
      </w:r>
      <w:r>
        <w:rPr>
          <w:rFonts w:eastAsia="仿宋_GB2312"/>
          <w:color w:val="auto"/>
          <w:sz w:val="24"/>
          <w:highlight w:val="none"/>
        </w:rPr>
        <w:t>。</w:t>
      </w:r>
    </w:p>
    <w:bookmarkEnd w:id="959"/>
    <w:p w14:paraId="63285789">
      <w:pPr>
        <w:adjustRightInd/>
        <w:spacing w:line="300" w:lineRule="auto"/>
        <w:ind w:firstLine="480" w:firstLineChars="200"/>
        <w:rPr>
          <w:rFonts w:eastAsia="黑体"/>
          <w:color w:val="auto"/>
          <w:sz w:val="24"/>
          <w:highlight w:val="none"/>
        </w:rPr>
      </w:pPr>
      <w:r>
        <w:rPr>
          <w:rFonts w:eastAsia="黑体"/>
          <w:color w:val="auto"/>
          <w:sz w:val="24"/>
          <w:highlight w:val="none"/>
        </w:rPr>
        <w:t>13.3 工程试车</w:t>
      </w:r>
    </w:p>
    <w:bookmarkEnd w:id="960"/>
    <w:p w14:paraId="1DB30C59">
      <w:pPr>
        <w:adjustRightInd/>
        <w:spacing w:line="300" w:lineRule="auto"/>
        <w:ind w:firstLine="480" w:firstLineChars="200"/>
        <w:rPr>
          <w:rFonts w:eastAsia="仿宋_GB2312"/>
          <w:color w:val="auto"/>
          <w:sz w:val="24"/>
          <w:highlight w:val="none"/>
        </w:rPr>
      </w:pPr>
      <w:r>
        <w:rPr>
          <w:rFonts w:eastAsia="仿宋_GB2312"/>
          <w:color w:val="auto"/>
          <w:sz w:val="24"/>
          <w:highlight w:val="none"/>
        </w:rPr>
        <w:t>13.3.1 试车程序</w:t>
      </w:r>
    </w:p>
    <w:p w14:paraId="78ED632F">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工程试车内容：</w:t>
      </w:r>
      <w:r>
        <w:rPr>
          <w:rFonts w:hint="eastAsia" w:eastAsia="仿宋_GB2312"/>
          <w:color w:val="auto"/>
          <w:sz w:val="24"/>
          <w:highlight w:val="none"/>
          <w:u w:val="single"/>
        </w:rPr>
        <w:t>按有关规定执行，所有试车费用承包人已在投标报价中包干</w:t>
      </w:r>
      <w:r>
        <w:rPr>
          <w:rFonts w:eastAsia="仿宋_GB2312"/>
          <w:color w:val="auto"/>
          <w:sz w:val="24"/>
          <w:highlight w:val="none"/>
          <w:u w:val="single"/>
        </w:rPr>
        <w:t>。</w:t>
      </w:r>
    </w:p>
    <w:p w14:paraId="4602EC66">
      <w:pPr>
        <w:adjustRightInd/>
        <w:spacing w:line="300" w:lineRule="auto"/>
        <w:ind w:firstLine="480" w:firstLineChars="200"/>
        <w:rPr>
          <w:rFonts w:eastAsia="仿宋_GB2312"/>
          <w:color w:val="auto"/>
          <w:sz w:val="24"/>
          <w:highlight w:val="none"/>
        </w:rPr>
      </w:pPr>
      <w:r>
        <w:rPr>
          <w:rFonts w:eastAsia="仿宋_GB2312"/>
          <w:color w:val="auto"/>
          <w:sz w:val="24"/>
          <w:highlight w:val="none"/>
        </w:rPr>
        <w:t>（1）单机无负荷试车费用由</w:t>
      </w:r>
      <w:r>
        <w:rPr>
          <w:rFonts w:hint="eastAsia" w:eastAsia="仿宋_GB2312"/>
          <w:color w:val="auto"/>
          <w:sz w:val="24"/>
          <w:highlight w:val="none"/>
          <w:u w:val="single"/>
        </w:rPr>
        <w:t>承包人</w:t>
      </w:r>
      <w:r>
        <w:rPr>
          <w:rFonts w:eastAsia="仿宋_GB2312"/>
          <w:color w:val="auto"/>
          <w:sz w:val="24"/>
          <w:highlight w:val="none"/>
        </w:rPr>
        <w:t>承担；</w:t>
      </w:r>
    </w:p>
    <w:p w14:paraId="7933D54D">
      <w:pPr>
        <w:adjustRightInd/>
        <w:spacing w:line="300" w:lineRule="auto"/>
        <w:ind w:firstLine="480" w:firstLineChars="200"/>
        <w:rPr>
          <w:rFonts w:eastAsia="仿宋_GB2312"/>
          <w:color w:val="auto"/>
          <w:sz w:val="24"/>
          <w:highlight w:val="none"/>
        </w:rPr>
      </w:pPr>
      <w:r>
        <w:rPr>
          <w:rFonts w:eastAsia="仿宋_GB2312"/>
          <w:color w:val="auto"/>
          <w:sz w:val="24"/>
          <w:highlight w:val="none"/>
        </w:rPr>
        <w:t>（2）无负荷联动试车费用由</w:t>
      </w:r>
      <w:r>
        <w:rPr>
          <w:rFonts w:hint="eastAsia" w:eastAsia="仿宋_GB2312"/>
          <w:color w:val="auto"/>
          <w:sz w:val="24"/>
          <w:highlight w:val="none"/>
          <w:u w:val="single"/>
        </w:rPr>
        <w:t>承包人</w:t>
      </w:r>
      <w:r>
        <w:rPr>
          <w:rFonts w:eastAsia="仿宋_GB2312"/>
          <w:color w:val="auto"/>
          <w:sz w:val="24"/>
          <w:highlight w:val="none"/>
        </w:rPr>
        <w:t>承担。</w:t>
      </w:r>
    </w:p>
    <w:p w14:paraId="548AD96B">
      <w:pPr>
        <w:adjustRightInd/>
        <w:spacing w:line="300" w:lineRule="auto"/>
        <w:ind w:firstLine="480" w:firstLineChars="200"/>
        <w:rPr>
          <w:rFonts w:eastAsia="仿宋_GB2312"/>
          <w:color w:val="auto"/>
          <w:sz w:val="24"/>
          <w:highlight w:val="none"/>
        </w:rPr>
      </w:pPr>
      <w:r>
        <w:rPr>
          <w:rFonts w:eastAsia="仿宋_GB2312"/>
          <w:color w:val="auto"/>
          <w:sz w:val="24"/>
          <w:highlight w:val="none"/>
        </w:rPr>
        <w:t>13.3.3 投料试车</w:t>
      </w:r>
    </w:p>
    <w:p w14:paraId="6DC3ADD1">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rPr>
        <w:t>关于投料试车相关事项的约定：</w:t>
      </w:r>
      <w:r>
        <w:rPr>
          <w:rFonts w:hint="eastAsia" w:eastAsia="仿宋_GB2312"/>
          <w:color w:val="auto"/>
          <w:sz w:val="24"/>
          <w:highlight w:val="none"/>
          <w:u w:val="single"/>
        </w:rPr>
        <w:t xml:space="preserve">            /              </w:t>
      </w:r>
      <w:r>
        <w:rPr>
          <w:rFonts w:eastAsia="仿宋_GB2312"/>
          <w:color w:val="auto"/>
          <w:sz w:val="24"/>
          <w:highlight w:val="none"/>
        </w:rPr>
        <w:t>。</w:t>
      </w:r>
    </w:p>
    <w:p w14:paraId="06F023DD">
      <w:pPr>
        <w:adjustRightInd/>
        <w:spacing w:line="300" w:lineRule="auto"/>
        <w:ind w:firstLine="480" w:firstLineChars="200"/>
        <w:rPr>
          <w:rFonts w:eastAsia="黑体"/>
          <w:color w:val="auto"/>
          <w:sz w:val="24"/>
          <w:highlight w:val="none"/>
        </w:rPr>
      </w:pPr>
      <w:r>
        <w:rPr>
          <w:rFonts w:eastAsia="黑体"/>
          <w:color w:val="auto"/>
          <w:sz w:val="24"/>
          <w:highlight w:val="none"/>
        </w:rPr>
        <w:t>13.6 竣工退场</w:t>
      </w:r>
    </w:p>
    <w:p w14:paraId="459C8F5B">
      <w:pPr>
        <w:adjustRightInd/>
        <w:spacing w:line="300" w:lineRule="auto"/>
        <w:ind w:firstLine="480" w:firstLineChars="200"/>
        <w:rPr>
          <w:rFonts w:eastAsia="仿宋_GB2312"/>
          <w:color w:val="auto"/>
          <w:sz w:val="24"/>
          <w:highlight w:val="none"/>
        </w:rPr>
      </w:pPr>
      <w:r>
        <w:rPr>
          <w:rFonts w:eastAsia="仿宋_GB2312"/>
          <w:color w:val="auto"/>
          <w:sz w:val="24"/>
          <w:highlight w:val="none"/>
        </w:rPr>
        <w:t>13.6.1 竣工退场</w:t>
      </w:r>
    </w:p>
    <w:p w14:paraId="22346722">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承包人完成竣工退场的期限：</w:t>
      </w:r>
      <w:r>
        <w:rPr>
          <w:rFonts w:hint="eastAsia" w:eastAsia="仿宋_GB2312"/>
          <w:color w:val="auto"/>
          <w:sz w:val="24"/>
          <w:highlight w:val="none"/>
          <w:u w:val="single"/>
        </w:rPr>
        <w:t>双方签署验收证书之日起（30）日内且移交工程前按通用条款第13.6.1的规定对施工现场进行清理（合同约定或者发包人明确要求暂留现场的维保人员、机具、材料除外），由此产生的竣工退场费用由承包人自行承担。如有逾期的，则按逾期移交工程处理，逾期超过（90）日的，发包人有权出售或另行处理承包人遗留的物品，由此发生的费用及承包人损失均由承包人自行承担，发包人有权从应付承包人的任何款项中直接扣除相应的违约金及其他费用</w:t>
      </w:r>
      <w:r>
        <w:rPr>
          <w:rFonts w:eastAsia="仿宋_GB2312"/>
          <w:color w:val="auto"/>
          <w:sz w:val="24"/>
          <w:highlight w:val="none"/>
          <w:u w:val="single"/>
        </w:rPr>
        <w:t>。</w:t>
      </w:r>
    </w:p>
    <w:p w14:paraId="4F654B5B">
      <w:pPr>
        <w:pStyle w:val="8"/>
        <w:spacing w:before="0" w:after="0" w:line="300" w:lineRule="auto"/>
        <w:rPr>
          <w:rFonts w:ascii="Times New Roman" w:hAnsi="Times New Roman"/>
          <w:b w:val="0"/>
          <w:color w:val="auto"/>
          <w:sz w:val="24"/>
          <w:szCs w:val="24"/>
          <w:highlight w:val="none"/>
        </w:rPr>
      </w:pPr>
      <w:bookmarkStart w:id="962" w:name="_Toc351203646"/>
      <w:r>
        <w:rPr>
          <w:rFonts w:ascii="Times New Roman" w:hAnsi="Times New Roman"/>
          <w:b w:val="0"/>
          <w:color w:val="auto"/>
          <w:sz w:val="24"/>
          <w:szCs w:val="24"/>
          <w:highlight w:val="none"/>
        </w:rPr>
        <w:t>14. 竣工结算</w:t>
      </w:r>
      <w:bookmarkEnd w:id="962"/>
    </w:p>
    <w:p w14:paraId="7C08D140">
      <w:pPr>
        <w:adjustRightInd/>
        <w:spacing w:line="300" w:lineRule="auto"/>
        <w:ind w:firstLine="480" w:firstLineChars="200"/>
        <w:rPr>
          <w:rFonts w:eastAsia="黑体"/>
          <w:color w:val="auto"/>
          <w:sz w:val="24"/>
          <w:highlight w:val="none"/>
        </w:rPr>
      </w:pPr>
      <w:r>
        <w:rPr>
          <w:rFonts w:eastAsia="黑体"/>
          <w:color w:val="auto"/>
          <w:sz w:val="24"/>
          <w:highlight w:val="none"/>
        </w:rPr>
        <w:t>14.1 竣工付款申请</w:t>
      </w:r>
    </w:p>
    <w:p w14:paraId="7950735E">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承包人提交竣工付款申请单的期限：</w:t>
      </w:r>
      <w:r>
        <w:rPr>
          <w:rFonts w:hint="eastAsia" w:eastAsia="仿宋_GB2312"/>
          <w:color w:val="auto"/>
          <w:sz w:val="24"/>
          <w:highlight w:val="none"/>
          <w:u w:val="single"/>
        </w:rPr>
        <w:t>承包人应在工程竣工验收合格后28天内向发包人和监理人提交竣工结算申请单（含送审结算电子版），并提交完整的结算资料。无正当理由延期或经发包人催促14日内仍未提供的，发包人有权根据已有资料进行结算审核，责任由承包人自负。</w:t>
      </w:r>
      <w:r>
        <w:rPr>
          <w:rFonts w:eastAsia="仿宋_GB2312"/>
          <w:color w:val="auto"/>
          <w:sz w:val="24"/>
          <w:highlight w:val="none"/>
          <w:u w:val="single"/>
        </w:rPr>
        <w:t>发包人有权</w:t>
      </w:r>
      <w:r>
        <w:rPr>
          <w:rFonts w:hint="eastAsia" w:eastAsia="仿宋_GB2312"/>
          <w:color w:val="auto"/>
          <w:sz w:val="24"/>
          <w:highlight w:val="none"/>
          <w:u w:val="single"/>
        </w:rPr>
        <w:t>根据第三方审核情况提交政府财政部门进行</w:t>
      </w:r>
      <w:r>
        <w:rPr>
          <w:rFonts w:eastAsia="仿宋_GB2312"/>
          <w:color w:val="auto"/>
          <w:sz w:val="24"/>
          <w:highlight w:val="none"/>
          <w:u w:val="single"/>
        </w:rPr>
        <w:t>审计，最终</w:t>
      </w:r>
      <w:r>
        <w:rPr>
          <w:rFonts w:hint="eastAsia" w:eastAsia="仿宋_GB2312"/>
          <w:color w:val="auto"/>
          <w:sz w:val="24"/>
          <w:highlight w:val="none"/>
          <w:u w:val="single"/>
        </w:rPr>
        <w:t>审计</w:t>
      </w:r>
      <w:r>
        <w:rPr>
          <w:rFonts w:eastAsia="仿宋_GB2312"/>
          <w:color w:val="auto"/>
          <w:sz w:val="24"/>
          <w:highlight w:val="none"/>
          <w:u w:val="single"/>
        </w:rPr>
        <w:t>结果对承包人有效。承包人在工程结算审核</w:t>
      </w:r>
      <w:r>
        <w:rPr>
          <w:rFonts w:hint="eastAsia" w:eastAsia="仿宋_GB2312"/>
          <w:color w:val="auto"/>
          <w:sz w:val="24"/>
          <w:highlight w:val="none"/>
          <w:u w:val="single"/>
        </w:rPr>
        <w:t>、审计</w:t>
      </w:r>
      <w:r>
        <w:rPr>
          <w:rFonts w:eastAsia="仿宋_GB2312"/>
          <w:color w:val="auto"/>
          <w:sz w:val="24"/>
          <w:highlight w:val="none"/>
          <w:u w:val="single"/>
        </w:rPr>
        <w:t>过程中，</w:t>
      </w:r>
      <w:r>
        <w:rPr>
          <w:rFonts w:hint="eastAsia" w:eastAsia="仿宋_GB2312"/>
          <w:color w:val="auto"/>
          <w:sz w:val="24"/>
          <w:highlight w:val="none"/>
          <w:u w:val="single"/>
        </w:rPr>
        <w:t>如涉及确需增加的结算资料，由承包人填报增补资料申请单，监理及发包人审核确认后才能进入结算。</w:t>
      </w:r>
    </w:p>
    <w:p w14:paraId="1E66C560">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竣工付款申请单应包括的内容：</w:t>
      </w:r>
      <w:r>
        <w:rPr>
          <w:rFonts w:eastAsia="仿宋_GB2312"/>
          <w:color w:val="auto"/>
          <w:sz w:val="24"/>
          <w:highlight w:val="none"/>
          <w:u w:val="single"/>
        </w:rPr>
        <w:t>包括但不限于竣工验收报告、送审资料清单、工程结算书、竣工图纸、工程联系单目录、工程量计算稿、政府</w:t>
      </w:r>
      <w:r>
        <w:rPr>
          <w:rFonts w:hint="eastAsia" w:eastAsia="仿宋_GB2312"/>
          <w:color w:val="auto"/>
          <w:sz w:val="24"/>
          <w:highlight w:val="none"/>
          <w:u w:val="single"/>
        </w:rPr>
        <w:t>财政部门的</w:t>
      </w:r>
      <w:r>
        <w:rPr>
          <w:rFonts w:eastAsia="仿宋_GB2312"/>
          <w:color w:val="auto"/>
          <w:sz w:val="24"/>
          <w:highlight w:val="none"/>
          <w:u w:val="single"/>
        </w:rPr>
        <w:t>审计报告等全部相关资料。</w:t>
      </w:r>
    </w:p>
    <w:p w14:paraId="67AEC0D3">
      <w:pPr>
        <w:pStyle w:val="897"/>
        <w:spacing w:line="300" w:lineRule="auto"/>
        <w:ind w:left="0" w:leftChars="0" w:firstLine="480"/>
        <w:rPr>
          <w:rFonts w:eastAsia="仿宋_GB2312"/>
          <w:color w:val="auto"/>
          <w:highlight w:val="none"/>
          <w:u w:val="single"/>
        </w:rPr>
      </w:pPr>
      <w:r>
        <w:rPr>
          <w:rFonts w:hint="eastAsia" w:eastAsia="仿宋_GB2312"/>
          <w:color w:val="auto"/>
          <w:highlight w:val="none"/>
          <w:u w:val="single"/>
        </w:rPr>
        <w:t>同时竣工结算还应符合以下要求：</w:t>
      </w:r>
    </w:p>
    <w:p w14:paraId="36284D66">
      <w:pPr>
        <w:adjustRightInd/>
        <w:spacing w:line="300" w:lineRule="auto"/>
        <w:ind w:firstLine="482"/>
        <w:rPr>
          <w:rFonts w:eastAsia="仿宋_GB2312"/>
          <w:color w:val="auto"/>
          <w:sz w:val="24"/>
          <w:highlight w:val="none"/>
          <w:u w:val="single"/>
        </w:rPr>
      </w:pPr>
      <w:r>
        <w:rPr>
          <w:rFonts w:eastAsia="仿宋_GB2312"/>
          <w:color w:val="auto"/>
          <w:sz w:val="24"/>
          <w:highlight w:val="none"/>
          <w:u w:val="single"/>
        </w:rPr>
        <w:t>(1)工程结算</w:t>
      </w:r>
      <w:r>
        <w:rPr>
          <w:rFonts w:hint="eastAsia" w:eastAsia="仿宋_GB2312"/>
          <w:color w:val="auto"/>
          <w:sz w:val="24"/>
          <w:highlight w:val="none"/>
          <w:u w:val="single"/>
        </w:rPr>
        <w:t>审核及</w:t>
      </w:r>
      <w:r>
        <w:rPr>
          <w:rFonts w:eastAsia="仿宋_GB2312"/>
          <w:color w:val="auto"/>
          <w:sz w:val="24"/>
          <w:highlight w:val="none"/>
          <w:u w:val="single"/>
        </w:rPr>
        <w:t>审计应按</w:t>
      </w:r>
      <w:r>
        <w:rPr>
          <w:rFonts w:hint="eastAsia" w:eastAsia="仿宋_GB2312"/>
          <w:color w:val="auto"/>
          <w:sz w:val="24"/>
          <w:highlight w:val="none"/>
          <w:u w:val="single"/>
        </w:rPr>
        <w:t>国家、省、市、区及</w:t>
      </w:r>
      <w:r>
        <w:rPr>
          <w:rFonts w:hint="eastAsia" w:eastAsia="仿宋_GB2312"/>
          <w:color w:val="auto"/>
          <w:sz w:val="24"/>
          <w:highlight w:val="none"/>
          <w:u w:val="single"/>
          <w:lang w:val="en-US" w:eastAsia="zh-CN"/>
        </w:rPr>
        <w:t>杭州市</w:t>
      </w:r>
      <w:r>
        <w:rPr>
          <w:rFonts w:hint="eastAsia" w:eastAsia="仿宋_GB2312"/>
          <w:color w:val="auto"/>
          <w:sz w:val="24"/>
          <w:highlight w:val="none"/>
          <w:u w:val="single"/>
        </w:rPr>
        <w:t>城市建设投资</w:t>
      </w:r>
      <w:r>
        <w:rPr>
          <w:rFonts w:eastAsia="仿宋_GB2312"/>
          <w:color w:val="auto"/>
          <w:sz w:val="24"/>
          <w:highlight w:val="none"/>
          <w:u w:val="single"/>
        </w:rPr>
        <w:t>集团</w:t>
      </w:r>
      <w:r>
        <w:rPr>
          <w:rFonts w:hint="eastAsia" w:eastAsia="仿宋_GB2312"/>
          <w:color w:val="auto"/>
          <w:sz w:val="24"/>
          <w:highlight w:val="none"/>
          <w:u w:val="single"/>
        </w:rPr>
        <w:t>有限</w:t>
      </w:r>
      <w:r>
        <w:rPr>
          <w:rFonts w:eastAsia="仿宋_GB2312"/>
          <w:color w:val="auto"/>
          <w:sz w:val="24"/>
          <w:highlight w:val="none"/>
          <w:u w:val="single"/>
        </w:rPr>
        <w:t>公司相关规定执行</w:t>
      </w:r>
      <w:r>
        <w:rPr>
          <w:rFonts w:hint="eastAsia" w:eastAsia="仿宋_GB2312"/>
          <w:color w:val="auto"/>
          <w:sz w:val="24"/>
          <w:highlight w:val="none"/>
          <w:u w:val="single"/>
        </w:rPr>
        <w:t>：</w:t>
      </w:r>
    </w:p>
    <w:p w14:paraId="432E075D">
      <w:pPr>
        <w:adjustRightInd/>
        <w:spacing w:line="300" w:lineRule="auto"/>
        <w:ind w:firstLine="482"/>
        <w:rPr>
          <w:rFonts w:eastAsia="仿宋_GB2312"/>
          <w:color w:val="auto"/>
          <w:sz w:val="24"/>
          <w:highlight w:val="none"/>
          <w:u w:val="single"/>
        </w:rPr>
      </w:pPr>
      <w:r>
        <w:rPr>
          <w:rFonts w:hint="eastAsia" w:eastAsia="仿宋_GB2312"/>
          <w:color w:val="auto"/>
          <w:sz w:val="24"/>
          <w:highlight w:val="none"/>
          <w:u w:val="single"/>
        </w:rPr>
        <w:t>①本工程需要经由审计机关审计，最终结算价款以审计部门审计审定的结果为准</w:t>
      </w:r>
      <w:r>
        <w:rPr>
          <w:rFonts w:eastAsia="仿宋_GB2312"/>
          <w:color w:val="auto"/>
          <w:sz w:val="24"/>
          <w:highlight w:val="none"/>
          <w:u w:val="single"/>
        </w:rPr>
        <w:t>。</w:t>
      </w:r>
    </w:p>
    <w:p w14:paraId="57DD554C">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②承包人应遵循实事求是的原则编制工程造价，对于工程结算审核的基本费由发包人承担；核减及核增追加费由承包人承担，核减追加费按核减超过送审造价</w:t>
      </w:r>
      <w:r>
        <w:rPr>
          <w:rFonts w:eastAsia="仿宋_GB2312"/>
          <w:color w:val="auto"/>
          <w:sz w:val="24"/>
          <w:highlight w:val="none"/>
          <w:u w:val="single"/>
        </w:rPr>
        <w:t>5%的幅度以外的核减额为基数计取5％的费用，核增追加费按核增额的5％计算费用，核增额与核减额不作抵扣，即核增减追加费＝（核减额-送审造价×5%）×5%+核增额×5%。无论是否委托</w:t>
      </w:r>
      <w:r>
        <w:rPr>
          <w:rFonts w:hint="eastAsia" w:eastAsia="仿宋_GB2312"/>
          <w:color w:val="auto"/>
          <w:sz w:val="24"/>
          <w:highlight w:val="none"/>
          <w:u w:val="single"/>
        </w:rPr>
        <w:t>第三方咨询机构进行审核</w:t>
      </w:r>
      <w:r>
        <w:rPr>
          <w:rFonts w:eastAsia="仿宋_GB2312"/>
          <w:color w:val="auto"/>
          <w:sz w:val="24"/>
          <w:highlight w:val="none"/>
          <w:u w:val="single"/>
        </w:rPr>
        <w:t>，</w:t>
      </w:r>
      <w:r>
        <w:rPr>
          <w:rFonts w:hint="eastAsia" w:eastAsia="仿宋_GB2312"/>
          <w:color w:val="auto"/>
          <w:sz w:val="24"/>
          <w:highlight w:val="none"/>
          <w:u w:val="single"/>
        </w:rPr>
        <w:t>承包人均需承担相应的审核追加费，承包人应按发包人通知及时予以支付，如承包人逾期支付相应费用的，发包人有权从</w:t>
      </w:r>
      <w:r>
        <w:rPr>
          <w:rFonts w:eastAsia="仿宋_GB2312"/>
          <w:color w:val="auto"/>
          <w:sz w:val="24"/>
          <w:highlight w:val="none"/>
          <w:u w:val="single"/>
        </w:rPr>
        <w:t>应付工程款中直接扣</w:t>
      </w:r>
      <w:r>
        <w:rPr>
          <w:rFonts w:hint="eastAsia" w:eastAsia="仿宋_GB2312"/>
          <w:color w:val="auto"/>
          <w:sz w:val="24"/>
          <w:highlight w:val="none"/>
          <w:u w:val="single"/>
        </w:rPr>
        <w:t>除</w:t>
      </w:r>
      <w:r>
        <w:rPr>
          <w:rFonts w:eastAsia="仿宋_GB2312"/>
          <w:color w:val="auto"/>
          <w:sz w:val="24"/>
          <w:highlight w:val="none"/>
          <w:u w:val="single"/>
        </w:rPr>
        <w:t>。</w:t>
      </w:r>
    </w:p>
    <w:p w14:paraId="611E2EA2">
      <w:pPr>
        <w:adjustRightInd/>
        <w:spacing w:line="300" w:lineRule="auto"/>
        <w:ind w:firstLine="480" w:firstLineChars="200"/>
        <w:rPr>
          <w:rFonts w:eastAsia="黑体"/>
          <w:color w:val="auto"/>
          <w:sz w:val="24"/>
          <w:highlight w:val="none"/>
        </w:rPr>
      </w:pPr>
      <w:r>
        <w:rPr>
          <w:rFonts w:eastAsia="黑体"/>
          <w:color w:val="auto"/>
          <w:sz w:val="24"/>
          <w:highlight w:val="none"/>
        </w:rPr>
        <w:t>14.2 竣工结算审核</w:t>
      </w:r>
    </w:p>
    <w:p w14:paraId="5DEFD783">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发包人</w:t>
      </w:r>
      <w:r>
        <w:rPr>
          <w:rFonts w:hint="eastAsia" w:eastAsia="仿宋_GB2312"/>
          <w:color w:val="auto"/>
          <w:sz w:val="24"/>
          <w:highlight w:val="none"/>
        </w:rPr>
        <w:t>审批</w:t>
      </w:r>
      <w:r>
        <w:rPr>
          <w:rFonts w:eastAsia="仿宋_GB2312"/>
          <w:color w:val="auto"/>
          <w:sz w:val="24"/>
          <w:highlight w:val="none"/>
        </w:rPr>
        <w:t>竣工付款申请单的期限：</w:t>
      </w:r>
      <w:r>
        <w:rPr>
          <w:rFonts w:hint="eastAsia" w:eastAsia="仿宋_GB2312"/>
          <w:color w:val="auto"/>
          <w:sz w:val="24"/>
          <w:highlight w:val="none"/>
          <w:u w:val="single"/>
        </w:rPr>
        <w:t>在完成竣工结算最终工程造价确定后并收到最终结算申请单14个工作日完成竣工付款申请审批，签发付款证书；</w:t>
      </w:r>
    </w:p>
    <w:p w14:paraId="552BB48D">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发包人完成竣工付款的期限：</w:t>
      </w:r>
      <w:r>
        <w:rPr>
          <w:rFonts w:hint="eastAsia" w:eastAsia="仿宋_GB2312"/>
          <w:color w:val="auto"/>
          <w:sz w:val="24"/>
          <w:highlight w:val="none"/>
          <w:u w:val="single"/>
        </w:rPr>
        <w:t xml:space="preserve">   /    </w:t>
      </w:r>
      <w:r>
        <w:rPr>
          <w:rFonts w:eastAsia="仿宋_GB2312"/>
          <w:color w:val="auto"/>
          <w:sz w:val="24"/>
          <w:highlight w:val="none"/>
        </w:rPr>
        <w:t>。</w:t>
      </w:r>
    </w:p>
    <w:p w14:paraId="08BA57A6">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rPr>
        <w:t>关于竣工付款证书异议部分复核的方式和程序：</w:t>
      </w:r>
      <w:r>
        <w:rPr>
          <w:rFonts w:hint="eastAsia" w:eastAsia="仿宋_GB2312"/>
          <w:color w:val="auto"/>
          <w:sz w:val="24"/>
          <w:highlight w:val="none"/>
          <w:u w:val="single"/>
        </w:rPr>
        <w:t xml:space="preserve">   /    </w:t>
      </w:r>
      <w:r>
        <w:rPr>
          <w:rFonts w:eastAsia="仿宋_GB2312"/>
          <w:color w:val="auto"/>
          <w:sz w:val="24"/>
          <w:highlight w:val="none"/>
        </w:rPr>
        <w:t>。</w:t>
      </w:r>
    </w:p>
    <w:p w14:paraId="6FC12749">
      <w:pPr>
        <w:adjustRightInd/>
        <w:spacing w:line="300" w:lineRule="auto"/>
        <w:ind w:firstLine="480" w:firstLineChars="200"/>
        <w:rPr>
          <w:rFonts w:eastAsia="黑体"/>
          <w:color w:val="auto"/>
          <w:sz w:val="24"/>
          <w:highlight w:val="none"/>
        </w:rPr>
      </w:pPr>
      <w:r>
        <w:rPr>
          <w:rFonts w:eastAsia="黑体"/>
          <w:color w:val="auto"/>
          <w:sz w:val="24"/>
          <w:highlight w:val="none"/>
        </w:rPr>
        <w:t>14.4 最终结清</w:t>
      </w:r>
    </w:p>
    <w:p w14:paraId="600D0D42">
      <w:pPr>
        <w:adjustRightInd/>
        <w:spacing w:line="300" w:lineRule="auto"/>
        <w:ind w:firstLine="480" w:firstLineChars="200"/>
        <w:rPr>
          <w:rFonts w:eastAsia="仿宋_GB2312"/>
          <w:color w:val="auto"/>
          <w:sz w:val="24"/>
          <w:highlight w:val="none"/>
        </w:rPr>
      </w:pPr>
      <w:r>
        <w:rPr>
          <w:rFonts w:eastAsia="仿宋_GB2312"/>
          <w:color w:val="auto"/>
          <w:sz w:val="24"/>
          <w:highlight w:val="none"/>
        </w:rPr>
        <w:t>14.4.1 最终结清申请单</w:t>
      </w:r>
    </w:p>
    <w:p w14:paraId="6FC292FC">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承包人提交最终结清申请单的份数：</w:t>
      </w:r>
      <w:r>
        <w:rPr>
          <w:rFonts w:hint="eastAsia" w:eastAsia="仿宋_GB2312"/>
          <w:color w:val="auto"/>
          <w:sz w:val="24"/>
          <w:highlight w:val="none"/>
          <w:u w:val="single"/>
        </w:rPr>
        <w:t>4份</w:t>
      </w:r>
      <w:r>
        <w:rPr>
          <w:rFonts w:eastAsia="仿宋_GB2312"/>
          <w:color w:val="auto"/>
          <w:sz w:val="24"/>
          <w:highlight w:val="none"/>
        </w:rPr>
        <w:t>。</w:t>
      </w:r>
    </w:p>
    <w:p w14:paraId="168DD0F9">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承包人提交最终结算申请单的期限：</w:t>
      </w:r>
      <w:r>
        <w:rPr>
          <w:rFonts w:hint="eastAsia" w:eastAsia="仿宋_GB2312"/>
          <w:color w:val="auto"/>
          <w:sz w:val="24"/>
          <w:highlight w:val="none"/>
          <w:u w:val="single"/>
        </w:rPr>
        <w:t>审计定案完成14个工作日内</w:t>
      </w:r>
      <w:r>
        <w:rPr>
          <w:rFonts w:eastAsia="仿宋_GB2312"/>
          <w:color w:val="auto"/>
          <w:sz w:val="24"/>
          <w:highlight w:val="none"/>
        </w:rPr>
        <w:t>。</w:t>
      </w:r>
    </w:p>
    <w:p w14:paraId="5996AB02">
      <w:pPr>
        <w:adjustRightInd/>
        <w:spacing w:line="300" w:lineRule="auto"/>
        <w:ind w:firstLine="480" w:firstLineChars="200"/>
        <w:rPr>
          <w:rFonts w:eastAsia="仿宋_GB2312"/>
          <w:color w:val="auto"/>
          <w:sz w:val="24"/>
          <w:highlight w:val="none"/>
        </w:rPr>
      </w:pPr>
      <w:r>
        <w:rPr>
          <w:rFonts w:eastAsia="仿宋_GB2312"/>
          <w:color w:val="auto"/>
          <w:sz w:val="24"/>
          <w:highlight w:val="none"/>
        </w:rPr>
        <w:t>14.4.2 最终结清证书和支付</w:t>
      </w:r>
    </w:p>
    <w:p w14:paraId="042B61AB">
      <w:pPr>
        <w:adjustRightInd/>
        <w:spacing w:line="300" w:lineRule="auto"/>
        <w:ind w:left="1020" w:leftChars="200" w:hanging="600" w:hangingChars="250"/>
        <w:rPr>
          <w:rFonts w:eastAsia="仿宋_GB2312"/>
          <w:color w:val="auto"/>
          <w:sz w:val="24"/>
          <w:highlight w:val="none"/>
          <w:u w:val="single"/>
        </w:rPr>
      </w:pPr>
      <w:r>
        <w:rPr>
          <w:rFonts w:eastAsia="仿宋_GB2312"/>
          <w:color w:val="auto"/>
          <w:sz w:val="24"/>
          <w:highlight w:val="none"/>
        </w:rPr>
        <w:t>（1）发包人完成最终结清申请单的</w:t>
      </w:r>
      <w:r>
        <w:rPr>
          <w:rFonts w:hint="eastAsia" w:eastAsia="仿宋_GB2312"/>
          <w:color w:val="auto"/>
          <w:sz w:val="24"/>
          <w:highlight w:val="none"/>
        </w:rPr>
        <w:t>审批</w:t>
      </w:r>
      <w:r>
        <w:rPr>
          <w:rFonts w:eastAsia="仿宋_GB2312"/>
          <w:color w:val="auto"/>
          <w:sz w:val="24"/>
          <w:highlight w:val="none"/>
        </w:rPr>
        <w:t>并颁发最终结清证书的期限：</w:t>
      </w:r>
    </w:p>
    <w:p w14:paraId="0F4E8CDB">
      <w:pPr>
        <w:adjustRightInd/>
        <w:spacing w:line="300" w:lineRule="auto"/>
        <w:rPr>
          <w:rFonts w:eastAsia="仿宋_GB2312"/>
          <w:color w:val="auto"/>
          <w:sz w:val="24"/>
          <w:highlight w:val="none"/>
          <w:u w:val="single"/>
        </w:rPr>
      </w:pPr>
      <w:r>
        <w:rPr>
          <w:rFonts w:hint="eastAsia" w:eastAsia="仿宋_GB2312"/>
          <w:color w:val="auto"/>
          <w:sz w:val="24"/>
          <w:highlight w:val="none"/>
          <w:u w:val="single"/>
        </w:rPr>
        <w:t>发包人应在收到承包人提交的最终结清申请单28日内完成审批并向承包人颁发最终结清</w:t>
      </w:r>
      <w:r>
        <w:rPr>
          <w:rFonts w:eastAsia="仿宋_GB2312"/>
          <w:color w:val="auto"/>
          <w:sz w:val="24"/>
          <w:highlight w:val="none"/>
          <w:u w:val="single"/>
        </w:rPr>
        <w:t>证书。</w:t>
      </w:r>
    </w:p>
    <w:p w14:paraId="537E55B8">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（2）发包人完成支付的期限：</w:t>
      </w:r>
      <w:r>
        <w:rPr>
          <w:rFonts w:eastAsia="仿宋_GB2312"/>
          <w:color w:val="auto"/>
          <w:sz w:val="24"/>
          <w:highlight w:val="none"/>
          <w:u w:val="single"/>
        </w:rPr>
        <w:t xml:space="preserve"> 发包人应在</w:t>
      </w:r>
      <w:r>
        <w:rPr>
          <w:rFonts w:hint="eastAsia" w:eastAsia="仿宋_GB2312"/>
          <w:color w:val="auto"/>
          <w:sz w:val="24"/>
          <w:highlight w:val="none"/>
          <w:u w:val="single"/>
        </w:rPr>
        <w:t>颁发最终结清</w:t>
      </w:r>
      <w:r>
        <w:rPr>
          <w:rFonts w:eastAsia="仿宋_GB2312"/>
          <w:color w:val="auto"/>
          <w:sz w:val="24"/>
          <w:highlight w:val="none"/>
          <w:u w:val="single"/>
        </w:rPr>
        <w:t>证书后的</w:t>
      </w:r>
      <w:r>
        <w:rPr>
          <w:rFonts w:hint="eastAsia" w:eastAsia="仿宋_GB2312"/>
          <w:color w:val="auto"/>
          <w:sz w:val="24"/>
          <w:highlight w:val="none"/>
          <w:u w:val="single"/>
        </w:rPr>
        <w:t>28</w:t>
      </w:r>
      <w:r>
        <w:rPr>
          <w:rFonts w:eastAsia="仿宋_GB2312"/>
          <w:color w:val="auto"/>
          <w:sz w:val="24"/>
          <w:highlight w:val="none"/>
          <w:u w:val="single"/>
        </w:rPr>
        <w:t>天内</w:t>
      </w:r>
      <w:r>
        <w:rPr>
          <w:rFonts w:hint="eastAsia" w:eastAsia="仿宋_GB2312"/>
          <w:color w:val="auto"/>
          <w:sz w:val="24"/>
          <w:highlight w:val="none"/>
          <w:u w:val="single"/>
        </w:rPr>
        <w:t>完成支</w:t>
      </w:r>
      <w:r>
        <w:rPr>
          <w:rFonts w:eastAsia="仿宋_GB2312"/>
          <w:color w:val="auto"/>
          <w:sz w:val="24"/>
          <w:highlight w:val="none"/>
          <w:u w:val="single"/>
        </w:rPr>
        <w:t>付。</w:t>
      </w:r>
    </w:p>
    <w:bookmarkEnd w:id="949"/>
    <w:bookmarkEnd w:id="950"/>
    <w:bookmarkEnd w:id="951"/>
    <w:bookmarkEnd w:id="952"/>
    <w:bookmarkEnd w:id="953"/>
    <w:bookmarkEnd w:id="954"/>
    <w:bookmarkEnd w:id="955"/>
    <w:bookmarkEnd w:id="961"/>
    <w:p w14:paraId="30AB5B79">
      <w:pPr>
        <w:pStyle w:val="8"/>
        <w:spacing w:before="0" w:after="0" w:line="300" w:lineRule="auto"/>
        <w:rPr>
          <w:rFonts w:ascii="Times New Roman" w:hAnsi="Times New Roman"/>
          <w:b w:val="0"/>
          <w:color w:val="auto"/>
          <w:sz w:val="24"/>
          <w:szCs w:val="24"/>
          <w:highlight w:val="none"/>
        </w:rPr>
      </w:pPr>
      <w:bookmarkStart w:id="963" w:name="_Toc351203647"/>
      <w:bookmarkStart w:id="964" w:name="_Toc267251483"/>
      <w:bookmarkStart w:id="965" w:name="_Toc267251482"/>
      <w:bookmarkStart w:id="966" w:name="_Toc267251484"/>
      <w:bookmarkStart w:id="967" w:name="_Toc267251485"/>
      <w:bookmarkStart w:id="968" w:name="_Toc267251490"/>
      <w:bookmarkStart w:id="969" w:name="_Toc267251489"/>
      <w:bookmarkStart w:id="970" w:name="_Toc267251488"/>
      <w:bookmarkStart w:id="971" w:name="_Toc267251486"/>
      <w:bookmarkStart w:id="972" w:name="_Toc267251495"/>
      <w:bookmarkStart w:id="973" w:name="_Toc267251502"/>
      <w:bookmarkStart w:id="974" w:name="_Toc267251503"/>
      <w:bookmarkStart w:id="975" w:name="_Toc267251494"/>
      <w:bookmarkStart w:id="976" w:name="_Toc267251501"/>
      <w:bookmarkStart w:id="977" w:name="_Toc267251492"/>
      <w:bookmarkStart w:id="978" w:name="_Toc267251499"/>
      <w:bookmarkStart w:id="979" w:name="_Toc267251497"/>
      <w:bookmarkStart w:id="980" w:name="_Toc267251496"/>
      <w:bookmarkStart w:id="981" w:name="_Toc267251498"/>
      <w:bookmarkStart w:id="982" w:name="_Toc267251491"/>
      <w:bookmarkStart w:id="983" w:name="_Toc267251493"/>
      <w:bookmarkStart w:id="984" w:name="_Toc267251506"/>
      <w:bookmarkStart w:id="985" w:name="_Toc267251504"/>
      <w:bookmarkStart w:id="986" w:name="_Toc267251507"/>
      <w:bookmarkStart w:id="987" w:name="_Toc267251508"/>
      <w:bookmarkStart w:id="988" w:name="_Toc267251514"/>
      <w:bookmarkStart w:id="989" w:name="_Toc267251515"/>
      <w:bookmarkStart w:id="990" w:name="_Toc267251513"/>
      <w:bookmarkStart w:id="991" w:name="_Toc267251510"/>
      <w:bookmarkStart w:id="992" w:name="_Toc267251509"/>
      <w:bookmarkStart w:id="993" w:name="_Toc267251511"/>
      <w:r>
        <w:rPr>
          <w:rFonts w:ascii="Times New Roman" w:hAnsi="Times New Roman"/>
          <w:b w:val="0"/>
          <w:color w:val="auto"/>
          <w:sz w:val="24"/>
          <w:szCs w:val="24"/>
          <w:highlight w:val="none"/>
        </w:rPr>
        <w:t>15. 缺陷责任期与保修</w:t>
      </w:r>
      <w:bookmarkEnd w:id="963"/>
    </w:p>
    <w:p w14:paraId="38E0EC73">
      <w:pPr>
        <w:adjustRightInd/>
        <w:spacing w:line="300" w:lineRule="auto"/>
        <w:ind w:firstLine="480" w:firstLineChars="200"/>
        <w:rPr>
          <w:rFonts w:eastAsia="黑体"/>
          <w:color w:val="auto"/>
          <w:sz w:val="24"/>
          <w:highlight w:val="none"/>
        </w:rPr>
      </w:pPr>
      <w:r>
        <w:rPr>
          <w:rFonts w:eastAsia="黑体"/>
          <w:color w:val="auto"/>
          <w:sz w:val="24"/>
          <w:highlight w:val="none"/>
        </w:rPr>
        <w:t>15.2缺陷责任期</w:t>
      </w:r>
      <w:bookmarkEnd w:id="964"/>
    </w:p>
    <w:p w14:paraId="27DBDA29">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缺陷责任期的具体期限：</w:t>
      </w:r>
      <w:r>
        <w:rPr>
          <w:rFonts w:hint="eastAsia" w:eastAsia="仿宋_GB2312"/>
          <w:color w:val="auto"/>
          <w:sz w:val="24"/>
          <w:highlight w:val="none"/>
          <w:u w:val="single"/>
        </w:rPr>
        <w:t>以工程质量保修书约定为准</w:t>
      </w:r>
      <w:r>
        <w:rPr>
          <w:rFonts w:eastAsia="仿宋_GB2312"/>
          <w:color w:val="auto"/>
          <w:sz w:val="24"/>
          <w:highlight w:val="none"/>
        </w:rPr>
        <w:t>。</w:t>
      </w:r>
    </w:p>
    <w:p w14:paraId="384D1D54">
      <w:pPr>
        <w:adjustRightInd/>
        <w:spacing w:line="300" w:lineRule="auto"/>
        <w:ind w:firstLine="480" w:firstLineChars="200"/>
        <w:rPr>
          <w:rFonts w:eastAsia="黑体"/>
          <w:color w:val="auto"/>
          <w:sz w:val="24"/>
          <w:highlight w:val="none"/>
        </w:rPr>
      </w:pPr>
      <w:r>
        <w:rPr>
          <w:rFonts w:eastAsia="黑体"/>
          <w:color w:val="auto"/>
          <w:sz w:val="24"/>
          <w:highlight w:val="none"/>
        </w:rPr>
        <w:t>15.3 质量保证金</w:t>
      </w:r>
    </w:p>
    <w:p w14:paraId="016AEF78">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关于是否扣留质量保证金的约定：</w:t>
      </w:r>
      <w:r>
        <w:rPr>
          <w:rFonts w:hint="eastAsia" w:eastAsia="仿宋_GB2312"/>
          <w:color w:val="auto"/>
          <w:sz w:val="24"/>
          <w:highlight w:val="none"/>
          <w:u w:val="single"/>
        </w:rPr>
        <w:t>是</w:t>
      </w:r>
      <w:r>
        <w:rPr>
          <w:rFonts w:eastAsia="仿宋_GB2312"/>
          <w:color w:val="auto"/>
          <w:sz w:val="24"/>
          <w:highlight w:val="none"/>
        </w:rPr>
        <w:t>。</w:t>
      </w:r>
    </w:p>
    <w:p w14:paraId="7E717ACC">
      <w:pPr>
        <w:adjustRightInd/>
        <w:spacing w:line="300" w:lineRule="auto"/>
        <w:ind w:firstLine="480" w:firstLineChars="200"/>
        <w:rPr>
          <w:rFonts w:eastAsia="仿宋_GB2312"/>
          <w:color w:val="auto"/>
          <w:sz w:val="24"/>
          <w:highlight w:val="none"/>
        </w:rPr>
      </w:pPr>
      <w:r>
        <w:rPr>
          <w:rFonts w:eastAsia="仿宋_GB2312"/>
          <w:color w:val="auto"/>
          <w:sz w:val="24"/>
          <w:highlight w:val="none"/>
        </w:rPr>
        <w:t xml:space="preserve">15.3.1 </w:t>
      </w:r>
      <w:r>
        <w:rPr>
          <w:rFonts w:hint="eastAsia" w:eastAsia="仿宋_GB2312"/>
          <w:color w:val="auto"/>
          <w:sz w:val="24"/>
          <w:highlight w:val="none"/>
        </w:rPr>
        <w:t>承包人提供</w:t>
      </w:r>
      <w:r>
        <w:rPr>
          <w:rFonts w:eastAsia="仿宋_GB2312"/>
          <w:color w:val="auto"/>
          <w:sz w:val="24"/>
          <w:highlight w:val="none"/>
        </w:rPr>
        <w:t>质量保证金的</w:t>
      </w:r>
      <w:r>
        <w:rPr>
          <w:rFonts w:hint="eastAsia" w:eastAsia="仿宋_GB2312"/>
          <w:color w:val="auto"/>
          <w:sz w:val="24"/>
          <w:highlight w:val="none"/>
        </w:rPr>
        <w:t>方</w:t>
      </w:r>
      <w:r>
        <w:rPr>
          <w:rFonts w:eastAsia="仿宋_GB2312"/>
          <w:color w:val="auto"/>
          <w:sz w:val="24"/>
          <w:highlight w:val="none"/>
        </w:rPr>
        <w:t>式</w:t>
      </w:r>
    </w:p>
    <w:p w14:paraId="6280EAC1">
      <w:pPr>
        <w:adjustRightInd/>
        <w:spacing w:line="300" w:lineRule="auto"/>
        <w:ind w:firstLine="480" w:firstLineChars="200"/>
        <w:rPr>
          <w:rFonts w:eastAsia="仿宋_GB2312"/>
          <w:color w:val="auto"/>
          <w:sz w:val="24"/>
          <w:highlight w:val="none"/>
        </w:rPr>
      </w:pPr>
      <w:r>
        <w:rPr>
          <w:rFonts w:eastAsia="仿宋_GB2312"/>
          <w:color w:val="auto"/>
          <w:sz w:val="24"/>
          <w:highlight w:val="none"/>
        </w:rPr>
        <w:t>质量保证金采用以下第</w:t>
      </w:r>
      <w:r>
        <w:rPr>
          <w:rFonts w:hint="eastAsia" w:eastAsia="仿宋_GB2312"/>
          <w:color w:val="auto"/>
          <w:sz w:val="24"/>
          <w:highlight w:val="none"/>
          <w:u w:val="single"/>
        </w:rPr>
        <w:t xml:space="preserve">  </w:t>
      </w:r>
      <w:r>
        <w:rPr>
          <w:rFonts w:eastAsia="仿宋_GB2312"/>
          <w:color w:val="auto"/>
          <w:sz w:val="24"/>
          <w:highlight w:val="none"/>
          <w:u w:val="single"/>
        </w:rPr>
        <w:t>（1）</w:t>
      </w:r>
      <w:r>
        <w:rPr>
          <w:rFonts w:hint="eastAsia" w:eastAsia="仿宋_GB2312"/>
          <w:color w:val="auto"/>
          <w:sz w:val="24"/>
          <w:highlight w:val="none"/>
          <w:u w:val="single"/>
        </w:rPr>
        <w:t xml:space="preserve">  </w:t>
      </w:r>
      <w:r>
        <w:rPr>
          <w:rFonts w:eastAsia="仿宋_GB2312"/>
          <w:color w:val="auto"/>
          <w:sz w:val="24"/>
          <w:highlight w:val="none"/>
        </w:rPr>
        <w:t>种方式：</w:t>
      </w:r>
    </w:p>
    <w:p w14:paraId="06BAE33B">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（1）质量保证金保函，保证金额为：</w:t>
      </w:r>
      <w:r>
        <w:rPr>
          <w:rFonts w:hint="eastAsia" w:eastAsia="仿宋_GB2312"/>
          <w:color w:val="auto"/>
          <w:sz w:val="24"/>
          <w:highlight w:val="none"/>
          <w:u w:val="single"/>
        </w:rPr>
        <w:t xml:space="preserve">   结算审计价*1.5%    </w:t>
      </w:r>
      <w:r>
        <w:rPr>
          <w:rFonts w:eastAsia="仿宋_GB2312"/>
          <w:color w:val="auto"/>
          <w:sz w:val="24"/>
          <w:highlight w:val="none"/>
        </w:rPr>
        <w:t xml:space="preserve">； </w:t>
      </w:r>
    </w:p>
    <w:p w14:paraId="4AABFE3D">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u w:val="single"/>
        </w:rPr>
        <w:t xml:space="preserve"> 1.5 </w:t>
      </w:r>
      <w:r>
        <w:rPr>
          <w:rFonts w:eastAsia="仿宋_GB2312"/>
          <w:color w:val="auto"/>
          <w:sz w:val="24"/>
          <w:highlight w:val="none"/>
        </w:rPr>
        <w:t>%的工程款；</w:t>
      </w:r>
    </w:p>
    <w:p w14:paraId="43453FA7">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（3）其他</w:t>
      </w:r>
      <w:r>
        <w:rPr>
          <w:rFonts w:hint="eastAsia" w:eastAsia="仿宋_GB2312"/>
          <w:color w:val="auto"/>
          <w:sz w:val="24"/>
          <w:highlight w:val="none"/>
        </w:rPr>
        <w:t>方</w:t>
      </w:r>
      <w:r>
        <w:rPr>
          <w:rFonts w:eastAsia="仿宋_GB2312"/>
          <w:color w:val="auto"/>
          <w:sz w:val="24"/>
          <w:highlight w:val="none"/>
        </w:rPr>
        <w:t>式:。</w:t>
      </w:r>
    </w:p>
    <w:p w14:paraId="52A7CD2C">
      <w:pPr>
        <w:adjustRightInd/>
        <w:spacing w:line="300" w:lineRule="auto"/>
        <w:ind w:firstLine="480" w:firstLineChars="200"/>
        <w:rPr>
          <w:rFonts w:eastAsia="仿宋_GB2312"/>
          <w:color w:val="auto"/>
          <w:sz w:val="24"/>
          <w:highlight w:val="none"/>
        </w:rPr>
      </w:pPr>
      <w:r>
        <w:rPr>
          <w:rFonts w:eastAsia="仿宋_GB2312"/>
          <w:color w:val="auto"/>
          <w:sz w:val="24"/>
          <w:highlight w:val="none"/>
        </w:rPr>
        <w:t xml:space="preserve">15.3.2 质量保证金的扣留 </w:t>
      </w:r>
    </w:p>
    <w:p w14:paraId="0A76F338">
      <w:pPr>
        <w:adjustRightInd/>
        <w:spacing w:line="300" w:lineRule="auto"/>
        <w:ind w:firstLine="480" w:firstLineChars="200"/>
        <w:rPr>
          <w:rFonts w:eastAsia="仿宋_GB2312"/>
          <w:color w:val="auto"/>
          <w:sz w:val="24"/>
          <w:highlight w:val="none"/>
        </w:rPr>
      </w:pPr>
      <w:r>
        <w:rPr>
          <w:rFonts w:eastAsia="仿宋_GB2312"/>
          <w:color w:val="auto"/>
          <w:sz w:val="24"/>
          <w:highlight w:val="none"/>
        </w:rPr>
        <w:t>质量保证金的扣留采取以下第</w:t>
      </w:r>
      <w:r>
        <w:rPr>
          <w:rFonts w:hint="eastAsia" w:eastAsia="仿宋_GB2312"/>
          <w:color w:val="auto"/>
          <w:sz w:val="24"/>
          <w:highlight w:val="none"/>
          <w:u w:val="single"/>
        </w:rPr>
        <w:t xml:space="preserve">  /  </w:t>
      </w:r>
      <w:r>
        <w:rPr>
          <w:rFonts w:eastAsia="仿宋_GB2312"/>
          <w:color w:val="auto"/>
          <w:sz w:val="24"/>
          <w:highlight w:val="none"/>
        </w:rPr>
        <w:t>种方式：</w:t>
      </w:r>
    </w:p>
    <w:p w14:paraId="105D63D8">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（1）在支付工程进度款时逐次扣留，在此情形下，质量保证金的计算基数不包括预付款的支付、扣回以及价格调整的金额；</w:t>
      </w:r>
    </w:p>
    <w:p w14:paraId="69CC074B">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（2）工程竣工结算时一次性扣留质量保证金；</w:t>
      </w:r>
    </w:p>
    <w:p w14:paraId="5340C06E">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（3）其他扣留方式:</w:t>
      </w:r>
      <w:r>
        <w:rPr>
          <w:rFonts w:hint="eastAsia" w:eastAsia="仿宋_GB2312"/>
          <w:color w:val="auto"/>
          <w:sz w:val="24"/>
          <w:highlight w:val="none"/>
        </w:rPr>
        <w:t xml:space="preserve"> </w:t>
      </w:r>
      <w:r>
        <w:rPr>
          <w:rFonts w:hint="eastAsia" w:eastAsia="仿宋_GB2312"/>
          <w:color w:val="auto"/>
          <w:sz w:val="24"/>
          <w:highlight w:val="none"/>
          <w:u w:val="single"/>
        </w:rPr>
        <w:t xml:space="preserve">         /       </w:t>
      </w:r>
      <w:r>
        <w:rPr>
          <w:rFonts w:eastAsia="仿宋_GB2312"/>
          <w:color w:val="auto"/>
          <w:sz w:val="24"/>
          <w:highlight w:val="none"/>
        </w:rPr>
        <w:t>。</w:t>
      </w:r>
    </w:p>
    <w:bookmarkEnd w:id="965"/>
    <w:bookmarkEnd w:id="966"/>
    <w:p w14:paraId="76232349">
      <w:pPr>
        <w:adjustRightInd/>
        <w:spacing w:line="300" w:lineRule="auto"/>
        <w:ind w:firstLine="480" w:firstLineChars="200"/>
        <w:rPr>
          <w:rFonts w:eastAsia="仿宋_GB2312"/>
          <w:color w:val="auto"/>
          <w:sz w:val="24"/>
          <w:highlight w:val="none"/>
        </w:rPr>
      </w:pPr>
      <w:r>
        <w:rPr>
          <w:rFonts w:hint="eastAsia" w:eastAsia="黑体"/>
          <w:color w:val="auto"/>
          <w:sz w:val="24"/>
          <w:highlight w:val="none"/>
        </w:rPr>
        <w:t>关于质量保证金的补充约定：</w:t>
      </w:r>
      <w:r>
        <w:rPr>
          <w:rFonts w:hint="eastAsia" w:eastAsia="黑体"/>
          <w:color w:val="auto"/>
          <w:sz w:val="24"/>
          <w:highlight w:val="none"/>
          <w:u w:val="single"/>
        </w:rPr>
        <w:t xml:space="preserve">  </w:t>
      </w:r>
      <w:r>
        <w:rPr>
          <w:rFonts w:hint="eastAsia" w:eastAsia="仿宋_GB2312"/>
          <w:color w:val="auto"/>
          <w:sz w:val="24"/>
          <w:highlight w:val="none"/>
          <w:u w:val="single"/>
        </w:rPr>
        <w:t xml:space="preserve">/  </w:t>
      </w:r>
      <w:r>
        <w:rPr>
          <w:rFonts w:hint="eastAsia" w:eastAsia="仿宋_GB2312"/>
          <w:color w:val="auto"/>
          <w:sz w:val="24"/>
          <w:highlight w:val="none"/>
        </w:rPr>
        <w:t>。</w:t>
      </w:r>
    </w:p>
    <w:bookmarkEnd w:id="967"/>
    <w:p w14:paraId="3D0D93DE">
      <w:pPr>
        <w:adjustRightInd/>
        <w:spacing w:line="300" w:lineRule="auto"/>
        <w:ind w:firstLine="468" w:firstLineChars="195"/>
        <w:rPr>
          <w:rFonts w:eastAsia="仿宋_GB2312"/>
          <w:color w:val="auto"/>
          <w:sz w:val="24"/>
          <w:highlight w:val="none"/>
        </w:rPr>
      </w:pPr>
      <w:r>
        <w:rPr>
          <w:rFonts w:eastAsia="仿宋_GB2312"/>
          <w:color w:val="auto"/>
          <w:sz w:val="24"/>
          <w:highlight w:val="none"/>
        </w:rPr>
        <w:t>15.4.1 保修责任</w:t>
      </w:r>
    </w:p>
    <w:p w14:paraId="4CEE784D">
      <w:pPr>
        <w:adjustRightInd/>
        <w:spacing w:line="300" w:lineRule="auto"/>
        <w:ind w:firstLine="468" w:firstLineChars="195"/>
        <w:rPr>
          <w:rFonts w:eastAsia="仿宋_GB2312"/>
          <w:color w:val="auto"/>
          <w:sz w:val="24"/>
          <w:highlight w:val="none"/>
          <w:u w:val="single"/>
        </w:rPr>
      </w:pPr>
      <w:r>
        <w:rPr>
          <w:rFonts w:eastAsia="仿宋_GB2312"/>
          <w:color w:val="auto"/>
          <w:sz w:val="24"/>
          <w:highlight w:val="none"/>
        </w:rPr>
        <w:t>工程保修期为：</w:t>
      </w:r>
      <w:r>
        <w:rPr>
          <w:rFonts w:hint="eastAsia" w:eastAsia="仿宋_GB2312"/>
          <w:color w:val="auto"/>
          <w:sz w:val="24"/>
          <w:highlight w:val="none"/>
          <w:u w:val="single"/>
        </w:rPr>
        <w:t>以工程质量保修书约定为准</w:t>
      </w:r>
      <w:r>
        <w:rPr>
          <w:rFonts w:eastAsia="仿宋_GB2312"/>
          <w:color w:val="auto"/>
          <w:sz w:val="24"/>
          <w:highlight w:val="none"/>
        </w:rPr>
        <w:t>。</w:t>
      </w:r>
    </w:p>
    <w:p w14:paraId="7389F4D7">
      <w:pPr>
        <w:adjustRightInd/>
        <w:spacing w:line="300" w:lineRule="auto"/>
        <w:ind w:firstLine="468" w:firstLineChars="195"/>
        <w:rPr>
          <w:rFonts w:eastAsia="仿宋_GB2312"/>
          <w:color w:val="auto"/>
          <w:sz w:val="24"/>
          <w:highlight w:val="none"/>
        </w:rPr>
      </w:pPr>
      <w:r>
        <w:rPr>
          <w:rFonts w:eastAsia="仿宋_GB2312"/>
          <w:color w:val="auto"/>
          <w:sz w:val="24"/>
          <w:highlight w:val="none"/>
        </w:rPr>
        <w:t>15.4.3 修复通知</w:t>
      </w:r>
    </w:p>
    <w:p w14:paraId="0E82D844">
      <w:pPr>
        <w:adjustRightInd/>
        <w:spacing w:line="300" w:lineRule="auto"/>
        <w:ind w:firstLine="468" w:firstLineChars="195"/>
        <w:rPr>
          <w:rFonts w:eastAsia="仿宋_GB2312"/>
          <w:color w:val="auto"/>
          <w:sz w:val="24"/>
          <w:highlight w:val="none"/>
          <w:u w:val="single"/>
        </w:rPr>
      </w:pPr>
      <w:r>
        <w:rPr>
          <w:rFonts w:eastAsia="仿宋_GB2312"/>
          <w:color w:val="auto"/>
          <w:sz w:val="24"/>
          <w:highlight w:val="none"/>
        </w:rPr>
        <w:t>承包人收到保修通知并到达工程现场的合理时间：</w:t>
      </w:r>
      <w:r>
        <w:rPr>
          <w:rFonts w:hint="eastAsia" w:eastAsia="仿宋_GB2312"/>
          <w:color w:val="auto"/>
          <w:sz w:val="24"/>
          <w:highlight w:val="none"/>
          <w:u w:val="single"/>
        </w:rPr>
        <w:t>24小时</w:t>
      </w:r>
      <w:r>
        <w:rPr>
          <w:rFonts w:eastAsia="仿宋_GB2312"/>
          <w:color w:val="auto"/>
          <w:sz w:val="24"/>
          <w:highlight w:val="none"/>
        </w:rPr>
        <w:t>。</w:t>
      </w:r>
    </w:p>
    <w:bookmarkEnd w:id="968"/>
    <w:bookmarkEnd w:id="969"/>
    <w:bookmarkEnd w:id="970"/>
    <w:bookmarkEnd w:id="971"/>
    <w:p w14:paraId="4CAF5B6E">
      <w:pPr>
        <w:pStyle w:val="8"/>
        <w:spacing w:before="0" w:after="0" w:line="300" w:lineRule="auto"/>
        <w:rPr>
          <w:rFonts w:ascii="Times New Roman" w:hAnsi="Times New Roman"/>
          <w:b w:val="0"/>
          <w:color w:val="auto"/>
          <w:sz w:val="24"/>
          <w:szCs w:val="24"/>
          <w:highlight w:val="none"/>
        </w:rPr>
      </w:pPr>
      <w:bookmarkStart w:id="994" w:name="_Toc351203648"/>
      <w:bookmarkStart w:id="995" w:name="_Toc280868717"/>
      <w:bookmarkStart w:id="996" w:name="_Toc280868718"/>
      <w:r>
        <w:rPr>
          <w:rFonts w:ascii="Times New Roman" w:hAnsi="Times New Roman"/>
          <w:b w:val="0"/>
          <w:color w:val="auto"/>
          <w:sz w:val="24"/>
          <w:szCs w:val="24"/>
          <w:highlight w:val="none"/>
        </w:rPr>
        <w:t>16. 违约</w:t>
      </w:r>
      <w:bookmarkEnd w:id="994"/>
    </w:p>
    <w:p w14:paraId="7E5363AC">
      <w:pPr>
        <w:adjustRightInd/>
        <w:spacing w:line="300" w:lineRule="auto"/>
        <w:ind w:firstLine="480" w:firstLineChars="200"/>
        <w:rPr>
          <w:rFonts w:eastAsia="黑体"/>
          <w:color w:val="auto"/>
          <w:sz w:val="24"/>
          <w:highlight w:val="none"/>
        </w:rPr>
      </w:pPr>
      <w:r>
        <w:rPr>
          <w:rFonts w:eastAsia="黑体"/>
          <w:color w:val="auto"/>
          <w:sz w:val="24"/>
          <w:highlight w:val="none"/>
        </w:rPr>
        <w:t>16.1 发包人违约</w:t>
      </w:r>
    </w:p>
    <w:p w14:paraId="6023C015">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16.1.1发包人违约的情形</w:t>
      </w:r>
    </w:p>
    <w:p w14:paraId="568CD68B">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发包人违约的其他情形：</w:t>
      </w:r>
      <w:r>
        <w:rPr>
          <w:rFonts w:hint="eastAsia" w:eastAsia="仿宋_GB2312"/>
          <w:color w:val="auto"/>
          <w:sz w:val="24"/>
          <w:highlight w:val="none"/>
          <w:u w:val="single"/>
        </w:rPr>
        <w:t xml:space="preserve">   /    </w:t>
      </w:r>
      <w:r>
        <w:rPr>
          <w:rFonts w:eastAsia="仿宋_GB2312"/>
          <w:color w:val="auto"/>
          <w:sz w:val="24"/>
          <w:highlight w:val="none"/>
        </w:rPr>
        <w:t>。</w:t>
      </w:r>
    </w:p>
    <w:p w14:paraId="740F886E">
      <w:pPr>
        <w:adjustRightInd/>
        <w:spacing w:line="300" w:lineRule="auto"/>
        <w:ind w:left="1200" w:hanging="1200" w:hangingChars="500"/>
        <w:rPr>
          <w:rFonts w:eastAsia="仿宋_GB2312"/>
          <w:color w:val="auto"/>
          <w:sz w:val="24"/>
          <w:highlight w:val="none"/>
        </w:rPr>
      </w:pPr>
      <w:r>
        <w:rPr>
          <w:rFonts w:eastAsia="仿宋_GB2312"/>
          <w:color w:val="auto"/>
          <w:sz w:val="24"/>
          <w:highlight w:val="none"/>
        </w:rPr>
        <w:t xml:space="preserve">    16.1.2 发包人违约的责任</w:t>
      </w:r>
    </w:p>
    <w:p w14:paraId="12F1E06B">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发包人违约责任的承担方式和计算方法：</w:t>
      </w:r>
    </w:p>
    <w:p w14:paraId="643B3778">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（1）因发包人原因未能在计划开工日期前7天内下达开工通知的违约责任：</w:t>
      </w:r>
      <w:r>
        <w:rPr>
          <w:rFonts w:hint="eastAsia" w:eastAsia="仿宋_GB2312"/>
          <w:color w:val="auto"/>
          <w:sz w:val="24"/>
          <w:highlight w:val="none"/>
          <w:u w:val="single"/>
        </w:rPr>
        <w:t>/</w:t>
      </w:r>
      <w:r>
        <w:rPr>
          <w:rFonts w:eastAsia="仿宋_GB2312"/>
          <w:color w:val="auto"/>
          <w:sz w:val="24"/>
          <w:highlight w:val="none"/>
        </w:rPr>
        <w:t>。</w:t>
      </w:r>
    </w:p>
    <w:p w14:paraId="4ECBE530">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（2）因发包人原因未能按合同约定支付合同价款的违约责任：</w:t>
      </w:r>
      <w:r>
        <w:rPr>
          <w:rFonts w:hint="eastAsia" w:eastAsia="仿宋_GB2312"/>
          <w:color w:val="auto"/>
          <w:sz w:val="24"/>
          <w:highlight w:val="none"/>
          <w:u w:val="single"/>
        </w:rPr>
        <w:t>按通用条款执行，但是因政府财政审计原因导致的付款延迟除外。</w:t>
      </w:r>
    </w:p>
    <w:p w14:paraId="7F24402B">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（3）发包人违反第10.1款</w:t>
      </w:r>
      <w:r>
        <w:rPr>
          <w:rFonts w:hint="eastAsia" w:eastAsia="仿宋_GB2312"/>
          <w:color w:val="auto"/>
          <w:sz w:val="24"/>
          <w:highlight w:val="none"/>
        </w:rPr>
        <w:t>〔</w:t>
      </w:r>
      <w:r>
        <w:rPr>
          <w:rFonts w:eastAsia="仿宋_GB2312"/>
          <w:color w:val="auto"/>
          <w:sz w:val="24"/>
          <w:highlight w:val="none"/>
        </w:rPr>
        <w:t>变更的范围</w:t>
      </w:r>
      <w:r>
        <w:rPr>
          <w:rFonts w:hint="eastAsia" w:eastAsia="仿宋_GB2312"/>
          <w:color w:val="auto"/>
          <w:sz w:val="24"/>
          <w:highlight w:val="none"/>
        </w:rPr>
        <w:t>〕</w:t>
      </w:r>
      <w:r>
        <w:rPr>
          <w:rFonts w:eastAsia="仿宋_GB2312"/>
          <w:color w:val="auto"/>
          <w:sz w:val="24"/>
          <w:highlight w:val="none"/>
        </w:rPr>
        <w:t>第（2）项约定，自行实施被取消的工作或转由他人实施的违约责任：</w:t>
      </w:r>
      <w:r>
        <w:rPr>
          <w:rFonts w:hint="eastAsia" w:eastAsia="仿宋_GB2312"/>
          <w:color w:val="auto"/>
          <w:sz w:val="24"/>
          <w:highlight w:val="none"/>
          <w:u w:val="single"/>
        </w:rPr>
        <w:t>按通用条款执行，但承包人同意或因承包人原因发包人将工程发包给其他单位分包的，发包人不承担责任</w:t>
      </w:r>
      <w:r>
        <w:rPr>
          <w:rFonts w:eastAsia="仿宋_GB2312"/>
          <w:color w:val="auto"/>
          <w:sz w:val="24"/>
          <w:highlight w:val="none"/>
          <w:u w:val="single"/>
        </w:rPr>
        <w:t>。</w:t>
      </w:r>
    </w:p>
    <w:p w14:paraId="2CBEBABE">
      <w:pPr>
        <w:adjustRightInd/>
        <w:spacing w:line="300" w:lineRule="auto"/>
        <w:ind w:firstLine="480" w:firstLineChars="200"/>
        <w:rPr>
          <w:rFonts w:eastAsia="仿宋_GB2312"/>
          <w:color w:val="auto"/>
          <w:sz w:val="24"/>
          <w:highlight w:val="none"/>
        </w:rPr>
      </w:pPr>
      <w:r>
        <w:rPr>
          <w:rFonts w:eastAsia="仿宋_GB2312"/>
          <w:color w:val="auto"/>
          <w:sz w:val="24"/>
          <w:highlight w:val="none"/>
        </w:rPr>
        <w:t>（4）发包人提供的材料、工程设备的规格、数量或质量不符合合同约定，或因发包人原因导致交货日期延误或交货地点变更等情况的违约责任：</w:t>
      </w:r>
      <w:r>
        <w:rPr>
          <w:rFonts w:hint="eastAsia" w:eastAsia="仿宋_GB2312"/>
          <w:color w:val="auto"/>
          <w:sz w:val="24"/>
          <w:highlight w:val="none"/>
          <w:u w:val="single"/>
        </w:rPr>
        <w:t>双方协商确定</w:t>
      </w:r>
      <w:r>
        <w:rPr>
          <w:rFonts w:eastAsia="仿宋_GB2312"/>
          <w:color w:val="auto"/>
          <w:sz w:val="24"/>
          <w:highlight w:val="none"/>
        </w:rPr>
        <w:t>。</w:t>
      </w:r>
    </w:p>
    <w:p w14:paraId="2C0ECE16">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（5）因发包人违反合同约定造成暂停施工的违约责任：</w:t>
      </w:r>
      <w:r>
        <w:rPr>
          <w:rFonts w:hint="eastAsia" w:eastAsia="仿宋_GB2312"/>
          <w:color w:val="auto"/>
          <w:sz w:val="24"/>
          <w:highlight w:val="none"/>
          <w:u w:val="single"/>
        </w:rPr>
        <w:t>双方协商确定</w:t>
      </w:r>
      <w:r>
        <w:rPr>
          <w:rFonts w:eastAsia="仿宋_GB2312"/>
          <w:color w:val="auto"/>
          <w:sz w:val="24"/>
          <w:highlight w:val="none"/>
        </w:rPr>
        <w:t>。</w:t>
      </w:r>
    </w:p>
    <w:p w14:paraId="4F04EB45">
      <w:pPr>
        <w:adjustRightInd/>
        <w:spacing w:line="300" w:lineRule="auto"/>
        <w:ind w:firstLine="480" w:firstLineChars="200"/>
        <w:rPr>
          <w:rFonts w:eastAsia="仿宋_GB2312"/>
          <w:color w:val="auto"/>
          <w:sz w:val="24"/>
          <w:highlight w:val="none"/>
        </w:rPr>
      </w:pPr>
      <w:r>
        <w:rPr>
          <w:rFonts w:eastAsia="仿宋_GB2312"/>
          <w:color w:val="auto"/>
          <w:sz w:val="24"/>
          <w:highlight w:val="none"/>
        </w:rPr>
        <w:t>（6）发包人无正当理由没有在约定期限内发出复工指示，导致承包人无法复工的违约责任：</w:t>
      </w:r>
      <w:r>
        <w:rPr>
          <w:rFonts w:hint="eastAsia" w:eastAsia="仿宋_GB2312"/>
          <w:color w:val="auto"/>
          <w:sz w:val="24"/>
          <w:highlight w:val="none"/>
          <w:u w:val="single"/>
        </w:rPr>
        <w:t>双方协商确定</w:t>
      </w:r>
      <w:r>
        <w:rPr>
          <w:rFonts w:eastAsia="仿宋_GB2312"/>
          <w:color w:val="auto"/>
          <w:sz w:val="24"/>
          <w:highlight w:val="none"/>
        </w:rPr>
        <w:t>。</w:t>
      </w:r>
    </w:p>
    <w:p w14:paraId="0AC2A8A3">
      <w:pPr>
        <w:adjustRightInd/>
        <w:spacing w:line="300" w:lineRule="auto"/>
        <w:ind w:firstLine="480" w:firstLineChars="200"/>
        <w:rPr>
          <w:rFonts w:eastAsia="仿宋_GB2312"/>
          <w:color w:val="auto"/>
          <w:sz w:val="24"/>
          <w:highlight w:val="none"/>
        </w:rPr>
      </w:pPr>
      <w:r>
        <w:rPr>
          <w:rFonts w:eastAsia="仿宋_GB2312"/>
          <w:color w:val="auto"/>
          <w:sz w:val="24"/>
          <w:highlight w:val="none"/>
        </w:rPr>
        <w:t>（7）</w:t>
      </w:r>
      <w:r>
        <w:rPr>
          <w:rFonts w:hint="eastAsia" w:eastAsia="仿宋_GB2312"/>
          <w:color w:val="auto"/>
          <w:sz w:val="24"/>
          <w:highlight w:val="none"/>
        </w:rPr>
        <w:t>其他：</w:t>
      </w:r>
      <w:r>
        <w:rPr>
          <w:rFonts w:hint="eastAsia" w:eastAsia="仿宋_GB2312"/>
          <w:color w:val="auto"/>
          <w:sz w:val="24"/>
          <w:highlight w:val="none"/>
          <w:u w:val="single"/>
        </w:rPr>
        <w:t xml:space="preserve">   /    </w:t>
      </w:r>
      <w:r>
        <w:rPr>
          <w:rFonts w:eastAsia="仿宋_GB2312"/>
          <w:color w:val="auto"/>
          <w:sz w:val="24"/>
          <w:highlight w:val="none"/>
        </w:rPr>
        <w:t>。</w:t>
      </w:r>
    </w:p>
    <w:p w14:paraId="68CC1E46">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16.1.3 因发包人违约解除合同</w:t>
      </w:r>
    </w:p>
    <w:p w14:paraId="79B251F2">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承包人按16.1.1项</w:t>
      </w:r>
      <w:r>
        <w:rPr>
          <w:rFonts w:hint="eastAsia" w:eastAsia="仿宋_GB2312"/>
          <w:color w:val="auto"/>
          <w:sz w:val="24"/>
          <w:highlight w:val="none"/>
        </w:rPr>
        <w:t>〔</w:t>
      </w:r>
      <w:r>
        <w:rPr>
          <w:rFonts w:eastAsia="仿宋_GB2312"/>
          <w:color w:val="auto"/>
          <w:sz w:val="24"/>
          <w:highlight w:val="none"/>
        </w:rPr>
        <w:t>发包人违约的情形</w:t>
      </w:r>
      <w:r>
        <w:rPr>
          <w:rFonts w:hint="eastAsia" w:eastAsia="仿宋_GB2312"/>
          <w:color w:val="auto"/>
          <w:sz w:val="24"/>
          <w:highlight w:val="none"/>
        </w:rPr>
        <w:t>〕</w:t>
      </w:r>
      <w:r>
        <w:rPr>
          <w:rFonts w:eastAsia="仿宋_GB2312"/>
          <w:color w:val="auto"/>
          <w:sz w:val="24"/>
          <w:highlight w:val="none"/>
        </w:rPr>
        <w:t>约定暂停施工满</w:t>
      </w:r>
      <w:r>
        <w:rPr>
          <w:rFonts w:hint="eastAsia" w:eastAsia="仿宋_GB2312"/>
          <w:color w:val="auto"/>
          <w:sz w:val="24"/>
          <w:highlight w:val="none"/>
          <w:u w:val="single"/>
        </w:rPr>
        <w:t>90</w:t>
      </w:r>
      <w:r>
        <w:rPr>
          <w:rFonts w:eastAsia="仿宋_GB2312"/>
          <w:color w:val="auto"/>
          <w:sz w:val="24"/>
          <w:highlight w:val="none"/>
        </w:rPr>
        <w:t>天后发包人仍不纠正其违约行为并致使合同目的不能实现的，承包人有权解除合同。</w:t>
      </w:r>
    </w:p>
    <w:p w14:paraId="48FEAE0B">
      <w:pPr>
        <w:adjustRightInd/>
        <w:spacing w:line="300" w:lineRule="auto"/>
        <w:ind w:firstLine="480" w:firstLineChars="200"/>
        <w:rPr>
          <w:rFonts w:eastAsia="黑体"/>
          <w:color w:val="auto"/>
          <w:sz w:val="24"/>
          <w:highlight w:val="none"/>
        </w:rPr>
      </w:pPr>
      <w:r>
        <w:rPr>
          <w:rFonts w:eastAsia="黑体"/>
          <w:color w:val="auto"/>
          <w:sz w:val="24"/>
          <w:highlight w:val="none"/>
        </w:rPr>
        <w:t>16.2 承包人违约</w:t>
      </w:r>
    </w:p>
    <w:p w14:paraId="6D67C305">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16.2.1 承包人违约的情形</w:t>
      </w:r>
    </w:p>
    <w:p w14:paraId="40B18DA7">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承包人违约的其他情形：</w:t>
      </w:r>
      <w:r>
        <w:rPr>
          <w:rFonts w:hint="eastAsia" w:eastAsia="仿宋_GB2312"/>
          <w:color w:val="auto"/>
          <w:sz w:val="24"/>
          <w:highlight w:val="none"/>
          <w:u w:val="single"/>
        </w:rPr>
        <w:t>/</w:t>
      </w:r>
      <w:r>
        <w:rPr>
          <w:rFonts w:eastAsia="仿宋_GB2312"/>
          <w:color w:val="auto"/>
          <w:sz w:val="24"/>
          <w:highlight w:val="none"/>
        </w:rPr>
        <w:t>。</w:t>
      </w:r>
    </w:p>
    <w:p w14:paraId="76941CCD">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16.2.2承包人违约的责任</w:t>
      </w:r>
    </w:p>
    <w:p w14:paraId="2B21DC36">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承包人违约责任的承担方式和计算方法：</w:t>
      </w:r>
      <w:r>
        <w:rPr>
          <w:rFonts w:hint="eastAsia" w:eastAsia="仿宋_GB2312"/>
          <w:color w:val="auto"/>
          <w:sz w:val="24"/>
          <w:highlight w:val="none"/>
          <w:u w:val="single"/>
        </w:rPr>
        <w:t>（1）承包人违反合同约定进行转包或违法分包的：发包人有权将该工程指令分包或另择其他单位施工，其发生的费用由承包人承担。发包人将向有关行政主管部门通报有关情况，由行政主管部门进行处罚。</w:t>
      </w:r>
    </w:p>
    <w:p w14:paraId="4D09C148">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2）承包人违反合同约定采购和使用不合格的材料和工程设备的：由承包人根据监理人、发包人及设计要求重新采购合格的材料和工程设备，由此引起的损失由承包人承担，由此引起的工期延误按第（5）条执行。</w:t>
      </w:r>
    </w:p>
    <w:p w14:paraId="0A48D3CE">
      <w:pPr>
        <w:adjustRightInd/>
        <w:spacing w:line="300" w:lineRule="auto"/>
        <w:ind w:firstLine="482"/>
        <w:rPr>
          <w:rFonts w:eastAsia="仿宋_GB2312"/>
          <w:color w:val="auto"/>
          <w:sz w:val="24"/>
          <w:highlight w:val="none"/>
          <w:u w:val="single"/>
        </w:rPr>
      </w:pPr>
      <w:r>
        <w:rPr>
          <w:rFonts w:hint="eastAsia" w:eastAsia="仿宋_GB2312"/>
          <w:color w:val="auto"/>
          <w:sz w:val="24"/>
          <w:highlight w:val="none"/>
          <w:u w:val="single"/>
        </w:rPr>
        <w:t>a、发包人指定、承包人采购的材料、设备，承包人应在发包人指定的生产厂家或品牌范围之内采购材料、设备，未经发包人批准，承包人擅自在指定范围之外采购的，承包人除无条件更换符合要求的产品外，需向发包人支付50000元</w:t>
      </w:r>
      <w:r>
        <w:rPr>
          <w:rFonts w:eastAsia="仿宋_GB2312"/>
          <w:color w:val="auto"/>
          <w:sz w:val="24"/>
          <w:highlight w:val="none"/>
          <w:u w:val="single"/>
        </w:rPr>
        <w:t>/</w:t>
      </w:r>
      <w:r>
        <w:rPr>
          <w:rFonts w:hint="eastAsia" w:eastAsia="仿宋_GB2312"/>
          <w:color w:val="auto"/>
          <w:sz w:val="24"/>
          <w:highlight w:val="none"/>
          <w:u w:val="single"/>
        </w:rPr>
        <w:t>次的违约金，且承担由此发生的费用，因此延误工期的，责任由承包人承担；</w:t>
      </w:r>
    </w:p>
    <w:p w14:paraId="26F247DA">
      <w:pPr>
        <w:adjustRightInd/>
        <w:spacing w:line="300" w:lineRule="auto"/>
        <w:ind w:firstLine="482"/>
        <w:rPr>
          <w:rFonts w:eastAsia="仿宋_GB2312"/>
          <w:color w:val="auto"/>
          <w:sz w:val="24"/>
          <w:highlight w:val="none"/>
          <w:u w:val="single"/>
        </w:rPr>
      </w:pPr>
      <w:r>
        <w:rPr>
          <w:rFonts w:eastAsia="仿宋_GB2312"/>
          <w:color w:val="auto"/>
          <w:sz w:val="24"/>
          <w:highlight w:val="none"/>
          <w:u w:val="single"/>
        </w:rPr>
        <w:t>b</w:t>
      </w:r>
      <w:r>
        <w:rPr>
          <w:rFonts w:hint="eastAsia" w:eastAsia="仿宋_GB2312"/>
          <w:color w:val="auto"/>
          <w:sz w:val="24"/>
          <w:highlight w:val="none"/>
          <w:u w:val="single"/>
        </w:rPr>
        <w:t>、承包人采购的材料设备未经验收即进场施工的，除承包人每次需向发包人支付10000元的违约金之外，发包人并有权要求承包人对不符合要求的材料设备进行更换，承包人应按发包人、监理人要求的时间将不符合要求的材料设备运出施工场地，重新采购符合要求的产品，承担由此发生的费用，延误的工期不予顺延。如不能按时完成上述工作，发包人有权对材料进行自行采购，采购所发生的材料费、运输费及其他交易费用从承包人的竣工结算款中扣除；</w:t>
      </w:r>
    </w:p>
    <w:p w14:paraId="37BB2AA5">
      <w:pPr>
        <w:adjustRightInd/>
        <w:spacing w:line="300" w:lineRule="auto"/>
        <w:ind w:firstLine="482"/>
        <w:rPr>
          <w:rFonts w:eastAsia="仿宋_GB2312"/>
          <w:color w:val="auto"/>
          <w:sz w:val="24"/>
          <w:highlight w:val="none"/>
          <w:u w:val="single"/>
        </w:rPr>
      </w:pPr>
      <w:r>
        <w:rPr>
          <w:rFonts w:eastAsia="仿宋_GB2312"/>
          <w:color w:val="auto"/>
          <w:sz w:val="24"/>
          <w:highlight w:val="none"/>
          <w:u w:val="single"/>
        </w:rPr>
        <w:t>c</w:t>
      </w:r>
      <w:r>
        <w:rPr>
          <w:rFonts w:hint="eastAsia" w:eastAsia="仿宋_GB2312"/>
          <w:color w:val="auto"/>
          <w:sz w:val="24"/>
          <w:highlight w:val="none"/>
          <w:u w:val="single"/>
        </w:rPr>
        <w:t>、承包人采购的同一材料设备，连续</w:t>
      </w:r>
      <w:r>
        <w:rPr>
          <w:rFonts w:eastAsia="仿宋_GB2312"/>
          <w:color w:val="auto"/>
          <w:sz w:val="24"/>
          <w:highlight w:val="none"/>
          <w:u w:val="single"/>
        </w:rPr>
        <w:t xml:space="preserve">2 </w:t>
      </w:r>
      <w:r>
        <w:rPr>
          <w:rFonts w:hint="eastAsia" w:eastAsia="仿宋_GB2312"/>
          <w:color w:val="auto"/>
          <w:sz w:val="24"/>
          <w:highlight w:val="none"/>
          <w:u w:val="single"/>
        </w:rPr>
        <w:t>次不符合要求的，发包人有权决定将该材料设备的供应变更为由发包人采购或发包人指定承包人采购的方式。相关费用均由承包人承担；</w:t>
      </w:r>
    </w:p>
    <w:p w14:paraId="225FDB7A">
      <w:pPr>
        <w:adjustRightInd/>
        <w:spacing w:line="300" w:lineRule="auto"/>
        <w:ind w:firstLine="482"/>
        <w:rPr>
          <w:rFonts w:eastAsia="仿宋_GB2312"/>
          <w:color w:val="auto"/>
          <w:sz w:val="24"/>
          <w:highlight w:val="none"/>
          <w:u w:val="single"/>
        </w:rPr>
      </w:pPr>
      <w:r>
        <w:rPr>
          <w:rFonts w:eastAsia="仿宋_GB2312"/>
          <w:color w:val="auto"/>
          <w:sz w:val="24"/>
          <w:highlight w:val="none"/>
          <w:u w:val="single"/>
        </w:rPr>
        <w:t>d</w:t>
      </w:r>
      <w:r>
        <w:rPr>
          <w:rFonts w:hint="eastAsia" w:eastAsia="仿宋_GB2312"/>
          <w:color w:val="auto"/>
          <w:sz w:val="24"/>
          <w:highlight w:val="none"/>
          <w:u w:val="single"/>
        </w:rPr>
        <w:t>、除招标文件要求外，本工程选用的材料必须达到国家质量标准及环保要求，发包人或者发包人委托的第三方检测机构检查中发现承包人使用不合格或不符合本工程质量要求的劣质材料设备施工，一经发现，发包人或监理有权制止使用，甚至停工、返工或中止合同，并要求承包人免费更换及赔偿损失。无论发包人及监理是否发现和制止，由于使用不合格或不符合本工程质量要求的劣质材料施工后所引起的一切责任均由承包人自负；</w:t>
      </w:r>
    </w:p>
    <w:p w14:paraId="5273A180">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u w:val="single"/>
        </w:rPr>
        <w:t>e</w:t>
      </w:r>
      <w:r>
        <w:rPr>
          <w:rFonts w:hint="eastAsia" w:eastAsia="仿宋_GB2312"/>
          <w:color w:val="auto"/>
          <w:sz w:val="24"/>
          <w:highlight w:val="none"/>
          <w:u w:val="single"/>
        </w:rPr>
        <w:t>、施工过程中一旦发现承包人使用假冒产品或存在以次充好的现象，发包人有权解除合同，并处以合同总价1</w:t>
      </w:r>
      <w:r>
        <w:rPr>
          <w:rFonts w:eastAsia="仿宋_GB2312"/>
          <w:color w:val="auto"/>
          <w:sz w:val="24"/>
          <w:highlight w:val="none"/>
          <w:u w:val="single"/>
        </w:rPr>
        <w:t>%</w:t>
      </w:r>
      <w:r>
        <w:rPr>
          <w:rFonts w:hint="eastAsia" w:eastAsia="仿宋_GB2312"/>
          <w:color w:val="auto"/>
          <w:sz w:val="24"/>
          <w:highlight w:val="none"/>
          <w:u w:val="single"/>
        </w:rPr>
        <w:t>的处罚。</w:t>
      </w:r>
    </w:p>
    <w:p w14:paraId="39077E99">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3）因承包人原因导致工程质量不符合合同要求的：发包人、监理人随时检查工程质量，若发现不符合相关质量验收评定标准及施工规范，承包人应在限期内无条件整改直到达标，同时发包人有权每次扣罚承包人承诺的质量保证履约保证金的10%，待竣工验收时，质量未达到招标文件要求或无法通过竣工验收的，承包人负责返修，直至达到要求，并扣罚全部质量履约保证金，且发包人保留采取其他制约措施的权力。</w:t>
      </w:r>
    </w:p>
    <w:p w14:paraId="6F9077EA">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（4）承包人违反通用条款第8.9 款[材料与设备专用要求]的约定，未经批准，私自将已按照合同约定进入施工现场的材料或设备撤离施工现场的：造成工程损失的由承包人承担，造成工期延误的按（5）执行。</w:t>
      </w:r>
    </w:p>
    <w:p w14:paraId="14553F07">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5）承包人未能按施工进度计划及时完成合同约定的工作，造成工期延误的：每延误一天，按合同总价的千分之一支付违约金。发包人按施工进度计划检查，确定承包人不能按期完成，也无能力采取措施完成的，发包人有权将该工程指定其它单位施工，其发生费用由承包人承担。发包人将向有关行政主管部门通报有关情况，由行政主管部门进行处罚。</w:t>
      </w:r>
    </w:p>
    <w:p w14:paraId="255F9C21">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6）承包人在缺陷责任期及保修期内，未能在合理期限对工程缺陷进行修复，或拒绝发包人要求进行修复的：发包人有权将该工程指定其也单位施工，其发生费用由承包人承担。发包人将向有关行政管理部门通报有关情况，由行政管理部门进行处罚。</w:t>
      </w:r>
    </w:p>
    <w:p w14:paraId="5FF55462">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（7）承包人明确表示或者以其行为表明不履行合同主要义务的：发包人有权将该工程指定其它单位施工，其发生费用由承包人承担。发包人将向有关行政主管部门通报有关情况，由行政主管部门进行处罚。</w:t>
      </w:r>
    </w:p>
    <w:p w14:paraId="61B32EDB">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（8）承包人未能按照合同约定履行其他义务的：扣罚其它履约保证金。</w:t>
      </w:r>
    </w:p>
    <w:p w14:paraId="3219800B">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（9）承包人未能如期上报工程结算的每逾期一天扣罚1000元（工程结算上报及时率履约保证金为扣罚上限，在结算款中扣除，发包人原因导致结算上报延缓的除外）。</w:t>
      </w:r>
    </w:p>
    <w:p w14:paraId="175202D6">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（10）承包人施工现场所有临设每间房间仅允许设置一个插座，其余均使用USB接口，防止不规范用电引起消防隐患。如发现承包人私自接电、不规范用电，每次处以罚款2000-5000元。</w:t>
      </w:r>
    </w:p>
    <w:p w14:paraId="4043813E">
      <w:pPr>
        <w:rPr>
          <w:rFonts w:eastAsia="仿宋_GB2312"/>
          <w:color w:val="auto"/>
          <w:sz w:val="24"/>
          <w:highlight w:val="none"/>
          <w:u w:val="single"/>
        </w:rPr>
      </w:pPr>
      <w:r>
        <w:rPr>
          <w:rFonts w:hint="eastAsia"/>
          <w:color w:val="auto"/>
          <w:highlight w:val="none"/>
        </w:rPr>
        <w:t xml:space="preserve">    </w:t>
      </w:r>
      <w:r>
        <w:rPr>
          <w:rFonts w:hint="eastAsia" w:ascii="宋体" w:eastAsia="楷体_GB2312" w:cs="TimesNewRomanPSMT"/>
          <w:bCs/>
          <w:color w:val="auto"/>
          <w:sz w:val="28"/>
          <w:szCs w:val="20"/>
          <w:highlight w:val="none"/>
        </w:rPr>
        <w:t xml:space="preserve"> </w:t>
      </w:r>
      <w:r>
        <w:rPr>
          <w:rFonts w:hint="eastAsia" w:ascii="宋体" w:eastAsia="楷体_GB2312" w:cs="TimesNewRomanPSMT"/>
          <w:bCs/>
          <w:color w:val="auto"/>
          <w:sz w:val="24"/>
          <w:highlight w:val="none"/>
        </w:rPr>
        <w:t>(11)</w:t>
      </w:r>
      <w:r>
        <w:rPr>
          <w:rFonts w:hint="eastAsia" w:eastAsia="仿宋_GB2312"/>
          <w:color w:val="auto"/>
          <w:sz w:val="24"/>
          <w:highlight w:val="none"/>
          <w:u w:val="single"/>
        </w:rPr>
        <w:t>承包人应在临设区域合理设置电瓶车集中充电点，禁止电瓶车随意在工地现场充电，引发消防隐患，涉及费用在承包人的投标报价中综合考虑。</w:t>
      </w:r>
    </w:p>
    <w:p w14:paraId="78C1F585">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16.2.3 因承包人违约解除合同</w:t>
      </w:r>
    </w:p>
    <w:p w14:paraId="43F4F2E4">
      <w:pPr>
        <w:pStyle w:val="897"/>
        <w:spacing w:line="300" w:lineRule="auto"/>
        <w:ind w:left="420" w:firstLineChars="0"/>
        <w:rPr>
          <w:rFonts w:eastAsia="仿宋_GB2312"/>
          <w:color w:val="auto"/>
          <w:highlight w:val="none"/>
        </w:rPr>
      </w:pPr>
      <w:r>
        <w:rPr>
          <w:rFonts w:eastAsia="仿宋_GB2312"/>
          <w:color w:val="auto"/>
          <w:highlight w:val="none"/>
        </w:rPr>
        <w:t>关于承包人违约解除合同的特别约定：</w:t>
      </w:r>
    </w:p>
    <w:p w14:paraId="2716ED2C">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1</w:t>
      </w:r>
      <w:r>
        <w:rPr>
          <w:rFonts w:hint="eastAsia" w:eastAsia="仿宋_GB2312"/>
          <w:color w:val="auto"/>
          <w:highlight w:val="none"/>
          <w:u w:val="single"/>
        </w:rPr>
        <w:t>、承包人有下列违约情形的，发包人有权单方解除合同：</w:t>
      </w:r>
    </w:p>
    <w:p w14:paraId="35956A61">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w:t>
      </w:r>
      <w:r>
        <w:rPr>
          <w:rFonts w:eastAsia="仿宋_GB2312"/>
          <w:color w:val="auto"/>
          <w:highlight w:val="none"/>
          <w:u w:val="single"/>
        </w:rPr>
        <w:t>1</w:t>
      </w:r>
      <w:r>
        <w:rPr>
          <w:rFonts w:hint="eastAsia" w:eastAsia="仿宋_GB2312"/>
          <w:color w:val="auto"/>
          <w:highlight w:val="none"/>
          <w:u w:val="single"/>
        </w:rPr>
        <w:t>)承包人原因超过开工日期【10】日以上未进场施工的；</w:t>
      </w:r>
    </w:p>
    <w:p w14:paraId="401EEA53">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w:t>
      </w:r>
      <w:r>
        <w:rPr>
          <w:rFonts w:eastAsia="仿宋_GB2312"/>
          <w:color w:val="auto"/>
          <w:highlight w:val="none"/>
          <w:u w:val="single"/>
        </w:rPr>
        <w:t>2</w:t>
      </w:r>
      <w:r>
        <w:rPr>
          <w:rFonts w:hint="eastAsia" w:eastAsia="仿宋_GB2312"/>
          <w:color w:val="auto"/>
          <w:highlight w:val="none"/>
          <w:u w:val="single"/>
        </w:rPr>
        <w:t>)承包人原因停工超【15】日以上的；</w:t>
      </w:r>
    </w:p>
    <w:p w14:paraId="7D1038E2">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w:t>
      </w:r>
      <w:r>
        <w:rPr>
          <w:rFonts w:eastAsia="仿宋_GB2312"/>
          <w:color w:val="auto"/>
          <w:highlight w:val="none"/>
          <w:u w:val="single"/>
        </w:rPr>
        <w:t>3</w:t>
      </w:r>
      <w:r>
        <w:rPr>
          <w:rFonts w:hint="eastAsia" w:eastAsia="仿宋_GB2312"/>
          <w:color w:val="auto"/>
          <w:highlight w:val="none"/>
          <w:u w:val="single"/>
        </w:rPr>
        <w:t>)承包人原因超过节点工期或者合同约定竣工日期【10】日以上未完工的；</w:t>
      </w:r>
    </w:p>
    <w:p w14:paraId="726321EC">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w:t>
      </w:r>
      <w:r>
        <w:rPr>
          <w:rFonts w:eastAsia="仿宋_GB2312"/>
          <w:color w:val="auto"/>
          <w:highlight w:val="none"/>
          <w:u w:val="single"/>
        </w:rPr>
        <w:t>4</w:t>
      </w:r>
      <w:r>
        <w:rPr>
          <w:rFonts w:hint="eastAsia" w:eastAsia="仿宋_GB2312"/>
          <w:color w:val="auto"/>
          <w:highlight w:val="none"/>
          <w:u w:val="single"/>
        </w:rPr>
        <w:t>)承包人施工过程中安装假冒器材和设备、以次充好或者出现严重施工质量问题，造成严重后果的；</w:t>
      </w:r>
    </w:p>
    <w:p w14:paraId="60194342">
      <w:pPr>
        <w:pStyle w:val="897"/>
        <w:spacing w:line="300" w:lineRule="auto"/>
        <w:ind w:left="420" w:firstLine="482" w:firstLineChars="0"/>
        <w:rPr>
          <w:ins w:id="0" w:author="admin" w:date="2022-03-05T19:09:00Z"/>
          <w:rFonts w:eastAsia="仿宋_GB2312"/>
          <w:color w:val="auto"/>
          <w:highlight w:val="none"/>
          <w:u w:val="single"/>
        </w:rPr>
      </w:pPr>
      <w:r>
        <w:rPr>
          <w:rFonts w:hint="eastAsia" w:eastAsia="仿宋_GB2312"/>
          <w:color w:val="auto"/>
          <w:highlight w:val="none"/>
          <w:u w:val="single"/>
        </w:rPr>
        <w:t>(</w:t>
      </w:r>
      <w:r>
        <w:rPr>
          <w:rFonts w:eastAsia="仿宋_GB2312"/>
          <w:color w:val="auto"/>
          <w:highlight w:val="none"/>
          <w:u w:val="single"/>
        </w:rPr>
        <w:t>5</w:t>
      </w:r>
      <w:r>
        <w:rPr>
          <w:rFonts w:hint="eastAsia" w:eastAsia="仿宋_GB2312"/>
          <w:color w:val="auto"/>
          <w:highlight w:val="none"/>
          <w:u w:val="single"/>
        </w:rPr>
        <w:t>)承包人将其承包的全部工程或者主要部分转包给第三人(包括名义上以承包人名义施工实际上由第三人实际负责并独立核算，承包人收取挂靠费的情况)；</w:t>
      </w:r>
    </w:p>
    <w:p w14:paraId="443623CD">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2</w:t>
      </w:r>
      <w:r>
        <w:rPr>
          <w:rFonts w:hint="eastAsia" w:eastAsia="仿宋_GB2312"/>
          <w:color w:val="auto"/>
          <w:highlight w:val="none"/>
          <w:u w:val="single"/>
        </w:rPr>
        <w:t>、发包人依据合同约定要求解除合同的，可以以书面形式向承包人发出解除合同的通知，通知到达承包人时合同解除。</w:t>
      </w:r>
    </w:p>
    <w:p w14:paraId="6C084DBB">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3</w:t>
      </w:r>
      <w:r>
        <w:rPr>
          <w:rFonts w:hint="eastAsia" w:eastAsia="仿宋_GB2312"/>
          <w:color w:val="auto"/>
          <w:highlight w:val="none"/>
          <w:u w:val="single"/>
        </w:rPr>
        <w:t>、合同解除后，承包人应妥善做好已完工程和已购材料、设备的保护和移交工作，按发包人要求将自有机械设备和人员撤出施工场地，并应按签约合同价的【   】</w:t>
      </w:r>
      <w:r>
        <w:rPr>
          <w:rFonts w:eastAsia="仿宋_GB2312"/>
          <w:color w:val="auto"/>
          <w:highlight w:val="none"/>
          <w:u w:val="single"/>
        </w:rPr>
        <w:t>%</w:t>
      </w:r>
      <w:r>
        <w:rPr>
          <w:rFonts w:hint="eastAsia" w:eastAsia="仿宋_GB2312"/>
          <w:color w:val="auto"/>
          <w:highlight w:val="none"/>
          <w:u w:val="single"/>
        </w:rPr>
        <w:t>向发包人支付违约金，该违约金不足以赔偿发包人损失的，承包人应当另行补足。</w:t>
      </w:r>
    </w:p>
    <w:p w14:paraId="159AEC1B">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4</w:t>
      </w:r>
      <w:r>
        <w:rPr>
          <w:rFonts w:hint="eastAsia" w:eastAsia="仿宋_GB2312"/>
          <w:color w:val="auto"/>
          <w:highlight w:val="none"/>
          <w:u w:val="single"/>
        </w:rPr>
        <w:t>、合同解除后，承包人未在发包人要求的期限内撤离施工现场并移交全部工程及工程资料的，每逾期一日，应向发包人支付签约合同价的【0.1】</w:t>
      </w:r>
      <w:r>
        <w:rPr>
          <w:rFonts w:eastAsia="仿宋_GB2312"/>
          <w:color w:val="auto"/>
          <w:highlight w:val="none"/>
          <w:u w:val="single"/>
        </w:rPr>
        <w:t>%</w:t>
      </w:r>
      <w:r>
        <w:rPr>
          <w:rFonts w:hint="eastAsia" w:eastAsia="仿宋_GB2312"/>
          <w:color w:val="auto"/>
          <w:highlight w:val="none"/>
          <w:u w:val="single"/>
        </w:rPr>
        <w:t>作为违约金。逾期超过【10】日的，发包人有权直接清理现场，由此造成的损失和产生的不利后果由承包人承担，且承包人仍应按前述要求移交全部工程资料</w:t>
      </w:r>
      <w:r>
        <w:rPr>
          <w:rFonts w:eastAsia="仿宋_GB2312"/>
          <w:color w:val="auto"/>
          <w:highlight w:val="none"/>
          <w:u w:val="single"/>
        </w:rPr>
        <w:t xml:space="preserve">  。</w:t>
      </w:r>
    </w:p>
    <w:p w14:paraId="7360944F">
      <w:pPr>
        <w:pStyle w:val="8"/>
        <w:tabs>
          <w:tab w:val="left" w:pos="630"/>
          <w:tab w:val="clear" w:pos="864"/>
        </w:tabs>
        <w:spacing w:before="0" w:after="0" w:line="300" w:lineRule="auto"/>
        <w:rPr>
          <w:rFonts w:ascii="Times New Roman" w:hAnsi="Times New Roman"/>
          <w:b w:val="0"/>
          <w:color w:val="auto"/>
          <w:sz w:val="24"/>
          <w:szCs w:val="24"/>
          <w:highlight w:val="none"/>
        </w:rPr>
      </w:pPr>
      <w:bookmarkStart w:id="997" w:name="_Toc351203649"/>
      <w:r>
        <w:rPr>
          <w:rFonts w:ascii="Times New Roman" w:hAnsi="Times New Roman"/>
          <w:b w:val="0"/>
          <w:color w:val="auto"/>
          <w:sz w:val="24"/>
          <w:szCs w:val="24"/>
          <w:highlight w:val="none"/>
        </w:rPr>
        <w:t>17. 不可抗力</w:t>
      </w:r>
      <w:bookmarkEnd w:id="995"/>
      <w:bookmarkEnd w:id="997"/>
    </w:p>
    <w:p w14:paraId="5B2685FF">
      <w:pPr>
        <w:adjustRightInd/>
        <w:spacing w:line="300" w:lineRule="auto"/>
        <w:ind w:firstLine="480" w:firstLineChars="200"/>
        <w:rPr>
          <w:rFonts w:eastAsia="黑体"/>
          <w:color w:val="auto"/>
          <w:sz w:val="24"/>
          <w:highlight w:val="none"/>
        </w:rPr>
      </w:pPr>
      <w:r>
        <w:rPr>
          <w:rFonts w:eastAsia="黑体"/>
          <w:color w:val="auto"/>
          <w:sz w:val="24"/>
          <w:highlight w:val="none"/>
        </w:rPr>
        <w:t>17.1 不可抗力的确认</w:t>
      </w:r>
    </w:p>
    <w:p w14:paraId="6FEF65AB">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除通用合同条款约定的不可抗力事件之外，视为不可抗力的其他情形：</w:t>
      </w:r>
      <w:r>
        <w:rPr>
          <w:rFonts w:hint="eastAsia" w:eastAsia="仿宋_GB2312"/>
          <w:color w:val="auto"/>
          <w:sz w:val="24"/>
          <w:highlight w:val="none"/>
          <w:u w:val="single"/>
        </w:rPr>
        <w:t xml:space="preserve">   /    </w:t>
      </w:r>
      <w:r>
        <w:rPr>
          <w:rFonts w:eastAsia="仿宋_GB2312"/>
          <w:color w:val="auto"/>
          <w:sz w:val="24"/>
          <w:highlight w:val="none"/>
        </w:rPr>
        <w:t>。</w:t>
      </w:r>
    </w:p>
    <w:p w14:paraId="4E1C4FC0">
      <w:pPr>
        <w:adjustRightInd/>
        <w:spacing w:line="300" w:lineRule="auto"/>
        <w:ind w:firstLine="480" w:firstLineChars="200"/>
        <w:rPr>
          <w:rFonts w:eastAsia="黑体"/>
          <w:color w:val="auto"/>
          <w:sz w:val="24"/>
          <w:highlight w:val="none"/>
        </w:rPr>
      </w:pPr>
      <w:r>
        <w:rPr>
          <w:rFonts w:eastAsia="黑体"/>
          <w:color w:val="auto"/>
          <w:sz w:val="24"/>
          <w:highlight w:val="none"/>
        </w:rPr>
        <w:t>17.4 因不可抗力解除合同</w:t>
      </w:r>
    </w:p>
    <w:p w14:paraId="2F2C51B1">
      <w:pPr>
        <w:adjustRightInd/>
        <w:spacing w:line="300" w:lineRule="auto"/>
        <w:ind w:firstLine="480" w:firstLineChars="200"/>
        <w:rPr>
          <w:rFonts w:eastAsia="仿宋_GB2312"/>
          <w:color w:val="auto"/>
          <w:sz w:val="24"/>
          <w:highlight w:val="none"/>
        </w:rPr>
      </w:pPr>
      <w:r>
        <w:rPr>
          <w:rFonts w:eastAsia="仿宋_GB2312"/>
          <w:color w:val="auto"/>
          <w:sz w:val="24"/>
          <w:highlight w:val="none"/>
        </w:rPr>
        <w:t>合同解除后，发包人应在商定或确定发包人应支付款项后</w:t>
      </w:r>
      <w:r>
        <w:rPr>
          <w:rFonts w:hint="eastAsia" w:eastAsia="仿宋_GB2312"/>
          <w:color w:val="auto"/>
          <w:sz w:val="24"/>
          <w:highlight w:val="none"/>
          <w:u w:val="single"/>
        </w:rPr>
        <w:t>60</w:t>
      </w:r>
      <w:r>
        <w:rPr>
          <w:rFonts w:eastAsia="仿宋_GB2312"/>
          <w:color w:val="auto"/>
          <w:sz w:val="24"/>
          <w:highlight w:val="none"/>
        </w:rPr>
        <w:t>天内完成款项的支付。</w:t>
      </w:r>
    </w:p>
    <w:p w14:paraId="5246BE14">
      <w:pPr>
        <w:pStyle w:val="8"/>
        <w:spacing w:before="0" w:after="0" w:line="300" w:lineRule="auto"/>
        <w:rPr>
          <w:rFonts w:ascii="Times New Roman" w:hAnsi="Times New Roman"/>
          <w:b w:val="0"/>
          <w:color w:val="auto"/>
          <w:sz w:val="24"/>
          <w:szCs w:val="24"/>
          <w:highlight w:val="none"/>
        </w:rPr>
      </w:pPr>
      <w:bookmarkStart w:id="998" w:name="_Toc351203650"/>
      <w:r>
        <w:rPr>
          <w:rFonts w:ascii="Times New Roman" w:hAnsi="Times New Roman"/>
          <w:b w:val="0"/>
          <w:color w:val="auto"/>
          <w:sz w:val="24"/>
          <w:szCs w:val="24"/>
          <w:highlight w:val="none"/>
        </w:rPr>
        <w:t>18. 保险</w:t>
      </w:r>
      <w:bookmarkEnd w:id="998"/>
    </w:p>
    <w:bookmarkEnd w:id="996"/>
    <w:p w14:paraId="7EF6E9BE">
      <w:pPr>
        <w:adjustRightInd/>
        <w:spacing w:line="300" w:lineRule="auto"/>
        <w:ind w:firstLine="480" w:firstLineChars="200"/>
        <w:rPr>
          <w:rFonts w:eastAsia="黑体"/>
          <w:color w:val="auto"/>
          <w:sz w:val="24"/>
          <w:highlight w:val="none"/>
        </w:rPr>
      </w:pPr>
      <w:r>
        <w:rPr>
          <w:rFonts w:eastAsia="黑体"/>
          <w:color w:val="auto"/>
          <w:sz w:val="24"/>
          <w:highlight w:val="none"/>
        </w:rPr>
        <w:t>18.1 工程保险</w:t>
      </w:r>
    </w:p>
    <w:p w14:paraId="61720E1D">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关于工程保险的特别约定：</w:t>
      </w:r>
      <w:r>
        <w:rPr>
          <w:rFonts w:hint="eastAsia" w:eastAsia="仿宋_GB2312"/>
          <w:color w:val="auto"/>
          <w:sz w:val="24"/>
          <w:highlight w:val="none"/>
          <w:u w:val="single"/>
        </w:rPr>
        <w:t>由承包人按规定办理农民工工伤保险、意外险、建筑工程工程一切险等，保险费用按照杭政办函（2007）148 号规定的公式计算，该笔费用已包含在投标报价内</w:t>
      </w:r>
      <w:r>
        <w:rPr>
          <w:rFonts w:eastAsia="仿宋_GB2312"/>
          <w:color w:val="auto"/>
          <w:sz w:val="24"/>
          <w:highlight w:val="none"/>
          <w:u w:val="single"/>
        </w:rPr>
        <w:t>。</w:t>
      </w:r>
    </w:p>
    <w:p w14:paraId="6F94648B">
      <w:pPr>
        <w:adjustRightInd/>
        <w:spacing w:line="300" w:lineRule="auto"/>
        <w:ind w:firstLine="480" w:firstLineChars="200"/>
        <w:rPr>
          <w:rFonts w:eastAsia="黑体"/>
          <w:color w:val="auto"/>
          <w:sz w:val="24"/>
          <w:highlight w:val="none"/>
        </w:rPr>
      </w:pPr>
      <w:r>
        <w:rPr>
          <w:rFonts w:eastAsia="黑体"/>
          <w:color w:val="auto"/>
          <w:sz w:val="24"/>
          <w:highlight w:val="none"/>
        </w:rPr>
        <w:t>18.3 其他保险</w:t>
      </w:r>
    </w:p>
    <w:p w14:paraId="2AE22BEC">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关于其他保险的约定：</w:t>
      </w:r>
      <w:r>
        <w:rPr>
          <w:rFonts w:hint="eastAsia" w:eastAsia="仿宋_GB2312"/>
          <w:color w:val="auto"/>
          <w:sz w:val="24"/>
          <w:highlight w:val="none"/>
          <w:u w:val="single"/>
        </w:rPr>
        <w:t>承包人为施工现场的全部人员办理意外伤害保险并支付保险费，包括其员工及为履行合同聘请的第三方的人员</w:t>
      </w:r>
      <w:r>
        <w:rPr>
          <w:rFonts w:eastAsia="仿宋_GB2312"/>
          <w:color w:val="auto"/>
          <w:sz w:val="24"/>
          <w:highlight w:val="none"/>
          <w:u w:val="single"/>
        </w:rPr>
        <w:t>。</w:t>
      </w:r>
    </w:p>
    <w:p w14:paraId="41BBC74A">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承包人是否应为其施工设备等办理财产保险：</w:t>
      </w:r>
      <w:r>
        <w:rPr>
          <w:rFonts w:hint="eastAsia" w:eastAsia="仿宋_GB2312"/>
          <w:color w:val="auto"/>
          <w:sz w:val="24"/>
          <w:highlight w:val="none"/>
          <w:u w:val="single"/>
        </w:rPr>
        <w:t>是</w:t>
      </w:r>
      <w:r>
        <w:rPr>
          <w:rFonts w:eastAsia="仿宋_GB2312"/>
          <w:color w:val="auto"/>
          <w:sz w:val="24"/>
          <w:highlight w:val="none"/>
        </w:rPr>
        <w:t>。</w:t>
      </w:r>
    </w:p>
    <w:p w14:paraId="5BD93175">
      <w:pPr>
        <w:adjustRightInd/>
        <w:spacing w:line="300" w:lineRule="auto"/>
        <w:ind w:firstLine="480" w:firstLineChars="200"/>
        <w:rPr>
          <w:rFonts w:eastAsia="黑体"/>
          <w:color w:val="auto"/>
          <w:sz w:val="24"/>
          <w:highlight w:val="none"/>
        </w:rPr>
      </w:pPr>
      <w:r>
        <w:rPr>
          <w:rFonts w:eastAsia="黑体"/>
          <w:color w:val="auto"/>
          <w:sz w:val="24"/>
          <w:highlight w:val="none"/>
        </w:rPr>
        <w:t>18.7 通知义务</w:t>
      </w:r>
    </w:p>
    <w:p w14:paraId="364B2B99">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关于变更保险合同时的通知义务的约定：</w:t>
      </w:r>
      <w:r>
        <w:rPr>
          <w:rFonts w:hint="eastAsia" w:eastAsia="仿宋_GB2312"/>
          <w:color w:val="auto"/>
          <w:sz w:val="24"/>
          <w:highlight w:val="none"/>
          <w:u w:val="single"/>
        </w:rPr>
        <w:t>承包人报监理及发包人</w:t>
      </w:r>
      <w:r>
        <w:rPr>
          <w:rFonts w:eastAsia="仿宋_GB2312"/>
          <w:color w:val="auto"/>
          <w:sz w:val="24"/>
          <w:highlight w:val="none"/>
        </w:rPr>
        <w:t>。</w:t>
      </w:r>
    </w:p>
    <w:bookmarkEnd w:id="972"/>
    <w:bookmarkEnd w:id="973"/>
    <w:bookmarkEnd w:id="974"/>
    <w:bookmarkEnd w:id="975"/>
    <w:bookmarkEnd w:id="976"/>
    <w:bookmarkEnd w:id="977"/>
    <w:bookmarkEnd w:id="978"/>
    <w:bookmarkEnd w:id="979"/>
    <w:bookmarkEnd w:id="980"/>
    <w:bookmarkEnd w:id="981"/>
    <w:bookmarkEnd w:id="982"/>
    <w:bookmarkEnd w:id="983"/>
    <w:p w14:paraId="7CD45B1A">
      <w:pPr>
        <w:pStyle w:val="8"/>
        <w:spacing w:before="0" w:after="0" w:line="300" w:lineRule="auto"/>
        <w:rPr>
          <w:rFonts w:ascii="Times New Roman" w:hAnsi="Times New Roman"/>
          <w:b w:val="0"/>
          <w:color w:val="auto"/>
          <w:sz w:val="24"/>
          <w:szCs w:val="24"/>
          <w:highlight w:val="none"/>
        </w:rPr>
      </w:pPr>
      <w:bookmarkStart w:id="999" w:name="_Toc351203651"/>
      <w:r>
        <w:rPr>
          <w:rFonts w:ascii="Times New Roman" w:hAnsi="Times New Roman"/>
          <w:b w:val="0"/>
          <w:color w:val="auto"/>
          <w:sz w:val="24"/>
          <w:szCs w:val="24"/>
          <w:highlight w:val="none"/>
        </w:rPr>
        <w:t>20. 争议解决</w:t>
      </w:r>
      <w:bookmarkEnd w:id="999"/>
    </w:p>
    <w:bookmarkEnd w:id="984"/>
    <w:bookmarkEnd w:id="985"/>
    <w:p w14:paraId="79B8026E">
      <w:pPr>
        <w:adjustRightInd/>
        <w:spacing w:line="300" w:lineRule="auto"/>
        <w:ind w:firstLine="480" w:firstLineChars="200"/>
        <w:rPr>
          <w:rFonts w:eastAsia="黑体"/>
          <w:color w:val="auto"/>
          <w:sz w:val="24"/>
          <w:highlight w:val="none"/>
        </w:rPr>
      </w:pPr>
      <w:r>
        <w:rPr>
          <w:rFonts w:eastAsia="黑体"/>
          <w:color w:val="auto"/>
          <w:sz w:val="24"/>
          <w:highlight w:val="none"/>
        </w:rPr>
        <w:t>20.3 争</w:t>
      </w:r>
      <w:bookmarkEnd w:id="986"/>
      <w:r>
        <w:rPr>
          <w:rFonts w:eastAsia="黑体"/>
          <w:color w:val="auto"/>
          <w:sz w:val="24"/>
          <w:highlight w:val="none"/>
        </w:rPr>
        <w:t>议评审</w:t>
      </w:r>
    </w:p>
    <w:p w14:paraId="23423E42">
      <w:pPr>
        <w:adjustRightInd/>
        <w:spacing w:line="300" w:lineRule="auto"/>
        <w:ind w:left="149" w:leftChars="71" w:firstLine="360" w:firstLineChars="150"/>
        <w:rPr>
          <w:rFonts w:eastAsia="仿宋_GB2312"/>
          <w:color w:val="auto"/>
          <w:sz w:val="24"/>
          <w:highlight w:val="none"/>
          <w:u w:val="single"/>
        </w:rPr>
      </w:pPr>
      <w:r>
        <w:rPr>
          <w:rFonts w:eastAsia="仿宋_GB2312"/>
          <w:color w:val="auto"/>
          <w:sz w:val="24"/>
          <w:highlight w:val="none"/>
        </w:rPr>
        <w:t>合同当事人是否同意将工程争议提交争议评审小组决</w:t>
      </w:r>
      <w:r>
        <w:rPr>
          <w:rFonts w:hint="eastAsia" w:eastAsia="仿宋_GB2312"/>
          <w:color w:val="auto"/>
          <w:sz w:val="24"/>
          <w:highlight w:val="none"/>
        </w:rPr>
        <w:t>定：</w:t>
      </w:r>
      <w:r>
        <w:rPr>
          <w:rFonts w:hint="eastAsia" w:eastAsia="仿宋_GB2312"/>
          <w:color w:val="auto"/>
          <w:sz w:val="24"/>
          <w:highlight w:val="none"/>
          <w:u w:val="single"/>
        </w:rPr>
        <w:t xml:space="preserve">   / </w:t>
      </w:r>
      <w:r>
        <w:rPr>
          <w:rFonts w:hint="eastAsia" w:eastAsia="仿宋_GB2312"/>
          <w:color w:val="auto"/>
          <w:sz w:val="24"/>
          <w:highlight w:val="none"/>
        </w:rPr>
        <w:t xml:space="preserve">。  </w:t>
      </w:r>
    </w:p>
    <w:p w14:paraId="3F5B2D0A">
      <w:pPr>
        <w:adjustRightInd/>
        <w:spacing w:line="300" w:lineRule="auto"/>
        <w:ind w:firstLine="480" w:firstLineChars="200"/>
        <w:rPr>
          <w:rFonts w:eastAsia="仿宋_GB2312"/>
          <w:color w:val="auto"/>
          <w:sz w:val="24"/>
          <w:highlight w:val="none"/>
        </w:rPr>
      </w:pPr>
      <w:r>
        <w:rPr>
          <w:rFonts w:eastAsia="仿宋_GB2312"/>
          <w:color w:val="auto"/>
          <w:sz w:val="24"/>
          <w:highlight w:val="none"/>
        </w:rPr>
        <w:t>20.3.1 争议评审小组的确定</w:t>
      </w:r>
    </w:p>
    <w:p w14:paraId="27DBA1EA">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争议评审小组成员的确定：</w:t>
      </w:r>
      <w:r>
        <w:rPr>
          <w:rFonts w:hint="eastAsia" w:eastAsia="仿宋_GB2312"/>
          <w:color w:val="auto"/>
          <w:sz w:val="24"/>
          <w:highlight w:val="none"/>
          <w:u w:val="single"/>
        </w:rPr>
        <w:t xml:space="preserve">   /    </w:t>
      </w:r>
      <w:r>
        <w:rPr>
          <w:rFonts w:eastAsia="仿宋_GB2312"/>
          <w:color w:val="auto"/>
          <w:sz w:val="24"/>
          <w:highlight w:val="none"/>
        </w:rPr>
        <w:t>。</w:t>
      </w:r>
    </w:p>
    <w:p w14:paraId="2FDF5A36">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选定争议评审员的期限：</w:t>
      </w:r>
      <w:r>
        <w:rPr>
          <w:rFonts w:hint="eastAsia" w:eastAsia="仿宋_GB2312"/>
          <w:color w:val="auto"/>
          <w:sz w:val="24"/>
          <w:highlight w:val="none"/>
          <w:u w:val="single"/>
        </w:rPr>
        <w:t xml:space="preserve">   /    </w:t>
      </w:r>
      <w:r>
        <w:rPr>
          <w:rFonts w:eastAsia="仿宋_GB2312"/>
          <w:color w:val="auto"/>
          <w:sz w:val="24"/>
          <w:highlight w:val="none"/>
        </w:rPr>
        <w:t>。</w:t>
      </w:r>
    </w:p>
    <w:p w14:paraId="2694990B">
      <w:pPr>
        <w:adjustRightInd/>
        <w:spacing w:line="300" w:lineRule="auto"/>
        <w:ind w:firstLine="480" w:firstLineChars="200"/>
        <w:rPr>
          <w:rFonts w:eastAsia="仿宋_GB2312"/>
          <w:color w:val="auto"/>
          <w:sz w:val="24"/>
          <w:highlight w:val="none"/>
        </w:rPr>
      </w:pPr>
      <w:r>
        <w:rPr>
          <w:rFonts w:eastAsia="仿宋_GB2312"/>
          <w:color w:val="auto"/>
          <w:sz w:val="24"/>
          <w:highlight w:val="none"/>
        </w:rPr>
        <w:t>争议评审小组成员的报酬承担方式：</w:t>
      </w:r>
      <w:r>
        <w:rPr>
          <w:rFonts w:hint="eastAsia" w:eastAsia="仿宋_GB2312"/>
          <w:color w:val="auto"/>
          <w:sz w:val="24"/>
          <w:highlight w:val="none"/>
          <w:u w:val="single"/>
        </w:rPr>
        <w:t xml:space="preserve">   /    </w:t>
      </w:r>
      <w:r>
        <w:rPr>
          <w:rFonts w:eastAsia="仿宋_GB2312"/>
          <w:color w:val="auto"/>
          <w:sz w:val="24"/>
          <w:highlight w:val="none"/>
        </w:rPr>
        <w:t>。</w:t>
      </w:r>
    </w:p>
    <w:p w14:paraId="2DC00327">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其他事项的约定：</w:t>
      </w:r>
      <w:r>
        <w:rPr>
          <w:rFonts w:hint="eastAsia" w:eastAsia="仿宋_GB2312"/>
          <w:color w:val="auto"/>
          <w:sz w:val="24"/>
          <w:highlight w:val="none"/>
          <w:u w:val="single"/>
        </w:rPr>
        <w:t xml:space="preserve">   /    </w:t>
      </w:r>
      <w:r>
        <w:rPr>
          <w:rFonts w:eastAsia="仿宋_GB2312"/>
          <w:color w:val="auto"/>
          <w:sz w:val="24"/>
          <w:highlight w:val="none"/>
        </w:rPr>
        <w:t>。</w:t>
      </w:r>
    </w:p>
    <w:p w14:paraId="3A45C5F0">
      <w:pPr>
        <w:autoSpaceDE w:val="0"/>
        <w:autoSpaceDN w:val="0"/>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20.3.2 争议评审小组的决定</w:t>
      </w:r>
    </w:p>
    <w:p w14:paraId="21C748B4">
      <w:pPr>
        <w:adjustRightInd/>
        <w:spacing w:line="300" w:lineRule="auto"/>
        <w:ind w:firstLine="480" w:firstLineChars="200"/>
        <w:rPr>
          <w:rFonts w:eastAsia="仿宋_GB2312"/>
          <w:color w:val="auto"/>
          <w:sz w:val="24"/>
          <w:highlight w:val="none"/>
        </w:rPr>
      </w:pPr>
      <w:r>
        <w:rPr>
          <w:rFonts w:eastAsia="仿宋_GB2312"/>
          <w:color w:val="auto"/>
          <w:sz w:val="24"/>
          <w:highlight w:val="none"/>
        </w:rPr>
        <w:t>合同当事人关于本项的约定：</w:t>
      </w:r>
      <w:r>
        <w:rPr>
          <w:rFonts w:hint="eastAsia" w:eastAsia="仿宋_GB2312"/>
          <w:color w:val="auto"/>
          <w:sz w:val="24"/>
          <w:highlight w:val="none"/>
          <w:u w:val="single"/>
        </w:rPr>
        <w:t xml:space="preserve">   /    </w:t>
      </w:r>
      <w:r>
        <w:rPr>
          <w:rFonts w:eastAsia="仿宋_GB2312"/>
          <w:color w:val="auto"/>
          <w:sz w:val="24"/>
          <w:highlight w:val="none"/>
        </w:rPr>
        <w:t>。</w:t>
      </w:r>
    </w:p>
    <w:p w14:paraId="753CE3ED">
      <w:pPr>
        <w:adjustRightInd/>
        <w:spacing w:line="300" w:lineRule="auto"/>
        <w:ind w:firstLine="480" w:firstLineChars="200"/>
        <w:rPr>
          <w:rFonts w:eastAsia="黑体"/>
          <w:color w:val="auto"/>
          <w:sz w:val="24"/>
          <w:highlight w:val="none"/>
        </w:rPr>
      </w:pPr>
      <w:r>
        <w:rPr>
          <w:rFonts w:eastAsia="黑体"/>
          <w:color w:val="auto"/>
          <w:sz w:val="24"/>
          <w:highlight w:val="none"/>
        </w:rPr>
        <w:t>20.4仲裁或诉讼</w:t>
      </w:r>
      <w:bookmarkEnd w:id="987"/>
    </w:p>
    <w:p w14:paraId="3C00E054">
      <w:pPr>
        <w:adjustRightInd/>
        <w:spacing w:line="300" w:lineRule="auto"/>
        <w:ind w:firstLine="480" w:firstLineChars="200"/>
        <w:jc w:val="left"/>
        <w:rPr>
          <w:rFonts w:eastAsia="黑体"/>
          <w:color w:val="auto"/>
          <w:sz w:val="24"/>
          <w:highlight w:val="none"/>
        </w:rPr>
      </w:pPr>
      <w:r>
        <w:rPr>
          <w:rFonts w:hint="eastAsia" w:eastAsia="仿宋_GB2312"/>
          <w:color w:val="auto"/>
          <w:sz w:val="24"/>
          <w:highlight w:val="none"/>
        </w:rPr>
        <w:t>因合同及合同有关事项发生的争议，双方当事人一致同意下列解决方式中第</w:t>
      </w:r>
      <w:r>
        <w:rPr>
          <w:rFonts w:hint="eastAsia" w:eastAsia="仿宋_GB2312"/>
          <w:color w:val="auto"/>
          <w:sz w:val="24"/>
          <w:highlight w:val="none"/>
          <w:u w:val="single"/>
        </w:rPr>
        <w:t>(2)</w:t>
      </w:r>
      <w:r>
        <w:rPr>
          <w:rFonts w:eastAsia="仿宋_GB2312"/>
          <w:color w:val="auto"/>
          <w:sz w:val="24"/>
          <w:highlight w:val="none"/>
        </w:rPr>
        <w:t>种方式</w:t>
      </w:r>
      <w:r>
        <w:rPr>
          <w:rFonts w:hint="eastAsia" w:eastAsia="仿宋_GB2312"/>
          <w:color w:val="auto"/>
          <w:sz w:val="24"/>
          <w:highlight w:val="none"/>
        </w:rPr>
        <w:t>解</w:t>
      </w:r>
      <w:r>
        <w:rPr>
          <w:rFonts w:eastAsia="仿宋_GB2312"/>
          <w:color w:val="auto"/>
          <w:sz w:val="24"/>
          <w:highlight w:val="none"/>
        </w:rPr>
        <w:t>决</w:t>
      </w:r>
      <w:r>
        <w:rPr>
          <w:rFonts w:hint="eastAsia" w:eastAsia="仿宋_GB2312"/>
          <w:color w:val="auto"/>
          <w:sz w:val="24"/>
          <w:highlight w:val="none"/>
        </w:rPr>
        <w:t>争议</w:t>
      </w:r>
      <w:r>
        <w:rPr>
          <w:rFonts w:eastAsia="仿宋_GB2312"/>
          <w:color w:val="auto"/>
          <w:sz w:val="24"/>
          <w:highlight w:val="none"/>
        </w:rPr>
        <w:t>：</w:t>
      </w:r>
    </w:p>
    <w:p w14:paraId="08AAB948">
      <w:pPr>
        <w:adjustRightInd/>
        <w:spacing w:line="300" w:lineRule="auto"/>
        <w:ind w:firstLine="480" w:firstLineChars="200"/>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rPr>
        <w:t>提交</w:t>
      </w:r>
      <w:r>
        <w:rPr>
          <w:rFonts w:hint="eastAsia" w:eastAsia="仿宋_GB2312"/>
          <w:color w:val="auto"/>
          <w:sz w:val="24"/>
          <w:highlight w:val="none"/>
          <w:u w:val="single"/>
        </w:rPr>
        <w:t xml:space="preserve"> 杭州 </w:t>
      </w:r>
      <w:r>
        <w:rPr>
          <w:rFonts w:eastAsia="仿宋_GB2312"/>
          <w:color w:val="auto"/>
          <w:sz w:val="24"/>
          <w:highlight w:val="none"/>
        </w:rPr>
        <w:t>仲裁委员会</w:t>
      </w:r>
      <w:r>
        <w:rPr>
          <w:rFonts w:hint="eastAsia" w:eastAsia="仿宋_GB2312"/>
          <w:color w:val="auto"/>
          <w:sz w:val="24"/>
          <w:highlight w:val="none"/>
        </w:rPr>
        <w:t>申请</w:t>
      </w:r>
      <w:r>
        <w:rPr>
          <w:rFonts w:eastAsia="仿宋_GB2312"/>
          <w:color w:val="auto"/>
          <w:sz w:val="24"/>
          <w:highlight w:val="none"/>
        </w:rPr>
        <w:t>仲裁；</w:t>
      </w:r>
    </w:p>
    <w:p w14:paraId="1892AC91">
      <w:pPr>
        <w:adjustRightInd/>
        <w:spacing w:line="30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rPr>
        <w:t>依法</w:t>
      </w:r>
      <w:r>
        <w:rPr>
          <w:rFonts w:eastAsia="仿宋_GB2312"/>
          <w:color w:val="auto"/>
          <w:sz w:val="24"/>
          <w:highlight w:val="none"/>
        </w:rPr>
        <w:t>向</w:t>
      </w:r>
      <w:r>
        <w:rPr>
          <w:rFonts w:hint="eastAsia" w:eastAsia="仿宋_GB2312"/>
          <w:color w:val="auto"/>
          <w:sz w:val="24"/>
          <w:highlight w:val="none"/>
          <w:u w:val="single"/>
        </w:rPr>
        <w:t>工程所在地</w:t>
      </w:r>
      <w:r>
        <w:rPr>
          <w:rFonts w:eastAsia="仿宋_GB2312"/>
          <w:color w:val="auto"/>
          <w:sz w:val="24"/>
          <w:highlight w:val="none"/>
        </w:rPr>
        <w:t>人民法院起诉。</w:t>
      </w:r>
      <w:bookmarkEnd w:id="988"/>
      <w:bookmarkEnd w:id="989"/>
      <w:bookmarkEnd w:id="990"/>
      <w:bookmarkEnd w:id="991"/>
      <w:bookmarkEnd w:id="992"/>
      <w:bookmarkEnd w:id="993"/>
    </w:p>
    <w:p w14:paraId="4DF2ED00">
      <w:pPr>
        <w:adjustRightInd/>
        <w:spacing w:line="300" w:lineRule="auto"/>
        <w:rPr>
          <w:rFonts w:eastAsia="黑体"/>
          <w:color w:val="auto"/>
          <w:sz w:val="24"/>
          <w:highlight w:val="none"/>
        </w:rPr>
      </w:pPr>
      <w:r>
        <w:rPr>
          <w:rFonts w:hint="eastAsia" w:eastAsia="黑体"/>
          <w:color w:val="auto"/>
          <w:sz w:val="24"/>
          <w:highlight w:val="none"/>
        </w:rPr>
        <w:t>21．其他补充事项的约定</w:t>
      </w:r>
    </w:p>
    <w:p w14:paraId="7B7AE6EC">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(1)安全施工、文明施工、环境保护、临时设施费四项措施费不得挪作他用，工程实施过程中根据投标文件的承诺，经监理工程师、发包人审查认可后方可计列费用。承包人应确保工程安全进行，所有安全事故的全部责任均由承包人承担。</w:t>
      </w:r>
    </w:p>
    <w:p w14:paraId="34F9E857">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(2)如设计变更，变更估价参照专用条款10.4执行。</w:t>
      </w:r>
    </w:p>
    <w:p w14:paraId="72532E24">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(3) 本项目多余土方外运，由承包人自行解决，其费用列入报价。</w:t>
      </w:r>
    </w:p>
    <w:p w14:paraId="7C1E016D">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(4)本项目施工时对既有综合管线、民居、化粪池等，必须确保安全，其保护费用由承包人自理，费用列入报价。</w:t>
      </w:r>
    </w:p>
    <w:p w14:paraId="2629B799">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(5)材料和设备供应：</w:t>
      </w:r>
    </w:p>
    <w:p w14:paraId="29752BF2">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①材料设备采购应根据招标文件、设计技术文件和国家有关规定的具体要求进行采购，所有材料应选用中高档以上品牌或知名厂家生产，所有材料均应有合格证和质保书、符合施工图纸、规范、国家规定的技术标准，并且须经发包人委托的监理单位或具有相应资质的检测机构检测合格后才能使用。当承包人选定的材料质量达不到预期质量目标要求时，发包人保留更换的权利。若使用劣质材料施工，一经发现，发包人或监理有权制止使用，甚至停工，返工或中止合同。无论发包人及监理是否发现和制止，由于使用劣质材料施工后所引起的一切责任均由承包人自负。</w:t>
      </w:r>
    </w:p>
    <w:p w14:paraId="0F23A1B5">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u w:val="single"/>
        </w:rPr>
        <w:fldChar w:fldCharType="begin"/>
      </w:r>
      <w:r>
        <w:rPr>
          <w:rFonts w:hint="eastAsia" w:eastAsia="仿宋_GB2312"/>
          <w:color w:val="auto"/>
          <w:sz w:val="24"/>
          <w:highlight w:val="none"/>
          <w:u w:val="single"/>
        </w:rPr>
        <w:instrText xml:space="preserve">= 2 \* GB3</w:instrText>
      </w:r>
      <w:r>
        <w:rPr>
          <w:rFonts w:eastAsia="仿宋_GB2312"/>
          <w:color w:val="auto"/>
          <w:sz w:val="24"/>
          <w:highlight w:val="none"/>
          <w:u w:val="single"/>
        </w:rPr>
        <w:fldChar w:fldCharType="separate"/>
      </w:r>
      <w:r>
        <w:rPr>
          <w:rFonts w:hint="eastAsia" w:eastAsia="仿宋_GB2312"/>
          <w:color w:val="auto"/>
          <w:sz w:val="24"/>
          <w:highlight w:val="none"/>
          <w:u w:val="single"/>
        </w:rPr>
        <w:t>②</w:t>
      </w:r>
      <w:r>
        <w:rPr>
          <w:rFonts w:eastAsia="仿宋_GB2312"/>
          <w:color w:val="auto"/>
          <w:sz w:val="24"/>
          <w:highlight w:val="none"/>
          <w:u w:val="single"/>
        </w:rPr>
        <w:fldChar w:fldCharType="end"/>
      </w:r>
      <w:r>
        <w:rPr>
          <w:rFonts w:hint="eastAsia" w:eastAsia="仿宋_GB2312"/>
          <w:color w:val="auto"/>
          <w:sz w:val="24"/>
          <w:highlight w:val="none"/>
          <w:u w:val="single"/>
        </w:rPr>
        <w:t>无价材料采购前其质量、价格、产地、规格等需事先征得招标方的认可或签证同意；</w:t>
      </w:r>
    </w:p>
    <w:p w14:paraId="64FF5878">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u w:val="single"/>
        </w:rPr>
        <w:fldChar w:fldCharType="begin"/>
      </w:r>
      <w:r>
        <w:rPr>
          <w:rFonts w:hint="eastAsia" w:eastAsia="仿宋_GB2312"/>
          <w:color w:val="auto"/>
          <w:sz w:val="24"/>
          <w:highlight w:val="none"/>
          <w:u w:val="single"/>
        </w:rPr>
        <w:instrText xml:space="preserve">= 3 \* GB3</w:instrText>
      </w:r>
      <w:r>
        <w:rPr>
          <w:rFonts w:eastAsia="仿宋_GB2312"/>
          <w:color w:val="auto"/>
          <w:sz w:val="24"/>
          <w:highlight w:val="none"/>
          <w:u w:val="single"/>
        </w:rPr>
        <w:fldChar w:fldCharType="separate"/>
      </w:r>
      <w:r>
        <w:rPr>
          <w:rFonts w:hint="eastAsia" w:eastAsia="仿宋_GB2312"/>
          <w:color w:val="auto"/>
          <w:sz w:val="24"/>
          <w:highlight w:val="none"/>
          <w:u w:val="single"/>
        </w:rPr>
        <w:t>③</w:t>
      </w:r>
      <w:r>
        <w:rPr>
          <w:rFonts w:eastAsia="仿宋_GB2312"/>
          <w:color w:val="auto"/>
          <w:sz w:val="24"/>
          <w:highlight w:val="none"/>
          <w:u w:val="single"/>
        </w:rPr>
        <w:fldChar w:fldCharType="end"/>
      </w:r>
      <w:r>
        <w:rPr>
          <w:rFonts w:hint="eastAsia" w:eastAsia="仿宋_GB2312"/>
          <w:color w:val="auto"/>
          <w:sz w:val="24"/>
          <w:highlight w:val="none"/>
          <w:u w:val="single"/>
        </w:rPr>
        <w:t>发包人招标时如有推荐材料/设备品牌的，承包人需从发包人推荐的品牌中选取一个或选用能提供同等档次证明的品牌填入投标文件主材表备注栏中。</w:t>
      </w:r>
    </w:p>
    <w:p w14:paraId="32F1EAE1">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(6)质量保证:</w:t>
      </w:r>
    </w:p>
    <w:p w14:paraId="05CC9A2D">
      <w:pPr>
        <w:adjustRightInd/>
        <w:spacing w:line="300" w:lineRule="auto"/>
        <w:rPr>
          <w:rFonts w:eastAsia="仿宋_GB2312"/>
          <w:color w:val="auto"/>
          <w:sz w:val="24"/>
          <w:highlight w:val="none"/>
          <w:u w:val="single"/>
        </w:rPr>
      </w:pPr>
      <w:r>
        <w:rPr>
          <w:rFonts w:hint="eastAsia" w:eastAsia="仿宋_GB2312"/>
          <w:color w:val="auto"/>
          <w:sz w:val="24"/>
          <w:highlight w:val="none"/>
          <w:u w:val="single"/>
        </w:rPr>
        <w:t>工程竣工后经质监部门核验，不能达到承诺的质量等级的，作违约论处，扣除其履约保证金中的全部施工质量履约保证金。</w:t>
      </w:r>
    </w:p>
    <w:p w14:paraId="15435B0F">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(7)施工用水用电：</w:t>
      </w:r>
    </w:p>
    <w:p w14:paraId="54091674">
      <w:pPr>
        <w:adjustRightInd/>
        <w:spacing w:line="300" w:lineRule="auto"/>
        <w:rPr>
          <w:rFonts w:eastAsia="仿宋_GB2312"/>
          <w:color w:val="auto"/>
          <w:sz w:val="24"/>
          <w:highlight w:val="none"/>
          <w:u w:val="single"/>
        </w:rPr>
      </w:pPr>
      <w:r>
        <w:rPr>
          <w:rFonts w:hint="eastAsia" w:eastAsia="仿宋_GB2312"/>
          <w:color w:val="auto"/>
          <w:sz w:val="24"/>
          <w:highlight w:val="none"/>
          <w:u w:val="single"/>
        </w:rPr>
        <w:t>施工用水、用电由承包人自行解决，相关费用自行考虑在技术措施项目中综合报价，结算时不作调整，工程施工用电用水费用由承包人自行承担。承包人应考虑自备发电设备和临时蓄水池，以防止施工过程中的临时停电和停水对工程进度和质量等的影响，费用包含在相关措施费中，否则做优惠处理。</w:t>
      </w:r>
    </w:p>
    <w:p w14:paraId="7BAF4F55">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(8)双方约定承包人应做的其他工作：</w:t>
      </w:r>
    </w:p>
    <w:p w14:paraId="0F835F00">
      <w:pPr>
        <w:adjustRightInd/>
        <w:spacing w:line="300" w:lineRule="auto"/>
        <w:rPr>
          <w:rFonts w:eastAsia="仿宋_GB2312"/>
          <w:color w:val="auto"/>
          <w:sz w:val="24"/>
          <w:highlight w:val="none"/>
          <w:u w:val="single"/>
        </w:rPr>
      </w:pPr>
      <w:r>
        <w:rPr>
          <w:rFonts w:hint="eastAsia" w:eastAsia="仿宋_GB2312"/>
          <w:color w:val="auto"/>
          <w:sz w:val="24"/>
          <w:highlight w:val="none"/>
          <w:u w:val="single"/>
        </w:rPr>
        <w:t>处理好与周边的各种关系如在施工过程中与居民发生纠纷，自行与当地社区进行协商解决。</w:t>
      </w:r>
    </w:p>
    <w:p w14:paraId="3DE044DD">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(9)承包人必须保证施工过程所提出的签证内容是合法的、真实的，并不由于发包人和监理工程师的确认而免除承包人的责任。</w:t>
      </w:r>
    </w:p>
    <w:p w14:paraId="5FBE9F29">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(10)工程竣工结算总造价应控制在政府有关部门已批复的概算内，否则财政部门不予支付。</w:t>
      </w:r>
    </w:p>
    <w:p w14:paraId="2EECCFAC">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(11)承包人施工现场所有临设每间房间仅允许设置一个插座，其余均使用USB接口，防止不规范用电引起消防隐患。如发现承包人私自接电、不规范用电，每次处以罚款2000-5000元。</w:t>
      </w:r>
    </w:p>
    <w:p w14:paraId="4DE7C2EA">
      <w:pPr>
        <w:pStyle w:val="45"/>
        <w:tabs>
          <w:tab w:val="right" w:leader="dot" w:pos="8296"/>
        </w:tabs>
        <w:ind w:firstLine="480" w:firstLineChars="200"/>
        <w:rPr>
          <w:bCs/>
          <w:color w:val="auto"/>
          <w:highlight w:val="none"/>
        </w:rPr>
      </w:pPr>
      <w:r>
        <w:rPr>
          <w:rFonts w:hint="eastAsia" w:eastAsia="仿宋_GB2312"/>
          <w:color w:val="auto"/>
          <w:sz w:val="24"/>
          <w:highlight w:val="none"/>
          <w:u w:val="single"/>
        </w:rPr>
        <w:t>(12)</w:t>
      </w:r>
      <w:r>
        <w:rPr>
          <w:rFonts w:hint="eastAsia" w:eastAsia="仿宋_GB2312"/>
          <w:bCs/>
          <w:color w:val="auto"/>
          <w:sz w:val="24"/>
          <w:highlight w:val="none"/>
          <w:u w:val="single"/>
        </w:rPr>
        <w:t>承包人应在临设区域合理设置电瓶车集中充电点，禁止电瓶车随意在工地现场充电，引发消防隐患，涉及费用在承包人的投标报价中综合考虑。</w:t>
      </w:r>
    </w:p>
    <w:p w14:paraId="4F2D6525">
      <w:pPr>
        <w:pStyle w:val="45"/>
        <w:tabs>
          <w:tab w:val="right" w:leader="dot" w:pos="8296"/>
        </w:tabs>
        <w:ind w:firstLine="436"/>
        <w:rPr>
          <w:rFonts w:ascii="宋体" w:eastAsia="楷体_GB2312"/>
          <w:color w:val="auto"/>
          <w:sz w:val="28"/>
          <w:szCs w:val="20"/>
          <w:highlight w:val="none"/>
        </w:rPr>
      </w:pPr>
    </w:p>
    <w:p w14:paraId="1B8E29FD">
      <w:pPr>
        <w:adjustRightInd/>
        <w:spacing w:line="300" w:lineRule="auto"/>
        <w:rPr>
          <w:rFonts w:eastAsia="黑体"/>
          <w:b/>
          <w:color w:val="auto"/>
          <w:sz w:val="28"/>
          <w:szCs w:val="28"/>
          <w:highlight w:val="none"/>
        </w:rPr>
      </w:pPr>
      <w:bookmarkStart w:id="1000" w:name="_Toc351203652"/>
      <w:r>
        <w:rPr>
          <w:rFonts w:eastAsia="黑体"/>
          <w:b/>
          <w:color w:val="auto"/>
          <w:sz w:val="28"/>
          <w:szCs w:val="28"/>
          <w:highlight w:val="none"/>
        </w:rPr>
        <w:t>附件</w:t>
      </w:r>
      <w:bookmarkEnd w:id="1000"/>
    </w:p>
    <w:p w14:paraId="37ED97D1">
      <w:pPr>
        <w:adjustRightInd/>
        <w:spacing w:line="300" w:lineRule="auto"/>
        <w:rPr>
          <w:rFonts w:eastAsia="仿宋_GB2312"/>
          <w:color w:val="auto"/>
          <w:sz w:val="28"/>
          <w:szCs w:val="28"/>
          <w:highlight w:val="none"/>
        </w:rPr>
      </w:pPr>
      <w:r>
        <w:rPr>
          <w:rFonts w:hint="eastAsia" w:eastAsia="仿宋_GB2312"/>
          <w:color w:val="auto"/>
          <w:sz w:val="28"/>
          <w:szCs w:val="28"/>
          <w:highlight w:val="none"/>
        </w:rPr>
        <w:t>协议书附件：</w:t>
      </w:r>
    </w:p>
    <w:p w14:paraId="30E5FCA7">
      <w:pPr>
        <w:adjustRightInd/>
        <w:spacing w:line="300" w:lineRule="auto"/>
        <w:rPr>
          <w:rFonts w:eastAsia="仿宋_GB2312"/>
          <w:color w:val="auto"/>
          <w:sz w:val="28"/>
          <w:szCs w:val="28"/>
          <w:highlight w:val="none"/>
        </w:rPr>
      </w:pPr>
      <w:r>
        <w:rPr>
          <w:rFonts w:eastAsia="仿宋_GB2312"/>
          <w:color w:val="auto"/>
          <w:sz w:val="28"/>
          <w:szCs w:val="28"/>
          <w:highlight w:val="none"/>
        </w:rPr>
        <w:t>附件1：承包人承揽工程项目一览表</w:t>
      </w:r>
    </w:p>
    <w:p w14:paraId="021A5057">
      <w:pPr>
        <w:adjustRightInd/>
        <w:spacing w:line="300" w:lineRule="auto"/>
        <w:rPr>
          <w:rFonts w:eastAsia="仿宋_GB2312"/>
          <w:color w:val="auto"/>
          <w:sz w:val="28"/>
          <w:szCs w:val="28"/>
          <w:highlight w:val="none"/>
        </w:rPr>
      </w:pPr>
      <w:r>
        <w:rPr>
          <w:rFonts w:hint="eastAsia" w:eastAsia="仿宋_GB2312"/>
          <w:color w:val="auto"/>
          <w:sz w:val="28"/>
          <w:szCs w:val="28"/>
          <w:highlight w:val="none"/>
        </w:rPr>
        <w:t>专用合同条款附件：</w:t>
      </w:r>
    </w:p>
    <w:p w14:paraId="4688B986">
      <w:pPr>
        <w:adjustRightInd/>
        <w:spacing w:line="300" w:lineRule="auto"/>
        <w:rPr>
          <w:rFonts w:eastAsia="仿宋_GB2312"/>
          <w:color w:val="auto"/>
          <w:sz w:val="28"/>
          <w:szCs w:val="28"/>
          <w:highlight w:val="none"/>
        </w:rPr>
      </w:pPr>
      <w:r>
        <w:rPr>
          <w:rFonts w:eastAsia="仿宋_GB2312"/>
          <w:color w:val="auto"/>
          <w:sz w:val="28"/>
          <w:szCs w:val="28"/>
          <w:highlight w:val="none"/>
        </w:rPr>
        <w:t>附件</w:t>
      </w:r>
      <w:r>
        <w:rPr>
          <w:rFonts w:hint="eastAsia" w:eastAsia="仿宋_GB2312"/>
          <w:color w:val="auto"/>
          <w:sz w:val="28"/>
          <w:szCs w:val="28"/>
          <w:highlight w:val="none"/>
        </w:rPr>
        <w:t>2</w:t>
      </w:r>
      <w:r>
        <w:rPr>
          <w:rFonts w:eastAsia="仿宋_GB2312"/>
          <w:color w:val="auto"/>
          <w:sz w:val="28"/>
          <w:szCs w:val="28"/>
          <w:highlight w:val="none"/>
        </w:rPr>
        <w:t>：工程质量保修书</w:t>
      </w:r>
    </w:p>
    <w:p w14:paraId="06423210">
      <w:pPr>
        <w:adjustRightInd/>
        <w:spacing w:line="300" w:lineRule="auto"/>
        <w:rPr>
          <w:rFonts w:eastAsia="仿宋_GB2312"/>
          <w:color w:val="auto"/>
          <w:sz w:val="28"/>
          <w:szCs w:val="28"/>
          <w:highlight w:val="none"/>
        </w:rPr>
      </w:pPr>
      <w:r>
        <w:rPr>
          <w:rFonts w:eastAsia="仿宋_GB2312"/>
          <w:color w:val="auto"/>
          <w:sz w:val="28"/>
          <w:szCs w:val="28"/>
          <w:highlight w:val="none"/>
        </w:rPr>
        <w:t>附件</w:t>
      </w:r>
      <w:r>
        <w:rPr>
          <w:rFonts w:hint="eastAsia" w:eastAsia="仿宋_GB2312"/>
          <w:color w:val="auto"/>
          <w:sz w:val="28"/>
          <w:szCs w:val="28"/>
          <w:highlight w:val="none"/>
        </w:rPr>
        <w:t>3</w:t>
      </w:r>
      <w:r>
        <w:rPr>
          <w:rFonts w:eastAsia="仿宋_GB2312"/>
          <w:color w:val="auto"/>
          <w:sz w:val="28"/>
          <w:szCs w:val="28"/>
          <w:highlight w:val="none"/>
        </w:rPr>
        <w:t>：承包人主要施工管理人员表</w:t>
      </w:r>
    </w:p>
    <w:p w14:paraId="348734E7">
      <w:pPr>
        <w:adjustRightInd/>
        <w:spacing w:line="300" w:lineRule="auto"/>
        <w:rPr>
          <w:rFonts w:eastAsia="仿宋_GB2312"/>
          <w:color w:val="auto"/>
          <w:sz w:val="28"/>
          <w:szCs w:val="28"/>
          <w:highlight w:val="none"/>
        </w:rPr>
      </w:pPr>
      <w:r>
        <w:rPr>
          <w:rFonts w:eastAsia="仿宋_GB2312"/>
          <w:color w:val="auto"/>
          <w:sz w:val="28"/>
          <w:szCs w:val="28"/>
          <w:highlight w:val="none"/>
        </w:rPr>
        <w:t>附件</w:t>
      </w:r>
      <w:r>
        <w:rPr>
          <w:rFonts w:hint="eastAsia" w:eastAsia="仿宋_GB2312"/>
          <w:color w:val="auto"/>
          <w:sz w:val="28"/>
          <w:szCs w:val="28"/>
          <w:highlight w:val="none"/>
        </w:rPr>
        <w:t>4</w:t>
      </w:r>
      <w:r>
        <w:rPr>
          <w:rFonts w:eastAsia="仿宋_GB2312"/>
          <w:color w:val="auto"/>
          <w:sz w:val="28"/>
          <w:szCs w:val="28"/>
          <w:highlight w:val="none"/>
        </w:rPr>
        <w:t>：履约担保格式</w:t>
      </w:r>
    </w:p>
    <w:p w14:paraId="42055863">
      <w:pPr>
        <w:adjustRightInd/>
        <w:spacing w:line="300" w:lineRule="auto"/>
        <w:rPr>
          <w:rFonts w:eastAsia="黑体"/>
          <w:color w:val="auto"/>
          <w:sz w:val="28"/>
          <w:szCs w:val="28"/>
          <w:highlight w:val="none"/>
        </w:rPr>
        <w:sectPr>
          <w:footerReference r:id="rId11" w:type="first"/>
          <w:headerReference r:id="rId8" w:type="default"/>
          <w:footerReference r:id="rId9" w:type="default"/>
          <w:footerReference r:id="rId10" w:type="even"/>
          <w:pgSz w:w="11906" w:h="16838"/>
          <w:pgMar w:top="1418" w:right="1555" w:bottom="1418" w:left="1531" w:header="851" w:footer="992" w:gutter="0"/>
          <w:cols w:space="720" w:num="1"/>
          <w:titlePg/>
          <w:docGrid w:type="lines" w:linePitch="312" w:charSpace="0"/>
        </w:sectPr>
      </w:pPr>
      <w:r>
        <w:rPr>
          <w:rFonts w:eastAsia="仿宋_GB2312"/>
          <w:color w:val="auto"/>
          <w:sz w:val="28"/>
          <w:szCs w:val="28"/>
          <w:highlight w:val="none"/>
        </w:rPr>
        <w:t>附件</w:t>
      </w:r>
      <w:r>
        <w:rPr>
          <w:rFonts w:hint="eastAsia" w:eastAsia="仿宋_GB2312"/>
          <w:color w:val="auto"/>
          <w:sz w:val="28"/>
          <w:szCs w:val="28"/>
          <w:highlight w:val="none"/>
        </w:rPr>
        <w:t>5</w:t>
      </w:r>
      <w:r>
        <w:rPr>
          <w:rFonts w:eastAsia="仿宋_GB2312"/>
          <w:color w:val="auto"/>
          <w:sz w:val="28"/>
          <w:szCs w:val="28"/>
          <w:highlight w:val="none"/>
        </w:rPr>
        <w:t>：暂估价一览表</w:t>
      </w:r>
    </w:p>
    <w:p w14:paraId="621C98F7">
      <w:pPr>
        <w:spacing w:before="156" w:beforeLines="50" w:after="156" w:afterLines="50" w:line="440" w:lineRule="exact"/>
        <w:rPr>
          <w:rFonts w:ascii="仿宋_GB2312" w:eastAsia="仿宋_GB2312"/>
          <w:color w:val="auto"/>
          <w:sz w:val="28"/>
          <w:szCs w:val="28"/>
          <w:highlight w:val="none"/>
        </w:rPr>
      </w:pPr>
      <w:r>
        <w:rPr>
          <w:rFonts w:hint="eastAsia" w:ascii="仿宋_GB2312" w:eastAsia="仿宋_GB2312"/>
          <w:color w:val="auto"/>
          <w:sz w:val="28"/>
          <w:szCs w:val="28"/>
          <w:highlight w:val="none"/>
        </w:rPr>
        <w:t>附件1：</w:t>
      </w:r>
    </w:p>
    <w:p w14:paraId="7E25351C">
      <w:pPr>
        <w:spacing w:before="156" w:beforeLines="50" w:after="156" w:afterLines="50" w:line="440" w:lineRule="exact"/>
        <w:jc w:val="center"/>
        <w:rPr>
          <w:rFonts w:eastAsia="黑体"/>
          <w:color w:val="auto"/>
          <w:sz w:val="28"/>
          <w:szCs w:val="28"/>
          <w:highlight w:val="none"/>
        </w:rPr>
      </w:pPr>
      <w:r>
        <w:rPr>
          <w:rFonts w:eastAsia="黑体"/>
          <w:color w:val="auto"/>
          <w:sz w:val="28"/>
          <w:szCs w:val="28"/>
          <w:highlight w:val="none"/>
        </w:rPr>
        <w:t>承包人承揽工程项目一览表</w:t>
      </w:r>
    </w:p>
    <w:tbl>
      <w:tblPr>
        <w:tblStyle w:val="63"/>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4A345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vAlign w:val="center"/>
          </w:tcPr>
          <w:p w14:paraId="74737D43">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单位工程名称</w:t>
            </w:r>
          </w:p>
        </w:tc>
        <w:tc>
          <w:tcPr>
            <w:tcW w:w="1843" w:type="dxa"/>
            <w:tcBorders>
              <w:top w:val="single" w:color="auto" w:sz="12" w:space="0"/>
              <w:bottom w:val="double" w:color="auto" w:sz="6" w:space="0"/>
            </w:tcBorders>
            <w:vAlign w:val="center"/>
          </w:tcPr>
          <w:p w14:paraId="0D996A8E">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建设规模</w:t>
            </w:r>
          </w:p>
        </w:tc>
        <w:tc>
          <w:tcPr>
            <w:tcW w:w="1417" w:type="dxa"/>
            <w:tcBorders>
              <w:top w:val="single" w:color="auto" w:sz="12" w:space="0"/>
              <w:bottom w:val="double" w:color="auto" w:sz="6" w:space="0"/>
            </w:tcBorders>
            <w:vAlign w:val="center"/>
          </w:tcPr>
          <w:p w14:paraId="51997CC3">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建筑面积(</w:t>
            </w:r>
            <w:r>
              <w:rPr>
                <w:rFonts w:hint="eastAsia" w:eastAsia="仿宋_GB2312"/>
                <w:color w:val="auto"/>
                <w:sz w:val="28"/>
                <w:szCs w:val="28"/>
                <w:highlight w:val="none"/>
                <w:lang w:val="en-US"/>
              </w:rPr>
              <w:t>m2</w:t>
            </w:r>
            <w:r>
              <w:rPr>
                <w:rFonts w:eastAsia="仿宋_GB2312"/>
                <w:color w:val="auto"/>
                <w:sz w:val="28"/>
                <w:szCs w:val="28"/>
                <w:highlight w:val="none"/>
                <w:lang w:val="en-US"/>
              </w:rPr>
              <w:t>)</w:t>
            </w:r>
          </w:p>
        </w:tc>
        <w:tc>
          <w:tcPr>
            <w:tcW w:w="2410" w:type="dxa"/>
            <w:tcBorders>
              <w:top w:val="single" w:color="auto" w:sz="12" w:space="0"/>
              <w:bottom w:val="double" w:color="auto" w:sz="6" w:space="0"/>
            </w:tcBorders>
            <w:vAlign w:val="center"/>
          </w:tcPr>
          <w:p w14:paraId="08542101">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结构</w:t>
            </w:r>
            <w:r>
              <w:rPr>
                <w:rFonts w:hint="eastAsia" w:eastAsia="仿宋_GB2312"/>
                <w:color w:val="auto"/>
                <w:sz w:val="28"/>
                <w:szCs w:val="28"/>
                <w:highlight w:val="none"/>
                <w:lang w:val="en-US"/>
              </w:rPr>
              <w:t>形式</w:t>
            </w:r>
          </w:p>
        </w:tc>
        <w:tc>
          <w:tcPr>
            <w:tcW w:w="850" w:type="dxa"/>
            <w:tcBorders>
              <w:top w:val="single" w:color="auto" w:sz="12" w:space="0"/>
              <w:bottom w:val="double" w:color="auto" w:sz="6" w:space="0"/>
            </w:tcBorders>
            <w:vAlign w:val="center"/>
          </w:tcPr>
          <w:p w14:paraId="1E82E6E0">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层数</w:t>
            </w:r>
          </w:p>
        </w:tc>
        <w:tc>
          <w:tcPr>
            <w:tcW w:w="1560" w:type="dxa"/>
            <w:tcBorders>
              <w:top w:val="single" w:color="auto" w:sz="12" w:space="0"/>
              <w:bottom w:val="double" w:color="auto" w:sz="6" w:space="0"/>
            </w:tcBorders>
            <w:vAlign w:val="center"/>
          </w:tcPr>
          <w:p w14:paraId="1EDFEC1B">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生产能力</w:t>
            </w:r>
          </w:p>
        </w:tc>
        <w:tc>
          <w:tcPr>
            <w:tcW w:w="2126" w:type="dxa"/>
            <w:tcBorders>
              <w:top w:val="single" w:color="auto" w:sz="12" w:space="0"/>
              <w:bottom w:val="double" w:color="auto" w:sz="6" w:space="0"/>
            </w:tcBorders>
            <w:vAlign w:val="center"/>
          </w:tcPr>
          <w:p w14:paraId="0F717B4A">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设备安装内容</w:t>
            </w:r>
          </w:p>
        </w:tc>
        <w:tc>
          <w:tcPr>
            <w:tcW w:w="1417" w:type="dxa"/>
            <w:tcBorders>
              <w:top w:val="single" w:color="auto" w:sz="12" w:space="0"/>
              <w:bottom w:val="double" w:color="auto" w:sz="6" w:space="0"/>
            </w:tcBorders>
            <w:vAlign w:val="center"/>
          </w:tcPr>
          <w:p w14:paraId="0F937132">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合同价格（元）</w:t>
            </w:r>
          </w:p>
        </w:tc>
        <w:tc>
          <w:tcPr>
            <w:tcW w:w="851" w:type="dxa"/>
            <w:tcBorders>
              <w:top w:val="single" w:color="auto" w:sz="12" w:space="0"/>
              <w:bottom w:val="double" w:color="auto" w:sz="6" w:space="0"/>
            </w:tcBorders>
            <w:vAlign w:val="center"/>
          </w:tcPr>
          <w:p w14:paraId="266A3E31">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开工日期</w:t>
            </w:r>
          </w:p>
        </w:tc>
        <w:tc>
          <w:tcPr>
            <w:tcW w:w="850" w:type="dxa"/>
            <w:tcBorders>
              <w:top w:val="single" w:color="auto" w:sz="12" w:space="0"/>
              <w:bottom w:val="double" w:color="auto" w:sz="6" w:space="0"/>
            </w:tcBorders>
            <w:vAlign w:val="center"/>
          </w:tcPr>
          <w:p w14:paraId="54E0AC06">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竣工日期</w:t>
            </w:r>
          </w:p>
        </w:tc>
      </w:tr>
      <w:tr w14:paraId="12B919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vAlign w:val="center"/>
          </w:tcPr>
          <w:p w14:paraId="5492B396">
            <w:pPr>
              <w:pStyle w:val="3"/>
              <w:keepNext/>
              <w:spacing w:line="440" w:lineRule="exact"/>
              <w:ind w:left="66" w:right="66"/>
              <w:rPr>
                <w:rFonts w:eastAsia="仿宋_GB2312"/>
                <w:color w:val="auto"/>
                <w:sz w:val="28"/>
                <w:szCs w:val="28"/>
                <w:highlight w:val="none"/>
                <w:lang w:val="en-US"/>
              </w:rPr>
            </w:pPr>
          </w:p>
        </w:tc>
        <w:tc>
          <w:tcPr>
            <w:tcW w:w="1843" w:type="dxa"/>
            <w:tcBorders>
              <w:top w:val="double" w:color="auto" w:sz="6" w:space="0"/>
              <w:bottom w:val="single" w:color="auto" w:sz="6" w:space="0"/>
            </w:tcBorders>
            <w:vAlign w:val="center"/>
          </w:tcPr>
          <w:p w14:paraId="1B006261">
            <w:pPr>
              <w:pStyle w:val="3"/>
              <w:keepNext/>
              <w:spacing w:line="440" w:lineRule="exact"/>
              <w:ind w:left="66" w:right="66"/>
              <w:rPr>
                <w:rFonts w:eastAsia="仿宋_GB2312"/>
                <w:color w:val="auto"/>
                <w:sz w:val="28"/>
                <w:szCs w:val="28"/>
                <w:highlight w:val="none"/>
                <w:lang w:val="en-US"/>
              </w:rPr>
            </w:pPr>
          </w:p>
        </w:tc>
        <w:tc>
          <w:tcPr>
            <w:tcW w:w="1417" w:type="dxa"/>
            <w:tcBorders>
              <w:top w:val="double" w:color="auto" w:sz="6" w:space="0"/>
              <w:bottom w:val="single" w:color="auto" w:sz="6" w:space="0"/>
            </w:tcBorders>
            <w:vAlign w:val="center"/>
          </w:tcPr>
          <w:p w14:paraId="78CAD164">
            <w:pPr>
              <w:pStyle w:val="3"/>
              <w:keepNext/>
              <w:spacing w:line="440" w:lineRule="exact"/>
              <w:ind w:left="66" w:right="66"/>
              <w:rPr>
                <w:rFonts w:eastAsia="仿宋_GB2312"/>
                <w:color w:val="auto"/>
                <w:sz w:val="28"/>
                <w:szCs w:val="28"/>
                <w:highlight w:val="none"/>
                <w:lang w:val="en-US"/>
              </w:rPr>
            </w:pPr>
          </w:p>
        </w:tc>
        <w:tc>
          <w:tcPr>
            <w:tcW w:w="2410" w:type="dxa"/>
            <w:tcBorders>
              <w:top w:val="double" w:color="auto" w:sz="6" w:space="0"/>
              <w:bottom w:val="single" w:color="auto" w:sz="6" w:space="0"/>
            </w:tcBorders>
            <w:vAlign w:val="center"/>
          </w:tcPr>
          <w:p w14:paraId="17CFE556">
            <w:pPr>
              <w:pStyle w:val="3"/>
              <w:keepNext/>
              <w:spacing w:line="440" w:lineRule="exact"/>
              <w:ind w:left="66" w:right="66"/>
              <w:rPr>
                <w:rFonts w:eastAsia="仿宋_GB2312"/>
                <w:color w:val="auto"/>
                <w:sz w:val="28"/>
                <w:szCs w:val="28"/>
                <w:highlight w:val="none"/>
                <w:lang w:val="en-US"/>
              </w:rPr>
            </w:pPr>
          </w:p>
        </w:tc>
        <w:tc>
          <w:tcPr>
            <w:tcW w:w="850" w:type="dxa"/>
            <w:tcBorders>
              <w:top w:val="double" w:color="auto" w:sz="6" w:space="0"/>
              <w:bottom w:val="single" w:color="auto" w:sz="6" w:space="0"/>
            </w:tcBorders>
            <w:vAlign w:val="center"/>
          </w:tcPr>
          <w:p w14:paraId="1D9DDF66">
            <w:pPr>
              <w:pStyle w:val="3"/>
              <w:keepNext/>
              <w:spacing w:line="440" w:lineRule="exact"/>
              <w:ind w:left="66" w:right="66"/>
              <w:rPr>
                <w:rFonts w:eastAsia="仿宋_GB2312"/>
                <w:color w:val="auto"/>
                <w:sz w:val="28"/>
                <w:szCs w:val="28"/>
                <w:highlight w:val="none"/>
                <w:lang w:val="en-US"/>
              </w:rPr>
            </w:pPr>
          </w:p>
        </w:tc>
        <w:tc>
          <w:tcPr>
            <w:tcW w:w="1560" w:type="dxa"/>
            <w:tcBorders>
              <w:top w:val="double" w:color="auto" w:sz="6" w:space="0"/>
              <w:bottom w:val="single" w:color="auto" w:sz="6" w:space="0"/>
            </w:tcBorders>
            <w:vAlign w:val="center"/>
          </w:tcPr>
          <w:p w14:paraId="4C9006A6">
            <w:pPr>
              <w:pStyle w:val="3"/>
              <w:keepNext/>
              <w:spacing w:line="440" w:lineRule="exact"/>
              <w:ind w:left="66" w:right="66"/>
              <w:rPr>
                <w:rFonts w:eastAsia="仿宋_GB2312"/>
                <w:color w:val="auto"/>
                <w:sz w:val="28"/>
                <w:szCs w:val="28"/>
                <w:highlight w:val="none"/>
                <w:lang w:val="en-US"/>
              </w:rPr>
            </w:pPr>
          </w:p>
        </w:tc>
        <w:tc>
          <w:tcPr>
            <w:tcW w:w="2126" w:type="dxa"/>
            <w:tcBorders>
              <w:top w:val="double" w:color="auto" w:sz="6" w:space="0"/>
              <w:bottom w:val="single" w:color="auto" w:sz="6" w:space="0"/>
            </w:tcBorders>
            <w:vAlign w:val="center"/>
          </w:tcPr>
          <w:p w14:paraId="4C5BE9CB">
            <w:pPr>
              <w:pStyle w:val="3"/>
              <w:keepNext/>
              <w:spacing w:line="440" w:lineRule="exact"/>
              <w:ind w:left="66" w:right="66"/>
              <w:rPr>
                <w:rFonts w:eastAsia="仿宋_GB2312"/>
                <w:color w:val="auto"/>
                <w:sz w:val="28"/>
                <w:szCs w:val="28"/>
                <w:highlight w:val="none"/>
                <w:lang w:val="en-US"/>
              </w:rPr>
            </w:pPr>
          </w:p>
        </w:tc>
        <w:tc>
          <w:tcPr>
            <w:tcW w:w="1417" w:type="dxa"/>
            <w:tcBorders>
              <w:top w:val="double" w:color="auto" w:sz="6" w:space="0"/>
              <w:bottom w:val="single" w:color="auto" w:sz="6" w:space="0"/>
            </w:tcBorders>
            <w:vAlign w:val="center"/>
          </w:tcPr>
          <w:p w14:paraId="7D24E244">
            <w:pPr>
              <w:pStyle w:val="3"/>
              <w:keepNext/>
              <w:spacing w:line="440" w:lineRule="exact"/>
              <w:ind w:left="66" w:right="66"/>
              <w:rPr>
                <w:rFonts w:eastAsia="仿宋_GB2312"/>
                <w:color w:val="auto"/>
                <w:sz w:val="28"/>
                <w:szCs w:val="28"/>
                <w:highlight w:val="none"/>
                <w:lang w:val="en-US"/>
              </w:rPr>
            </w:pPr>
          </w:p>
        </w:tc>
        <w:tc>
          <w:tcPr>
            <w:tcW w:w="851" w:type="dxa"/>
            <w:tcBorders>
              <w:top w:val="double" w:color="auto" w:sz="6" w:space="0"/>
              <w:bottom w:val="single" w:color="auto" w:sz="6" w:space="0"/>
            </w:tcBorders>
            <w:vAlign w:val="center"/>
          </w:tcPr>
          <w:p w14:paraId="0B093C86">
            <w:pPr>
              <w:pStyle w:val="3"/>
              <w:keepNext/>
              <w:spacing w:line="440" w:lineRule="exact"/>
              <w:ind w:left="66" w:right="66"/>
              <w:rPr>
                <w:rFonts w:eastAsia="仿宋_GB2312"/>
                <w:color w:val="auto"/>
                <w:sz w:val="28"/>
                <w:szCs w:val="28"/>
                <w:highlight w:val="none"/>
                <w:lang w:val="en-US"/>
              </w:rPr>
            </w:pPr>
          </w:p>
        </w:tc>
        <w:tc>
          <w:tcPr>
            <w:tcW w:w="850" w:type="dxa"/>
            <w:tcBorders>
              <w:top w:val="double" w:color="auto" w:sz="6" w:space="0"/>
              <w:bottom w:val="single" w:color="auto" w:sz="6" w:space="0"/>
            </w:tcBorders>
            <w:vAlign w:val="center"/>
          </w:tcPr>
          <w:p w14:paraId="7C6390DB">
            <w:pPr>
              <w:pStyle w:val="3"/>
              <w:keepNext/>
              <w:spacing w:line="440" w:lineRule="exact"/>
              <w:ind w:left="66" w:right="66"/>
              <w:rPr>
                <w:rFonts w:eastAsia="仿宋_GB2312"/>
                <w:color w:val="auto"/>
                <w:sz w:val="28"/>
                <w:szCs w:val="28"/>
                <w:highlight w:val="none"/>
                <w:lang w:val="en-US"/>
              </w:rPr>
            </w:pPr>
          </w:p>
        </w:tc>
      </w:tr>
      <w:tr w14:paraId="146E9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6223353D">
            <w:pPr>
              <w:pStyle w:val="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7BBE5733">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50242AE6">
            <w:pPr>
              <w:pStyle w:val="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168E9EA3">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786887F6">
            <w:pPr>
              <w:pStyle w:val="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5D34E3C6">
            <w:pPr>
              <w:pStyle w:val="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51130310">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61695860">
            <w:pPr>
              <w:pStyle w:val="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2170335E">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686F647A">
            <w:pPr>
              <w:pStyle w:val="3"/>
              <w:keepNext/>
              <w:spacing w:line="440" w:lineRule="exact"/>
              <w:ind w:left="66" w:right="66"/>
              <w:rPr>
                <w:rFonts w:eastAsia="仿宋_GB2312"/>
                <w:color w:val="auto"/>
                <w:sz w:val="28"/>
                <w:szCs w:val="28"/>
                <w:highlight w:val="none"/>
                <w:lang w:val="en-US"/>
              </w:rPr>
            </w:pPr>
          </w:p>
        </w:tc>
      </w:tr>
      <w:tr w14:paraId="118386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72049786">
            <w:pPr>
              <w:pStyle w:val="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3535D476">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6D24722E">
            <w:pPr>
              <w:pStyle w:val="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2A3D3B35">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0A153AB2">
            <w:pPr>
              <w:pStyle w:val="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6B797B5B">
            <w:pPr>
              <w:pStyle w:val="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2E7E30D8">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3A249FC4">
            <w:pPr>
              <w:pStyle w:val="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2A11FF1E">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0F74DE5E">
            <w:pPr>
              <w:pStyle w:val="3"/>
              <w:keepNext/>
              <w:spacing w:line="440" w:lineRule="exact"/>
              <w:ind w:left="66" w:right="66"/>
              <w:rPr>
                <w:rFonts w:eastAsia="仿宋_GB2312"/>
                <w:color w:val="auto"/>
                <w:sz w:val="28"/>
                <w:szCs w:val="28"/>
                <w:highlight w:val="none"/>
                <w:lang w:val="en-US"/>
              </w:rPr>
            </w:pPr>
          </w:p>
        </w:tc>
      </w:tr>
      <w:tr w14:paraId="576729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7DB99820">
            <w:pPr>
              <w:pStyle w:val="3"/>
              <w:keepNext/>
              <w:spacing w:line="440" w:lineRule="exact"/>
              <w:ind w:left="66" w:right="66"/>
              <w:rPr>
                <w:rFonts w:eastAsia="仿宋_GB2312"/>
                <w:color w:val="auto"/>
                <w:sz w:val="28"/>
                <w:szCs w:val="28"/>
                <w:highlight w:val="none"/>
                <w:lang w:val="en-US"/>
              </w:rPr>
            </w:pPr>
          </w:p>
        </w:tc>
        <w:tc>
          <w:tcPr>
            <w:tcW w:w="1843" w:type="dxa"/>
            <w:vAlign w:val="center"/>
          </w:tcPr>
          <w:p w14:paraId="540DFECE">
            <w:pPr>
              <w:pStyle w:val="3"/>
              <w:keepNext/>
              <w:spacing w:line="440" w:lineRule="exact"/>
              <w:ind w:left="66" w:right="66"/>
              <w:rPr>
                <w:rFonts w:eastAsia="仿宋_GB2312"/>
                <w:color w:val="auto"/>
                <w:sz w:val="28"/>
                <w:szCs w:val="28"/>
                <w:highlight w:val="none"/>
                <w:lang w:val="en-US"/>
              </w:rPr>
            </w:pPr>
          </w:p>
        </w:tc>
        <w:tc>
          <w:tcPr>
            <w:tcW w:w="1417" w:type="dxa"/>
            <w:vAlign w:val="center"/>
          </w:tcPr>
          <w:p w14:paraId="37F5165A">
            <w:pPr>
              <w:pStyle w:val="3"/>
              <w:keepNext/>
              <w:spacing w:line="440" w:lineRule="exact"/>
              <w:ind w:left="66" w:right="66"/>
              <w:rPr>
                <w:rFonts w:eastAsia="仿宋_GB2312"/>
                <w:color w:val="auto"/>
                <w:sz w:val="28"/>
                <w:szCs w:val="28"/>
                <w:highlight w:val="none"/>
                <w:lang w:val="en-US"/>
              </w:rPr>
            </w:pPr>
          </w:p>
        </w:tc>
        <w:tc>
          <w:tcPr>
            <w:tcW w:w="2410" w:type="dxa"/>
            <w:vAlign w:val="center"/>
          </w:tcPr>
          <w:p w14:paraId="50675BA7">
            <w:pPr>
              <w:pStyle w:val="3"/>
              <w:keepNext/>
              <w:spacing w:line="440" w:lineRule="exact"/>
              <w:ind w:left="66" w:right="66"/>
              <w:rPr>
                <w:rFonts w:eastAsia="仿宋_GB2312"/>
                <w:color w:val="auto"/>
                <w:sz w:val="28"/>
                <w:szCs w:val="28"/>
                <w:highlight w:val="none"/>
                <w:lang w:val="en-US"/>
              </w:rPr>
            </w:pPr>
          </w:p>
        </w:tc>
        <w:tc>
          <w:tcPr>
            <w:tcW w:w="850" w:type="dxa"/>
            <w:vAlign w:val="center"/>
          </w:tcPr>
          <w:p w14:paraId="2833F128">
            <w:pPr>
              <w:pStyle w:val="3"/>
              <w:keepNext/>
              <w:spacing w:line="440" w:lineRule="exact"/>
              <w:ind w:left="66" w:right="66"/>
              <w:rPr>
                <w:rFonts w:eastAsia="仿宋_GB2312"/>
                <w:color w:val="auto"/>
                <w:sz w:val="28"/>
                <w:szCs w:val="28"/>
                <w:highlight w:val="none"/>
                <w:lang w:val="en-US"/>
              </w:rPr>
            </w:pPr>
          </w:p>
        </w:tc>
        <w:tc>
          <w:tcPr>
            <w:tcW w:w="1560" w:type="dxa"/>
            <w:vAlign w:val="center"/>
          </w:tcPr>
          <w:p w14:paraId="6BB75D0D">
            <w:pPr>
              <w:pStyle w:val="3"/>
              <w:keepNext/>
              <w:spacing w:line="440" w:lineRule="exact"/>
              <w:ind w:left="66" w:right="66"/>
              <w:rPr>
                <w:rFonts w:eastAsia="仿宋_GB2312"/>
                <w:color w:val="auto"/>
                <w:sz w:val="28"/>
                <w:szCs w:val="28"/>
                <w:highlight w:val="none"/>
                <w:lang w:val="en-US"/>
              </w:rPr>
            </w:pPr>
          </w:p>
        </w:tc>
        <w:tc>
          <w:tcPr>
            <w:tcW w:w="2126" w:type="dxa"/>
            <w:vAlign w:val="center"/>
          </w:tcPr>
          <w:p w14:paraId="7479AD89">
            <w:pPr>
              <w:pStyle w:val="3"/>
              <w:keepNext/>
              <w:spacing w:line="440" w:lineRule="exact"/>
              <w:ind w:left="66" w:right="66"/>
              <w:rPr>
                <w:rFonts w:eastAsia="仿宋_GB2312"/>
                <w:color w:val="auto"/>
                <w:sz w:val="28"/>
                <w:szCs w:val="28"/>
                <w:highlight w:val="none"/>
                <w:lang w:val="en-US"/>
              </w:rPr>
            </w:pPr>
          </w:p>
        </w:tc>
        <w:tc>
          <w:tcPr>
            <w:tcW w:w="1417" w:type="dxa"/>
            <w:vAlign w:val="center"/>
          </w:tcPr>
          <w:p w14:paraId="7B035DAC">
            <w:pPr>
              <w:pStyle w:val="3"/>
              <w:keepNext/>
              <w:spacing w:line="440" w:lineRule="exact"/>
              <w:ind w:left="66" w:right="66"/>
              <w:rPr>
                <w:rFonts w:eastAsia="仿宋_GB2312"/>
                <w:color w:val="auto"/>
                <w:sz w:val="28"/>
                <w:szCs w:val="28"/>
                <w:highlight w:val="none"/>
                <w:lang w:val="en-US"/>
              </w:rPr>
            </w:pPr>
          </w:p>
        </w:tc>
        <w:tc>
          <w:tcPr>
            <w:tcW w:w="851" w:type="dxa"/>
            <w:vAlign w:val="center"/>
          </w:tcPr>
          <w:p w14:paraId="4B2D87E5">
            <w:pPr>
              <w:pStyle w:val="3"/>
              <w:keepNext/>
              <w:spacing w:line="440" w:lineRule="exact"/>
              <w:ind w:left="66" w:right="66"/>
              <w:rPr>
                <w:rFonts w:eastAsia="仿宋_GB2312"/>
                <w:color w:val="auto"/>
                <w:sz w:val="28"/>
                <w:szCs w:val="28"/>
                <w:highlight w:val="none"/>
                <w:lang w:val="en-US"/>
              </w:rPr>
            </w:pPr>
          </w:p>
        </w:tc>
        <w:tc>
          <w:tcPr>
            <w:tcW w:w="850" w:type="dxa"/>
            <w:vAlign w:val="center"/>
          </w:tcPr>
          <w:p w14:paraId="2CC33223">
            <w:pPr>
              <w:pStyle w:val="3"/>
              <w:keepNext/>
              <w:spacing w:line="440" w:lineRule="exact"/>
              <w:ind w:left="66" w:right="66"/>
              <w:rPr>
                <w:rFonts w:eastAsia="仿宋_GB2312"/>
                <w:color w:val="auto"/>
                <w:sz w:val="28"/>
                <w:szCs w:val="28"/>
                <w:highlight w:val="none"/>
                <w:lang w:val="en-US"/>
              </w:rPr>
            </w:pPr>
          </w:p>
        </w:tc>
      </w:tr>
      <w:tr w14:paraId="3D4E7C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2BA85ED8">
            <w:pPr>
              <w:pStyle w:val="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754B3F36">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62C4E40A">
            <w:pPr>
              <w:pStyle w:val="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366D435A">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18BDA6DE">
            <w:pPr>
              <w:pStyle w:val="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3EB75DF4">
            <w:pPr>
              <w:pStyle w:val="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1B9C222C">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4FD7C53B">
            <w:pPr>
              <w:pStyle w:val="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23B63AB5">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20F6F62A">
            <w:pPr>
              <w:pStyle w:val="3"/>
              <w:keepNext/>
              <w:spacing w:line="440" w:lineRule="exact"/>
              <w:ind w:left="66" w:right="66"/>
              <w:rPr>
                <w:rFonts w:eastAsia="仿宋_GB2312"/>
                <w:color w:val="auto"/>
                <w:sz w:val="28"/>
                <w:szCs w:val="28"/>
                <w:highlight w:val="none"/>
                <w:lang w:val="en-US"/>
              </w:rPr>
            </w:pPr>
          </w:p>
        </w:tc>
      </w:tr>
      <w:tr w14:paraId="7C10C9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0719927E">
            <w:pPr>
              <w:pStyle w:val="3"/>
              <w:keepNext/>
              <w:spacing w:line="440" w:lineRule="exact"/>
              <w:ind w:left="66" w:right="66"/>
              <w:rPr>
                <w:rFonts w:eastAsia="仿宋_GB2312"/>
                <w:color w:val="auto"/>
                <w:sz w:val="28"/>
                <w:szCs w:val="28"/>
                <w:highlight w:val="none"/>
                <w:lang w:val="en-US"/>
              </w:rPr>
            </w:pPr>
          </w:p>
        </w:tc>
        <w:tc>
          <w:tcPr>
            <w:tcW w:w="1843" w:type="dxa"/>
            <w:vAlign w:val="center"/>
          </w:tcPr>
          <w:p w14:paraId="7B159B93">
            <w:pPr>
              <w:pStyle w:val="3"/>
              <w:keepNext/>
              <w:spacing w:line="440" w:lineRule="exact"/>
              <w:ind w:left="66" w:right="66"/>
              <w:rPr>
                <w:rFonts w:eastAsia="仿宋_GB2312"/>
                <w:color w:val="auto"/>
                <w:sz w:val="28"/>
                <w:szCs w:val="28"/>
                <w:highlight w:val="none"/>
                <w:lang w:val="en-US"/>
              </w:rPr>
            </w:pPr>
          </w:p>
        </w:tc>
        <w:tc>
          <w:tcPr>
            <w:tcW w:w="1417" w:type="dxa"/>
            <w:vAlign w:val="center"/>
          </w:tcPr>
          <w:p w14:paraId="06FE5243">
            <w:pPr>
              <w:pStyle w:val="3"/>
              <w:keepNext/>
              <w:spacing w:line="440" w:lineRule="exact"/>
              <w:ind w:left="66" w:right="66"/>
              <w:rPr>
                <w:rFonts w:eastAsia="仿宋_GB2312"/>
                <w:color w:val="auto"/>
                <w:sz w:val="28"/>
                <w:szCs w:val="28"/>
                <w:highlight w:val="none"/>
                <w:lang w:val="en-US"/>
              </w:rPr>
            </w:pPr>
          </w:p>
        </w:tc>
        <w:tc>
          <w:tcPr>
            <w:tcW w:w="2410" w:type="dxa"/>
            <w:vAlign w:val="center"/>
          </w:tcPr>
          <w:p w14:paraId="65A6918E">
            <w:pPr>
              <w:pStyle w:val="3"/>
              <w:keepNext/>
              <w:spacing w:line="440" w:lineRule="exact"/>
              <w:ind w:left="66" w:right="66"/>
              <w:rPr>
                <w:rFonts w:eastAsia="仿宋_GB2312"/>
                <w:color w:val="auto"/>
                <w:sz w:val="28"/>
                <w:szCs w:val="28"/>
                <w:highlight w:val="none"/>
                <w:lang w:val="en-US"/>
              </w:rPr>
            </w:pPr>
          </w:p>
        </w:tc>
        <w:tc>
          <w:tcPr>
            <w:tcW w:w="850" w:type="dxa"/>
            <w:vAlign w:val="center"/>
          </w:tcPr>
          <w:p w14:paraId="422ADDC9">
            <w:pPr>
              <w:pStyle w:val="3"/>
              <w:keepNext/>
              <w:spacing w:line="440" w:lineRule="exact"/>
              <w:ind w:left="66" w:right="66"/>
              <w:rPr>
                <w:rFonts w:eastAsia="仿宋_GB2312"/>
                <w:color w:val="auto"/>
                <w:sz w:val="28"/>
                <w:szCs w:val="28"/>
                <w:highlight w:val="none"/>
                <w:lang w:val="en-US"/>
              </w:rPr>
            </w:pPr>
          </w:p>
        </w:tc>
        <w:tc>
          <w:tcPr>
            <w:tcW w:w="1560" w:type="dxa"/>
            <w:vAlign w:val="center"/>
          </w:tcPr>
          <w:p w14:paraId="018B42C3">
            <w:pPr>
              <w:pStyle w:val="3"/>
              <w:keepNext/>
              <w:spacing w:line="440" w:lineRule="exact"/>
              <w:ind w:left="66" w:right="66"/>
              <w:rPr>
                <w:rFonts w:eastAsia="仿宋_GB2312"/>
                <w:color w:val="auto"/>
                <w:sz w:val="28"/>
                <w:szCs w:val="28"/>
                <w:highlight w:val="none"/>
                <w:lang w:val="en-US"/>
              </w:rPr>
            </w:pPr>
          </w:p>
        </w:tc>
        <w:tc>
          <w:tcPr>
            <w:tcW w:w="2126" w:type="dxa"/>
            <w:vAlign w:val="center"/>
          </w:tcPr>
          <w:p w14:paraId="568CE50A">
            <w:pPr>
              <w:pStyle w:val="3"/>
              <w:keepNext/>
              <w:spacing w:line="440" w:lineRule="exact"/>
              <w:ind w:left="66" w:right="66"/>
              <w:rPr>
                <w:rFonts w:eastAsia="仿宋_GB2312"/>
                <w:color w:val="auto"/>
                <w:sz w:val="28"/>
                <w:szCs w:val="28"/>
                <w:highlight w:val="none"/>
                <w:lang w:val="en-US"/>
              </w:rPr>
            </w:pPr>
          </w:p>
        </w:tc>
        <w:tc>
          <w:tcPr>
            <w:tcW w:w="1417" w:type="dxa"/>
            <w:vAlign w:val="center"/>
          </w:tcPr>
          <w:p w14:paraId="763BA54B">
            <w:pPr>
              <w:pStyle w:val="3"/>
              <w:keepNext/>
              <w:spacing w:line="440" w:lineRule="exact"/>
              <w:ind w:left="66" w:right="66"/>
              <w:rPr>
                <w:rFonts w:eastAsia="仿宋_GB2312"/>
                <w:color w:val="auto"/>
                <w:sz w:val="28"/>
                <w:szCs w:val="28"/>
                <w:highlight w:val="none"/>
                <w:lang w:val="en-US"/>
              </w:rPr>
            </w:pPr>
          </w:p>
        </w:tc>
        <w:tc>
          <w:tcPr>
            <w:tcW w:w="851" w:type="dxa"/>
            <w:vAlign w:val="center"/>
          </w:tcPr>
          <w:p w14:paraId="694132CB">
            <w:pPr>
              <w:pStyle w:val="3"/>
              <w:keepNext/>
              <w:spacing w:line="440" w:lineRule="exact"/>
              <w:ind w:left="66" w:right="66"/>
              <w:rPr>
                <w:rFonts w:eastAsia="仿宋_GB2312"/>
                <w:color w:val="auto"/>
                <w:sz w:val="28"/>
                <w:szCs w:val="28"/>
                <w:highlight w:val="none"/>
                <w:lang w:val="en-US"/>
              </w:rPr>
            </w:pPr>
          </w:p>
        </w:tc>
        <w:tc>
          <w:tcPr>
            <w:tcW w:w="850" w:type="dxa"/>
            <w:vAlign w:val="center"/>
          </w:tcPr>
          <w:p w14:paraId="05467C07">
            <w:pPr>
              <w:pStyle w:val="3"/>
              <w:keepNext/>
              <w:spacing w:line="440" w:lineRule="exact"/>
              <w:ind w:left="66" w:right="66"/>
              <w:rPr>
                <w:rFonts w:eastAsia="仿宋_GB2312"/>
                <w:color w:val="auto"/>
                <w:sz w:val="28"/>
                <w:szCs w:val="28"/>
                <w:highlight w:val="none"/>
                <w:lang w:val="en-US"/>
              </w:rPr>
            </w:pPr>
          </w:p>
        </w:tc>
      </w:tr>
      <w:tr w14:paraId="5ECD92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2B169180">
            <w:pPr>
              <w:pStyle w:val="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1BD89B44">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5FC94948">
            <w:pPr>
              <w:pStyle w:val="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480D373B">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3E0CB7BD">
            <w:pPr>
              <w:pStyle w:val="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08F19751">
            <w:pPr>
              <w:pStyle w:val="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3746C71B">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315137FE">
            <w:pPr>
              <w:pStyle w:val="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13DDD54E">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404CD67F">
            <w:pPr>
              <w:pStyle w:val="3"/>
              <w:keepNext/>
              <w:spacing w:line="440" w:lineRule="exact"/>
              <w:ind w:left="66" w:right="66"/>
              <w:rPr>
                <w:rFonts w:eastAsia="仿宋_GB2312"/>
                <w:color w:val="auto"/>
                <w:sz w:val="28"/>
                <w:szCs w:val="28"/>
                <w:highlight w:val="none"/>
                <w:lang w:val="en-US"/>
              </w:rPr>
            </w:pPr>
          </w:p>
        </w:tc>
      </w:tr>
      <w:tr w14:paraId="3EB567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0F824263">
            <w:pPr>
              <w:pStyle w:val="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13398385">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20773798">
            <w:pPr>
              <w:pStyle w:val="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189C977D">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4A6C6502">
            <w:pPr>
              <w:pStyle w:val="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3B6BEC52">
            <w:pPr>
              <w:pStyle w:val="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3655E386">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18066E70">
            <w:pPr>
              <w:pStyle w:val="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49C78199">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05C3AC4B">
            <w:pPr>
              <w:pStyle w:val="3"/>
              <w:keepNext/>
              <w:spacing w:line="440" w:lineRule="exact"/>
              <w:ind w:left="66" w:right="66"/>
              <w:rPr>
                <w:rFonts w:eastAsia="仿宋_GB2312"/>
                <w:color w:val="auto"/>
                <w:sz w:val="28"/>
                <w:szCs w:val="28"/>
                <w:highlight w:val="none"/>
                <w:lang w:val="en-US"/>
              </w:rPr>
            </w:pPr>
          </w:p>
        </w:tc>
      </w:tr>
      <w:tr w14:paraId="604AD6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5049D031">
            <w:pPr>
              <w:pStyle w:val="3"/>
              <w:keepNext/>
              <w:spacing w:line="440" w:lineRule="exact"/>
              <w:ind w:left="66" w:right="66"/>
              <w:rPr>
                <w:rFonts w:eastAsia="仿宋_GB2312"/>
                <w:color w:val="auto"/>
                <w:sz w:val="28"/>
                <w:szCs w:val="28"/>
                <w:highlight w:val="none"/>
                <w:lang w:val="en-US"/>
              </w:rPr>
            </w:pPr>
          </w:p>
        </w:tc>
        <w:tc>
          <w:tcPr>
            <w:tcW w:w="1843" w:type="dxa"/>
            <w:vAlign w:val="center"/>
          </w:tcPr>
          <w:p w14:paraId="3AC4B700">
            <w:pPr>
              <w:pStyle w:val="3"/>
              <w:keepNext/>
              <w:spacing w:line="440" w:lineRule="exact"/>
              <w:ind w:left="66" w:right="66"/>
              <w:rPr>
                <w:rFonts w:eastAsia="仿宋_GB2312"/>
                <w:color w:val="auto"/>
                <w:sz w:val="28"/>
                <w:szCs w:val="28"/>
                <w:highlight w:val="none"/>
                <w:lang w:val="en-US"/>
              </w:rPr>
            </w:pPr>
          </w:p>
        </w:tc>
        <w:tc>
          <w:tcPr>
            <w:tcW w:w="1417" w:type="dxa"/>
            <w:vAlign w:val="center"/>
          </w:tcPr>
          <w:p w14:paraId="27AD549E">
            <w:pPr>
              <w:pStyle w:val="3"/>
              <w:keepNext/>
              <w:spacing w:line="440" w:lineRule="exact"/>
              <w:ind w:left="66" w:right="66"/>
              <w:rPr>
                <w:rFonts w:eastAsia="仿宋_GB2312"/>
                <w:color w:val="auto"/>
                <w:sz w:val="28"/>
                <w:szCs w:val="28"/>
                <w:highlight w:val="none"/>
                <w:lang w:val="en-US"/>
              </w:rPr>
            </w:pPr>
          </w:p>
        </w:tc>
        <w:tc>
          <w:tcPr>
            <w:tcW w:w="2410" w:type="dxa"/>
            <w:vAlign w:val="center"/>
          </w:tcPr>
          <w:p w14:paraId="3F93EE2A">
            <w:pPr>
              <w:pStyle w:val="3"/>
              <w:keepNext/>
              <w:spacing w:line="440" w:lineRule="exact"/>
              <w:ind w:left="66" w:right="66"/>
              <w:rPr>
                <w:rFonts w:eastAsia="仿宋_GB2312"/>
                <w:color w:val="auto"/>
                <w:sz w:val="28"/>
                <w:szCs w:val="28"/>
                <w:highlight w:val="none"/>
                <w:lang w:val="en-US"/>
              </w:rPr>
            </w:pPr>
          </w:p>
        </w:tc>
        <w:tc>
          <w:tcPr>
            <w:tcW w:w="850" w:type="dxa"/>
            <w:vAlign w:val="center"/>
          </w:tcPr>
          <w:p w14:paraId="2924A703">
            <w:pPr>
              <w:pStyle w:val="3"/>
              <w:keepNext/>
              <w:spacing w:line="440" w:lineRule="exact"/>
              <w:ind w:left="66" w:right="66"/>
              <w:rPr>
                <w:rFonts w:eastAsia="仿宋_GB2312"/>
                <w:color w:val="auto"/>
                <w:sz w:val="28"/>
                <w:szCs w:val="28"/>
                <w:highlight w:val="none"/>
                <w:lang w:val="en-US"/>
              </w:rPr>
            </w:pPr>
          </w:p>
        </w:tc>
        <w:tc>
          <w:tcPr>
            <w:tcW w:w="1560" w:type="dxa"/>
            <w:vAlign w:val="center"/>
          </w:tcPr>
          <w:p w14:paraId="7E27EB30">
            <w:pPr>
              <w:pStyle w:val="3"/>
              <w:keepNext/>
              <w:spacing w:line="440" w:lineRule="exact"/>
              <w:ind w:left="66" w:right="66"/>
              <w:rPr>
                <w:rFonts w:eastAsia="仿宋_GB2312"/>
                <w:color w:val="auto"/>
                <w:sz w:val="28"/>
                <w:szCs w:val="28"/>
                <w:highlight w:val="none"/>
                <w:lang w:val="en-US"/>
              </w:rPr>
            </w:pPr>
          </w:p>
        </w:tc>
        <w:tc>
          <w:tcPr>
            <w:tcW w:w="2126" w:type="dxa"/>
            <w:vAlign w:val="center"/>
          </w:tcPr>
          <w:p w14:paraId="5C768D1E">
            <w:pPr>
              <w:pStyle w:val="3"/>
              <w:keepNext/>
              <w:spacing w:line="440" w:lineRule="exact"/>
              <w:ind w:left="66" w:right="66"/>
              <w:rPr>
                <w:rFonts w:eastAsia="仿宋_GB2312"/>
                <w:color w:val="auto"/>
                <w:sz w:val="28"/>
                <w:szCs w:val="28"/>
                <w:highlight w:val="none"/>
                <w:lang w:val="en-US"/>
              </w:rPr>
            </w:pPr>
          </w:p>
        </w:tc>
        <w:tc>
          <w:tcPr>
            <w:tcW w:w="1417" w:type="dxa"/>
            <w:vAlign w:val="center"/>
          </w:tcPr>
          <w:p w14:paraId="4B109B54">
            <w:pPr>
              <w:pStyle w:val="3"/>
              <w:keepNext/>
              <w:spacing w:line="440" w:lineRule="exact"/>
              <w:ind w:left="66" w:right="66"/>
              <w:rPr>
                <w:rFonts w:eastAsia="仿宋_GB2312"/>
                <w:color w:val="auto"/>
                <w:sz w:val="28"/>
                <w:szCs w:val="28"/>
                <w:highlight w:val="none"/>
                <w:lang w:val="en-US"/>
              </w:rPr>
            </w:pPr>
          </w:p>
        </w:tc>
        <w:tc>
          <w:tcPr>
            <w:tcW w:w="851" w:type="dxa"/>
            <w:vAlign w:val="center"/>
          </w:tcPr>
          <w:p w14:paraId="5723C0C7">
            <w:pPr>
              <w:pStyle w:val="3"/>
              <w:keepNext/>
              <w:spacing w:line="440" w:lineRule="exact"/>
              <w:ind w:left="66" w:right="66"/>
              <w:rPr>
                <w:rFonts w:eastAsia="仿宋_GB2312"/>
                <w:color w:val="auto"/>
                <w:sz w:val="28"/>
                <w:szCs w:val="28"/>
                <w:highlight w:val="none"/>
                <w:lang w:val="en-US"/>
              </w:rPr>
            </w:pPr>
          </w:p>
        </w:tc>
        <w:tc>
          <w:tcPr>
            <w:tcW w:w="850" w:type="dxa"/>
            <w:vAlign w:val="center"/>
          </w:tcPr>
          <w:p w14:paraId="11A77547">
            <w:pPr>
              <w:pStyle w:val="3"/>
              <w:keepNext/>
              <w:spacing w:line="440" w:lineRule="exact"/>
              <w:ind w:left="66" w:right="66"/>
              <w:rPr>
                <w:rFonts w:eastAsia="仿宋_GB2312"/>
                <w:color w:val="auto"/>
                <w:sz w:val="28"/>
                <w:szCs w:val="28"/>
                <w:highlight w:val="none"/>
                <w:lang w:val="en-US"/>
              </w:rPr>
            </w:pPr>
          </w:p>
        </w:tc>
      </w:tr>
      <w:tr w14:paraId="5D7090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320A043B">
            <w:pPr>
              <w:pStyle w:val="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45512100">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546BE779">
            <w:pPr>
              <w:pStyle w:val="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4A9BEB11">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5A95CA69">
            <w:pPr>
              <w:pStyle w:val="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3F82F2D0">
            <w:pPr>
              <w:pStyle w:val="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1DA9F925">
            <w:pPr>
              <w:pStyle w:val="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1CC7C348">
            <w:pPr>
              <w:pStyle w:val="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369B5588">
            <w:pPr>
              <w:pStyle w:val="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002D1AFA">
            <w:pPr>
              <w:pStyle w:val="3"/>
              <w:keepNext/>
              <w:spacing w:line="440" w:lineRule="exact"/>
              <w:ind w:left="66" w:right="66"/>
              <w:rPr>
                <w:rFonts w:eastAsia="仿宋_GB2312"/>
                <w:color w:val="auto"/>
                <w:sz w:val="28"/>
                <w:szCs w:val="28"/>
                <w:highlight w:val="none"/>
                <w:lang w:val="en-US"/>
              </w:rPr>
            </w:pPr>
          </w:p>
        </w:tc>
      </w:tr>
      <w:tr w14:paraId="5596DF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426E3533">
            <w:pPr>
              <w:pStyle w:val="3"/>
              <w:keepNext/>
              <w:spacing w:line="440" w:lineRule="exact"/>
              <w:ind w:left="66" w:right="66"/>
              <w:rPr>
                <w:rFonts w:eastAsia="仿宋_GB2312"/>
                <w:color w:val="auto"/>
                <w:sz w:val="28"/>
                <w:szCs w:val="28"/>
                <w:highlight w:val="none"/>
                <w:lang w:val="en-US"/>
              </w:rPr>
            </w:pPr>
          </w:p>
        </w:tc>
        <w:tc>
          <w:tcPr>
            <w:tcW w:w="1843" w:type="dxa"/>
            <w:vAlign w:val="center"/>
          </w:tcPr>
          <w:p w14:paraId="18FBBBC6">
            <w:pPr>
              <w:pStyle w:val="3"/>
              <w:keepNext/>
              <w:spacing w:line="440" w:lineRule="exact"/>
              <w:ind w:left="66" w:right="66"/>
              <w:rPr>
                <w:rFonts w:eastAsia="仿宋_GB2312"/>
                <w:color w:val="auto"/>
                <w:sz w:val="28"/>
                <w:szCs w:val="28"/>
                <w:highlight w:val="none"/>
                <w:lang w:val="en-US"/>
              </w:rPr>
            </w:pPr>
          </w:p>
        </w:tc>
        <w:tc>
          <w:tcPr>
            <w:tcW w:w="1417" w:type="dxa"/>
            <w:vAlign w:val="center"/>
          </w:tcPr>
          <w:p w14:paraId="0C5F5108">
            <w:pPr>
              <w:pStyle w:val="3"/>
              <w:keepNext/>
              <w:spacing w:line="440" w:lineRule="exact"/>
              <w:ind w:left="66" w:right="66"/>
              <w:rPr>
                <w:rFonts w:eastAsia="仿宋_GB2312"/>
                <w:color w:val="auto"/>
                <w:sz w:val="28"/>
                <w:szCs w:val="28"/>
                <w:highlight w:val="none"/>
                <w:lang w:val="en-US"/>
              </w:rPr>
            </w:pPr>
          </w:p>
        </w:tc>
        <w:tc>
          <w:tcPr>
            <w:tcW w:w="2410" w:type="dxa"/>
            <w:vAlign w:val="center"/>
          </w:tcPr>
          <w:p w14:paraId="3FB458ED">
            <w:pPr>
              <w:pStyle w:val="3"/>
              <w:keepNext/>
              <w:spacing w:line="440" w:lineRule="exact"/>
              <w:ind w:left="66" w:right="66"/>
              <w:rPr>
                <w:rFonts w:eastAsia="仿宋_GB2312"/>
                <w:color w:val="auto"/>
                <w:sz w:val="28"/>
                <w:szCs w:val="28"/>
                <w:highlight w:val="none"/>
                <w:lang w:val="en-US"/>
              </w:rPr>
            </w:pPr>
          </w:p>
        </w:tc>
        <w:tc>
          <w:tcPr>
            <w:tcW w:w="850" w:type="dxa"/>
            <w:vAlign w:val="center"/>
          </w:tcPr>
          <w:p w14:paraId="04C45EB5">
            <w:pPr>
              <w:pStyle w:val="3"/>
              <w:keepNext/>
              <w:spacing w:line="440" w:lineRule="exact"/>
              <w:ind w:left="66" w:right="66"/>
              <w:rPr>
                <w:rFonts w:eastAsia="仿宋_GB2312"/>
                <w:color w:val="auto"/>
                <w:sz w:val="28"/>
                <w:szCs w:val="28"/>
                <w:highlight w:val="none"/>
                <w:lang w:val="en-US"/>
              </w:rPr>
            </w:pPr>
          </w:p>
        </w:tc>
        <w:tc>
          <w:tcPr>
            <w:tcW w:w="1560" w:type="dxa"/>
            <w:vAlign w:val="center"/>
          </w:tcPr>
          <w:p w14:paraId="7C71FABA">
            <w:pPr>
              <w:pStyle w:val="3"/>
              <w:keepNext/>
              <w:spacing w:line="440" w:lineRule="exact"/>
              <w:ind w:left="66" w:right="66"/>
              <w:rPr>
                <w:rFonts w:eastAsia="仿宋_GB2312"/>
                <w:color w:val="auto"/>
                <w:sz w:val="28"/>
                <w:szCs w:val="28"/>
                <w:highlight w:val="none"/>
                <w:lang w:val="en-US"/>
              </w:rPr>
            </w:pPr>
          </w:p>
        </w:tc>
        <w:tc>
          <w:tcPr>
            <w:tcW w:w="2126" w:type="dxa"/>
            <w:vAlign w:val="center"/>
          </w:tcPr>
          <w:p w14:paraId="3BAC9B85">
            <w:pPr>
              <w:pStyle w:val="3"/>
              <w:keepNext/>
              <w:spacing w:line="440" w:lineRule="exact"/>
              <w:ind w:left="66" w:right="66"/>
              <w:rPr>
                <w:rFonts w:eastAsia="仿宋_GB2312"/>
                <w:color w:val="auto"/>
                <w:sz w:val="28"/>
                <w:szCs w:val="28"/>
                <w:highlight w:val="none"/>
                <w:lang w:val="en-US"/>
              </w:rPr>
            </w:pPr>
          </w:p>
        </w:tc>
        <w:tc>
          <w:tcPr>
            <w:tcW w:w="1417" w:type="dxa"/>
            <w:vAlign w:val="center"/>
          </w:tcPr>
          <w:p w14:paraId="67D71129">
            <w:pPr>
              <w:pStyle w:val="3"/>
              <w:keepNext/>
              <w:spacing w:line="440" w:lineRule="exact"/>
              <w:ind w:left="66" w:right="66"/>
              <w:rPr>
                <w:rFonts w:eastAsia="仿宋_GB2312"/>
                <w:color w:val="auto"/>
                <w:sz w:val="28"/>
                <w:szCs w:val="28"/>
                <w:highlight w:val="none"/>
                <w:lang w:val="en-US"/>
              </w:rPr>
            </w:pPr>
          </w:p>
        </w:tc>
        <w:tc>
          <w:tcPr>
            <w:tcW w:w="851" w:type="dxa"/>
            <w:vAlign w:val="center"/>
          </w:tcPr>
          <w:p w14:paraId="40BA358D">
            <w:pPr>
              <w:pStyle w:val="3"/>
              <w:keepNext/>
              <w:spacing w:line="440" w:lineRule="exact"/>
              <w:ind w:left="66" w:right="66"/>
              <w:rPr>
                <w:rFonts w:eastAsia="仿宋_GB2312"/>
                <w:color w:val="auto"/>
                <w:sz w:val="28"/>
                <w:szCs w:val="28"/>
                <w:highlight w:val="none"/>
                <w:lang w:val="en-US"/>
              </w:rPr>
            </w:pPr>
          </w:p>
        </w:tc>
        <w:tc>
          <w:tcPr>
            <w:tcW w:w="850" w:type="dxa"/>
            <w:vAlign w:val="center"/>
          </w:tcPr>
          <w:p w14:paraId="42A52C07">
            <w:pPr>
              <w:pStyle w:val="3"/>
              <w:keepNext/>
              <w:spacing w:line="440" w:lineRule="exact"/>
              <w:ind w:left="66" w:right="66"/>
              <w:rPr>
                <w:rFonts w:eastAsia="仿宋_GB2312"/>
                <w:color w:val="auto"/>
                <w:sz w:val="28"/>
                <w:szCs w:val="28"/>
                <w:highlight w:val="none"/>
                <w:lang w:val="en-US"/>
              </w:rPr>
            </w:pPr>
          </w:p>
        </w:tc>
      </w:tr>
    </w:tbl>
    <w:p w14:paraId="17FC00D6">
      <w:pPr>
        <w:spacing w:line="440" w:lineRule="exact"/>
        <w:rPr>
          <w:rFonts w:eastAsia="仿宋_GB2312"/>
          <w:b/>
          <w:color w:val="auto"/>
          <w:sz w:val="28"/>
          <w:szCs w:val="28"/>
          <w:highlight w:val="none"/>
        </w:rPr>
        <w:sectPr>
          <w:pgSz w:w="16838" w:h="11906" w:orient="landscape"/>
          <w:pgMar w:top="1554" w:right="1418" w:bottom="1531" w:left="1418" w:header="851" w:footer="992" w:gutter="0"/>
          <w:cols w:space="720" w:num="1"/>
          <w:titlePg/>
          <w:docGrid w:type="linesAndChars" w:linePitch="312" w:charSpace="0"/>
        </w:sectPr>
      </w:pPr>
    </w:p>
    <w:p w14:paraId="39B8DC85">
      <w:pPr>
        <w:spacing w:line="400" w:lineRule="exact"/>
        <w:rPr>
          <w:rFonts w:eastAsia="黑体"/>
          <w:color w:val="auto"/>
          <w:sz w:val="28"/>
          <w:szCs w:val="28"/>
          <w:highlight w:val="none"/>
        </w:rPr>
      </w:pPr>
      <w:r>
        <w:rPr>
          <w:rFonts w:eastAsia="仿宋_GB2312"/>
          <w:color w:val="auto"/>
          <w:sz w:val="28"/>
          <w:szCs w:val="28"/>
          <w:highlight w:val="none"/>
        </w:rPr>
        <w:t>附</w:t>
      </w:r>
      <w:bookmarkStart w:id="1001" w:name="_Toc296347225"/>
      <w:bookmarkStart w:id="1002" w:name="_Toc296944565"/>
      <w:bookmarkStart w:id="1003" w:name="_Toc296503226"/>
      <w:bookmarkStart w:id="1004" w:name="_Toc267261693"/>
      <w:bookmarkStart w:id="1005" w:name="_Toc296346727"/>
      <w:bookmarkStart w:id="1006" w:name="_Toc296891054"/>
      <w:bookmarkStart w:id="1007" w:name="_Toc296891266"/>
      <w:r>
        <w:rPr>
          <w:rFonts w:eastAsia="仿宋_GB2312"/>
          <w:color w:val="auto"/>
          <w:sz w:val="28"/>
          <w:szCs w:val="28"/>
          <w:highlight w:val="none"/>
        </w:rPr>
        <w:t>件</w:t>
      </w:r>
      <w:r>
        <w:rPr>
          <w:rFonts w:hint="eastAsia" w:eastAsia="仿宋_GB2312"/>
          <w:color w:val="auto"/>
          <w:sz w:val="28"/>
          <w:szCs w:val="28"/>
          <w:highlight w:val="none"/>
        </w:rPr>
        <w:t>2</w:t>
      </w:r>
      <w:r>
        <w:rPr>
          <w:rFonts w:eastAsia="仿宋_GB2312"/>
          <w:color w:val="auto"/>
          <w:sz w:val="28"/>
          <w:szCs w:val="28"/>
          <w:highlight w:val="none"/>
        </w:rPr>
        <w:t>：</w:t>
      </w:r>
      <w:bookmarkEnd w:id="1001"/>
      <w:bookmarkEnd w:id="1002"/>
      <w:bookmarkEnd w:id="1003"/>
      <w:bookmarkEnd w:id="1004"/>
      <w:bookmarkEnd w:id="1005"/>
      <w:bookmarkEnd w:id="1006"/>
      <w:bookmarkEnd w:id="1007"/>
    </w:p>
    <w:p w14:paraId="03F0BECD">
      <w:pPr>
        <w:spacing w:before="120" w:beforeLines="50" w:after="120" w:afterLines="50" w:line="400" w:lineRule="exact"/>
        <w:jc w:val="center"/>
        <w:rPr>
          <w:rFonts w:eastAsia="黑体"/>
          <w:color w:val="auto"/>
          <w:sz w:val="28"/>
          <w:szCs w:val="28"/>
          <w:highlight w:val="none"/>
        </w:rPr>
      </w:pPr>
      <w:r>
        <w:rPr>
          <w:rFonts w:eastAsia="黑体"/>
          <w:color w:val="auto"/>
          <w:sz w:val="28"/>
          <w:szCs w:val="28"/>
          <w:highlight w:val="none"/>
        </w:rPr>
        <w:t>工程质量保修书</w:t>
      </w:r>
    </w:p>
    <w:p w14:paraId="45D461D7">
      <w:pPr>
        <w:spacing w:line="400" w:lineRule="exact"/>
        <w:ind w:firstLine="560" w:firstLineChars="200"/>
        <w:rPr>
          <w:rFonts w:eastAsia="仿宋_GB2312"/>
          <w:color w:val="auto"/>
          <w:sz w:val="28"/>
          <w:szCs w:val="28"/>
          <w:highlight w:val="none"/>
        </w:rPr>
      </w:pPr>
      <w:r>
        <w:rPr>
          <w:rFonts w:eastAsia="仿宋_GB2312"/>
          <w:color w:val="auto"/>
          <w:sz w:val="28"/>
          <w:szCs w:val="28"/>
          <w:highlight w:val="none"/>
        </w:rPr>
        <w:t>发包人（全称）：</w:t>
      </w:r>
    </w:p>
    <w:p w14:paraId="7FBA44C0">
      <w:pPr>
        <w:spacing w:line="400" w:lineRule="exact"/>
        <w:rPr>
          <w:rFonts w:eastAsia="仿宋_GB2312"/>
          <w:color w:val="auto"/>
          <w:sz w:val="28"/>
          <w:szCs w:val="28"/>
          <w:highlight w:val="none"/>
        </w:rPr>
      </w:pPr>
      <w:r>
        <w:rPr>
          <w:rFonts w:eastAsia="仿宋_GB2312"/>
          <w:color w:val="auto"/>
          <w:sz w:val="28"/>
          <w:szCs w:val="28"/>
          <w:highlight w:val="none"/>
        </w:rPr>
        <w:t>　　承包人（全称）：</w:t>
      </w:r>
    </w:p>
    <w:p w14:paraId="27EC7D2D">
      <w:pPr>
        <w:spacing w:line="400" w:lineRule="exact"/>
        <w:rPr>
          <w:rFonts w:eastAsia="仿宋_GB2312"/>
          <w:color w:val="auto"/>
          <w:sz w:val="28"/>
          <w:szCs w:val="28"/>
          <w:highlight w:val="none"/>
        </w:rPr>
      </w:pPr>
    </w:p>
    <w:p w14:paraId="368AF1E7">
      <w:pPr>
        <w:spacing w:line="400" w:lineRule="exact"/>
        <w:rPr>
          <w:rFonts w:eastAsia="仿宋_GB2312"/>
          <w:color w:val="auto"/>
          <w:sz w:val="28"/>
          <w:szCs w:val="28"/>
          <w:highlight w:val="none"/>
        </w:rPr>
      </w:pPr>
      <w:r>
        <w:rPr>
          <w:rFonts w:eastAsia="仿宋_GB2312"/>
          <w:color w:val="auto"/>
          <w:sz w:val="28"/>
          <w:szCs w:val="28"/>
          <w:highlight w:val="none"/>
        </w:rPr>
        <w:t>　　发包人和承包人根据《中华人民共和国建筑法》和《建设工程质量管理条例》，经协商一致就（工程全称）签订工程质量保修书。</w:t>
      </w:r>
    </w:p>
    <w:p w14:paraId="0B6EFA7F">
      <w:pPr>
        <w:spacing w:line="400" w:lineRule="exact"/>
        <w:rPr>
          <w:rFonts w:eastAsia="黑体"/>
          <w:color w:val="auto"/>
          <w:sz w:val="28"/>
          <w:szCs w:val="28"/>
          <w:highlight w:val="none"/>
        </w:rPr>
      </w:pPr>
      <w:r>
        <w:rPr>
          <w:rFonts w:eastAsia="黑体"/>
          <w:color w:val="auto"/>
          <w:sz w:val="28"/>
          <w:szCs w:val="28"/>
          <w:highlight w:val="none"/>
        </w:rPr>
        <w:t>　　一、工程质量保修范围和内容</w:t>
      </w:r>
    </w:p>
    <w:p w14:paraId="3B8C89DE">
      <w:pPr>
        <w:spacing w:line="400" w:lineRule="exact"/>
        <w:rPr>
          <w:rFonts w:eastAsia="仿宋_GB2312"/>
          <w:color w:val="auto"/>
          <w:sz w:val="28"/>
          <w:szCs w:val="28"/>
          <w:highlight w:val="none"/>
        </w:rPr>
      </w:pPr>
      <w:r>
        <w:rPr>
          <w:rFonts w:eastAsia="仿宋_GB2312"/>
          <w:color w:val="auto"/>
          <w:sz w:val="28"/>
          <w:szCs w:val="28"/>
          <w:highlight w:val="none"/>
        </w:rPr>
        <w:t>　　承包人在质量保修期内，按照有关法律规定和合同约定，承担工程质量保修责任。</w:t>
      </w:r>
    </w:p>
    <w:p w14:paraId="1991D82D">
      <w:pPr>
        <w:spacing w:line="400" w:lineRule="exact"/>
        <w:rPr>
          <w:rFonts w:eastAsia="仿宋_GB2312"/>
          <w:color w:val="auto"/>
          <w:sz w:val="28"/>
          <w:szCs w:val="28"/>
          <w:highlight w:val="none"/>
        </w:rPr>
      </w:pPr>
      <w:r>
        <w:rPr>
          <w:rFonts w:eastAsia="仿宋_GB2312"/>
          <w:color w:val="auto"/>
          <w:sz w:val="28"/>
          <w:szCs w:val="28"/>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B1EF79D">
      <w:pPr>
        <w:spacing w:line="400" w:lineRule="exact"/>
        <w:rPr>
          <w:rFonts w:eastAsia="仿宋_GB2312"/>
          <w:color w:val="auto"/>
          <w:sz w:val="28"/>
          <w:szCs w:val="28"/>
          <w:highlight w:val="none"/>
        </w:rPr>
      </w:pPr>
      <w:r>
        <w:rPr>
          <w:rFonts w:eastAsia="仿宋_GB2312"/>
          <w:color w:val="auto"/>
          <w:sz w:val="28"/>
          <w:szCs w:val="28"/>
          <w:highlight w:val="none"/>
        </w:rPr>
        <w:t>　　</w:t>
      </w:r>
      <w:r>
        <w:rPr>
          <w:rFonts w:hint="eastAsia" w:eastAsia="仿宋_GB2312"/>
          <w:color w:val="auto"/>
          <w:sz w:val="28"/>
          <w:szCs w:val="28"/>
          <w:highlight w:val="none"/>
          <w:u w:val="single"/>
        </w:rPr>
        <w:t>保修承包施工范围内所有完工工程</w:t>
      </w:r>
      <w:r>
        <w:rPr>
          <w:rFonts w:eastAsia="仿宋_GB2312"/>
          <w:color w:val="auto"/>
          <w:sz w:val="28"/>
          <w:szCs w:val="28"/>
          <w:highlight w:val="none"/>
        </w:rPr>
        <w:t>。</w:t>
      </w:r>
    </w:p>
    <w:p w14:paraId="3E0DFD87">
      <w:pPr>
        <w:spacing w:line="400" w:lineRule="exact"/>
        <w:rPr>
          <w:rFonts w:eastAsia="黑体"/>
          <w:color w:val="auto"/>
          <w:sz w:val="28"/>
          <w:szCs w:val="28"/>
          <w:highlight w:val="none"/>
        </w:rPr>
      </w:pPr>
      <w:r>
        <w:rPr>
          <w:rFonts w:eastAsia="仿宋_GB2312"/>
          <w:b/>
          <w:color w:val="auto"/>
          <w:sz w:val="28"/>
          <w:szCs w:val="28"/>
          <w:highlight w:val="none"/>
        </w:rPr>
        <w:t>　　</w:t>
      </w:r>
      <w:r>
        <w:rPr>
          <w:rFonts w:eastAsia="黑体"/>
          <w:color w:val="auto"/>
          <w:sz w:val="28"/>
          <w:szCs w:val="28"/>
          <w:highlight w:val="none"/>
        </w:rPr>
        <w:t>二、质量保修期</w:t>
      </w:r>
    </w:p>
    <w:p w14:paraId="39C4066D">
      <w:pPr>
        <w:spacing w:line="400" w:lineRule="exact"/>
        <w:ind w:firstLine="560" w:firstLineChars="200"/>
        <w:rPr>
          <w:rFonts w:eastAsia="仿宋_GB2312"/>
          <w:color w:val="auto"/>
          <w:sz w:val="28"/>
          <w:szCs w:val="28"/>
          <w:highlight w:val="none"/>
        </w:rPr>
      </w:pPr>
      <w:r>
        <w:rPr>
          <w:rFonts w:eastAsia="仿宋_GB2312"/>
          <w:color w:val="auto"/>
          <w:sz w:val="28"/>
          <w:szCs w:val="28"/>
          <w:highlight w:val="none"/>
        </w:rPr>
        <w:t>根据《建设工程质量管理条例》及有关规定，工程的质量保修期如下：</w:t>
      </w:r>
    </w:p>
    <w:p w14:paraId="30374A08">
      <w:pPr>
        <w:spacing w:line="40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eastAsia="仿宋_GB2312"/>
          <w:color w:val="auto"/>
          <w:sz w:val="28"/>
          <w:szCs w:val="28"/>
          <w:highlight w:val="none"/>
        </w:rPr>
        <w:t>．</w:t>
      </w:r>
      <w:r>
        <w:rPr>
          <w:rFonts w:hint="eastAsia" w:ascii="仿宋_GB2312" w:eastAsia="仿宋_GB2312"/>
          <w:color w:val="auto"/>
          <w:sz w:val="28"/>
          <w:szCs w:val="28"/>
          <w:highlight w:val="none"/>
        </w:rPr>
        <w:t>地基基础工程和主体结构工程为设计文件规定的工程合理使用年限；</w:t>
      </w:r>
    </w:p>
    <w:p w14:paraId="541FE4DB">
      <w:pPr>
        <w:spacing w:line="4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2</w:t>
      </w:r>
      <w:r>
        <w:rPr>
          <w:rFonts w:hint="eastAsia" w:ascii="仿宋_GB2312" w:eastAsia="仿宋_GB2312"/>
          <w:color w:val="auto"/>
          <w:sz w:val="28"/>
          <w:szCs w:val="28"/>
          <w:highlight w:val="none"/>
        </w:rPr>
        <w:t>．</w:t>
      </w:r>
      <w:r>
        <w:rPr>
          <w:rFonts w:eastAsia="仿宋_GB2312"/>
          <w:color w:val="auto"/>
          <w:sz w:val="28"/>
          <w:szCs w:val="28"/>
          <w:highlight w:val="none"/>
        </w:rPr>
        <w:t>屋面防水工程、有防水要求的卫生间、房间和外墙面的防渗</w:t>
      </w:r>
      <w:r>
        <w:rPr>
          <w:rFonts w:hint="eastAsia" w:eastAsia="仿宋_GB2312"/>
          <w:color w:val="auto"/>
          <w:sz w:val="28"/>
          <w:szCs w:val="28"/>
          <w:highlight w:val="none"/>
        </w:rPr>
        <w:t>为</w:t>
      </w:r>
      <w:r>
        <w:rPr>
          <w:rFonts w:hint="eastAsia" w:eastAsia="仿宋_GB2312"/>
          <w:color w:val="auto"/>
          <w:sz w:val="28"/>
          <w:szCs w:val="28"/>
          <w:highlight w:val="none"/>
          <w:u w:val="single"/>
        </w:rPr>
        <w:t>5</w:t>
      </w:r>
      <w:r>
        <w:rPr>
          <w:rFonts w:eastAsia="仿宋_GB2312"/>
          <w:color w:val="auto"/>
          <w:sz w:val="28"/>
          <w:szCs w:val="28"/>
          <w:highlight w:val="none"/>
        </w:rPr>
        <w:t>年；</w:t>
      </w:r>
    </w:p>
    <w:p w14:paraId="669B7821">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3</w:t>
      </w:r>
      <w:r>
        <w:rPr>
          <w:rFonts w:hint="eastAsia" w:ascii="仿宋_GB2312" w:eastAsia="仿宋_GB2312"/>
          <w:color w:val="auto"/>
          <w:sz w:val="28"/>
          <w:szCs w:val="28"/>
          <w:highlight w:val="none"/>
        </w:rPr>
        <w:t>．</w:t>
      </w:r>
      <w:r>
        <w:rPr>
          <w:rFonts w:eastAsia="仿宋_GB2312"/>
          <w:color w:val="auto"/>
          <w:sz w:val="28"/>
          <w:szCs w:val="28"/>
          <w:highlight w:val="none"/>
        </w:rPr>
        <w:t>装修工程为</w:t>
      </w:r>
      <w:r>
        <w:rPr>
          <w:rFonts w:hint="eastAsia" w:eastAsia="仿宋_GB2312"/>
          <w:color w:val="auto"/>
          <w:sz w:val="28"/>
          <w:szCs w:val="28"/>
          <w:highlight w:val="none"/>
          <w:u w:val="single"/>
        </w:rPr>
        <w:t>2</w:t>
      </w:r>
      <w:r>
        <w:rPr>
          <w:rFonts w:eastAsia="仿宋_GB2312"/>
          <w:color w:val="auto"/>
          <w:sz w:val="28"/>
          <w:szCs w:val="28"/>
          <w:highlight w:val="none"/>
        </w:rPr>
        <w:t>年；</w:t>
      </w:r>
    </w:p>
    <w:p w14:paraId="755C6A45">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4</w:t>
      </w:r>
      <w:r>
        <w:rPr>
          <w:rFonts w:hint="eastAsia" w:ascii="仿宋_GB2312" w:eastAsia="仿宋_GB2312"/>
          <w:color w:val="auto"/>
          <w:sz w:val="28"/>
          <w:szCs w:val="28"/>
          <w:highlight w:val="none"/>
        </w:rPr>
        <w:t>．</w:t>
      </w:r>
      <w:r>
        <w:rPr>
          <w:rFonts w:eastAsia="仿宋_GB2312"/>
          <w:color w:val="auto"/>
          <w:sz w:val="28"/>
          <w:szCs w:val="28"/>
          <w:highlight w:val="none"/>
        </w:rPr>
        <w:t>电气管线、给排水管道、设备安装工程为</w:t>
      </w:r>
      <w:r>
        <w:rPr>
          <w:rFonts w:hint="eastAsia" w:eastAsia="仿宋_GB2312"/>
          <w:color w:val="auto"/>
          <w:sz w:val="28"/>
          <w:szCs w:val="28"/>
          <w:highlight w:val="none"/>
          <w:u w:val="single"/>
        </w:rPr>
        <w:t>2</w:t>
      </w:r>
      <w:r>
        <w:rPr>
          <w:rFonts w:eastAsia="仿宋_GB2312"/>
          <w:color w:val="auto"/>
          <w:sz w:val="28"/>
          <w:szCs w:val="28"/>
          <w:highlight w:val="none"/>
        </w:rPr>
        <w:t>年；</w:t>
      </w:r>
    </w:p>
    <w:p w14:paraId="7565C290">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5</w:t>
      </w:r>
      <w:r>
        <w:rPr>
          <w:rFonts w:hint="eastAsia" w:ascii="仿宋_GB2312" w:eastAsia="仿宋_GB2312"/>
          <w:color w:val="auto"/>
          <w:sz w:val="28"/>
          <w:szCs w:val="28"/>
          <w:highlight w:val="none"/>
        </w:rPr>
        <w:t>．</w:t>
      </w:r>
      <w:r>
        <w:rPr>
          <w:rFonts w:eastAsia="仿宋_GB2312"/>
          <w:color w:val="auto"/>
          <w:sz w:val="28"/>
          <w:szCs w:val="28"/>
          <w:highlight w:val="none"/>
        </w:rPr>
        <w:t>供热与供冷系统为</w:t>
      </w:r>
      <w:r>
        <w:rPr>
          <w:rFonts w:hint="eastAsia" w:eastAsia="仿宋_GB2312"/>
          <w:color w:val="auto"/>
          <w:sz w:val="28"/>
          <w:szCs w:val="28"/>
          <w:highlight w:val="none"/>
          <w:u w:val="single"/>
        </w:rPr>
        <w:t>2</w:t>
      </w:r>
      <w:r>
        <w:rPr>
          <w:rFonts w:eastAsia="仿宋_GB2312"/>
          <w:color w:val="auto"/>
          <w:sz w:val="28"/>
          <w:szCs w:val="28"/>
          <w:highlight w:val="none"/>
        </w:rPr>
        <w:t>个采暖期、供冷期；</w:t>
      </w:r>
    </w:p>
    <w:p w14:paraId="5BE604EC">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6</w:t>
      </w:r>
      <w:r>
        <w:rPr>
          <w:rFonts w:hint="eastAsia" w:ascii="仿宋_GB2312" w:eastAsia="仿宋_GB2312"/>
          <w:color w:val="auto"/>
          <w:sz w:val="28"/>
          <w:szCs w:val="28"/>
          <w:highlight w:val="none"/>
        </w:rPr>
        <w:t>．</w:t>
      </w:r>
      <w:r>
        <w:rPr>
          <w:rFonts w:eastAsia="仿宋_GB2312"/>
          <w:color w:val="auto"/>
          <w:sz w:val="28"/>
          <w:szCs w:val="28"/>
          <w:highlight w:val="none"/>
        </w:rPr>
        <w:t>住宅小区内的给排水设施、道路等配套工程为</w:t>
      </w:r>
      <w:r>
        <w:rPr>
          <w:rFonts w:hint="eastAsia" w:eastAsia="仿宋_GB2312"/>
          <w:color w:val="auto"/>
          <w:sz w:val="28"/>
          <w:szCs w:val="28"/>
          <w:highlight w:val="none"/>
          <w:u w:val="single"/>
        </w:rPr>
        <w:t>2</w:t>
      </w:r>
      <w:r>
        <w:rPr>
          <w:rFonts w:eastAsia="仿宋_GB2312"/>
          <w:color w:val="auto"/>
          <w:sz w:val="28"/>
          <w:szCs w:val="28"/>
          <w:highlight w:val="none"/>
        </w:rPr>
        <w:t>年；</w:t>
      </w:r>
    </w:p>
    <w:p w14:paraId="2257C041">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7</w:t>
      </w:r>
      <w:r>
        <w:rPr>
          <w:rFonts w:hint="eastAsia" w:ascii="仿宋_GB2312" w:eastAsia="仿宋_GB2312"/>
          <w:color w:val="auto"/>
          <w:sz w:val="28"/>
          <w:szCs w:val="28"/>
          <w:highlight w:val="none"/>
        </w:rPr>
        <w:t>．</w:t>
      </w:r>
      <w:r>
        <w:rPr>
          <w:rFonts w:eastAsia="仿宋_GB2312"/>
          <w:color w:val="auto"/>
          <w:sz w:val="28"/>
          <w:szCs w:val="28"/>
          <w:highlight w:val="none"/>
        </w:rPr>
        <w:t>其他项目保修期限约定如下：</w:t>
      </w:r>
    </w:p>
    <w:p w14:paraId="1B775462">
      <w:pPr>
        <w:spacing w:line="400" w:lineRule="exact"/>
        <w:ind w:firstLine="560" w:firstLineChars="200"/>
        <w:rPr>
          <w:rFonts w:eastAsia="仿宋_GB2312"/>
          <w:color w:val="auto"/>
          <w:sz w:val="28"/>
          <w:szCs w:val="28"/>
          <w:highlight w:val="none"/>
        </w:rPr>
      </w:pPr>
      <w:r>
        <w:rPr>
          <w:rFonts w:hint="eastAsia" w:eastAsia="仿宋_GB2312"/>
          <w:color w:val="auto"/>
          <w:sz w:val="28"/>
          <w:szCs w:val="28"/>
          <w:highlight w:val="none"/>
          <w:u w:val="single"/>
        </w:rPr>
        <w:t>其他工程内容保修期为一年</w:t>
      </w:r>
      <w:r>
        <w:rPr>
          <w:rFonts w:eastAsia="仿宋_GB2312"/>
          <w:color w:val="auto"/>
          <w:sz w:val="28"/>
          <w:szCs w:val="28"/>
          <w:highlight w:val="none"/>
        </w:rPr>
        <w:t>。</w:t>
      </w:r>
    </w:p>
    <w:p w14:paraId="4BECF41D">
      <w:pPr>
        <w:spacing w:line="400" w:lineRule="exact"/>
        <w:rPr>
          <w:rFonts w:eastAsia="仿宋_GB2312"/>
          <w:color w:val="auto"/>
          <w:sz w:val="28"/>
          <w:szCs w:val="28"/>
          <w:highlight w:val="none"/>
        </w:rPr>
      </w:pPr>
      <w:r>
        <w:rPr>
          <w:rFonts w:eastAsia="仿宋_GB2312"/>
          <w:color w:val="auto"/>
          <w:sz w:val="28"/>
          <w:szCs w:val="28"/>
          <w:highlight w:val="none"/>
        </w:rPr>
        <w:t>　　质量保修期自工程竣工验收合格之日起计算。</w:t>
      </w:r>
    </w:p>
    <w:p w14:paraId="5C5DE56F">
      <w:pPr>
        <w:spacing w:line="400" w:lineRule="exact"/>
        <w:ind w:firstLine="560" w:firstLineChars="200"/>
        <w:rPr>
          <w:rFonts w:eastAsia="黑体"/>
          <w:color w:val="auto"/>
          <w:sz w:val="28"/>
          <w:szCs w:val="28"/>
          <w:highlight w:val="none"/>
        </w:rPr>
      </w:pPr>
      <w:r>
        <w:rPr>
          <w:rFonts w:eastAsia="黑体"/>
          <w:color w:val="auto"/>
          <w:sz w:val="28"/>
          <w:szCs w:val="28"/>
          <w:highlight w:val="none"/>
        </w:rPr>
        <w:t>三、缺陷责任期</w:t>
      </w:r>
    </w:p>
    <w:p w14:paraId="1937B88E">
      <w:pPr>
        <w:spacing w:line="400" w:lineRule="exact"/>
        <w:ind w:firstLine="560" w:firstLineChars="200"/>
        <w:rPr>
          <w:rFonts w:eastAsia="仿宋_GB2312"/>
          <w:color w:val="auto"/>
          <w:sz w:val="28"/>
          <w:szCs w:val="28"/>
          <w:highlight w:val="none"/>
        </w:rPr>
      </w:pPr>
      <w:r>
        <w:rPr>
          <w:rFonts w:eastAsia="仿宋_GB2312"/>
          <w:color w:val="auto"/>
          <w:sz w:val="28"/>
          <w:szCs w:val="28"/>
          <w:highlight w:val="none"/>
        </w:rPr>
        <w:t>工程缺陷责任期为</w:t>
      </w:r>
      <w:r>
        <w:rPr>
          <w:rFonts w:hint="eastAsia" w:eastAsia="仿宋_GB2312"/>
          <w:color w:val="auto"/>
          <w:sz w:val="28"/>
          <w:szCs w:val="28"/>
          <w:highlight w:val="none"/>
          <w:u w:val="single"/>
        </w:rPr>
        <w:t>24</w:t>
      </w:r>
      <w:r>
        <w:rPr>
          <w:rFonts w:eastAsia="仿宋_GB2312"/>
          <w:color w:val="auto"/>
          <w:sz w:val="28"/>
          <w:szCs w:val="28"/>
          <w:highlight w:val="none"/>
        </w:rPr>
        <w:t>个月，缺陷责任期自</w:t>
      </w:r>
      <w:r>
        <w:rPr>
          <w:rFonts w:hint="eastAsia" w:eastAsia="仿宋_GB2312"/>
          <w:color w:val="auto"/>
          <w:sz w:val="28"/>
          <w:szCs w:val="28"/>
          <w:highlight w:val="none"/>
        </w:rPr>
        <w:t>工程竣工验收合格之日</w:t>
      </w:r>
      <w:r>
        <w:rPr>
          <w:rFonts w:eastAsia="仿宋_GB2312"/>
          <w:color w:val="auto"/>
          <w:sz w:val="28"/>
          <w:szCs w:val="28"/>
          <w:highlight w:val="none"/>
        </w:rPr>
        <w:t>起计算。单位工程先于全部工程进行验收，单位工程缺陷责任期自单位工程</w:t>
      </w:r>
      <w:r>
        <w:rPr>
          <w:rFonts w:hint="eastAsia" w:eastAsia="仿宋_GB2312"/>
          <w:color w:val="auto"/>
          <w:sz w:val="28"/>
          <w:szCs w:val="28"/>
          <w:highlight w:val="none"/>
        </w:rPr>
        <w:t>验收合格之日期</w:t>
      </w:r>
      <w:r>
        <w:rPr>
          <w:rFonts w:eastAsia="仿宋_GB2312"/>
          <w:color w:val="auto"/>
          <w:sz w:val="28"/>
          <w:szCs w:val="28"/>
          <w:highlight w:val="none"/>
        </w:rPr>
        <w:t>起算。</w:t>
      </w:r>
    </w:p>
    <w:p w14:paraId="09AFE247">
      <w:pPr>
        <w:spacing w:line="400" w:lineRule="exact"/>
        <w:ind w:firstLine="560" w:firstLineChars="200"/>
        <w:rPr>
          <w:rFonts w:eastAsia="仿宋_GB2312"/>
          <w:color w:val="auto"/>
          <w:sz w:val="28"/>
          <w:szCs w:val="28"/>
          <w:highlight w:val="none"/>
        </w:rPr>
      </w:pPr>
      <w:r>
        <w:rPr>
          <w:rFonts w:eastAsia="仿宋_GB2312"/>
          <w:color w:val="auto"/>
          <w:sz w:val="28"/>
          <w:szCs w:val="28"/>
          <w:highlight w:val="none"/>
        </w:rPr>
        <w:t>缺陷责任期终止后，发包人应退还剩余的质量保证金。</w:t>
      </w:r>
    </w:p>
    <w:p w14:paraId="3B88643B">
      <w:pPr>
        <w:spacing w:line="400" w:lineRule="exact"/>
        <w:rPr>
          <w:rFonts w:eastAsia="黑体"/>
          <w:color w:val="auto"/>
          <w:sz w:val="28"/>
          <w:szCs w:val="28"/>
          <w:highlight w:val="none"/>
        </w:rPr>
      </w:pPr>
      <w:r>
        <w:rPr>
          <w:rFonts w:eastAsia="黑体"/>
          <w:color w:val="auto"/>
          <w:sz w:val="28"/>
          <w:szCs w:val="28"/>
          <w:highlight w:val="none"/>
        </w:rPr>
        <w:t xml:space="preserve">    四、质量保修责任</w:t>
      </w:r>
    </w:p>
    <w:p w14:paraId="7A7A0C3D">
      <w:pPr>
        <w:spacing w:line="400" w:lineRule="exact"/>
        <w:ind w:firstLine="672" w:firstLineChars="240"/>
        <w:rPr>
          <w:rFonts w:eastAsia="仿宋_GB2312"/>
          <w:color w:val="auto"/>
          <w:sz w:val="28"/>
          <w:szCs w:val="28"/>
          <w:highlight w:val="none"/>
        </w:rPr>
      </w:pPr>
      <w:r>
        <w:rPr>
          <w:rFonts w:hint="eastAsia" w:eastAsia="仿宋_GB2312"/>
          <w:color w:val="auto"/>
          <w:sz w:val="28"/>
          <w:szCs w:val="28"/>
          <w:highlight w:val="none"/>
        </w:rPr>
        <w:t>1</w:t>
      </w:r>
      <w:r>
        <w:rPr>
          <w:rFonts w:hint="eastAsia" w:ascii="仿宋_GB2312" w:eastAsia="仿宋_GB2312"/>
          <w:color w:val="auto"/>
          <w:sz w:val="28"/>
          <w:szCs w:val="28"/>
          <w:highlight w:val="none"/>
        </w:rPr>
        <w:t>．</w:t>
      </w:r>
      <w:r>
        <w:rPr>
          <w:rFonts w:eastAsia="仿宋_GB2312"/>
          <w:color w:val="auto"/>
          <w:sz w:val="28"/>
          <w:szCs w:val="28"/>
          <w:highlight w:val="none"/>
        </w:rPr>
        <w:t>属于保修范围、内容的项目，承包人应当在接到保修通知之日起7天内派人保修。承包人不在约定期限内派人保修的，发包人可以委托他人修理。</w:t>
      </w:r>
    </w:p>
    <w:p w14:paraId="37347413">
      <w:pPr>
        <w:spacing w:line="400" w:lineRule="exact"/>
        <w:ind w:left="105" w:leftChars="50" w:firstLine="574" w:firstLineChars="205"/>
        <w:rPr>
          <w:rFonts w:eastAsia="仿宋_GB2312"/>
          <w:color w:val="auto"/>
          <w:sz w:val="28"/>
          <w:szCs w:val="28"/>
          <w:highlight w:val="none"/>
        </w:rPr>
      </w:pPr>
      <w:r>
        <w:rPr>
          <w:rFonts w:hint="eastAsia" w:eastAsia="仿宋_GB2312"/>
          <w:color w:val="auto"/>
          <w:sz w:val="28"/>
          <w:szCs w:val="28"/>
          <w:highlight w:val="none"/>
        </w:rPr>
        <w:t>2</w:t>
      </w:r>
      <w:r>
        <w:rPr>
          <w:rFonts w:hint="eastAsia" w:ascii="仿宋_GB2312" w:eastAsia="仿宋_GB2312"/>
          <w:color w:val="auto"/>
          <w:sz w:val="28"/>
          <w:szCs w:val="28"/>
          <w:highlight w:val="none"/>
        </w:rPr>
        <w:t>．</w:t>
      </w:r>
      <w:r>
        <w:rPr>
          <w:rFonts w:eastAsia="仿宋_GB2312"/>
          <w:color w:val="auto"/>
          <w:sz w:val="28"/>
          <w:szCs w:val="28"/>
          <w:highlight w:val="none"/>
        </w:rPr>
        <w:t>发生紧急事故需抢修的，承包人在接到事故通知后，应当立即到达事故现场抢修。</w:t>
      </w:r>
    </w:p>
    <w:p w14:paraId="7255D6BD">
      <w:pPr>
        <w:spacing w:line="400" w:lineRule="exact"/>
        <w:ind w:left="105" w:leftChars="50" w:firstLine="574" w:firstLineChars="205"/>
        <w:rPr>
          <w:rFonts w:eastAsia="仿宋_GB2312"/>
          <w:color w:val="auto"/>
          <w:sz w:val="28"/>
          <w:szCs w:val="28"/>
          <w:highlight w:val="none"/>
        </w:rPr>
      </w:pPr>
      <w:r>
        <w:rPr>
          <w:rFonts w:hint="eastAsia" w:eastAsia="仿宋_GB2312"/>
          <w:color w:val="auto"/>
          <w:sz w:val="28"/>
          <w:szCs w:val="28"/>
          <w:highlight w:val="none"/>
        </w:rPr>
        <w:t>3</w:t>
      </w:r>
      <w:r>
        <w:rPr>
          <w:rFonts w:hint="eastAsia" w:ascii="仿宋_GB2312" w:eastAsia="仿宋_GB2312"/>
          <w:color w:val="auto"/>
          <w:sz w:val="28"/>
          <w:szCs w:val="28"/>
          <w:highlight w:val="none"/>
        </w:rPr>
        <w:t>．</w:t>
      </w:r>
      <w:r>
        <w:rPr>
          <w:rFonts w:eastAsia="仿宋_GB2312"/>
          <w:color w:val="auto"/>
          <w:sz w:val="28"/>
          <w:szCs w:val="28"/>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21C08B2">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4</w:t>
      </w:r>
      <w:r>
        <w:rPr>
          <w:rFonts w:hint="eastAsia" w:ascii="仿宋_GB2312" w:eastAsia="仿宋_GB2312"/>
          <w:color w:val="auto"/>
          <w:sz w:val="28"/>
          <w:szCs w:val="28"/>
          <w:highlight w:val="none"/>
        </w:rPr>
        <w:t>．</w:t>
      </w:r>
      <w:r>
        <w:rPr>
          <w:rFonts w:eastAsia="仿宋_GB2312"/>
          <w:color w:val="auto"/>
          <w:sz w:val="28"/>
          <w:szCs w:val="28"/>
          <w:highlight w:val="none"/>
        </w:rPr>
        <w:t>质量保修完成后，由发包人组织验收。</w:t>
      </w:r>
    </w:p>
    <w:p w14:paraId="68866E34">
      <w:pPr>
        <w:spacing w:line="400" w:lineRule="exact"/>
        <w:rPr>
          <w:rFonts w:eastAsia="黑体"/>
          <w:color w:val="auto"/>
          <w:sz w:val="28"/>
          <w:szCs w:val="28"/>
          <w:highlight w:val="none"/>
        </w:rPr>
      </w:pPr>
      <w:r>
        <w:rPr>
          <w:rFonts w:eastAsia="黑体"/>
          <w:color w:val="auto"/>
          <w:sz w:val="28"/>
          <w:szCs w:val="28"/>
          <w:highlight w:val="none"/>
        </w:rPr>
        <w:t>　　五、保修费用</w:t>
      </w:r>
    </w:p>
    <w:p w14:paraId="083E9D0E">
      <w:pPr>
        <w:spacing w:line="400" w:lineRule="exact"/>
        <w:rPr>
          <w:rFonts w:eastAsia="仿宋_GB2312"/>
          <w:color w:val="auto"/>
          <w:sz w:val="28"/>
          <w:szCs w:val="28"/>
          <w:highlight w:val="none"/>
        </w:rPr>
      </w:pPr>
      <w:r>
        <w:rPr>
          <w:rFonts w:eastAsia="仿宋_GB2312"/>
          <w:color w:val="auto"/>
          <w:sz w:val="28"/>
          <w:szCs w:val="28"/>
          <w:highlight w:val="none"/>
        </w:rPr>
        <w:t>　　保修费用由造成质量缺陷的责任方承担。</w:t>
      </w:r>
    </w:p>
    <w:p w14:paraId="651BE598">
      <w:pPr>
        <w:spacing w:line="400" w:lineRule="exact"/>
        <w:ind w:firstLine="600"/>
        <w:rPr>
          <w:rFonts w:eastAsia="仿宋_GB2312"/>
          <w:color w:val="auto"/>
          <w:sz w:val="28"/>
          <w:szCs w:val="28"/>
          <w:highlight w:val="none"/>
        </w:rPr>
      </w:pPr>
      <w:r>
        <w:rPr>
          <w:rFonts w:eastAsia="黑体"/>
          <w:b/>
          <w:color w:val="auto"/>
          <w:sz w:val="28"/>
          <w:szCs w:val="28"/>
          <w:highlight w:val="none"/>
        </w:rPr>
        <w:t>六</w:t>
      </w:r>
      <w:r>
        <w:rPr>
          <w:rFonts w:eastAsia="黑体"/>
          <w:color w:val="auto"/>
          <w:sz w:val="28"/>
          <w:szCs w:val="28"/>
          <w:highlight w:val="none"/>
        </w:rPr>
        <w:t>、双方约定的其他工程质量保修事项</w:t>
      </w:r>
      <w:r>
        <w:rPr>
          <w:rFonts w:eastAsia="仿宋_GB2312"/>
          <w:color w:val="auto"/>
          <w:sz w:val="28"/>
          <w:szCs w:val="28"/>
          <w:highlight w:val="none"/>
        </w:rPr>
        <w:t>：</w:t>
      </w:r>
      <w:r>
        <w:rPr>
          <w:rFonts w:hint="eastAsia" w:eastAsia="仿宋_GB2312"/>
          <w:color w:val="auto"/>
          <w:sz w:val="24"/>
          <w:highlight w:val="none"/>
          <w:u w:val="single"/>
        </w:rPr>
        <w:t xml:space="preserve">   /    </w:t>
      </w:r>
      <w:r>
        <w:rPr>
          <w:rFonts w:eastAsia="仿宋_GB2312"/>
          <w:color w:val="auto"/>
          <w:sz w:val="28"/>
          <w:szCs w:val="28"/>
          <w:highlight w:val="none"/>
        </w:rPr>
        <w:t>。</w:t>
      </w:r>
    </w:p>
    <w:p w14:paraId="7A43EB4E">
      <w:pPr>
        <w:spacing w:line="400" w:lineRule="exact"/>
        <w:ind w:firstLine="532" w:firstLineChars="190"/>
        <w:rPr>
          <w:rFonts w:eastAsia="仿宋_GB2312"/>
          <w:color w:val="auto"/>
          <w:sz w:val="28"/>
          <w:szCs w:val="28"/>
          <w:highlight w:val="none"/>
        </w:rPr>
      </w:pPr>
      <w:r>
        <w:rPr>
          <w:rFonts w:eastAsia="仿宋_GB2312"/>
          <w:color w:val="auto"/>
          <w:sz w:val="28"/>
          <w:szCs w:val="28"/>
          <w:highlight w:val="none"/>
        </w:rPr>
        <w:t>工程质量保修书由发包人、承包人在工程竣工验收前共同签署，作为施工合同附件，其有效期限至保修期满。</w:t>
      </w:r>
    </w:p>
    <w:p w14:paraId="1AA70F8A">
      <w:pPr>
        <w:spacing w:line="400" w:lineRule="exact"/>
        <w:ind w:firstLine="420"/>
        <w:rPr>
          <w:rFonts w:eastAsia="仿宋_GB2312"/>
          <w:color w:val="auto"/>
          <w:sz w:val="28"/>
          <w:szCs w:val="28"/>
          <w:highlight w:val="none"/>
        </w:rPr>
      </w:pPr>
    </w:p>
    <w:p w14:paraId="160BF2E2">
      <w:pPr>
        <w:adjustRightInd/>
        <w:spacing w:line="300" w:lineRule="auto"/>
        <w:rPr>
          <w:rFonts w:hint="eastAsia" w:ascii="仿宋" w:hAnsi="仿宋" w:eastAsia="仿宋" w:cs="仿宋"/>
          <w:snapToGrid w:val="0"/>
          <w:color w:val="auto"/>
          <w:kern w:val="0"/>
          <w:sz w:val="28"/>
          <w:szCs w:val="28"/>
          <w:highlight w:val="none"/>
        </w:rPr>
      </w:pPr>
      <w:r>
        <w:rPr>
          <w:rFonts w:hint="eastAsia" w:ascii="仿宋" w:hAnsi="仿宋" w:eastAsia="仿宋" w:cs="仿宋"/>
          <w:snapToGrid w:val="0"/>
          <w:color w:val="auto"/>
          <w:kern w:val="0"/>
          <w:sz w:val="28"/>
          <w:szCs w:val="28"/>
          <w:highlight w:val="none"/>
        </w:rPr>
        <w:t>发包人(公章)：</w:t>
      </w:r>
      <w:r>
        <w:rPr>
          <w:rFonts w:hint="eastAsia" w:ascii="仿宋" w:hAnsi="仿宋" w:eastAsia="仿宋" w:cs="仿宋"/>
          <w:snapToGrid w:val="0"/>
          <w:color w:val="auto"/>
          <w:kern w:val="0"/>
          <w:sz w:val="28"/>
          <w:szCs w:val="28"/>
          <w:highlight w:val="none"/>
          <w:u w:val="single"/>
        </w:rPr>
        <w:t xml:space="preserve"> </w:t>
      </w:r>
      <w:bookmarkStart w:id="1008" w:name="SOA_zyht_fbr"/>
      <w:r>
        <w:rPr>
          <w:rFonts w:hint="eastAsia" w:ascii="仿宋" w:hAnsi="仿宋" w:eastAsia="仿宋" w:cs="仿宋"/>
          <w:snapToGrid w:val="0"/>
          <w:color w:val="auto"/>
          <w:kern w:val="0"/>
          <w:sz w:val="28"/>
          <w:szCs w:val="28"/>
          <w:highlight w:val="none"/>
          <w:u w:val="single"/>
        </w:rPr>
        <w:t xml:space="preserve">      </w:t>
      </w:r>
      <w:bookmarkEnd w:id="1008"/>
      <w:r>
        <w:rPr>
          <w:rFonts w:hint="eastAsia" w:ascii="仿宋" w:hAnsi="仿宋" w:eastAsia="仿宋" w:cs="仿宋"/>
          <w:snapToGrid w:val="0"/>
          <w:color w:val="auto"/>
          <w:kern w:val="0"/>
          <w:sz w:val="28"/>
          <w:szCs w:val="28"/>
          <w:highlight w:val="none"/>
          <w:u w:val="single"/>
        </w:rPr>
        <w:t></w:t>
      </w:r>
      <w:r>
        <w:rPr>
          <w:rFonts w:hint="eastAsia" w:ascii="仿宋" w:hAnsi="仿宋" w:eastAsia="仿宋" w:cs="仿宋"/>
          <w:snapToGrid w:val="0"/>
          <w:color w:val="auto"/>
          <w:kern w:val="0"/>
          <w:sz w:val="28"/>
          <w:szCs w:val="28"/>
          <w:highlight w:val="none"/>
        </w:rPr>
        <w:t xml:space="preserve">              承包人(公章)：</w:t>
      </w:r>
      <w:r>
        <w:rPr>
          <w:rFonts w:hint="eastAsia" w:ascii="仿宋" w:hAnsi="仿宋" w:eastAsia="仿宋" w:cs="仿宋"/>
          <w:snapToGrid w:val="0"/>
          <w:color w:val="auto"/>
          <w:kern w:val="0"/>
          <w:sz w:val="28"/>
          <w:szCs w:val="28"/>
          <w:highlight w:val="none"/>
          <w:u w:val="single"/>
        </w:rPr>
        <w:t></w:t>
      </w:r>
      <w:bookmarkStart w:id="1009" w:name="SOA_zyht_cbr"/>
      <w:r>
        <w:rPr>
          <w:rFonts w:hint="eastAsia" w:ascii="仿宋" w:hAnsi="仿宋" w:eastAsia="仿宋" w:cs="仿宋"/>
          <w:snapToGrid w:val="0"/>
          <w:color w:val="auto"/>
          <w:kern w:val="0"/>
          <w:sz w:val="28"/>
          <w:szCs w:val="28"/>
          <w:highlight w:val="none"/>
          <w:u w:val="single"/>
        </w:rPr>
        <w:t xml:space="preserve">       </w:t>
      </w:r>
      <w:bookmarkEnd w:id="1009"/>
      <w:r>
        <w:rPr>
          <w:rFonts w:hint="eastAsia" w:ascii="仿宋" w:hAnsi="仿宋" w:eastAsia="仿宋" w:cs="仿宋"/>
          <w:snapToGrid w:val="0"/>
          <w:color w:val="auto"/>
          <w:kern w:val="0"/>
          <w:sz w:val="28"/>
          <w:szCs w:val="28"/>
          <w:highlight w:val="none"/>
          <w:u w:val="single"/>
        </w:rPr>
        <w:t xml:space="preserve">  </w:t>
      </w:r>
    </w:p>
    <w:p w14:paraId="63718218">
      <w:pPr>
        <w:adjustRightInd/>
        <w:spacing w:line="300" w:lineRule="auto"/>
        <w:rPr>
          <w:rFonts w:hint="eastAsia" w:ascii="仿宋" w:hAnsi="仿宋" w:eastAsia="仿宋" w:cs="仿宋"/>
          <w:snapToGrid w:val="0"/>
          <w:color w:val="auto"/>
          <w:kern w:val="0"/>
          <w:sz w:val="28"/>
          <w:szCs w:val="28"/>
          <w:highlight w:val="none"/>
        </w:rPr>
      </w:pPr>
      <w:r>
        <w:rPr>
          <w:rFonts w:hint="eastAsia" w:ascii="仿宋" w:hAnsi="仿宋" w:eastAsia="仿宋" w:cs="仿宋"/>
          <w:snapToGrid w:val="0"/>
          <w:color w:val="auto"/>
          <w:kern w:val="0"/>
          <w:sz w:val="28"/>
          <w:szCs w:val="28"/>
          <w:highlight w:val="none"/>
        </w:rPr>
        <w:t>地  址：</w:t>
      </w:r>
      <w:r>
        <w:rPr>
          <w:rFonts w:hint="eastAsia" w:ascii="仿宋" w:hAnsi="仿宋" w:eastAsia="仿宋" w:cs="仿宋"/>
          <w:snapToGrid w:val="0"/>
          <w:color w:val="auto"/>
          <w:kern w:val="0"/>
          <w:sz w:val="28"/>
          <w:szCs w:val="28"/>
          <w:highlight w:val="none"/>
          <w:u w:val="single"/>
        </w:rPr>
        <w:t xml:space="preserve"> </w:t>
      </w:r>
      <w:bookmarkStart w:id="1010" w:name="SOA_zyht_fbrdz"/>
      <w:r>
        <w:rPr>
          <w:rFonts w:hint="eastAsia" w:ascii="仿宋" w:hAnsi="仿宋" w:eastAsia="仿宋" w:cs="仿宋"/>
          <w:snapToGrid w:val="0"/>
          <w:color w:val="auto"/>
          <w:kern w:val="0"/>
          <w:sz w:val="28"/>
          <w:szCs w:val="28"/>
          <w:highlight w:val="none"/>
          <w:u w:val="single"/>
        </w:rPr>
        <w:t xml:space="preserve">     </w:t>
      </w:r>
      <w:bookmarkEnd w:id="1010"/>
      <w:r>
        <w:rPr>
          <w:rFonts w:hint="eastAsia" w:ascii="仿宋" w:hAnsi="仿宋" w:eastAsia="仿宋" w:cs="仿宋"/>
          <w:snapToGrid w:val="0"/>
          <w:color w:val="auto"/>
          <w:kern w:val="0"/>
          <w:sz w:val="28"/>
          <w:szCs w:val="28"/>
          <w:highlight w:val="none"/>
          <w:u w:val="single"/>
        </w:rPr>
        <w:t></w:t>
      </w:r>
      <w:r>
        <w:rPr>
          <w:rFonts w:hint="eastAsia" w:ascii="仿宋" w:hAnsi="仿宋" w:eastAsia="仿宋" w:cs="仿宋"/>
          <w:snapToGrid w:val="0"/>
          <w:color w:val="auto"/>
          <w:kern w:val="0"/>
          <w:sz w:val="28"/>
          <w:szCs w:val="28"/>
          <w:highlight w:val="none"/>
        </w:rPr>
        <w:t xml:space="preserve">                     地  址：</w:t>
      </w:r>
      <w:r>
        <w:rPr>
          <w:rFonts w:hint="eastAsia" w:ascii="仿宋" w:hAnsi="仿宋" w:eastAsia="仿宋" w:cs="仿宋"/>
          <w:snapToGrid w:val="0"/>
          <w:color w:val="auto"/>
          <w:kern w:val="0"/>
          <w:sz w:val="28"/>
          <w:szCs w:val="28"/>
          <w:highlight w:val="none"/>
          <w:u w:val="single"/>
        </w:rPr>
        <w:t></w:t>
      </w:r>
      <w:bookmarkStart w:id="1011" w:name="SOA_zyht_cbrdz"/>
      <w:r>
        <w:rPr>
          <w:rFonts w:hint="eastAsia" w:ascii="仿宋" w:hAnsi="仿宋" w:eastAsia="仿宋" w:cs="仿宋"/>
          <w:snapToGrid w:val="0"/>
          <w:color w:val="auto"/>
          <w:kern w:val="0"/>
          <w:sz w:val="28"/>
          <w:szCs w:val="28"/>
          <w:highlight w:val="none"/>
          <w:u w:val="single"/>
        </w:rPr>
        <w:t xml:space="preserve">      </w:t>
      </w:r>
      <w:bookmarkEnd w:id="1011"/>
      <w:r>
        <w:rPr>
          <w:rFonts w:hint="eastAsia" w:ascii="仿宋" w:hAnsi="仿宋" w:eastAsia="仿宋" w:cs="仿宋"/>
          <w:snapToGrid w:val="0"/>
          <w:color w:val="auto"/>
          <w:kern w:val="0"/>
          <w:sz w:val="28"/>
          <w:szCs w:val="28"/>
          <w:highlight w:val="none"/>
          <w:u w:val="single"/>
        </w:rPr>
        <w:t></w:t>
      </w:r>
    </w:p>
    <w:p w14:paraId="1498C330">
      <w:pPr>
        <w:adjustRightInd/>
        <w:spacing w:line="300" w:lineRule="auto"/>
        <w:rPr>
          <w:rFonts w:hint="eastAsia" w:ascii="仿宋" w:hAnsi="仿宋" w:eastAsia="仿宋" w:cs="仿宋"/>
          <w:snapToGrid w:val="0"/>
          <w:color w:val="auto"/>
          <w:kern w:val="0"/>
          <w:sz w:val="28"/>
          <w:szCs w:val="28"/>
          <w:highlight w:val="none"/>
        </w:rPr>
      </w:pPr>
      <w:r>
        <w:rPr>
          <w:rFonts w:hint="eastAsia" w:ascii="仿宋" w:hAnsi="仿宋" w:eastAsia="仿宋" w:cs="仿宋"/>
          <w:snapToGrid w:val="0"/>
          <w:color w:val="auto"/>
          <w:kern w:val="0"/>
          <w:sz w:val="28"/>
          <w:szCs w:val="28"/>
          <w:highlight w:val="none"/>
        </w:rPr>
        <w:t>法定代表人(签字)：</w:t>
      </w:r>
      <w:bookmarkStart w:id="1012" w:name="SOA_zyht_fddbr1"/>
      <w:r>
        <w:rPr>
          <w:rFonts w:hint="eastAsia" w:ascii="仿宋" w:hAnsi="仿宋" w:eastAsia="仿宋" w:cs="仿宋"/>
          <w:snapToGrid w:val="0"/>
          <w:color w:val="auto"/>
          <w:kern w:val="0"/>
          <w:sz w:val="28"/>
          <w:szCs w:val="28"/>
          <w:highlight w:val="none"/>
          <w:u w:val="single"/>
        </w:rPr>
        <w:t xml:space="preserve">      </w:t>
      </w:r>
      <w:bookmarkEnd w:id="1012"/>
      <w:r>
        <w:rPr>
          <w:rFonts w:hint="eastAsia" w:ascii="仿宋" w:hAnsi="仿宋" w:eastAsia="仿宋" w:cs="仿宋"/>
          <w:snapToGrid w:val="0"/>
          <w:color w:val="auto"/>
          <w:kern w:val="0"/>
          <w:sz w:val="28"/>
          <w:szCs w:val="28"/>
          <w:highlight w:val="none"/>
          <w:u w:val="single"/>
        </w:rPr>
        <w:t xml:space="preserve">  </w:t>
      </w:r>
      <w:r>
        <w:rPr>
          <w:rFonts w:hint="eastAsia" w:ascii="仿宋" w:hAnsi="仿宋" w:eastAsia="仿宋" w:cs="仿宋"/>
          <w:snapToGrid w:val="0"/>
          <w:color w:val="auto"/>
          <w:kern w:val="0"/>
          <w:sz w:val="28"/>
          <w:szCs w:val="28"/>
          <w:highlight w:val="none"/>
        </w:rPr>
        <w:t xml:space="preserve">           法定代表人(签字)：</w:t>
      </w:r>
      <w:bookmarkStart w:id="1013" w:name="SOA_zyht_fddbr2"/>
      <w:r>
        <w:rPr>
          <w:rFonts w:hint="eastAsia" w:ascii="仿宋" w:hAnsi="仿宋" w:eastAsia="仿宋" w:cs="仿宋"/>
          <w:snapToGrid w:val="0"/>
          <w:color w:val="auto"/>
          <w:kern w:val="0"/>
          <w:sz w:val="28"/>
          <w:szCs w:val="28"/>
          <w:highlight w:val="none"/>
          <w:u w:val="single"/>
        </w:rPr>
        <w:t xml:space="preserve">      </w:t>
      </w:r>
      <w:bookmarkEnd w:id="1013"/>
      <w:r>
        <w:rPr>
          <w:rFonts w:hint="eastAsia" w:ascii="仿宋" w:hAnsi="仿宋" w:eastAsia="仿宋" w:cs="仿宋"/>
          <w:snapToGrid w:val="0"/>
          <w:color w:val="auto"/>
          <w:kern w:val="0"/>
          <w:sz w:val="28"/>
          <w:szCs w:val="28"/>
          <w:highlight w:val="none"/>
          <w:u w:val="single"/>
        </w:rPr>
        <w:t xml:space="preserve">  </w:t>
      </w:r>
    </w:p>
    <w:p w14:paraId="4384D491">
      <w:pPr>
        <w:adjustRightInd/>
        <w:spacing w:line="300" w:lineRule="auto"/>
        <w:rPr>
          <w:rFonts w:hint="eastAsia" w:ascii="仿宋" w:hAnsi="仿宋" w:eastAsia="仿宋" w:cs="仿宋"/>
          <w:snapToGrid w:val="0"/>
          <w:color w:val="auto"/>
          <w:kern w:val="0"/>
          <w:sz w:val="28"/>
          <w:szCs w:val="28"/>
          <w:highlight w:val="none"/>
        </w:rPr>
      </w:pPr>
      <w:r>
        <w:rPr>
          <w:rFonts w:hint="eastAsia" w:ascii="仿宋" w:hAnsi="仿宋" w:eastAsia="仿宋" w:cs="仿宋"/>
          <w:snapToGrid w:val="0"/>
          <w:color w:val="auto"/>
          <w:kern w:val="0"/>
          <w:sz w:val="28"/>
          <w:szCs w:val="28"/>
          <w:highlight w:val="none"/>
        </w:rPr>
        <w:t>委托代理人(签字)：</w:t>
      </w:r>
      <w:bookmarkStart w:id="1014" w:name="SOA_zyht_wtdlr1"/>
      <w:r>
        <w:rPr>
          <w:rFonts w:hint="eastAsia" w:ascii="仿宋" w:hAnsi="仿宋" w:eastAsia="仿宋" w:cs="仿宋"/>
          <w:snapToGrid w:val="0"/>
          <w:color w:val="auto"/>
          <w:kern w:val="0"/>
          <w:sz w:val="28"/>
          <w:szCs w:val="28"/>
          <w:highlight w:val="none"/>
          <w:u w:val="single"/>
        </w:rPr>
        <w:t xml:space="preserve">      </w:t>
      </w:r>
      <w:bookmarkEnd w:id="1014"/>
      <w:r>
        <w:rPr>
          <w:rFonts w:hint="eastAsia" w:ascii="仿宋" w:hAnsi="仿宋" w:eastAsia="仿宋" w:cs="仿宋"/>
          <w:snapToGrid w:val="0"/>
          <w:color w:val="auto"/>
          <w:kern w:val="0"/>
          <w:sz w:val="28"/>
          <w:szCs w:val="28"/>
          <w:highlight w:val="none"/>
          <w:u w:val="single"/>
        </w:rPr>
        <w:t xml:space="preserve">  </w:t>
      </w:r>
      <w:r>
        <w:rPr>
          <w:rFonts w:hint="eastAsia" w:ascii="仿宋" w:hAnsi="仿宋" w:eastAsia="仿宋" w:cs="仿宋"/>
          <w:snapToGrid w:val="0"/>
          <w:color w:val="auto"/>
          <w:kern w:val="0"/>
          <w:sz w:val="28"/>
          <w:szCs w:val="28"/>
          <w:highlight w:val="none"/>
        </w:rPr>
        <w:t xml:space="preserve">           委托代理人(签字)：</w:t>
      </w:r>
      <w:bookmarkStart w:id="1015" w:name="SOA_zyht_wtdlr2"/>
      <w:r>
        <w:rPr>
          <w:rFonts w:hint="eastAsia" w:ascii="仿宋" w:hAnsi="仿宋" w:eastAsia="仿宋" w:cs="仿宋"/>
          <w:snapToGrid w:val="0"/>
          <w:color w:val="auto"/>
          <w:kern w:val="0"/>
          <w:sz w:val="28"/>
          <w:szCs w:val="28"/>
          <w:highlight w:val="none"/>
          <w:u w:val="single"/>
        </w:rPr>
        <w:t xml:space="preserve">      </w:t>
      </w:r>
      <w:bookmarkEnd w:id="1015"/>
      <w:r>
        <w:rPr>
          <w:rFonts w:hint="eastAsia" w:ascii="仿宋" w:hAnsi="仿宋" w:eastAsia="仿宋" w:cs="仿宋"/>
          <w:snapToGrid w:val="0"/>
          <w:color w:val="auto"/>
          <w:kern w:val="0"/>
          <w:sz w:val="28"/>
          <w:szCs w:val="28"/>
          <w:highlight w:val="none"/>
          <w:u w:val="single"/>
        </w:rPr>
        <w:t xml:space="preserve">  </w:t>
      </w:r>
    </w:p>
    <w:p w14:paraId="59DB8721">
      <w:pPr>
        <w:adjustRightInd/>
        <w:spacing w:line="300" w:lineRule="auto"/>
        <w:rPr>
          <w:rFonts w:hint="eastAsia" w:ascii="仿宋" w:hAnsi="仿宋" w:eastAsia="仿宋" w:cs="仿宋"/>
          <w:snapToGrid w:val="0"/>
          <w:color w:val="auto"/>
          <w:kern w:val="0"/>
          <w:sz w:val="28"/>
          <w:szCs w:val="28"/>
          <w:highlight w:val="none"/>
        </w:rPr>
      </w:pPr>
      <w:r>
        <w:rPr>
          <w:rFonts w:hint="eastAsia" w:ascii="仿宋" w:hAnsi="仿宋" w:eastAsia="仿宋" w:cs="仿宋"/>
          <w:snapToGrid w:val="0"/>
          <w:color w:val="auto"/>
          <w:kern w:val="0"/>
          <w:sz w:val="28"/>
          <w:szCs w:val="28"/>
          <w:highlight w:val="none"/>
        </w:rPr>
        <w:t>电  话：</w:t>
      </w:r>
      <w:r>
        <w:rPr>
          <w:rFonts w:hint="eastAsia" w:ascii="仿宋" w:hAnsi="仿宋" w:eastAsia="仿宋" w:cs="仿宋"/>
          <w:snapToGrid w:val="0"/>
          <w:color w:val="auto"/>
          <w:kern w:val="0"/>
          <w:sz w:val="28"/>
          <w:szCs w:val="28"/>
          <w:highlight w:val="none"/>
          <w:u w:val="single"/>
        </w:rPr>
        <w:t></w:t>
      </w:r>
      <w:bookmarkStart w:id="1016" w:name="SOA_zyht_fbrdh1"/>
      <w:r>
        <w:rPr>
          <w:rFonts w:hint="eastAsia" w:ascii="仿宋" w:hAnsi="仿宋" w:eastAsia="仿宋" w:cs="仿宋"/>
          <w:snapToGrid w:val="0"/>
          <w:color w:val="auto"/>
          <w:kern w:val="0"/>
          <w:sz w:val="28"/>
          <w:szCs w:val="28"/>
          <w:highlight w:val="none"/>
          <w:u w:val="single"/>
        </w:rPr>
        <w:t xml:space="preserve">      </w:t>
      </w:r>
      <w:bookmarkEnd w:id="1016"/>
      <w:r>
        <w:rPr>
          <w:rFonts w:hint="eastAsia" w:ascii="仿宋" w:hAnsi="仿宋" w:eastAsia="仿宋" w:cs="仿宋"/>
          <w:snapToGrid w:val="0"/>
          <w:color w:val="auto"/>
          <w:kern w:val="0"/>
          <w:sz w:val="28"/>
          <w:szCs w:val="28"/>
          <w:highlight w:val="none"/>
          <w:u w:val="single"/>
        </w:rPr>
        <w:t xml:space="preserve">  </w:t>
      </w:r>
      <w:r>
        <w:rPr>
          <w:rFonts w:hint="eastAsia" w:ascii="仿宋" w:hAnsi="仿宋" w:eastAsia="仿宋" w:cs="仿宋"/>
          <w:snapToGrid w:val="0"/>
          <w:color w:val="auto"/>
          <w:kern w:val="0"/>
          <w:sz w:val="28"/>
          <w:szCs w:val="28"/>
          <w:highlight w:val="none"/>
        </w:rPr>
        <w:t xml:space="preserve">                   电  话：</w:t>
      </w:r>
      <w:r>
        <w:rPr>
          <w:rFonts w:hint="eastAsia" w:ascii="仿宋" w:hAnsi="仿宋" w:eastAsia="仿宋" w:cs="仿宋"/>
          <w:snapToGrid w:val="0"/>
          <w:color w:val="auto"/>
          <w:kern w:val="0"/>
          <w:sz w:val="28"/>
          <w:szCs w:val="28"/>
          <w:highlight w:val="none"/>
          <w:u w:val="single"/>
        </w:rPr>
        <w:t></w:t>
      </w:r>
      <w:bookmarkStart w:id="1017" w:name="SOA_zyht_cbrdh"/>
      <w:r>
        <w:rPr>
          <w:rFonts w:hint="eastAsia" w:ascii="仿宋" w:hAnsi="仿宋" w:eastAsia="仿宋" w:cs="仿宋"/>
          <w:snapToGrid w:val="0"/>
          <w:color w:val="auto"/>
          <w:kern w:val="0"/>
          <w:sz w:val="28"/>
          <w:szCs w:val="28"/>
          <w:highlight w:val="none"/>
          <w:u w:val="single"/>
        </w:rPr>
        <w:t xml:space="preserve">      </w:t>
      </w:r>
      <w:bookmarkEnd w:id="1017"/>
      <w:r>
        <w:rPr>
          <w:rFonts w:hint="eastAsia" w:ascii="仿宋" w:hAnsi="仿宋" w:eastAsia="仿宋" w:cs="仿宋"/>
          <w:snapToGrid w:val="0"/>
          <w:color w:val="auto"/>
          <w:kern w:val="0"/>
          <w:sz w:val="28"/>
          <w:szCs w:val="28"/>
          <w:highlight w:val="none"/>
          <w:u w:val="single"/>
        </w:rPr>
        <w:t xml:space="preserve"> </w:t>
      </w:r>
    </w:p>
    <w:p w14:paraId="55DBEFA1">
      <w:pPr>
        <w:adjustRightInd/>
        <w:spacing w:line="300" w:lineRule="auto"/>
        <w:rPr>
          <w:rFonts w:hint="eastAsia" w:ascii="仿宋" w:hAnsi="仿宋" w:eastAsia="仿宋" w:cs="仿宋"/>
          <w:snapToGrid w:val="0"/>
          <w:color w:val="auto"/>
          <w:kern w:val="0"/>
          <w:sz w:val="28"/>
          <w:szCs w:val="28"/>
          <w:highlight w:val="none"/>
        </w:rPr>
      </w:pPr>
      <w:r>
        <w:rPr>
          <w:rFonts w:hint="eastAsia" w:ascii="仿宋" w:hAnsi="仿宋" w:eastAsia="仿宋" w:cs="仿宋"/>
          <w:snapToGrid w:val="0"/>
          <w:color w:val="auto"/>
          <w:kern w:val="0"/>
          <w:sz w:val="28"/>
          <w:szCs w:val="28"/>
          <w:highlight w:val="none"/>
        </w:rPr>
        <w:t>传  真：</w:t>
      </w:r>
      <w:r>
        <w:rPr>
          <w:rFonts w:hint="eastAsia" w:ascii="仿宋" w:hAnsi="仿宋" w:eastAsia="仿宋" w:cs="仿宋"/>
          <w:snapToGrid w:val="0"/>
          <w:color w:val="auto"/>
          <w:kern w:val="0"/>
          <w:sz w:val="28"/>
          <w:szCs w:val="28"/>
          <w:highlight w:val="none"/>
          <w:u w:val="single"/>
        </w:rPr>
        <w:t xml:space="preserve">  </w:t>
      </w:r>
      <w:bookmarkStart w:id="1018" w:name="SOA_zyht_fbrcz"/>
      <w:r>
        <w:rPr>
          <w:rFonts w:hint="eastAsia" w:ascii="仿宋" w:hAnsi="仿宋" w:eastAsia="仿宋" w:cs="仿宋"/>
          <w:snapToGrid w:val="0"/>
          <w:color w:val="auto"/>
          <w:kern w:val="0"/>
          <w:sz w:val="28"/>
          <w:szCs w:val="28"/>
          <w:highlight w:val="none"/>
          <w:u w:val="single"/>
        </w:rPr>
        <w:t xml:space="preserve">      </w:t>
      </w:r>
      <w:bookmarkEnd w:id="1018"/>
      <w:r>
        <w:rPr>
          <w:rFonts w:hint="eastAsia" w:ascii="仿宋" w:hAnsi="仿宋" w:eastAsia="仿宋" w:cs="仿宋"/>
          <w:snapToGrid w:val="0"/>
          <w:color w:val="auto"/>
          <w:kern w:val="0"/>
          <w:sz w:val="28"/>
          <w:szCs w:val="28"/>
          <w:highlight w:val="none"/>
          <w:u w:val="single"/>
        </w:rPr>
        <w:t xml:space="preserve">  </w:t>
      </w:r>
      <w:r>
        <w:rPr>
          <w:rFonts w:hint="eastAsia" w:ascii="仿宋" w:hAnsi="仿宋" w:eastAsia="仿宋" w:cs="仿宋"/>
          <w:snapToGrid w:val="0"/>
          <w:color w:val="auto"/>
          <w:kern w:val="0"/>
          <w:sz w:val="28"/>
          <w:szCs w:val="28"/>
          <w:highlight w:val="none"/>
        </w:rPr>
        <w:t xml:space="preserve">                   传  真：</w:t>
      </w:r>
      <w:r>
        <w:rPr>
          <w:rFonts w:hint="eastAsia" w:ascii="仿宋" w:hAnsi="仿宋" w:eastAsia="仿宋" w:cs="仿宋"/>
          <w:snapToGrid w:val="0"/>
          <w:color w:val="auto"/>
          <w:kern w:val="0"/>
          <w:sz w:val="28"/>
          <w:szCs w:val="28"/>
          <w:highlight w:val="none"/>
          <w:u w:val="single"/>
        </w:rPr>
        <w:t></w:t>
      </w:r>
      <w:bookmarkStart w:id="1019" w:name="SOA_zyht_cbrcz"/>
      <w:r>
        <w:rPr>
          <w:rFonts w:hint="eastAsia" w:ascii="仿宋" w:hAnsi="仿宋" w:eastAsia="仿宋" w:cs="仿宋"/>
          <w:snapToGrid w:val="0"/>
          <w:color w:val="auto"/>
          <w:kern w:val="0"/>
          <w:sz w:val="28"/>
          <w:szCs w:val="28"/>
          <w:highlight w:val="none"/>
          <w:u w:val="single"/>
        </w:rPr>
        <w:t xml:space="preserve">      </w:t>
      </w:r>
      <w:bookmarkEnd w:id="1019"/>
      <w:r>
        <w:rPr>
          <w:rFonts w:hint="eastAsia" w:ascii="仿宋" w:hAnsi="仿宋" w:eastAsia="仿宋" w:cs="仿宋"/>
          <w:snapToGrid w:val="0"/>
          <w:color w:val="auto"/>
          <w:kern w:val="0"/>
          <w:sz w:val="28"/>
          <w:szCs w:val="28"/>
          <w:highlight w:val="none"/>
          <w:u w:val="single"/>
        </w:rPr>
        <w:t xml:space="preserve"> </w:t>
      </w:r>
    </w:p>
    <w:p w14:paraId="7184C9E1">
      <w:pPr>
        <w:adjustRightInd/>
        <w:spacing w:line="300" w:lineRule="auto"/>
        <w:rPr>
          <w:rFonts w:hint="eastAsia" w:ascii="仿宋" w:hAnsi="仿宋" w:eastAsia="仿宋" w:cs="仿宋"/>
          <w:snapToGrid w:val="0"/>
          <w:color w:val="auto"/>
          <w:kern w:val="0"/>
          <w:sz w:val="28"/>
          <w:szCs w:val="28"/>
          <w:highlight w:val="none"/>
        </w:rPr>
      </w:pPr>
      <w:r>
        <w:rPr>
          <w:rFonts w:hint="eastAsia" w:ascii="仿宋" w:hAnsi="仿宋" w:eastAsia="仿宋" w:cs="仿宋"/>
          <w:snapToGrid w:val="0"/>
          <w:color w:val="auto"/>
          <w:kern w:val="0"/>
          <w:sz w:val="28"/>
          <w:szCs w:val="28"/>
          <w:highlight w:val="none"/>
        </w:rPr>
        <w:t>开户银行：</w:t>
      </w:r>
      <w:bookmarkStart w:id="1020" w:name="SOA_zyht_fbrkhyh"/>
      <w:r>
        <w:rPr>
          <w:rFonts w:hint="eastAsia" w:ascii="仿宋" w:hAnsi="仿宋" w:eastAsia="仿宋" w:cs="仿宋"/>
          <w:snapToGrid w:val="0"/>
          <w:color w:val="auto"/>
          <w:kern w:val="0"/>
          <w:sz w:val="28"/>
          <w:szCs w:val="28"/>
          <w:highlight w:val="none"/>
          <w:u w:val="single"/>
        </w:rPr>
        <w:t xml:space="preserve">      </w:t>
      </w:r>
      <w:bookmarkEnd w:id="1020"/>
      <w:r>
        <w:rPr>
          <w:rFonts w:hint="eastAsia" w:ascii="仿宋" w:hAnsi="仿宋" w:eastAsia="仿宋" w:cs="仿宋"/>
          <w:snapToGrid w:val="0"/>
          <w:color w:val="auto"/>
          <w:kern w:val="0"/>
          <w:sz w:val="28"/>
          <w:szCs w:val="28"/>
          <w:highlight w:val="none"/>
          <w:u w:val="single"/>
        </w:rPr>
        <w:t xml:space="preserve">  </w:t>
      </w:r>
      <w:r>
        <w:rPr>
          <w:rFonts w:hint="eastAsia" w:ascii="仿宋" w:hAnsi="仿宋" w:eastAsia="仿宋" w:cs="仿宋"/>
          <w:snapToGrid w:val="0"/>
          <w:color w:val="auto"/>
          <w:kern w:val="0"/>
          <w:sz w:val="28"/>
          <w:szCs w:val="28"/>
          <w:highlight w:val="none"/>
        </w:rPr>
        <w:t xml:space="preserve">                   开户银行：</w:t>
      </w:r>
      <w:bookmarkStart w:id="1021" w:name="SOA_zyht_cbrkhyh"/>
      <w:r>
        <w:rPr>
          <w:rFonts w:hint="eastAsia" w:ascii="仿宋" w:hAnsi="仿宋" w:eastAsia="仿宋" w:cs="仿宋"/>
          <w:snapToGrid w:val="0"/>
          <w:color w:val="auto"/>
          <w:kern w:val="0"/>
          <w:sz w:val="28"/>
          <w:szCs w:val="28"/>
          <w:highlight w:val="none"/>
          <w:u w:val="single"/>
        </w:rPr>
        <w:t xml:space="preserve">      </w:t>
      </w:r>
      <w:bookmarkEnd w:id="1021"/>
      <w:r>
        <w:rPr>
          <w:rFonts w:hint="eastAsia" w:ascii="仿宋" w:hAnsi="仿宋" w:eastAsia="仿宋" w:cs="仿宋"/>
          <w:snapToGrid w:val="0"/>
          <w:color w:val="auto"/>
          <w:kern w:val="0"/>
          <w:sz w:val="28"/>
          <w:szCs w:val="28"/>
          <w:highlight w:val="none"/>
          <w:u w:val="single"/>
        </w:rPr>
        <w:t xml:space="preserve">  </w:t>
      </w:r>
    </w:p>
    <w:p w14:paraId="0E41A724">
      <w:pPr>
        <w:adjustRightInd/>
        <w:spacing w:line="300" w:lineRule="auto"/>
        <w:rPr>
          <w:rFonts w:hint="eastAsia" w:ascii="仿宋" w:hAnsi="仿宋" w:eastAsia="仿宋" w:cs="仿宋"/>
          <w:snapToGrid w:val="0"/>
          <w:color w:val="auto"/>
          <w:kern w:val="0"/>
          <w:sz w:val="28"/>
          <w:szCs w:val="28"/>
          <w:highlight w:val="none"/>
        </w:rPr>
      </w:pPr>
      <w:r>
        <w:rPr>
          <w:rFonts w:hint="eastAsia" w:ascii="仿宋" w:hAnsi="仿宋" w:eastAsia="仿宋" w:cs="仿宋"/>
          <w:snapToGrid w:val="0"/>
          <w:color w:val="auto"/>
          <w:kern w:val="0"/>
          <w:sz w:val="28"/>
          <w:szCs w:val="28"/>
          <w:highlight w:val="none"/>
        </w:rPr>
        <w:t>账  号：</w:t>
      </w:r>
      <w:r>
        <w:rPr>
          <w:rFonts w:hint="eastAsia" w:ascii="仿宋" w:hAnsi="仿宋" w:eastAsia="仿宋" w:cs="仿宋"/>
          <w:snapToGrid w:val="0"/>
          <w:color w:val="auto"/>
          <w:kern w:val="0"/>
          <w:sz w:val="28"/>
          <w:szCs w:val="28"/>
          <w:highlight w:val="none"/>
          <w:u w:val="single"/>
        </w:rPr>
        <w:t></w:t>
      </w:r>
      <w:bookmarkStart w:id="1022" w:name="SOA_zyht_fbrzh"/>
      <w:r>
        <w:rPr>
          <w:rFonts w:hint="eastAsia" w:ascii="仿宋" w:hAnsi="仿宋" w:eastAsia="仿宋" w:cs="仿宋"/>
          <w:snapToGrid w:val="0"/>
          <w:color w:val="auto"/>
          <w:kern w:val="0"/>
          <w:sz w:val="28"/>
          <w:szCs w:val="28"/>
          <w:highlight w:val="none"/>
          <w:u w:val="single"/>
        </w:rPr>
        <w:t xml:space="preserve">      </w:t>
      </w:r>
      <w:bookmarkEnd w:id="1022"/>
      <w:r>
        <w:rPr>
          <w:rFonts w:hint="eastAsia" w:ascii="仿宋" w:hAnsi="仿宋" w:eastAsia="仿宋" w:cs="仿宋"/>
          <w:snapToGrid w:val="0"/>
          <w:color w:val="auto"/>
          <w:kern w:val="0"/>
          <w:sz w:val="28"/>
          <w:szCs w:val="28"/>
          <w:highlight w:val="none"/>
          <w:u w:val="single"/>
        </w:rPr>
        <w:t></w:t>
      </w:r>
      <w:r>
        <w:rPr>
          <w:rFonts w:hint="eastAsia" w:ascii="仿宋" w:hAnsi="仿宋" w:eastAsia="仿宋" w:cs="仿宋"/>
          <w:snapToGrid w:val="0"/>
          <w:color w:val="auto"/>
          <w:kern w:val="0"/>
          <w:sz w:val="28"/>
          <w:szCs w:val="28"/>
          <w:highlight w:val="none"/>
        </w:rPr>
        <w:t xml:space="preserve">                   账  号：</w:t>
      </w:r>
      <w:r>
        <w:rPr>
          <w:rFonts w:hint="eastAsia" w:ascii="仿宋" w:hAnsi="仿宋" w:eastAsia="仿宋" w:cs="仿宋"/>
          <w:snapToGrid w:val="0"/>
          <w:color w:val="auto"/>
          <w:kern w:val="0"/>
          <w:sz w:val="28"/>
          <w:szCs w:val="28"/>
          <w:highlight w:val="none"/>
          <w:u w:val="single"/>
        </w:rPr>
        <w:t></w:t>
      </w:r>
      <w:bookmarkStart w:id="1023" w:name="SOA_zyht_cbrzh"/>
      <w:r>
        <w:rPr>
          <w:rFonts w:hint="eastAsia" w:ascii="仿宋" w:hAnsi="仿宋" w:eastAsia="仿宋" w:cs="仿宋"/>
          <w:snapToGrid w:val="0"/>
          <w:color w:val="auto"/>
          <w:kern w:val="0"/>
          <w:sz w:val="28"/>
          <w:szCs w:val="28"/>
          <w:highlight w:val="none"/>
          <w:u w:val="single"/>
        </w:rPr>
        <w:t xml:space="preserve">      </w:t>
      </w:r>
      <w:bookmarkEnd w:id="1023"/>
      <w:r>
        <w:rPr>
          <w:rFonts w:hint="eastAsia" w:ascii="仿宋" w:hAnsi="仿宋" w:eastAsia="仿宋" w:cs="仿宋"/>
          <w:snapToGrid w:val="0"/>
          <w:color w:val="auto"/>
          <w:kern w:val="0"/>
          <w:sz w:val="28"/>
          <w:szCs w:val="28"/>
          <w:highlight w:val="none"/>
          <w:u w:val="single"/>
        </w:rPr>
        <w:t xml:space="preserve">  </w:t>
      </w:r>
    </w:p>
    <w:p w14:paraId="07B5C0DC">
      <w:pPr>
        <w:spacing w:line="440" w:lineRule="exact"/>
        <w:rPr>
          <w:rFonts w:eastAsia="黑体"/>
          <w:color w:val="auto"/>
          <w:sz w:val="28"/>
          <w:szCs w:val="28"/>
          <w:highlight w:val="none"/>
        </w:rPr>
      </w:pPr>
      <w:r>
        <w:rPr>
          <w:rFonts w:hint="eastAsia" w:ascii="仿宋" w:hAnsi="仿宋" w:eastAsia="仿宋" w:cs="仿宋"/>
          <w:snapToGrid w:val="0"/>
          <w:color w:val="auto"/>
          <w:kern w:val="0"/>
          <w:sz w:val="28"/>
          <w:szCs w:val="28"/>
          <w:highlight w:val="none"/>
        </w:rPr>
        <w:t>邮政编码：</w:t>
      </w:r>
      <w:r>
        <w:rPr>
          <w:rFonts w:hint="eastAsia" w:ascii="仿宋" w:hAnsi="仿宋" w:eastAsia="仿宋" w:cs="仿宋"/>
          <w:snapToGrid w:val="0"/>
          <w:color w:val="auto"/>
          <w:kern w:val="0"/>
          <w:sz w:val="28"/>
          <w:szCs w:val="28"/>
          <w:highlight w:val="none"/>
          <w:u w:val="single"/>
        </w:rPr>
        <w:t xml:space="preserve"> </w:t>
      </w:r>
      <w:bookmarkStart w:id="1024" w:name="SOA_zyht_fbryb"/>
      <w:r>
        <w:rPr>
          <w:rFonts w:hint="eastAsia" w:ascii="仿宋" w:hAnsi="仿宋" w:eastAsia="仿宋" w:cs="仿宋"/>
          <w:snapToGrid w:val="0"/>
          <w:color w:val="auto"/>
          <w:kern w:val="0"/>
          <w:sz w:val="28"/>
          <w:szCs w:val="28"/>
          <w:highlight w:val="none"/>
          <w:u w:val="single"/>
        </w:rPr>
        <w:t xml:space="preserve">      </w:t>
      </w:r>
      <w:bookmarkEnd w:id="1024"/>
      <w:r>
        <w:rPr>
          <w:rFonts w:hint="eastAsia" w:ascii="仿宋" w:hAnsi="仿宋" w:eastAsia="仿宋" w:cs="仿宋"/>
          <w:snapToGrid w:val="0"/>
          <w:color w:val="auto"/>
          <w:kern w:val="0"/>
          <w:sz w:val="28"/>
          <w:szCs w:val="28"/>
          <w:highlight w:val="none"/>
          <w:u w:val="single"/>
        </w:rPr>
        <w:t xml:space="preserve">      </w:t>
      </w:r>
      <w:r>
        <w:rPr>
          <w:rFonts w:hint="eastAsia" w:ascii="仿宋" w:hAnsi="仿宋" w:eastAsia="仿宋" w:cs="仿宋"/>
          <w:snapToGrid w:val="0"/>
          <w:color w:val="auto"/>
          <w:kern w:val="0"/>
          <w:sz w:val="28"/>
          <w:szCs w:val="28"/>
          <w:highlight w:val="none"/>
        </w:rPr>
        <w:t xml:space="preserve">              邮政编码：</w:t>
      </w:r>
      <w:r>
        <w:rPr>
          <w:rFonts w:hint="eastAsia" w:ascii="仿宋" w:hAnsi="仿宋" w:eastAsia="仿宋" w:cs="仿宋"/>
          <w:snapToGrid w:val="0"/>
          <w:color w:val="auto"/>
          <w:kern w:val="0"/>
          <w:sz w:val="28"/>
          <w:szCs w:val="28"/>
          <w:highlight w:val="none"/>
          <w:u w:val="single"/>
        </w:rPr>
        <w:t></w:t>
      </w:r>
      <w:bookmarkStart w:id="1025" w:name="SOA_zyht_cbryb"/>
      <w:r>
        <w:rPr>
          <w:rFonts w:hint="eastAsia" w:ascii="仿宋" w:hAnsi="仿宋" w:eastAsia="仿宋" w:cs="仿宋"/>
          <w:snapToGrid w:val="0"/>
          <w:color w:val="auto"/>
          <w:kern w:val="0"/>
          <w:sz w:val="28"/>
          <w:szCs w:val="28"/>
          <w:highlight w:val="none"/>
          <w:u w:val="single"/>
        </w:rPr>
        <w:t xml:space="preserve">     </w:t>
      </w:r>
      <w:bookmarkEnd w:id="1025"/>
      <w:r>
        <w:rPr>
          <w:rFonts w:hint="eastAsia" w:ascii="仿宋" w:hAnsi="仿宋" w:eastAsia="仿宋" w:cs="仿宋"/>
          <w:snapToGrid w:val="0"/>
          <w:color w:val="auto"/>
          <w:kern w:val="0"/>
          <w:sz w:val="28"/>
          <w:szCs w:val="28"/>
          <w:highlight w:val="none"/>
          <w:u w:val="single"/>
        </w:rPr>
        <w:t xml:space="preserve">         </w:t>
      </w:r>
      <w:r>
        <w:rPr>
          <w:rFonts w:hint="eastAsia" w:ascii="仿宋" w:hAnsi="仿宋" w:eastAsia="仿宋" w:cs="仿宋"/>
          <w:snapToGrid w:val="0"/>
          <w:color w:val="auto"/>
          <w:kern w:val="0"/>
          <w:sz w:val="28"/>
          <w:szCs w:val="28"/>
          <w:highlight w:val="none"/>
        </w:rPr>
        <w:t xml:space="preserve">    </w:t>
      </w:r>
      <w:r>
        <w:rPr>
          <w:rFonts w:eastAsia="仿宋_GB2312"/>
          <w:b/>
          <w:color w:val="auto"/>
          <w:sz w:val="28"/>
          <w:szCs w:val="28"/>
          <w:highlight w:val="none"/>
        </w:rPr>
        <w:br w:type="page"/>
      </w:r>
      <w:r>
        <w:rPr>
          <w:rFonts w:hint="eastAsia" w:eastAsia="仿宋_GB2312"/>
          <w:color w:val="auto"/>
          <w:sz w:val="28"/>
          <w:szCs w:val="28"/>
          <w:highlight w:val="none"/>
        </w:rPr>
        <w:t>附</w:t>
      </w:r>
      <w:bookmarkStart w:id="1026" w:name="_Toc296891268"/>
      <w:bookmarkStart w:id="1027" w:name="_Toc296346729"/>
      <w:bookmarkStart w:id="1028" w:name="_Toc296891056"/>
      <w:bookmarkStart w:id="1029" w:name="_Toc296347227"/>
      <w:bookmarkStart w:id="1030" w:name="_Toc296503228"/>
      <w:bookmarkStart w:id="1031" w:name="_Toc296944567"/>
      <w:bookmarkStart w:id="1032" w:name="_Toc267261699"/>
      <w:r>
        <w:rPr>
          <w:rFonts w:hint="eastAsia" w:eastAsia="仿宋_GB2312"/>
          <w:color w:val="auto"/>
          <w:sz w:val="28"/>
          <w:szCs w:val="28"/>
          <w:highlight w:val="none"/>
        </w:rPr>
        <w:t>件3：</w:t>
      </w:r>
    </w:p>
    <w:bookmarkEnd w:id="1026"/>
    <w:bookmarkEnd w:id="1027"/>
    <w:bookmarkEnd w:id="1028"/>
    <w:bookmarkEnd w:id="1029"/>
    <w:bookmarkEnd w:id="1030"/>
    <w:bookmarkEnd w:id="1031"/>
    <w:bookmarkEnd w:id="1032"/>
    <w:p w14:paraId="62B474E9">
      <w:pPr>
        <w:spacing w:before="120" w:beforeLines="50" w:after="120" w:afterLines="50" w:line="440" w:lineRule="exact"/>
        <w:jc w:val="center"/>
        <w:rPr>
          <w:rFonts w:eastAsia="黑体"/>
          <w:color w:val="auto"/>
          <w:sz w:val="28"/>
          <w:szCs w:val="28"/>
          <w:highlight w:val="none"/>
        </w:rPr>
      </w:pPr>
      <w:r>
        <w:rPr>
          <w:rFonts w:hint="eastAsia" w:eastAsia="黑体"/>
          <w:color w:val="auto"/>
          <w:sz w:val="28"/>
          <w:szCs w:val="28"/>
          <w:highlight w:val="none"/>
        </w:rPr>
        <w:t>承包人主要施工管理人员表</w:t>
      </w:r>
    </w:p>
    <w:tbl>
      <w:tblPr>
        <w:tblStyle w:val="6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9FDB8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3FF6094D">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名称</w:t>
            </w:r>
          </w:p>
        </w:tc>
        <w:tc>
          <w:tcPr>
            <w:tcW w:w="1418" w:type="dxa"/>
            <w:tcBorders>
              <w:top w:val="single" w:color="auto" w:sz="12" w:space="0"/>
              <w:bottom w:val="double" w:color="auto" w:sz="6" w:space="0"/>
            </w:tcBorders>
            <w:vAlign w:val="center"/>
          </w:tcPr>
          <w:p w14:paraId="5CCFB613">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姓名</w:t>
            </w:r>
          </w:p>
        </w:tc>
        <w:tc>
          <w:tcPr>
            <w:tcW w:w="1134" w:type="dxa"/>
            <w:tcBorders>
              <w:top w:val="single" w:color="auto" w:sz="12" w:space="0"/>
              <w:bottom w:val="double" w:color="auto" w:sz="6" w:space="0"/>
            </w:tcBorders>
            <w:vAlign w:val="center"/>
          </w:tcPr>
          <w:p w14:paraId="2788CE58">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职务</w:t>
            </w:r>
          </w:p>
        </w:tc>
        <w:tc>
          <w:tcPr>
            <w:tcW w:w="1134" w:type="dxa"/>
            <w:tcBorders>
              <w:top w:val="single" w:color="auto" w:sz="12" w:space="0"/>
              <w:bottom w:val="double" w:color="auto" w:sz="6" w:space="0"/>
            </w:tcBorders>
            <w:vAlign w:val="center"/>
          </w:tcPr>
          <w:p w14:paraId="4660DED5">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职称</w:t>
            </w:r>
          </w:p>
        </w:tc>
        <w:tc>
          <w:tcPr>
            <w:tcW w:w="4252" w:type="dxa"/>
            <w:tcBorders>
              <w:top w:val="single" w:color="auto" w:sz="12" w:space="0"/>
              <w:bottom w:val="double" w:color="auto" w:sz="6" w:space="0"/>
            </w:tcBorders>
            <w:vAlign w:val="center"/>
          </w:tcPr>
          <w:p w14:paraId="0D517B8E">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主要资历、经验及承担过的项目</w:t>
            </w:r>
          </w:p>
        </w:tc>
      </w:tr>
      <w:tr w14:paraId="02AC5F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vAlign w:val="center"/>
          </w:tcPr>
          <w:p w14:paraId="65A84001">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一、总部人员</w:t>
            </w:r>
          </w:p>
        </w:tc>
      </w:tr>
      <w:tr w14:paraId="01A13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29E7C5DC">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项目主管</w:t>
            </w:r>
          </w:p>
        </w:tc>
        <w:tc>
          <w:tcPr>
            <w:tcW w:w="1418" w:type="dxa"/>
            <w:tcBorders>
              <w:top w:val="nil"/>
            </w:tcBorders>
            <w:vAlign w:val="center"/>
          </w:tcPr>
          <w:p w14:paraId="3B9E5175">
            <w:pPr>
              <w:pStyle w:val="3"/>
              <w:keepNext/>
              <w:spacing w:line="440" w:lineRule="exact"/>
              <w:ind w:left="66" w:right="66"/>
              <w:rPr>
                <w:rFonts w:eastAsia="仿宋_GB2312"/>
                <w:color w:val="auto"/>
                <w:sz w:val="28"/>
                <w:szCs w:val="28"/>
                <w:highlight w:val="none"/>
                <w:lang w:val="en-US"/>
              </w:rPr>
            </w:pPr>
          </w:p>
        </w:tc>
        <w:tc>
          <w:tcPr>
            <w:tcW w:w="1134" w:type="dxa"/>
            <w:tcBorders>
              <w:top w:val="nil"/>
            </w:tcBorders>
            <w:vAlign w:val="center"/>
          </w:tcPr>
          <w:p w14:paraId="43A7B964">
            <w:pPr>
              <w:pStyle w:val="3"/>
              <w:keepNext/>
              <w:spacing w:line="440" w:lineRule="exact"/>
              <w:ind w:left="66" w:right="66"/>
              <w:rPr>
                <w:rFonts w:eastAsia="仿宋_GB2312"/>
                <w:color w:val="auto"/>
                <w:sz w:val="28"/>
                <w:szCs w:val="28"/>
                <w:highlight w:val="none"/>
                <w:lang w:val="en-US"/>
              </w:rPr>
            </w:pPr>
          </w:p>
        </w:tc>
        <w:tc>
          <w:tcPr>
            <w:tcW w:w="1134" w:type="dxa"/>
            <w:tcBorders>
              <w:top w:val="nil"/>
            </w:tcBorders>
            <w:vAlign w:val="center"/>
          </w:tcPr>
          <w:p w14:paraId="147FFA89">
            <w:pPr>
              <w:pStyle w:val="3"/>
              <w:keepNext/>
              <w:spacing w:line="440" w:lineRule="exact"/>
              <w:ind w:left="66" w:right="66"/>
              <w:rPr>
                <w:rFonts w:eastAsia="仿宋_GB2312"/>
                <w:color w:val="auto"/>
                <w:sz w:val="28"/>
                <w:szCs w:val="28"/>
                <w:highlight w:val="none"/>
                <w:lang w:val="en-US"/>
              </w:rPr>
            </w:pPr>
          </w:p>
        </w:tc>
        <w:tc>
          <w:tcPr>
            <w:tcW w:w="4252" w:type="dxa"/>
            <w:tcBorders>
              <w:top w:val="nil"/>
            </w:tcBorders>
            <w:vAlign w:val="center"/>
          </w:tcPr>
          <w:p w14:paraId="0CBB1F02">
            <w:pPr>
              <w:pStyle w:val="3"/>
              <w:keepNext/>
              <w:spacing w:line="440" w:lineRule="exact"/>
              <w:ind w:left="66" w:right="66"/>
              <w:rPr>
                <w:rFonts w:eastAsia="仿宋_GB2312"/>
                <w:color w:val="auto"/>
                <w:sz w:val="28"/>
                <w:szCs w:val="28"/>
                <w:highlight w:val="none"/>
                <w:lang w:val="en-US"/>
              </w:rPr>
            </w:pPr>
          </w:p>
        </w:tc>
      </w:tr>
      <w:tr w14:paraId="0CA3E2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bottom w:val="nil"/>
            </w:tcBorders>
            <w:vAlign w:val="center"/>
          </w:tcPr>
          <w:p w14:paraId="21AA7E6E">
            <w:pPr>
              <w:pStyle w:val="3"/>
              <w:keepNext/>
              <w:spacing w:line="440" w:lineRule="exact"/>
              <w:ind w:left="66" w:right="66"/>
              <w:rPr>
                <w:rFonts w:eastAsia="仿宋_GB2312"/>
                <w:color w:val="auto"/>
                <w:sz w:val="28"/>
                <w:szCs w:val="28"/>
                <w:highlight w:val="none"/>
                <w:lang w:val="en-US"/>
              </w:rPr>
            </w:pPr>
          </w:p>
        </w:tc>
        <w:tc>
          <w:tcPr>
            <w:tcW w:w="1418" w:type="dxa"/>
            <w:vAlign w:val="center"/>
          </w:tcPr>
          <w:p w14:paraId="24C0F5E4">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19A5E616">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0C78A94F">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0C03E639">
            <w:pPr>
              <w:pStyle w:val="3"/>
              <w:keepNext/>
              <w:spacing w:line="440" w:lineRule="exact"/>
              <w:ind w:left="66" w:right="66"/>
              <w:rPr>
                <w:rFonts w:eastAsia="仿宋_GB2312"/>
                <w:color w:val="auto"/>
                <w:sz w:val="28"/>
                <w:szCs w:val="28"/>
                <w:highlight w:val="none"/>
                <w:lang w:val="en-US"/>
              </w:rPr>
            </w:pPr>
          </w:p>
        </w:tc>
      </w:tr>
      <w:tr w14:paraId="0EC07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06342247">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其他人员</w:t>
            </w:r>
          </w:p>
        </w:tc>
        <w:tc>
          <w:tcPr>
            <w:tcW w:w="1418" w:type="dxa"/>
            <w:vAlign w:val="center"/>
          </w:tcPr>
          <w:p w14:paraId="19139F40">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20D124D8">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127F3259">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34BB412F">
            <w:pPr>
              <w:pStyle w:val="3"/>
              <w:keepNext/>
              <w:spacing w:line="440" w:lineRule="exact"/>
              <w:ind w:left="66" w:right="66"/>
              <w:rPr>
                <w:rFonts w:eastAsia="仿宋_GB2312"/>
                <w:color w:val="auto"/>
                <w:sz w:val="28"/>
                <w:szCs w:val="28"/>
                <w:highlight w:val="none"/>
                <w:lang w:val="en-US"/>
              </w:rPr>
            </w:pPr>
          </w:p>
        </w:tc>
      </w:tr>
      <w:tr w14:paraId="1737D1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0899E2E3">
            <w:pPr>
              <w:pStyle w:val="3"/>
              <w:keepNext/>
              <w:spacing w:line="440" w:lineRule="exact"/>
              <w:ind w:left="66" w:right="66"/>
              <w:rPr>
                <w:rFonts w:eastAsia="仿宋_GB2312"/>
                <w:color w:val="auto"/>
                <w:sz w:val="28"/>
                <w:szCs w:val="28"/>
                <w:highlight w:val="none"/>
                <w:lang w:val="en-US"/>
              </w:rPr>
            </w:pPr>
          </w:p>
        </w:tc>
        <w:tc>
          <w:tcPr>
            <w:tcW w:w="1418" w:type="dxa"/>
            <w:vAlign w:val="center"/>
          </w:tcPr>
          <w:p w14:paraId="12A1E2D7">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67880F0F">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69B69670">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1CB64312">
            <w:pPr>
              <w:pStyle w:val="3"/>
              <w:keepNext/>
              <w:spacing w:line="440" w:lineRule="exact"/>
              <w:ind w:left="66" w:right="66"/>
              <w:rPr>
                <w:rFonts w:eastAsia="仿宋_GB2312"/>
                <w:color w:val="auto"/>
                <w:sz w:val="28"/>
                <w:szCs w:val="28"/>
                <w:highlight w:val="none"/>
                <w:lang w:val="en-US"/>
              </w:rPr>
            </w:pPr>
          </w:p>
        </w:tc>
      </w:tr>
      <w:tr w14:paraId="42D6C3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vAlign w:val="center"/>
          </w:tcPr>
          <w:p w14:paraId="535D7177">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二、现场人员</w:t>
            </w:r>
          </w:p>
        </w:tc>
      </w:tr>
      <w:tr w14:paraId="1FC569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441F0305">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项目经理</w:t>
            </w:r>
          </w:p>
        </w:tc>
        <w:tc>
          <w:tcPr>
            <w:tcW w:w="1418" w:type="dxa"/>
            <w:vAlign w:val="center"/>
          </w:tcPr>
          <w:p w14:paraId="74C3B1DA">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128AECA3">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76A4E72D">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2F45B1DE">
            <w:pPr>
              <w:pStyle w:val="3"/>
              <w:keepNext/>
              <w:spacing w:line="440" w:lineRule="exact"/>
              <w:ind w:left="66" w:right="66"/>
              <w:rPr>
                <w:rFonts w:eastAsia="仿宋_GB2312"/>
                <w:color w:val="auto"/>
                <w:sz w:val="28"/>
                <w:szCs w:val="28"/>
                <w:highlight w:val="none"/>
                <w:lang w:val="en-US"/>
              </w:rPr>
            </w:pPr>
          </w:p>
        </w:tc>
      </w:tr>
      <w:tr w14:paraId="1ABB63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73746F2F">
            <w:pPr>
              <w:pStyle w:val="3"/>
              <w:keepNext/>
              <w:spacing w:line="440" w:lineRule="exact"/>
              <w:ind w:left="66" w:right="66"/>
              <w:rPr>
                <w:rFonts w:eastAsia="仿宋_GB2312"/>
                <w:strike/>
                <w:color w:val="auto"/>
                <w:sz w:val="28"/>
                <w:szCs w:val="28"/>
                <w:highlight w:val="none"/>
                <w:lang w:val="en-US"/>
              </w:rPr>
            </w:pPr>
            <w:r>
              <w:rPr>
                <w:rFonts w:hint="eastAsia" w:eastAsia="仿宋_GB2312"/>
                <w:color w:val="auto"/>
                <w:sz w:val="28"/>
                <w:szCs w:val="28"/>
                <w:highlight w:val="none"/>
                <w:lang w:val="en-US"/>
              </w:rPr>
              <w:t>技术负责人</w:t>
            </w:r>
          </w:p>
        </w:tc>
        <w:tc>
          <w:tcPr>
            <w:tcW w:w="1418" w:type="dxa"/>
            <w:vAlign w:val="center"/>
          </w:tcPr>
          <w:p w14:paraId="54DA4DA4">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55E17840">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45CF09C3">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32B667DD">
            <w:pPr>
              <w:pStyle w:val="3"/>
              <w:keepNext/>
              <w:spacing w:line="440" w:lineRule="exact"/>
              <w:ind w:left="66" w:right="66"/>
              <w:rPr>
                <w:rFonts w:eastAsia="仿宋_GB2312"/>
                <w:color w:val="auto"/>
                <w:sz w:val="28"/>
                <w:szCs w:val="28"/>
                <w:highlight w:val="none"/>
                <w:lang w:val="en-US"/>
              </w:rPr>
            </w:pPr>
          </w:p>
        </w:tc>
      </w:tr>
      <w:tr w14:paraId="407461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21F632E0">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造价管理</w:t>
            </w:r>
          </w:p>
        </w:tc>
        <w:tc>
          <w:tcPr>
            <w:tcW w:w="1418" w:type="dxa"/>
            <w:vAlign w:val="center"/>
          </w:tcPr>
          <w:p w14:paraId="7D0A8DCB">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18EE9D75">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151B5CF6">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55C9F978">
            <w:pPr>
              <w:pStyle w:val="3"/>
              <w:keepNext/>
              <w:spacing w:line="440" w:lineRule="exact"/>
              <w:ind w:left="66" w:right="66"/>
              <w:rPr>
                <w:rFonts w:eastAsia="仿宋_GB2312"/>
                <w:color w:val="auto"/>
                <w:sz w:val="28"/>
                <w:szCs w:val="28"/>
                <w:highlight w:val="none"/>
                <w:lang w:val="en-US"/>
              </w:rPr>
            </w:pPr>
          </w:p>
        </w:tc>
      </w:tr>
      <w:tr w14:paraId="0AC72D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4BDEED63">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质量员</w:t>
            </w:r>
          </w:p>
        </w:tc>
        <w:tc>
          <w:tcPr>
            <w:tcW w:w="1418" w:type="dxa"/>
            <w:vAlign w:val="center"/>
          </w:tcPr>
          <w:p w14:paraId="4245D2B2">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0BB0C771">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17DFE630">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038E7265">
            <w:pPr>
              <w:pStyle w:val="3"/>
              <w:keepNext/>
              <w:spacing w:line="440" w:lineRule="exact"/>
              <w:ind w:left="66" w:right="66"/>
              <w:rPr>
                <w:rFonts w:eastAsia="仿宋_GB2312"/>
                <w:color w:val="auto"/>
                <w:sz w:val="28"/>
                <w:szCs w:val="28"/>
                <w:highlight w:val="none"/>
                <w:lang w:val="en-US"/>
              </w:rPr>
            </w:pPr>
          </w:p>
        </w:tc>
      </w:tr>
      <w:tr w14:paraId="7BAAF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162CA35E">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施工员</w:t>
            </w:r>
          </w:p>
        </w:tc>
        <w:tc>
          <w:tcPr>
            <w:tcW w:w="1418" w:type="dxa"/>
            <w:vAlign w:val="center"/>
          </w:tcPr>
          <w:p w14:paraId="498418C0">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6BB66227">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4EE05B4B">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101B2018">
            <w:pPr>
              <w:pStyle w:val="3"/>
              <w:keepNext/>
              <w:spacing w:line="440" w:lineRule="exact"/>
              <w:ind w:left="66" w:right="66"/>
              <w:rPr>
                <w:rFonts w:eastAsia="仿宋_GB2312"/>
                <w:color w:val="auto"/>
                <w:sz w:val="28"/>
                <w:szCs w:val="28"/>
                <w:highlight w:val="none"/>
                <w:lang w:val="en-US"/>
              </w:rPr>
            </w:pPr>
          </w:p>
        </w:tc>
      </w:tr>
      <w:tr w14:paraId="2FA8C4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68AC9AE4">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资料员</w:t>
            </w:r>
          </w:p>
        </w:tc>
        <w:tc>
          <w:tcPr>
            <w:tcW w:w="1418" w:type="dxa"/>
            <w:vAlign w:val="center"/>
          </w:tcPr>
          <w:p w14:paraId="40BF19E2">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7E50D302">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7DBBE0BE">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2BA9E451">
            <w:pPr>
              <w:pStyle w:val="3"/>
              <w:keepNext/>
              <w:spacing w:line="440" w:lineRule="exact"/>
              <w:ind w:left="66" w:right="66"/>
              <w:rPr>
                <w:rFonts w:eastAsia="仿宋_GB2312"/>
                <w:color w:val="auto"/>
                <w:sz w:val="28"/>
                <w:szCs w:val="28"/>
                <w:highlight w:val="none"/>
                <w:lang w:val="en-US"/>
              </w:rPr>
            </w:pPr>
          </w:p>
        </w:tc>
      </w:tr>
      <w:tr w14:paraId="119F58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788E0519">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材料员</w:t>
            </w:r>
          </w:p>
        </w:tc>
        <w:tc>
          <w:tcPr>
            <w:tcW w:w="1418" w:type="dxa"/>
            <w:vAlign w:val="center"/>
          </w:tcPr>
          <w:p w14:paraId="7B6691A1">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28EDCFF1">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464F0D2B">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61B9026F">
            <w:pPr>
              <w:pStyle w:val="3"/>
              <w:keepNext/>
              <w:spacing w:line="440" w:lineRule="exact"/>
              <w:ind w:left="66" w:right="66"/>
              <w:rPr>
                <w:rFonts w:eastAsia="仿宋_GB2312"/>
                <w:color w:val="auto"/>
                <w:sz w:val="28"/>
                <w:szCs w:val="28"/>
                <w:highlight w:val="none"/>
                <w:lang w:val="en-US"/>
              </w:rPr>
            </w:pPr>
          </w:p>
        </w:tc>
      </w:tr>
      <w:tr w14:paraId="2CD998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vAlign w:val="center"/>
          </w:tcPr>
          <w:p w14:paraId="2901007A">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专职安全生产管理人员</w:t>
            </w:r>
          </w:p>
        </w:tc>
        <w:tc>
          <w:tcPr>
            <w:tcW w:w="1418" w:type="dxa"/>
            <w:vAlign w:val="center"/>
          </w:tcPr>
          <w:p w14:paraId="267C0C6F">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7FF5B611">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1056AFC7">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68A213AC">
            <w:pPr>
              <w:pStyle w:val="3"/>
              <w:keepNext/>
              <w:spacing w:line="440" w:lineRule="exact"/>
              <w:ind w:left="66" w:right="66"/>
              <w:rPr>
                <w:rFonts w:eastAsia="仿宋_GB2312"/>
                <w:color w:val="auto"/>
                <w:sz w:val="28"/>
                <w:szCs w:val="28"/>
                <w:highlight w:val="none"/>
                <w:lang w:val="en-US"/>
              </w:rPr>
            </w:pPr>
          </w:p>
        </w:tc>
      </w:tr>
      <w:tr w14:paraId="743CD1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32AA4FFC">
            <w:pPr>
              <w:pStyle w:val="3"/>
              <w:keepNext/>
              <w:spacing w:line="440" w:lineRule="exact"/>
              <w:ind w:left="66" w:right="66"/>
              <w:rPr>
                <w:rFonts w:eastAsia="仿宋_GB2312"/>
                <w:color w:val="auto"/>
                <w:sz w:val="28"/>
                <w:szCs w:val="28"/>
                <w:highlight w:val="none"/>
                <w:lang w:val="en-US"/>
              </w:rPr>
            </w:pPr>
          </w:p>
        </w:tc>
        <w:tc>
          <w:tcPr>
            <w:tcW w:w="1418" w:type="dxa"/>
            <w:vAlign w:val="center"/>
          </w:tcPr>
          <w:p w14:paraId="4ACB51A9">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7508956F">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6559C9BE">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409D7922">
            <w:pPr>
              <w:pStyle w:val="3"/>
              <w:keepNext/>
              <w:spacing w:line="440" w:lineRule="exact"/>
              <w:ind w:left="66" w:right="66"/>
              <w:rPr>
                <w:rFonts w:eastAsia="仿宋_GB2312"/>
                <w:color w:val="auto"/>
                <w:sz w:val="28"/>
                <w:szCs w:val="28"/>
                <w:highlight w:val="none"/>
                <w:lang w:val="en-US"/>
              </w:rPr>
            </w:pPr>
          </w:p>
        </w:tc>
      </w:tr>
      <w:tr w14:paraId="3E465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5C3F59D9">
            <w:pPr>
              <w:pStyle w:val="3"/>
              <w:keepNext/>
              <w:spacing w:line="440" w:lineRule="exact"/>
              <w:ind w:left="66" w:right="66"/>
              <w:rPr>
                <w:rFonts w:eastAsia="仿宋_GB2312"/>
                <w:color w:val="auto"/>
                <w:sz w:val="28"/>
                <w:szCs w:val="28"/>
                <w:highlight w:val="none"/>
                <w:lang w:val="en-US"/>
              </w:rPr>
            </w:pPr>
          </w:p>
        </w:tc>
        <w:tc>
          <w:tcPr>
            <w:tcW w:w="1418" w:type="dxa"/>
            <w:vAlign w:val="center"/>
          </w:tcPr>
          <w:p w14:paraId="0566B506">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503B5CD4">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10650CF5">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0FAEC19D">
            <w:pPr>
              <w:pStyle w:val="3"/>
              <w:keepNext/>
              <w:spacing w:line="440" w:lineRule="exact"/>
              <w:ind w:left="66" w:right="66"/>
              <w:rPr>
                <w:rFonts w:eastAsia="仿宋_GB2312"/>
                <w:color w:val="auto"/>
                <w:sz w:val="28"/>
                <w:szCs w:val="28"/>
                <w:highlight w:val="none"/>
                <w:lang w:val="en-US"/>
              </w:rPr>
            </w:pPr>
          </w:p>
        </w:tc>
      </w:tr>
      <w:tr w14:paraId="740B82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2B7B4F8E">
            <w:pPr>
              <w:pStyle w:val="3"/>
              <w:keepNext/>
              <w:spacing w:line="440" w:lineRule="exact"/>
              <w:ind w:left="66" w:right="66"/>
              <w:rPr>
                <w:rFonts w:eastAsia="仿宋_GB2312"/>
                <w:color w:val="auto"/>
                <w:sz w:val="28"/>
                <w:szCs w:val="28"/>
                <w:highlight w:val="none"/>
                <w:lang w:val="en-US"/>
              </w:rPr>
            </w:pPr>
          </w:p>
        </w:tc>
        <w:tc>
          <w:tcPr>
            <w:tcW w:w="1418" w:type="dxa"/>
            <w:vAlign w:val="center"/>
          </w:tcPr>
          <w:p w14:paraId="34A7D6D3">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25E92722">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7C8F0BF4">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16CA9038">
            <w:pPr>
              <w:pStyle w:val="3"/>
              <w:keepNext/>
              <w:spacing w:line="440" w:lineRule="exact"/>
              <w:ind w:left="66" w:right="66"/>
              <w:rPr>
                <w:rFonts w:eastAsia="仿宋_GB2312"/>
                <w:color w:val="auto"/>
                <w:sz w:val="28"/>
                <w:szCs w:val="28"/>
                <w:highlight w:val="none"/>
                <w:lang w:val="en-US"/>
              </w:rPr>
            </w:pPr>
          </w:p>
        </w:tc>
      </w:tr>
      <w:tr w14:paraId="46CE0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789A06EB">
            <w:pPr>
              <w:pStyle w:val="3"/>
              <w:keepNext/>
              <w:spacing w:line="440" w:lineRule="exact"/>
              <w:ind w:left="66" w:right="66"/>
              <w:rPr>
                <w:rFonts w:eastAsia="仿宋_GB2312"/>
                <w:color w:val="auto"/>
                <w:sz w:val="28"/>
                <w:szCs w:val="28"/>
                <w:highlight w:val="none"/>
                <w:lang w:val="en-US"/>
              </w:rPr>
            </w:pPr>
          </w:p>
        </w:tc>
        <w:tc>
          <w:tcPr>
            <w:tcW w:w="1418" w:type="dxa"/>
            <w:vAlign w:val="center"/>
          </w:tcPr>
          <w:p w14:paraId="48085BFB">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03BD9AB5">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1BE4C229">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31F95F69">
            <w:pPr>
              <w:pStyle w:val="3"/>
              <w:keepNext/>
              <w:spacing w:line="440" w:lineRule="exact"/>
              <w:ind w:left="66" w:right="66"/>
              <w:rPr>
                <w:rFonts w:eastAsia="仿宋_GB2312"/>
                <w:color w:val="auto"/>
                <w:sz w:val="28"/>
                <w:szCs w:val="28"/>
                <w:highlight w:val="none"/>
                <w:lang w:val="en-US"/>
              </w:rPr>
            </w:pPr>
          </w:p>
        </w:tc>
      </w:tr>
      <w:tr w14:paraId="4EF6C8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vAlign w:val="center"/>
          </w:tcPr>
          <w:p w14:paraId="68235570">
            <w:pPr>
              <w:pStyle w:val="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其他人员</w:t>
            </w:r>
          </w:p>
        </w:tc>
        <w:tc>
          <w:tcPr>
            <w:tcW w:w="1418" w:type="dxa"/>
            <w:vAlign w:val="center"/>
          </w:tcPr>
          <w:p w14:paraId="2E9192BD">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21B72977">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0ABE74AE">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478EDE66">
            <w:pPr>
              <w:pStyle w:val="3"/>
              <w:keepNext/>
              <w:spacing w:line="440" w:lineRule="exact"/>
              <w:ind w:left="66" w:right="66"/>
              <w:rPr>
                <w:rFonts w:eastAsia="仿宋_GB2312"/>
                <w:color w:val="auto"/>
                <w:sz w:val="28"/>
                <w:szCs w:val="28"/>
                <w:highlight w:val="none"/>
                <w:lang w:val="en-US"/>
              </w:rPr>
            </w:pPr>
          </w:p>
        </w:tc>
      </w:tr>
      <w:tr w14:paraId="335440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6C82EAFD">
            <w:pPr>
              <w:pStyle w:val="3"/>
              <w:keepNext/>
              <w:spacing w:line="440" w:lineRule="exact"/>
              <w:ind w:left="66" w:right="66"/>
              <w:rPr>
                <w:rFonts w:eastAsia="仿宋_GB2312"/>
                <w:color w:val="auto"/>
                <w:sz w:val="28"/>
                <w:szCs w:val="28"/>
                <w:highlight w:val="none"/>
                <w:lang w:val="en-US"/>
              </w:rPr>
            </w:pPr>
          </w:p>
        </w:tc>
        <w:tc>
          <w:tcPr>
            <w:tcW w:w="1418" w:type="dxa"/>
            <w:vAlign w:val="center"/>
          </w:tcPr>
          <w:p w14:paraId="757DEFC8">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7B64BFDE">
            <w:pPr>
              <w:pStyle w:val="3"/>
              <w:keepNext/>
              <w:spacing w:line="440" w:lineRule="exact"/>
              <w:ind w:left="66" w:right="66"/>
              <w:rPr>
                <w:rFonts w:eastAsia="仿宋_GB2312"/>
                <w:color w:val="auto"/>
                <w:sz w:val="28"/>
                <w:szCs w:val="28"/>
                <w:highlight w:val="none"/>
                <w:lang w:val="en-US"/>
              </w:rPr>
            </w:pPr>
          </w:p>
        </w:tc>
        <w:tc>
          <w:tcPr>
            <w:tcW w:w="1134" w:type="dxa"/>
            <w:vAlign w:val="center"/>
          </w:tcPr>
          <w:p w14:paraId="63219D5C">
            <w:pPr>
              <w:pStyle w:val="3"/>
              <w:keepNext/>
              <w:spacing w:line="440" w:lineRule="exact"/>
              <w:ind w:left="66" w:right="66"/>
              <w:rPr>
                <w:rFonts w:eastAsia="仿宋_GB2312"/>
                <w:color w:val="auto"/>
                <w:sz w:val="28"/>
                <w:szCs w:val="28"/>
                <w:highlight w:val="none"/>
                <w:lang w:val="en-US"/>
              </w:rPr>
            </w:pPr>
          </w:p>
        </w:tc>
        <w:tc>
          <w:tcPr>
            <w:tcW w:w="4252" w:type="dxa"/>
            <w:vAlign w:val="center"/>
          </w:tcPr>
          <w:p w14:paraId="1B9EBA0D">
            <w:pPr>
              <w:pStyle w:val="3"/>
              <w:keepNext/>
              <w:spacing w:line="440" w:lineRule="exact"/>
              <w:ind w:left="66" w:right="66"/>
              <w:rPr>
                <w:rFonts w:eastAsia="仿宋_GB2312"/>
                <w:color w:val="auto"/>
                <w:sz w:val="28"/>
                <w:szCs w:val="28"/>
                <w:highlight w:val="none"/>
                <w:lang w:val="en-US"/>
              </w:rPr>
            </w:pPr>
          </w:p>
        </w:tc>
      </w:tr>
      <w:tr w14:paraId="64E145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4230605D">
            <w:pPr>
              <w:pStyle w:val="3"/>
              <w:keepNext/>
              <w:spacing w:line="440" w:lineRule="exact"/>
              <w:ind w:left="66" w:right="66"/>
              <w:rPr>
                <w:rFonts w:eastAsia="仿宋_GB2312"/>
                <w:color w:val="auto"/>
                <w:sz w:val="28"/>
                <w:szCs w:val="28"/>
                <w:highlight w:val="none"/>
                <w:lang w:val="en-US"/>
              </w:rPr>
            </w:pPr>
          </w:p>
        </w:tc>
        <w:tc>
          <w:tcPr>
            <w:tcW w:w="1418" w:type="dxa"/>
            <w:tcBorders>
              <w:bottom w:val="single" w:color="auto" w:sz="12" w:space="0"/>
            </w:tcBorders>
            <w:vAlign w:val="center"/>
          </w:tcPr>
          <w:p w14:paraId="54ED9638">
            <w:pPr>
              <w:pStyle w:val="3"/>
              <w:keepNext/>
              <w:spacing w:line="440" w:lineRule="exact"/>
              <w:ind w:left="66" w:right="66"/>
              <w:rPr>
                <w:rFonts w:eastAsia="仿宋_GB2312"/>
                <w:color w:val="auto"/>
                <w:sz w:val="28"/>
                <w:szCs w:val="28"/>
                <w:highlight w:val="none"/>
                <w:lang w:val="en-US"/>
              </w:rPr>
            </w:pPr>
          </w:p>
        </w:tc>
        <w:tc>
          <w:tcPr>
            <w:tcW w:w="1134" w:type="dxa"/>
            <w:tcBorders>
              <w:bottom w:val="single" w:color="auto" w:sz="12" w:space="0"/>
            </w:tcBorders>
            <w:vAlign w:val="center"/>
          </w:tcPr>
          <w:p w14:paraId="39A8B24B">
            <w:pPr>
              <w:pStyle w:val="3"/>
              <w:keepNext/>
              <w:spacing w:line="440" w:lineRule="exact"/>
              <w:ind w:left="66" w:right="66"/>
              <w:rPr>
                <w:rFonts w:eastAsia="仿宋_GB2312"/>
                <w:color w:val="auto"/>
                <w:sz w:val="28"/>
                <w:szCs w:val="28"/>
                <w:highlight w:val="none"/>
                <w:lang w:val="en-US"/>
              </w:rPr>
            </w:pPr>
          </w:p>
        </w:tc>
        <w:tc>
          <w:tcPr>
            <w:tcW w:w="1134" w:type="dxa"/>
            <w:tcBorders>
              <w:bottom w:val="single" w:color="auto" w:sz="12" w:space="0"/>
            </w:tcBorders>
            <w:vAlign w:val="center"/>
          </w:tcPr>
          <w:p w14:paraId="17CCB9D2">
            <w:pPr>
              <w:pStyle w:val="3"/>
              <w:keepNext/>
              <w:spacing w:line="440" w:lineRule="exact"/>
              <w:ind w:left="66" w:right="66"/>
              <w:rPr>
                <w:rFonts w:eastAsia="仿宋_GB2312"/>
                <w:color w:val="auto"/>
                <w:sz w:val="28"/>
                <w:szCs w:val="28"/>
                <w:highlight w:val="none"/>
                <w:lang w:val="en-US"/>
              </w:rPr>
            </w:pPr>
          </w:p>
        </w:tc>
        <w:tc>
          <w:tcPr>
            <w:tcW w:w="4252" w:type="dxa"/>
            <w:tcBorders>
              <w:bottom w:val="single" w:color="auto" w:sz="12" w:space="0"/>
            </w:tcBorders>
            <w:vAlign w:val="center"/>
          </w:tcPr>
          <w:p w14:paraId="24016736">
            <w:pPr>
              <w:pStyle w:val="3"/>
              <w:keepNext/>
              <w:spacing w:line="440" w:lineRule="exact"/>
              <w:ind w:left="66" w:right="66"/>
              <w:rPr>
                <w:rFonts w:eastAsia="仿宋_GB2312"/>
                <w:color w:val="auto"/>
                <w:sz w:val="28"/>
                <w:szCs w:val="28"/>
                <w:highlight w:val="none"/>
                <w:lang w:val="en-US"/>
              </w:rPr>
            </w:pPr>
          </w:p>
        </w:tc>
      </w:tr>
    </w:tbl>
    <w:p w14:paraId="313DCD5D">
      <w:pPr>
        <w:spacing w:line="440" w:lineRule="exact"/>
        <w:rPr>
          <w:rFonts w:eastAsia="黑体"/>
          <w:color w:val="auto"/>
          <w:sz w:val="28"/>
          <w:szCs w:val="28"/>
          <w:highlight w:val="none"/>
        </w:rPr>
      </w:pPr>
      <w:r>
        <w:rPr>
          <w:rFonts w:eastAsia="仿宋_GB2312"/>
          <w:color w:val="auto"/>
          <w:sz w:val="28"/>
          <w:szCs w:val="28"/>
          <w:highlight w:val="none"/>
        </w:rPr>
        <w:br w:type="page"/>
      </w:r>
      <w:bookmarkStart w:id="1033" w:name="_Toc267261701"/>
      <w:r>
        <w:rPr>
          <w:rFonts w:eastAsia="仿宋_GB2312"/>
          <w:color w:val="auto"/>
          <w:sz w:val="28"/>
          <w:szCs w:val="28"/>
          <w:highlight w:val="none"/>
        </w:rPr>
        <w:t>附</w:t>
      </w:r>
      <w:bookmarkStart w:id="1034" w:name="_Toc296503231"/>
      <w:bookmarkStart w:id="1035" w:name="_Toc296347230"/>
      <w:bookmarkStart w:id="1036" w:name="_Toc296944570"/>
      <w:bookmarkStart w:id="1037" w:name="_Toc296891271"/>
      <w:bookmarkStart w:id="1038" w:name="_Toc296346732"/>
      <w:bookmarkStart w:id="1039" w:name="_Toc296891059"/>
      <w:r>
        <w:rPr>
          <w:rFonts w:eastAsia="仿宋_GB2312"/>
          <w:color w:val="auto"/>
          <w:sz w:val="28"/>
          <w:szCs w:val="28"/>
          <w:highlight w:val="none"/>
        </w:rPr>
        <w:t>件</w:t>
      </w:r>
      <w:r>
        <w:rPr>
          <w:rFonts w:hint="eastAsia" w:eastAsia="仿宋_GB2312"/>
          <w:color w:val="auto"/>
          <w:sz w:val="28"/>
          <w:szCs w:val="28"/>
          <w:highlight w:val="none"/>
        </w:rPr>
        <w:t>4</w:t>
      </w:r>
      <w:r>
        <w:rPr>
          <w:rFonts w:eastAsia="仿宋_GB2312"/>
          <w:color w:val="auto"/>
          <w:sz w:val="28"/>
          <w:szCs w:val="28"/>
          <w:highlight w:val="none"/>
        </w:rPr>
        <w:t>：</w:t>
      </w:r>
    </w:p>
    <w:bookmarkEnd w:id="1033"/>
    <w:bookmarkEnd w:id="1034"/>
    <w:bookmarkEnd w:id="1035"/>
    <w:bookmarkEnd w:id="1036"/>
    <w:bookmarkEnd w:id="1037"/>
    <w:bookmarkEnd w:id="1038"/>
    <w:bookmarkEnd w:id="1039"/>
    <w:p w14:paraId="2AFC30DE">
      <w:pPr>
        <w:spacing w:before="120" w:beforeLines="50" w:after="120" w:afterLines="50"/>
        <w:jc w:val="center"/>
        <w:rPr>
          <w:rFonts w:eastAsia="黑体"/>
          <w:color w:val="auto"/>
          <w:sz w:val="28"/>
          <w:szCs w:val="28"/>
          <w:highlight w:val="none"/>
        </w:rPr>
      </w:pPr>
      <w:r>
        <w:rPr>
          <w:rFonts w:eastAsia="黑体"/>
          <w:color w:val="auto"/>
          <w:sz w:val="28"/>
          <w:szCs w:val="28"/>
          <w:highlight w:val="none"/>
        </w:rPr>
        <w:t>履约担保</w:t>
      </w:r>
    </w:p>
    <w:p w14:paraId="27EB8473">
      <w:pPr>
        <w:rPr>
          <w:rFonts w:eastAsia="仿宋_GB2312"/>
          <w:color w:val="auto"/>
          <w:sz w:val="28"/>
          <w:szCs w:val="28"/>
          <w:highlight w:val="none"/>
        </w:rPr>
      </w:pPr>
      <w:r>
        <w:rPr>
          <w:rFonts w:eastAsia="仿宋_GB2312"/>
          <w:color w:val="auto"/>
          <w:sz w:val="28"/>
          <w:szCs w:val="28"/>
          <w:highlight w:val="none"/>
          <w:u w:val="single"/>
        </w:rPr>
        <w:tab/>
      </w:r>
      <w:r>
        <w:rPr>
          <w:rFonts w:eastAsia="仿宋_GB2312"/>
          <w:color w:val="auto"/>
          <w:sz w:val="28"/>
          <w:szCs w:val="28"/>
          <w:highlight w:val="none"/>
          <w:u w:val="single"/>
        </w:rPr>
        <w:t>（发包人名称）</w:t>
      </w:r>
      <w:r>
        <w:rPr>
          <w:rFonts w:eastAsia="仿宋_GB2312"/>
          <w:color w:val="auto"/>
          <w:sz w:val="28"/>
          <w:szCs w:val="28"/>
          <w:highlight w:val="none"/>
        </w:rPr>
        <w:t>：</w:t>
      </w:r>
    </w:p>
    <w:p w14:paraId="1144F46A">
      <w:pPr>
        <w:rPr>
          <w:rFonts w:eastAsia="仿宋_GB2312"/>
          <w:color w:val="auto"/>
          <w:sz w:val="28"/>
          <w:szCs w:val="28"/>
          <w:highlight w:val="none"/>
        </w:rPr>
      </w:pPr>
    </w:p>
    <w:p w14:paraId="1D6148AC">
      <w:pPr>
        <w:ind w:firstLine="560" w:firstLineChars="200"/>
        <w:rPr>
          <w:rFonts w:eastAsia="仿宋_GB2312"/>
          <w:color w:val="auto"/>
          <w:sz w:val="28"/>
          <w:szCs w:val="28"/>
          <w:highlight w:val="none"/>
        </w:rPr>
      </w:pPr>
      <w:r>
        <w:rPr>
          <w:rFonts w:eastAsia="仿宋_GB2312"/>
          <w:color w:val="auto"/>
          <w:sz w:val="28"/>
          <w:szCs w:val="28"/>
          <w:highlight w:val="none"/>
        </w:rPr>
        <w:t>鉴于（发包人名称，以下简称“发包人”）与</w:t>
      </w:r>
    </w:p>
    <w:p w14:paraId="382DB0DF">
      <w:pPr>
        <w:rPr>
          <w:rFonts w:eastAsia="仿宋_GB2312"/>
          <w:color w:val="auto"/>
          <w:sz w:val="28"/>
          <w:szCs w:val="28"/>
          <w:highlight w:val="none"/>
        </w:rPr>
      </w:pPr>
      <w:r>
        <w:rPr>
          <w:rFonts w:eastAsia="仿宋_GB2312"/>
          <w:color w:val="auto"/>
          <w:sz w:val="28"/>
          <w:szCs w:val="28"/>
          <w:highlight w:val="none"/>
        </w:rPr>
        <w:t xml:space="preserve">（承包人名称）（以下称“承包人”）于年月日就（工程名称）施工及有关事项协商一致共同签订《建设工程施工合同》。我方愿意无条件地、不可撤销地就承包人履行与你方签订的合同，向你方提供连带责任担保。 </w:t>
      </w:r>
    </w:p>
    <w:p w14:paraId="4BE7324E">
      <w:pPr>
        <w:ind w:firstLine="560" w:firstLineChars="200"/>
        <w:rPr>
          <w:rFonts w:eastAsia="仿宋_GB2312"/>
          <w:color w:val="auto"/>
          <w:sz w:val="28"/>
          <w:szCs w:val="28"/>
          <w:highlight w:val="none"/>
        </w:rPr>
      </w:pPr>
      <w:r>
        <w:rPr>
          <w:rFonts w:eastAsia="仿宋_GB2312"/>
          <w:color w:val="auto"/>
          <w:sz w:val="28"/>
          <w:szCs w:val="28"/>
          <w:highlight w:val="none"/>
        </w:rPr>
        <w:t>1. 担保金额人民币（大写）</w:t>
      </w:r>
      <w:r>
        <w:rPr>
          <w:rFonts w:hint="eastAsia" w:eastAsia="仿宋_GB2312"/>
          <w:color w:val="auto"/>
          <w:sz w:val="28"/>
          <w:szCs w:val="28"/>
          <w:highlight w:val="none"/>
          <w:u w:val="single"/>
        </w:rPr>
        <w:t xml:space="preserve">                </w:t>
      </w:r>
      <w:r>
        <w:rPr>
          <w:rFonts w:eastAsia="仿宋_GB2312"/>
          <w:color w:val="auto"/>
          <w:sz w:val="28"/>
          <w:szCs w:val="28"/>
          <w:highlight w:val="none"/>
        </w:rPr>
        <w:t>元（¥</w:t>
      </w:r>
      <w:r>
        <w:rPr>
          <w:rFonts w:hint="eastAsia" w:eastAsia="仿宋_GB2312"/>
          <w:color w:val="auto"/>
          <w:sz w:val="28"/>
          <w:szCs w:val="28"/>
          <w:highlight w:val="none"/>
          <w:u w:val="single"/>
        </w:rPr>
        <w:t xml:space="preserve">              </w:t>
      </w:r>
      <w:r>
        <w:rPr>
          <w:rFonts w:hint="eastAsia" w:eastAsia="仿宋_GB2312"/>
          <w:color w:val="auto"/>
          <w:sz w:val="28"/>
          <w:szCs w:val="28"/>
          <w:highlight w:val="none"/>
        </w:rPr>
        <w:t xml:space="preserve"> </w:t>
      </w:r>
      <w:r>
        <w:rPr>
          <w:rFonts w:eastAsia="仿宋_GB2312"/>
          <w:color w:val="auto"/>
          <w:sz w:val="28"/>
          <w:szCs w:val="28"/>
          <w:highlight w:val="none"/>
        </w:rPr>
        <w:t>）。</w:t>
      </w:r>
    </w:p>
    <w:p w14:paraId="7F81A543">
      <w:pPr>
        <w:ind w:firstLine="560" w:firstLineChars="200"/>
        <w:rPr>
          <w:rFonts w:eastAsia="仿宋_GB2312"/>
          <w:color w:val="auto"/>
          <w:sz w:val="28"/>
          <w:szCs w:val="28"/>
          <w:highlight w:val="none"/>
        </w:rPr>
      </w:pPr>
      <w:r>
        <w:rPr>
          <w:rFonts w:eastAsia="仿宋_GB2312"/>
          <w:color w:val="auto"/>
          <w:sz w:val="28"/>
          <w:szCs w:val="28"/>
          <w:highlight w:val="none"/>
        </w:rPr>
        <w:t>2. 担保有效期自你方与承包人签订的合同生效之日起至你方签发或应签发工程接收证书之日止。</w:t>
      </w:r>
    </w:p>
    <w:p w14:paraId="2BADEDC2">
      <w:pPr>
        <w:ind w:firstLine="560" w:firstLineChars="200"/>
        <w:rPr>
          <w:rFonts w:eastAsia="仿宋_GB2312"/>
          <w:color w:val="auto"/>
          <w:sz w:val="28"/>
          <w:szCs w:val="28"/>
          <w:highlight w:val="none"/>
        </w:rPr>
      </w:pPr>
      <w:r>
        <w:rPr>
          <w:rFonts w:eastAsia="仿宋_GB2312"/>
          <w:color w:val="auto"/>
          <w:sz w:val="28"/>
          <w:szCs w:val="28"/>
          <w:highlight w:val="none"/>
        </w:rPr>
        <w:t>3. 在本担保有效期内，因承包人违反合同约定的义务给你方造成经济损失时，我方在收到你方以书面形式提出的在担保金额内的赔偿要求后，在7天内无条件支付。</w:t>
      </w:r>
    </w:p>
    <w:p w14:paraId="4A86ED0A">
      <w:pPr>
        <w:ind w:firstLine="560" w:firstLineChars="200"/>
        <w:rPr>
          <w:rFonts w:eastAsia="仿宋_GB2312"/>
          <w:color w:val="auto"/>
          <w:sz w:val="28"/>
          <w:szCs w:val="28"/>
          <w:highlight w:val="none"/>
        </w:rPr>
      </w:pPr>
      <w:r>
        <w:rPr>
          <w:rFonts w:eastAsia="仿宋_GB2312"/>
          <w:color w:val="auto"/>
          <w:sz w:val="28"/>
          <w:szCs w:val="28"/>
          <w:highlight w:val="none"/>
        </w:rPr>
        <w:t>4. 你方和承包人按合同约定变更合同时，我方承担本担保规定的义务不变。</w:t>
      </w:r>
    </w:p>
    <w:p w14:paraId="35407000">
      <w:pPr>
        <w:ind w:firstLine="560" w:firstLineChars="200"/>
        <w:rPr>
          <w:rFonts w:eastAsia="仿宋_GB2312"/>
          <w:color w:val="auto"/>
          <w:sz w:val="28"/>
          <w:szCs w:val="28"/>
          <w:highlight w:val="none"/>
        </w:rPr>
      </w:pPr>
      <w:r>
        <w:rPr>
          <w:rFonts w:eastAsia="仿宋_GB2312"/>
          <w:color w:val="auto"/>
          <w:sz w:val="28"/>
          <w:szCs w:val="28"/>
          <w:highlight w:val="none"/>
        </w:rPr>
        <w:t>5. 因本保函发生的纠纷，可由双方协商解决，协商不成的，</w:t>
      </w:r>
      <w:r>
        <w:rPr>
          <w:rFonts w:hint="eastAsia" w:eastAsia="仿宋_GB2312"/>
          <w:color w:val="auto"/>
          <w:sz w:val="28"/>
          <w:szCs w:val="28"/>
          <w:highlight w:val="none"/>
        </w:rPr>
        <w:t>任何一方均可向杭州市人民法院起诉。</w:t>
      </w:r>
    </w:p>
    <w:p w14:paraId="041581E7">
      <w:pPr>
        <w:ind w:firstLine="560" w:firstLineChars="200"/>
        <w:rPr>
          <w:rFonts w:eastAsia="仿宋_GB2312"/>
          <w:color w:val="auto"/>
          <w:sz w:val="28"/>
          <w:szCs w:val="28"/>
          <w:highlight w:val="none"/>
        </w:rPr>
      </w:pPr>
      <w:r>
        <w:rPr>
          <w:rFonts w:eastAsia="仿宋_GB2312"/>
          <w:color w:val="auto"/>
          <w:sz w:val="28"/>
          <w:szCs w:val="28"/>
          <w:highlight w:val="none"/>
        </w:rPr>
        <w:t>6. 本保函自我方法定代表人（或其授权代理人）签字并加盖公章之日起生效。</w:t>
      </w:r>
    </w:p>
    <w:p w14:paraId="48251C7C">
      <w:pPr>
        <w:rPr>
          <w:rFonts w:eastAsia="仿宋_GB2312"/>
          <w:color w:val="auto"/>
          <w:sz w:val="28"/>
          <w:szCs w:val="28"/>
          <w:highlight w:val="none"/>
        </w:rPr>
      </w:pPr>
    </w:p>
    <w:p w14:paraId="52C2A945">
      <w:pPr>
        <w:rPr>
          <w:rFonts w:eastAsia="仿宋_GB2312"/>
          <w:color w:val="auto"/>
          <w:sz w:val="28"/>
          <w:szCs w:val="28"/>
          <w:highlight w:val="none"/>
        </w:rPr>
      </w:pPr>
      <w:r>
        <w:rPr>
          <w:rFonts w:eastAsia="仿宋_GB2312"/>
          <w:color w:val="auto"/>
          <w:sz w:val="28"/>
          <w:szCs w:val="28"/>
          <w:highlight w:val="none"/>
        </w:rPr>
        <w:t>担 保 人：（盖单位章）</w:t>
      </w:r>
    </w:p>
    <w:p w14:paraId="10E4AF4F">
      <w:pPr>
        <w:rPr>
          <w:rFonts w:eastAsia="仿宋_GB2312"/>
          <w:color w:val="auto"/>
          <w:sz w:val="28"/>
          <w:szCs w:val="28"/>
          <w:highlight w:val="none"/>
        </w:rPr>
      </w:pPr>
      <w:r>
        <w:rPr>
          <w:rFonts w:eastAsia="仿宋_GB2312"/>
          <w:color w:val="auto"/>
          <w:sz w:val="28"/>
          <w:szCs w:val="28"/>
          <w:highlight w:val="none"/>
        </w:rPr>
        <w:t>法定代表人或其委托代理人：（签字）</w:t>
      </w:r>
    </w:p>
    <w:p w14:paraId="30262B1D">
      <w:pPr>
        <w:rPr>
          <w:rFonts w:eastAsia="仿宋_GB2312"/>
          <w:color w:val="auto"/>
          <w:sz w:val="28"/>
          <w:szCs w:val="28"/>
          <w:highlight w:val="none"/>
        </w:rPr>
      </w:pPr>
      <w:r>
        <w:rPr>
          <w:rFonts w:eastAsia="仿宋_GB2312"/>
          <w:color w:val="auto"/>
          <w:sz w:val="28"/>
          <w:szCs w:val="28"/>
          <w:highlight w:val="none"/>
        </w:rPr>
        <w:t>地    址：</w:t>
      </w:r>
    </w:p>
    <w:p w14:paraId="4350C0F7">
      <w:pPr>
        <w:rPr>
          <w:rFonts w:eastAsia="仿宋_GB2312"/>
          <w:color w:val="auto"/>
          <w:sz w:val="28"/>
          <w:szCs w:val="28"/>
          <w:highlight w:val="none"/>
        </w:rPr>
      </w:pPr>
      <w:r>
        <w:rPr>
          <w:rFonts w:eastAsia="仿宋_GB2312"/>
          <w:color w:val="auto"/>
          <w:sz w:val="28"/>
          <w:szCs w:val="28"/>
          <w:highlight w:val="none"/>
        </w:rPr>
        <w:t>邮政编码：</w:t>
      </w:r>
    </w:p>
    <w:p w14:paraId="0C079DDF">
      <w:pPr>
        <w:rPr>
          <w:rFonts w:eastAsia="仿宋_GB2312"/>
          <w:color w:val="auto"/>
          <w:sz w:val="28"/>
          <w:szCs w:val="28"/>
          <w:highlight w:val="none"/>
          <w:u w:val="single"/>
        </w:rPr>
      </w:pPr>
      <w:r>
        <w:rPr>
          <w:rFonts w:eastAsia="仿宋_GB2312"/>
          <w:color w:val="auto"/>
          <w:sz w:val="28"/>
          <w:szCs w:val="28"/>
          <w:highlight w:val="none"/>
        </w:rPr>
        <w:t>电    话：</w:t>
      </w:r>
    </w:p>
    <w:p w14:paraId="1B403B32">
      <w:pPr>
        <w:ind w:left="1772" w:hanging="1772" w:hangingChars="633"/>
        <w:rPr>
          <w:rFonts w:eastAsia="仿宋_GB2312"/>
          <w:color w:val="auto"/>
          <w:sz w:val="28"/>
          <w:szCs w:val="28"/>
          <w:highlight w:val="none"/>
        </w:rPr>
      </w:pPr>
      <w:r>
        <w:rPr>
          <w:rFonts w:eastAsia="仿宋_GB2312"/>
          <w:color w:val="auto"/>
          <w:sz w:val="28"/>
          <w:szCs w:val="28"/>
          <w:highlight w:val="none"/>
        </w:rPr>
        <w:t>年月日</w:t>
      </w:r>
      <w:r>
        <w:rPr>
          <w:rFonts w:hint="eastAsia" w:eastAsia="仿宋_GB2312"/>
          <w:color w:val="auto"/>
          <w:sz w:val="28"/>
          <w:szCs w:val="28"/>
          <w:highlight w:val="none"/>
        </w:rPr>
        <w:t>：</w:t>
      </w:r>
    </w:p>
    <w:p w14:paraId="0A2BB613">
      <w:pPr>
        <w:spacing w:line="360" w:lineRule="auto"/>
        <w:ind w:right="150" w:firstLine="562" w:firstLineChars="200"/>
        <w:rPr>
          <w:rFonts w:eastAsia="仿宋_GB2312"/>
          <w:color w:val="auto"/>
          <w:sz w:val="28"/>
          <w:szCs w:val="28"/>
          <w:highlight w:val="none"/>
        </w:rPr>
      </w:pPr>
      <w:r>
        <w:rPr>
          <w:rFonts w:eastAsia="仿宋_GB2312"/>
          <w:b/>
          <w:color w:val="auto"/>
          <w:sz w:val="28"/>
          <w:szCs w:val="28"/>
          <w:highlight w:val="none"/>
        </w:rPr>
        <w:br w:type="page"/>
      </w:r>
    </w:p>
    <w:p w14:paraId="49F4A043">
      <w:pPr>
        <w:spacing w:line="440" w:lineRule="exact"/>
        <w:rPr>
          <w:rFonts w:eastAsia="黑体"/>
          <w:color w:val="auto"/>
          <w:sz w:val="28"/>
          <w:szCs w:val="28"/>
          <w:highlight w:val="none"/>
        </w:rPr>
      </w:pPr>
      <w:r>
        <w:rPr>
          <w:rFonts w:eastAsia="仿宋_GB2312"/>
          <w:color w:val="auto"/>
          <w:sz w:val="28"/>
          <w:szCs w:val="28"/>
          <w:highlight w:val="none"/>
        </w:rPr>
        <w:t>附件</w:t>
      </w:r>
      <w:r>
        <w:rPr>
          <w:rFonts w:hint="eastAsia" w:eastAsia="仿宋_GB2312"/>
          <w:color w:val="auto"/>
          <w:sz w:val="28"/>
          <w:szCs w:val="28"/>
          <w:highlight w:val="none"/>
        </w:rPr>
        <w:t>5</w:t>
      </w:r>
      <w:r>
        <w:rPr>
          <w:rFonts w:eastAsia="仿宋_GB2312"/>
          <w:color w:val="auto"/>
          <w:sz w:val="28"/>
          <w:szCs w:val="28"/>
          <w:highlight w:val="none"/>
        </w:rPr>
        <w:t>：</w:t>
      </w:r>
    </w:p>
    <w:p w14:paraId="48B50E5E">
      <w:pPr>
        <w:spacing w:before="120" w:beforeLines="50" w:after="120" w:afterLines="50" w:line="440" w:lineRule="exact"/>
        <w:jc w:val="center"/>
        <w:rPr>
          <w:rFonts w:eastAsia="黑体"/>
          <w:color w:val="auto"/>
          <w:sz w:val="28"/>
          <w:szCs w:val="28"/>
          <w:highlight w:val="none"/>
        </w:rPr>
      </w:pPr>
      <w:r>
        <w:rPr>
          <w:rFonts w:eastAsia="黑体"/>
          <w:color w:val="auto"/>
          <w:sz w:val="28"/>
          <w:szCs w:val="28"/>
          <w:highlight w:val="none"/>
        </w:rPr>
        <w:t>11-1：材料暂估价表</w:t>
      </w:r>
    </w:p>
    <w:tbl>
      <w:tblPr>
        <w:tblStyle w:val="63"/>
        <w:tblW w:w="907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AC149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tcPr>
          <w:p w14:paraId="64F518CB">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序号</w:t>
            </w:r>
          </w:p>
        </w:tc>
        <w:tc>
          <w:tcPr>
            <w:tcW w:w="1984" w:type="dxa"/>
            <w:tcBorders>
              <w:top w:val="single" w:color="auto" w:sz="12" w:space="0"/>
              <w:bottom w:val="double" w:color="auto" w:sz="6" w:space="0"/>
            </w:tcBorders>
          </w:tcPr>
          <w:p w14:paraId="29C50C1F">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名称</w:t>
            </w:r>
          </w:p>
        </w:tc>
        <w:tc>
          <w:tcPr>
            <w:tcW w:w="851" w:type="dxa"/>
            <w:tcBorders>
              <w:top w:val="single" w:color="auto" w:sz="12" w:space="0"/>
              <w:bottom w:val="double" w:color="auto" w:sz="6" w:space="0"/>
            </w:tcBorders>
          </w:tcPr>
          <w:p w14:paraId="076EDC14">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单位</w:t>
            </w:r>
          </w:p>
        </w:tc>
        <w:tc>
          <w:tcPr>
            <w:tcW w:w="774" w:type="dxa"/>
            <w:tcBorders>
              <w:top w:val="single" w:color="auto" w:sz="12" w:space="0"/>
              <w:bottom w:val="double" w:color="auto" w:sz="6" w:space="0"/>
            </w:tcBorders>
          </w:tcPr>
          <w:p w14:paraId="42FDA470">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数量</w:t>
            </w:r>
          </w:p>
        </w:tc>
        <w:tc>
          <w:tcPr>
            <w:tcW w:w="1352" w:type="dxa"/>
            <w:tcBorders>
              <w:top w:val="single" w:color="auto" w:sz="12" w:space="0"/>
              <w:bottom w:val="double" w:color="auto" w:sz="6" w:space="0"/>
            </w:tcBorders>
          </w:tcPr>
          <w:p w14:paraId="179A26DF">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单价</w:t>
            </w:r>
            <w:r>
              <w:rPr>
                <w:rFonts w:hint="eastAsia" w:eastAsia="仿宋_GB2312"/>
                <w:color w:val="auto"/>
                <w:sz w:val="28"/>
                <w:szCs w:val="28"/>
                <w:highlight w:val="none"/>
                <w:lang w:val="en-US"/>
              </w:rPr>
              <w:t>（元）</w:t>
            </w:r>
          </w:p>
        </w:tc>
        <w:tc>
          <w:tcPr>
            <w:tcW w:w="1418" w:type="dxa"/>
            <w:tcBorders>
              <w:top w:val="single" w:color="auto" w:sz="12" w:space="0"/>
              <w:bottom w:val="double" w:color="auto" w:sz="6" w:space="0"/>
            </w:tcBorders>
          </w:tcPr>
          <w:p w14:paraId="0FD1E5BF">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合价</w:t>
            </w:r>
            <w:r>
              <w:rPr>
                <w:rFonts w:hint="eastAsia" w:eastAsia="仿宋_GB2312"/>
                <w:color w:val="auto"/>
                <w:sz w:val="28"/>
                <w:szCs w:val="28"/>
                <w:highlight w:val="none"/>
                <w:lang w:val="en-US"/>
              </w:rPr>
              <w:t>（元）</w:t>
            </w:r>
          </w:p>
        </w:tc>
        <w:tc>
          <w:tcPr>
            <w:tcW w:w="1701" w:type="dxa"/>
            <w:tcBorders>
              <w:top w:val="single" w:color="auto" w:sz="12" w:space="0"/>
              <w:bottom w:val="double" w:color="auto" w:sz="6" w:space="0"/>
            </w:tcBorders>
          </w:tcPr>
          <w:p w14:paraId="026794BA">
            <w:pPr>
              <w:pStyle w:val="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备注</w:t>
            </w:r>
          </w:p>
        </w:tc>
      </w:tr>
      <w:tr w14:paraId="344515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tcPr>
          <w:p w14:paraId="443B4FCC">
            <w:pPr>
              <w:pStyle w:val="3"/>
              <w:keepNext/>
              <w:spacing w:line="440" w:lineRule="exact"/>
              <w:ind w:left="66" w:right="66"/>
              <w:rPr>
                <w:rFonts w:eastAsia="仿宋_GB2312"/>
                <w:color w:val="auto"/>
                <w:sz w:val="28"/>
                <w:szCs w:val="28"/>
                <w:highlight w:val="none"/>
                <w:lang w:val="en-US"/>
              </w:rPr>
            </w:pPr>
          </w:p>
        </w:tc>
        <w:tc>
          <w:tcPr>
            <w:tcW w:w="1984" w:type="dxa"/>
            <w:tcBorders>
              <w:top w:val="double" w:color="auto" w:sz="6" w:space="0"/>
              <w:bottom w:val="single" w:color="auto" w:sz="6" w:space="0"/>
            </w:tcBorders>
          </w:tcPr>
          <w:p w14:paraId="32710B8B">
            <w:pPr>
              <w:pStyle w:val="3"/>
              <w:keepNext/>
              <w:spacing w:line="440" w:lineRule="exact"/>
              <w:ind w:left="66" w:right="66"/>
              <w:rPr>
                <w:rFonts w:eastAsia="仿宋_GB2312"/>
                <w:color w:val="auto"/>
                <w:sz w:val="28"/>
                <w:szCs w:val="28"/>
                <w:highlight w:val="none"/>
                <w:lang w:val="en-US"/>
              </w:rPr>
            </w:pPr>
          </w:p>
        </w:tc>
        <w:tc>
          <w:tcPr>
            <w:tcW w:w="851" w:type="dxa"/>
            <w:tcBorders>
              <w:top w:val="double" w:color="auto" w:sz="6" w:space="0"/>
              <w:bottom w:val="single" w:color="auto" w:sz="6" w:space="0"/>
            </w:tcBorders>
          </w:tcPr>
          <w:p w14:paraId="35D4A372">
            <w:pPr>
              <w:pStyle w:val="3"/>
              <w:keepNext/>
              <w:spacing w:line="440" w:lineRule="exact"/>
              <w:ind w:left="66" w:right="66"/>
              <w:rPr>
                <w:rFonts w:eastAsia="仿宋_GB2312"/>
                <w:color w:val="auto"/>
                <w:sz w:val="28"/>
                <w:szCs w:val="28"/>
                <w:highlight w:val="none"/>
                <w:lang w:val="en-US"/>
              </w:rPr>
            </w:pPr>
          </w:p>
        </w:tc>
        <w:tc>
          <w:tcPr>
            <w:tcW w:w="774" w:type="dxa"/>
            <w:tcBorders>
              <w:top w:val="double" w:color="auto" w:sz="6" w:space="0"/>
              <w:bottom w:val="single" w:color="auto" w:sz="6" w:space="0"/>
            </w:tcBorders>
          </w:tcPr>
          <w:p w14:paraId="398F1EFC">
            <w:pPr>
              <w:pStyle w:val="3"/>
              <w:keepNext/>
              <w:spacing w:line="440" w:lineRule="exact"/>
              <w:ind w:left="66" w:right="66"/>
              <w:rPr>
                <w:rFonts w:eastAsia="仿宋_GB2312"/>
                <w:color w:val="auto"/>
                <w:sz w:val="28"/>
                <w:szCs w:val="28"/>
                <w:highlight w:val="none"/>
                <w:lang w:val="en-US"/>
              </w:rPr>
            </w:pPr>
          </w:p>
        </w:tc>
        <w:tc>
          <w:tcPr>
            <w:tcW w:w="1352" w:type="dxa"/>
            <w:tcBorders>
              <w:top w:val="double" w:color="auto" w:sz="6" w:space="0"/>
              <w:bottom w:val="single" w:color="auto" w:sz="6" w:space="0"/>
            </w:tcBorders>
          </w:tcPr>
          <w:p w14:paraId="42A489D4">
            <w:pPr>
              <w:pStyle w:val="3"/>
              <w:keepNext/>
              <w:spacing w:line="440" w:lineRule="exact"/>
              <w:ind w:left="66" w:right="66"/>
              <w:rPr>
                <w:rFonts w:eastAsia="仿宋_GB2312"/>
                <w:color w:val="auto"/>
                <w:sz w:val="28"/>
                <w:szCs w:val="28"/>
                <w:highlight w:val="none"/>
                <w:lang w:val="en-US"/>
              </w:rPr>
            </w:pPr>
          </w:p>
        </w:tc>
        <w:tc>
          <w:tcPr>
            <w:tcW w:w="1418" w:type="dxa"/>
            <w:tcBorders>
              <w:top w:val="double" w:color="auto" w:sz="6" w:space="0"/>
              <w:bottom w:val="single" w:color="auto" w:sz="6" w:space="0"/>
            </w:tcBorders>
          </w:tcPr>
          <w:p w14:paraId="3D487384">
            <w:pPr>
              <w:pStyle w:val="3"/>
              <w:keepNext/>
              <w:spacing w:line="440" w:lineRule="exact"/>
              <w:ind w:left="66" w:right="66"/>
              <w:rPr>
                <w:rFonts w:eastAsia="仿宋_GB2312"/>
                <w:color w:val="auto"/>
                <w:sz w:val="28"/>
                <w:szCs w:val="28"/>
                <w:highlight w:val="none"/>
                <w:lang w:val="en-US"/>
              </w:rPr>
            </w:pPr>
          </w:p>
        </w:tc>
        <w:tc>
          <w:tcPr>
            <w:tcW w:w="1701" w:type="dxa"/>
            <w:tcBorders>
              <w:top w:val="double" w:color="auto" w:sz="6" w:space="0"/>
              <w:bottom w:val="single" w:color="auto" w:sz="6" w:space="0"/>
            </w:tcBorders>
          </w:tcPr>
          <w:p w14:paraId="1F845F34">
            <w:pPr>
              <w:pStyle w:val="3"/>
              <w:keepNext/>
              <w:spacing w:line="440" w:lineRule="exact"/>
              <w:ind w:left="66" w:right="66"/>
              <w:rPr>
                <w:rFonts w:eastAsia="仿宋_GB2312"/>
                <w:color w:val="auto"/>
                <w:sz w:val="28"/>
                <w:szCs w:val="28"/>
                <w:highlight w:val="none"/>
                <w:lang w:val="en-US"/>
              </w:rPr>
            </w:pPr>
          </w:p>
        </w:tc>
      </w:tr>
      <w:tr w14:paraId="0E10CA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tcPr>
          <w:p w14:paraId="5968C141">
            <w:pPr>
              <w:pStyle w:val="3"/>
              <w:keepNext/>
              <w:spacing w:line="440" w:lineRule="exact"/>
              <w:ind w:left="66" w:right="66"/>
              <w:rPr>
                <w:rFonts w:eastAsia="仿宋_GB2312"/>
                <w:color w:val="auto"/>
                <w:sz w:val="28"/>
                <w:szCs w:val="28"/>
                <w:highlight w:val="none"/>
                <w:lang w:val="en-US"/>
              </w:rPr>
            </w:pPr>
          </w:p>
        </w:tc>
        <w:tc>
          <w:tcPr>
            <w:tcW w:w="1984" w:type="dxa"/>
            <w:tcBorders>
              <w:top w:val="nil"/>
            </w:tcBorders>
          </w:tcPr>
          <w:p w14:paraId="22CAC59D">
            <w:pPr>
              <w:pStyle w:val="3"/>
              <w:keepNext/>
              <w:spacing w:line="440" w:lineRule="exact"/>
              <w:ind w:left="66" w:right="66"/>
              <w:rPr>
                <w:rFonts w:eastAsia="仿宋_GB2312"/>
                <w:color w:val="auto"/>
                <w:sz w:val="28"/>
                <w:szCs w:val="28"/>
                <w:highlight w:val="none"/>
                <w:lang w:val="en-US"/>
              </w:rPr>
            </w:pPr>
          </w:p>
        </w:tc>
        <w:tc>
          <w:tcPr>
            <w:tcW w:w="851" w:type="dxa"/>
            <w:tcBorders>
              <w:top w:val="nil"/>
            </w:tcBorders>
          </w:tcPr>
          <w:p w14:paraId="580BDA32">
            <w:pPr>
              <w:pStyle w:val="3"/>
              <w:keepNext/>
              <w:spacing w:line="440" w:lineRule="exact"/>
              <w:ind w:left="66" w:right="66"/>
              <w:rPr>
                <w:rFonts w:eastAsia="仿宋_GB2312"/>
                <w:color w:val="auto"/>
                <w:sz w:val="28"/>
                <w:szCs w:val="28"/>
                <w:highlight w:val="none"/>
                <w:lang w:val="en-US"/>
              </w:rPr>
            </w:pPr>
          </w:p>
        </w:tc>
        <w:tc>
          <w:tcPr>
            <w:tcW w:w="774" w:type="dxa"/>
            <w:tcBorders>
              <w:top w:val="nil"/>
            </w:tcBorders>
          </w:tcPr>
          <w:p w14:paraId="59BE98EA">
            <w:pPr>
              <w:pStyle w:val="3"/>
              <w:keepNext/>
              <w:spacing w:line="440" w:lineRule="exact"/>
              <w:ind w:left="66" w:right="66"/>
              <w:rPr>
                <w:rFonts w:eastAsia="仿宋_GB2312"/>
                <w:color w:val="auto"/>
                <w:sz w:val="28"/>
                <w:szCs w:val="28"/>
                <w:highlight w:val="none"/>
                <w:lang w:val="en-US"/>
              </w:rPr>
            </w:pPr>
          </w:p>
        </w:tc>
        <w:tc>
          <w:tcPr>
            <w:tcW w:w="1352" w:type="dxa"/>
            <w:tcBorders>
              <w:top w:val="nil"/>
            </w:tcBorders>
          </w:tcPr>
          <w:p w14:paraId="7FFD204C">
            <w:pPr>
              <w:pStyle w:val="3"/>
              <w:keepNext/>
              <w:spacing w:line="440" w:lineRule="exact"/>
              <w:ind w:left="66" w:right="66"/>
              <w:rPr>
                <w:rFonts w:eastAsia="仿宋_GB2312"/>
                <w:color w:val="auto"/>
                <w:sz w:val="28"/>
                <w:szCs w:val="28"/>
                <w:highlight w:val="none"/>
                <w:lang w:val="en-US"/>
              </w:rPr>
            </w:pPr>
          </w:p>
        </w:tc>
        <w:tc>
          <w:tcPr>
            <w:tcW w:w="1418" w:type="dxa"/>
            <w:tcBorders>
              <w:top w:val="nil"/>
            </w:tcBorders>
          </w:tcPr>
          <w:p w14:paraId="2CCCF4E7">
            <w:pPr>
              <w:pStyle w:val="3"/>
              <w:keepNext/>
              <w:spacing w:line="440" w:lineRule="exact"/>
              <w:ind w:left="66" w:right="66"/>
              <w:rPr>
                <w:rFonts w:eastAsia="仿宋_GB2312"/>
                <w:color w:val="auto"/>
                <w:sz w:val="28"/>
                <w:szCs w:val="28"/>
                <w:highlight w:val="none"/>
                <w:lang w:val="en-US"/>
              </w:rPr>
            </w:pPr>
          </w:p>
        </w:tc>
        <w:tc>
          <w:tcPr>
            <w:tcW w:w="1701" w:type="dxa"/>
            <w:tcBorders>
              <w:top w:val="nil"/>
            </w:tcBorders>
          </w:tcPr>
          <w:p w14:paraId="4DDC0DF8">
            <w:pPr>
              <w:pStyle w:val="3"/>
              <w:keepNext/>
              <w:spacing w:line="440" w:lineRule="exact"/>
              <w:ind w:left="66" w:right="66"/>
              <w:rPr>
                <w:rFonts w:eastAsia="仿宋_GB2312"/>
                <w:color w:val="auto"/>
                <w:sz w:val="28"/>
                <w:szCs w:val="28"/>
                <w:highlight w:val="none"/>
                <w:lang w:val="en-US"/>
              </w:rPr>
            </w:pPr>
          </w:p>
        </w:tc>
      </w:tr>
      <w:tr w14:paraId="588EF2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5467650">
            <w:pPr>
              <w:pStyle w:val="3"/>
              <w:keepNext/>
              <w:spacing w:line="440" w:lineRule="exact"/>
              <w:ind w:left="66" w:right="66"/>
              <w:rPr>
                <w:rFonts w:eastAsia="仿宋_GB2312"/>
                <w:color w:val="auto"/>
                <w:sz w:val="28"/>
                <w:szCs w:val="28"/>
                <w:highlight w:val="none"/>
                <w:lang w:val="en-US"/>
              </w:rPr>
            </w:pPr>
          </w:p>
        </w:tc>
        <w:tc>
          <w:tcPr>
            <w:tcW w:w="1984" w:type="dxa"/>
          </w:tcPr>
          <w:p w14:paraId="6B35B114">
            <w:pPr>
              <w:pStyle w:val="3"/>
              <w:keepNext/>
              <w:spacing w:line="440" w:lineRule="exact"/>
              <w:ind w:left="66" w:right="66"/>
              <w:rPr>
                <w:rFonts w:eastAsia="仿宋_GB2312"/>
                <w:color w:val="auto"/>
                <w:sz w:val="28"/>
                <w:szCs w:val="28"/>
                <w:highlight w:val="none"/>
                <w:lang w:val="en-US"/>
              </w:rPr>
            </w:pPr>
          </w:p>
        </w:tc>
        <w:tc>
          <w:tcPr>
            <w:tcW w:w="851" w:type="dxa"/>
          </w:tcPr>
          <w:p w14:paraId="05D73A30">
            <w:pPr>
              <w:pStyle w:val="3"/>
              <w:keepNext/>
              <w:spacing w:line="440" w:lineRule="exact"/>
              <w:ind w:left="66" w:right="66"/>
              <w:rPr>
                <w:rFonts w:eastAsia="仿宋_GB2312"/>
                <w:color w:val="auto"/>
                <w:sz w:val="28"/>
                <w:szCs w:val="28"/>
                <w:highlight w:val="none"/>
                <w:lang w:val="en-US"/>
              </w:rPr>
            </w:pPr>
          </w:p>
        </w:tc>
        <w:tc>
          <w:tcPr>
            <w:tcW w:w="774" w:type="dxa"/>
          </w:tcPr>
          <w:p w14:paraId="2CE008E6">
            <w:pPr>
              <w:pStyle w:val="3"/>
              <w:keepNext/>
              <w:spacing w:line="440" w:lineRule="exact"/>
              <w:ind w:left="66" w:right="66"/>
              <w:rPr>
                <w:rFonts w:eastAsia="仿宋_GB2312"/>
                <w:color w:val="auto"/>
                <w:sz w:val="28"/>
                <w:szCs w:val="28"/>
                <w:highlight w:val="none"/>
                <w:lang w:val="en-US"/>
              </w:rPr>
            </w:pPr>
          </w:p>
        </w:tc>
        <w:tc>
          <w:tcPr>
            <w:tcW w:w="1352" w:type="dxa"/>
          </w:tcPr>
          <w:p w14:paraId="29C221A5">
            <w:pPr>
              <w:pStyle w:val="3"/>
              <w:keepNext/>
              <w:spacing w:line="440" w:lineRule="exact"/>
              <w:ind w:left="66" w:right="66"/>
              <w:rPr>
                <w:rFonts w:eastAsia="仿宋_GB2312"/>
                <w:color w:val="auto"/>
                <w:sz w:val="28"/>
                <w:szCs w:val="28"/>
                <w:highlight w:val="none"/>
                <w:lang w:val="en-US"/>
              </w:rPr>
            </w:pPr>
          </w:p>
        </w:tc>
        <w:tc>
          <w:tcPr>
            <w:tcW w:w="1418" w:type="dxa"/>
          </w:tcPr>
          <w:p w14:paraId="1791725D">
            <w:pPr>
              <w:pStyle w:val="3"/>
              <w:keepNext/>
              <w:spacing w:line="440" w:lineRule="exact"/>
              <w:ind w:left="66" w:right="66"/>
              <w:rPr>
                <w:rFonts w:eastAsia="仿宋_GB2312"/>
                <w:color w:val="auto"/>
                <w:sz w:val="28"/>
                <w:szCs w:val="28"/>
                <w:highlight w:val="none"/>
                <w:lang w:val="en-US"/>
              </w:rPr>
            </w:pPr>
          </w:p>
        </w:tc>
        <w:tc>
          <w:tcPr>
            <w:tcW w:w="1701" w:type="dxa"/>
          </w:tcPr>
          <w:p w14:paraId="41DD0ED6">
            <w:pPr>
              <w:pStyle w:val="3"/>
              <w:keepNext/>
              <w:spacing w:line="440" w:lineRule="exact"/>
              <w:ind w:left="66" w:right="66"/>
              <w:rPr>
                <w:rFonts w:eastAsia="仿宋_GB2312"/>
                <w:color w:val="auto"/>
                <w:sz w:val="28"/>
                <w:szCs w:val="28"/>
                <w:highlight w:val="none"/>
                <w:lang w:val="en-US"/>
              </w:rPr>
            </w:pPr>
          </w:p>
        </w:tc>
      </w:tr>
      <w:tr w14:paraId="3F7C9F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7EF21D2E">
            <w:pPr>
              <w:pStyle w:val="3"/>
              <w:keepNext/>
              <w:spacing w:line="440" w:lineRule="exact"/>
              <w:ind w:left="66" w:right="66"/>
              <w:rPr>
                <w:rFonts w:eastAsia="仿宋_GB2312"/>
                <w:color w:val="auto"/>
                <w:sz w:val="28"/>
                <w:szCs w:val="28"/>
                <w:highlight w:val="none"/>
                <w:lang w:val="en-US"/>
              </w:rPr>
            </w:pPr>
          </w:p>
        </w:tc>
        <w:tc>
          <w:tcPr>
            <w:tcW w:w="1984" w:type="dxa"/>
          </w:tcPr>
          <w:p w14:paraId="29566A2B">
            <w:pPr>
              <w:pStyle w:val="3"/>
              <w:keepNext/>
              <w:spacing w:line="440" w:lineRule="exact"/>
              <w:ind w:left="66" w:right="66"/>
              <w:rPr>
                <w:rFonts w:eastAsia="仿宋_GB2312"/>
                <w:color w:val="auto"/>
                <w:sz w:val="28"/>
                <w:szCs w:val="28"/>
                <w:highlight w:val="none"/>
                <w:lang w:val="en-US"/>
              </w:rPr>
            </w:pPr>
          </w:p>
        </w:tc>
        <w:tc>
          <w:tcPr>
            <w:tcW w:w="851" w:type="dxa"/>
          </w:tcPr>
          <w:p w14:paraId="7333C238">
            <w:pPr>
              <w:pStyle w:val="3"/>
              <w:keepNext/>
              <w:spacing w:line="440" w:lineRule="exact"/>
              <w:ind w:left="66" w:right="66"/>
              <w:rPr>
                <w:rFonts w:eastAsia="仿宋_GB2312"/>
                <w:color w:val="auto"/>
                <w:sz w:val="28"/>
                <w:szCs w:val="28"/>
                <w:highlight w:val="none"/>
                <w:lang w:val="en-US"/>
              </w:rPr>
            </w:pPr>
          </w:p>
        </w:tc>
        <w:tc>
          <w:tcPr>
            <w:tcW w:w="774" w:type="dxa"/>
          </w:tcPr>
          <w:p w14:paraId="23AECCF1">
            <w:pPr>
              <w:pStyle w:val="3"/>
              <w:keepNext/>
              <w:spacing w:line="440" w:lineRule="exact"/>
              <w:ind w:left="66" w:right="66"/>
              <w:rPr>
                <w:rFonts w:eastAsia="仿宋_GB2312"/>
                <w:color w:val="auto"/>
                <w:sz w:val="28"/>
                <w:szCs w:val="28"/>
                <w:highlight w:val="none"/>
                <w:lang w:val="en-US"/>
              </w:rPr>
            </w:pPr>
          </w:p>
        </w:tc>
        <w:tc>
          <w:tcPr>
            <w:tcW w:w="1352" w:type="dxa"/>
          </w:tcPr>
          <w:p w14:paraId="03F8F0ED">
            <w:pPr>
              <w:pStyle w:val="3"/>
              <w:keepNext/>
              <w:spacing w:line="440" w:lineRule="exact"/>
              <w:ind w:left="66" w:right="66"/>
              <w:rPr>
                <w:rFonts w:eastAsia="仿宋_GB2312"/>
                <w:color w:val="auto"/>
                <w:sz w:val="28"/>
                <w:szCs w:val="28"/>
                <w:highlight w:val="none"/>
                <w:lang w:val="en-US"/>
              </w:rPr>
            </w:pPr>
          </w:p>
        </w:tc>
        <w:tc>
          <w:tcPr>
            <w:tcW w:w="1418" w:type="dxa"/>
          </w:tcPr>
          <w:p w14:paraId="003F707E">
            <w:pPr>
              <w:pStyle w:val="3"/>
              <w:keepNext/>
              <w:spacing w:line="440" w:lineRule="exact"/>
              <w:ind w:left="66" w:right="66"/>
              <w:rPr>
                <w:rFonts w:eastAsia="仿宋_GB2312"/>
                <w:color w:val="auto"/>
                <w:sz w:val="28"/>
                <w:szCs w:val="28"/>
                <w:highlight w:val="none"/>
                <w:lang w:val="en-US"/>
              </w:rPr>
            </w:pPr>
          </w:p>
        </w:tc>
        <w:tc>
          <w:tcPr>
            <w:tcW w:w="1701" w:type="dxa"/>
          </w:tcPr>
          <w:p w14:paraId="1CCB54B0">
            <w:pPr>
              <w:pStyle w:val="3"/>
              <w:keepNext/>
              <w:spacing w:line="440" w:lineRule="exact"/>
              <w:ind w:left="66" w:right="66"/>
              <w:rPr>
                <w:rFonts w:eastAsia="仿宋_GB2312"/>
                <w:color w:val="auto"/>
                <w:sz w:val="28"/>
                <w:szCs w:val="28"/>
                <w:highlight w:val="none"/>
                <w:lang w:val="en-US"/>
              </w:rPr>
            </w:pPr>
          </w:p>
        </w:tc>
      </w:tr>
      <w:tr w14:paraId="457E37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AF76FFD">
            <w:pPr>
              <w:pStyle w:val="3"/>
              <w:keepNext/>
              <w:spacing w:line="440" w:lineRule="exact"/>
              <w:ind w:left="66" w:right="66"/>
              <w:rPr>
                <w:rFonts w:eastAsia="仿宋_GB2312"/>
                <w:color w:val="auto"/>
                <w:sz w:val="28"/>
                <w:szCs w:val="28"/>
                <w:highlight w:val="none"/>
                <w:lang w:val="en-US"/>
              </w:rPr>
            </w:pPr>
          </w:p>
        </w:tc>
        <w:tc>
          <w:tcPr>
            <w:tcW w:w="1984" w:type="dxa"/>
          </w:tcPr>
          <w:p w14:paraId="719006C9">
            <w:pPr>
              <w:pStyle w:val="3"/>
              <w:keepNext/>
              <w:spacing w:line="440" w:lineRule="exact"/>
              <w:ind w:left="66" w:right="66"/>
              <w:rPr>
                <w:rFonts w:eastAsia="仿宋_GB2312"/>
                <w:color w:val="auto"/>
                <w:sz w:val="28"/>
                <w:szCs w:val="28"/>
                <w:highlight w:val="none"/>
                <w:lang w:val="en-US"/>
              </w:rPr>
            </w:pPr>
          </w:p>
        </w:tc>
        <w:tc>
          <w:tcPr>
            <w:tcW w:w="851" w:type="dxa"/>
          </w:tcPr>
          <w:p w14:paraId="3D6150F8">
            <w:pPr>
              <w:pStyle w:val="3"/>
              <w:keepNext/>
              <w:spacing w:line="440" w:lineRule="exact"/>
              <w:ind w:left="66" w:right="66"/>
              <w:rPr>
                <w:rFonts w:eastAsia="仿宋_GB2312"/>
                <w:color w:val="auto"/>
                <w:sz w:val="28"/>
                <w:szCs w:val="28"/>
                <w:highlight w:val="none"/>
                <w:lang w:val="en-US"/>
              </w:rPr>
            </w:pPr>
          </w:p>
        </w:tc>
        <w:tc>
          <w:tcPr>
            <w:tcW w:w="774" w:type="dxa"/>
          </w:tcPr>
          <w:p w14:paraId="596C0EFC">
            <w:pPr>
              <w:pStyle w:val="3"/>
              <w:keepNext/>
              <w:spacing w:line="440" w:lineRule="exact"/>
              <w:ind w:left="66" w:right="66"/>
              <w:rPr>
                <w:rFonts w:eastAsia="仿宋_GB2312"/>
                <w:color w:val="auto"/>
                <w:sz w:val="28"/>
                <w:szCs w:val="28"/>
                <w:highlight w:val="none"/>
                <w:lang w:val="en-US"/>
              </w:rPr>
            </w:pPr>
          </w:p>
        </w:tc>
        <w:tc>
          <w:tcPr>
            <w:tcW w:w="1352" w:type="dxa"/>
          </w:tcPr>
          <w:p w14:paraId="2187D209">
            <w:pPr>
              <w:pStyle w:val="3"/>
              <w:keepNext/>
              <w:spacing w:line="440" w:lineRule="exact"/>
              <w:ind w:left="66" w:right="66"/>
              <w:rPr>
                <w:rFonts w:eastAsia="仿宋_GB2312"/>
                <w:color w:val="auto"/>
                <w:sz w:val="28"/>
                <w:szCs w:val="28"/>
                <w:highlight w:val="none"/>
                <w:lang w:val="en-US"/>
              </w:rPr>
            </w:pPr>
          </w:p>
        </w:tc>
        <w:tc>
          <w:tcPr>
            <w:tcW w:w="1418" w:type="dxa"/>
          </w:tcPr>
          <w:p w14:paraId="729159BD">
            <w:pPr>
              <w:pStyle w:val="3"/>
              <w:keepNext/>
              <w:spacing w:line="440" w:lineRule="exact"/>
              <w:ind w:left="66" w:right="66"/>
              <w:rPr>
                <w:rFonts w:eastAsia="仿宋_GB2312"/>
                <w:color w:val="auto"/>
                <w:sz w:val="28"/>
                <w:szCs w:val="28"/>
                <w:highlight w:val="none"/>
                <w:lang w:val="en-US"/>
              </w:rPr>
            </w:pPr>
          </w:p>
        </w:tc>
        <w:tc>
          <w:tcPr>
            <w:tcW w:w="1701" w:type="dxa"/>
          </w:tcPr>
          <w:p w14:paraId="4D2CA9E3">
            <w:pPr>
              <w:pStyle w:val="3"/>
              <w:keepNext/>
              <w:spacing w:line="440" w:lineRule="exact"/>
              <w:ind w:left="66" w:right="66"/>
              <w:rPr>
                <w:rFonts w:eastAsia="仿宋_GB2312"/>
                <w:color w:val="auto"/>
                <w:sz w:val="28"/>
                <w:szCs w:val="28"/>
                <w:highlight w:val="none"/>
                <w:lang w:val="en-US"/>
              </w:rPr>
            </w:pPr>
          </w:p>
        </w:tc>
      </w:tr>
      <w:tr w14:paraId="303317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16286D2F">
            <w:pPr>
              <w:pStyle w:val="3"/>
              <w:keepNext/>
              <w:spacing w:line="440" w:lineRule="exact"/>
              <w:ind w:left="66" w:right="66"/>
              <w:rPr>
                <w:rFonts w:eastAsia="仿宋_GB2312"/>
                <w:color w:val="auto"/>
                <w:sz w:val="28"/>
                <w:szCs w:val="28"/>
                <w:highlight w:val="none"/>
                <w:lang w:val="en-US"/>
              </w:rPr>
            </w:pPr>
          </w:p>
        </w:tc>
        <w:tc>
          <w:tcPr>
            <w:tcW w:w="1984" w:type="dxa"/>
          </w:tcPr>
          <w:p w14:paraId="27F1742D">
            <w:pPr>
              <w:pStyle w:val="3"/>
              <w:keepNext/>
              <w:spacing w:line="440" w:lineRule="exact"/>
              <w:ind w:left="66" w:right="66"/>
              <w:rPr>
                <w:rFonts w:eastAsia="仿宋_GB2312"/>
                <w:color w:val="auto"/>
                <w:sz w:val="28"/>
                <w:szCs w:val="28"/>
                <w:highlight w:val="none"/>
                <w:lang w:val="en-US"/>
              </w:rPr>
            </w:pPr>
          </w:p>
        </w:tc>
        <w:tc>
          <w:tcPr>
            <w:tcW w:w="851" w:type="dxa"/>
          </w:tcPr>
          <w:p w14:paraId="75029C7D">
            <w:pPr>
              <w:pStyle w:val="3"/>
              <w:keepNext/>
              <w:spacing w:line="440" w:lineRule="exact"/>
              <w:ind w:left="66" w:right="66"/>
              <w:rPr>
                <w:rFonts w:eastAsia="仿宋_GB2312"/>
                <w:color w:val="auto"/>
                <w:sz w:val="28"/>
                <w:szCs w:val="28"/>
                <w:highlight w:val="none"/>
                <w:lang w:val="en-US"/>
              </w:rPr>
            </w:pPr>
          </w:p>
        </w:tc>
        <w:tc>
          <w:tcPr>
            <w:tcW w:w="774" w:type="dxa"/>
          </w:tcPr>
          <w:p w14:paraId="003A65D2">
            <w:pPr>
              <w:pStyle w:val="3"/>
              <w:keepNext/>
              <w:spacing w:line="440" w:lineRule="exact"/>
              <w:ind w:left="66" w:right="66"/>
              <w:rPr>
                <w:rFonts w:eastAsia="仿宋_GB2312"/>
                <w:color w:val="auto"/>
                <w:sz w:val="28"/>
                <w:szCs w:val="28"/>
                <w:highlight w:val="none"/>
                <w:lang w:val="en-US"/>
              </w:rPr>
            </w:pPr>
          </w:p>
        </w:tc>
        <w:tc>
          <w:tcPr>
            <w:tcW w:w="1352" w:type="dxa"/>
          </w:tcPr>
          <w:p w14:paraId="5B60C6E2">
            <w:pPr>
              <w:pStyle w:val="3"/>
              <w:keepNext/>
              <w:spacing w:line="440" w:lineRule="exact"/>
              <w:ind w:left="66" w:right="66"/>
              <w:rPr>
                <w:rFonts w:eastAsia="仿宋_GB2312"/>
                <w:color w:val="auto"/>
                <w:sz w:val="28"/>
                <w:szCs w:val="28"/>
                <w:highlight w:val="none"/>
                <w:lang w:val="en-US"/>
              </w:rPr>
            </w:pPr>
          </w:p>
        </w:tc>
        <w:tc>
          <w:tcPr>
            <w:tcW w:w="1418" w:type="dxa"/>
          </w:tcPr>
          <w:p w14:paraId="2ABAC2A4">
            <w:pPr>
              <w:pStyle w:val="3"/>
              <w:keepNext/>
              <w:spacing w:line="440" w:lineRule="exact"/>
              <w:ind w:left="66" w:right="66"/>
              <w:rPr>
                <w:rFonts w:eastAsia="仿宋_GB2312"/>
                <w:color w:val="auto"/>
                <w:sz w:val="28"/>
                <w:szCs w:val="28"/>
                <w:highlight w:val="none"/>
                <w:lang w:val="en-US"/>
              </w:rPr>
            </w:pPr>
          </w:p>
        </w:tc>
        <w:tc>
          <w:tcPr>
            <w:tcW w:w="1701" w:type="dxa"/>
          </w:tcPr>
          <w:p w14:paraId="59C9DD13">
            <w:pPr>
              <w:pStyle w:val="3"/>
              <w:keepNext/>
              <w:spacing w:line="440" w:lineRule="exact"/>
              <w:ind w:left="66" w:right="66"/>
              <w:rPr>
                <w:rFonts w:eastAsia="仿宋_GB2312"/>
                <w:color w:val="auto"/>
                <w:sz w:val="28"/>
                <w:szCs w:val="28"/>
                <w:highlight w:val="none"/>
                <w:lang w:val="en-US"/>
              </w:rPr>
            </w:pPr>
          </w:p>
        </w:tc>
      </w:tr>
      <w:tr w14:paraId="6778A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31529FA">
            <w:pPr>
              <w:pStyle w:val="3"/>
              <w:keepNext/>
              <w:spacing w:line="440" w:lineRule="exact"/>
              <w:ind w:left="66" w:right="66"/>
              <w:rPr>
                <w:rFonts w:eastAsia="仿宋_GB2312"/>
                <w:color w:val="auto"/>
                <w:sz w:val="28"/>
                <w:szCs w:val="28"/>
                <w:highlight w:val="none"/>
                <w:lang w:val="en-US"/>
              </w:rPr>
            </w:pPr>
          </w:p>
        </w:tc>
        <w:tc>
          <w:tcPr>
            <w:tcW w:w="1984" w:type="dxa"/>
          </w:tcPr>
          <w:p w14:paraId="4DF81CB5">
            <w:pPr>
              <w:pStyle w:val="3"/>
              <w:keepNext/>
              <w:spacing w:line="440" w:lineRule="exact"/>
              <w:ind w:left="66" w:right="66"/>
              <w:rPr>
                <w:rFonts w:eastAsia="仿宋_GB2312"/>
                <w:color w:val="auto"/>
                <w:sz w:val="28"/>
                <w:szCs w:val="28"/>
                <w:highlight w:val="none"/>
                <w:lang w:val="en-US"/>
              </w:rPr>
            </w:pPr>
          </w:p>
        </w:tc>
        <w:tc>
          <w:tcPr>
            <w:tcW w:w="851" w:type="dxa"/>
          </w:tcPr>
          <w:p w14:paraId="42723122">
            <w:pPr>
              <w:pStyle w:val="3"/>
              <w:keepNext/>
              <w:spacing w:line="440" w:lineRule="exact"/>
              <w:ind w:left="66" w:right="66"/>
              <w:rPr>
                <w:rFonts w:eastAsia="仿宋_GB2312"/>
                <w:color w:val="auto"/>
                <w:sz w:val="28"/>
                <w:szCs w:val="28"/>
                <w:highlight w:val="none"/>
                <w:lang w:val="en-US"/>
              </w:rPr>
            </w:pPr>
          </w:p>
        </w:tc>
        <w:tc>
          <w:tcPr>
            <w:tcW w:w="774" w:type="dxa"/>
          </w:tcPr>
          <w:p w14:paraId="31D3B5FA">
            <w:pPr>
              <w:pStyle w:val="3"/>
              <w:keepNext/>
              <w:spacing w:line="440" w:lineRule="exact"/>
              <w:ind w:left="66" w:right="66"/>
              <w:rPr>
                <w:rFonts w:eastAsia="仿宋_GB2312"/>
                <w:color w:val="auto"/>
                <w:sz w:val="28"/>
                <w:szCs w:val="28"/>
                <w:highlight w:val="none"/>
                <w:lang w:val="en-US"/>
              </w:rPr>
            </w:pPr>
          </w:p>
        </w:tc>
        <w:tc>
          <w:tcPr>
            <w:tcW w:w="1352" w:type="dxa"/>
          </w:tcPr>
          <w:p w14:paraId="21F8FC62">
            <w:pPr>
              <w:pStyle w:val="3"/>
              <w:keepNext/>
              <w:spacing w:line="440" w:lineRule="exact"/>
              <w:ind w:left="66" w:right="66"/>
              <w:rPr>
                <w:rFonts w:eastAsia="仿宋_GB2312"/>
                <w:color w:val="auto"/>
                <w:sz w:val="28"/>
                <w:szCs w:val="28"/>
                <w:highlight w:val="none"/>
                <w:lang w:val="en-US"/>
              </w:rPr>
            </w:pPr>
          </w:p>
        </w:tc>
        <w:tc>
          <w:tcPr>
            <w:tcW w:w="1418" w:type="dxa"/>
          </w:tcPr>
          <w:p w14:paraId="67F6F6CB">
            <w:pPr>
              <w:pStyle w:val="3"/>
              <w:keepNext/>
              <w:spacing w:line="440" w:lineRule="exact"/>
              <w:ind w:left="66" w:right="66"/>
              <w:rPr>
                <w:rFonts w:eastAsia="仿宋_GB2312"/>
                <w:color w:val="auto"/>
                <w:sz w:val="28"/>
                <w:szCs w:val="28"/>
                <w:highlight w:val="none"/>
                <w:lang w:val="en-US"/>
              </w:rPr>
            </w:pPr>
          </w:p>
        </w:tc>
        <w:tc>
          <w:tcPr>
            <w:tcW w:w="1701" w:type="dxa"/>
          </w:tcPr>
          <w:p w14:paraId="0866B69F">
            <w:pPr>
              <w:pStyle w:val="3"/>
              <w:keepNext/>
              <w:spacing w:line="440" w:lineRule="exact"/>
              <w:ind w:left="66" w:right="66"/>
              <w:rPr>
                <w:rFonts w:eastAsia="仿宋_GB2312"/>
                <w:color w:val="auto"/>
                <w:sz w:val="28"/>
                <w:szCs w:val="28"/>
                <w:highlight w:val="none"/>
                <w:lang w:val="en-US"/>
              </w:rPr>
            </w:pPr>
          </w:p>
        </w:tc>
      </w:tr>
      <w:tr w14:paraId="6B6425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19F7CBE1">
            <w:pPr>
              <w:pStyle w:val="3"/>
              <w:keepNext/>
              <w:spacing w:line="440" w:lineRule="exact"/>
              <w:ind w:left="66" w:right="66"/>
              <w:rPr>
                <w:rFonts w:eastAsia="仿宋_GB2312"/>
                <w:color w:val="auto"/>
                <w:sz w:val="28"/>
                <w:szCs w:val="28"/>
                <w:highlight w:val="none"/>
                <w:lang w:val="en-US"/>
              </w:rPr>
            </w:pPr>
          </w:p>
        </w:tc>
        <w:tc>
          <w:tcPr>
            <w:tcW w:w="1984" w:type="dxa"/>
          </w:tcPr>
          <w:p w14:paraId="52553108">
            <w:pPr>
              <w:pStyle w:val="3"/>
              <w:keepNext/>
              <w:spacing w:line="440" w:lineRule="exact"/>
              <w:ind w:left="66" w:right="66"/>
              <w:rPr>
                <w:rFonts w:eastAsia="仿宋_GB2312"/>
                <w:color w:val="auto"/>
                <w:sz w:val="28"/>
                <w:szCs w:val="28"/>
                <w:highlight w:val="none"/>
                <w:lang w:val="en-US"/>
              </w:rPr>
            </w:pPr>
          </w:p>
        </w:tc>
        <w:tc>
          <w:tcPr>
            <w:tcW w:w="851" w:type="dxa"/>
          </w:tcPr>
          <w:p w14:paraId="2946E5E3">
            <w:pPr>
              <w:pStyle w:val="3"/>
              <w:keepNext/>
              <w:spacing w:line="440" w:lineRule="exact"/>
              <w:ind w:left="66" w:right="66"/>
              <w:rPr>
                <w:rFonts w:eastAsia="仿宋_GB2312"/>
                <w:color w:val="auto"/>
                <w:sz w:val="28"/>
                <w:szCs w:val="28"/>
                <w:highlight w:val="none"/>
                <w:lang w:val="en-US"/>
              </w:rPr>
            </w:pPr>
          </w:p>
        </w:tc>
        <w:tc>
          <w:tcPr>
            <w:tcW w:w="774" w:type="dxa"/>
          </w:tcPr>
          <w:p w14:paraId="1FEDF11C">
            <w:pPr>
              <w:pStyle w:val="3"/>
              <w:keepNext/>
              <w:spacing w:line="440" w:lineRule="exact"/>
              <w:ind w:left="66" w:right="66"/>
              <w:rPr>
                <w:rFonts w:eastAsia="仿宋_GB2312"/>
                <w:color w:val="auto"/>
                <w:sz w:val="28"/>
                <w:szCs w:val="28"/>
                <w:highlight w:val="none"/>
                <w:lang w:val="en-US"/>
              </w:rPr>
            </w:pPr>
          </w:p>
        </w:tc>
        <w:tc>
          <w:tcPr>
            <w:tcW w:w="1352" w:type="dxa"/>
          </w:tcPr>
          <w:p w14:paraId="06478921">
            <w:pPr>
              <w:pStyle w:val="3"/>
              <w:keepNext/>
              <w:spacing w:line="440" w:lineRule="exact"/>
              <w:ind w:left="66" w:right="66"/>
              <w:rPr>
                <w:rFonts w:eastAsia="仿宋_GB2312"/>
                <w:color w:val="auto"/>
                <w:sz w:val="28"/>
                <w:szCs w:val="28"/>
                <w:highlight w:val="none"/>
                <w:lang w:val="en-US"/>
              </w:rPr>
            </w:pPr>
          </w:p>
        </w:tc>
        <w:tc>
          <w:tcPr>
            <w:tcW w:w="1418" w:type="dxa"/>
          </w:tcPr>
          <w:p w14:paraId="0164752F">
            <w:pPr>
              <w:pStyle w:val="3"/>
              <w:keepNext/>
              <w:spacing w:line="440" w:lineRule="exact"/>
              <w:ind w:left="66" w:right="66"/>
              <w:rPr>
                <w:rFonts w:eastAsia="仿宋_GB2312"/>
                <w:color w:val="auto"/>
                <w:sz w:val="28"/>
                <w:szCs w:val="28"/>
                <w:highlight w:val="none"/>
                <w:lang w:val="en-US"/>
              </w:rPr>
            </w:pPr>
          </w:p>
        </w:tc>
        <w:tc>
          <w:tcPr>
            <w:tcW w:w="1701" w:type="dxa"/>
          </w:tcPr>
          <w:p w14:paraId="05F0366A">
            <w:pPr>
              <w:pStyle w:val="3"/>
              <w:keepNext/>
              <w:spacing w:line="440" w:lineRule="exact"/>
              <w:ind w:left="66" w:right="66"/>
              <w:rPr>
                <w:rFonts w:eastAsia="仿宋_GB2312"/>
                <w:color w:val="auto"/>
                <w:sz w:val="28"/>
                <w:szCs w:val="28"/>
                <w:highlight w:val="none"/>
                <w:lang w:val="en-US"/>
              </w:rPr>
            </w:pPr>
          </w:p>
        </w:tc>
      </w:tr>
      <w:tr w14:paraId="3AD33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7C06206A">
            <w:pPr>
              <w:pStyle w:val="3"/>
              <w:keepNext/>
              <w:spacing w:line="440" w:lineRule="exact"/>
              <w:ind w:left="66" w:right="66"/>
              <w:rPr>
                <w:rFonts w:eastAsia="仿宋_GB2312"/>
                <w:color w:val="auto"/>
                <w:sz w:val="28"/>
                <w:szCs w:val="28"/>
                <w:highlight w:val="none"/>
                <w:lang w:val="en-US"/>
              </w:rPr>
            </w:pPr>
          </w:p>
        </w:tc>
        <w:tc>
          <w:tcPr>
            <w:tcW w:w="1984" w:type="dxa"/>
          </w:tcPr>
          <w:p w14:paraId="121676E0">
            <w:pPr>
              <w:pStyle w:val="3"/>
              <w:keepNext/>
              <w:spacing w:line="440" w:lineRule="exact"/>
              <w:ind w:left="66" w:right="66"/>
              <w:rPr>
                <w:rFonts w:eastAsia="仿宋_GB2312"/>
                <w:color w:val="auto"/>
                <w:sz w:val="28"/>
                <w:szCs w:val="28"/>
                <w:highlight w:val="none"/>
                <w:lang w:val="en-US"/>
              </w:rPr>
            </w:pPr>
          </w:p>
        </w:tc>
        <w:tc>
          <w:tcPr>
            <w:tcW w:w="851" w:type="dxa"/>
          </w:tcPr>
          <w:p w14:paraId="02DB264D">
            <w:pPr>
              <w:pStyle w:val="3"/>
              <w:keepNext/>
              <w:spacing w:line="440" w:lineRule="exact"/>
              <w:ind w:left="66" w:right="66"/>
              <w:rPr>
                <w:rFonts w:eastAsia="仿宋_GB2312"/>
                <w:color w:val="auto"/>
                <w:sz w:val="28"/>
                <w:szCs w:val="28"/>
                <w:highlight w:val="none"/>
                <w:lang w:val="en-US"/>
              </w:rPr>
            </w:pPr>
          </w:p>
        </w:tc>
        <w:tc>
          <w:tcPr>
            <w:tcW w:w="774" w:type="dxa"/>
          </w:tcPr>
          <w:p w14:paraId="2C5910EB">
            <w:pPr>
              <w:pStyle w:val="3"/>
              <w:keepNext/>
              <w:spacing w:line="440" w:lineRule="exact"/>
              <w:ind w:left="66" w:right="66"/>
              <w:rPr>
                <w:rFonts w:eastAsia="仿宋_GB2312"/>
                <w:color w:val="auto"/>
                <w:sz w:val="28"/>
                <w:szCs w:val="28"/>
                <w:highlight w:val="none"/>
                <w:lang w:val="en-US"/>
              </w:rPr>
            </w:pPr>
          </w:p>
        </w:tc>
        <w:tc>
          <w:tcPr>
            <w:tcW w:w="1352" w:type="dxa"/>
          </w:tcPr>
          <w:p w14:paraId="6FEAE302">
            <w:pPr>
              <w:pStyle w:val="3"/>
              <w:keepNext/>
              <w:spacing w:line="440" w:lineRule="exact"/>
              <w:ind w:left="66" w:right="66"/>
              <w:rPr>
                <w:rFonts w:eastAsia="仿宋_GB2312"/>
                <w:color w:val="auto"/>
                <w:sz w:val="28"/>
                <w:szCs w:val="28"/>
                <w:highlight w:val="none"/>
                <w:lang w:val="en-US"/>
              </w:rPr>
            </w:pPr>
          </w:p>
        </w:tc>
        <w:tc>
          <w:tcPr>
            <w:tcW w:w="1418" w:type="dxa"/>
          </w:tcPr>
          <w:p w14:paraId="2113BA31">
            <w:pPr>
              <w:pStyle w:val="3"/>
              <w:keepNext/>
              <w:spacing w:line="440" w:lineRule="exact"/>
              <w:ind w:left="66" w:right="66"/>
              <w:rPr>
                <w:rFonts w:eastAsia="仿宋_GB2312"/>
                <w:color w:val="auto"/>
                <w:sz w:val="28"/>
                <w:szCs w:val="28"/>
                <w:highlight w:val="none"/>
                <w:lang w:val="en-US"/>
              </w:rPr>
            </w:pPr>
          </w:p>
        </w:tc>
        <w:tc>
          <w:tcPr>
            <w:tcW w:w="1701" w:type="dxa"/>
          </w:tcPr>
          <w:p w14:paraId="0CDAA406">
            <w:pPr>
              <w:pStyle w:val="3"/>
              <w:keepNext/>
              <w:spacing w:line="440" w:lineRule="exact"/>
              <w:ind w:left="66" w:right="66"/>
              <w:rPr>
                <w:rFonts w:eastAsia="仿宋_GB2312"/>
                <w:color w:val="auto"/>
                <w:sz w:val="28"/>
                <w:szCs w:val="28"/>
                <w:highlight w:val="none"/>
                <w:lang w:val="en-US"/>
              </w:rPr>
            </w:pPr>
          </w:p>
        </w:tc>
      </w:tr>
      <w:tr w14:paraId="6A7302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5351AEC7">
            <w:pPr>
              <w:pStyle w:val="3"/>
              <w:keepNext/>
              <w:spacing w:line="440" w:lineRule="exact"/>
              <w:ind w:left="66" w:right="66"/>
              <w:rPr>
                <w:rFonts w:eastAsia="仿宋_GB2312"/>
                <w:color w:val="auto"/>
                <w:sz w:val="28"/>
                <w:szCs w:val="28"/>
                <w:highlight w:val="none"/>
                <w:lang w:val="en-US"/>
              </w:rPr>
            </w:pPr>
          </w:p>
        </w:tc>
        <w:tc>
          <w:tcPr>
            <w:tcW w:w="1984" w:type="dxa"/>
          </w:tcPr>
          <w:p w14:paraId="7FAAF83B">
            <w:pPr>
              <w:pStyle w:val="3"/>
              <w:keepNext/>
              <w:spacing w:line="440" w:lineRule="exact"/>
              <w:ind w:left="66" w:right="66"/>
              <w:rPr>
                <w:rFonts w:eastAsia="仿宋_GB2312"/>
                <w:color w:val="auto"/>
                <w:sz w:val="28"/>
                <w:szCs w:val="28"/>
                <w:highlight w:val="none"/>
                <w:lang w:val="en-US"/>
              </w:rPr>
            </w:pPr>
          </w:p>
        </w:tc>
        <w:tc>
          <w:tcPr>
            <w:tcW w:w="851" w:type="dxa"/>
          </w:tcPr>
          <w:p w14:paraId="5D01FDDF">
            <w:pPr>
              <w:pStyle w:val="3"/>
              <w:keepNext/>
              <w:spacing w:line="440" w:lineRule="exact"/>
              <w:ind w:left="66" w:right="66"/>
              <w:rPr>
                <w:rFonts w:eastAsia="仿宋_GB2312"/>
                <w:color w:val="auto"/>
                <w:sz w:val="28"/>
                <w:szCs w:val="28"/>
                <w:highlight w:val="none"/>
                <w:lang w:val="en-US"/>
              </w:rPr>
            </w:pPr>
          </w:p>
        </w:tc>
        <w:tc>
          <w:tcPr>
            <w:tcW w:w="774" w:type="dxa"/>
          </w:tcPr>
          <w:p w14:paraId="30753964">
            <w:pPr>
              <w:pStyle w:val="3"/>
              <w:keepNext/>
              <w:spacing w:line="440" w:lineRule="exact"/>
              <w:ind w:left="66" w:right="66"/>
              <w:rPr>
                <w:rFonts w:eastAsia="仿宋_GB2312"/>
                <w:color w:val="auto"/>
                <w:sz w:val="28"/>
                <w:szCs w:val="28"/>
                <w:highlight w:val="none"/>
                <w:lang w:val="en-US"/>
              </w:rPr>
            </w:pPr>
          </w:p>
        </w:tc>
        <w:tc>
          <w:tcPr>
            <w:tcW w:w="1352" w:type="dxa"/>
          </w:tcPr>
          <w:p w14:paraId="1C2781F4">
            <w:pPr>
              <w:pStyle w:val="3"/>
              <w:keepNext/>
              <w:spacing w:line="440" w:lineRule="exact"/>
              <w:ind w:left="66" w:right="66"/>
              <w:rPr>
                <w:rFonts w:eastAsia="仿宋_GB2312"/>
                <w:color w:val="auto"/>
                <w:sz w:val="28"/>
                <w:szCs w:val="28"/>
                <w:highlight w:val="none"/>
                <w:lang w:val="en-US"/>
              </w:rPr>
            </w:pPr>
          </w:p>
        </w:tc>
        <w:tc>
          <w:tcPr>
            <w:tcW w:w="1418" w:type="dxa"/>
          </w:tcPr>
          <w:p w14:paraId="32B13233">
            <w:pPr>
              <w:pStyle w:val="3"/>
              <w:keepNext/>
              <w:spacing w:line="440" w:lineRule="exact"/>
              <w:ind w:left="66" w:right="66"/>
              <w:rPr>
                <w:rFonts w:eastAsia="仿宋_GB2312"/>
                <w:color w:val="auto"/>
                <w:sz w:val="28"/>
                <w:szCs w:val="28"/>
                <w:highlight w:val="none"/>
                <w:lang w:val="en-US"/>
              </w:rPr>
            </w:pPr>
          </w:p>
        </w:tc>
        <w:tc>
          <w:tcPr>
            <w:tcW w:w="1701" w:type="dxa"/>
          </w:tcPr>
          <w:p w14:paraId="52DFB015">
            <w:pPr>
              <w:pStyle w:val="3"/>
              <w:keepNext/>
              <w:spacing w:line="440" w:lineRule="exact"/>
              <w:ind w:left="66" w:right="66"/>
              <w:rPr>
                <w:rFonts w:eastAsia="仿宋_GB2312"/>
                <w:color w:val="auto"/>
                <w:sz w:val="28"/>
                <w:szCs w:val="28"/>
                <w:highlight w:val="none"/>
                <w:lang w:val="en-US"/>
              </w:rPr>
            </w:pPr>
          </w:p>
        </w:tc>
      </w:tr>
      <w:tr w14:paraId="5290EF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5933BF6A">
            <w:pPr>
              <w:pStyle w:val="3"/>
              <w:keepNext/>
              <w:spacing w:line="440" w:lineRule="exact"/>
              <w:ind w:left="66" w:right="66"/>
              <w:rPr>
                <w:rFonts w:eastAsia="仿宋_GB2312"/>
                <w:color w:val="auto"/>
                <w:sz w:val="28"/>
                <w:szCs w:val="28"/>
                <w:highlight w:val="none"/>
                <w:lang w:val="en-US"/>
              </w:rPr>
            </w:pPr>
          </w:p>
        </w:tc>
        <w:tc>
          <w:tcPr>
            <w:tcW w:w="1984" w:type="dxa"/>
          </w:tcPr>
          <w:p w14:paraId="31433A52">
            <w:pPr>
              <w:pStyle w:val="3"/>
              <w:keepNext/>
              <w:spacing w:line="440" w:lineRule="exact"/>
              <w:ind w:left="66" w:right="66"/>
              <w:rPr>
                <w:rFonts w:eastAsia="仿宋_GB2312"/>
                <w:color w:val="auto"/>
                <w:sz w:val="28"/>
                <w:szCs w:val="28"/>
                <w:highlight w:val="none"/>
                <w:lang w:val="en-US"/>
              </w:rPr>
            </w:pPr>
          </w:p>
        </w:tc>
        <w:tc>
          <w:tcPr>
            <w:tcW w:w="851" w:type="dxa"/>
          </w:tcPr>
          <w:p w14:paraId="7B213C71">
            <w:pPr>
              <w:pStyle w:val="3"/>
              <w:keepNext/>
              <w:spacing w:line="440" w:lineRule="exact"/>
              <w:ind w:left="66" w:right="66"/>
              <w:rPr>
                <w:rFonts w:eastAsia="仿宋_GB2312"/>
                <w:color w:val="auto"/>
                <w:sz w:val="28"/>
                <w:szCs w:val="28"/>
                <w:highlight w:val="none"/>
                <w:lang w:val="en-US"/>
              </w:rPr>
            </w:pPr>
          </w:p>
        </w:tc>
        <w:tc>
          <w:tcPr>
            <w:tcW w:w="774" w:type="dxa"/>
          </w:tcPr>
          <w:p w14:paraId="4518C764">
            <w:pPr>
              <w:pStyle w:val="3"/>
              <w:keepNext/>
              <w:spacing w:line="440" w:lineRule="exact"/>
              <w:ind w:left="66" w:right="66"/>
              <w:rPr>
                <w:rFonts w:eastAsia="仿宋_GB2312"/>
                <w:color w:val="auto"/>
                <w:sz w:val="28"/>
                <w:szCs w:val="28"/>
                <w:highlight w:val="none"/>
                <w:lang w:val="en-US"/>
              </w:rPr>
            </w:pPr>
          </w:p>
        </w:tc>
        <w:tc>
          <w:tcPr>
            <w:tcW w:w="1352" w:type="dxa"/>
          </w:tcPr>
          <w:p w14:paraId="62A62968">
            <w:pPr>
              <w:pStyle w:val="3"/>
              <w:keepNext/>
              <w:spacing w:line="440" w:lineRule="exact"/>
              <w:ind w:left="66" w:right="66"/>
              <w:rPr>
                <w:rFonts w:eastAsia="仿宋_GB2312"/>
                <w:color w:val="auto"/>
                <w:sz w:val="28"/>
                <w:szCs w:val="28"/>
                <w:highlight w:val="none"/>
                <w:lang w:val="en-US"/>
              </w:rPr>
            </w:pPr>
          </w:p>
        </w:tc>
        <w:tc>
          <w:tcPr>
            <w:tcW w:w="1418" w:type="dxa"/>
          </w:tcPr>
          <w:p w14:paraId="1B8F7212">
            <w:pPr>
              <w:pStyle w:val="3"/>
              <w:keepNext/>
              <w:spacing w:line="440" w:lineRule="exact"/>
              <w:ind w:left="66" w:right="66"/>
              <w:rPr>
                <w:rFonts w:eastAsia="仿宋_GB2312"/>
                <w:color w:val="auto"/>
                <w:sz w:val="28"/>
                <w:szCs w:val="28"/>
                <w:highlight w:val="none"/>
                <w:lang w:val="en-US"/>
              </w:rPr>
            </w:pPr>
          </w:p>
        </w:tc>
        <w:tc>
          <w:tcPr>
            <w:tcW w:w="1701" w:type="dxa"/>
          </w:tcPr>
          <w:p w14:paraId="6917D69B">
            <w:pPr>
              <w:pStyle w:val="3"/>
              <w:keepNext/>
              <w:spacing w:line="440" w:lineRule="exact"/>
              <w:ind w:left="66" w:right="66"/>
              <w:rPr>
                <w:rFonts w:eastAsia="仿宋_GB2312"/>
                <w:color w:val="auto"/>
                <w:sz w:val="28"/>
                <w:szCs w:val="28"/>
                <w:highlight w:val="none"/>
                <w:lang w:val="en-US"/>
              </w:rPr>
            </w:pPr>
          </w:p>
        </w:tc>
      </w:tr>
      <w:tr w14:paraId="3B41FA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1D4A3A65">
            <w:pPr>
              <w:pStyle w:val="3"/>
              <w:keepNext/>
              <w:spacing w:line="440" w:lineRule="exact"/>
              <w:ind w:left="66" w:right="66"/>
              <w:rPr>
                <w:rFonts w:eastAsia="仿宋_GB2312"/>
                <w:color w:val="auto"/>
                <w:sz w:val="28"/>
                <w:szCs w:val="28"/>
                <w:highlight w:val="none"/>
                <w:lang w:val="en-US"/>
              </w:rPr>
            </w:pPr>
          </w:p>
        </w:tc>
        <w:tc>
          <w:tcPr>
            <w:tcW w:w="1984" w:type="dxa"/>
          </w:tcPr>
          <w:p w14:paraId="43AEFD86">
            <w:pPr>
              <w:pStyle w:val="3"/>
              <w:keepNext/>
              <w:spacing w:line="440" w:lineRule="exact"/>
              <w:ind w:left="66" w:right="66"/>
              <w:rPr>
                <w:rFonts w:eastAsia="仿宋_GB2312"/>
                <w:color w:val="auto"/>
                <w:sz w:val="28"/>
                <w:szCs w:val="28"/>
                <w:highlight w:val="none"/>
                <w:lang w:val="en-US"/>
              </w:rPr>
            </w:pPr>
          </w:p>
        </w:tc>
        <w:tc>
          <w:tcPr>
            <w:tcW w:w="851" w:type="dxa"/>
          </w:tcPr>
          <w:p w14:paraId="2B40C670">
            <w:pPr>
              <w:pStyle w:val="3"/>
              <w:keepNext/>
              <w:spacing w:line="440" w:lineRule="exact"/>
              <w:ind w:left="66" w:right="66"/>
              <w:rPr>
                <w:rFonts w:eastAsia="仿宋_GB2312"/>
                <w:color w:val="auto"/>
                <w:sz w:val="28"/>
                <w:szCs w:val="28"/>
                <w:highlight w:val="none"/>
                <w:lang w:val="en-US"/>
              </w:rPr>
            </w:pPr>
          </w:p>
        </w:tc>
        <w:tc>
          <w:tcPr>
            <w:tcW w:w="774" w:type="dxa"/>
          </w:tcPr>
          <w:p w14:paraId="6F097879">
            <w:pPr>
              <w:pStyle w:val="3"/>
              <w:keepNext/>
              <w:spacing w:line="440" w:lineRule="exact"/>
              <w:ind w:left="66" w:right="66"/>
              <w:rPr>
                <w:rFonts w:eastAsia="仿宋_GB2312"/>
                <w:color w:val="auto"/>
                <w:sz w:val="28"/>
                <w:szCs w:val="28"/>
                <w:highlight w:val="none"/>
                <w:lang w:val="en-US"/>
              </w:rPr>
            </w:pPr>
          </w:p>
        </w:tc>
        <w:tc>
          <w:tcPr>
            <w:tcW w:w="1352" w:type="dxa"/>
          </w:tcPr>
          <w:p w14:paraId="595FA63A">
            <w:pPr>
              <w:pStyle w:val="3"/>
              <w:keepNext/>
              <w:spacing w:line="440" w:lineRule="exact"/>
              <w:ind w:left="66" w:right="66"/>
              <w:rPr>
                <w:rFonts w:eastAsia="仿宋_GB2312"/>
                <w:color w:val="auto"/>
                <w:sz w:val="28"/>
                <w:szCs w:val="28"/>
                <w:highlight w:val="none"/>
                <w:lang w:val="en-US"/>
              </w:rPr>
            </w:pPr>
          </w:p>
        </w:tc>
        <w:tc>
          <w:tcPr>
            <w:tcW w:w="1418" w:type="dxa"/>
          </w:tcPr>
          <w:p w14:paraId="4578EB0B">
            <w:pPr>
              <w:pStyle w:val="3"/>
              <w:keepNext/>
              <w:spacing w:line="440" w:lineRule="exact"/>
              <w:ind w:left="66" w:right="66"/>
              <w:rPr>
                <w:rFonts w:eastAsia="仿宋_GB2312"/>
                <w:color w:val="auto"/>
                <w:sz w:val="28"/>
                <w:szCs w:val="28"/>
                <w:highlight w:val="none"/>
                <w:lang w:val="en-US"/>
              </w:rPr>
            </w:pPr>
          </w:p>
        </w:tc>
        <w:tc>
          <w:tcPr>
            <w:tcW w:w="1701" w:type="dxa"/>
          </w:tcPr>
          <w:p w14:paraId="4ADDD505">
            <w:pPr>
              <w:pStyle w:val="3"/>
              <w:keepNext/>
              <w:spacing w:line="440" w:lineRule="exact"/>
              <w:ind w:left="66" w:right="66"/>
              <w:rPr>
                <w:rFonts w:eastAsia="仿宋_GB2312"/>
                <w:color w:val="auto"/>
                <w:sz w:val="28"/>
                <w:szCs w:val="28"/>
                <w:highlight w:val="none"/>
                <w:lang w:val="en-US"/>
              </w:rPr>
            </w:pPr>
          </w:p>
        </w:tc>
      </w:tr>
      <w:tr w14:paraId="4161E2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D2E5138">
            <w:pPr>
              <w:pStyle w:val="3"/>
              <w:keepNext/>
              <w:spacing w:line="440" w:lineRule="exact"/>
              <w:ind w:left="66" w:right="66"/>
              <w:rPr>
                <w:rFonts w:eastAsia="仿宋_GB2312"/>
                <w:color w:val="auto"/>
                <w:sz w:val="28"/>
                <w:szCs w:val="28"/>
                <w:highlight w:val="none"/>
                <w:lang w:val="en-US"/>
              </w:rPr>
            </w:pPr>
          </w:p>
        </w:tc>
        <w:tc>
          <w:tcPr>
            <w:tcW w:w="1984" w:type="dxa"/>
          </w:tcPr>
          <w:p w14:paraId="24EEBB38">
            <w:pPr>
              <w:pStyle w:val="3"/>
              <w:keepNext/>
              <w:spacing w:line="440" w:lineRule="exact"/>
              <w:ind w:left="66" w:right="66"/>
              <w:rPr>
                <w:rFonts w:eastAsia="仿宋_GB2312"/>
                <w:color w:val="auto"/>
                <w:sz w:val="28"/>
                <w:szCs w:val="28"/>
                <w:highlight w:val="none"/>
                <w:lang w:val="en-US"/>
              </w:rPr>
            </w:pPr>
          </w:p>
        </w:tc>
        <w:tc>
          <w:tcPr>
            <w:tcW w:w="851" w:type="dxa"/>
          </w:tcPr>
          <w:p w14:paraId="75912024">
            <w:pPr>
              <w:pStyle w:val="3"/>
              <w:keepNext/>
              <w:spacing w:line="440" w:lineRule="exact"/>
              <w:ind w:left="66" w:right="66"/>
              <w:rPr>
                <w:rFonts w:eastAsia="仿宋_GB2312"/>
                <w:color w:val="auto"/>
                <w:sz w:val="28"/>
                <w:szCs w:val="28"/>
                <w:highlight w:val="none"/>
                <w:lang w:val="en-US"/>
              </w:rPr>
            </w:pPr>
          </w:p>
        </w:tc>
        <w:tc>
          <w:tcPr>
            <w:tcW w:w="774" w:type="dxa"/>
          </w:tcPr>
          <w:p w14:paraId="5B8B0C3F">
            <w:pPr>
              <w:pStyle w:val="3"/>
              <w:keepNext/>
              <w:spacing w:line="440" w:lineRule="exact"/>
              <w:ind w:left="66" w:right="66"/>
              <w:rPr>
                <w:rFonts w:eastAsia="仿宋_GB2312"/>
                <w:color w:val="auto"/>
                <w:sz w:val="28"/>
                <w:szCs w:val="28"/>
                <w:highlight w:val="none"/>
                <w:lang w:val="en-US"/>
              </w:rPr>
            </w:pPr>
          </w:p>
        </w:tc>
        <w:tc>
          <w:tcPr>
            <w:tcW w:w="1352" w:type="dxa"/>
          </w:tcPr>
          <w:p w14:paraId="0061C0CE">
            <w:pPr>
              <w:pStyle w:val="3"/>
              <w:keepNext/>
              <w:spacing w:line="440" w:lineRule="exact"/>
              <w:ind w:left="66" w:right="66"/>
              <w:rPr>
                <w:rFonts w:eastAsia="仿宋_GB2312"/>
                <w:color w:val="auto"/>
                <w:sz w:val="28"/>
                <w:szCs w:val="28"/>
                <w:highlight w:val="none"/>
                <w:lang w:val="en-US"/>
              </w:rPr>
            </w:pPr>
          </w:p>
        </w:tc>
        <w:tc>
          <w:tcPr>
            <w:tcW w:w="1418" w:type="dxa"/>
          </w:tcPr>
          <w:p w14:paraId="412E523D">
            <w:pPr>
              <w:pStyle w:val="3"/>
              <w:keepNext/>
              <w:spacing w:line="440" w:lineRule="exact"/>
              <w:ind w:left="66" w:right="66"/>
              <w:rPr>
                <w:rFonts w:eastAsia="仿宋_GB2312"/>
                <w:color w:val="auto"/>
                <w:sz w:val="28"/>
                <w:szCs w:val="28"/>
                <w:highlight w:val="none"/>
                <w:lang w:val="en-US"/>
              </w:rPr>
            </w:pPr>
          </w:p>
        </w:tc>
        <w:tc>
          <w:tcPr>
            <w:tcW w:w="1701" w:type="dxa"/>
          </w:tcPr>
          <w:p w14:paraId="2915B8DE">
            <w:pPr>
              <w:pStyle w:val="3"/>
              <w:keepNext/>
              <w:spacing w:line="440" w:lineRule="exact"/>
              <w:ind w:left="66" w:right="66"/>
              <w:rPr>
                <w:rFonts w:eastAsia="仿宋_GB2312"/>
                <w:color w:val="auto"/>
                <w:sz w:val="28"/>
                <w:szCs w:val="28"/>
                <w:highlight w:val="none"/>
                <w:lang w:val="en-US"/>
              </w:rPr>
            </w:pPr>
          </w:p>
        </w:tc>
      </w:tr>
      <w:tr w14:paraId="3EC3BD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32EEE21">
            <w:pPr>
              <w:pStyle w:val="3"/>
              <w:keepNext/>
              <w:spacing w:line="440" w:lineRule="exact"/>
              <w:ind w:left="66" w:right="66"/>
              <w:rPr>
                <w:rFonts w:eastAsia="仿宋_GB2312"/>
                <w:color w:val="auto"/>
                <w:sz w:val="28"/>
                <w:szCs w:val="28"/>
                <w:highlight w:val="none"/>
                <w:lang w:val="en-US"/>
              </w:rPr>
            </w:pPr>
          </w:p>
        </w:tc>
        <w:tc>
          <w:tcPr>
            <w:tcW w:w="1984" w:type="dxa"/>
          </w:tcPr>
          <w:p w14:paraId="1A7245A7">
            <w:pPr>
              <w:pStyle w:val="3"/>
              <w:keepNext/>
              <w:spacing w:line="440" w:lineRule="exact"/>
              <w:ind w:left="66" w:right="66"/>
              <w:rPr>
                <w:rFonts w:eastAsia="仿宋_GB2312"/>
                <w:color w:val="auto"/>
                <w:sz w:val="28"/>
                <w:szCs w:val="28"/>
                <w:highlight w:val="none"/>
                <w:lang w:val="en-US"/>
              </w:rPr>
            </w:pPr>
          </w:p>
        </w:tc>
        <w:tc>
          <w:tcPr>
            <w:tcW w:w="851" w:type="dxa"/>
          </w:tcPr>
          <w:p w14:paraId="2CE6CD18">
            <w:pPr>
              <w:pStyle w:val="3"/>
              <w:keepNext/>
              <w:spacing w:line="440" w:lineRule="exact"/>
              <w:ind w:left="66" w:right="66"/>
              <w:rPr>
                <w:rFonts w:eastAsia="仿宋_GB2312"/>
                <w:color w:val="auto"/>
                <w:sz w:val="28"/>
                <w:szCs w:val="28"/>
                <w:highlight w:val="none"/>
                <w:lang w:val="en-US"/>
              </w:rPr>
            </w:pPr>
          </w:p>
        </w:tc>
        <w:tc>
          <w:tcPr>
            <w:tcW w:w="774" w:type="dxa"/>
          </w:tcPr>
          <w:p w14:paraId="2D56D8C1">
            <w:pPr>
              <w:pStyle w:val="3"/>
              <w:keepNext/>
              <w:spacing w:line="440" w:lineRule="exact"/>
              <w:ind w:left="66" w:right="66"/>
              <w:rPr>
                <w:rFonts w:eastAsia="仿宋_GB2312"/>
                <w:color w:val="auto"/>
                <w:sz w:val="28"/>
                <w:szCs w:val="28"/>
                <w:highlight w:val="none"/>
                <w:lang w:val="en-US"/>
              </w:rPr>
            </w:pPr>
          </w:p>
        </w:tc>
        <w:tc>
          <w:tcPr>
            <w:tcW w:w="1352" w:type="dxa"/>
          </w:tcPr>
          <w:p w14:paraId="77C61F14">
            <w:pPr>
              <w:pStyle w:val="3"/>
              <w:keepNext/>
              <w:spacing w:line="440" w:lineRule="exact"/>
              <w:ind w:left="66" w:right="66"/>
              <w:rPr>
                <w:rFonts w:eastAsia="仿宋_GB2312"/>
                <w:color w:val="auto"/>
                <w:sz w:val="28"/>
                <w:szCs w:val="28"/>
                <w:highlight w:val="none"/>
                <w:lang w:val="en-US"/>
              </w:rPr>
            </w:pPr>
          </w:p>
        </w:tc>
        <w:tc>
          <w:tcPr>
            <w:tcW w:w="1418" w:type="dxa"/>
          </w:tcPr>
          <w:p w14:paraId="06A34099">
            <w:pPr>
              <w:pStyle w:val="3"/>
              <w:keepNext/>
              <w:spacing w:line="440" w:lineRule="exact"/>
              <w:ind w:left="66" w:right="66"/>
              <w:rPr>
                <w:rFonts w:eastAsia="仿宋_GB2312"/>
                <w:color w:val="auto"/>
                <w:sz w:val="28"/>
                <w:szCs w:val="28"/>
                <w:highlight w:val="none"/>
                <w:lang w:val="en-US"/>
              </w:rPr>
            </w:pPr>
          </w:p>
        </w:tc>
        <w:tc>
          <w:tcPr>
            <w:tcW w:w="1701" w:type="dxa"/>
          </w:tcPr>
          <w:p w14:paraId="3FF1EAA6">
            <w:pPr>
              <w:pStyle w:val="3"/>
              <w:keepNext/>
              <w:spacing w:line="440" w:lineRule="exact"/>
              <w:ind w:left="66" w:right="66"/>
              <w:rPr>
                <w:rFonts w:eastAsia="仿宋_GB2312"/>
                <w:color w:val="auto"/>
                <w:sz w:val="28"/>
                <w:szCs w:val="28"/>
                <w:highlight w:val="none"/>
                <w:lang w:val="en-US"/>
              </w:rPr>
            </w:pPr>
          </w:p>
        </w:tc>
      </w:tr>
      <w:tr w14:paraId="40A55D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764C46A7">
            <w:pPr>
              <w:pStyle w:val="3"/>
              <w:keepNext/>
              <w:spacing w:line="440" w:lineRule="exact"/>
              <w:ind w:left="66" w:right="66"/>
              <w:rPr>
                <w:rFonts w:eastAsia="仿宋_GB2312"/>
                <w:color w:val="auto"/>
                <w:sz w:val="28"/>
                <w:szCs w:val="28"/>
                <w:highlight w:val="none"/>
                <w:lang w:val="en-US"/>
              </w:rPr>
            </w:pPr>
          </w:p>
        </w:tc>
        <w:tc>
          <w:tcPr>
            <w:tcW w:w="1984" w:type="dxa"/>
          </w:tcPr>
          <w:p w14:paraId="673F72D8">
            <w:pPr>
              <w:pStyle w:val="3"/>
              <w:keepNext/>
              <w:spacing w:line="440" w:lineRule="exact"/>
              <w:ind w:left="66" w:right="66"/>
              <w:rPr>
                <w:rFonts w:eastAsia="仿宋_GB2312"/>
                <w:color w:val="auto"/>
                <w:sz w:val="28"/>
                <w:szCs w:val="28"/>
                <w:highlight w:val="none"/>
                <w:lang w:val="en-US"/>
              </w:rPr>
            </w:pPr>
          </w:p>
        </w:tc>
        <w:tc>
          <w:tcPr>
            <w:tcW w:w="851" w:type="dxa"/>
          </w:tcPr>
          <w:p w14:paraId="0825C42E">
            <w:pPr>
              <w:pStyle w:val="3"/>
              <w:keepNext/>
              <w:spacing w:line="440" w:lineRule="exact"/>
              <w:ind w:left="66" w:right="66"/>
              <w:rPr>
                <w:rFonts w:eastAsia="仿宋_GB2312"/>
                <w:color w:val="auto"/>
                <w:sz w:val="28"/>
                <w:szCs w:val="28"/>
                <w:highlight w:val="none"/>
                <w:lang w:val="en-US"/>
              </w:rPr>
            </w:pPr>
          </w:p>
        </w:tc>
        <w:tc>
          <w:tcPr>
            <w:tcW w:w="774" w:type="dxa"/>
          </w:tcPr>
          <w:p w14:paraId="2BE3C7EB">
            <w:pPr>
              <w:pStyle w:val="3"/>
              <w:keepNext/>
              <w:spacing w:line="440" w:lineRule="exact"/>
              <w:ind w:left="66" w:right="66"/>
              <w:rPr>
                <w:rFonts w:eastAsia="仿宋_GB2312"/>
                <w:color w:val="auto"/>
                <w:sz w:val="28"/>
                <w:szCs w:val="28"/>
                <w:highlight w:val="none"/>
                <w:lang w:val="en-US"/>
              </w:rPr>
            </w:pPr>
          </w:p>
        </w:tc>
        <w:tc>
          <w:tcPr>
            <w:tcW w:w="1352" w:type="dxa"/>
          </w:tcPr>
          <w:p w14:paraId="5C79467B">
            <w:pPr>
              <w:pStyle w:val="3"/>
              <w:keepNext/>
              <w:spacing w:line="440" w:lineRule="exact"/>
              <w:ind w:left="66" w:right="66"/>
              <w:rPr>
                <w:rFonts w:eastAsia="仿宋_GB2312"/>
                <w:color w:val="auto"/>
                <w:sz w:val="28"/>
                <w:szCs w:val="28"/>
                <w:highlight w:val="none"/>
                <w:lang w:val="en-US"/>
              </w:rPr>
            </w:pPr>
          </w:p>
        </w:tc>
        <w:tc>
          <w:tcPr>
            <w:tcW w:w="1418" w:type="dxa"/>
          </w:tcPr>
          <w:p w14:paraId="3391BACB">
            <w:pPr>
              <w:pStyle w:val="3"/>
              <w:keepNext/>
              <w:spacing w:line="440" w:lineRule="exact"/>
              <w:ind w:left="66" w:right="66"/>
              <w:rPr>
                <w:rFonts w:eastAsia="仿宋_GB2312"/>
                <w:color w:val="auto"/>
                <w:sz w:val="28"/>
                <w:szCs w:val="28"/>
                <w:highlight w:val="none"/>
                <w:lang w:val="en-US"/>
              </w:rPr>
            </w:pPr>
          </w:p>
        </w:tc>
        <w:tc>
          <w:tcPr>
            <w:tcW w:w="1701" w:type="dxa"/>
          </w:tcPr>
          <w:p w14:paraId="78B7DCFA">
            <w:pPr>
              <w:pStyle w:val="3"/>
              <w:keepNext/>
              <w:spacing w:line="440" w:lineRule="exact"/>
              <w:ind w:left="66" w:right="66"/>
              <w:rPr>
                <w:rFonts w:eastAsia="仿宋_GB2312"/>
                <w:color w:val="auto"/>
                <w:sz w:val="28"/>
                <w:szCs w:val="28"/>
                <w:highlight w:val="none"/>
                <w:lang w:val="en-US"/>
              </w:rPr>
            </w:pPr>
          </w:p>
        </w:tc>
      </w:tr>
      <w:tr w14:paraId="54675C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30E57ED">
            <w:pPr>
              <w:pStyle w:val="3"/>
              <w:keepNext/>
              <w:spacing w:line="440" w:lineRule="exact"/>
              <w:ind w:left="66" w:right="66"/>
              <w:rPr>
                <w:rFonts w:eastAsia="仿宋_GB2312"/>
                <w:color w:val="auto"/>
                <w:sz w:val="28"/>
                <w:szCs w:val="28"/>
                <w:highlight w:val="none"/>
                <w:lang w:val="en-US"/>
              </w:rPr>
            </w:pPr>
          </w:p>
        </w:tc>
        <w:tc>
          <w:tcPr>
            <w:tcW w:w="1984" w:type="dxa"/>
          </w:tcPr>
          <w:p w14:paraId="784FEFDE">
            <w:pPr>
              <w:pStyle w:val="3"/>
              <w:keepNext/>
              <w:spacing w:line="440" w:lineRule="exact"/>
              <w:ind w:left="66" w:right="66"/>
              <w:rPr>
                <w:rFonts w:eastAsia="仿宋_GB2312"/>
                <w:color w:val="auto"/>
                <w:sz w:val="28"/>
                <w:szCs w:val="28"/>
                <w:highlight w:val="none"/>
                <w:lang w:val="en-US"/>
              </w:rPr>
            </w:pPr>
          </w:p>
        </w:tc>
        <w:tc>
          <w:tcPr>
            <w:tcW w:w="851" w:type="dxa"/>
          </w:tcPr>
          <w:p w14:paraId="2DB21082">
            <w:pPr>
              <w:pStyle w:val="3"/>
              <w:keepNext/>
              <w:spacing w:line="440" w:lineRule="exact"/>
              <w:ind w:left="66" w:right="66"/>
              <w:rPr>
                <w:rFonts w:eastAsia="仿宋_GB2312"/>
                <w:color w:val="auto"/>
                <w:sz w:val="28"/>
                <w:szCs w:val="28"/>
                <w:highlight w:val="none"/>
                <w:lang w:val="en-US"/>
              </w:rPr>
            </w:pPr>
          </w:p>
        </w:tc>
        <w:tc>
          <w:tcPr>
            <w:tcW w:w="774" w:type="dxa"/>
          </w:tcPr>
          <w:p w14:paraId="2330249E">
            <w:pPr>
              <w:pStyle w:val="3"/>
              <w:keepNext/>
              <w:spacing w:line="440" w:lineRule="exact"/>
              <w:ind w:left="66" w:right="66"/>
              <w:rPr>
                <w:rFonts w:eastAsia="仿宋_GB2312"/>
                <w:color w:val="auto"/>
                <w:sz w:val="28"/>
                <w:szCs w:val="28"/>
                <w:highlight w:val="none"/>
                <w:lang w:val="en-US"/>
              </w:rPr>
            </w:pPr>
          </w:p>
        </w:tc>
        <w:tc>
          <w:tcPr>
            <w:tcW w:w="1352" w:type="dxa"/>
          </w:tcPr>
          <w:p w14:paraId="08F98FA1">
            <w:pPr>
              <w:pStyle w:val="3"/>
              <w:keepNext/>
              <w:spacing w:line="440" w:lineRule="exact"/>
              <w:ind w:left="66" w:right="66"/>
              <w:rPr>
                <w:rFonts w:eastAsia="仿宋_GB2312"/>
                <w:color w:val="auto"/>
                <w:sz w:val="28"/>
                <w:szCs w:val="28"/>
                <w:highlight w:val="none"/>
                <w:lang w:val="en-US"/>
              </w:rPr>
            </w:pPr>
          </w:p>
        </w:tc>
        <w:tc>
          <w:tcPr>
            <w:tcW w:w="1418" w:type="dxa"/>
          </w:tcPr>
          <w:p w14:paraId="6907B8E0">
            <w:pPr>
              <w:pStyle w:val="3"/>
              <w:keepNext/>
              <w:spacing w:line="440" w:lineRule="exact"/>
              <w:ind w:left="66" w:right="66"/>
              <w:rPr>
                <w:rFonts w:eastAsia="仿宋_GB2312"/>
                <w:color w:val="auto"/>
                <w:sz w:val="28"/>
                <w:szCs w:val="28"/>
                <w:highlight w:val="none"/>
                <w:lang w:val="en-US"/>
              </w:rPr>
            </w:pPr>
          </w:p>
        </w:tc>
        <w:tc>
          <w:tcPr>
            <w:tcW w:w="1701" w:type="dxa"/>
          </w:tcPr>
          <w:p w14:paraId="684C5BB7">
            <w:pPr>
              <w:pStyle w:val="3"/>
              <w:keepNext/>
              <w:spacing w:line="440" w:lineRule="exact"/>
              <w:ind w:left="66" w:right="66"/>
              <w:rPr>
                <w:rFonts w:eastAsia="仿宋_GB2312"/>
                <w:color w:val="auto"/>
                <w:sz w:val="28"/>
                <w:szCs w:val="28"/>
                <w:highlight w:val="none"/>
                <w:lang w:val="en-US"/>
              </w:rPr>
            </w:pPr>
          </w:p>
        </w:tc>
      </w:tr>
      <w:tr w14:paraId="3CA2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1C4F304F">
            <w:pPr>
              <w:pStyle w:val="3"/>
              <w:keepNext/>
              <w:spacing w:line="440" w:lineRule="exact"/>
              <w:ind w:left="66" w:right="66"/>
              <w:rPr>
                <w:rFonts w:eastAsia="仿宋_GB2312"/>
                <w:color w:val="auto"/>
                <w:sz w:val="28"/>
                <w:szCs w:val="28"/>
                <w:highlight w:val="none"/>
                <w:lang w:val="en-US"/>
              </w:rPr>
            </w:pPr>
          </w:p>
        </w:tc>
        <w:tc>
          <w:tcPr>
            <w:tcW w:w="1984" w:type="dxa"/>
          </w:tcPr>
          <w:p w14:paraId="24FCF5FB">
            <w:pPr>
              <w:pStyle w:val="3"/>
              <w:keepNext/>
              <w:spacing w:line="440" w:lineRule="exact"/>
              <w:ind w:left="66" w:right="66"/>
              <w:rPr>
                <w:rFonts w:eastAsia="仿宋_GB2312"/>
                <w:color w:val="auto"/>
                <w:sz w:val="28"/>
                <w:szCs w:val="28"/>
                <w:highlight w:val="none"/>
                <w:lang w:val="en-US"/>
              </w:rPr>
            </w:pPr>
          </w:p>
        </w:tc>
        <w:tc>
          <w:tcPr>
            <w:tcW w:w="851" w:type="dxa"/>
          </w:tcPr>
          <w:p w14:paraId="17756944">
            <w:pPr>
              <w:pStyle w:val="3"/>
              <w:keepNext/>
              <w:spacing w:line="440" w:lineRule="exact"/>
              <w:ind w:left="66" w:right="66"/>
              <w:rPr>
                <w:rFonts w:eastAsia="仿宋_GB2312"/>
                <w:color w:val="auto"/>
                <w:sz w:val="28"/>
                <w:szCs w:val="28"/>
                <w:highlight w:val="none"/>
                <w:lang w:val="en-US"/>
              </w:rPr>
            </w:pPr>
          </w:p>
        </w:tc>
        <w:tc>
          <w:tcPr>
            <w:tcW w:w="774" w:type="dxa"/>
          </w:tcPr>
          <w:p w14:paraId="0E540955">
            <w:pPr>
              <w:pStyle w:val="3"/>
              <w:keepNext/>
              <w:spacing w:line="440" w:lineRule="exact"/>
              <w:ind w:left="66" w:right="66"/>
              <w:rPr>
                <w:rFonts w:eastAsia="仿宋_GB2312"/>
                <w:color w:val="auto"/>
                <w:sz w:val="28"/>
                <w:szCs w:val="28"/>
                <w:highlight w:val="none"/>
                <w:lang w:val="en-US"/>
              </w:rPr>
            </w:pPr>
          </w:p>
        </w:tc>
        <w:tc>
          <w:tcPr>
            <w:tcW w:w="1352" w:type="dxa"/>
          </w:tcPr>
          <w:p w14:paraId="48F6BB20">
            <w:pPr>
              <w:pStyle w:val="3"/>
              <w:keepNext/>
              <w:spacing w:line="440" w:lineRule="exact"/>
              <w:ind w:left="66" w:right="66"/>
              <w:rPr>
                <w:rFonts w:eastAsia="仿宋_GB2312"/>
                <w:color w:val="auto"/>
                <w:sz w:val="28"/>
                <w:szCs w:val="28"/>
                <w:highlight w:val="none"/>
                <w:lang w:val="en-US"/>
              </w:rPr>
            </w:pPr>
          </w:p>
        </w:tc>
        <w:tc>
          <w:tcPr>
            <w:tcW w:w="1418" w:type="dxa"/>
          </w:tcPr>
          <w:p w14:paraId="3C758BC6">
            <w:pPr>
              <w:pStyle w:val="3"/>
              <w:keepNext/>
              <w:spacing w:line="440" w:lineRule="exact"/>
              <w:ind w:left="66" w:right="66"/>
              <w:rPr>
                <w:rFonts w:eastAsia="仿宋_GB2312"/>
                <w:color w:val="auto"/>
                <w:sz w:val="28"/>
                <w:szCs w:val="28"/>
                <w:highlight w:val="none"/>
                <w:lang w:val="en-US"/>
              </w:rPr>
            </w:pPr>
          </w:p>
        </w:tc>
        <w:tc>
          <w:tcPr>
            <w:tcW w:w="1701" w:type="dxa"/>
          </w:tcPr>
          <w:p w14:paraId="047FF9E8">
            <w:pPr>
              <w:pStyle w:val="3"/>
              <w:keepNext/>
              <w:spacing w:line="440" w:lineRule="exact"/>
              <w:ind w:left="66" w:right="66"/>
              <w:rPr>
                <w:rFonts w:eastAsia="仿宋_GB2312"/>
                <w:color w:val="auto"/>
                <w:sz w:val="28"/>
                <w:szCs w:val="28"/>
                <w:highlight w:val="none"/>
                <w:lang w:val="en-US"/>
              </w:rPr>
            </w:pPr>
          </w:p>
        </w:tc>
      </w:tr>
      <w:tr w14:paraId="21431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53F6C267">
            <w:pPr>
              <w:pStyle w:val="3"/>
              <w:keepNext/>
              <w:spacing w:line="440" w:lineRule="exact"/>
              <w:ind w:left="66" w:right="66"/>
              <w:rPr>
                <w:rFonts w:eastAsia="仿宋_GB2312"/>
                <w:color w:val="auto"/>
                <w:sz w:val="28"/>
                <w:szCs w:val="28"/>
                <w:highlight w:val="none"/>
                <w:lang w:val="en-US"/>
              </w:rPr>
            </w:pPr>
          </w:p>
        </w:tc>
        <w:tc>
          <w:tcPr>
            <w:tcW w:w="1984" w:type="dxa"/>
          </w:tcPr>
          <w:p w14:paraId="3C8CCE0C">
            <w:pPr>
              <w:pStyle w:val="3"/>
              <w:keepNext/>
              <w:spacing w:line="440" w:lineRule="exact"/>
              <w:ind w:left="66" w:right="66"/>
              <w:rPr>
                <w:rFonts w:eastAsia="仿宋_GB2312"/>
                <w:color w:val="auto"/>
                <w:sz w:val="28"/>
                <w:szCs w:val="28"/>
                <w:highlight w:val="none"/>
                <w:lang w:val="en-US"/>
              </w:rPr>
            </w:pPr>
          </w:p>
        </w:tc>
        <w:tc>
          <w:tcPr>
            <w:tcW w:w="851" w:type="dxa"/>
          </w:tcPr>
          <w:p w14:paraId="00C97A08">
            <w:pPr>
              <w:pStyle w:val="3"/>
              <w:keepNext/>
              <w:spacing w:line="440" w:lineRule="exact"/>
              <w:ind w:left="66" w:right="66"/>
              <w:rPr>
                <w:rFonts w:eastAsia="仿宋_GB2312"/>
                <w:color w:val="auto"/>
                <w:sz w:val="28"/>
                <w:szCs w:val="28"/>
                <w:highlight w:val="none"/>
                <w:lang w:val="en-US"/>
              </w:rPr>
            </w:pPr>
          </w:p>
        </w:tc>
        <w:tc>
          <w:tcPr>
            <w:tcW w:w="774" w:type="dxa"/>
          </w:tcPr>
          <w:p w14:paraId="4C5B25F3">
            <w:pPr>
              <w:pStyle w:val="3"/>
              <w:keepNext/>
              <w:spacing w:line="440" w:lineRule="exact"/>
              <w:ind w:left="66" w:right="66"/>
              <w:rPr>
                <w:rFonts w:eastAsia="仿宋_GB2312"/>
                <w:color w:val="auto"/>
                <w:sz w:val="28"/>
                <w:szCs w:val="28"/>
                <w:highlight w:val="none"/>
                <w:lang w:val="en-US"/>
              </w:rPr>
            </w:pPr>
          </w:p>
        </w:tc>
        <w:tc>
          <w:tcPr>
            <w:tcW w:w="1352" w:type="dxa"/>
          </w:tcPr>
          <w:p w14:paraId="5FCBB916">
            <w:pPr>
              <w:pStyle w:val="3"/>
              <w:keepNext/>
              <w:spacing w:line="440" w:lineRule="exact"/>
              <w:ind w:left="66" w:right="66"/>
              <w:rPr>
                <w:rFonts w:eastAsia="仿宋_GB2312"/>
                <w:color w:val="auto"/>
                <w:sz w:val="28"/>
                <w:szCs w:val="28"/>
                <w:highlight w:val="none"/>
                <w:lang w:val="en-US"/>
              </w:rPr>
            </w:pPr>
          </w:p>
        </w:tc>
        <w:tc>
          <w:tcPr>
            <w:tcW w:w="1418" w:type="dxa"/>
          </w:tcPr>
          <w:p w14:paraId="2588762F">
            <w:pPr>
              <w:pStyle w:val="3"/>
              <w:keepNext/>
              <w:spacing w:line="440" w:lineRule="exact"/>
              <w:ind w:left="66" w:right="66"/>
              <w:rPr>
                <w:rFonts w:eastAsia="仿宋_GB2312"/>
                <w:color w:val="auto"/>
                <w:sz w:val="28"/>
                <w:szCs w:val="28"/>
                <w:highlight w:val="none"/>
                <w:lang w:val="en-US"/>
              </w:rPr>
            </w:pPr>
          </w:p>
        </w:tc>
        <w:tc>
          <w:tcPr>
            <w:tcW w:w="1701" w:type="dxa"/>
          </w:tcPr>
          <w:p w14:paraId="7F2A9FD8">
            <w:pPr>
              <w:pStyle w:val="3"/>
              <w:keepNext/>
              <w:spacing w:line="440" w:lineRule="exact"/>
              <w:ind w:left="66" w:right="66"/>
              <w:rPr>
                <w:rFonts w:eastAsia="仿宋_GB2312"/>
                <w:color w:val="auto"/>
                <w:sz w:val="28"/>
                <w:szCs w:val="28"/>
                <w:highlight w:val="none"/>
                <w:lang w:val="en-US"/>
              </w:rPr>
            </w:pPr>
          </w:p>
        </w:tc>
      </w:tr>
      <w:tr w14:paraId="5B95FC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62AC3EC">
            <w:pPr>
              <w:pStyle w:val="3"/>
              <w:keepNext/>
              <w:spacing w:line="440" w:lineRule="exact"/>
              <w:ind w:left="66" w:right="66"/>
              <w:rPr>
                <w:rFonts w:eastAsia="仿宋_GB2312"/>
                <w:color w:val="auto"/>
                <w:sz w:val="28"/>
                <w:szCs w:val="28"/>
                <w:highlight w:val="none"/>
                <w:lang w:val="en-US"/>
              </w:rPr>
            </w:pPr>
          </w:p>
        </w:tc>
        <w:tc>
          <w:tcPr>
            <w:tcW w:w="1984" w:type="dxa"/>
          </w:tcPr>
          <w:p w14:paraId="51AAFB04">
            <w:pPr>
              <w:pStyle w:val="3"/>
              <w:keepNext/>
              <w:spacing w:line="440" w:lineRule="exact"/>
              <w:ind w:left="66" w:right="66"/>
              <w:rPr>
                <w:rFonts w:eastAsia="仿宋_GB2312"/>
                <w:color w:val="auto"/>
                <w:sz w:val="28"/>
                <w:szCs w:val="28"/>
                <w:highlight w:val="none"/>
                <w:lang w:val="en-US"/>
              </w:rPr>
            </w:pPr>
          </w:p>
        </w:tc>
        <w:tc>
          <w:tcPr>
            <w:tcW w:w="851" w:type="dxa"/>
          </w:tcPr>
          <w:p w14:paraId="276CB0D4">
            <w:pPr>
              <w:pStyle w:val="3"/>
              <w:keepNext/>
              <w:spacing w:line="440" w:lineRule="exact"/>
              <w:ind w:left="66" w:right="66"/>
              <w:rPr>
                <w:rFonts w:eastAsia="仿宋_GB2312"/>
                <w:color w:val="auto"/>
                <w:sz w:val="28"/>
                <w:szCs w:val="28"/>
                <w:highlight w:val="none"/>
                <w:lang w:val="en-US"/>
              </w:rPr>
            </w:pPr>
          </w:p>
        </w:tc>
        <w:tc>
          <w:tcPr>
            <w:tcW w:w="774" w:type="dxa"/>
          </w:tcPr>
          <w:p w14:paraId="0FC88FD5">
            <w:pPr>
              <w:pStyle w:val="3"/>
              <w:keepNext/>
              <w:spacing w:line="440" w:lineRule="exact"/>
              <w:ind w:left="66" w:right="66"/>
              <w:rPr>
                <w:rFonts w:eastAsia="仿宋_GB2312"/>
                <w:color w:val="auto"/>
                <w:sz w:val="28"/>
                <w:szCs w:val="28"/>
                <w:highlight w:val="none"/>
                <w:lang w:val="en-US"/>
              </w:rPr>
            </w:pPr>
          </w:p>
        </w:tc>
        <w:tc>
          <w:tcPr>
            <w:tcW w:w="1352" w:type="dxa"/>
          </w:tcPr>
          <w:p w14:paraId="1C42978D">
            <w:pPr>
              <w:pStyle w:val="3"/>
              <w:keepNext/>
              <w:spacing w:line="440" w:lineRule="exact"/>
              <w:ind w:left="66" w:right="66"/>
              <w:rPr>
                <w:rFonts w:eastAsia="仿宋_GB2312"/>
                <w:color w:val="auto"/>
                <w:sz w:val="28"/>
                <w:szCs w:val="28"/>
                <w:highlight w:val="none"/>
                <w:lang w:val="en-US"/>
              </w:rPr>
            </w:pPr>
          </w:p>
        </w:tc>
        <w:tc>
          <w:tcPr>
            <w:tcW w:w="1418" w:type="dxa"/>
          </w:tcPr>
          <w:p w14:paraId="41BCC667">
            <w:pPr>
              <w:pStyle w:val="3"/>
              <w:keepNext/>
              <w:spacing w:line="440" w:lineRule="exact"/>
              <w:ind w:left="66" w:right="66"/>
              <w:rPr>
                <w:rFonts w:eastAsia="仿宋_GB2312"/>
                <w:color w:val="auto"/>
                <w:sz w:val="28"/>
                <w:szCs w:val="28"/>
                <w:highlight w:val="none"/>
                <w:lang w:val="en-US"/>
              </w:rPr>
            </w:pPr>
          </w:p>
        </w:tc>
        <w:tc>
          <w:tcPr>
            <w:tcW w:w="1701" w:type="dxa"/>
          </w:tcPr>
          <w:p w14:paraId="02143084">
            <w:pPr>
              <w:pStyle w:val="3"/>
              <w:keepNext/>
              <w:spacing w:line="440" w:lineRule="exact"/>
              <w:ind w:left="66" w:right="66"/>
              <w:rPr>
                <w:rFonts w:eastAsia="仿宋_GB2312"/>
                <w:color w:val="auto"/>
                <w:sz w:val="28"/>
                <w:szCs w:val="28"/>
                <w:highlight w:val="none"/>
                <w:lang w:val="en-US"/>
              </w:rPr>
            </w:pPr>
          </w:p>
        </w:tc>
      </w:tr>
      <w:tr w14:paraId="34BF0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3FC6F8A">
            <w:pPr>
              <w:pStyle w:val="3"/>
              <w:keepNext/>
              <w:spacing w:line="440" w:lineRule="exact"/>
              <w:ind w:left="66" w:right="66"/>
              <w:rPr>
                <w:rFonts w:eastAsia="仿宋_GB2312"/>
                <w:color w:val="auto"/>
                <w:sz w:val="28"/>
                <w:szCs w:val="28"/>
                <w:highlight w:val="none"/>
                <w:lang w:val="en-US"/>
              </w:rPr>
            </w:pPr>
          </w:p>
        </w:tc>
        <w:tc>
          <w:tcPr>
            <w:tcW w:w="1984" w:type="dxa"/>
          </w:tcPr>
          <w:p w14:paraId="264FC4A5">
            <w:pPr>
              <w:pStyle w:val="3"/>
              <w:keepNext/>
              <w:spacing w:line="440" w:lineRule="exact"/>
              <w:ind w:left="66" w:right="66"/>
              <w:rPr>
                <w:rFonts w:eastAsia="仿宋_GB2312"/>
                <w:color w:val="auto"/>
                <w:sz w:val="28"/>
                <w:szCs w:val="28"/>
                <w:highlight w:val="none"/>
                <w:lang w:val="en-US"/>
              </w:rPr>
            </w:pPr>
          </w:p>
        </w:tc>
        <w:tc>
          <w:tcPr>
            <w:tcW w:w="851" w:type="dxa"/>
          </w:tcPr>
          <w:p w14:paraId="5D37BAAB">
            <w:pPr>
              <w:pStyle w:val="3"/>
              <w:keepNext/>
              <w:spacing w:line="440" w:lineRule="exact"/>
              <w:ind w:left="66" w:right="66"/>
              <w:rPr>
                <w:rFonts w:eastAsia="仿宋_GB2312"/>
                <w:color w:val="auto"/>
                <w:sz w:val="28"/>
                <w:szCs w:val="28"/>
                <w:highlight w:val="none"/>
                <w:lang w:val="en-US"/>
              </w:rPr>
            </w:pPr>
          </w:p>
        </w:tc>
        <w:tc>
          <w:tcPr>
            <w:tcW w:w="774" w:type="dxa"/>
          </w:tcPr>
          <w:p w14:paraId="3E010BF6">
            <w:pPr>
              <w:pStyle w:val="3"/>
              <w:keepNext/>
              <w:spacing w:line="440" w:lineRule="exact"/>
              <w:ind w:left="66" w:right="66"/>
              <w:rPr>
                <w:rFonts w:eastAsia="仿宋_GB2312"/>
                <w:color w:val="auto"/>
                <w:sz w:val="28"/>
                <w:szCs w:val="28"/>
                <w:highlight w:val="none"/>
                <w:lang w:val="en-US"/>
              </w:rPr>
            </w:pPr>
          </w:p>
        </w:tc>
        <w:tc>
          <w:tcPr>
            <w:tcW w:w="1352" w:type="dxa"/>
          </w:tcPr>
          <w:p w14:paraId="4934AE0A">
            <w:pPr>
              <w:pStyle w:val="3"/>
              <w:keepNext/>
              <w:spacing w:line="440" w:lineRule="exact"/>
              <w:ind w:left="66" w:right="66"/>
              <w:rPr>
                <w:rFonts w:eastAsia="仿宋_GB2312"/>
                <w:color w:val="auto"/>
                <w:sz w:val="28"/>
                <w:szCs w:val="28"/>
                <w:highlight w:val="none"/>
                <w:lang w:val="en-US"/>
              </w:rPr>
            </w:pPr>
          </w:p>
        </w:tc>
        <w:tc>
          <w:tcPr>
            <w:tcW w:w="1418" w:type="dxa"/>
          </w:tcPr>
          <w:p w14:paraId="05058F07">
            <w:pPr>
              <w:pStyle w:val="3"/>
              <w:keepNext/>
              <w:spacing w:line="440" w:lineRule="exact"/>
              <w:ind w:left="66" w:right="66"/>
              <w:rPr>
                <w:rFonts w:eastAsia="仿宋_GB2312"/>
                <w:color w:val="auto"/>
                <w:sz w:val="28"/>
                <w:szCs w:val="28"/>
                <w:highlight w:val="none"/>
                <w:lang w:val="en-US"/>
              </w:rPr>
            </w:pPr>
          </w:p>
        </w:tc>
        <w:tc>
          <w:tcPr>
            <w:tcW w:w="1701" w:type="dxa"/>
          </w:tcPr>
          <w:p w14:paraId="414CA768">
            <w:pPr>
              <w:pStyle w:val="3"/>
              <w:keepNext/>
              <w:spacing w:line="440" w:lineRule="exact"/>
              <w:ind w:left="66" w:right="66"/>
              <w:rPr>
                <w:rFonts w:eastAsia="仿宋_GB2312"/>
                <w:color w:val="auto"/>
                <w:sz w:val="28"/>
                <w:szCs w:val="28"/>
                <w:highlight w:val="none"/>
                <w:lang w:val="en-US"/>
              </w:rPr>
            </w:pPr>
          </w:p>
        </w:tc>
      </w:tr>
      <w:tr w14:paraId="76BEE8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050AFC0">
            <w:pPr>
              <w:pStyle w:val="3"/>
              <w:keepNext/>
              <w:spacing w:line="440" w:lineRule="exact"/>
              <w:ind w:left="66" w:right="66"/>
              <w:rPr>
                <w:rFonts w:eastAsia="仿宋_GB2312"/>
                <w:color w:val="auto"/>
                <w:sz w:val="28"/>
                <w:szCs w:val="28"/>
                <w:highlight w:val="none"/>
                <w:lang w:val="en-US"/>
              </w:rPr>
            </w:pPr>
          </w:p>
        </w:tc>
        <w:tc>
          <w:tcPr>
            <w:tcW w:w="1984" w:type="dxa"/>
          </w:tcPr>
          <w:p w14:paraId="52731345">
            <w:pPr>
              <w:pStyle w:val="3"/>
              <w:keepNext/>
              <w:spacing w:line="440" w:lineRule="exact"/>
              <w:ind w:left="66" w:right="66"/>
              <w:rPr>
                <w:rFonts w:eastAsia="仿宋_GB2312"/>
                <w:color w:val="auto"/>
                <w:sz w:val="28"/>
                <w:szCs w:val="28"/>
                <w:highlight w:val="none"/>
                <w:lang w:val="en-US"/>
              </w:rPr>
            </w:pPr>
          </w:p>
        </w:tc>
        <w:tc>
          <w:tcPr>
            <w:tcW w:w="851" w:type="dxa"/>
          </w:tcPr>
          <w:p w14:paraId="23B71296">
            <w:pPr>
              <w:pStyle w:val="3"/>
              <w:keepNext/>
              <w:spacing w:line="440" w:lineRule="exact"/>
              <w:ind w:left="66" w:right="66"/>
              <w:rPr>
                <w:rFonts w:eastAsia="仿宋_GB2312"/>
                <w:color w:val="auto"/>
                <w:sz w:val="28"/>
                <w:szCs w:val="28"/>
                <w:highlight w:val="none"/>
                <w:lang w:val="en-US"/>
              </w:rPr>
            </w:pPr>
          </w:p>
        </w:tc>
        <w:tc>
          <w:tcPr>
            <w:tcW w:w="774" w:type="dxa"/>
          </w:tcPr>
          <w:p w14:paraId="4150DA23">
            <w:pPr>
              <w:pStyle w:val="3"/>
              <w:keepNext/>
              <w:spacing w:line="440" w:lineRule="exact"/>
              <w:ind w:left="66" w:right="66"/>
              <w:rPr>
                <w:rFonts w:eastAsia="仿宋_GB2312"/>
                <w:color w:val="auto"/>
                <w:sz w:val="28"/>
                <w:szCs w:val="28"/>
                <w:highlight w:val="none"/>
                <w:lang w:val="en-US"/>
              </w:rPr>
            </w:pPr>
          </w:p>
        </w:tc>
        <w:tc>
          <w:tcPr>
            <w:tcW w:w="1352" w:type="dxa"/>
          </w:tcPr>
          <w:p w14:paraId="55CD3BCB">
            <w:pPr>
              <w:pStyle w:val="3"/>
              <w:keepNext/>
              <w:spacing w:line="440" w:lineRule="exact"/>
              <w:ind w:left="66" w:right="66"/>
              <w:rPr>
                <w:rFonts w:eastAsia="仿宋_GB2312"/>
                <w:color w:val="auto"/>
                <w:sz w:val="28"/>
                <w:szCs w:val="28"/>
                <w:highlight w:val="none"/>
                <w:lang w:val="en-US"/>
              </w:rPr>
            </w:pPr>
          </w:p>
        </w:tc>
        <w:tc>
          <w:tcPr>
            <w:tcW w:w="1418" w:type="dxa"/>
          </w:tcPr>
          <w:p w14:paraId="3D7BB4BC">
            <w:pPr>
              <w:pStyle w:val="3"/>
              <w:keepNext/>
              <w:spacing w:line="440" w:lineRule="exact"/>
              <w:ind w:left="66" w:right="66"/>
              <w:rPr>
                <w:rFonts w:eastAsia="仿宋_GB2312"/>
                <w:color w:val="auto"/>
                <w:sz w:val="28"/>
                <w:szCs w:val="28"/>
                <w:highlight w:val="none"/>
                <w:lang w:val="en-US"/>
              </w:rPr>
            </w:pPr>
          </w:p>
        </w:tc>
        <w:tc>
          <w:tcPr>
            <w:tcW w:w="1701" w:type="dxa"/>
          </w:tcPr>
          <w:p w14:paraId="4DD16FE8">
            <w:pPr>
              <w:pStyle w:val="3"/>
              <w:keepNext/>
              <w:spacing w:line="440" w:lineRule="exact"/>
              <w:ind w:left="66" w:right="66"/>
              <w:rPr>
                <w:rFonts w:eastAsia="仿宋_GB2312"/>
                <w:color w:val="auto"/>
                <w:sz w:val="28"/>
                <w:szCs w:val="28"/>
                <w:highlight w:val="none"/>
                <w:lang w:val="en-US"/>
              </w:rPr>
            </w:pPr>
          </w:p>
        </w:tc>
      </w:tr>
      <w:tr w14:paraId="386DD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14E792F0">
            <w:pPr>
              <w:pStyle w:val="3"/>
              <w:keepNext/>
              <w:spacing w:line="440" w:lineRule="exact"/>
              <w:ind w:left="66" w:right="66"/>
              <w:rPr>
                <w:rFonts w:eastAsia="仿宋_GB2312"/>
                <w:color w:val="auto"/>
                <w:sz w:val="28"/>
                <w:szCs w:val="28"/>
                <w:highlight w:val="none"/>
                <w:lang w:val="en-US"/>
              </w:rPr>
            </w:pPr>
          </w:p>
        </w:tc>
        <w:tc>
          <w:tcPr>
            <w:tcW w:w="1984" w:type="dxa"/>
          </w:tcPr>
          <w:p w14:paraId="12FCC60D">
            <w:pPr>
              <w:pStyle w:val="3"/>
              <w:keepNext/>
              <w:spacing w:line="440" w:lineRule="exact"/>
              <w:ind w:left="66" w:right="66"/>
              <w:rPr>
                <w:rFonts w:eastAsia="仿宋_GB2312"/>
                <w:color w:val="auto"/>
                <w:sz w:val="28"/>
                <w:szCs w:val="28"/>
                <w:highlight w:val="none"/>
                <w:lang w:val="en-US"/>
              </w:rPr>
            </w:pPr>
          </w:p>
        </w:tc>
        <w:tc>
          <w:tcPr>
            <w:tcW w:w="851" w:type="dxa"/>
          </w:tcPr>
          <w:p w14:paraId="0646916E">
            <w:pPr>
              <w:pStyle w:val="3"/>
              <w:keepNext/>
              <w:spacing w:line="440" w:lineRule="exact"/>
              <w:ind w:left="66" w:right="66"/>
              <w:rPr>
                <w:rFonts w:eastAsia="仿宋_GB2312"/>
                <w:color w:val="auto"/>
                <w:sz w:val="28"/>
                <w:szCs w:val="28"/>
                <w:highlight w:val="none"/>
                <w:lang w:val="en-US"/>
              </w:rPr>
            </w:pPr>
          </w:p>
        </w:tc>
        <w:tc>
          <w:tcPr>
            <w:tcW w:w="774" w:type="dxa"/>
          </w:tcPr>
          <w:p w14:paraId="5C45DEFC">
            <w:pPr>
              <w:pStyle w:val="3"/>
              <w:keepNext/>
              <w:spacing w:line="440" w:lineRule="exact"/>
              <w:ind w:left="66" w:right="66"/>
              <w:rPr>
                <w:rFonts w:eastAsia="仿宋_GB2312"/>
                <w:color w:val="auto"/>
                <w:sz w:val="28"/>
                <w:szCs w:val="28"/>
                <w:highlight w:val="none"/>
                <w:lang w:val="en-US"/>
              </w:rPr>
            </w:pPr>
          </w:p>
        </w:tc>
        <w:tc>
          <w:tcPr>
            <w:tcW w:w="1352" w:type="dxa"/>
          </w:tcPr>
          <w:p w14:paraId="7F8841F5">
            <w:pPr>
              <w:pStyle w:val="3"/>
              <w:keepNext/>
              <w:spacing w:line="440" w:lineRule="exact"/>
              <w:ind w:left="66" w:right="66"/>
              <w:rPr>
                <w:rFonts w:eastAsia="仿宋_GB2312"/>
                <w:color w:val="auto"/>
                <w:sz w:val="28"/>
                <w:szCs w:val="28"/>
                <w:highlight w:val="none"/>
                <w:lang w:val="en-US"/>
              </w:rPr>
            </w:pPr>
          </w:p>
        </w:tc>
        <w:tc>
          <w:tcPr>
            <w:tcW w:w="1418" w:type="dxa"/>
          </w:tcPr>
          <w:p w14:paraId="29576118">
            <w:pPr>
              <w:pStyle w:val="3"/>
              <w:keepNext/>
              <w:spacing w:line="440" w:lineRule="exact"/>
              <w:ind w:left="66" w:right="66"/>
              <w:rPr>
                <w:rFonts w:eastAsia="仿宋_GB2312"/>
                <w:color w:val="auto"/>
                <w:sz w:val="28"/>
                <w:szCs w:val="28"/>
                <w:highlight w:val="none"/>
                <w:lang w:val="en-US"/>
              </w:rPr>
            </w:pPr>
          </w:p>
        </w:tc>
        <w:tc>
          <w:tcPr>
            <w:tcW w:w="1701" w:type="dxa"/>
          </w:tcPr>
          <w:p w14:paraId="1834B0C2">
            <w:pPr>
              <w:pStyle w:val="3"/>
              <w:keepNext/>
              <w:spacing w:line="440" w:lineRule="exact"/>
              <w:ind w:left="66" w:right="66"/>
              <w:rPr>
                <w:rFonts w:eastAsia="仿宋_GB2312"/>
                <w:color w:val="auto"/>
                <w:sz w:val="28"/>
                <w:szCs w:val="28"/>
                <w:highlight w:val="none"/>
                <w:lang w:val="en-US"/>
              </w:rPr>
            </w:pPr>
          </w:p>
        </w:tc>
      </w:tr>
      <w:tr w14:paraId="1336B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7E69566">
            <w:pPr>
              <w:pStyle w:val="3"/>
              <w:keepNext/>
              <w:spacing w:line="440" w:lineRule="exact"/>
              <w:ind w:left="66" w:right="66"/>
              <w:rPr>
                <w:rFonts w:eastAsia="仿宋_GB2312"/>
                <w:color w:val="auto"/>
                <w:sz w:val="28"/>
                <w:szCs w:val="28"/>
                <w:highlight w:val="none"/>
                <w:lang w:val="en-US"/>
              </w:rPr>
            </w:pPr>
          </w:p>
        </w:tc>
        <w:tc>
          <w:tcPr>
            <w:tcW w:w="1984" w:type="dxa"/>
          </w:tcPr>
          <w:p w14:paraId="13FE64A4">
            <w:pPr>
              <w:pStyle w:val="3"/>
              <w:keepNext/>
              <w:spacing w:line="440" w:lineRule="exact"/>
              <w:ind w:left="66" w:right="66"/>
              <w:rPr>
                <w:rFonts w:eastAsia="仿宋_GB2312"/>
                <w:color w:val="auto"/>
                <w:sz w:val="28"/>
                <w:szCs w:val="28"/>
                <w:highlight w:val="none"/>
                <w:lang w:val="en-US"/>
              </w:rPr>
            </w:pPr>
          </w:p>
        </w:tc>
        <w:tc>
          <w:tcPr>
            <w:tcW w:w="851" w:type="dxa"/>
          </w:tcPr>
          <w:p w14:paraId="2167A15A">
            <w:pPr>
              <w:pStyle w:val="3"/>
              <w:keepNext/>
              <w:spacing w:line="440" w:lineRule="exact"/>
              <w:ind w:left="66" w:right="66"/>
              <w:rPr>
                <w:rFonts w:eastAsia="仿宋_GB2312"/>
                <w:color w:val="auto"/>
                <w:sz w:val="28"/>
                <w:szCs w:val="28"/>
                <w:highlight w:val="none"/>
                <w:lang w:val="en-US"/>
              </w:rPr>
            </w:pPr>
          </w:p>
        </w:tc>
        <w:tc>
          <w:tcPr>
            <w:tcW w:w="774" w:type="dxa"/>
          </w:tcPr>
          <w:p w14:paraId="1FA5AEE6">
            <w:pPr>
              <w:pStyle w:val="3"/>
              <w:keepNext/>
              <w:spacing w:line="440" w:lineRule="exact"/>
              <w:ind w:left="66" w:right="66"/>
              <w:rPr>
                <w:rFonts w:eastAsia="仿宋_GB2312"/>
                <w:color w:val="auto"/>
                <w:sz w:val="28"/>
                <w:szCs w:val="28"/>
                <w:highlight w:val="none"/>
                <w:lang w:val="en-US"/>
              </w:rPr>
            </w:pPr>
          </w:p>
        </w:tc>
        <w:tc>
          <w:tcPr>
            <w:tcW w:w="1352" w:type="dxa"/>
          </w:tcPr>
          <w:p w14:paraId="32335FAF">
            <w:pPr>
              <w:pStyle w:val="3"/>
              <w:keepNext/>
              <w:spacing w:line="440" w:lineRule="exact"/>
              <w:ind w:left="66" w:right="66"/>
              <w:rPr>
                <w:rFonts w:eastAsia="仿宋_GB2312"/>
                <w:color w:val="auto"/>
                <w:sz w:val="28"/>
                <w:szCs w:val="28"/>
                <w:highlight w:val="none"/>
                <w:lang w:val="en-US"/>
              </w:rPr>
            </w:pPr>
          </w:p>
        </w:tc>
        <w:tc>
          <w:tcPr>
            <w:tcW w:w="1418" w:type="dxa"/>
          </w:tcPr>
          <w:p w14:paraId="77EA83E7">
            <w:pPr>
              <w:pStyle w:val="3"/>
              <w:keepNext/>
              <w:spacing w:line="440" w:lineRule="exact"/>
              <w:ind w:left="66" w:right="66"/>
              <w:rPr>
                <w:rFonts w:eastAsia="仿宋_GB2312"/>
                <w:color w:val="auto"/>
                <w:sz w:val="28"/>
                <w:szCs w:val="28"/>
                <w:highlight w:val="none"/>
                <w:lang w:val="en-US"/>
              </w:rPr>
            </w:pPr>
          </w:p>
        </w:tc>
        <w:tc>
          <w:tcPr>
            <w:tcW w:w="1701" w:type="dxa"/>
          </w:tcPr>
          <w:p w14:paraId="7AD3321F">
            <w:pPr>
              <w:pStyle w:val="3"/>
              <w:keepNext/>
              <w:spacing w:line="440" w:lineRule="exact"/>
              <w:ind w:left="66" w:right="66"/>
              <w:rPr>
                <w:rFonts w:eastAsia="仿宋_GB2312"/>
                <w:color w:val="auto"/>
                <w:sz w:val="28"/>
                <w:szCs w:val="28"/>
                <w:highlight w:val="none"/>
                <w:lang w:val="en-US"/>
              </w:rPr>
            </w:pPr>
          </w:p>
        </w:tc>
      </w:tr>
      <w:tr w14:paraId="5E734C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6047989">
            <w:pPr>
              <w:pStyle w:val="3"/>
              <w:keepNext/>
              <w:spacing w:line="440" w:lineRule="exact"/>
              <w:ind w:left="66" w:right="66"/>
              <w:rPr>
                <w:rFonts w:eastAsia="仿宋_GB2312"/>
                <w:color w:val="auto"/>
                <w:sz w:val="28"/>
                <w:szCs w:val="28"/>
                <w:highlight w:val="none"/>
                <w:lang w:val="en-US"/>
              </w:rPr>
            </w:pPr>
          </w:p>
        </w:tc>
        <w:tc>
          <w:tcPr>
            <w:tcW w:w="1984" w:type="dxa"/>
          </w:tcPr>
          <w:p w14:paraId="64B73EDB">
            <w:pPr>
              <w:pStyle w:val="3"/>
              <w:keepNext/>
              <w:spacing w:line="440" w:lineRule="exact"/>
              <w:ind w:left="66" w:right="66"/>
              <w:rPr>
                <w:rFonts w:eastAsia="仿宋_GB2312"/>
                <w:color w:val="auto"/>
                <w:sz w:val="28"/>
                <w:szCs w:val="28"/>
                <w:highlight w:val="none"/>
                <w:lang w:val="en-US"/>
              </w:rPr>
            </w:pPr>
          </w:p>
        </w:tc>
        <w:tc>
          <w:tcPr>
            <w:tcW w:w="851" w:type="dxa"/>
          </w:tcPr>
          <w:p w14:paraId="64F33957">
            <w:pPr>
              <w:pStyle w:val="3"/>
              <w:keepNext/>
              <w:spacing w:line="440" w:lineRule="exact"/>
              <w:ind w:left="66" w:right="66"/>
              <w:rPr>
                <w:rFonts w:eastAsia="仿宋_GB2312"/>
                <w:color w:val="auto"/>
                <w:sz w:val="28"/>
                <w:szCs w:val="28"/>
                <w:highlight w:val="none"/>
                <w:lang w:val="en-US"/>
              </w:rPr>
            </w:pPr>
          </w:p>
        </w:tc>
        <w:tc>
          <w:tcPr>
            <w:tcW w:w="774" w:type="dxa"/>
          </w:tcPr>
          <w:p w14:paraId="61EB9A04">
            <w:pPr>
              <w:pStyle w:val="3"/>
              <w:keepNext/>
              <w:spacing w:line="440" w:lineRule="exact"/>
              <w:ind w:left="66" w:right="66"/>
              <w:rPr>
                <w:rFonts w:eastAsia="仿宋_GB2312"/>
                <w:color w:val="auto"/>
                <w:sz w:val="28"/>
                <w:szCs w:val="28"/>
                <w:highlight w:val="none"/>
                <w:lang w:val="en-US"/>
              </w:rPr>
            </w:pPr>
          </w:p>
        </w:tc>
        <w:tc>
          <w:tcPr>
            <w:tcW w:w="1352" w:type="dxa"/>
          </w:tcPr>
          <w:p w14:paraId="26807C5F">
            <w:pPr>
              <w:pStyle w:val="3"/>
              <w:keepNext/>
              <w:spacing w:line="440" w:lineRule="exact"/>
              <w:ind w:left="66" w:right="66"/>
              <w:rPr>
                <w:rFonts w:eastAsia="仿宋_GB2312"/>
                <w:color w:val="auto"/>
                <w:sz w:val="28"/>
                <w:szCs w:val="28"/>
                <w:highlight w:val="none"/>
                <w:lang w:val="en-US"/>
              </w:rPr>
            </w:pPr>
          </w:p>
        </w:tc>
        <w:tc>
          <w:tcPr>
            <w:tcW w:w="1418" w:type="dxa"/>
          </w:tcPr>
          <w:p w14:paraId="2A301816">
            <w:pPr>
              <w:pStyle w:val="3"/>
              <w:keepNext/>
              <w:spacing w:line="440" w:lineRule="exact"/>
              <w:ind w:left="66" w:right="66"/>
              <w:rPr>
                <w:rFonts w:eastAsia="仿宋_GB2312"/>
                <w:color w:val="auto"/>
                <w:sz w:val="28"/>
                <w:szCs w:val="28"/>
                <w:highlight w:val="none"/>
                <w:lang w:val="en-US"/>
              </w:rPr>
            </w:pPr>
          </w:p>
        </w:tc>
        <w:tc>
          <w:tcPr>
            <w:tcW w:w="1701" w:type="dxa"/>
          </w:tcPr>
          <w:p w14:paraId="1218DA17">
            <w:pPr>
              <w:pStyle w:val="3"/>
              <w:keepNext/>
              <w:spacing w:line="440" w:lineRule="exact"/>
              <w:ind w:left="66" w:right="66"/>
              <w:rPr>
                <w:rFonts w:eastAsia="仿宋_GB2312"/>
                <w:color w:val="auto"/>
                <w:sz w:val="28"/>
                <w:szCs w:val="28"/>
                <w:highlight w:val="none"/>
                <w:lang w:val="en-US"/>
              </w:rPr>
            </w:pPr>
          </w:p>
        </w:tc>
      </w:tr>
    </w:tbl>
    <w:p w14:paraId="084B4B95">
      <w:pPr>
        <w:spacing w:line="360" w:lineRule="auto"/>
        <w:ind w:left="-420" w:leftChars="-200" w:right="-420" w:rightChars="-200" w:firstLine="480" w:firstLineChars="200"/>
        <w:jc w:val="center"/>
        <w:outlineLvl w:val="0"/>
        <w:rPr>
          <w:rFonts w:hint="eastAsia" w:ascii="宋体" w:hAnsi="宋体" w:cs="宋体"/>
          <w:color w:val="auto"/>
          <w:sz w:val="24"/>
          <w:highlight w:val="none"/>
        </w:rPr>
      </w:pPr>
    </w:p>
    <w:p w14:paraId="4B9F4E9F">
      <w:pPr>
        <w:spacing w:line="360" w:lineRule="auto"/>
        <w:ind w:left="-420" w:leftChars="-200" w:right="-420" w:rightChars="-200" w:firstLine="480" w:firstLineChars="200"/>
        <w:jc w:val="center"/>
        <w:outlineLvl w:val="0"/>
        <w:rPr>
          <w:rFonts w:hint="eastAsia" w:ascii="宋体" w:hAnsi="宋体" w:cs="宋体"/>
          <w:color w:val="auto"/>
          <w:sz w:val="24"/>
          <w:highlight w:val="none"/>
        </w:rPr>
        <w:sectPr>
          <w:headerReference r:id="rId12" w:type="first"/>
          <w:footerReference r:id="rId14" w:type="first"/>
          <w:footerReference r:id="rId13" w:type="default"/>
          <w:pgSz w:w="11906" w:h="16838"/>
          <w:pgMar w:top="1440" w:right="1080" w:bottom="1440" w:left="1080" w:header="851" w:footer="992" w:gutter="0"/>
          <w:cols w:space="720" w:num="1"/>
          <w:titlePg/>
          <w:docGrid w:linePitch="312" w:charSpace="0"/>
        </w:sectPr>
      </w:pPr>
    </w:p>
    <w:p w14:paraId="39980C25">
      <w:pPr>
        <w:pStyle w:val="5"/>
        <w:snapToGrid w:val="0"/>
        <w:spacing w:before="0" w:after="0" w:line="360" w:lineRule="auto"/>
        <w:ind w:left="0" w:firstLine="0"/>
        <w:jc w:val="center"/>
        <w:rPr>
          <w:color w:val="auto"/>
          <w:highlight w:val="none"/>
        </w:rPr>
      </w:pPr>
      <w:bookmarkStart w:id="1040" w:name="_Toc18246"/>
      <w:r>
        <w:rPr>
          <w:rFonts w:hint="eastAsia"/>
          <w:color w:val="auto"/>
          <w:highlight w:val="none"/>
        </w:rPr>
        <w:t>第六部分</w:t>
      </w:r>
      <w:bookmarkEnd w:id="460"/>
      <w:r>
        <w:rPr>
          <w:rFonts w:hint="eastAsia"/>
          <w:color w:val="auto"/>
          <w:highlight w:val="none"/>
        </w:rPr>
        <w:t xml:space="preserve"> </w:t>
      </w:r>
      <w:bookmarkEnd w:id="461"/>
      <w:r>
        <w:rPr>
          <w:rFonts w:hint="eastAsia"/>
          <w:color w:val="auto"/>
          <w:highlight w:val="none"/>
        </w:rPr>
        <w:t>应提交的有关格式范例</w:t>
      </w:r>
      <w:bookmarkEnd w:id="1040"/>
    </w:p>
    <w:p w14:paraId="1916ADE0">
      <w:pPr>
        <w:spacing w:line="360" w:lineRule="auto"/>
        <w:jc w:val="center"/>
        <w:outlineLvl w:val="0"/>
        <w:rPr>
          <w:rFonts w:hint="eastAsia" w:ascii="宋体" w:hAnsi="宋体" w:cs="宋体"/>
          <w:b/>
          <w:color w:val="auto"/>
          <w:kern w:val="0"/>
          <w:sz w:val="36"/>
          <w:szCs w:val="36"/>
          <w:highlight w:val="none"/>
        </w:rPr>
      </w:pPr>
    </w:p>
    <w:p w14:paraId="16193A54">
      <w:pPr>
        <w:spacing w:line="360" w:lineRule="auto"/>
        <w:jc w:val="center"/>
        <w:outlineLvl w:val="0"/>
        <w:rPr>
          <w:rFonts w:hint="eastAsia" w:ascii="宋体" w:hAnsi="宋体" w:cs="宋体"/>
          <w:b/>
          <w:color w:val="auto"/>
          <w:kern w:val="0"/>
          <w:sz w:val="36"/>
          <w:szCs w:val="36"/>
          <w:highlight w:val="none"/>
        </w:rPr>
      </w:pPr>
      <w:bookmarkStart w:id="1041" w:name="_Toc26830"/>
      <w:r>
        <w:rPr>
          <w:rFonts w:hint="eastAsia" w:ascii="宋体" w:hAnsi="宋体" w:cs="宋体"/>
          <w:b/>
          <w:color w:val="auto"/>
          <w:kern w:val="0"/>
          <w:sz w:val="36"/>
          <w:szCs w:val="36"/>
          <w:highlight w:val="none"/>
        </w:rPr>
        <w:t>资格文件部分</w:t>
      </w:r>
      <w:bookmarkEnd w:id="1041"/>
    </w:p>
    <w:p w14:paraId="60DF54B9">
      <w:pPr>
        <w:spacing w:line="360" w:lineRule="auto"/>
        <w:jc w:val="center"/>
        <w:outlineLvl w:val="0"/>
        <w:rPr>
          <w:rFonts w:hint="eastAsia" w:ascii="宋体" w:hAnsi="宋体" w:cs="宋体"/>
          <w:b/>
          <w:color w:val="auto"/>
          <w:kern w:val="0"/>
          <w:sz w:val="36"/>
          <w:szCs w:val="36"/>
          <w:highlight w:val="none"/>
        </w:rPr>
      </w:pPr>
      <w:bookmarkStart w:id="1042" w:name="_Toc11663"/>
      <w:r>
        <w:rPr>
          <w:rFonts w:hint="eastAsia" w:ascii="宋体" w:hAnsi="宋体" w:cs="宋体"/>
          <w:b/>
          <w:color w:val="auto"/>
          <w:kern w:val="0"/>
          <w:sz w:val="36"/>
          <w:szCs w:val="36"/>
          <w:highlight w:val="none"/>
        </w:rPr>
        <w:t>目录</w:t>
      </w:r>
      <w:bookmarkEnd w:id="1042"/>
    </w:p>
    <w:p w14:paraId="72C21D7D">
      <w:pPr>
        <w:spacing w:line="360" w:lineRule="auto"/>
        <w:jc w:val="center"/>
        <w:outlineLvl w:val="0"/>
        <w:rPr>
          <w:rFonts w:hint="eastAsia" w:ascii="宋体" w:hAnsi="宋体" w:cs="宋体"/>
          <w:b/>
          <w:color w:val="auto"/>
          <w:kern w:val="0"/>
          <w:sz w:val="36"/>
          <w:szCs w:val="36"/>
          <w:highlight w:val="none"/>
        </w:rPr>
      </w:pPr>
    </w:p>
    <w:p w14:paraId="1BF22DE9">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1）满足《中华人民共和国政府采购法》第二十二条规定；未被“信用中国”（www.creditchina.gov.cn)、中国政府采购网（www.ccgp.gov.cn）列入失信被执行人、重大税收违法案件当事人名单、政府采购严重违法失信行为记录名单………………………（页码）</w:t>
      </w:r>
    </w:p>
    <w:p w14:paraId="34D813E5">
      <w:pPr>
        <w:snapToGrid w:val="0"/>
        <w:spacing w:line="360" w:lineRule="auto"/>
        <w:rPr>
          <w:rFonts w:hint="eastAsia" w:ascii="宋体" w:hAnsi="宋体" w:cs="宋体"/>
          <w:color w:val="auto"/>
          <w:sz w:val="24"/>
          <w:highlight w:val="none"/>
        </w:rPr>
      </w:pPr>
      <w:r>
        <w:rPr>
          <w:rFonts w:hint="eastAsia" w:ascii="宋体" w:hAnsi="宋体" w:cs="宋体"/>
          <w:snapToGrid w:val="0"/>
          <w:color w:val="auto"/>
          <w:kern w:val="28"/>
          <w:sz w:val="24"/>
          <w:szCs w:val="20"/>
          <w:highlight w:val="none"/>
        </w:rPr>
        <w:t>（2）联合协议</w:t>
      </w:r>
      <w:r>
        <w:rPr>
          <w:rFonts w:hint="eastAsia" w:ascii="宋体" w:hAnsi="宋体" w:cs="宋体"/>
          <w:color w:val="auto"/>
          <w:sz w:val="24"/>
          <w:highlight w:val="none"/>
        </w:rPr>
        <w:t>…………………………………………………………………………………（页码）</w:t>
      </w:r>
    </w:p>
    <w:p w14:paraId="60800045">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3</w:t>
      </w:r>
      <w:r>
        <w:rPr>
          <w:rFonts w:hint="eastAsia" w:ascii="宋体" w:hAnsi="宋体" w:cs="宋体"/>
          <w:color w:val="auto"/>
          <w:sz w:val="24"/>
          <w:highlight w:val="none"/>
        </w:rPr>
        <w:t>）落实政府采购政策需满足的资格要求…………………………………………………（页码）</w:t>
      </w:r>
    </w:p>
    <w:p w14:paraId="29974D3B">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4</w:t>
      </w:r>
      <w:r>
        <w:rPr>
          <w:rFonts w:hint="eastAsia" w:ascii="宋体" w:hAnsi="宋体" w:cs="宋体"/>
          <w:color w:val="auto"/>
          <w:sz w:val="24"/>
          <w:highlight w:val="none"/>
        </w:rPr>
        <w:t>）本项目的特定资格要求…………………………………………………………………（页码）</w:t>
      </w:r>
    </w:p>
    <w:p w14:paraId="2C7A9512">
      <w:pPr>
        <w:snapToGrid w:val="0"/>
        <w:spacing w:line="360" w:lineRule="auto"/>
        <w:ind w:firstLine="480" w:firstLineChars="200"/>
        <w:rPr>
          <w:rFonts w:hint="eastAsia" w:ascii="宋体" w:hAnsi="宋体" w:cs="宋体"/>
          <w:color w:val="auto"/>
          <w:sz w:val="24"/>
          <w:highlight w:val="none"/>
        </w:rPr>
      </w:pPr>
    </w:p>
    <w:p w14:paraId="75B595B3">
      <w:pPr>
        <w:spacing w:line="360" w:lineRule="auto"/>
        <w:ind w:firstLine="480" w:firstLineChars="200"/>
        <w:rPr>
          <w:rFonts w:hint="eastAsia" w:ascii="宋体" w:hAnsi="宋体" w:cs="宋体"/>
          <w:color w:val="auto"/>
          <w:sz w:val="24"/>
          <w:highlight w:val="none"/>
        </w:rPr>
      </w:pPr>
    </w:p>
    <w:p w14:paraId="523CDCC7">
      <w:pPr>
        <w:snapToGrid w:val="0"/>
        <w:spacing w:line="360" w:lineRule="auto"/>
        <w:ind w:right="480"/>
        <w:jc w:val="left"/>
        <w:rPr>
          <w:rFonts w:hint="eastAsia" w:ascii="宋体" w:hAnsi="宋体" w:cs="宋体"/>
          <w:b/>
          <w:color w:val="auto"/>
          <w:kern w:val="0"/>
          <w:sz w:val="32"/>
          <w:szCs w:val="32"/>
          <w:highlight w:val="none"/>
        </w:rPr>
      </w:pPr>
      <w:r>
        <w:rPr>
          <w:rFonts w:hint="eastAsia" w:ascii="宋体" w:hAnsi="宋体" w:cs="宋体"/>
          <w:color w:val="auto"/>
          <w:kern w:val="0"/>
          <w:sz w:val="24"/>
          <w:highlight w:val="none"/>
        </w:rPr>
        <w:br w:type="page"/>
      </w:r>
      <w:r>
        <w:rPr>
          <w:rFonts w:hint="eastAsia" w:ascii="宋体" w:hAnsi="宋体" w:cs="宋体"/>
          <w:b/>
          <w:color w:val="auto"/>
          <w:kern w:val="0"/>
          <w:sz w:val="32"/>
          <w:szCs w:val="32"/>
          <w:highlight w:val="none"/>
        </w:rPr>
        <w:t xml:space="preserve">  一、 满足《中华人民共和国政府采购法》第二十二条规定；未被“信用中国”（www.creditchina.gov.cn)、中国政府采购网（www.ccgp.gov.cn）列入失信被执行人、重大税收违法案件当事人名单、政府采购严重违法失信行为记录名单</w:t>
      </w:r>
    </w:p>
    <w:p w14:paraId="03EE95BD">
      <w:pPr>
        <w:snapToGrid w:val="0"/>
        <w:spacing w:line="360" w:lineRule="auto"/>
        <w:ind w:right="480"/>
        <w:jc w:val="left"/>
        <w:rPr>
          <w:rFonts w:hint="eastAsia" w:ascii="宋体" w:hAnsi="宋体" w:cs="宋体"/>
          <w:b/>
          <w:color w:val="auto"/>
          <w:sz w:val="24"/>
          <w:highlight w:val="none"/>
        </w:rPr>
      </w:pPr>
    </w:p>
    <w:p w14:paraId="72F32629">
      <w:pPr>
        <w:snapToGrid w:val="0"/>
        <w:spacing w:line="360" w:lineRule="auto"/>
        <w:ind w:right="480"/>
        <w:jc w:val="left"/>
        <w:rPr>
          <w:rFonts w:hint="eastAsia" w:ascii="宋体" w:hAnsi="宋体" w:cs="宋体"/>
          <w:b/>
          <w:color w:val="auto"/>
          <w:sz w:val="24"/>
          <w:highlight w:val="none"/>
        </w:rPr>
      </w:pPr>
    </w:p>
    <w:p w14:paraId="750BDD11">
      <w:pPr>
        <w:snapToGrid w:val="0"/>
        <w:spacing w:line="360" w:lineRule="auto"/>
        <w:ind w:right="480"/>
        <w:jc w:val="left"/>
        <w:rPr>
          <w:rFonts w:hint="eastAsia" w:ascii="宋体" w:hAnsi="宋体" w:cs="宋体"/>
          <w:b/>
          <w:color w:val="auto"/>
          <w:kern w:val="0"/>
          <w:sz w:val="24"/>
          <w:highlight w:val="none"/>
        </w:rPr>
      </w:pPr>
      <w:r>
        <w:rPr>
          <w:rFonts w:hint="eastAsia" w:ascii="宋体" w:hAnsi="宋体" w:cs="宋体"/>
          <w:b/>
          <w:color w:val="auto"/>
          <w:sz w:val="24"/>
          <w:highlight w:val="none"/>
        </w:rPr>
        <w:t>（1）营业执照(或事业法人登记证书或其它工商等登记证明材料；自然人参与政府采购，提供身份证)复印件；</w:t>
      </w:r>
      <w:r>
        <w:rPr>
          <w:rFonts w:hint="eastAsia" w:ascii="宋体" w:hAnsi="宋体" w:cs="宋体"/>
          <w:b/>
          <w:color w:val="auto"/>
          <w:kern w:val="0"/>
          <w:sz w:val="24"/>
          <w:highlight w:val="none"/>
        </w:rPr>
        <w:t xml:space="preserve"> </w:t>
      </w:r>
    </w:p>
    <w:p w14:paraId="632CBDD9">
      <w:pPr>
        <w:pStyle w:val="26"/>
        <w:ind w:firstLine="0" w:firstLineChars="0"/>
        <w:rPr>
          <w:rFonts w:hint="eastAsia"/>
          <w:color w:val="auto"/>
          <w:highlight w:val="none"/>
        </w:rPr>
      </w:pPr>
    </w:p>
    <w:p w14:paraId="467C2498">
      <w:pPr>
        <w:pStyle w:val="27"/>
        <w:rPr>
          <w:color w:val="auto"/>
          <w:highlight w:val="none"/>
        </w:rPr>
      </w:pPr>
    </w:p>
    <w:p w14:paraId="2394B13D">
      <w:pPr>
        <w:snapToGrid w:val="0"/>
        <w:spacing w:line="360" w:lineRule="auto"/>
        <w:ind w:right="480"/>
        <w:jc w:val="center"/>
        <w:rPr>
          <w:rFonts w:hint="eastAsia" w:ascii="宋体" w:hAnsi="宋体" w:cs="宋体"/>
          <w:b/>
          <w:color w:val="auto"/>
          <w:kern w:val="0"/>
          <w:sz w:val="32"/>
          <w:szCs w:val="32"/>
          <w:highlight w:val="none"/>
        </w:rPr>
      </w:pPr>
    </w:p>
    <w:p w14:paraId="1A6038B8">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786CB039">
      <w:pPr>
        <w:snapToGrid w:val="0"/>
        <w:spacing w:line="360" w:lineRule="auto"/>
        <w:ind w:right="480"/>
        <w:jc w:val="left"/>
        <w:rPr>
          <w:rFonts w:hint="eastAsia" w:ascii="宋体" w:hAnsi="宋体" w:cs="宋体"/>
          <w:b/>
          <w:color w:val="auto"/>
          <w:sz w:val="24"/>
          <w:highlight w:val="none"/>
        </w:rPr>
      </w:pPr>
      <w:r>
        <w:rPr>
          <w:rFonts w:hint="eastAsia" w:ascii="宋体" w:hAnsi="宋体" w:cs="宋体"/>
          <w:b/>
          <w:color w:val="auto"/>
          <w:sz w:val="24"/>
          <w:highlight w:val="none"/>
        </w:rPr>
        <w:t>（2）符合参加政府采购活动应当具备的一般条件的承诺函</w:t>
      </w:r>
    </w:p>
    <w:p w14:paraId="7CB1828C">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（采购人）、（采购代理机构）：</w:t>
      </w:r>
    </w:p>
    <w:p w14:paraId="40EA4133">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我方参与（项目名称）【项目编号：（采购编号）】政府采购活动，郑重承诺：</w:t>
      </w:r>
    </w:p>
    <w:p w14:paraId="75D4239B">
      <w:pPr>
        <w:snapToGrid w:val="0"/>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（一）具备《中华人民共和国政府采购法》第二十二条第一款规定的条件：</w:t>
      </w:r>
    </w:p>
    <w:p w14:paraId="6666E898">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1、具有独立承担民事责任的能力；</w:t>
      </w:r>
    </w:p>
    <w:p w14:paraId="14F5EFA8">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2、具有良好的商业信誉和健全的财务会计制度； </w:t>
      </w:r>
    </w:p>
    <w:p w14:paraId="39F7AABE">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3、具有履行合同所必需的设备和专业技术能力；</w:t>
      </w:r>
    </w:p>
    <w:p w14:paraId="6D5E0307">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4、有依法缴纳税收和社会保障资金的良好记录；</w:t>
      </w:r>
    </w:p>
    <w:p w14:paraId="4AA712BC">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5、参加政府采购活动前三年内，在经营活动中没有重大违法记录；</w:t>
      </w:r>
    </w:p>
    <w:p w14:paraId="0686A56B">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6、具有法律、行政法规规定的其他条件。</w:t>
      </w:r>
    </w:p>
    <w:p w14:paraId="7684BBA8">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（二）未被信用中国（www.creditchina.gov.cn)、中国政府采购网（www.ccgp.gov.cn）列入失信被执行人、重大税收违法案件当事人名单、政府采购严重违法失信行为记录名单。</w:t>
      </w:r>
    </w:p>
    <w:p w14:paraId="5D20084D">
      <w:pPr>
        <w:snapToGrid w:val="0"/>
        <w:spacing w:line="360" w:lineRule="auto"/>
        <w:ind w:firstLine="5520" w:firstLineChars="2300"/>
        <w:rPr>
          <w:rFonts w:hint="eastAsia" w:ascii="宋体" w:hAnsi="宋体" w:cs="宋体"/>
          <w:color w:val="auto"/>
          <w:kern w:val="0"/>
          <w:sz w:val="24"/>
          <w:highlight w:val="none"/>
        </w:rPr>
      </w:pPr>
    </w:p>
    <w:p w14:paraId="30EB5DF2">
      <w:pPr>
        <w:snapToGrid w:val="0"/>
        <w:spacing w:line="360" w:lineRule="auto"/>
        <w:ind w:firstLine="5520" w:firstLineChars="2300"/>
        <w:rPr>
          <w:rFonts w:hint="eastAsia" w:ascii="宋体" w:hAnsi="宋体" w:cs="宋体"/>
          <w:color w:val="auto"/>
          <w:kern w:val="0"/>
          <w:sz w:val="24"/>
          <w:highlight w:val="none"/>
        </w:rPr>
      </w:pPr>
    </w:p>
    <w:p w14:paraId="507FDCF0">
      <w:pPr>
        <w:snapToGrid w:val="0"/>
        <w:spacing w:line="360" w:lineRule="auto"/>
        <w:ind w:firstLine="5520" w:firstLineChars="2300"/>
        <w:rPr>
          <w:rFonts w:hint="eastAsia" w:ascii="宋体" w:hAnsi="宋体" w:cs="宋体"/>
          <w:color w:val="auto"/>
          <w:kern w:val="0"/>
          <w:sz w:val="24"/>
          <w:highlight w:val="none"/>
        </w:rPr>
      </w:pPr>
    </w:p>
    <w:p w14:paraId="544BBCBA">
      <w:pPr>
        <w:snapToGrid w:val="0"/>
        <w:spacing w:line="360" w:lineRule="auto"/>
        <w:ind w:firstLine="5520" w:firstLineChars="2300"/>
        <w:rPr>
          <w:rFonts w:hint="eastAsia" w:ascii="宋体" w:hAnsi="宋体" w:cs="宋体"/>
          <w:color w:val="auto"/>
          <w:kern w:val="0"/>
          <w:sz w:val="24"/>
          <w:highlight w:val="none"/>
        </w:rPr>
      </w:pPr>
      <w:r>
        <w:rPr>
          <w:rFonts w:hint="eastAsia" w:ascii="宋体" w:hAnsi="宋体" w:cs="宋体"/>
          <w:color w:val="auto"/>
          <w:kern w:val="0"/>
          <w:sz w:val="24"/>
          <w:highlight w:val="none"/>
          <w:lang w:val="zh-CN"/>
        </w:rPr>
        <w:t>供应商名称(电子签名)：</w:t>
      </w:r>
    </w:p>
    <w:p w14:paraId="789407BB">
      <w:p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14:paraId="61F97ACE">
      <w:pPr>
        <w:snapToGrid w:val="0"/>
        <w:spacing w:line="360" w:lineRule="auto"/>
        <w:ind w:right="480"/>
        <w:jc w:val="center"/>
        <w:rPr>
          <w:rFonts w:hint="eastAsia" w:ascii="宋体" w:hAnsi="宋体" w:cs="宋体"/>
          <w:b/>
          <w:color w:val="auto"/>
          <w:kern w:val="0"/>
          <w:sz w:val="32"/>
          <w:szCs w:val="32"/>
          <w:highlight w:val="none"/>
        </w:rPr>
        <w:sectPr>
          <w:pgSz w:w="11906" w:h="16838"/>
          <w:pgMar w:top="1440" w:right="1080" w:bottom="1440" w:left="1080" w:header="851" w:footer="992" w:gutter="0"/>
          <w:cols w:space="720" w:num="1"/>
          <w:titlePg/>
          <w:docGrid w:linePitch="312" w:charSpace="0"/>
        </w:sectPr>
      </w:pPr>
    </w:p>
    <w:p w14:paraId="3AE92400">
      <w:pPr>
        <w:widowControl/>
        <w:spacing w:line="360" w:lineRule="auto"/>
        <w:ind w:firstLine="643" w:firstLineChars="200"/>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二、联合协议（如果有）</w:t>
      </w:r>
    </w:p>
    <w:p w14:paraId="1D16F4CF">
      <w:pPr>
        <w:widowControl/>
        <w:spacing w:line="360" w:lineRule="auto"/>
        <w:ind w:firstLine="482" w:firstLineChars="200"/>
        <w:jc w:val="left"/>
        <w:rPr>
          <w:rFonts w:hint="eastAsia" w:ascii="宋体" w:hAnsi="宋体" w:cs="宋体"/>
          <w:b/>
          <w:color w:val="auto"/>
          <w:sz w:val="24"/>
          <w:highlight w:val="none"/>
        </w:rPr>
      </w:pPr>
      <w:r>
        <w:rPr>
          <w:rFonts w:hint="eastAsia" w:ascii="宋体" w:hAnsi="宋体" w:cs="宋体"/>
          <w:b/>
          <w:color w:val="auto"/>
          <w:sz w:val="24"/>
          <w:highlight w:val="none"/>
        </w:rPr>
        <w:t>[以联合体形式参与的，提供联合协议（附件5）；本项目不接受联合体或者供应商不以联合体形式投参与的，则不需要提供]</w:t>
      </w:r>
    </w:p>
    <w:p w14:paraId="14BA76C1">
      <w:pPr>
        <w:snapToGrid w:val="0"/>
        <w:spacing w:line="360" w:lineRule="auto"/>
        <w:ind w:right="480"/>
        <w:jc w:val="center"/>
        <w:rPr>
          <w:rFonts w:hint="eastAsia" w:ascii="宋体" w:hAnsi="宋体" w:cs="宋体"/>
          <w:b/>
          <w:color w:val="auto"/>
          <w:kern w:val="0"/>
          <w:sz w:val="32"/>
          <w:szCs w:val="32"/>
          <w:highlight w:val="none"/>
        </w:rPr>
        <w:sectPr>
          <w:pgSz w:w="11906" w:h="16838"/>
          <w:pgMar w:top="1440" w:right="1080" w:bottom="1440" w:left="1080" w:header="851" w:footer="992" w:gutter="0"/>
          <w:cols w:space="720" w:num="1"/>
          <w:titlePg/>
          <w:docGrid w:linePitch="312" w:charSpace="0"/>
        </w:sectPr>
      </w:pPr>
    </w:p>
    <w:p w14:paraId="506A7D83">
      <w:pPr>
        <w:snapToGrid w:val="0"/>
        <w:spacing w:line="360" w:lineRule="auto"/>
        <w:ind w:right="480"/>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三、落实政府采购政策需满足的资格要求</w:t>
      </w:r>
    </w:p>
    <w:p w14:paraId="205DFBA9">
      <w:pPr>
        <w:spacing w:line="360" w:lineRule="auto"/>
        <w:rPr>
          <w:rFonts w:hint="eastAsia" w:ascii="宋体" w:hAnsi="宋体" w:cs="宋体"/>
          <w:color w:val="auto"/>
          <w:sz w:val="24"/>
          <w:highlight w:val="none"/>
        </w:rPr>
      </w:pPr>
      <w:r>
        <w:rPr>
          <w:rFonts w:hint="eastAsia" w:ascii="宋体" w:hAnsi="宋体" w:cs="宋体"/>
          <w:color w:val="auto"/>
          <w:sz w:val="24"/>
          <w:highlight w:val="none"/>
        </w:rPr>
        <w:t>（根据竞争性磋商公告落实政府采购政策需满足的资格要求选择提供相应的材料；未要求的，无需提供）</w:t>
      </w:r>
    </w:p>
    <w:p w14:paraId="508C398B">
      <w:pPr>
        <w:snapToGrid w:val="0"/>
        <w:spacing w:before="50" w:after="50" w:line="360" w:lineRule="auto"/>
        <w:ind w:firstLine="472" w:firstLineChars="196"/>
        <w:jc w:val="left"/>
        <w:rPr>
          <w:rFonts w:hint="eastAsia" w:ascii="宋体" w:hAnsi="宋体" w:cs="宋体"/>
          <w:color w:val="auto"/>
          <w:sz w:val="24"/>
          <w:highlight w:val="none"/>
        </w:rPr>
      </w:pPr>
      <w:r>
        <w:rPr>
          <w:rFonts w:hint="eastAsia" w:ascii="宋体" w:hAnsi="宋体" w:cs="宋体"/>
          <w:b/>
          <w:color w:val="auto"/>
          <w:sz w:val="24"/>
          <w:highlight w:val="none"/>
        </w:rPr>
        <w:t>A</w:t>
      </w:r>
      <w:r>
        <w:rPr>
          <w:rFonts w:hint="eastAsia" w:ascii="宋体" w:hAnsi="宋体" w:cs="宋体"/>
          <w:color w:val="auto"/>
          <w:sz w:val="24"/>
          <w:highlight w:val="none"/>
        </w:rPr>
        <w:t>.专门面向中小企业，工程全部由符合政策要求的中小企业（或小微企业）承建的，提供相应的中小企业声明函（附件</w:t>
      </w:r>
      <w:r>
        <w:rPr>
          <w:rFonts w:ascii="宋体" w:hAnsi="宋体" w:cs="宋体"/>
          <w:color w:val="auto"/>
          <w:sz w:val="24"/>
          <w:highlight w:val="none"/>
        </w:rPr>
        <w:t>7</w:t>
      </w:r>
      <w:r>
        <w:rPr>
          <w:rFonts w:hint="eastAsia" w:ascii="宋体" w:hAnsi="宋体" w:cs="宋体"/>
          <w:color w:val="auto"/>
          <w:sz w:val="24"/>
          <w:highlight w:val="none"/>
        </w:rPr>
        <w:t xml:space="preserve">）。 </w:t>
      </w:r>
    </w:p>
    <w:p w14:paraId="2E885759">
      <w:pPr>
        <w:widowControl/>
        <w:spacing w:line="360" w:lineRule="auto"/>
        <w:ind w:firstLine="480"/>
        <w:jc w:val="left"/>
        <w:rPr>
          <w:rFonts w:hint="eastAsia" w:ascii="宋体" w:hAnsi="宋体" w:cs="宋体"/>
          <w:color w:val="auto"/>
          <w:sz w:val="24"/>
          <w:highlight w:val="none"/>
        </w:rPr>
      </w:pPr>
    </w:p>
    <w:p w14:paraId="3F8BC09B">
      <w:pPr>
        <w:widowControl/>
        <w:spacing w:line="360" w:lineRule="auto"/>
        <w:ind w:firstLine="472" w:firstLineChars="196"/>
        <w:jc w:val="left"/>
        <w:rPr>
          <w:rFonts w:hint="eastAsia" w:ascii="宋体" w:hAnsi="宋体" w:cs="宋体"/>
          <w:color w:val="auto"/>
          <w:sz w:val="24"/>
          <w:highlight w:val="none"/>
        </w:rPr>
      </w:pPr>
      <w:r>
        <w:rPr>
          <w:rFonts w:hint="eastAsia" w:ascii="宋体" w:hAnsi="宋体" w:cs="宋体"/>
          <w:b/>
          <w:color w:val="auto"/>
          <w:sz w:val="24"/>
          <w:highlight w:val="none"/>
        </w:rPr>
        <w:t>B.</w:t>
      </w:r>
      <w:r>
        <w:rPr>
          <w:rFonts w:hint="eastAsia" w:ascii="宋体" w:hAnsi="宋体" w:cs="宋体"/>
          <w:color w:val="auto"/>
          <w:sz w:val="24"/>
          <w:highlight w:val="none"/>
        </w:rPr>
        <w:t>要求以联合体形式参加的，提供联合协议（附件</w:t>
      </w:r>
      <w:r>
        <w:rPr>
          <w:rFonts w:ascii="宋体" w:hAnsi="宋体" w:cs="宋体"/>
          <w:color w:val="auto"/>
          <w:sz w:val="24"/>
          <w:highlight w:val="none"/>
        </w:rPr>
        <w:t>5</w:t>
      </w:r>
      <w:r>
        <w:rPr>
          <w:rFonts w:hint="eastAsia" w:ascii="宋体" w:hAnsi="宋体" w:cs="宋体"/>
          <w:color w:val="auto"/>
          <w:sz w:val="24"/>
          <w:highlight w:val="none"/>
        </w:rPr>
        <w:t>）和中小企业声明函（附件</w:t>
      </w:r>
      <w:r>
        <w:rPr>
          <w:rFonts w:ascii="宋体" w:hAnsi="宋体" w:cs="宋体"/>
          <w:color w:val="auto"/>
          <w:sz w:val="24"/>
          <w:highlight w:val="none"/>
        </w:rPr>
        <w:t>7</w:t>
      </w:r>
      <w:r>
        <w:rPr>
          <w:rFonts w:hint="eastAsia" w:ascii="宋体" w:hAnsi="宋体" w:cs="宋体"/>
          <w:color w:val="auto"/>
          <w:sz w:val="24"/>
          <w:highlight w:val="none"/>
        </w:rPr>
        <w:t>），联合协议中中小企业合同金额应当达到竞争性磋商公告载明的比例；如果供应商本身提供所有标的均由中小企业承建的，</w:t>
      </w:r>
      <w:r>
        <w:rPr>
          <w:rFonts w:hint="eastAsia" w:ascii="宋体" w:hAnsi="宋体" w:cs="宋体"/>
          <w:color w:val="auto"/>
          <w:spacing w:val="8"/>
          <w:kern w:val="0"/>
          <w:sz w:val="24"/>
          <w:highlight w:val="none"/>
        </w:rPr>
        <w:t>并相应达到了前述比例要求，</w:t>
      </w:r>
      <w:r>
        <w:rPr>
          <w:rFonts w:hint="eastAsia" w:ascii="宋体" w:hAnsi="宋体" w:cs="宋体"/>
          <w:color w:val="auto"/>
          <w:sz w:val="24"/>
          <w:highlight w:val="none"/>
        </w:rPr>
        <w:t>视同符合了资格条件，无需再与其他中小企业组成联合体参加政府采购活动，无需提供联合协议。</w:t>
      </w:r>
    </w:p>
    <w:p w14:paraId="6F68DAE3">
      <w:pPr>
        <w:snapToGrid w:val="0"/>
        <w:spacing w:before="50" w:after="50" w:line="360" w:lineRule="auto"/>
        <w:jc w:val="center"/>
        <w:rPr>
          <w:rFonts w:hint="eastAsia" w:ascii="宋体" w:hAnsi="宋体" w:cs="宋体"/>
          <w:color w:val="auto"/>
          <w:sz w:val="24"/>
          <w:highlight w:val="none"/>
        </w:rPr>
      </w:pPr>
      <w:r>
        <w:rPr>
          <w:rFonts w:hint="eastAsia" w:ascii="宋体" w:hAnsi="宋体" w:cs="宋体"/>
          <w:b/>
          <w:color w:val="auto"/>
          <w:sz w:val="24"/>
          <w:highlight w:val="none"/>
        </w:rPr>
        <w:t xml:space="preserve">    </w:t>
      </w:r>
    </w:p>
    <w:p w14:paraId="24A23BD7">
      <w:pPr>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C、</w:t>
      </w:r>
      <w:r>
        <w:rPr>
          <w:rFonts w:hint="eastAsia" w:ascii="宋体" w:hAnsi="宋体" w:cs="宋体"/>
          <w:color w:val="auto"/>
          <w:sz w:val="24"/>
          <w:highlight w:val="none"/>
        </w:rPr>
        <w:t>要求合同分包的，提供分包意向协议（附件6）和中小企业声明函（附件</w:t>
      </w:r>
      <w:r>
        <w:rPr>
          <w:rFonts w:ascii="宋体" w:hAnsi="宋体" w:cs="宋体"/>
          <w:color w:val="auto"/>
          <w:sz w:val="24"/>
          <w:highlight w:val="none"/>
        </w:rPr>
        <w:t>7</w:t>
      </w:r>
      <w:r>
        <w:rPr>
          <w:rFonts w:hint="eastAsia" w:ascii="宋体" w:hAnsi="宋体" w:cs="宋体"/>
          <w:color w:val="auto"/>
          <w:sz w:val="24"/>
          <w:highlight w:val="none"/>
        </w:rPr>
        <w:t>），分包意向协议中中小企业合同金额应当达到竞争性磋商公告载明的比例；如果供应商本身提供所有标的均由中小企业承建，</w:t>
      </w:r>
      <w:r>
        <w:rPr>
          <w:rFonts w:hint="eastAsia" w:ascii="宋体" w:hAnsi="宋体" w:cs="宋体"/>
          <w:color w:val="auto"/>
          <w:spacing w:val="8"/>
          <w:kern w:val="0"/>
          <w:sz w:val="24"/>
          <w:highlight w:val="none"/>
        </w:rPr>
        <w:t>并相应达到了前述比例要求，</w:t>
      </w:r>
      <w:r>
        <w:rPr>
          <w:rFonts w:hint="eastAsia" w:ascii="宋体" w:hAnsi="宋体" w:cs="宋体"/>
          <w:color w:val="auto"/>
          <w:sz w:val="24"/>
          <w:highlight w:val="none"/>
        </w:rPr>
        <w:t>视同符合了资格条件，无需再向中小企业分包，无需提供分包意向协议。</w:t>
      </w:r>
    </w:p>
    <w:p w14:paraId="7EDE66DE">
      <w:pPr>
        <w:widowControl/>
        <w:spacing w:line="360" w:lineRule="auto"/>
        <w:ind w:left="150"/>
        <w:jc w:val="center"/>
        <w:rPr>
          <w:rFonts w:hint="eastAsia" w:ascii="宋体" w:hAnsi="宋体" w:cs="宋体"/>
          <w:b/>
          <w:color w:val="auto"/>
          <w:kern w:val="0"/>
          <w:sz w:val="32"/>
          <w:szCs w:val="32"/>
          <w:highlight w:val="none"/>
        </w:rPr>
      </w:pPr>
    </w:p>
    <w:p w14:paraId="351D4298">
      <w:pP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14:paraId="3E908315">
      <w:pPr>
        <w:widowControl/>
        <w:spacing w:line="360" w:lineRule="auto"/>
        <w:ind w:left="150"/>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四、本项目的特定资格要求</w:t>
      </w:r>
    </w:p>
    <w:p w14:paraId="4901898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（根据竞争性磋商公告本项目的特定资格要求提供相应的材料；未要求的，无需提供）</w:t>
      </w:r>
    </w:p>
    <w:p w14:paraId="5B0501A3">
      <w:pPr>
        <w:rPr>
          <w:rFonts w:hint="eastAsia" w:ascii="宋体" w:hAnsi="宋体" w:cs="宋体"/>
          <w:color w:val="auto"/>
          <w:highlight w:val="none"/>
        </w:rPr>
      </w:pPr>
    </w:p>
    <w:p w14:paraId="6A1CBA01">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（1）须具消防设施工程专业承包二级（含）以上资质；提供证书复印件；</w:t>
      </w:r>
    </w:p>
    <w:p w14:paraId="6B18B8DD">
      <w:pPr>
        <w:spacing w:line="360" w:lineRule="auto"/>
        <w:ind w:firstLine="480" w:firstLineChars="200"/>
        <w:jc w:val="left"/>
        <w:rPr>
          <w:rFonts w:hint="eastAsia" w:ascii="宋体" w:hAnsi="宋体" w:cs="宋体"/>
          <w:color w:val="auto"/>
          <w:sz w:val="24"/>
          <w:highlight w:val="none"/>
        </w:rPr>
      </w:pPr>
    </w:p>
    <w:p w14:paraId="2E78E3D5">
      <w:pPr>
        <w:spacing w:line="360" w:lineRule="auto"/>
        <w:ind w:firstLine="480" w:firstLineChars="200"/>
        <w:jc w:val="left"/>
        <w:rPr>
          <w:rFonts w:hint="eastAsia" w:ascii="宋体" w:hAnsi="宋体" w:cs="宋体"/>
          <w:color w:val="auto"/>
          <w:sz w:val="24"/>
          <w:highlight w:val="none"/>
        </w:rPr>
      </w:pPr>
    </w:p>
    <w:p w14:paraId="6EC92B6E">
      <w:pPr>
        <w:pStyle w:val="27"/>
        <w:rPr>
          <w:color w:val="auto"/>
          <w:highlight w:val="none"/>
        </w:rPr>
      </w:pPr>
    </w:p>
    <w:p w14:paraId="36941EFC">
      <w:pPr>
        <w:spacing w:line="360" w:lineRule="auto"/>
        <w:ind w:firstLine="480" w:firstLineChars="200"/>
        <w:jc w:val="left"/>
        <w:rPr>
          <w:rFonts w:hint="eastAsia" w:ascii="宋体" w:hAnsi="宋体" w:cs="宋体"/>
          <w:color w:val="auto"/>
          <w:sz w:val="24"/>
          <w:highlight w:val="none"/>
        </w:rPr>
      </w:pPr>
    </w:p>
    <w:p w14:paraId="6B75857B">
      <w:pPr>
        <w:numPr>
          <w:ilvl w:val="0"/>
          <w:numId w:val="3"/>
        </w:numPr>
        <w:snapToGrid w:val="0"/>
        <w:spacing w:line="360" w:lineRule="auto"/>
        <w:ind w:right="480"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须具有安全生产许可证，且在有效期内，提供证书复印件；</w:t>
      </w:r>
    </w:p>
    <w:p w14:paraId="168EBB05">
      <w:pPr>
        <w:snapToGrid w:val="0"/>
        <w:spacing w:line="360" w:lineRule="auto"/>
        <w:ind w:firstLine="480" w:firstLineChars="200"/>
        <w:rPr>
          <w:rFonts w:hint="eastAsia" w:ascii="宋体" w:hAnsi="宋体" w:cs="宋体"/>
          <w:color w:val="auto"/>
          <w:sz w:val="24"/>
          <w:highlight w:val="none"/>
        </w:rPr>
      </w:pPr>
    </w:p>
    <w:p w14:paraId="7CA961B0">
      <w:pPr>
        <w:snapToGrid w:val="0"/>
        <w:spacing w:line="360" w:lineRule="auto"/>
        <w:ind w:firstLine="480" w:firstLineChars="200"/>
        <w:rPr>
          <w:rFonts w:hint="eastAsia" w:ascii="宋体" w:hAnsi="宋体" w:cs="宋体"/>
          <w:color w:val="auto"/>
          <w:sz w:val="24"/>
          <w:highlight w:val="none"/>
        </w:rPr>
      </w:pPr>
    </w:p>
    <w:p w14:paraId="0915A9F5">
      <w:pPr>
        <w:snapToGrid w:val="0"/>
        <w:spacing w:line="360" w:lineRule="auto"/>
        <w:ind w:firstLine="480" w:firstLineChars="200"/>
        <w:rPr>
          <w:rFonts w:hint="eastAsia" w:ascii="宋体" w:hAnsi="宋体" w:cs="宋体"/>
          <w:color w:val="auto"/>
          <w:sz w:val="24"/>
          <w:highlight w:val="none"/>
        </w:rPr>
      </w:pPr>
    </w:p>
    <w:p w14:paraId="1F25C9CA">
      <w:pPr>
        <w:rPr>
          <w:rFonts w:hint="eastAsia" w:ascii="宋体" w:hAnsi="宋体" w:cs="宋体"/>
          <w:color w:val="auto"/>
          <w:sz w:val="24"/>
          <w:highlight w:val="none"/>
        </w:rPr>
      </w:pPr>
      <w:r>
        <w:rPr>
          <w:rFonts w:hint="eastAsia" w:ascii="宋体" w:hAnsi="宋体" w:cs="宋体"/>
          <w:color w:val="auto"/>
          <w:sz w:val="24"/>
          <w:highlight w:val="none"/>
        </w:rPr>
        <w:br w:type="page"/>
      </w:r>
    </w:p>
    <w:p w14:paraId="07BAFD30">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14:paraId="2B8FD3C2">
      <w:pPr>
        <w:pStyle w:val="26"/>
        <w:ind w:firstLine="0" w:firstLineChars="0"/>
        <w:rPr>
          <w:rFonts w:hint="eastAsia"/>
          <w:color w:val="auto"/>
          <w:highlight w:val="none"/>
        </w:rPr>
      </w:pPr>
    </w:p>
    <w:p w14:paraId="47BB9198">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（采购人）、（采购代理机构）：</w:t>
      </w:r>
    </w:p>
    <w:p w14:paraId="01CD3F1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我方参与（项目名称）【项目编号：（采购编号）】政府采购活动，郑重承诺不存在以下情况：</w:t>
      </w:r>
    </w:p>
    <w:p w14:paraId="39F980FD">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1、单位负责人为同一人或者存在直接控股、管理关系的不同供应商参加同一合同项下的政府采购活动的；</w:t>
      </w:r>
    </w:p>
    <w:p w14:paraId="33D62F86">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2、为采购项目提供整体设计、规范编制或者项目管理、监理、检测等服务后再参加该采购项目的其他采购活动的。</w:t>
      </w:r>
    </w:p>
    <w:p w14:paraId="3AE9E858">
      <w:pPr>
        <w:snapToGrid w:val="0"/>
        <w:spacing w:line="360" w:lineRule="auto"/>
        <w:ind w:firstLine="5520" w:firstLineChars="2300"/>
        <w:rPr>
          <w:rFonts w:hint="eastAsia" w:ascii="宋体" w:hAnsi="宋体" w:cs="宋体"/>
          <w:color w:val="auto"/>
          <w:kern w:val="0"/>
          <w:sz w:val="24"/>
          <w:highlight w:val="none"/>
        </w:rPr>
      </w:pPr>
      <w:r>
        <w:rPr>
          <w:rFonts w:hint="eastAsia" w:ascii="宋体" w:hAnsi="宋体" w:cs="宋体"/>
          <w:color w:val="auto"/>
          <w:kern w:val="0"/>
          <w:sz w:val="24"/>
          <w:highlight w:val="none"/>
          <w:lang w:val="zh-CN"/>
        </w:rPr>
        <w:t>供应商名称(电子签名)：</w:t>
      </w:r>
    </w:p>
    <w:p w14:paraId="3A834871">
      <w:p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14:paraId="597EF409">
      <w:pPr>
        <w:pStyle w:val="27"/>
        <w:rPr>
          <w:color w:val="auto"/>
          <w:highlight w:val="none"/>
        </w:rPr>
        <w:sectPr>
          <w:pgSz w:w="11906" w:h="16838"/>
          <w:pgMar w:top="1440" w:right="1080" w:bottom="1440" w:left="1080" w:header="851" w:footer="992" w:gutter="0"/>
          <w:cols w:space="720" w:num="1"/>
          <w:titlePg/>
          <w:docGrid w:linePitch="312" w:charSpace="0"/>
        </w:sectPr>
      </w:pPr>
    </w:p>
    <w:p w14:paraId="7664E711">
      <w:pPr>
        <w:pStyle w:val="6"/>
        <w:rPr>
          <w:rFonts w:hint="eastAsia" w:ascii="宋体" w:hAnsi="宋体" w:cs="宋体"/>
          <w:b w:val="0"/>
          <w:color w:val="auto"/>
          <w:kern w:val="0"/>
          <w:sz w:val="36"/>
          <w:szCs w:val="36"/>
          <w:highlight w:val="none"/>
        </w:rPr>
      </w:pPr>
    </w:p>
    <w:p w14:paraId="1801634D">
      <w:pPr>
        <w:spacing w:line="360" w:lineRule="auto"/>
        <w:ind w:right="420" w:firstLine="3614" w:firstLineChars="1000"/>
        <w:rPr>
          <w:rFonts w:hint="eastAsia" w:ascii="宋体" w:hAnsi="宋体" w:cs="宋体"/>
          <w:b/>
          <w:color w:val="auto"/>
          <w:kern w:val="0"/>
          <w:sz w:val="36"/>
          <w:szCs w:val="36"/>
          <w:highlight w:val="none"/>
        </w:rPr>
      </w:pPr>
      <w:r>
        <w:rPr>
          <w:rFonts w:hint="eastAsia" w:ascii="宋体" w:hAnsi="宋体" w:cs="宋体"/>
          <w:b/>
          <w:color w:val="auto"/>
          <w:kern w:val="0"/>
          <w:sz w:val="36"/>
          <w:szCs w:val="36"/>
          <w:highlight w:val="none"/>
        </w:rPr>
        <w:t>商务技术文件部分</w:t>
      </w:r>
    </w:p>
    <w:p w14:paraId="084B38A6">
      <w:pPr>
        <w:spacing w:line="360" w:lineRule="auto"/>
        <w:jc w:val="center"/>
        <w:outlineLvl w:val="0"/>
        <w:rPr>
          <w:rFonts w:hint="eastAsia" w:ascii="宋体" w:hAnsi="宋体" w:cs="宋体"/>
          <w:b/>
          <w:color w:val="auto"/>
          <w:kern w:val="0"/>
          <w:sz w:val="28"/>
          <w:szCs w:val="28"/>
          <w:highlight w:val="none"/>
        </w:rPr>
      </w:pPr>
      <w:bookmarkStart w:id="1043" w:name="_Toc31282"/>
      <w:r>
        <w:rPr>
          <w:rFonts w:hint="eastAsia" w:ascii="宋体" w:hAnsi="宋体" w:cs="宋体"/>
          <w:b/>
          <w:color w:val="auto"/>
          <w:kern w:val="0"/>
          <w:sz w:val="28"/>
          <w:szCs w:val="28"/>
          <w:highlight w:val="none"/>
        </w:rPr>
        <w:t>目录</w:t>
      </w:r>
      <w:bookmarkEnd w:id="1043"/>
    </w:p>
    <w:p w14:paraId="48C8EA35">
      <w:pPr>
        <w:numPr>
          <w:ilvl w:val="255"/>
          <w:numId w:val="0"/>
        </w:num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1）</w:t>
      </w:r>
      <w:r>
        <w:rPr>
          <w:rFonts w:hint="eastAsia" w:ascii="宋体" w:hAnsi="宋体" w:cs="宋体"/>
          <w:color w:val="auto"/>
          <w:sz w:val="24"/>
          <w:highlight w:val="none"/>
        </w:rPr>
        <w:t>响应函………………………………………………………………………………（页码）</w:t>
      </w:r>
    </w:p>
    <w:p w14:paraId="5ECDCC0B">
      <w:pPr>
        <w:numPr>
          <w:ilvl w:val="255"/>
          <w:numId w:val="0"/>
        </w:num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2）授权委托书或法定代表人（单位负责人、自然人本人）身份证明</w:t>
      </w:r>
      <w:r>
        <w:rPr>
          <w:rFonts w:hint="eastAsia" w:ascii="宋体" w:hAnsi="宋体" w:cs="宋体"/>
          <w:color w:val="auto"/>
          <w:sz w:val="24"/>
          <w:highlight w:val="none"/>
        </w:rPr>
        <w:t>……………（页码）</w:t>
      </w:r>
    </w:p>
    <w:p w14:paraId="1819A534">
      <w:pPr>
        <w:snapToGrid w:val="0"/>
        <w:spacing w:line="360" w:lineRule="auto"/>
        <w:ind w:left="479" w:leftChars="228"/>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3</w:t>
      </w:r>
      <w:r>
        <w:rPr>
          <w:rFonts w:hint="eastAsia" w:ascii="宋体" w:hAnsi="宋体" w:cs="宋体"/>
          <w:color w:val="auto"/>
          <w:sz w:val="24"/>
          <w:highlight w:val="none"/>
        </w:rPr>
        <w:t>）分包意向协议………………………………………………………………………（页码）</w:t>
      </w:r>
    </w:p>
    <w:p w14:paraId="2AE38240">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4</w:t>
      </w:r>
      <w:r>
        <w:rPr>
          <w:rFonts w:hint="eastAsia" w:ascii="宋体" w:hAnsi="宋体" w:cs="宋体"/>
          <w:color w:val="auto"/>
          <w:sz w:val="24"/>
          <w:highlight w:val="none"/>
        </w:rPr>
        <w:t>）符合性审查资料……………………………………………………………………（页码）</w:t>
      </w:r>
    </w:p>
    <w:p w14:paraId="75089A3A">
      <w:pPr>
        <w:snapToGrid w:val="0"/>
        <w:spacing w:line="360" w:lineRule="auto"/>
        <w:ind w:left="479" w:leftChars="228"/>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5</w:t>
      </w:r>
      <w:r>
        <w:rPr>
          <w:rFonts w:hint="eastAsia" w:ascii="宋体" w:hAnsi="宋体" w:cs="宋体"/>
          <w:color w:val="auto"/>
          <w:sz w:val="24"/>
          <w:highlight w:val="none"/>
        </w:rPr>
        <w:t>）评审标准相应的商务技术资料……………………………………………………（页码）（</w:t>
      </w:r>
      <w:r>
        <w:rPr>
          <w:rFonts w:ascii="宋体" w:hAnsi="宋体" w:cs="宋体"/>
          <w:color w:val="auto"/>
          <w:sz w:val="24"/>
          <w:highlight w:val="none"/>
        </w:rPr>
        <w:t>6</w:t>
      </w:r>
      <w:r>
        <w:rPr>
          <w:rFonts w:hint="eastAsia" w:ascii="宋体" w:hAnsi="宋体" w:cs="宋体"/>
          <w:color w:val="auto"/>
          <w:sz w:val="24"/>
          <w:highlight w:val="none"/>
        </w:rPr>
        <w:t>）商务技术偏离表……………………………………………………………………（页码）</w:t>
      </w:r>
    </w:p>
    <w:p w14:paraId="6611A020">
      <w:pPr>
        <w:snapToGrid w:val="0"/>
        <w:spacing w:line="360" w:lineRule="auto"/>
        <w:ind w:left="479" w:leftChars="228"/>
        <w:rPr>
          <w:rFonts w:hint="eastAsia" w:ascii="宋体" w:hAnsi="宋体" w:cs="宋体"/>
          <w:color w:val="auto"/>
          <w:sz w:val="24"/>
          <w:highlight w:val="none"/>
        </w:rPr>
      </w:pPr>
      <w:r>
        <w:rPr>
          <w:rFonts w:hint="eastAsia" w:ascii="宋体" w:hAnsi="宋体" w:cs="宋体"/>
          <w:color w:val="auto"/>
          <w:sz w:val="24"/>
          <w:highlight w:val="none"/>
          <w:lang w:val="zh-CN"/>
        </w:rPr>
        <w:t>（</w:t>
      </w:r>
      <w:r>
        <w:rPr>
          <w:rFonts w:ascii="宋体" w:hAnsi="宋体" w:cs="宋体"/>
          <w:color w:val="auto"/>
          <w:sz w:val="24"/>
          <w:highlight w:val="none"/>
        </w:rPr>
        <w:t>7</w:t>
      </w:r>
      <w:r>
        <w:rPr>
          <w:rFonts w:hint="eastAsia" w:ascii="宋体" w:hAnsi="宋体" w:cs="宋体"/>
          <w:color w:val="auto"/>
          <w:sz w:val="24"/>
          <w:highlight w:val="none"/>
          <w:lang w:val="zh-CN"/>
        </w:rPr>
        <w:t>）政府采购供应商廉洁自律承诺书</w:t>
      </w:r>
      <w:r>
        <w:rPr>
          <w:rFonts w:hint="eastAsia" w:ascii="宋体" w:hAnsi="宋体" w:cs="宋体"/>
          <w:color w:val="auto"/>
          <w:sz w:val="24"/>
          <w:highlight w:val="none"/>
        </w:rPr>
        <w:t>…………………………………………………（页码）</w:t>
      </w:r>
    </w:p>
    <w:p w14:paraId="4D38CB9C">
      <w:pPr>
        <w:snapToGrid w:val="0"/>
        <w:spacing w:line="360" w:lineRule="auto"/>
        <w:jc w:val="center"/>
        <w:rPr>
          <w:rFonts w:hint="eastAsia" w:ascii="宋体" w:hAnsi="宋体" w:cs="宋体"/>
          <w:b/>
          <w:color w:val="auto"/>
          <w:kern w:val="0"/>
          <w:sz w:val="24"/>
          <w:szCs w:val="32"/>
          <w:highlight w:val="none"/>
          <w:lang w:val="zh-CN"/>
        </w:rPr>
        <w:sectPr>
          <w:pgSz w:w="11906" w:h="16838"/>
          <w:pgMar w:top="1440" w:right="1080" w:bottom="1440" w:left="1080" w:header="851" w:footer="992" w:gutter="0"/>
          <w:cols w:space="720" w:num="1"/>
          <w:titlePg/>
          <w:docGrid w:linePitch="312" w:charSpace="0"/>
        </w:sectPr>
      </w:pPr>
    </w:p>
    <w:p w14:paraId="16E7ED4D">
      <w:pPr>
        <w:snapToGrid w:val="0"/>
        <w:jc w:val="center"/>
        <w:rPr>
          <w:rFonts w:hint="eastAsia"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一、响应函</w:t>
      </w:r>
    </w:p>
    <w:p w14:paraId="5A875D57">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（采购人）、（采购代理机构）：</w:t>
      </w:r>
    </w:p>
    <w:p w14:paraId="1614BF8E">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我方参加你方组织的（项目名称）【项目编号：（采购编号）】采购的有关活动，并对此项目提交响应文件及报价。为此：</w:t>
      </w:r>
    </w:p>
    <w:p w14:paraId="3505621C">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1、我方承诺响应文件有效期从提交响应文件的截止之日起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天（不少于90天）</w:t>
      </w:r>
      <w:r>
        <w:rPr>
          <w:rFonts w:hint="eastAsia" w:ascii="宋体" w:hAnsi="宋体" w:cs="宋体"/>
          <w:color w:val="auto"/>
          <w:highlight w:val="none"/>
        </w:rPr>
        <w:t>，</w:t>
      </w:r>
      <w:r>
        <w:rPr>
          <w:rFonts w:hint="eastAsia" w:ascii="宋体" w:hAnsi="宋体" w:cs="宋体"/>
          <w:color w:val="auto"/>
          <w:sz w:val="24"/>
          <w:highlight w:val="none"/>
        </w:rPr>
        <w:t>本响应文件在响应文件有效期满之前均具有约束力。</w:t>
      </w:r>
    </w:p>
    <w:p w14:paraId="2A919681">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2、我方的响应文件包括以下内容：</w:t>
      </w:r>
    </w:p>
    <w:p w14:paraId="2E478D89">
      <w:pPr>
        <w:snapToGrid w:val="0"/>
        <w:spacing w:line="360" w:lineRule="auto"/>
        <w:ind w:left="210" w:leftChars="100" w:firstLine="480" w:firstLineChars="200"/>
        <w:rPr>
          <w:rFonts w:hint="eastAsia" w:ascii="宋体" w:hAnsi="宋体" w:cs="宋体"/>
          <w:color w:val="auto"/>
          <w:sz w:val="24"/>
          <w:highlight w:val="none"/>
        </w:rPr>
      </w:pPr>
      <w:r>
        <w:rPr>
          <w:rFonts w:hint="eastAsia" w:ascii="宋体" w:hAnsi="宋体" w:cs="宋体"/>
          <w:color w:val="auto"/>
          <w:sz w:val="24"/>
          <w:highlight w:val="none"/>
        </w:rPr>
        <w:t>2.1资格文件：</w:t>
      </w:r>
    </w:p>
    <w:p w14:paraId="0A0D7CDE">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2.1.1承诺函；</w:t>
      </w:r>
    </w:p>
    <w:p w14:paraId="427BF7B0">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2.1.2</w:t>
      </w:r>
      <w:r>
        <w:rPr>
          <w:rFonts w:hint="eastAsia" w:ascii="宋体" w:hAnsi="宋体" w:cs="宋体"/>
          <w:snapToGrid w:val="0"/>
          <w:color w:val="auto"/>
          <w:kern w:val="28"/>
          <w:sz w:val="24"/>
          <w:szCs w:val="20"/>
          <w:highlight w:val="none"/>
        </w:rPr>
        <w:t>联合协议（如果有)；</w:t>
      </w:r>
    </w:p>
    <w:p w14:paraId="28D9E6C4">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w:t>
      </w:r>
      <w:r>
        <w:rPr>
          <w:rFonts w:ascii="宋体" w:hAnsi="宋体" w:cs="宋体"/>
          <w:color w:val="auto"/>
          <w:sz w:val="24"/>
          <w:highlight w:val="none"/>
        </w:rPr>
        <w:t>.1.3</w:t>
      </w:r>
      <w:r>
        <w:rPr>
          <w:rFonts w:hint="eastAsia" w:ascii="宋体" w:hAnsi="宋体" w:cs="宋体"/>
          <w:color w:val="auto"/>
          <w:sz w:val="24"/>
          <w:highlight w:val="none"/>
        </w:rPr>
        <w:t>落实政府采购政策需满足的资格要求（如果有）；</w:t>
      </w:r>
    </w:p>
    <w:p w14:paraId="4A76C026">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2.1.</w:t>
      </w:r>
      <w:r>
        <w:rPr>
          <w:rFonts w:ascii="宋体" w:hAnsi="宋体" w:cs="宋体"/>
          <w:color w:val="auto"/>
          <w:sz w:val="24"/>
          <w:highlight w:val="none"/>
        </w:rPr>
        <w:t>4</w:t>
      </w:r>
      <w:r>
        <w:rPr>
          <w:rFonts w:hint="eastAsia" w:ascii="宋体" w:hAnsi="宋体" w:cs="宋体"/>
          <w:color w:val="auto"/>
          <w:sz w:val="24"/>
          <w:highlight w:val="none"/>
        </w:rPr>
        <w:t>本项目的特定资格要求（如果有）。</w:t>
      </w:r>
    </w:p>
    <w:p w14:paraId="48B64E91">
      <w:pPr>
        <w:snapToGrid w:val="0"/>
        <w:spacing w:line="360" w:lineRule="auto"/>
        <w:ind w:left="210" w:leftChars="100" w:firstLine="480" w:firstLineChars="200"/>
        <w:rPr>
          <w:rFonts w:hint="eastAsia" w:ascii="宋体" w:hAnsi="宋体" w:cs="宋体"/>
          <w:color w:val="auto"/>
          <w:sz w:val="24"/>
          <w:highlight w:val="none"/>
          <w:lang w:val="zh-CN"/>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2</w:t>
      </w:r>
      <w:r>
        <w:rPr>
          <w:rFonts w:hint="eastAsia" w:ascii="宋体" w:hAnsi="宋体" w:cs="宋体"/>
          <w:color w:val="auto"/>
          <w:sz w:val="24"/>
          <w:highlight w:val="none"/>
          <w:lang w:val="zh-CN"/>
        </w:rPr>
        <w:t xml:space="preserve"> </w:t>
      </w:r>
      <w:r>
        <w:rPr>
          <w:rFonts w:hint="eastAsia" w:ascii="宋体" w:hAnsi="宋体" w:cs="宋体"/>
          <w:color w:val="auto"/>
          <w:sz w:val="24"/>
          <w:highlight w:val="none"/>
        </w:rPr>
        <w:t>商务技术</w:t>
      </w:r>
      <w:r>
        <w:rPr>
          <w:rFonts w:hint="eastAsia" w:ascii="宋体" w:hAnsi="宋体" w:cs="宋体"/>
          <w:color w:val="auto"/>
          <w:sz w:val="24"/>
          <w:highlight w:val="none"/>
          <w:lang w:val="zh-CN"/>
        </w:rPr>
        <w:t>文件：</w:t>
      </w:r>
    </w:p>
    <w:p w14:paraId="14F0E593">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2.2.1响应函；</w:t>
      </w:r>
      <w:r>
        <w:rPr>
          <w:rFonts w:hint="eastAsia" w:ascii="宋体" w:hAnsi="宋体" w:cs="宋体"/>
          <w:color w:val="auto"/>
          <w:sz w:val="24"/>
          <w:highlight w:val="none"/>
          <w:lang w:val="zh-CN"/>
        </w:rPr>
        <w:t xml:space="preserve"> </w:t>
      </w:r>
    </w:p>
    <w:p w14:paraId="78A3E428">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2.2.2授权委托书或法定代表人（单位负责人）身份证明；</w:t>
      </w:r>
    </w:p>
    <w:p w14:paraId="4274D5BB">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2.2.</w:t>
      </w:r>
      <w:r>
        <w:rPr>
          <w:rFonts w:ascii="宋体" w:hAnsi="宋体" w:cs="宋体"/>
          <w:color w:val="auto"/>
          <w:sz w:val="24"/>
          <w:highlight w:val="none"/>
        </w:rPr>
        <w:t>3</w:t>
      </w:r>
      <w:r>
        <w:rPr>
          <w:rFonts w:hint="eastAsia" w:ascii="宋体" w:hAnsi="宋体" w:cs="宋体"/>
          <w:color w:val="auto"/>
          <w:sz w:val="24"/>
          <w:highlight w:val="none"/>
        </w:rPr>
        <w:t>分包意向协议（如果有）；</w:t>
      </w:r>
    </w:p>
    <w:p w14:paraId="173842E0">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2.2.</w:t>
      </w:r>
      <w:r>
        <w:rPr>
          <w:rFonts w:ascii="宋体" w:hAnsi="宋体" w:cs="宋体"/>
          <w:color w:val="auto"/>
          <w:sz w:val="24"/>
          <w:highlight w:val="none"/>
        </w:rPr>
        <w:t>4</w:t>
      </w:r>
      <w:r>
        <w:rPr>
          <w:rFonts w:hint="eastAsia" w:ascii="宋体" w:hAnsi="宋体" w:cs="宋体"/>
          <w:color w:val="auto"/>
          <w:sz w:val="24"/>
          <w:highlight w:val="none"/>
        </w:rPr>
        <w:t>符合性审查资料；</w:t>
      </w:r>
    </w:p>
    <w:p w14:paraId="646A39FA">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2.2.</w:t>
      </w:r>
      <w:r>
        <w:rPr>
          <w:rFonts w:ascii="宋体" w:hAnsi="宋体" w:cs="宋体"/>
          <w:color w:val="auto"/>
          <w:sz w:val="24"/>
          <w:highlight w:val="none"/>
        </w:rPr>
        <w:t>5</w:t>
      </w:r>
      <w:r>
        <w:rPr>
          <w:rFonts w:hint="eastAsia" w:ascii="宋体" w:hAnsi="宋体" w:cs="宋体"/>
          <w:color w:val="auto"/>
          <w:sz w:val="24"/>
          <w:highlight w:val="none"/>
        </w:rPr>
        <w:t>评审标准相应的商务技术资料；</w:t>
      </w:r>
    </w:p>
    <w:p w14:paraId="5A3F2B46">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2.2.6商务技术偏离表；</w:t>
      </w:r>
    </w:p>
    <w:p w14:paraId="446BF525">
      <w:pPr>
        <w:snapToGrid w:val="0"/>
        <w:spacing w:line="360" w:lineRule="auto"/>
        <w:ind w:left="420" w:leftChars="200" w:firstLine="480" w:firstLineChars="200"/>
        <w:rPr>
          <w:rFonts w:hint="eastAsia" w:ascii="宋体" w:hAnsi="宋体" w:cs="宋体"/>
          <w:color w:val="auto"/>
          <w:sz w:val="24"/>
          <w:highlight w:val="none"/>
          <w:lang w:val="zh-CN"/>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7</w:t>
      </w:r>
      <w:r>
        <w:rPr>
          <w:rFonts w:hint="eastAsia" w:ascii="宋体" w:hAnsi="宋体" w:cs="宋体"/>
          <w:color w:val="auto"/>
          <w:sz w:val="24"/>
          <w:highlight w:val="none"/>
          <w:lang w:val="zh-CN"/>
        </w:rPr>
        <w:t>政府采购供应商廉洁自律承诺书；</w:t>
      </w:r>
    </w:p>
    <w:p w14:paraId="7CA868AD">
      <w:pPr>
        <w:snapToGrid w:val="0"/>
        <w:spacing w:line="360" w:lineRule="auto"/>
        <w:ind w:left="210" w:leftChars="100" w:firstLine="480" w:firstLineChars="200"/>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3报价文件</w:t>
      </w:r>
    </w:p>
    <w:p w14:paraId="63C4A5B0">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2.3.1报价单；</w:t>
      </w:r>
    </w:p>
    <w:p w14:paraId="0A15400F">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2.3.2已标价工程量清单；</w:t>
      </w:r>
    </w:p>
    <w:p w14:paraId="6C47413C">
      <w:pPr>
        <w:snapToGrid w:val="0"/>
        <w:spacing w:line="360" w:lineRule="auto"/>
        <w:ind w:left="420" w:leftChars="200" w:firstLine="480" w:firstLineChars="200"/>
        <w:rPr>
          <w:rFonts w:hint="eastAsia" w:ascii="宋体" w:hAnsi="宋体" w:cs="宋体"/>
          <w:color w:val="auto"/>
          <w:sz w:val="24"/>
          <w:highlight w:val="none"/>
        </w:rPr>
      </w:pPr>
      <w:r>
        <w:rPr>
          <w:rFonts w:hint="eastAsia" w:ascii="宋体" w:hAnsi="宋体" w:cs="宋体"/>
          <w:color w:val="auto"/>
          <w:sz w:val="24"/>
          <w:highlight w:val="none"/>
        </w:rPr>
        <w:t>2.3.3中小企业声明函（如果有）。</w:t>
      </w:r>
    </w:p>
    <w:p w14:paraId="049E8712">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3、我方承诺除商务技术偏离表列出的偏离外，我方响应采购文件的全部要求。对响应文件中材料的真实性、合法性负责。</w:t>
      </w:r>
    </w:p>
    <w:p w14:paraId="50B08326">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4、如我方成交，我方承诺：</w:t>
      </w:r>
    </w:p>
    <w:p w14:paraId="1EA418D5">
      <w:pPr>
        <w:snapToGrid w:val="0"/>
        <w:spacing w:line="360" w:lineRule="auto"/>
        <w:ind w:left="210" w:leftChars="100"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4.1在收到成交通知书后，在成交通知书规定的期限内与你方签订合同； </w:t>
      </w:r>
    </w:p>
    <w:p w14:paraId="1859568F">
      <w:pPr>
        <w:snapToGrid w:val="0"/>
        <w:spacing w:line="360" w:lineRule="auto"/>
        <w:ind w:left="210" w:leftChars="100"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4.2在签订合同时不向你方提出附加条件； </w:t>
      </w:r>
    </w:p>
    <w:p w14:paraId="365A61C0">
      <w:pPr>
        <w:snapToGrid w:val="0"/>
        <w:spacing w:line="360" w:lineRule="auto"/>
        <w:ind w:left="210" w:leftChars="100"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4.3按照采购文件要求提交履约保证金； </w:t>
      </w:r>
    </w:p>
    <w:p w14:paraId="4464C643">
      <w:pPr>
        <w:snapToGrid w:val="0"/>
        <w:spacing w:line="360" w:lineRule="auto"/>
        <w:ind w:left="210" w:leftChars="100"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4.4在合同约定的期限内完成合同规定的全部义务。 </w:t>
      </w:r>
    </w:p>
    <w:p w14:paraId="6916C510">
      <w:pPr>
        <w:snapToGrid w:val="0"/>
        <w:spacing w:line="360" w:lineRule="auto"/>
        <w:ind w:left="210" w:leftChars="100" w:firstLine="480" w:firstLineChars="200"/>
        <w:rPr>
          <w:rFonts w:hint="eastAsia" w:ascii="宋体" w:hAnsi="宋体" w:cs="宋体"/>
          <w:color w:val="auto"/>
          <w:sz w:val="24"/>
          <w:highlight w:val="none"/>
        </w:rPr>
      </w:pPr>
      <w:r>
        <w:rPr>
          <w:rFonts w:hint="eastAsia" w:ascii="宋体" w:hAnsi="宋体" w:cs="宋体"/>
          <w:color w:val="auto"/>
          <w:sz w:val="24"/>
          <w:highlight w:val="none"/>
        </w:rPr>
        <w:t>5、其他补充说明: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992F704">
      <w:pPr>
        <w:spacing w:line="360" w:lineRule="auto"/>
        <w:ind w:firstLine="3600" w:firstLineChars="1500"/>
        <w:rPr>
          <w:rFonts w:hint="eastAsia" w:ascii="宋体" w:hAnsi="宋体" w:cs="宋体"/>
          <w:color w:val="auto"/>
          <w:sz w:val="24"/>
          <w:highlight w:val="none"/>
        </w:rPr>
      </w:pPr>
      <w:r>
        <w:rPr>
          <w:rFonts w:hint="eastAsia" w:ascii="宋体" w:hAnsi="宋体" w:cs="宋体"/>
          <w:color w:val="auto"/>
          <w:sz w:val="24"/>
          <w:highlight w:val="none"/>
        </w:rPr>
        <w:t xml:space="preserve">供应商名称（电子签名）：                          </w:t>
      </w:r>
    </w:p>
    <w:p w14:paraId="061B262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 xml:space="preserve">     日期：  年   月   日</w:t>
      </w:r>
    </w:p>
    <w:p w14:paraId="5A927303">
      <w:pPr>
        <w:snapToGrid w:val="0"/>
        <w:spacing w:line="360" w:lineRule="auto"/>
        <w:ind w:left="420" w:leftChars="200" w:firstLine="4200" w:firstLineChars="1750"/>
        <w:rPr>
          <w:rFonts w:hint="eastAsia" w:ascii="宋体" w:hAnsi="宋体" w:cs="宋体"/>
          <w:color w:val="auto"/>
          <w:kern w:val="0"/>
          <w:sz w:val="24"/>
          <w:highlight w:val="none"/>
          <w:u w:val="single"/>
        </w:rPr>
      </w:pPr>
    </w:p>
    <w:p w14:paraId="3F532EAE">
      <w:pPr>
        <w:spacing w:line="360" w:lineRule="auto"/>
        <w:ind w:right="420"/>
        <w:rPr>
          <w:rFonts w:hint="eastAsia" w:ascii="宋体" w:hAnsi="宋体" w:cs="宋体"/>
          <w:color w:val="auto"/>
          <w:sz w:val="24"/>
          <w:highlight w:val="none"/>
        </w:rPr>
      </w:pPr>
      <w:r>
        <w:rPr>
          <w:rFonts w:hint="eastAsia" w:ascii="宋体" w:hAnsi="宋体" w:cs="宋体"/>
          <w:color w:val="auto"/>
          <w:sz w:val="24"/>
          <w:highlight w:val="none"/>
        </w:rPr>
        <w:t>注：按本格式和要求提供。</w:t>
      </w:r>
    </w:p>
    <w:p w14:paraId="753294F6">
      <w:pPr>
        <w:snapToGrid w:val="0"/>
        <w:spacing w:line="360" w:lineRule="auto"/>
        <w:jc w:val="center"/>
        <w:rPr>
          <w:rFonts w:hint="eastAsia" w:ascii="宋体" w:hAnsi="宋体" w:cs="宋体"/>
          <w:b/>
          <w:color w:val="auto"/>
          <w:kern w:val="0"/>
          <w:sz w:val="32"/>
          <w:szCs w:val="32"/>
          <w:highlight w:val="none"/>
        </w:rPr>
      </w:pPr>
    </w:p>
    <w:p w14:paraId="308993B6">
      <w:pPr>
        <w:snapToGrid w:val="0"/>
        <w:spacing w:line="360" w:lineRule="auto"/>
        <w:rPr>
          <w:rFonts w:hint="eastAsia" w:ascii="宋体" w:hAnsi="宋体" w:cs="宋体"/>
          <w:color w:val="auto"/>
          <w:sz w:val="24"/>
          <w:highlight w:val="none"/>
        </w:rPr>
      </w:pPr>
    </w:p>
    <w:p w14:paraId="28F467CA">
      <w:pPr>
        <w:jc w:val="center"/>
        <w:rPr>
          <w:rFonts w:hint="eastAsia" w:ascii="宋体" w:hAnsi="宋体" w:cs="宋体"/>
          <w:b/>
          <w:color w:val="auto"/>
          <w:kern w:val="0"/>
          <w:sz w:val="32"/>
          <w:szCs w:val="32"/>
          <w:highlight w:val="none"/>
        </w:rPr>
      </w:pPr>
    </w:p>
    <w:p w14:paraId="433E6C7A">
      <w:pPr>
        <w:jc w:val="center"/>
        <w:rPr>
          <w:rFonts w:hint="eastAsia" w:ascii="宋体" w:hAnsi="宋体" w:cs="宋体"/>
          <w:b/>
          <w:color w:val="auto"/>
          <w:kern w:val="0"/>
          <w:sz w:val="32"/>
          <w:szCs w:val="32"/>
          <w:highlight w:val="none"/>
        </w:rPr>
        <w:sectPr>
          <w:pgSz w:w="11906" w:h="16838"/>
          <w:pgMar w:top="1440" w:right="1080" w:bottom="1440" w:left="1080" w:header="851" w:footer="992" w:gutter="0"/>
          <w:cols w:space="720" w:num="1"/>
          <w:titlePg/>
          <w:docGrid w:linePitch="312" w:charSpace="0"/>
        </w:sectPr>
      </w:pPr>
    </w:p>
    <w:p w14:paraId="4CD451B9">
      <w:pPr>
        <w:snapToGrid w:val="0"/>
        <w:jc w:val="center"/>
        <w:rPr>
          <w:rFonts w:hint="eastAsia"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二、授权委托书或法定代表人（单位负责人、自然人本人）身份证明</w:t>
      </w:r>
    </w:p>
    <w:p w14:paraId="084FF20A">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w:t>
      </w:r>
    </w:p>
    <w:p w14:paraId="7E051636">
      <w:pPr>
        <w:snapToGrid w:val="0"/>
        <w:jc w:val="center"/>
        <w:rPr>
          <w:rFonts w:hint="eastAsia"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授权委托书（适用于非联合体</w:t>
      </w:r>
      <w:r>
        <w:rPr>
          <w:rFonts w:hint="eastAsia" w:ascii="宋体" w:hAnsi="宋体" w:cs="宋体"/>
          <w:b/>
          <w:bCs/>
          <w:color w:val="auto"/>
          <w:sz w:val="32"/>
          <w:szCs w:val="32"/>
          <w:highlight w:val="none"/>
        </w:rPr>
        <w:t>响应</w:t>
      </w:r>
      <w:r>
        <w:rPr>
          <w:rFonts w:hint="eastAsia" w:ascii="宋体" w:hAnsi="宋体" w:cs="宋体"/>
          <w:b/>
          <w:bCs/>
          <w:color w:val="auto"/>
          <w:sz w:val="32"/>
          <w:szCs w:val="32"/>
          <w:highlight w:val="none"/>
          <w:lang w:val="zh-CN"/>
        </w:rPr>
        <w:t>）</w:t>
      </w:r>
    </w:p>
    <w:p w14:paraId="243218BE">
      <w:pPr>
        <w:snapToGrid w:val="0"/>
        <w:spacing w:line="360" w:lineRule="auto"/>
        <w:rPr>
          <w:rFonts w:hint="eastAsia"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14:paraId="30EC0611">
      <w:pPr>
        <w:snapToGrid w:val="0"/>
        <w:spacing w:line="360" w:lineRule="auto"/>
        <w:ind w:firstLine="576"/>
        <w:rPr>
          <w:rFonts w:hint="eastAsia"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w:t>
      </w:r>
      <w:r>
        <w:rPr>
          <w:rFonts w:hint="eastAsia" w:ascii="宋体" w:hAnsi="宋体" w:cs="宋体"/>
          <w:color w:val="auto"/>
          <w:kern w:val="0"/>
          <w:sz w:val="24"/>
          <w:highlight w:val="none"/>
        </w:rPr>
        <w:t>所在单位：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lang w:val="zh-CN"/>
        </w:rPr>
        <w:t>政府采购</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的一切事项，其法律后果由我方承担。</w:t>
      </w:r>
    </w:p>
    <w:p w14:paraId="69B19A3B">
      <w:p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14:paraId="5D76C464">
      <w:p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14:paraId="30590CF1">
      <w:p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lang w:val="zh-CN"/>
        </w:rPr>
        <w:t xml:space="preserve">                                                 供应商名称(电子签名)：</w:t>
      </w:r>
    </w:p>
    <w:p w14:paraId="63524082">
      <w:pPr>
        <w:snapToGrid w:val="0"/>
        <w:spacing w:line="360" w:lineRule="auto"/>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签发日期：  年  月   日</w:t>
      </w:r>
    </w:p>
    <w:p w14:paraId="65819597">
      <w:pPr>
        <w:snapToGrid w:val="0"/>
        <w:spacing w:line="360" w:lineRule="auto"/>
        <w:rPr>
          <w:rFonts w:hint="eastAsia" w:ascii="宋体" w:hAnsi="宋体" w:cs="宋体"/>
          <w:color w:val="auto"/>
          <w:sz w:val="24"/>
          <w:highlight w:val="none"/>
        </w:rPr>
      </w:pPr>
    </w:p>
    <w:p w14:paraId="37549DF1">
      <w:pPr>
        <w:snapToGrid w:val="0"/>
        <w:spacing w:line="360" w:lineRule="auto"/>
        <w:rPr>
          <w:rFonts w:hint="eastAsia" w:ascii="宋体" w:hAnsi="宋体" w:cs="宋体"/>
          <w:color w:val="auto"/>
          <w:sz w:val="24"/>
          <w:highlight w:val="none"/>
        </w:rPr>
      </w:pPr>
    </w:p>
    <w:p w14:paraId="443C0975">
      <w:pPr>
        <w:snapToGrid w:val="0"/>
        <w:spacing w:line="360" w:lineRule="auto"/>
        <w:rPr>
          <w:rFonts w:hint="eastAsia" w:ascii="宋体" w:hAnsi="宋体" w:cs="宋体"/>
          <w:color w:val="auto"/>
          <w:sz w:val="24"/>
          <w:highlight w:val="none"/>
        </w:rPr>
      </w:pPr>
    </w:p>
    <w:p w14:paraId="4E439E5A">
      <w:pPr>
        <w:snapToGrid w:val="0"/>
        <w:jc w:val="center"/>
        <w:rPr>
          <w:rFonts w:hint="eastAsia"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授权委托书（适用于联合体</w:t>
      </w:r>
      <w:r>
        <w:rPr>
          <w:rFonts w:hint="eastAsia" w:ascii="宋体" w:hAnsi="宋体" w:cs="宋体"/>
          <w:b/>
          <w:bCs/>
          <w:color w:val="auto"/>
          <w:sz w:val="32"/>
          <w:szCs w:val="32"/>
          <w:highlight w:val="none"/>
        </w:rPr>
        <w:t>响应</w:t>
      </w:r>
      <w:r>
        <w:rPr>
          <w:rFonts w:hint="eastAsia" w:ascii="宋体" w:hAnsi="宋体" w:cs="宋体"/>
          <w:b/>
          <w:bCs/>
          <w:color w:val="auto"/>
          <w:sz w:val="32"/>
          <w:szCs w:val="32"/>
          <w:highlight w:val="none"/>
          <w:lang w:val="zh-CN"/>
        </w:rPr>
        <w:t>）</w:t>
      </w:r>
    </w:p>
    <w:p w14:paraId="131EBC2A">
      <w:pPr>
        <w:snapToGrid w:val="0"/>
        <w:spacing w:line="360" w:lineRule="auto"/>
        <w:rPr>
          <w:rFonts w:hint="eastAsia"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14:paraId="1D254617">
      <w:pPr>
        <w:snapToGrid w:val="0"/>
        <w:spacing w:line="360" w:lineRule="auto"/>
        <w:ind w:firstLine="576"/>
        <w:rPr>
          <w:rFonts w:hint="eastAsia"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w:t>
      </w:r>
      <w:r>
        <w:rPr>
          <w:rFonts w:hint="eastAsia" w:ascii="宋体" w:hAnsi="宋体" w:cs="宋体"/>
          <w:color w:val="auto"/>
          <w:kern w:val="0"/>
          <w:sz w:val="24"/>
          <w:highlight w:val="none"/>
        </w:rPr>
        <w:t>所在单位：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lang w:val="zh-CN"/>
        </w:rPr>
        <w:t>政府采购</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的一切事项，其法律后果由我方承担。</w:t>
      </w:r>
    </w:p>
    <w:p w14:paraId="39FEA7FD">
      <w:p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14:paraId="797F6142">
      <w:p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14:paraId="26C324B4">
      <w:pPr>
        <w:jc w:val="center"/>
        <w:rPr>
          <w:rFonts w:hint="eastAsia" w:ascii="宋体" w:hAnsi="宋体" w:cs="宋体"/>
          <w:b/>
          <w:color w:val="auto"/>
          <w:kern w:val="0"/>
          <w:sz w:val="32"/>
          <w:szCs w:val="32"/>
          <w:highlight w:val="none"/>
        </w:rPr>
      </w:pPr>
    </w:p>
    <w:p w14:paraId="2763CD75">
      <w:pPr>
        <w:jc w:val="center"/>
        <w:rPr>
          <w:rFonts w:hint="eastAsia" w:ascii="宋体" w:hAnsi="宋体" w:cs="宋体"/>
          <w:b/>
          <w:color w:val="auto"/>
          <w:kern w:val="0"/>
          <w:sz w:val="32"/>
          <w:szCs w:val="32"/>
          <w:highlight w:val="none"/>
        </w:rPr>
      </w:pPr>
    </w:p>
    <w:p w14:paraId="3ACDC098">
      <w:pPr>
        <w:jc w:val="center"/>
        <w:rPr>
          <w:rFonts w:hint="eastAsia" w:ascii="宋体" w:hAnsi="宋体" w:cs="宋体"/>
          <w:b/>
          <w:color w:val="auto"/>
          <w:kern w:val="0"/>
          <w:sz w:val="32"/>
          <w:szCs w:val="32"/>
          <w:highlight w:val="none"/>
        </w:rPr>
      </w:pPr>
    </w:p>
    <w:p w14:paraId="02625ED0">
      <w:pPr>
        <w:rPr>
          <w:rFonts w:hint="eastAsia" w:ascii="宋体" w:hAnsi="宋体" w:cs="宋体"/>
          <w:color w:val="auto"/>
          <w:highlight w:val="none"/>
        </w:rPr>
      </w:pPr>
    </w:p>
    <w:p w14:paraId="12DC1201">
      <w:pPr>
        <w:snapToGrid w:val="0"/>
        <w:spacing w:line="360" w:lineRule="auto"/>
        <w:ind w:firstLine="5040" w:firstLineChars="2100"/>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14:paraId="1FAB6BF0">
      <w:pPr>
        <w:snapToGrid w:val="0"/>
        <w:spacing w:line="360" w:lineRule="auto"/>
        <w:ind w:firstLine="5040" w:firstLineChars="2100"/>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14:paraId="0E5889D1">
      <w:pPr>
        <w:snapToGrid w:val="0"/>
        <w:spacing w:line="360" w:lineRule="auto"/>
        <w:ind w:firstLine="5760" w:firstLineChars="2400"/>
        <w:rPr>
          <w:rFonts w:hint="eastAsia" w:ascii="宋体" w:hAnsi="宋体" w:cs="宋体"/>
          <w:color w:val="auto"/>
          <w:highlight w:val="none"/>
        </w:rPr>
      </w:pPr>
      <w:r>
        <w:rPr>
          <w:rFonts w:hint="eastAsia" w:ascii="宋体" w:hAnsi="宋体" w:cs="宋体"/>
          <w:color w:val="auto"/>
          <w:kern w:val="0"/>
          <w:sz w:val="24"/>
          <w:highlight w:val="none"/>
          <w:lang w:val="zh-CN"/>
        </w:rPr>
        <w:t>……</w:t>
      </w:r>
    </w:p>
    <w:p w14:paraId="75ABD02B">
      <w:pPr>
        <w:snapToGrid w:val="0"/>
        <w:spacing w:line="360" w:lineRule="auto"/>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14:paraId="5B5DF921">
      <w:pPr>
        <w:rPr>
          <w:rFonts w:hint="eastAsia"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br w:type="page"/>
      </w:r>
    </w:p>
    <w:p w14:paraId="3F2B5C67">
      <w:pPr>
        <w:snapToGrid w:val="0"/>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lang w:val="zh-CN"/>
        </w:rPr>
        <w:t>法定代表人、单位负责人或自然人本人</w:t>
      </w:r>
      <w:r>
        <w:rPr>
          <w:rFonts w:hint="eastAsia" w:ascii="宋体" w:hAnsi="宋体" w:cs="宋体"/>
          <w:b/>
          <w:bCs/>
          <w:color w:val="auto"/>
          <w:sz w:val="32"/>
          <w:szCs w:val="32"/>
          <w:highlight w:val="none"/>
        </w:rPr>
        <w:t>的身份证明（适用于法定代表人、单位负责人或者自然人本人代表供应商参加响应）</w:t>
      </w:r>
    </w:p>
    <w:p w14:paraId="7D84A718">
      <w:pPr>
        <w:pStyle w:val="151"/>
        <w:spacing w:line="360" w:lineRule="auto"/>
        <w:rPr>
          <w:rFonts w:hint="eastAsia" w:hAnsi="宋体" w:cs="宋体"/>
          <w:bCs/>
          <w:color w:val="auto"/>
          <w:sz w:val="24"/>
          <w:highlight w:val="none"/>
        </w:rPr>
      </w:pPr>
      <w:r>
        <w:rPr>
          <w:rFonts w:hint="eastAsia" w:hAnsi="宋体" w:cs="宋体"/>
          <w:bCs/>
          <w:color w:val="auto"/>
          <w:sz w:val="24"/>
          <w:highlight w:val="none"/>
        </w:rPr>
        <w:t>身份证件扫描件：</w:t>
      </w:r>
    </w:p>
    <w:tbl>
      <w:tblPr>
        <w:tblStyle w:val="63"/>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14:paraId="0571F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9207" w:type="dxa"/>
          </w:tcPr>
          <w:p w14:paraId="650B2F17">
            <w:pPr>
              <w:pStyle w:val="151"/>
              <w:adjustRightInd w:val="0"/>
              <w:spacing w:line="360" w:lineRule="auto"/>
              <w:rPr>
                <w:rFonts w:hint="eastAsia" w:hAnsi="宋体" w:cs="宋体"/>
                <w:bCs/>
                <w:color w:val="auto"/>
                <w:sz w:val="24"/>
                <w:highlight w:val="none"/>
              </w:rPr>
            </w:pPr>
            <w:r>
              <w:rPr>
                <w:rFonts w:hint="eastAsia" w:hAnsi="宋体" w:cs="宋体"/>
                <w:bCs/>
                <w:color w:val="auto"/>
                <w:sz w:val="24"/>
                <w:highlight w:val="none"/>
              </w:rPr>
              <w:t>正面：                                 反面：</w:t>
            </w:r>
          </w:p>
          <w:p w14:paraId="791A6A6E">
            <w:pPr>
              <w:pStyle w:val="151"/>
              <w:adjustRightInd w:val="0"/>
              <w:spacing w:line="360" w:lineRule="auto"/>
              <w:rPr>
                <w:rFonts w:hint="eastAsia" w:hAnsi="宋体" w:cs="宋体"/>
                <w:bCs/>
                <w:color w:val="auto"/>
                <w:sz w:val="24"/>
                <w:highlight w:val="none"/>
              </w:rPr>
            </w:pPr>
          </w:p>
        </w:tc>
      </w:tr>
    </w:tbl>
    <w:p w14:paraId="016140BC">
      <w:pPr>
        <w:snapToGrid w:val="0"/>
        <w:spacing w:line="360" w:lineRule="auto"/>
        <w:ind w:firstLine="576"/>
        <w:jc w:val="center"/>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p>
    <w:p w14:paraId="0AFD25FF">
      <w:pPr>
        <w:snapToGrid w:val="0"/>
        <w:spacing w:line="360" w:lineRule="auto"/>
        <w:ind w:firstLine="576"/>
        <w:jc w:val="center"/>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供应商名称(电子签名)：                              </w:t>
      </w:r>
    </w:p>
    <w:p w14:paraId="2CA755DF">
      <w:pPr>
        <w:spacing w:line="360" w:lineRule="auto"/>
        <w:jc w:val="center"/>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14:paraId="2A960DC3">
      <w:pPr>
        <w:jc w:val="center"/>
        <w:rPr>
          <w:rFonts w:hint="eastAsia" w:ascii="宋体" w:hAnsi="宋体" w:cs="宋体"/>
          <w:b/>
          <w:color w:val="auto"/>
          <w:kern w:val="0"/>
          <w:sz w:val="32"/>
          <w:szCs w:val="32"/>
          <w:highlight w:val="none"/>
        </w:rPr>
      </w:pPr>
    </w:p>
    <w:p w14:paraId="599AC772">
      <w:pPr>
        <w:jc w:val="center"/>
        <w:rPr>
          <w:rFonts w:hint="eastAsia" w:ascii="宋体" w:hAnsi="宋体" w:cs="宋体"/>
          <w:b/>
          <w:color w:val="auto"/>
          <w:kern w:val="0"/>
          <w:sz w:val="32"/>
          <w:szCs w:val="32"/>
          <w:highlight w:val="none"/>
        </w:rPr>
      </w:pPr>
    </w:p>
    <w:p w14:paraId="21E23B31">
      <w:pPr>
        <w:jc w:val="center"/>
        <w:rPr>
          <w:rFonts w:hint="eastAsia" w:ascii="宋体" w:hAnsi="宋体" w:cs="宋体"/>
          <w:b/>
          <w:color w:val="auto"/>
          <w:kern w:val="0"/>
          <w:sz w:val="32"/>
          <w:szCs w:val="32"/>
          <w:highlight w:val="none"/>
        </w:rPr>
      </w:pPr>
    </w:p>
    <w:p w14:paraId="7F058FA1">
      <w:pPr>
        <w:jc w:val="center"/>
        <w:rPr>
          <w:rFonts w:hint="eastAsia" w:ascii="宋体" w:hAnsi="宋体" w:cs="宋体"/>
          <w:b/>
          <w:color w:val="auto"/>
          <w:kern w:val="0"/>
          <w:sz w:val="32"/>
          <w:szCs w:val="32"/>
          <w:highlight w:val="none"/>
        </w:rPr>
      </w:pPr>
    </w:p>
    <w:p w14:paraId="1364029C">
      <w:pPr>
        <w:jc w:val="center"/>
        <w:rPr>
          <w:rFonts w:hint="eastAsia" w:ascii="宋体" w:hAnsi="宋体" w:cs="宋体"/>
          <w:b/>
          <w:color w:val="auto"/>
          <w:kern w:val="0"/>
          <w:sz w:val="32"/>
          <w:szCs w:val="32"/>
          <w:highlight w:val="none"/>
        </w:rPr>
      </w:pPr>
    </w:p>
    <w:p w14:paraId="7EC4DC88">
      <w:pPr>
        <w:jc w:val="center"/>
        <w:rPr>
          <w:rFonts w:hint="eastAsia" w:ascii="宋体" w:hAnsi="宋体" w:cs="宋体"/>
          <w:b/>
          <w:color w:val="auto"/>
          <w:kern w:val="0"/>
          <w:sz w:val="32"/>
          <w:szCs w:val="32"/>
          <w:highlight w:val="none"/>
        </w:rPr>
      </w:pPr>
    </w:p>
    <w:p w14:paraId="614D40A5">
      <w:pPr>
        <w:jc w:val="center"/>
        <w:rPr>
          <w:rFonts w:hint="eastAsia" w:ascii="宋体" w:hAnsi="宋体" w:cs="宋体"/>
          <w:b/>
          <w:color w:val="auto"/>
          <w:kern w:val="0"/>
          <w:sz w:val="32"/>
          <w:szCs w:val="32"/>
          <w:highlight w:val="none"/>
        </w:rPr>
      </w:pPr>
    </w:p>
    <w:p w14:paraId="6BB5E1DD">
      <w:pPr>
        <w:jc w:val="center"/>
        <w:rPr>
          <w:rFonts w:hint="eastAsia" w:ascii="宋体" w:hAnsi="宋体" w:cs="宋体"/>
          <w:b/>
          <w:color w:val="auto"/>
          <w:kern w:val="0"/>
          <w:sz w:val="32"/>
          <w:szCs w:val="32"/>
          <w:highlight w:val="none"/>
        </w:rPr>
      </w:pPr>
    </w:p>
    <w:p w14:paraId="3BA6D904">
      <w:pPr>
        <w:jc w:val="center"/>
        <w:rPr>
          <w:rFonts w:hint="eastAsia" w:ascii="宋体" w:hAnsi="宋体" w:cs="宋体"/>
          <w:b/>
          <w:color w:val="auto"/>
          <w:kern w:val="0"/>
          <w:sz w:val="32"/>
          <w:szCs w:val="32"/>
          <w:highlight w:val="none"/>
        </w:rPr>
      </w:pPr>
    </w:p>
    <w:p w14:paraId="0AE04081">
      <w:pPr>
        <w:jc w:val="center"/>
        <w:rPr>
          <w:rFonts w:hint="eastAsia" w:ascii="宋体" w:hAnsi="宋体" w:cs="宋体"/>
          <w:b/>
          <w:color w:val="auto"/>
          <w:kern w:val="0"/>
          <w:sz w:val="32"/>
          <w:szCs w:val="32"/>
          <w:highlight w:val="none"/>
        </w:rPr>
      </w:pPr>
    </w:p>
    <w:p w14:paraId="5817445E">
      <w:pPr>
        <w:snapToGrid w:val="0"/>
        <w:spacing w:line="360" w:lineRule="auto"/>
        <w:ind w:right="480"/>
        <w:rPr>
          <w:rFonts w:hint="eastAsia" w:ascii="宋体" w:hAnsi="宋体" w:cs="宋体"/>
          <w:b/>
          <w:color w:val="auto"/>
          <w:kern w:val="0"/>
          <w:sz w:val="32"/>
          <w:szCs w:val="32"/>
          <w:highlight w:val="none"/>
        </w:rPr>
        <w:sectPr>
          <w:pgSz w:w="11906" w:h="16838"/>
          <w:pgMar w:top="1440" w:right="1080" w:bottom="1440" w:left="1080" w:header="851" w:footer="992" w:gutter="0"/>
          <w:cols w:space="720" w:num="1"/>
          <w:titlePg/>
          <w:docGrid w:linePitch="312" w:charSpace="0"/>
        </w:sectPr>
      </w:pPr>
    </w:p>
    <w:p w14:paraId="0FA6AA23">
      <w:pPr>
        <w:snapToGrid w:val="0"/>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三、分包意向协议</w:t>
      </w:r>
    </w:p>
    <w:p w14:paraId="07D9A7FB">
      <w:pPr>
        <w:widowControl/>
        <w:spacing w:line="360" w:lineRule="auto"/>
        <w:ind w:firstLine="120" w:firstLineChars="50"/>
        <w:jc w:val="left"/>
        <w:rPr>
          <w:rFonts w:hint="eastAsia" w:ascii="宋体" w:hAnsi="宋体" w:cs="宋体"/>
          <w:color w:val="auto"/>
          <w:sz w:val="24"/>
          <w:highlight w:val="none"/>
        </w:rPr>
      </w:pPr>
      <w:bookmarkStart w:id="1044" w:name="_Hlk101169080"/>
      <w:r>
        <w:rPr>
          <w:rFonts w:hint="eastAsia" w:ascii="宋体" w:hAnsi="宋体" w:cs="宋体"/>
          <w:color w:val="auto"/>
          <w:sz w:val="24"/>
          <w:highlight w:val="none"/>
        </w:rPr>
        <w:t>[</w:t>
      </w:r>
      <w:r>
        <w:rPr>
          <w:rFonts w:hint="eastAsia" w:ascii="宋体" w:hAnsi="宋体" w:cs="宋体"/>
          <w:b/>
          <w:color w:val="auto"/>
          <w:sz w:val="24"/>
          <w:highlight w:val="none"/>
        </w:rPr>
        <w:t>成交后以分包方式履行合同的，提供分包意向协议(附件6</w:t>
      </w:r>
      <w:r>
        <w:rPr>
          <w:rFonts w:ascii="宋体" w:hAnsi="宋体" w:cs="宋体"/>
          <w:b/>
          <w:color w:val="auto"/>
          <w:sz w:val="24"/>
          <w:highlight w:val="none"/>
        </w:rPr>
        <w:t>)</w:t>
      </w:r>
      <w:r>
        <w:rPr>
          <w:rFonts w:hint="eastAsia" w:ascii="宋体" w:hAnsi="宋体" w:cs="宋体"/>
          <w:b/>
          <w:color w:val="auto"/>
          <w:sz w:val="24"/>
          <w:highlight w:val="none"/>
        </w:rPr>
        <w:t>；采购人不同意分包或者供应商成交后不以分包方式履行合同的，则不需要提供。</w:t>
      </w:r>
      <w:r>
        <w:rPr>
          <w:rFonts w:hint="eastAsia" w:ascii="宋体" w:hAnsi="宋体" w:cs="宋体"/>
          <w:color w:val="auto"/>
          <w:sz w:val="24"/>
          <w:highlight w:val="none"/>
        </w:rPr>
        <w:t>]</w:t>
      </w:r>
    </w:p>
    <w:bookmarkEnd w:id="1044"/>
    <w:p w14:paraId="440E028E">
      <w:pPr>
        <w:snapToGrid w:val="0"/>
        <w:spacing w:line="360" w:lineRule="auto"/>
        <w:rPr>
          <w:rFonts w:hint="eastAsia" w:ascii="宋体" w:hAnsi="宋体" w:cs="宋体"/>
          <w:color w:val="auto"/>
          <w:kern w:val="0"/>
          <w:sz w:val="24"/>
          <w:highlight w:val="none"/>
        </w:rPr>
      </w:pPr>
    </w:p>
    <w:p w14:paraId="6884C82B">
      <w:pPr>
        <w:snapToGrid w:val="0"/>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四、符合性审查资料</w:t>
      </w:r>
    </w:p>
    <w:p w14:paraId="48FFF782">
      <w:pPr>
        <w:jc w:val="center"/>
        <w:rPr>
          <w:rFonts w:hint="eastAsia" w:ascii="宋体" w:hAnsi="宋体" w:cs="宋体"/>
          <w:b/>
          <w:color w:val="auto"/>
          <w:kern w:val="0"/>
          <w:sz w:val="32"/>
          <w:szCs w:val="32"/>
          <w:highlight w:val="none"/>
        </w:rPr>
      </w:pPr>
    </w:p>
    <w:tbl>
      <w:tblPr>
        <w:tblStyle w:val="63"/>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4991"/>
        <w:gridCol w:w="2551"/>
        <w:gridCol w:w="1418"/>
      </w:tblGrid>
      <w:tr w14:paraId="3D503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14:paraId="1EC7008F">
            <w:pPr>
              <w:snapToGrid w:val="0"/>
              <w:spacing w:line="240" w:lineRule="atLeast"/>
              <w:jc w:val="center"/>
              <w:rPr>
                <w:rFonts w:hint="eastAsia" w:ascii="宋体" w:hAnsi="宋体" w:cs="宋体"/>
                <w:b/>
                <w:color w:val="auto"/>
                <w:sz w:val="24"/>
                <w:highlight w:val="none"/>
              </w:rPr>
            </w:pPr>
            <w:r>
              <w:rPr>
                <w:rFonts w:hint="eastAsia" w:ascii="宋体" w:hAnsi="宋体" w:cs="宋体"/>
                <w:b/>
                <w:color w:val="auto"/>
                <w:sz w:val="24"/>
                <w:highlight w:val="none"/>
              </w:rPr>
              <w:t>序号</w:t>
            </w:r>
          </w:p>
        </w:tc>
        <w:tc>
          <w:tcPr>
            <w:tcW w:w="4991" w:type="dxa"/>
            <w:vAlign w:val="center"/>
          </w:tcPr>
          <w:p w14:paraId="536D289E">
            <w:pPr>
              <w:snapToGrid w:val="0"/>
              <w:spacing w:line="240" w:lineRule="atLeast"/>
              <w:jc w:val="center"/>
              <w:rPr>
                <w:rFonts w:hint="eastAsia" w:ascii="宋体" w:hAnsi="宋体" w:cs="宋体"/>
                <w:b/>
                <w:color w:val="auto"/>
                <w:sz w:val="24"/>
                <w:highlight w:val="none"/>
              </w:rPr>
            </w:pPr>
            <w:r>
              <w:rPr>
                <w:rFonts w:hint="eastAsia" w:ascii="宋体" w:hAnsi="宋体" w:cs="宋体"/>
                <w:b/>
                <w:color w:val="auto"/>
                <w:sz w:val="24"/>
                <w:highlight w:val="none"/>
              </w:rPr>
              <w:t>实质性要求</w:t>
            </w:r>
          </w:p>
        </w:tc>
        <w:tc>
          <w:tcPr>
            <w:tcW w:w="2551" w:type="dxa"/>
            <w:vAlign w:val="center"/>
          </w:tcPr>
          <w:p w14:paraId="1DBC17DB">
            <w:pPr>
              <w:snapToGrid w:val="0"/>
              <w:spacing w:line="240" w:lineRule="atLeast"/>
              <w:jc w:val="center"/>
              <w:rPr>
                <w:rFonts w:hint="eastAsia" w:ascii="宋体" w:hAnsi="宋体" w:cs="宋体"/>
                <w:b/>
                <w:color w:val="auto"/>
                <w:sz w:val="24"/>
                <w:highlight w:val="none"/>
              </w:rPr>
            </w:pPr>
            <w:r>
              <w:rPr>
                <w:rFonts w:hint="eastAsia" w:ascii="宋体" w:hAnsi="宋体" w:cs="宋体"/>
                <w:b/>
                <w:color w:val="auto"/>
                <w:sz w:val="24"/>
                <w:highlight w:val="none"/>
              </w:rPr>
              <w:t>需要提供的符合性审查资料</w:t>
            </w:r>
          </w:p>
        </w:tc>
        <w:tc>
          <w:tcPr>
            <w:tcW w:w="1418" w:type="dxa"/>
            <w:vAlign w:val="center"/>
          </w:tcPr>
          <w:p w14:paraId="53EBF9F5">
            <w:pPr>
              <w:snapToGrid w:val="0"/>
              <w:spacing w:line="240" w:lineRule="atLeast"/>
              <w:jc w:val="center"/>
              <w:rPr>
                <w:rFonts w:hint="eastAsia" w:ascii="宋体" w:hAnsi="宋体" w:cs="宋体"/>
                <w:b/>
                <w:color w:val="auto"/>
                <w:sz w:val="24"/>
                <w:highlight w:val="none"/>
              </w:rPr>
            </w:pPr>
            <w:r>
              <w:rPr>
                <w:rFonts w:hint="eastAsia" w:ascii="宋体" w:hAnsi="宋体" w:cs="宋体"/>
                <w:b/>
                <w:color w:val="auto"/>
                <w:sz w:val="24"/>
                <w:highlight w:val="none"/>
              </w:rPr>
              <w:t>响应文件中的</w:t>
            </w:r>
          </w:p>
          <w:p w14:paraId="1EE11E32">
            <w:pPr>
              <w:snapToGrid w:val="0"/>
              <w:spacing w:line="240" w:lineRule="atLeast"/>
              <w:jc w:val="center"/>
              <w:rPr>
                <w:rFonts w:hint="eastAsia" w:ascii="宋体" w:hAnsi="宋体" w:cs="宋体"/>
                <w:b/>
                <w:color w:val="auto"/>
                <w:sz w:val="24"/>
                <w:highlight w:val="none"/>
              </w:rPr>
            </w:pPr>
            <w:r>
              <w:rPr>
                <w:rFonts w:hint="eastAsia" w:ascii="宋体" w:hAnsi="宋体" w:cs="宋体"/>
                <w:b/>
                <w:color w:val="auto"/>
                <w:sz w:val="24"/>
                <w:highlight w:val="none"/>
              </w:rPr>
              <w:t>页码位置</w:t>
            </w:r>
          </w:p>
        </w:tc>
      </w:tr>
      <w:tr w14:paraId="2219D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495F09EF">
            <w:pPr>
              <w:rPr>
                <w:rFonts w:hint="eastAsia" w:ascii="宋体" w:hAnsi="宋体" w:cs="宋体"/>
                <w:color w:val="auto"/>
                <w:sz w:val="24"/>
                <w:highlight w:val="none"/>
              </w:rPr>
            </w:pPr>
            <w:r>
              <w:rPr>
                <w:rFonts w:hint="eastAsia" w:ascii="宋体" w:hAnsi="宋体" w:cs="宋体"/>
                <w:color w:val="auto"/>
                <w:sz w:val="24"/>
                <w:highlight w:val="none"/>
              </w:rPr>
              <w:t>1</w:t>
            </w:r>
          </w:p>
        </w:tc>
        <w:tc>
          <w:tcPr>
            <w:tcW w:w="4991" w:type="dxa"/>
            <w:vAlign w:val="center"/>
          </w:tcPr>
          <w:p w14:paraId="5E0CEAB7">
            <w:pPr>
              <w:spacing w:line="360" w:lineRule="auto"/>
              <w:rPr>
                <w:rFonts w:hint="eastAsia" w:ascii="宋体" w:hAnsi="宋体" w:cs="宋体"/>
                <w:color w:val="auto"/>
                <w:sz w:val="24"/>
                <w:highlight w:val="none"/>
              </w:rPr>
            </w:pPr>
            <w:r>
              <w:rPr>
                <w:rFonts w:hint="eastAsia" w:ascii="宋体" w:hAnsi="宋体" w:cs="宋体"/>
                <w:color w:val="auto"/>
                <w:sz w:val="24"/>
                <w:highlight w:val="none"/>
              </w:rPr>
              <w:t>响应文件按照采购文件要求签署、盖章。</w:t>
            </w:r>
          </w:p>
        </w:tc>
        <w:tc>
          <w:tcPr>
            <w:tcW w:w="2551" w:type="dxa"/>
            <w:vAlign w:val="center"/>
          </w:tcPr>
          <w:p w14:paraId="309566F7">
            <w:pPr>
              <w:rPr>
                <w:rFonts w:hint="eastAsia" w:ascii="宋体" w:hAnsi="宋体" w:cs="宋体"/>
                <w:color w:val="auto"/>
                <w:sz w:val="24"/>
                <w:highlight w:val="none"/>
              </w:rPr>
            </w:pPr>
            <w:r>
              <w:rPr>
                <w:rFonts w:hint="eastAsia" w:ascii="宋体" w:hAnsi="宋体" w:cs="宋体"/>
                <w:color w:val="auto"/>
                <w:sz w:val="24"/>
                <w:highlight w:val="none"/>
              </w:rPr>
              <w:t>需要使用电子签名或者签字盖章的响应文件的组成部分</w:t>
            </w:r>
          </w:p>
        </w:tc>
        <w:tc>
          <w:tcPr>
            <w:tcW w:w="1418" w:type="dxa"/>
            <w:vAlign w:val="center"/>
          </w:tcPr>
          <w:p w14:paraId="6E9BEE90">
            <w:pPr>
              <w:rPr>
                <w:rFonts w:hint="eastAsia" w:ascii="宋体" w:hAnsi="宋体" w:cs="宋体"/>
                <w:color w:val="auto"/>
                <w:sz w:val="24"/>
                <w:highlight w:val="none"/>
              </w:rPr>
            </w:pPr>
            <w:r>
              <w:rPr>
                <w:rFonts w:hint="eastAsia" w:ascii="宋体" w:hAnsi="宋体" w:cs="宋体"/>
                <w:color w:val="auto"/>
                <w:sz w:val="24"/>
                <w:highlight w:val="none"/>
              </w:rPr>
              <w:t>见响应文件</w:t>
            </w:r>
          </w:p>
          <w:p w14:paraId="6F1C0C89">
            <w:pPr>
              <w:rPr>
                <w:rFonts w:hint="eastAsia" w:ascii="宋体" w:hAnsi="宋体" w:cs="宋体"/>
                <w:color w:val="auto"/>
                <w:highlight w:val="none"/>
              </w:rPr>
            </w:pPr>
            <w:r>
              <w:rPr>
                <w:rFonts w:hint="eastAsia" w:ascii="宋体" w:hAnsi="宋体" w:cs="宋体"/>
                <w:color w:val="auto"/>
                <w:sz w:val="24"/>
                <w:highlight w:val="none"/>
              </w:rPr>
              <w:t>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页</w:t>
            </w:r>
          </w:p>
        </w:tc>
      </w:tr>
      <w:tr w14:paraId="1BF93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548B2D61">
            <w:pPr>
              <w:spacing w:line="360" w:lineRule="auto"/>
              <w:rPr>
                <w:rFonts w:hint="eastAsia" w:ascii="宋体" w:hAnsi="宋体" w:cs="宋体"/>
                <w:color w:val="auto"/>
                <w:sz w:val="24"/>
                <w:highlight w:val="none"/>
              </w:rPr>
            </w:pPr>
            <w:r>
              <w:rPr>
                <w:rFonts w:hint="eastAsia" w:ascii="宋体" w:hAnsi="宋体" w:cs="宋体"/>
                <w:color w:val="auto"/>
                <w:sz w:val="24"/>
                <w:highlight w:val="none"/>
              </w:rPr>
              <w:t>2</w:t>
            </w:r>
          </w:p>
        </w:tc>
        <w:tc>
          <w:tcPr>
            <w:tcW w:w="4991" w:type="dxa"/>
            <w:vAlign w:val="center"/>
          </w:tcPr>
          <w:p w14:paraId="7A58B94D">
            <w:pPr>
              <w:spacing w:line="360" w:lineRule="auto"/>
              <w:rPr>
                <w:rFonts w:hint="eastAsia" w:ascii="宋体" w:hAnsi="宋体" w:cs="宋体"/>
                <w:color w:val="auto"/>
                <w:sz w:val="24"/>
                <w:highlight w:val="none"/>
              </w:rPr>
            </w:pPr>
            <w:r>
              <w:rPr>
                <w:rFonts w:hint="eastAsia" w:ascii="宋体" w:hAnsi="宋体" w:cs="宋体"/>
                <w:color w:val="auto"/>
                <w:sz w:val="24"/>
                <w:highlight w:val="none"/>
              </w:rPr>
              <w:t>采购人拟采购的产品属于政府强制采购的节能产品品目清单范围的，供应商按采购文件要求提供国家确定的认证机构出具的、处于有效期之内的节能产品认证证书。</w:t>
            </w:r>
          </w:p>
        </w:tc>
        <w:tc>
          <w:tcPr>
            <w:tcW w:w="2551" w:type="dxa"/>
            <w:vAlign w:val="center"/>
          </w:tcPr>
          <w:p w14:paraId="38C9C1B9">
            <w:pPr>
              <w:rPr>
                <w:rFonts w:hint="eastAsia" w:ascii="宋体" w:hAnsi="宋体" w:cs="宋体"/>
                <w:color w:val="auto"/>
                <w:sz w:val="24"/>
                <w:highlight w:val="none"/>
              </w:rPr>
            </w:pPr>
            <w:r>
              <w:rPr>
                <w:rFonts w:hint="eastAsia" w:ascii="宋体" w:hAnsi="宋体" w:cs="宋体"/>
                <w:color w:val="auto"/>
                <w:sz w:val="24"/>
                <w:highlight w:val="none"/>
              </w:rPr>
              <w:t>节能产品认证证书（本项目拟采购的产品不属于政府强制采购的节能产品品目清单范围的，无需提供）</w:t>
            </w:r>
          </w:p>
        </w:tc>
        <w:tc>
          <w:tcPr>
            <w:tcW w:w="1418" w:type="dxa"/>
            <w:vAlign w:val="center"/>
          </w:tcPr>
          <w:p w14:paraId="2F19AEB3">
            <w:pPr>
              <w:rPr>
                <w:rFonts w:hint="eastAsia" w:ascii="宋体" w:hAnsi="宋体" w:cs="宋体"/>
                <w:color w:val="auto"/>
                <w:sz w:val="24"/>
                <w:highlight w:val="none"/>
              </w:rPr>
            </w:pPr>
            <w:r>
              <w:rPr>
                <w:rFonts w:hint="eastAsia" w:ascii="宋体" w:hAnsi="宋体" w:cs="宋体"/>
                <w:color w:val="auto"/>
                <w:sz w:val="24"/>
                <w:highlight w:val="none"/>
              </w:rPr>
              <w:t>见响应文件</w:t>
            </w:r>
          </w:p>
          <w:p w14:paraId="074FD05D">
            <w:pPr>
              <w:pStyle w:val="6"/>
              <w:jc w:val="both"/>
              <w:rPr>
                <w:rFonts w:hint="eastAsia" w:ascii="宋体" w:hAnsi="宋体" w:eastAsia="宋体" w:cs="宋体"/>
                <w:color w:val="auto"/>
                <w:highlight w:val="none"/>
                <w:lang w:val="en-US"/>
              </w:rPr>
            </w:pPr>
            <w:r>
              <w:rPr>
                <w:rFonts w:hint="eastAsia" w:ascii="宋体" w:hAnsi="宋体" w:eastAsia="宋体" w:cs="宋体"/>
                <w:b w:val="0"/>
                <w:bCs w:val="0"/>
                <w:color w:val="auto"/>
                <w:sz w:val="24"/>
                <w:szCs w:val="24"/>
                <w:highlight w:val="none"/>
                <w:lang w:val="en-US"/>
              </w:rPr>
              <w:t>第</w:t>
            </w:r>
            <w:r>
              <w:rPr>
                <w:rFonts w:hint="eastAsia" w:ascii="宋体" w:hAnsi="宋体" w:eastAsia="宋体" w:cs="宋体"/>
                <w:b w:val="0"/>
                <w:bCs w:val="0"/>
                <w:color w:val="auto"/>
                <w:sz w:val="24"/>
                <w:szCs w:val="24"/>
                <w:highlight w:val="none"/>
                <w:u w:val="single"/>
                <w:lang w:val="en-US"/>
              </w:rPr>
              <w:t xml:space="preserve">  </w:t>
            </w:r>
            <w:r>
              <w:rPr>
                <w:rFonts w:hint="eastAsia" w:ascii="宋体" w:hAnsi="宋体" w:eastAsia="宋体" w:cs="宋体"/>
                <w:b w:val="0"/>
                <w:bCs w:val="0"/>
                <w:color w:val="auto"/>
                <w:sz w:val="24"/>
                <w:szCs w:val="24"/>
                <w:highlight w:val="none"/>
                <w:lang w:val="en-US"/>
              </w:rPr>
              <w:t>页</w:t>
            </w:r>
          </w:p>
        </w:tc>
      </w:tr>
      <w:tr w14:paraId="4F452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41BD682F">
            <w:pPr>
              <w:rPr>
                <w:rFonts w:hint="eastAsia" w:ascii="宋体" w:hAnsi="宋体" w:cs="宋体"/>
                <w:color w:val="auto"/>
                <w:sz w:val="24"/>
                <w:highlight w:val="none"/>
              </w:rPr>
            </w:pPr>
            <w:r>
              <w:rPr>
                <w:rFonts w:hint="eastAsia" w:ascii="宋体" w:hAnsi="宋体" w:cs="宋体"/>
                <w:color w:val="auto"/>
                <w:sz w:val="24"/>
                <w:highlight w:val="none"/>
              </w:rPr>
              <w:t>3</w:t>
            </w:r>
          </w:p>
        </w:tc>
        <w:tc>
          <w:tcPr>
            <w:tcW w:w="4991" w:type="dxa"/>
            <w:vAlign w:val="center"/>
          </w:tcPr>
          <w:p w14:paraId="1A52B7DB">
            <w:pPr>
              <w:spacing w:line="360" w:lineRule="auto"/>
              <w:rPr>
                <w:rFonts w:hint="eastAsia" w:ascii="宋体" w:hAnsi="宋体" w:cs="宋体"/>
                <w:color w:val="auto"/>
                <w:sz w:val="24"/>
                <w:highlight w:val="none"/>
              </w:rPr>
            </w:pPr>
            <w:r>
              <w:rPr>
                <w:rFonts w:hint="eastAsia" w:ascii="宋体" w:hAnsi="宋体" w:cs="宋体"/>
                <w:color w:val="auto"/>
                <w:sz w:val="24"/>
                <w:highlight w:val="none"/>
              </w:rPr>
              <w:t>响应文件中承诺的响应文件有效期不少于采购文件中载明的响应文件有效期。</w:t>
            </w:r>
          </w:p>
        </w:tc>
        <w:tc>
          <w:tcPr>
            <w:tcW w:w="2551" w:type="dxa"/>
            <w:vAlign w:val="center"/>
          </w:tcPr>
          <w:p w14:paraId="72640BCC">
            <w:pPr>
              <w:rPr>
                <w:rFonts w:hint="eastAsia" w:ascii="宋体" w:hAnsi="宋体" w:cs="宋体"/>
                <w:color w:val="auto"/>
                <w:sz w:val="24"/>
                <w:highlight w:val="none"/>
              </w:rPr>
            </w:pPr>
            <w:r>
              <w:rPr>
                <w:rFonts w:hint="eastAsia" w:ascii="宋体" w:hAnsi="宋体" w:cs="宋体"/>
                <w:color w:val="auto"/>
                <w:sz w:val="24"/>
                <w:highlight w:val="none"/>
              </w:rPr>
              <w:t>响应函</w:t>
            </w:r>
          </w:p>
        </w:tc>
        <w:tc>
          <w:tcPr>
            <w:tcW w:w="1418" w:type="dxa"/>
            <w:vAlign w:val="center"/>
          </w:tcPr>
          <w:p w14:paraId="032576A4">
            <w:pPr>
              <w:rPr>
                <w:rFonts w:hint="eastAsia" w:ascii="宋体" w:hAnsi="宋体" w:cs="宋体"/>
                <w:color w:val="auto"/>
                <w:highlight w:val="none"/>
              </w:rPr>
            </w:pPr>
            <w:r>
              <w:rPr>
                <w:rFonts w:hint="eastAsia" w:ascii="宋体" w:hAnsi="宋体" w:cs="宋体"/>
                <w:color w:val="auto"/>
                <w:sz w:val="24"/>
                <w:highlight w:val="none"/>
              </w:rPr>
              <w:t>见响应文件第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页</w:t>
            </w:r>
          </w:p>
        </w:tc>
      </w:tr>
      <w:tr w14:paraId="532E7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2B63537C">
            <w:pPr>
              <w:rPr>
                <w:rFonts w:hint="eastAsia" w:ascii="宋体" w:hAnsi="宋体" w:cs="宋体"/>
                <w:color w:val="auto"/>
                <w:sz w:val="24"/>
                <w:highlight w:val="none"/>
              </w:rPr>
            </w:pPr>
            <w:r>
              <w:rPr>
                <w:rFonts w:hint="eastAsia" w:ascii="宋体" w:hAnsi="宋体" w:cs="宋体"/>
                <w:color w:val="auto"/>
                <w:sz w:val="24"/>
                <w:highlight w:val="none"/>
              </w:rPr>
              <w:t>4</w:t>
            </w:r>
          </w:p>
        </w:tc>
        <w:tc>
          <w:tcPr>
            <w:tcW w:w="4991" w:type="dxa"/>
            <w:vAlign w:val="center"/>
          </w:tcPr>
          <w:p w14:paraId="1C868AE0">
            <w:pPr>
              <w:spacing w:line="360" w:lineRule="auto"/>
              <w:rPr>
                <w:rFonts w:hint="eastAsia" w:ascii="宋体" w:hAnsi="宋体" w:cs="宋体"/>
                <w:color w:val="auto"/>
                <w:sz w:val="24"/>
                <w:highlight w:val="none"/>
              </w:rPr>
            </w:pPr>
            <w:r>
              <w:rPr>
                <w:rFonts w:hint="eastAsia" w:ascii="宋体" w:hAnsi="宋体" w:cs="宋体"/>
                <w:color w:val="auto"/>
                <w:sz w:val="24"/>
                <w:highlight w:val="none"/>
              </w:rPr>
              <w:t>响应文件满足采购文件的其它实质性要求。</w:t>
            </w:r>
          </w:p>
        </w:tc>
        <w:tc>
          <w:tcPr>
            <w:tcW w:w="2551" w:type="dxa"/>
            <w:vAlign w:val="center"/>
          </w:tcPr>
          <w:p w14:paraId="708A6A25">
            <w:pPr>
              <w:rPr>
                <w:rFonts w:hint="eastAsia" w:ascii="宋体" w:hAnsi="宋体" w:cs="宋体"/>
                <w:color w:val="auto"/>
                <w:sz w:val="24"/>
                <w:highlight w:val="none"/>
              </w:rPr>
            </w:pPr>
            <w:r>
              <w:rPr>
                <w:rFonts w:hint="eastAsia" w:ascii="宋体" w:hAnsi="宋体" w:cs="宋体"/>
                <w:color w:val="auto"/>
                <w:kern w:val="0"/>
                <w:sz w:val="24"/>
                <w:highlight w:val="none"/>
              </w:rPr>
              <w:t>采购文件其它实质性要求相应的材料（“▲” 系指实质性要求条款，采购文件无其它实质性要求的，无需提供）</w:t>
            </w:r>
          </w:p>
        </w:tc>
        <w:tc>
          <w:tcPr>
            <w:tcW w:w="1418" w:type="dxa"/>
            <w:vAlign w:val="center"/>
          </w:tcPr>
          <w:p w14:paraId="0917052E">
            <w:pPr>
              <w:rPr>
                <w:rFonts w:hint="eastAsia" w:ascii="宋体" w:hAnsi="宋体" w:cs="宋体"/>
                <w:color w:val="auto"/>
                <w:highlight w:val="none"/>
              </w:rPr>
            </w:pPr>
            <w:r>
              <w:rPr>
                <w:rFonts w:hint="eastAsia" w:ascii="宋体" w:hAnsi="宋体" w:cs="宋体"/>
                <w:color w:val="auto"/>
                <w:sz w:val="24"/>
                <w:highlight w:val="none"/>
              </w:rPr>
              <w:t>见响应文件第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页</w:t>
            </w:r>
          </w:p>
        </w:tc>
      </w:tr>
    </w:tbl>
    <w:p w14:paraId="380D1686">
      <w:pPr>
        <w:spacing w:line="360" w:lineRule="auto"/>
        <w:ind w:right="420"/>
        <w:rPr>
          <w:rFonts w:hint="eastAsia" w:ascii="宋体" w:hAnsi="宋体" w:cs="宋体"/>
          <w:color w:val="auto"/>
          <w:sz w:val="24"/>
          <w:highlight w:val="none"/>
        </w:rPr>
      </w:pPr>
      <w:r>
        <w:rPr>
          <w:rFonts w:hint="eastAsia" w:ascii="宋体" w:hAnsi="宋体" w:cs="宋体"/>
          <w:color w:val="auto"/>
          <w:sz w:val="24"/>
          <w:highlight w:val="none"/>
        </w:rPr>
        <w:t>注：按本格式和要求提供。</w:t>
      </w:r>
    </w:p>
    <w:p w14:paraId="6925D4B0">
      <w:pPr>
        <w:jc w:val="center"/>
        <w:rPr>
          <w:rFonts w:hint="eastAsia" w:ascii="宋体" w:hAnsi="宋体" w:cs="宋体"/>
          <w:b/>
          <w:color w:val="auto"/>
          <w:kern w:val="0"/>
          <w:sz w:val="32"/>
          <w:szCs w:val="32"/>
          <w:highlight w:val="none"/>
        </w:rPr>
      </w:pPr>
    </w:p>
    <w:p w14:paraId="6B5D651D">
      <w:pPr>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 xml:space="preserve">            </w:t>
      </w:r>
    </w:p>
    <w:p w14:paraId="78FCE911">
      <w:pPr>
        <w:jc w:val="center"/>
        <w:rPr>
          <w:rFonts w:hint="eastAsia" w:ascii="宋体" w:hAnsi="宋体" w:cs="宋体"/>
          <w:b/>
          <w:color w:val="auto"/>
          <w:kern w:val="0"/>
          <w:sz w:val="32"/>
          <w:szCs w:val="32"/>
          <w:highlight w:val="none"/>
        </w:rPr>
      </w:pPr>
    </w:p>
    <w:p w14:paraId="198621CC">
      <w:pPr>
        <w:jc w:val="center"/>
        <w:rPr>
          <w:rFonts w:hint="eastAsia" w:ascii="宋体" w:hAnsi="宋体" w:cs="宋体"/>
          <w:b/>
          <w:color w:val="auto"/>
          <w:kern w:val="0"/>
          <w:sz w:val="32"/>
          <w:szCs w:val="32"/>
          <w:highlight w:val="none"/>
        </w:rPr>
      </w:pPr>
    </w:p>
    <w:p w14:paraId="49CB42E2">
      <w:pPr>
        <w:jc w:val="center"/>
        <w:rPr>
          <w:rFonts w:hint="eastAsia" w:ascii="宋体" w:hAnsi="宋体" w:cs="宋体"/>
          <w:b/>
          <w:color w:val="auto"/>
          <w:kern w:val="0"/>
          <w:sz w:val="32"/>
          <w:szCs w:val="32"/>
          <w:highlight w:val="none"/>
        </w:rPr>
      </w:pPr>
    </w:p>
    <w:p w14:paraId="15D1C5A6">
      <w:pPr>
        <w:jc w:val="center"/>
        <w:rPr>
          <w:rFonts w:hint="eastAsia" w:ascii="宋体" w:hAnsi="宋体" w:cs="宋体"/>
          <w:b/>
          <w:color w:val="auto"/>
          <w:kern w:val="0"/>
          <w:sz w:val="32"/>
          <w:szCs w:val="32"/>
          <w:highlight w:val="none"/>
        </w:rPr>
      </w:pPr>
    </w:p>
    <w:p w14:paraId="2B983A36">
      <w:pPr>
        <w:jc w:val="center"/>
        <w:rPr>
          <w:rFonts w:hint="eastAsia" w:ascii="宋体" w:hAnsi="宋体" w:cs="宋体"/>
          <w:b/>
          <w:color w:val="auto"/>
          <w:kern w:val="0"/>
          <w:sz w:val="32"/>
          <w:szCs w:val="32"/>
          <w:highlight w:val="none"/>
        </w:rPr>
      </w:pPr>
    </w:p>
    <w:p w14:paraId="09FDF958">
      <w:pPr>
        <w:jc w:val="center"/>
        <w:rPr>
          <w:rFonts w:hint="eastAsia" w:ascii="宋体" w:hAnsi="宋体" w:cs="宋体"/>
          <w:b/>
          <w:color w:val="auto"/>
          <w:kern w:val="0"/>
          <w:sz w:val="32"/>
          <w:szCs w:val="32"/>
          <w:highlight w:val="none"/>
        </w:rPr>
      </w:pPr>
    </w:p>
    <w:p w14:paraId="6F5362A2">
      <w:pPr>
        <w:jc w:val="center"/>
        <w:rPr>
          <w:rFonts w:hint="eastAsia" w:ascii="宋体" w:hAnsi="宋体" w:cs="宋体"/>
          <w:b/>
          <w:color w:val="auto"/>
          <w:kern w:val="0"/>
          <w:sz w:val="32"/>
          <w:szCs w:val="32"/>
          <w:highlight w:val="none"/>
        </w:rPr>
      </w:pPr>
    </w:p>
    <w:p w14:paraId="6CFBCD7F">
      <w:pPr>
        <w:jc w:val="center"/>
        <w:rPr>
          <w:rFonts w:hint="eastAsia" w:ascii="宋体" w:hAnsi="宋体" w:cs="宋体"/>
          <w:b/>
          <w:color w:val="auto"/>
          <w:kern w:val="0"/>
          <w:sz w:val="32"/>
          <w:szCs w:val="32"/>
          <w:highlight w:val="none"/>
        </w:rPr>
      </w:pPr>
    </w:p>
    <w:p w14:paraId="130769AA">
      <w:pPr>
        <w:snapToGrid w:val="0"/>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五、评审标准相应的商务技术资料</w:t>
      </w:r>
    </w:p>
    <w:p w14:paraId="1E6D6139">
      <w:pPr>
        <w:snapToGrid w:val="0"/>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（按采购文件第四部分评审办法前附表中“响应文件中评审标准相应的商务技术资料目录”提供资料。）</w:t>
      </w:r>
    </w:p>
    <w:p w14:paraId="65377F9A">
      <w:pPr>
        <w:jc w:val="center"/>
        <w:rPr>
          <w:rFonts w:hint="eastAsia" w:ascii="宋体" w:hAnsi="宋体" w:cs="宋体"/>
          <w:b/>
          <w:color w:val="auto"/>
          <w:kern w:val="0"/>
          <w:sz w:val="32"/>
          <w:szCs w:val="32"/>
          <w:highlight w:val="none"/>
        </w:rPr>
      </w:pPr>
    </w:p>
    <w:p w14:paraId="1D27241E">
      <w:pPr>
        <w:jc w:val="center"/>
        <w:rPr>
          <w:rFonts w:hint="eastAsia" w:ascii="宋体" w:hAnsi="宋体" w:cs="宋体"/>
          <w:b/>
          <w:color w:val="auto"/>
          <w:kern w:val="0"/>
          <w:sz w:val="32"/>
          <w:szCs w:val="32"/>
          <w:highlight w:val="none"/>
        </w:rPr>
      </w:pPr>
    </w:p>
    <w:p w14:paraId="01A15F54">
      <w:pPr>
        <w:jc w:val="center"/>
        <w:rPr>
          <w:rFonts w:hint="eastAsia" w:ascii="宋体" w:hAnsi="宋体" w:cs="宋体"/>
          <w:b/>
          <w:color w:val="auto"/>
          <w:kern w:val="0"/>
          <w:sz w:val="32"/>
          <w:szCs w:val="32"/>
          <w:highlight w:val="none"/>
        </w:rPr>
      </w:pPr>
    </w:p>
    <w:p w14:paraId="26D2D77C">
      <w:pPr>
        <w:jc w:val="center"/>
        <w:rPr>
          <w:rFonts w:hint="eastAsia" w:ascii="宋体" w:hAnsi="宋体" w:cs="宋体"/>
          <w:b/>
          <w:color w:val="auto"/>
          <w:kern w:val="0"/>
          <w:sz w:val="32"/>
          <w:szCs w:val="32"/>
          <w:highlight w:val="none"/>
        </w:rPr>
      </w:pPr>
    </w:p>
    <w:p w14:paraId="01A16BD8">
      <w:pPr>
        <w:jc w:val="center"/>
        <w:rPr>
          <w:rFonts w:hint="eastAsia" w:ascii="宋体" w:hAnsi="宋体" w:cs="宋体"/>
          <w:b/>
          <w:color w:val="auto"/>
          <w:kern w:val="0"/>
          <w:sz w:val="32"/>
          <w:szCs w:val="32"/>
          <w:highlight w:val="none"/>
        </w:rPr>
      </w:pPr>
    </w:p>
    <w:p w14:paraId="28B2FA80">
      <w:pPr>
        <w:snapToGrid w:val="0"/>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六、商务技术偏离表</w:t>
      </w:r>
    </w:p>
    <w:tbl>
      <w:tblPr>
        <w:tblStyle w:val="6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683"/>
        <w:gridCol w:w="3546"/>
        <w:gridCol w:w="1276"/>
      </w:tblGrid>
      <w:tr w14:paraId="502FF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540C518">
            <w:pPr>
              <w:jc w:val="center"/>
              <w:rPr>
                <w:rFonts w:hint="eastAsia" w:ascii="宋体" w:hAnsi="宋体" w:cs="宋体"/>
                <w:b/>
                <w:bCs/>
                <w:color w:val="auto"/>
                <w:sz w:val="24"/>
                <w:highlight w:val="none"/>
              </w:rPr>
            </w:pPr>
            <w:r>
              <w:rPr>
                <w:rFonts w:hint="eastAsia" w:ascii="宋体" w:hAnsi="宋体" w:cs="宋体"/>
                <w:b/>
                <w:bCs/>
                <w:color w:val="auto"/>
                <w:sz w:val="24"/>
                <w:highlight w:val="none"/>
              </w:rPr>
              <w:t>序号</w:t>
            </w:r>
          </w:p>
        </w:tc>
        <w:tc>
          <w:tcPr>
            <w:tcW w:w="3683" w:type="dxa"/>
          </w:tcPr>
          <w:p w14:paraId="50D62D71">
            <w:pPr>
              <w:jc w:val="center"/>
              <w:rPr>
                <w:rFonts w:hint="eastAsia" w:ascii="宋体" w:hAnsi="宋体" w:cs="宋体"/>
                <w:b/>
                <w:bCs/>
                <w:color w:val="auto"/>
                <w:sz w:val="24"/>
                <w:highlight w:val="none"/>
              </w:rPr>
            </w:pPr>
            <w:r>
              <w:rPr>
                <w:rFonts w:hint="eastAsia" w:ascii="宋体" w:hAnsi="宋体" w:cs="宋体"/>
                <w:b/>
                <w:bCs/>
                <w:color w:val="auto"/>
                <w:sz w:val="24"/>
                <w:highlight w:val="none"/>
              </w:rPr>
              <w:t>采购文件章节及具体内容</w:t>
            </w:r>
          </w:p>
        </w:tc>
        <w:tc>
          <w:tcPr>
            <w:tcW w:w="3546" w:type="dxa"/>
          </w:tcPr>
          <w:p w14:paraId="439A2E7A">
            <w:pPr>
              <w:jc w:val="center"/>
              <w:rPr>
                <w:rFonts w:hint="eastAsia" w:ascii="宋体" w:hAnsi="宋体" w:cs="宋体"/>
                <w:b/>
                <w:bCs/>
                <w:color w:val="auto"/>
                <w:sz w:val="24"/>
                <w:highlight w:val="none"/>
              </w:rPr>
            </w:pPr>
            <w:r>
              <w:rPr>
                <w:rFonts w:hint="eastAsia" w:ascii="宋体" w:hAnsi="宋体" w:cs="宋体"/>
                <w:b/>
                <w:bCs/>
                <w:color w:val="auto"/>
                <w:sz w:val="24"/>
                <w:highlight w:val="none"/>
              </w:rPr>
              <w:t>响应文件章节及具体内容</w:t>
            </w:r>
          </w:p>
        </w:tc>
        <w:tc>
          <w:tcPr>
            <w:tcW w:w="1276" w:type="dxa"/>
          </w:tcPr>
          <w:p w14:paraId="0CF5E3C7">
            <w:pPr>
              <w:jc w:val="center"/>
              <w:rPr>
                <w:rFonts w:hint="eastAsia" w:ascii="宋体" w:hAnsi="宋体" w:cs="宋体"/>
                <w:b/>
                <w:bCs/>
                <w:color w:val="auto"/>
                <w:sz w:val="24"/>
                <w:highlight w:val="none"/>
              </w:rPr>
            </w:pPr>
            <w:r>
              <w:rPr>
                <w:rFonts w:hint="eastAsia" w:ascii="宋体" w:hAnsi="宋体" w:cs="宋体"/>
                <w:b/>
                <w:bCs/>
                <w:color w:val="auto"/>
                <w:sz w:val="24"/>
                <w:highlight w:val="none"/>
              </w:rPr>
              <w:t>偏离说明</w:t>
            </w:r>
          </w:p>
        </w:tc>
      </w:tr>
      <w:tr w14:paraId="2E53C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tcPr>
          <w:p w14:paraId="5BAAA71E">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1</w:t>
            </w:r>
          </w:p>
        </w:tc>
        <w:tc>
          <w:tcPr>
            <w:tcW w:w="3683" w:type="dxa"/>
          </w:tcPr>
          <w:p w14:paraId="3CDA0BD5">
            <w:pPr>
              <w:jc w:val="center"/>
              <w:rPr>
                <w:rFonts w:hint="eastAsia" w:ascii="宋体" w:hAnsi="宋体" w:cs="宋体"/>
                <w:b/>
                <w:color w:val="auto"/>
                <w:kern w:val="0"/>
                <w:sz w:val="32"/>
                <w:szCs w:val="32"/>
                <w:highlight w:val="none"/>
              </w:rPr>
            </w:pPr>
          </w:p>
        </w:tc>
        <w:tc>
          <w:tcPr>
            <w:tcW w:w="3546" w:type="dxa"/>
          </w:tcPr>
          <w:p w14:paraId="1404AD5E">
            <w:pPr>
              <w:jc w:val="center"/>
              <w:rPr>
                <w:rFonts w:hint="eastAsia" w:ascii="宋体" w:hAnsi="宋体" w:cs="宋体"/>
                <w:b/>
                <w:color w:val="auto"/>
                <w:kern w:val="0"/>
                <w:sz w:val="32"/>
                <w:szCs w:val="32"/>
                <w:highlight w:val="none"/>
              </w:rPr>
            </w:pPr>
          </w:p>
        </w:tc>
        <w:tc>
          <w:tcPr>
            <w:tcW w:w="1276" w:type="dxa"/>
          </w:tcPr>
          <w:p w14:paraId="127BB177">
            <w:pPr>
              <w:jc w:val="center"/>
              <w:rPr>
                <w:rFonts w:hint="eastAsia" w:ascii="宋体" w:hAnsi="宋体" w:cs="宋体"/>
                <w:b/>
                <w:color w:val="auto"/>
                <w:kern w:val="0"/>
                <w:sz w:val="32"/>
                <w:szCs w:val="32"/>
                <w:highlight w:val="none"/>
              </w:rPr>
            </w:pPr>
          </w:p>
        </w:tc>
      </w:tr>
      <w:tr w14:paraId="1D348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FCD42D9">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2</w:t>
            </w:r>
          </w:p>
        </w:tc>
        <w:tc>
          <w:tcPr>
            <w:tcW w:w="3683" w:type="dxa"/>
          </w:tcPr>
          <w:p w14:paraId="608A70DF">
            <w:pPr>
              <w:jc w:val="center"/>
              <w:rPr>
                <w:rFonts w:hint="eastAsia" w:ascii="宋体" w:hAnsi="宋体" w:cs="宋体"/>
                <w:b/>
                <w:color w:val="auto"/>
                <w:kern w:val="0"/>
                <w:sz w:val="32"/>
                <w:szCs w:val="32"/>
                <w:highlight w:val="none"/>
              </w:rPr>
            </w:pPr>
          </w:p>
        </w:tc>
        <w:tc>
          <w:tcPr>
            <w:tcW w:w="3546" w:type="dxa"/>
          </w:tcPr>
          <w:p w14:paraId="3A190662">
            <w:pPr>
              <w:jc w:val="center"/>
              <w:rPr>
                <w:rFonts w:hint="eastAsia" w:ascii="宋体" w:hAnsi="宋体" w:cs="宋体"/>
                <w:b/>
                <w:color w:val="auto"/>
                <w:kern w:val="0"/>
                <w:sz w:val="32"/>
                <w:szCs w:val="32"/>
                <w:highlight w:val="none"/>
              </w:rPr>
            </w:pPr>
          </w:p>
        </w:tc>
        <w:tc>
          <w:tcPr>
            <w:tcW w:w="1276" w:type="dxa"/>
          </w:tcPr>
          <w:p w14:paraId="6D16C29A">
            <w:pPr>
              <w:jc w:val="center"/>
              <w:rPr>
                <w:rFonts w:hint="eastAsia" w:ascii="宋体" w:hAnsi="宋体" w:cs="宋体"/>
                <w:b/>
                <w:color w:val="auto"/>
                <w:kern w:val="0"/>
                <w:sz w:val="32"/>
                <w:szCs w:val="32"/>
                <w:highlight w:val="none"/>
              </w:rPr>
            </w:pPr>
          </w:p>
        </w:tc>
      </w:tr>
      <w:tr w14:paraId="4B807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363A362">
            <w:pPr>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w:t>
            </w:r>
          </w:p>
        </w:tc>
        <w:tc>
          <w:tcPr>
            <w:tcW w:w="3683" w:type="dxa"/>
          </w:tcPr>
          <w:p w14:paraId="207FA6E4">
            <w:pPr>
              <w:jc w:val="center"/>
              <w:rPr>
                <w:rFonts w:hint="eastAsia" w:ascii="宋体" w:hAnsi="宋体" w:cs="宋体"/>
                <w:b/>
                <w:color w:val="auto"/>
                <w:kern w:val="0"/>
                <w:sz w:val="32"/>
                <w:szCs w:val="32"/>
                <w:highlight w:val="none"/>
              </w:rPr>
            </w:pPr>
          </w:p>
        </w:tc>
        <w:tc>
          <w:tcPr>
            <w:tcW w:w="3546" w:type="dxa"/>
          </w:tcPr>
          <w:p w14:paraId="5C324CD2">
            <w:pPr>
              <w:jc w:val="center"/>
              <w:rPr>
                <w:rFonts w:hint="eastAsia" w:ascii="宋体" w:hAnsi="宋体" w:cs="宋体"/>
                <w:b/>
                <w:color w:val="auto"/>
                <w:kern w:val="0"/>
                <w:sz w:val="32"/>
                <w:szCs w:val="32"/>
                <w:highlight w:val="none"/>
              </w:rPr>
            </w:pPr>
          </w:p>
        </w:tc>
        <w:tc>
          <w:tcPr>
            <w:tcW w:w="1276" w:type="dxa"/>
          </w:tcPr>
          <w:p w14:paraId="10BA05E2">
            <w:pPr>
              <w:jc w:val="center"/>
              <w:rPr>
                <w:rFonts w:hint="eastAsia" w:ascii="宋体" w:hAnsi="宋体" w:cs="宋体"/>
                <w:b/>
                <w:color w:val="auto"/>
                <w:kern w:val="0"/>
                <w:sz w:val="32"/>
                <w:szCs w:val="32"/>
                <w:highlight w:val="none"/>
              </w:rPr>
            </w:pPr>
          </w:p>
        </w:tc>
      </w:tr>
    </w:tbl>
    <w:p w14:paraId="196F0120">
      <w:pPr>
        <w:jc w:val="left"/>
        <w:rPr>
          <w:rFonts w:hint="eastAsia" w:ascii="宋体" w:hAnsi="宋体" w:cs="宋体"/>
          <w:color w:val="auto"/>
          <w:kern w:val="0"/>
          <w:sz w:val="24"/>
          <w:highlight w:val="none"/>
        </w:rPr>
      </w:pPr>
      <w:r>
        <w:rPr>
          <w:rFonts w:hint="eastAsia" w:ascii="宋体" w:hAnsi="宋体" w:cs="宋体"/>
          <w:color w:val="auto"/>
          <w:kern w:val="0"/>
          <w:sz w:val="24"/>
          <w:highlight w:val="none"/>
        </w:rPr>
        <w:t>供应商保证：除商务技术偏离表列出的偏离外，供应商响应采购文件的全部要求</w:t>
      </w:r>
    </w:p>
    <w:p w14:paraId="528AFA85">
      <w:pPr>
        <w:jc w:val="center"/>
        <w:rPr>
          <w:rFonts w:hint="eastAsia" w:ascii="宋体" w:hAnsi="宋体" w:cs="宋体"/>
          <w:b/>
          <w:color w:val="auto"/>
          <w:kern w:val="0"/>
          <w:sz w:val="32"/>
          <w:szCs w:val="32"/>
          <w:highlight w:val="none"/>
        </w:rPr>
      </w:pPr>
    </w:p>
    <w:p w14:paraId="38B9AE9D">
      <w:pPr>
        <w:spacing w:line="360" w:lineRule="auto"/>
        <w:ind w:right="420"/>
        <w:rPr>
          <w:rFonts w:hint="eastAsia" w:ascii="宋体" w:hAnsi="宋体" w:cs="宋体"/>
          <w:color w:val="auto"/>
          <w:sz w:val="24"/>
          <w:highlight w:val="none"/>
        </w:rPr>
      </w:pPr>
      <w:r>
        <w:rPr>
          <w:rFonts w:hint="eastAsia" w:ascii="宋体" w:hAnsi="宋体" w:cs="宋体"/>
          <w:color w:val="auto"/>
          <w:sz w:val="24"/>
          <w:highlight w:val="none"/>
        </w:rPr>
        <w:t>注：按本格式和要求提供。</w:t>
      </w:r>
    </w:p>
    <w:p w14:paraId="466C7EE6">
      <w:pPr>
        <w:ind w:firstLine="1911" w:firstLineChars="595"/>
        <w:rPr>
          <w:rFonts w:hint="eastAsia" w:ascii="宋体" w:hAnsi="宋体" w:cs="宋体"/>
          <w:b/>
          <w:bCs/>
          <w:color w:val="auto"/>
          <w:sz w:val="32"/>
          <w:szCs w:val="32"/>
          <w:highlight w:val="none"/>
        </w:rPr>
        <w:sectPr>
          <w:footerReference r:id="rId16" w:type="first"/>
          <w:footerReference r:id="rId15" w:type="default"/>
          <w:pgSz w:w="11906" w:h="16838"/>
          <w:pgMar w:top="1440" w:right="1080" w:bottom="1440" w:left="1080" w:header="851" w:footer="992" w:gutter="0"/>
          <w:cols w:space="720" w:num="1"/>
          <w:titlePg/>
          <w:docGrid w:linePitch="312" w:charSpace="0"/>
        </w:sectPr>
      </w:pPr>
    </w:p>
    <w:p w14:paraId="4B4D0A6E">
      <w:pPr>
        <w:snapToGrid w:val="0"/>
        <w:jc w:val="center"/>
        <w:rPr>
          <w:rFonts w:hint="eastAsia" w:ascii="宋体" w:hAnsi="宋体" w:cs="宋体"/>
          <w:b/>
          <w:color w:val="auto"/>
          <w:kern w:val="0"/>
          <w:sz w:val="32"/>
          <w:szCs w:val="32"/>
          <w:highlight w:val="none"/>
        </w:rPr>
      </w:pPr>
      <w:r>
        <w:rPr>
          <w:rFonts w:hint="eastAsia" w:ascii="宋体" w:hAnsi="宋体" w:cs="宋体"/>
          <w:b/>
          <w:bCs/>
          <w:color w:val="auto"/>
          <w:sz w:val="32"/>
          <w:szCs w:val="32"/>
          <w:highlight w:val="none"/>
        </w:rPr>
        <w:t>七</w:t>
      </w:r>
      <w:r>
        <w:rPr>
          <w:rFonts w:hint="eastAsia" w:ascii="宋体" w:hAnsi="宋体" w:cs="宋体"/>
          <w:b/>
          <w:color w:val="auto"/>
          <w:kern w:val="0"/>
          <w:sz w:val="32"/>
          <w:szCs w:val="32"/>
          <w:highlight w:val="none"/>
        </w:rPr>
        <w:t>、</w:t>
      </w:r>
      <w:r>
        <w:rPr>
          <w:rFonts w:hint="eastAsia" w:ascii="宋体" w:hAnsi="宋体" w:cs="宋体"/>
          <w:b/>
          <w:color w:val="auto"/>
          <w:kern w:val="0"/>
          <w:sz w:val="32"/>
          <w:szCs w:val="32"/>
          <w:highlight w:val="none"/>
          <w:lang w:val="zh-CN"/>
        </w:rPr>
        <w:t>政府采购供应商廉洁自律承诺书</w:t>
      </w:r>
    </w:p>
    <w:p w14:paraId="659605BC">
      <w:pPr>
        <w:snapToGrid w:val="0"/>
        <w:spacing w:line="360" w:lineRule="auto"/>
        <w:rPr>
          <w:rFonts w:hint="eastAsia" w:ascii="宋体" w:hAnsi="宋体" w:cs="宋体"/>
          <w:color w:val="auto"/>
          <w:sz w:val="24"/>
          <w:highlight w:val="none"/>
        </w:rPr>
      </w:pPr>
    </w:p>
    <w:p w14:paraId="4766ED17">
      <w:pPr>
        <w:snapToGrid w:val="0"/>
        <w:spacing w:line="360" w:lineRule="auto"/>
        <w:rPr>
          <w:rFonts w:hint="eastAsia"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14:paraId="52A2657E">
      <w:pPr>
        <w:autoSpaceDE w:val="0"/>
        <w:autoSpaceDN w:val="0"/>
        <w:spacing w:line="360" w:lineRule="auto"/>
        <w:ind w:left="2" w:leftChars="1"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我单位响应你</w:t>
      </w:r>
      <w:r>
        <w:rPr>
          <w:rFonts w:hint="eastAsia" w:ascii="宋体" w:hAnsi="宋体" w:cs="宋体"/>
          <w:color w:val="auto"/>
          <w:sz w:val="24"/>
          <w:highlight w:val="none"/>
        </w:rPr>
        <w:t>单位</w:t>
      </w:r>
      <w:r>
        <w:rPr>
          <w:rFonts w:hint="eastAsia" w:ascii="宋体" w:hAnsi="宋体" w:cs="宋体"/>
          <w:color w:val="auto"/>
          <w:kern w:val="0"/>
          <w:sz w:val="24"/>
          <w:highlight w:val="none"/>
          <w:lang w:val="zh-CN"/>
        </w:rPr>
        <w:t>项目招标要求参加投标。在这次投标过程中和中标后，我们将严格遵守国家法律法规要求，并郑重承诺：</w:t>
      </w:r>
    </w:p>
    <w:p w14:paraId="3B1C8052">
      <w:pPr>
        <w:autoSpaceDE w:val="0"/>
        <w:autoSpaceDN w:val="0"/>
        <w:spacing w:line="360" w:lineRule="auto"/>
        <w:ind w:left="2" w:leftChars="1"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一、不向项目有关人员及部门赠送礼金礼物、有价证券、回扣以及中介费、介绍费、咨询费等好处费； </w:t>
      </w:r>
    </w:p>
    <w:p w14:paraId="4F7392B2">
      <w:pPr>
        <w:autoSpaceDE w:val="0"/>
        <w:autoSpaceDN w:val="0"/>
        <w:spacing w:line="360" w:lineRule="auto"/>
        <w:ind w:left="2" w:leftChars="1"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二、不为项目有关人员及部门报销应由你方单位或个人支付的费用； </w:t>
      </w:r>
    </w:p>
    <w:p w14:paraId="1FCF8664">
      <w:pPr>
        <w:autoSpaceDE w:val="0"/>
        <w:autoSpaceDN w:val="0"/>
        <w:spacing w:line="360" w:lineRule="auto"/>
        <w:ind w:left="2" w:leftChars="1"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三、不向项目有关人员及部门提供有可能影响公正的宴请和健身娱乐等活动； </w:t>
      </w:r>
    </w:p>
    <w:p w14:paraId="776367FE">
      <w:pPr>
        <w:autoSpaceDE w:val="0"/>
        <w:autoSpaceDN w:val="0"/>
        <w:spacing w:line="360" w:lineRule="auto"/>
        <w:ind w:left="2" w:leftChars="1"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四、不为项目有关人员及部门出国（境）、旅游等提供方便；</w:t>
      </w:r>
    </w:p>
    <w:p w14:paraId="3B9967EC">
      <w:pPr>
        <w:autoSpaceDE w:val="0"/>
        <w:autoSpaceDN w:val="0"/>
        <w:spacing w:line="360" w:lineRule="auto"/>
        <w:ind w:left="2" w:leftChars="1"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五、不为项目有关人员个人装修住房、婚丧嫁娶、配偶子女工作安排等提供好处；</w:t>
      </w:r>
    </w:p>
    <w:p w14:paraId="07348AE6">
      <w:pPr>
        <w:autoSpaceDE w:val="0"/>
        <w:autoSpaceDN w:val="0"/>
        <w:spacing w:line="360" w:lineRule="auto"/>
        <w:ind w:left="2" w:leftChars="1"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六、严格遵守《中华人民共和国政府采购法》《中华人民共和国招标投标法》《中华人民共和国民法典》等法律法规，诚实守信，合法经营，坚决抵制各种违法违纪行为。 </w:t>
      </w:r>
    </w:p>
    <w:p w14:paraId="05C15BF2">
      <w:pPr>
        <w:autoSpaceDE w:val="0"/>
        <w:autoSpaceDN w:val="0"/>
        <w:spacing w:line="360" w:lineRule="auto"/>
        <w:ind w:left="2" w:leftChars="1"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如违反上述承诺，你单位有权立即取消我单位投标、中标或在建项目的建设资格，有权拒绝我单位在一定时期内进入你单位进行项目建设或其他经营活动，并通报市财政局。由此引起的相应损失均由我单位承担。</w:t>
      </w:r>
    </w:p>
    <w:p w14:paraId="65F103D7">
      <w:pPr>
        <w:autoSpaceDE w:val="0"/>
        <w:autoSpaceDN w:val="0"/>
        <w:spacing w:line="360" w:lineRule="auto"/>
        <w:ind w:left="2"/>
        <w:jc w:val="left"/>
        <w:rPr>
          <w:rFonts w:hint="eastAsia" w:ascii="宋体" w:hAnsi="宋体" w:cs="宋体"/>
          <w:color w:val="auto"/>
          <w:kern w:val="0"/>
          <w:sz w:val="24"/>
          <w:highlight w:val="none"/>
          <w:lang w:val="zh-CN"/>
        </w:rPr>
      </w:pPr>
    </w:p>
    <w:p w14:paraId="6A2D4065">
      <w:pPr>
        <w:autoSpaceDE w:val="0"/>
        <w:autoSpaceDN w:val="0"/>
        <w:spacing w:line="360" w:lineRule="auto"/>
        <w:ind w:left="2"/>
        <w:jc w:val="left"/>
        <w:rPr>
          <w:rFonts w:hint="eastAsia" w:ascii="宋体" w:hAnsi="宋体" w:cs="宋体"/>
          <w:color w:val="auto"/>
          <w:kern w:val="0"/>
          <w:sz w:val="24"/>
          <w:highlight w:val="none"/>
          <w:lang w:val="zh-CN"/>
        </w:rPr>
      </w:pPr>
    </w:p>
    <w:p w14:paraId="650C551B">
      <w:pPr>
        <w:autoSpaceDE w:val="0"/>
        <w:autoSpaceDN w:val="0"/>
        <w:spacing w:line="360" w:lineRule="auto"/>
        <w:ind w:left="2"/>
        <w:jc w:val="left"/>
        <w:rPr>
          <w:rFonts w:hint="eastAsia" w:ascii="宋体" w:hAnsi="宋体" w:cs="宋体"/>
          <w:color w:val="auto"/>
          <w:kern w:val="0"/>
          <w:sz w:val="24"/>
          <w:highlight w:val="none"/>
          <w:lang w:val="zh-CN"/>
        </w:rPr>
      </w:pPr>
    </w:p>
    <w:p w14:paraId="2529D4A9">
      <w:pPr>
        <w:autoSpaceDE w:val="0"/>
        <w:autoSpaceDN w:val="0"/>
        <w:spacing w:line="360" w:lineRule="auto"/>
        <w:ind w:left="2" w:leftChars="1" w:right="1120" w:firstLine="4560" w:firstLineChars="19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供应商名称（</w:t>
      </w:r>
      <w:r>
        <w:rPr>
          <w:rFonts w:hint="eastAsia" w:ascii="宋体" w:hAnsi="宋体" w:cs="宋体"/>
          <w:color w:val="auto"/>
          <w:sz w:val="24"/>
          <w:highlight w:val="none"/>
        </w:rPr>
        <w:t>电子签名</w:t>
      </w:r>
      <w:r>
        <w:rPr>
          <w:rFonts w:hint="eastAsia" w:ascii="宋体" w:hAnsi="宋体" w:cs="宋体"/>
          <w:color w:val="auto"/>
          <w:kern w:val="0"/>
          <w:sz w:val="24"/>
          <w:highlight w:val="none"/>
          <w:lang w:val="zh-CN"/>
        </w:rPr>
        <w:t xml:space="preserve">）：                                                                                                                                                                                                               </w:t>
      </w:r>
    </w:p>
    <w:p w14:paraId="50D027CB">
      <w:pPr>
        <w:spacing w:line="360" w:lineRule="auto"/>
        <w:ind w:left="4620" w:leftChars="2200"/>
        <w:rPr>
          <w:rFonts w:hint="eastAsia" w:ascii="宋体" w:hAnsi="宋体" w:cs="宋体"/>
          <w:color w:val="auto"/>
          <w:sz w:val="24"/>
          <w:highlight w:val="none"/>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 xml:space="preserve">   年   月   日</w:t>
      </w:r>
    </w:p>
    <w:p w14:paraId="5C936CC3">
      <w:pPr>
        <w:spacing w:line="360" w:lineRule="auto"/>
        <w:jc w:val="center"/>
        <w:rPr>
          <w:rFonts w:hint="eastAsia" w:ascii="宋体" w:hAnsi="宋体" w:cs="宋体"/>
          <w:b/>
          <w:bCs/>
          <w:color w:val="auto"/>
          <w:sz w:val="24"/>
          <w:highlight w:val="none"/>
        </w:rPr>
      </w:pPr>
    </w:p>
    <w:p w14:paraId="1EC062C3">
      <w:pPr>
        <w:spacing w:line="360" w:lineRule="auto"/>
        <w:ind w:right="420"/>
        <w:rPr>
          <w:rFonts w:hint="eastAsia" w:ascii="宋体" w:hAnsi="宋体" w:cs="宋体"/>
          <w:color w:val="auto"/>
          <w:sz w:val="24"/>
          <w:highlight w:val="none"/>
        </w:rPr>
      </w:pPr>
      <w:r>
        <w:rPr>
          <w:rFonts w:hint="eastAsia" w:ascii="宋体" w:hAnsi="宋体" w:cs="宋体"/>
          <w:color w:val="auto"/>
          <w:sz w:val="24"/>
          <w:highlight w:val="none"/>
        </w:rPr>
        <w:t>注：按本格式和要求提供。</w:t>
      </w:r>
    </w:p>
    <w:p w14:paraId="55999839">
      <w:pPr>
        <w:spacing w:line="360" w:lineRule="auto"/>
        <w:jc w:val="center"/>
        <w:rPr>
          <w:rFonts w:hint="eastAsia" w:ascii="宋体" w:hAnsi="宋体" w:cs="宋体"/>
          <w:b/>
          <w:bCs/>
          <w:color w:val="auto"/>
          <w:sz w:val="24"/>
          <w:highlight w:val="none"/>
        </w:rPr>
        <w:sectPr>
          <w:pgSz w:w="11906" w:h="16838"/>
          <w:pgMar w:top="1440" w:right="1080" w:bottom="1440" w:left="1080" w:header="851" w:footer="992" w:gutter="0"/>
          <w:cols w:space="720" w:num="1"/>
          <w:titlePg/>
          <w:docGrid w:linePitch="312" w:charSpace="0"/>
        </w:sectPr>
      </w:pPr>
    </w:p>
    <w:p w14:paraId="0071A431">
      <w:pPr>
        <w:spacing w:line="360" w:lineRule="auto"/>
        <w:jc w:val="center"/>
        <w:outlineLvl w:val="0"/>
        <w:rPr>
          <w:rFonts w:hint="eastAsia" w:ascii="宋体" w:hAnsi="宋体" w:cs="宋体"/>
          <w:b/>
          <w:color w:val="auto"/>
          <w:kern w:val="0"/>
          <w:sz w:val="36"/>
          <w:szCs w:val="36"/>
          <w:highlight w:val="none"/>
        </w:rPr>
      </w:pPr>
      <w:bookmarkStart w:id="1045" w:name="_Toc16072"/>
      <w:r>
        <w:rPr>
          <w:rFonts w:hint="eastAsia" w:ascii="宋体" w:hAnsi="宋体" w:cs="宋体"/>
          <w:b/>
          <w:color w:val="auto"/>
          <w:kern w:val="0"/>
          <w:sz w:val="36"/>
          <w:szCs w:val="36"/>
          <w:highlight w:val="none"/>
        </w:rPr>
        <w:t>报价文件部分</w:t>
      </w:r>
      <w:bookmarkEnd w:id="1045"/>
    </w:p>
    <w:p w14:paraId="22B4AB58">
      <w:pPr>
        <w:spacing w:line="360" w:lineRule="auto"/>
        <w:jc w:val="center"/>
        <w:outlineLvl w:val="0"/>
        <w:rPr>
          <w:rFonts w:hint="eastAsia" w:ascii="宋体" w:hAnsi="宋体" w:cs="宋体"/>
          <w:b/>
          <w:color w:val="auto"/>
          <w:kern w:val="0"/>
          <w:sz w:val="36"/>
          <w:szCs w:val="36"/>
          <w:highlight w:val="none"/>
        </w:rPr>
      </w:pPr>
      <w:bookmarkStart w:id="1046" w:name="_Toc16371"/>
      <w:r>
        <w:rPr>
          <w:rFonts w:hint="eastAsia" w:ascii="宋体" w:hAnsi="宋体" w:cs="宋体"/>
          <w:b/>
          <w:color w:val="auto"/>
          <w:kern w:val="0"/>
          <w:sz w:val="36"/>
          <w:szCs w:val="36"/>
          <w:highlight w:val="none"/>
        </w:rPr>
        <w:t>目录</w:t>
      </w:r>
      <w:bookmarkEnd w:id="1046"/>
    </w:p>
    <w:p w14:paraId="081E03A6">
      <w:pPr>
        <w:spacing w:line="360" w:lineRule="auto"/>
        <w:jc w:val="center"/>
        <w:outlineLvl w:val="0"/>
        <w:rPr>
          <w:rFonts w:hint="eastAsia" w:ascii="宋体" w:hAnsi="宋体" w:cs="宋体"/>
          <w:b/>
          <w:color w:val="auto"/>
          <w:kern w:val="0"/>
          <w:sz w:val="36"/>
          <w:szCs w:val="36"/>
          <w:highlight w:val="none"/>
        </w:rPr>
      </w:pPr>
    </w:p>
    <w:p w14:paraId="027EAA86">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（1）报价单…………………………………………………………………………（页码）</w:t>
      </w:r>
    </w:p>
    <w:p w14:paraId="50607CC8">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（2）</w:t>
      </w:r>
      <w:r>
        <w:rPr>
          <w:rFonts w:hint="eastAsia" w:hAnsi="仿宋_GB2312" w:cs="仿宋_GB2312"/>
          <w:bCs/>
          <w:snapToGrid w:val="0"/>
          <w:color w:val="auto"/>
          <w:sz w:val="24"/>
          <w:highlight w:val="none"/>
        </w:rPr>
        <w:t>报价情况说明</w:t>
      </w:r>
      <w:r>
        <w:rPr>
          <w:rFonts w:hint="eastAsia" w:ascii="宋体" w:hAnsi="宋体" w:cs="宋体"/>
          <w:color w:val="auto"/>
          <w:sz w:val="24"/>
          <w:highlight w:val="none"/>
        </w:rPr>
        <w:t>…………………………………………………………………（页码）</w:t>
      </w:r>
    </w:p>
    <w:p w14:paraId="209FD94B">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（3）已标价工程量清单……………………………………………………………（页码）</w:t>
      </w:r>
    </w:p>
    <w:p w14:paraId="2F5FCFC3">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（4）中小企业声明函………………………………………………………………（页码）</w:t>
      </w:r>
    </w:p>
    <w:p w14:paraId="09B24A8E">
      <w:pPr>
        <w:snapToGrid w:val="0"/>
        <w:spacing w:line="360" w:lineRule="auto"/>
        <w:ind w:right="480"/>
        <w:jc w:val="center"/>
        <w:rPr>
          <w:rFonts w:hint="eastAsia" w:ascii="宋体" w:hAnsi="宋体" w:cs="宋体"/>
          <w:b/>
          <w:color w:val="auto"/>
          <w:kern w:val="0"/>
          <w:sz w:val="32"/>
          <w:szCs w:val="32"/>
          <w:highlight w:val="none"/>
        </w:rPr>
      </w:pPr>
    </w:p>
    <w:p w14:paraId="17E2CD7B">
      <w:pPr>
        <w:snapToGrid w:val="0"/>
        <w:spacing w:line="360" w:lineRule="auto"/>
        <w:ind w:right="480"/>
        <w:jc w:val="center"/>
        <w:rPr>
          <w:rFonts w:hint="eastAsia" w:ascii="宋体" w:hAnsi="宋体" w:cs="宋体"/>
          <w:b/>
          <w:color w:val="auto"/>
          <w:kern w:val="0"/>
          <w:sz w:val="32"/>
          <w:szCs w:val="32"/>
          <w:highlight w:val="none"/>
        </w:rPr>
      </w:pPr>
    </w:p>
    <w:p w14:paraId="72F19B62">
      <w:pPr>
        <w:snapToGrid w:val="0"/>
        <w:spacing w:line="360" w:lineRule="auto"/>
        <w:ind w:right="480"/>
        <w:jc w:val="center"/>
        <w:rPr>
          <w:rFonts w:hint="eastAsia" w:ascii="宋体" w:hAnsi="宋体" w:cs="宋体"/>
          <w:b/>
          <w:color w:val="auto"/>
          <w:kern w:val="0"/>
          <w:sz w:val="32"/>
          <w:szCs w:val="32"/>
          <w:highlight w:val="none"/>
        </w:rPr>
      </w:pPr>
    </w:p>
    <w:p w14:paraId="39E2E52E">
      <w:pPr>
        <w:snapToGrid w:val="0"/>
        <w:spacing w:line="360" w:lineRule="auto"/>
        <w:ind w:right="480"/>
        <w:jc w:val="center"/>
        <w:rPr>
          <w:rFonts w:hint="eastAsia" w:ascii="宋体" w:hAnsi="宋体" w:cs="宋体"/>
          <w:b/>
          <w:color w:val="auto"/>
          <w:kern w:val="0"/>
          <w:sz w:val="32"/>
          <w:szCs w:val="32"/>
          <w:highlight w:val="none"/>
        </w:rPr>
      </w:pPr>
    </w:p>
    <w:p w14:paraId="507EE2D0">
      <w:pPr>
        <w:snapToGrid w:val="0"/>
        <w:spacing w:line="360" w:lineRule="auto"/>
        <w:ind w:right="480"/>
        <w:jc w:val="center"/>
        <w:rPr>
          <w:rFonts w:hint="eastAsia" w:ascii="宋体" w:hAnsi="宋体" w:cs="宋体"/>
          <w:b/>
          <w:color w:val="auto"/>
          <w:kern w:val="0"/>
          <w:sz w:val="32"/>
          <w:szCs w:val="32"/>
          <w:highlight w:val="none"/>
        </w:rPr>
      </w:pPr>
    </w:p>
    <w:p w14:paraId="2ED01BE2">
      <w:pPr>
        <w:snapToGrid w:val="0"/>
        <w:spacing w:line="360" w:lineRule="auto"/>
        <w:ind w:right="480"/>
        <w:jc w:val="center"/>
        <w:rPr>
          <w:rFonts w:hint="eastAsia" w:ascii="宋体" w:hAnsi="宋体" w:cs="宋体"/>
          <w:b/>
          <w:color w:val="auto"/>
          <w:kern w:val="0"/>
          <w:sz w:val="32"/>
          <w:szCs w:val="32"/>
          <w:highlight w:val="none"/>
        </w:rPr>
      </w:pPr>
    </w:p>
    <w:p w14:paraId="00CA6A2C">
      <w:pPr>
        <w:snapToGrid w:val="0"/>
        <w:spacing w:line="360" w:lineRule="auto"/>
        <w:ind w:right="480"/>
        <w:jc w:val="center"/>
        <w:rPr>
          <w:rFonts w:hint="eastAsia" w:ascii="宋体" w:hAnsi="宋体" w:cs="宋体"/>
          <w:b/>
          <w:color w:val="auto"/>
          <w:kern w:val="0"/>
          <w:sz w:val="32"/>
          <w:szCs w:val="32"/>
          <w:highlight w:val="none"/>
        </w:rPr>
      </w:pPr>
    </w:p>
    <w:p w14:paraId="7057CEE2">
      <w:pPr>
        <w:snapToGrid w:val="0"/>
        <w:spacing w:line="360" w:lineRule="auto"/>
        <w:ind w:right="480"/>
        <w:jc w:val="center"/>
        <w:rPr>
          <w:rFonts w:hint="eastAsia" w:ascii="宋体" w:hAnsi="宋体" w:cs="宋体"/>
          <w:b/>
          <w:color w:val="auto"/>
          <w:kern w:val="0"/>
          <w:sz w:val="32"/>
          <w:szCs w:val="32"/>
          <w:highlight w:val="none"/>
        </w:rPr>
      </w:pPr>
    </w:p>
    <w:p w14:paraId="73A89715">
      <w:pPr>
        <w:snapToGrid w:val="0"/>
        <w:spacing w:line="360" w:lineRule="auto"/>
        <w:ind w:right="480"/>
        <w:jc w:val="center"/>
        <w:rPr>
          <w:rFonts w:hint="eastAsia" w:ascii="宋体" w:hAnsi="宋体" w:cs="宋体"/>
          <w:b/>
          <w:color w:val="auto"/>
          <w:kern w:val="0"/>
          <w:sz w:val="32"/>
          <w:szCs w:val="32"/>
          <w:highlight w:val="none"/>
        </w:rPr>
      </w:pPr>
    </w:p>
    <w:p w14:paraId="25B8E410">
      <w:pPr>
        <w:snapToGrid w:val="0"/>
        <w:spacing w:line="360" w:lineRule="auto"/>
        <w:ind w:right="480"/>
        <w:jc w:val="center"/>
        <w:rPr>
          <w:rFonts w:hint="eastAsia" w:ascii="宋体" w:hAnsi="宋体" w:cs="宋体"/>
          <w:b/>
          <w:color w:val="auto"/>
          <w:kern w:val="0"/>
          <w:sz w:val="32"/>
          <w:szCs w:val="32"/>
          <w:highlight w:val="none"/>
        </w:rPr>
      </w:pPr>
    </w:p>
    <w:p w14:paraId="4111EEC9">
      <w:pPr>
        <w:snapToGrid w:val="0"/>
        <w:spacing w:line="360" w:lineRule="auto"/>
        <w:ind w:right="480"/>
        <w:jc w:val="center"/>
        <w:rPr>
          <w:rFonts w:hint="eastAsia" w:ascii="宋体" w:hAnsi="宋体" w:cs="宋体"/>
          <w:b/>
          <w:color w:val="auto"/>
          <w:kern w:val="0"/>
          <w:sz w:val="32"/>
          <w:szCs w:val="32"/>
          <w:highlight w:val="none"/>
        </w:rPr>
      </w:pPr>
    </w:p>
    <w:p w14:paraId="68027EF7">
      <w:pPr>
        <w:snapToGrid w:val="0"/>
        <w:spacing w:line="360" w:lineRule="auto"/>
        <w:ind w:right="480"/>
        <w:jc w:val="center"/>
        <w:rPr>
          <w:rFonts w:hint="eastAsia" w:ascii="宋体" w:hAnsi="宋体" w:cs="宋体"/>
          <w:b/>
          <w:color w:val="auto"/>
          <w:kern w:val="0"/>
          <w:sz w:val="32"/>
          <w:szCs w:val="32"/>
          <w:highlight w:val="none"/>
        </w:rPr>
      </w:pPr>
    </w:p>
    <w:p w14:paraId="42CDC3CA">
      <w:pPr>
        <w:snapToGrid w:val="0"/>
        <w:spacing w:line="360" w:lineRule="auto"/>
        <w:ind w:right="480"/>
        <w:jc w:val="center"/>
        <w:rPr>
          <w:rFonts w:hint="eastAsia" w:ascii="宋体" w:hAnsi="宋体" w:cs="宋体"/>
          <w:b/>
          <w:color w:val="auto"/>
          <w:kern w:val="0"/>
          <w:sz w:val="32"/>
          <w:szCs w:val="32"/>
          <w:highlight w:val="none"/>
        </w:rPr>
      </w:pPr>
    </w:p>
    <w:p w14:paraId="6ADCF219">
      <w:pPr>
        <w:snapToGrid w:val="0"/>
        <w:spacing w:line="360" w:lineRule="auto"/>
        <w:ind w:right="480"/>
        <w:jc w:val="center"/>
        <w:rPr>
          <w:rFonts w:hint="eastAsia" w:ascii="宋体" w:hAnsi="宋体" w:cs="宋体"/>
          <w:b/>
          <w:color w:val="auto"/>
          <w:kern w:val="0"/>
          <w:sz w:val="32"/>
          <w:szCs w:val="32"/>
          <w:highlight w:val="none"/>
        </w:rPr>
      </w:pPr>
    </w:p>
    <w:p w14:paraId="3940A17E">
      <w:pPr>
        <w:snapToGrid w:val="0"/>
        <w:spacing w:line="360" w:lineRule="auto"/>
        <w:ind w:right="480"/>
        <w:jc w:val="center"/>
        <w:rPr>
          <w:rFonts w:hint="eastAsia" w:ascii="宋体" w:hAnsi="宋体" w:cs="宋体"/>
          <w:b/>
          <w:color w:val="auto"/>
          <w:kern w:val="0"/>
          <w:sz w:val="32"/>
          <w:szCs w:val="32"/>
          <w:highlight w:val="none"/>
        </w:rPr>
      </w:pPr>
    </w:p>
    <w:p w14:paraId="7F8034B6">
      <w:pPr>
        <w:pStyle w:val="696"/>
        <w:keepNext w:val="0"/>
        <w:pageBreakBefore w:val="0"/>
        <w:tabs>
          <w:tab w:val="clear" w:pos="720"/>
        </w:tabs>
        <w:snapToGrid w:val="0"/>
        <w:spacing w:before="120" w:after="120"/>
        <w:ind w:firstLine="643"/>
        <w:outlineLvl w:val="9"/>
        <w:rPr>
          <w:rFonts w:hint="eastAsia" w:ascii="宋体" w:hAnsi="宋体" w:eastAsia="宋体" w:cs="宋体"/>
          <w:color w:val="auto"/>
          <w:kern w:val="2"/>
          <w:sz w:val="32"/>
          <w:szCs w:val="32"/>
          <w:highlight w:val="none"/>
        </w:rPr>
        <w:sectPr>
          <w:footerReference r:id="rId19" w:type="first"/>
          <w:headerReference r:id="rId17" w:type="default"/>
          <w:footerReference r:id="rId18" w:type="default"/>
          <w:pgSz w:w="11906" w:h="16838"/>
          <w:pgMar w:top="1440" w:right="1080" w:bottom="1440" w:left="1080" w:header="851" w:footer="992" w:gutter="0"/>
          <w:cols w:space="720" w:num="1"/>
          <w:titlePg/>
          <w:docGrid w:linePitch="312" w:charSpace="0"/>
        </w:sectPr>
      </w:pPr>
    </w:p>
    <w:p w14:paraId="7473376E">
      <w:pPr>
        <w:pStyle w:val="696"/>
        <w:keepNext w:val="0"/>
        <w:pageBreakBefore w:val="0"/>
        <w:tabs>
          <w:tab w:val="clear" w:pos="720"/>
        </w:tabs>
        <w:snapToGrid w:val="0"/>
        <w:spacing w:before="120" w:after="120"/>
        <w:ind w:firstLine="643"/>
        <w:outlineLvl w:val="9"/>
        <w:rPr>
          <w:rFonts w:hint="eastAsia" w:ascii="宋体" w:hAnsi="宋体" w:eastAsia="宋体" w:cs="宋体"/>
          <w:color w:val="auto"/>
          <w:kern w:val="2"/>
          <w:sz w:val="32"/>
          <w:szCs w:val="32"/>
          <w:highlight w:val="none"/>
        </w:rPr>
      </w:pPr>
      <w:bookmarkStart w:id="1047" w:name="_Toc9306"/>
      <w:r>
        <w:rPr>
          <w:rFonts w:hint="eastAsia" w:ascii="宋体" w:hAnsi="宋体" w:eastAsia="宋体" w:cs="宋体"/>
          <w:color w:val="auto"/>
          <w:kern w:val="2"/>
          <w:sz w:val="32"/>
          <w:szCs w:val="32"/>
          <w:highlight w:val="none"/>
        </w:rPr>
        <w:t>一、报价单</w:t>
      </w:r>
      <w:bookmarkEnd w:id="1047"/>
    </w:p>
    <w:p w14:paraId="032266FC">
      <w:pPr>
        <w:snapToGrid w:val="0"/>
        <w:spacing w:line="360" w:lineRule="auto"/>
        <w:rPr>
          <w:rFonts w:hint="eastAsia"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14:paraId="59D573F0">
      <w:pPr>
        <w:snapToGrid w:val="0"/>
        <w:spacing w:line="360" w:lineRule="auto"/>
        <w:ind w:firstLine="482"/>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按你方采购文件要求，我们，本响应文件签字方，谨此向你方发出要约如下：如你方接受本投标，我方承诺按照如下报价单的价格完成</w:t>
      </w:r>
      <w:r>
        <w:rPr>
          <w:rFonts w:hint="eastAsia" w:ascii="宋体" w:hAnsi="宋体" w:cs="宋体"/>
          <w:color w:val="auto"/>
          <w:sz w:val="24"/>
          <w:highlight w:val="none"/>
        </w:rPr>
        <w:t>（项目名称）</w:t>
      </w:r>
      <w:r>
        <w:rPr>
          <w:rFonts w:hint="eastAsia" w:ascii="宋体" w:hAnsi="宋体" w:cs="宋体"/>
          <w:color w:val="auto"/>
          <w:kern w:val="0"/>
          <w:sz w:val="24"/>
          <w:highlight w:val="none"/>
          <w:lang w:val="zh-CN"/>
        </w:rPr>
        <w:t>【项目编号：</w:t>
      </w:r>
      <w:r>
        <w:rPr>
          <w:rFonts w:hint="eastAsia" w:ascii="宋体" w:hAnsi="宋体" w:cs="宋体"/>
          <w:color w:val="auto"/>
          <w:sz w:val="24"/>
          <w:highlight w:val="none"/>
        </w:rPr>
        <w:t>（采购编号）】的实施</w:t>
      </w:r>
      <w:r>
        <w:rPr>
          <w:rFonts w:hint="eastAsia" w:ascii="宋体" w:hAnsi="宋体" w:cs="宋体"/>
          <w:color w:val="auto"/>
          <w:kern w:val="0"/>
          <w:sz w:val="24"/>
          <w:highlight w:val="none"/>
          <w:lang w:val="zh-CN"/>
        </w:rPr>
        <w:t>。</w:t>
      </w:r>
    </w:p>
    <w:p w14:paraId="6CCDA656">
      <w:pPr>
        <w:spacing w:line="360" w:lineRule="auto"/>
        <w:jc w:val="center"/>
        <w:rPr>
          <w:rFonts w:hint="eastAsia" w:ascii="宋体" w:hAnsi="宋体" w:cs="宋体"/>
          <w:b/>
          <w:color w:val="auto"/>
          <w:kern w:val="0"/>
          <w:sz w:val="24"/>
          <w:highlight w:val="none"/>
          <w:lang w:val="zh-CN"/>
        </w:rPr>
      </w:pPr>
      <w:r>
        <w:rPr>
          <w:rFonts w:hint="eastAsia" w:ascii="宋体" w:hAnsi="宋体" w:cs="宋体"/>
          <w:b/>
          <w:color w:val="auto"/>
          <w:kern w:val="0"/>
          <w:sz w:val="24"/>
          <w:highlight w:val="none"/>
          <w:lang w:val="zh-CN"/>
        </w:rPr>
        <w:t>报价单(单位均为人民币元)</w:t>
      </w:r>
    </w:p>
    <w:tbl>
      <w:tblPr>
        <w:tblStyle w:val="63"/>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843"/>
        <w:gridCol w:w="1247"/>
        <w:gridCol w:w="1427"/>
        <w:gridCol w:w="1684"/>
        <w:gridCol w:w="1760"/>
      </w:tblGrid>
      <w:tr w14:paraId="71B92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jc w:val="center"/>
        </w:trPr>
        <w:tc>
          <w:tcPr>
            <w:tcW w:w="1951" w:type="dxa"/>
            <w:vAlign w:val="center"/>
          </w:tcPr>
          <w:p w14:paraId="2873348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项目名称</w:t>
            </w:r>
          </w:p>
        </w:tc>
        <w:tc>
          <w:tcPr>
            <w:tcW w:w="1843" w:type="dxa"/>
          </w:tcPr>
          <w:p w14:paraId="66B28EC8">
            <w:pPr>
              <w:spacing w:line="360" w:lineRule="auto"/>
              <w:jc w:val="center"/>
              <w:rPr>
                <w:rFonts w:hint="eastAsia" w:ascii="宋体" w:hAnsi="宋体" w:cs="宋体"/>
                <w:b/>
                <w:color w:val="auto"/>
                <w:sz w:val="24"/>
                <w:highlight w:val="none"/>
              </w:rPr>
            </w:pPr>
          </w:p>
          <w:p w14:paraId="6B1C7EE6">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施工范围</w:t>
            </w:r>
          </w:p>
        </w:tc>
        <w:tc>
          <w:tcPr>
            <w:tcW w:w="1247" w:type="dxa"/>
            <w:vAlign w:val="center"/>
          </w:tcPr>
          <w:p w14:paraId="3F3D1B24">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施工工期</w:t>
            </w:r>
          </w:p>
        </w:tc>
        <w:tc>
          <w:tcPr>
            <w:tcW w:w="1427" w:type="dxa"/>
            <w:vAlign w:val="center"/>
          </w:tcPr>
          <w:p w14:paraId="264708F9">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项目经理</w:t>
            </w:r>
          </w:p>
        </w:tc>
        <w:tc>
          <w:tcPr>
            <w:tcW w:w="1684" w:type="dxa"/>
            <w:vAlign w:val="center"/>
          </w:tcPr>
          <w:p w14:paraId="0E300A9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执业证书信息</w:t>
            </w:r>
          </w:p>
        </w:tc>
        <w:tc>
          <w:tcPr>
            <w:tcW w:w="1760" w:type="dxa"/>
            <w:vAlign w:val="center"/>
          </w:tcPr>
          <w:p w14:paraId="6412AC9A">
            <w:pPr>
              <w:spacing w:line="360" w:lineRule="auto"/>
              <w:jc w:val="center"/>
              <w:rPr>
                <w:rFonts w:hint="eastAsia" w:ascii="宋体" w:hAnsi="宋体" w:cs="宋体"/>
                <w:b/>
                <w:color w:val="auto"/>
                <w:sz w:val="24"/>
                <w:highlight w:val="none"/>
              </w:rPr>
            </w:pPr>
          </w:p>
          <w:p w14:paraId="3B746BCF">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备注（如果有）</w:t>
            </w:r>
          </w:p>
          <w:p w14:paraId="7C58B232">
            <w:pPr>
              <w:spacing w:line="360" w:lineRule="auto"/>
              <w:jc w:val="center"/>
              <w:rPr>
                <w:rFonts w:hint="eastAsia" w:ascii="宋体" w:hAnsi="宋体" w:cs="宋体"/>
                <w:b/>
                <w:color w:val="auto"/>
                <w:sz w:val="24"/>
                <w:highlight w:val="none"/>
              </w:rPr>
            </w:pPr>
          </w:p>
        </w:tc>
      </w:tr>
      <w:tr w14:paraId="77039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951" w:type="dxa"/>
            <w:vAlign w:val="center"/>
          </w:tcPr>
          <w:p w14:paraId="67CFCA00">
            <w:pPr>
              <w:snapToGrid w:val="0"/>
              <w:spacing w:line="360" w:lineRule="auto"/>
              <w:jc w:val="center"/>
              <w:rPr>
                <w:rFonts w:hint="eastAsia" w:ascii="宋体" w:hAnsi="宋体" w:cs="宋体"/>
                <w:color w:val="auto"/>
                <w:sz w:val="24"/>
                <w:highlight w:val="none"/>
              </w:rPr>
            </w:pPr>
          </w:p>
        </w:tc>
        <w:tc>
          <w:tcPr>
            <w:tcW w:w="1843" w:type="dxa"/>
            <w:vAlign w:val="center"/>
          </w:tcPr>
          <w:p w14:paraId="298541D6">
            <w:pPr>
              <w:snapToGrid w:val="0"/>
              <w:spacing w:line="360" w:lineRule="auto"/>
              <w:jc w:val="center"/>
              <w:rPr>
                <w:rFonts w:hint="eastAsia" w:ascii="宋体" w:hAnsi="宋体" w:cs="宋体"/>
                <w:color w:val="auto"/>
                <w:sz w:val="24"/>
                <w:highlight w:val="none"/>
              </w:rPr>
            </w:pPr>
          </w:p>
        </w:tc>
        <w:tc>
          <w:tcPr>
            <w:tcW w:w="1247" w:type="dxa"/>
            <w:vAlign w:val="center"/>
          </w:tcPr>
          <w:p w14:paraId="783B6E6E">
            <w:pPr>
              <w:snapToGrid w:val="0"/>
              <w:spacing w:line="360" w:lineRule="auto"/>
              <w:jc w:val="center"/>
              <w:rPr>
                <w:rFonts w:hint="eastAsia" w:ascii="宋体" w:hAnsi="宋体" w:cs="宋体"/>
                <w:color w:val="auto"/>
                <w:sz w:val="24"/>
                <w:highlight w:val="none"/>
              </w:rPr>
            </w:pPr>
          </w:p>
        </w:tc>
        <w:tc>
          <w:tcPr>
            <w:tcW w:w="1427" w:type="dxa"/>
            <w:vAlign w:val="center"/>
          </w:tcPr>
          <w:p w14:paraId="1B085AF0">
            <w:pPr>
              <w:spacing w:line="360" w:lineRule="auto"/>
              <w:jc w:val="center"/>
              <w:rPr>
                <w:rFonts w:hint="eastAsia" w:ascii="宋体" w:hAnsi="宋体" w:cs="宋体"/>
                <w:color w:val="auto"/>
                <w:sz w:val="24"/>
                <w:highlight w:val="none"/>
              </w:rPr>
            </w:pPr>
          </w:p>
        </w:tc>
        <w:tc>
          <w:tcPr>
            <w:tcW w:w="1684" w:type="dxa"/>
            <w:vAlign w:val="center"/>
          </w:tcPr>
          <w:p w14:paraId="2A956F19">
            <w:pPr>
              <w:spacing w:line="360" w:lineRule="auto"/>
              <w:jc w:val="center"/>
              <w:rPr>
                <w:rFonts w:hint="eastAsia" w:ascii="宋体" w:hAnsi="宋体" w:cs="宋体"/>
                <w:color w:val="auto"/>
                <w:sz w:val="24"/>
                <w:highlight w:val="none"/>
              </w:rPr>
            </w:pPr>
          </w:p>
        </w:tc>
        <w:tc>
          <w:tcPr>
            <w:tcW w:w="1760" w:type="dxa"/>
            <w:vAlign w:val="center"/>
          </w:tcPr>
          <w:p w14:paraId="41D3D79E">
            <w:pPr>
              <w:spacing w:line="360" w:lineRule="auto"/>
              <w:jc w:val="center"/>
              <w:rPr>
                <w:rFonts w:hint="eastAsia" w:ascii="宋体" w:hAnsi="宋体" w:cs="宋体"/>
                <w:color w:val="auto"/>
                <w:sz w:val="24"/>
                <w:highlight w:val="none"/>
              </w:rPr>
            </w:pPr>
          </w:p>
        </w:tc>
      </w:tr>
      <w:tr w14:paraId="3185A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5041" w:type="dxa"/>
            <w:gridSpan w:val="3"/>
            <w:vAlign w:val="center"/>
          </w:tcPr>
          <w:p w14:paraId="5EEFECCD">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磋商报价（小写）</w:t>
            </w:r>
          </w:p>
        </w:tc>
        <w:tc>
          <w:tcPr>
            <w:tcW w:w="4871" w:type="dxa"/>
            <w:gridSpan w:val="3"/>
            <w:vAlign w:val="center"/>
          </w:tcPr>
          <w:p w14:paraId="355C5069">
            <w:pPr>
              <w:spacing w:line="360" w:lineRule="auto"/>
              <w:jc w:val="center"/>
              <w:rPr>
                <w:rFonts w:hint="eastAsia" w:ascii="宋体" w:hAnsi="宋体" w:cs="宋体"/>
                <w:color w:val="auto"/>
                <w:sz w:val="24"/>
                <w:highlight w:val="none"/>
              </w:rPr>
            </w:pPr>
          </w:p>
        </w:tc>
      </w:tr>
      <w:tr w14:paraId="7FC9F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5041" w:type="dxa"/>
            <w:gridSpan w:val="3"/>
            <w:vAlign w:val="center"/>
          </w:tcPr>
          <w:p w14:paraId="6E82AE9F">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磋商报价（大写）</w:t>
            </w:r>
          </w:p>
        </w:tc>
        <w:tc>
          <w:tcPr>
            <w:tcW w:w="4871" w:type="dxa"/>
            <w:gridSpan w:val="3"/>
            <w:vAlign w:val="center"/>
          </w:tcPr>
          <w:p w14:paraId="267208D8">
            <w:pPr>
              <w:spacing w:line="360" w:lineRule="auto"/>
              <w:jc w:val="center"/>
              <w:rPr>
                <w:rFonts w:hint="eastAsia" w:ascii="宋体" w:hAnsi="宋体" w:cs="宋体"/>
                <w:color w:val="auto"/>
                <w:sz w:val="24"/>
                <w:highlight w:val="none"/>
              </w:rPr>
            </w:pPr>
          </w:p>
        </w:tc>
      </w:tr>
    </w:tbl>
    <w:p w14:paraId="02E28674">
      <w:pPr>
        <w:snapToGrid w:val="0"/>
        <w:spacing w:line="360" w:lineRule="auto"/>
        <w:ind w:left="480"/>
        <w:rPr>
          <w:rFonts w:hint="eastAsia" w:ascii="宋体" w:hAnsi="宋体" w:cs="宋体"/>
          <w:b/>
          <w:color w:val="auto"/>
          <w:kern w:val="0"/>
          <w:sz w:val="24"/>
          <w:highlight w:val="none"/>
          <w:lang w:val="zh-CN"/>
        </w:rPr>
      </w:pPr>
      <w:r>
        <w:rPr>
          <w:rFonts w:hint="eastAsia" w:ascii="宋体" w:hAnsi="宋体" w:cs="宋体"/>
          <w:b/>
          <w:color w:val="auto"/>
          <w:kern w:val="0"/>
          <w:sz w:val="24"/>
          <w:highlight w:val="none"/>
          <w:lang w:val="zh-CN"/>
        </w:rPr>
        <w:t>注：</w:t>
      </w:r>
    </w:p>
    <w:p w14:paraId="474CB288">
      <w:pPr>
        <w:spacing w:line="360" w:lineRule="auto"/>
        <w:ind w:left="-2" w:leftChars="-1" w:firstLine="480" w:firstLineChars="200"/>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1、供应商需按本表格式填写</w:t>
      </w:r>
      <w:r>
        <w:rPr>
          <w:rFonts w:hint="eastAsia" w:ascii="宋体" w:hAnsi="宋体" w:cs="宋体"/>
          <w:b/>
          <w:color w:val="auto"/>
          <w:kern w:val="0"/>
          <w:sz w:val="24"/>
          <w:highlight w:val="none"/>
          <w:lang w:val="zh-CN"/>
        </w:rPr>
        <w:t>，</w:t>
      </w:r>
      <w:r>
        <w:rPr>
          <w:rFonts w:hint="eastAsia" w:ascii="宋体" w:hAnsi="宋体" w:cs="宋体"/>
          <w:b/>
          <w:color w:val="auto"/>
          <w:kern w:val="0"/>
          <w:sz w:val="24"/>
          <w:highlight w:val="none"/>
        </w:rPr>
        <w:t>否则视为</w:t>
      </w:r>
      <w:r>
        <w:rPr>
          <w:rFonts w:hint="eastAsia" w:ascii="宋体" w:hAnsi="宋体" w:cs="宋体"/>
          <w:b/>
          <w:color w:val="auto"/>
          <w:sz w:val="24"/>
          <w:highlight w:val="none"/>
        </w:rPr>
        <w:t>响应文件含有采购人不能接受的附加条件，响应文件无效</w:t>
      </w:r>
      <w:r>
        <w:rPr>
          <w:rFonts w:hint="eastAsia" w:ascii="宋体" w:hAnsi="宋体" w:cs="宋体"/>
          <w:color w:val="auto"/>
          <w:kern w:val="0"/>
          <w:sz w:val="24"/>
          <w:highlight w:val="none"/>
          <w:lang w:val="zh-CN"/>
        </w:rPr>
        <w:t>。</w:t>
      </w:r>
    </w:p>
    <w:p w14:paraId="6469F38F">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zh-CN"/>
        </w:rPr>
        <w:t>2、有关本项目实施所涉及的一切费用均计入报价。</w:t>
      </w:r>
      <w:r>
        <w:rPr>
          <w:rFonts w:hint="eastAsia" w:ascii="宋体" w:hAnsi="宋体" w:cs="宋体"/>
          <w:color w:val="auto"/>
          <w:kern w:val="0"/>
          <w:sz w:val="24"/>
          <w:highlight w:val="none"/>
        </w:rPr>
        <w:t>采购人不得向供应商索要或者接受供应商给予的赠品、回扣或者与采购无关的其他商品、服务；如供应商承诺提供赠品、回扣、采购预算中本身不包含的其他商品或服务，视作无效承诺，不得因无效承诺对供应商实行差别待遇或者歧视待遇，也不得将其作为中标（成交）条件或者合同签订条件；总价不为零，报价明细表中部分产品、服务单价为零的，视作已包含在总价中。</w:t>
      </w:r>
      <w:r>
        <w:rPr>
          <w:rFonts w:hint="eastAsia" w:ascii="宋体" w:hAnsi="宋体" w:cs="宋体"/>
          <w:b/>
          <w:color w:val="auto"/>
          <w:kern w:val="0"/>
          <w:sz w:val="24"/>
          <w:highlight w:val="none"/>
          <w:lang w:val="zh-CN"/>
        </w:rPr>
        <w:t>采购内容未包含在《报价单》名称栏中，供应商不能作出合理解释的，</w:t>
      </w:r>
      <w:r>
        <w:rPr>
          <w:rFonts w:hint="eastAsia" w:ascii="宋体" w:hAnsi="宋体" w:cs="宋体"/>
          <w:b/>
          <w:color w:val="auto"/>
          <w:kern w:val="0"/>
          <w:sz w:val="24"/>
          <w:highlight w:val="none"/>
        </w:rPr>
        <w:t>视为</w:t>
      </w:r>
      <w:r>
        <w:rPr>
          <w:rFonts w:hint="eastAsia" w:ascii="宋体" w:hAnsi="宋体" w:cs="宋体"/>
          <w:b/>
          <w:color w:val="auto"/>
          <w:sz w:val="24"/>
          <w:highlight w:val="none"/>
        </w:rPr>
        <w:t>响应文件含有采购人不能接受的附加条件的，响应文件无效。</w:t>
      </w:r>
    </w:p>
    <w:p w14:paraId="4FB191DC">
      <w:pPr>
        <w:snapToGrid w:val="0"/>
        <w:spacing w:line="360" w:lineRule="auto"/>
        <w:ind w:firstLine="480" w:firstLineChars="200"/>
        <w:jc w:val="left"/>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3、特别提示：采购代理机构将对项目名称和项目编号，成交供应商名称、地址和成交金额、施工范围、施工工期、项目经理、执业证书信息、品牌（如果有）、规格型号、数量、单价等予以公示。</w:t>
      </w:r>
    </w:p>
    <w:p w14:paraId="6A3587C0">
      <w:pPr>
        <w:snapToGrid w:val="0"/>
        <w:spacing w:line="360" w:lineRule="auto"/>
        <w:ind w:firstLine="480" w:firstLineChars="200"/>
        <w:jc w:val="left"/>
        <w:rPr>
          <w:rFonts w:hint="eastAsia" w:ascii="宋体" w:hAnsi="宋体" w:cs="宋体"/>
          <w:b/>
          <w:color w:val="auto"/>
          <w:kern w:val="0"/>
          <w:sz w:val="24"/>
          <w:highlight w:val="none"/>
        </w:rPr>
      </w:pPr>
      <w:r>
        <w:rPr>
          <w:rFonts w:ascii="宋体" w:hAnsi="宋体" w:cs="宋体"/>
          <w:color w:val="auto"/>
          <w:kern w:val="0"/>
          <w:sz w:val="24"/>
          <w:szCs w:val="22"/>
          <w:highlight w:val="none"/>
          <w:lang w:val="zh-CN"/>
        </w:rPr>
        <w:t>4</w:t>
      </w:r>
      <w:r>
        <w:rPr>
          <w:rFonts w:hint="eastAsia" w:ascii="宋体" w:hAnsi="宋体" w:cs="宋体"/>
          <w:color w:val="auto"/>
          <w:kern w:val="0"/>
          <w:sz w:val="24"/>
          <w:szCs w:val="22"/>
          <w:highlight w:val="none"/>
          <w:lang w:val="zh-CN"/>
        </w:rPr>
        <w:t>、</w:t>
      </w:r>
      <w:r>
        <w:rPr>
          <w:rFonts w:hint="eastAsia" w:ascii="宋体" w:hAnsi="宋体" w:cs="宋体"/>
          <w:color w:val="auto"/>
          <w:kern w:val="0"/>
          <w:sz w:val="24"/>
          <w:highlight w:val="none"/>
          <w:lang w:val="zh-CN"/>
        </w:rPr>
        <w:t>符合采购文件中列明的可享受中小企业扶持政策的供应商，请填写中小企业声明函。注：供应商提供的中小企业声明函内容不实的，属于提供虚假材料谋取中标、成交，依照《中华人民共和国政府采购法》等国家有关规定追究相应责任。</w:t>
      </w:r>
    </w:p>
    <w:p w14:paraId="22A5C0FF">
      <w:pPr>
        <w:pStyle w:val="696"/>
        <w:keepNext w:val="0"/>
        <w:tabs>
          <w:tab w:val="clear" w:pos="720"/>
        </w:tabs>
        <w:snapToGrid w:val="0"/>
        <w:spacing w:before="120" w:after="120"/>
        <w:outlineLvl w:val="9"/>
        <w:rPr>
          <w:rFonts w:hint="eastAsia" w:ascii="宋体" w:hAnsi="宋体" w:eastAsia="宋体" w:cs="宋体"/>
          <w:color w:val="auto"/>
          <w:kern w:val="2"/>
          <w:sz w:val="32"/>
          <w:szCs w:val="32"/>
          <w:highlight w:val="none"/>
        </w:rPr>
      </w:pPr>
      <w:r>
        <w:rPr>
          <w:rFonts w:hint="eastAsia" w:ascii="宋体" w:hAnsi="宋体" w:eastAsia="宋体" w:cs="宋体"/>
          <w:color w:val="auto"/>
          <w:kern w:val="2"/>
          <w:sz w:val="32"/>
          <w:szCs w:val="32"/>
          <w:highlight w:val="none"/>
        </w:rPr>
        <w:t>二、报价情况说明（如果有）</w:t>
      </w:r>
    </w:p>
    <w:p w14:paraId="4BE9ADDC">
      <w:pPr>
        <w:snapToGrid w:val="0"/>
        <w:spacing w:before="120" w:after="120"/>
        <w:rPr>
          <w:color w:val="auto"/>
          <w:highlight w:val="none"/>
        </w:rPr>
      </w:pPr>
    </w:p>
    <w:p w14:paraId="5EBFA5BD">
      <w:pPr>
        <w:tabs>
          <w:tab w:val="left" w:pos="1313"/>
        </w:tabs>
        <w:snapToGrid w:val="0"/>
        <w:spacing w:before="120" w:after="120"/>
        <w:jc w:val="left"/>
        <w:rPr>
          <w:rFonts w:hint="eastAsia" w:ascii="宋体" w:hAnsi="宋体" w:cs="宋体"/>
          <w:color w:val="auto"/>
          <w:sz w:val="24"/>
          <w:highlight w:val="none"/>
        </w:rPr>
      </w:pPr>
      <w:r>
        <w:rPr>
          <w:rFonts w:hint="eastAsia" w:ascii="宋体" w:hAnsi="宋体" w:cs="宋体"/>
          <w:color w:val="auto"/>
          <w:sz w:val="24"/>
          <w:highlight w:val="none"/>
        </w:rPr>
        <w:t>（如供应商报价低于项目预算50%的，应当提交本文档，详细阐述不影响产品质量或者诚信履约的具体原因）</w:t>
      </w:r>
    </w:p>
    <w:p w14:paraId="7946352C">
      <w:pPr>
        <w:pStyle w:val="696"/>
        <w:keepNext w:val="0"/>
        <w:pageBreakBefore w:val="0"/>
        <w:tabs>
          <w:tab w:val="clear" w:pos="720"/>
        </w:tabs>
        <w:snapToGrid w:val="0"/>
        <w:spacing w:before="120" w:after="120"/>
        <w:ind w:firstLine="643"/>
        <w:outlineLvl w:val="9"/>
        <w:rPr>
          <w:rFonts w:hint="eastAsia" w:ascii="宋体" w:hAnsi="宋体" w:eastAsia="宋体" w:cs="宋体"/>
          <w:color w:val="auto"/>
          <w:kern w:val="2"/>
          <w:sz w:val="32"/>
          <w:szCs w:val="32"/>
          <w:highlight w:val="none"/>
        </w:rPr>
      </w:pPr>
    </w:p>
    <w:p w14:paraId="1572E04F">
      <w:pPr>
        <w:pStyle w:val="696"/>
        <w:keepNext w:val="0"/>
        <w:pageBreakBefore w:val="0"/>
        <w:tabs>
          <w:tab w:val="clear" w:pos="720"/>
        </w:tabs>
        <w:snapToGrid w:val="0"/>
        <w:spacing w:before="120" w:after="120"/>
        <w:ind w:firstLine="643"/>
        <w:outlineLvl w:val="9"/>
        <w:rPr>
          <w:rFonts w:hint="eastAsia" w:ascii="宋体" w:hAnsi="宋体" w:eastAsia="宋体" w:cs="宋体"/>
          <w:color w:val="auto"/>
          <w:kern w:val="2"/>
          <w:sz w:val="32"/>
          <w:szCs w:val="32"/>
          <w:highlight w:val="none"/>
        </w:rPr>
        <w:sectPr>
          <w:pgSz w:w="11906" w:h="16838"/>
          <w:pgMar w:top="1080" w:right="1440" w:bottom="1080" w:left="1440" w:header="851" w:footer="992" w:gutter="0"/>
          <w:cols w:space="720" w:num="1"/>
          <w:titlePg/>
          <w:docGrid w:linePitch="312" w:charSpace="0"/>
        </w:sectPr>
      </w:pPr>
    </w:p>
    <w:p w14:paraId="7313EBF8">
      <w:pPr>
        <w:pStyle w:val="696"/>
        <w:keepNext w:val="0"/>
        <w:pageBreakBefore w:val="0"/>
        <w:tabs>
          <w:tab w:val="clear" w:pos="720"/>
        </w:tabs>
        <w:snapToGrid w:val="0"/>
        <w:spacing w:before="120" w:after="120"/>
        <w:outlineLvl w:val="9"/>
        <w:rPr>
          <w:rFonts w:hint="eastAsia" w:ascii="宋体" w:hAnsi="宋体" w:eastAsia="宋体" w:cs="宋体"/>
          <w:color w:val="auto"/>
          <w:kern w:val="2"/>
          <w:sz w:val="32"/>
          <w:szCs w:val="32"/>
          <w:highlight w:val="none"/>
        </w:rPr>
      </w:pPr>
      <w:bookmarkStart w:id="1048" w:name="_Toc351"/>
      <w:r>
        <w:rPr>
          <w:rFonts w:hint="eastAsia" w:ascii="宋体" w:hAnsi="宋体" w:eastAsia="宋体" w:cs="宋体"/>
          <w:color w:val="auto"/>
          <w:kern w:val="2"/>
          <w:sz w:val="32"/>
          <w:szCs w:val="32"/>
          <w:highlight w:val="none"/>
        </w:rPr>
        <w:t>三、已标价工程量清单</w:t>
      </w:r>
      <w:bookmarkEnd w:id="1048"/>
    </w:p>
    <w:p w14:paraId="5E508EEA">
      <w:pPr>
        <w:ind w:right="420"/>
        <w:rPr>
          <w:rFonts w:hint="eastAsia" w:ascii="宋体" w:hAnsi="宋体" w:cs="宋体"/>
          <w:color w:val="auto"/>
          <w:sz w:val="24"/>
          <w:highlight w:val="none"/>
        </w:rPr>
      </w:pPr>
      <w:r>
        <w:rPr>
          <w:rFonts w:hint="eastAsia" w:ascii="宋体" w:hAnsi="宋体" w:cs="宋体"/>
          <w:color w:val="auto"/>
          <w:sz w:val="24"/>
          <w:highlight w:val="none"/>
        </w:rPr>
        <w:t xml:space="preserve">注：按采购文件工程量清单编制 </w:t>
      </w:r>
    </w:p>
    <w:p w14:paraId="538790BB">
      <w:pPr>
        <w:pStyle w:val="62"/>
        <w:ind w:firstLine="480"/>
        <w:rPr>
          <w:rFonts w:hint="eastAsia" w:cs="宋体"/>
          <w:color w:val="auto"/>
          <w:sz w:val="24"/>
          <w:highlight w:val="none"/>
        </w:rPr>
      </w:pPr>
    </w:p>
    <w:p w14:paraId="12C83B17">
      <w:pPr>
        <w:pStyle w:val="62"/>
        <w:ind w:firstLine="480"/>
        <w:rPr>
          <w:rFonts w:hint="eastAsia" w:cs="宋体"/>
          <w:color w:val="auto"/>
          <w:sz w:val="24"/>
          <w:highlight w:val="none"/>
        </w:rPr>
        <w:sectPr>
          <w:footerReference r:id="rId23" w:type="first"/>
          <w:headerReference r:id="rId20" w:type="default"/>
          <w:footerReference r:id="rId21" w:type="default"/>
          <w:footerReference r:id="rId22" w:type="even"/>
          <w:pgSz w:w="11906" w:h="16838"/>
          <w:pgMar w:top="1440" w:right="1080" w:bottom="1440" w:left="1080" w:header="851" w:footer="992" w:gutter="0"/>
          <w:cols w:space="720" w:num="1"/>
          <w:titlePg/>
          <w:docGrid w:linePitch="312" w:charSpace="0"/>
        </w:sectPr>
      </w:pPr>
    </w:p>
    <w:p w14:paraId="268F9D13">
      <w:pPr>
        <w:pStyle w:val="696"/>
        <w:keepNext w:val="0"/>
        <w:pageBreakBefore w:val="0"/>
        <w:tabs>
          <w:tab w:val="clear" w:pos="720"/>
        </w:tabs>
        <w:snapToGrid w:val="0"/>
        <w:spacing w:before="120" w:after="120"/>
        <w:ind w:firstLine="643"/>
        <w:outlineLvl w:val="9"/>
        <w:rPr>
          <w:rFonts w:hint="eastAsia" w:ascii="宋体" w:hAnsi="宋体" w:eastAsia="宋体" w:cs="宋体"/>
          <w:color w:val="auto"/>
          <w:sz w:val="32"/>
          <w:szCs w:val="32"/>
          <w:highlight w:val="none"/>
        </w:rPr>
      </w:pPr>
      <w:bookmarkStart w:id="1049" w:name="_Toc17878"/>
      <w:r>
        <w:rPr>
          <w:rFonts w:hint="eastAsia" w:ascii="宋体" w:hAnsi="宋体" w:eastAsia="宋体" w:cs="宋体"/>
          <w:color w:val="auto"/>
          <w:kern w:val="2"/>
          <w:sz w:val="32"/>
          <w:szCs w:val="32"/>
          <w:highlight w:val="none"/>
        </w:rPr>
        <w:t>四、</w:t>
      </w:r>
      <w:r>
        <w:rPr>
          <w:rFonts w:hint="eastAsia" w:ascii="宋体" w:hAnsi="宋体" w:eastAsia="宋体" w:cs="宋体"/>
          <w:color w:val="auto"/>
          <w:sz w:val="32"/>
          <w:szCs w:val="32"/>
          <w:highlight w:val="none"/>
        </w:rPr>
        <w:t>中小企业声明函</w:t>
      </w:r>
      <w:bookmarkStart w:id="1050" w:name="_Hlk101259491"/>
      <w:r>
        <w:rPr>
          <w:rFonts w:hint="eastAsia" w:ascii="宋体" w:hAnsi="宋体" w:eastAsia="宋体" w:cs="宋体"/>
          <w:color w:val="auto"/>
          <w:sz w:val="32"/>
          <w:szCs w:val="32"/>
          <w:highlight w:val="none"/>
        </w:rPr>
        <w:t>（如果有）</w:t>
      </w:r>
      <w:bookmarkEnd w:id="1049"/>
      <w:bookmarkEnd w:id="1050"/>
    </w:p>
    <w:p w14:paraId="6E89B2D3">
      <w:pPr>
        <w:widowControl/>
        <w:spacing w:line="360" w:lineRule="auto"/>
        <w:ind w:firstLine="120" w:firstLineChars="50"/>
        <w:jc w:val="left"/>
        <w:rPr>
          <w:rFonts w:hint="eastAsia" w:ascii="宋体" w:hAnsi="宋体" w:cs="宋体"/>
          <w:b/>
          <w:color w:val="auto"/>
          <w:sz w:val="24"/>
          <w:highlight w:val="none"/>
        </w:rPr>
      </w:pPr>
      <w:r>
        <w:rPr>
          <w:rFonts w:hint="eastAsia" w:ascii="宋体" w:hAnsi="宋体" w:cs="宋体"/>
          <w:b/>
          <w:color w:val="auto"/>
          <w:sz w:val="24"/>
          <w:highlight w:val="none"/>
        </w:rPr>
        <w:t>[竞争性磋商公告落实政府采购政策需满足的资格要求为“无”即本项目或标项未预留份额专门面向中小企业时，符合《政府采购促进中小企业发展管理办法》规定的小微企业拟享受价格扣除政策的，需提供中小企业声明函（附件</w:t>
      </w:r>
      <w:r>
        <w:rPr>
          <w:rFonts w:ascii="宋体" w:hAnsi="宋体" w:cs="宋体"/>
          <w:b/>
          <w:color w:val="auto"/>
          <w:sz w:val="24"/>
          <w:highlight w:val="none"/>
        </w:rPr>
        <w:t>7</w:t>
      </w:r>
      <w:r>
        <w:rPr>
          <w:rFonts w:hint="eastAsia" w:ascii="宋体" w:hAnsi="宋体" w:cs="宋体"/>
          <w:b/>
          <w:color w:val="auto"/>
          <w:sz w:val="24"/>
          <w:highlight w:val="none"/>
        </w:rPr>
        <w:t>）。]</w:t>
      </w:r>
    </w:p>
    <w:p w14:paraId="339E2916">
      <w:pPr>
        <w:pStyle w:val="5"/>
        <w:keepNext w:val="0"/>
        <w:keepLines w:val="0"/>
        <w:pageBreakBefore/>
        <w:widowControl/>
        <w:spacing w:before="100" w:beforeAutospacing="1" w:after="100" w:afterAutospacing="1" w:line="360" w:lineRule="auto"/>
        <w:ind w:left="1290" w:firstLine="3092" w:firstLineChars="700"/>
        <w:rPr>
          <w:rFonts w:hint="eastAsia" w:ascii="宋体" w:hAnsi="宋体" w:cs="宋体"/>
          <w:color w:val="auto"/>
          <w:highlight w:val="none"/>
        </w:rPr>
      </w:pPr>
      <w:bookmarkStart w:id="1051" w:name="_Toc14158"/>
      <w:bookmarkStart w:id="1052" w:name="_Toc465665161"/>
      <w:r>
        <w:rPr>
          <w:rFonts w:hint="eastAsia" w:ascii="宋体" w:hAnsi="宋体" w:cs="宋体"/>
          <w:color w:val="auto"/>
          <w:highlight w:val="none"/>
        </w:rPr>
        <w:t>附件</w:t>
      </w:r>
      <w:bookmarkEnd w:id="1051"/>
      <w:bookmarkEnd w:id="1052"/>
    </w:p>
    <w:p w14:paraId="559B0223">
      <w:pPr>
        <w:spacing w:line="360" w:lineRule="auto"/>
        <w:rPr>
          <w:rFonts w:hint="eastAsia"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附件1：</w:t>
      </w:r>
    </w:p>
    <w:p w14:paraId="36ADEE0E">
      <w:pPr>
        <w:spacing w:line="360" w:lineRule="auto"/>
        <w:jc w:val="center"/>
        <w:rPr>
          <w:rFonts w:hint="eastAsia" w:ascii="宋体" w:hAnsi="宋体" w:cs="宋体"/>
          <w:b/>
          <w:color w:val="auto"/>
          <w:spacing w:val="6"/>
          <w:sz w:val="32"/>
          <w:szCs w:val="32"/>
          <w:highlight w:val="none"/>
        </w:rPr>
      </w:pPr>
      <w:bookmarkStart w:id="1053" w:name="OLE_LINK13"/>
      <w:bookmarkStart w:id="1054" w:name="OLE_LINK14"/>
      <w:r>
        <w:rPr>
          <w:rFonts w:hint="eastAsia" w:ascii="宋体" w:hAnsi="宋体" w:cs="宋体"/>
          <w:b/>
          <w:color w:val="auto"/>
          <w:spacing w:val="6"/>
          <w:sz w:val="32"/>
          <w:szCs w:val="32"/>
          <w:highlight w:val="none"/>
        </w:rPr>
        <w:t>残疾人福利性单位声明函</w:t>
      </w:r>
    </w:p>
    <w:bookmarkEnd w:id="1053"/>
    <w:bookmarkEnd w:id="1054"/>
    <w:p w14:paraId="499253CC">
      <w:pPr>
        <w:spacing w:line="360" w:lineRule="auto"/>
        <w:rPr>
          <w:rFonts w:hint="eastAsia" w:ascii="宋体" w:hAnsi="宋体" w:cs="宋体"/>
          <w:b/>
          <w:color w:val="auto"/>
          <w:spacing w:val="6"/>
          <w:sz w:val="30"/>
          <w:szCs w:val="30"/>
          <w:highlight w:val="none"/>
        </w:rPr>
      </w:pPr>
    </w:p>
    <w:p w14:paraId="0DA582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18242C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本单位对上述声明的真实性负责。如有虚假，将依法承担相应责任。</w:t>
      </w:r>
    </w:p>
    <w:p w14:paraId="1D49170D">
      <w:pPr>
        <w:spacing w:line="360" w:lineRule="auto"/>
        <w:ind w:firstLine="480" w:firstLineChars="200"/>
        <w:rPr>
          <w:rFonts w:hint="eastAsia" w:ascii="宋体" w:hAnsi="宋体" w:cs="宋体"/>
          <w:color w:val="auto"/>
          <w:sz w:val="24"/>
          <w:highlight w:val="none"/>
        </w:rPr>
      </w:pPr>
    </w:p>
    <w:p w14:paraId="18061522">
      <w:pPr>
        <w:spacing w:line="360" w:lineRule="auto"/>
        <w:ind w:firstLine="480" w:firstLineChars="200"/>
        <w:rPr>
          <w:rFonts w:hint="eastAsia" w:ascii="宋体" w:hAnsi="宋体" w:cs="宋体"/>
          <w:color w:val="auto"/>
          <w:sz w:val="24"/>
          <w:highlight w:val="none"/>
        </w:rPr>
      </w:pPr>
    </w:p>
    <w:p w14:paraId="3C6570CD">
      <w:pPr>
        <w:tabs>
          <w:tab w:val="left" w:pos="4860"/>
        </w:tabs>
        <w:spacing w:line="360" w:lineRule="auto"/>
        <w:ind w:right="1560" w:firstLine="480" w:firstLineChars="200"/>
        <w:jc w:val="center"/>
        <w:rPr>
          <w:rFonts w:hint="eastAsia"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kern w:val="0"/>
          <w:sz w:val="24"/>
          <w:highlight w:val="none"/>
          <w:lang w:val="zh-CN"/>
        </w:rPr>
        <w:t>供应商名称（电子签名）</w:t>
      </w:r>
      <w:r>
        <w:rPr>
          <w:rFonts w:hint="eastAsia" w:ascii="宋体" w:hAnsi="宋体" w:cs="宋体"/>
          <w:color w:val="auto"/>
          <w:sz w:val="24"/>
          <w:highlight w:val="none"/>
        </w:rPr>
        <w:t>：</w:t>
      </w:r>
    </w:p>
    <w:p w14:paraId="1AA52BD6">
      <w:pPr>
        <w:tabs>
          <w:tab w:val="left" w:pos="4860"/>
        </w:tabs>
        <w:spacing w:line="360" w:lineRule="auto"/>
        <w:ind w:right="1560" w:firstLine="480" w:firstLineChars="200"/>
        <w:jc w:val="center"/>
        <w:rPr>
          <w:rFonts w:hint="eastAsia" w:ascii="宋体" w:hAnsi="宋体" w:cs="宋体"/>
          <w:color w:val="auto"/>
          <w:sz w:val="24"/>
          <w:highlight w:val="none"/>
        </w:rPr>
      </w:pPr>
      <w:r>
        <w:rPr>
          <w:rFonts w:hint="eastAsia" w:ascii="宋体" w:hAnsi="宋体" w:cs="宋体"/>
          <w:color w:val="auto"/>
          <w:sz w:val="24"/>
          <w:highlight w:val="none"/>
        </w:rPr>
        <w:t xml:space="preserve">       日  期：</w:t>
      </w:r>
    </w:p>
    <w:p w14:paraId="4D8F6F88">
      <w:pPr>
        <w:spacing w:line="360" w:lineRule="auto"/>
        <w:ind w:firstLine="480" w:firstLineChars="200"/>
        <w:rPr>
          <w:rFonts w:hint="eastAsia" w:ascii="宋体" w:hAnsi="宋体" w:cs="宋体"/>
          <w:color w:val="auto"/>
          <w:sz w:val="24"/>
          <w:highlight w:val="none"/>
        </w:rPr>
      </w:pPr>
    </w:p>
    <w:p w14:paraId="12B6967E">
      <w:pPr>
        <w:spacing w:line="360" w:lineRule="auto"/>
        <w:ind w:firstLine="420" w:firstLineChars="200"/>
        <w:rPr>
          <w:rFonts w:hint="eastAsia" w:ascii="宋体" w:hAnsi="宋体" w:cs="宋体"/>
          <w:color w:val="auto"/>
          <w:highlight w:val="none"/>
        </w:rPr>
      </w:pPr>
    </w:p>
    <w:p w14:paraId="01B80A56">
      <w:pPr>
        <w:spacing w:line="360" w:lineRule="auto"/>
        <w:ind w:firstLine="420" w:firstLineChars="200"/>
        <w:rPr>
          <w:rFonts w:hint="eastAsia" w:ascii="宋体" w:hAnsi="宋体" w:cs="宋体"/>
          <w:color w:val="auto"/>
          <w:highlight w:val="none"/>
        </w:rPr>
      </w:pPr>
    </w:p>
    <w:p w14:paraId="0C713F51">
      <w:pPr>
        <w:spacing w:line="360" w:lineRule="auto"/>
        <w:ind w:firstLine="420" w:firstLineChars="200"/>
        <w:rPr>
          <w:rFonts w:hint="eastAsia" w:ascii="宋体" w:hAnsi="宋体" w:cs="宋体"/>
          <w:color w:val="auto"/>
          <w:highlight w:val="none"/>
        </w:rPr>
      </w:pPr>
    </w:p>
    <w:p w14:paraId="6F96B122">
      <w:pPr>
        <w:spacing w:line="360" w:lineRule="auto"/>
        <w:ind w:firstLine="420" w:firstLineChars="200"/>
        <w:rPr>
          <w:rFonts w:hint="eastAsia" w:ascii="宋体" w:hAnsi="宋体" w:cs="宋体"/>
          <w:color w:val="auto"/>
          <w:highlight w:val="none"/>
        </w:rPr>
      </w:pPr>
    </w:p>
    <w:p w14:paraId="03166AB8">
      <w:pPr>
        <w:spacing w:line="360" w:lineRule="auto"/>
        <w:rPr>
          <w:rFonts w:hint="eastAsia" w:ascii="宋体" w:hAnsi="宋体" w:cs="宋体"/>
          <w:b/>
          <w:color w:val="auto"/>
          <w:sz w:val="24"/>
          <w:highlight w:val="none"/>
        </w:rPr>
      </w:pPr>
    </w:p>
    <w:p w14:paraId="0E08C57A">
      <w:pPr>
        <w:spacing w:line="360" w:lineRule="auto"/>
        <w:rPr>
          <w:rFonts w:hint="eastAsia" w:ascii="宋体" w:hAnsi="宋体" w:cs="宋体"/>
          <w:b/>
          <w:color w:val="auto"/>
          <w:sz w:val="24"/>
          <w:highlight w:val="none"/>
        </w:rPr>
      </w:pPr>
    </w:p>
    <w:p w14:paraId="018C8862">
      <w:pPr>
        <w:spacing w:line="360" w:lineRule="auto"/>
        <w:rPr>
          <w:rFonts w:hint="eastAsia" w:ascii="宋体" w:hAnsi="宋体" w:cs="宋体"/>
          <w:b/>
          <w:color w:val="auto"/>
          <w:sz w:val="24"/>
          <w:highlight w:val="none"/>
        </w:rPr>
      </w:pPr>
    </w:p>
    <w:p w14:paraId="0758BE6B">
      <w:pPr>
        <w:spacing w:line="360" w:lineRule="auto"/>
        <w:rPr>
          <w:rFonts w:hint="eastAsia" w:ascii="宋体" w:hAnsi="宋体" w:cs="宋体"/>
          <w:b/>
          <w:color w:val="auto"/>
          <w:sz w:val="24"/>
          <w:highlight w:val="none"/>
        </w:rPr>
      </w:pPr>
    </w:p>
    <w:p w14:paraId="728DC5CB">
      <w:pPr>
        <w:spacing w:line="360" w:lineRule="auto"/>
        <w:rPr>
          <w:rFonts w:hint="eastAsia" w:ascii="宋体" w:hAnsi="宋体" w:cs="宋体"/>
          <w:b/>
          <w:color w:val="auto"/>
          <w:sz w:val="24"/>
          <w:highlight w:val="none"/>
        </w:rPr>
      </w:pPr>
    </w:p>
    <w:p w14:paraId="43E9E78E">
      <w:pPr>
        <w:spacing w:line="360" w:lineRule="auto"/>
        <w:rPr>
          <w:rFonts w:hint="eastAsia" w:ascii="宋体" w:hAnsi="宋体" w:cs="宋体"/>
          <w:b/>
          <w:color w:val="auto"/>
          <w:sz w:val="24"/>
          <w:highlight w:val="none"/>
        </w:rPr>
      </w:pPr>
    </w:p>
    <w:p w14:paraId="7F651CE8">
      <w:pPr>
        <w:spacing w:line="360" w:lineRule="auto"/>
        <w:rPr>
          <w:rFonts w:hint="eastAsia" w:ascii="宋体" w:hAnsi="宋体" w:cs="宋体"/>
          <w:b/>
          <w:color w:val="auto"/>
          <w:sz w:val="24"/>
          <w:highlight w:val="none"/>
        </w:rPr>
      </w:pPr>
    </w:p>
    <w:p w14:paraId="6512E6D1">
      <w:pPr>
        <w:spacing w:line="360" w:lineRule="auto"/>
        <w:rPr>
          <w:rFonts w:hint="eastAsia" w:ascii="宋体" w:hAnsi="宋体" w:cs="宋体"/>
          <w:b/>
          <w:color w:val="auto"/>
          <w:sz w:val="24"/>
          <w:highlight w:val="none"/>
        </w:rPr>
      </w:pPr>
    </w:p>
    <w:p w14:paraId="212DC78E">
      <w:pPr>
        <w:spacing w:line="360" w:lineRule="auto"/>
        <w:jc w:val="left"/>
        <w:rPr>
          <w:rFonts w:hint="eastAsia"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附件2：质疑函范本及制作说明</w:t>
      </w:r>
    </w:p>
    <w:p w14:paraId="744D4E13">
      <w:pPr>
        <w:spacing w:line="360" w:lineRule="auto"/>
        <w:jc w:val="center"/>
        <w:rPr>
          <w:rFonts w:hint="eastAsia" w:ascii="宋体" w:hAnsi="宋体" w:cs="宋体"/>
          <w:b/>
          <w:color w:val="auto"/>
          <w:spacing w:val="6"/>
          <w:sz w:val="32"/>
          <w:szCs w:val="32"/>
          <w:highlight w:val="none"/>
        </w:rPr>
      </w:pPr>
      <w:r>
        <w:rPr>
          <w:rFonts w:hint="eastAsia" w:ascii="宋体" w:hAnsi="宋体" w:cs="宋体"/>
          <w:b/>
          <w:color w:val="auto"/>
          <w:spacing w:val="6"/>
          <w:sz w:val="32"/>
          <w:szCs w:val="32"/>
          <w:highlight w:val="none"/>
        </w:rPr>
        <w:t>质疑函范本</w:t>
      </w:r>
    </w:p>
    <w:p w14:paraId="54B937A5">
      <w:pPr>
        <w:snapToGrid w:val="0"/>
        <w:spacing w:before="240" w:beforeLines="100" w:line="360" w:lineRule="auto"/>
        <w:rPr>
          <w:rFonts w:hint="eastAsia" w:ascii="宋体" w:hAnsi="宋体" w:cs="宋体"/>
          <w:bCs/>
          <w:color w:val="auto"/>
          <w:sz w:val="24"/>
          <w:highlight w:val="none"/>
        </w:rPr>
      </w:pPr>
      <w:r>
        <w:rPr>
          <w:rFonts w:hint="eastAsia" w:ascii="宋体" w:hAnsi="宋体" w:cs="宋体"/>
          <w:bCs/>
          <w:color w:val="auto"/>
          <w:sz w:val="24"/>
          <w:highlight w:val="none"/>
        </w:rPr>
        <w:t>一、质疑供应商基本信息</w:t>
      </w:r>
    </w:p>
    <w:p w14:paraId="6098A1D0">
      <w:pPr>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质疑供应商：</w:t>
      </w:r>
      <w:r>
        <w:rPr>
          <w:rFonts w:hint="eastAsia" w:ascii="宋体" w:hAnsi="宋体" w:cs="宋体"/>
          <w:color w:val="auto"/>
          <w:sz w:val="24"/>
          <w:highlight w:val="none"/>
          <w:u w:val="dotted"/>
        </w:rPr>
        <w:t xml:space="preserve">                                        </w:t>
      </w:r>
    </w:p>
    <w:p w14:paraId="5A847F7A">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地址：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p>
    <w:p w14:paraId="281B6023">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p>
    <w:p w14:paraId="3D43D902">
      <w:pPr>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授权代表：</w:t>
      </w:r>
      <w:r>
        <w:rPr>
          <w:rFonts w:hint="eastAsia" w:ascii="宋体" w:hAnsi="宋体" w:cs="宋体"/>
          <w:color w:val="auto"/>
          <w:sz w:val="24"/>
          <w:highlight w:val="none"/>
          <w:u w:val="dotted"/>
        </w:rPr>
        <w:t xml:space="preserve">                                          </w:t>
      </w:r>
    </w:p>
    <w:p w14:paraId="6EE907B4">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7CD96665">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地址： </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p>
    <w:p w14:paraId="3B3A2102">
      <w:pPr>
        <w:snapToGri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二、质疑项目基本情况</w:t>
      </w:r>
    </w:p>
    <w:p w14:paraId="40112E5B">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质疑项目的名称：</w:t>
      </w:r>
      <w:r>
        <w:rPr>
          <w:rFonts w:hint="eastAsia" w:ascii="宋体" w:hAnsi="宋体" w:cs="宋体"/>
          <w:color w:val="auto"/>
          <w:sz w:val="24"/>
          <w:highlight w:val="none"/>
          <w:u w:val="dotted"/>
        </w:rPr>
        <w:t xml:space="preserve">                                      </w:t>
      </w:r>
    </w:p>
    <w:p w14:paraId="6E2C30B9">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质疑项目的编号：</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包号：</w:t>
      </w:r>
      <w:r>
        <w:rPr>
          <w:rFonts w:hint="eastAsia" w:ascii="宋体" w:hAnsi="宋体" w:cs="宋体"/>
          <w:color w:val="auto"/>
          <w:sz w:val="24"/>
          <w:highlight w:val="none"/>
          <w:u w:val="dotted"/>
        </w:rPr>
        <w:t xml:space="preserve">                 </w:t>
      </w:r>
    </w:p>
    <w:p w14:paraId="305616FA">
      <w:pPr>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采购人名称：</w:t>
      </w:r>
      <w:r>
        <w:rPr>
          <w:rFonts w:hint="eastAsia" w:ascii="宋体" w:hAnsi="宋体" w:cs="宋体"/>
          <w:color w:val="auto"/>
          <w:sz w:val="24"/>
          <w:highlight w:val="none"/>
          <w:u w:val="dotted"/>
        </w:rPr>
        <w:t xml:space="preserve">                                         </w:t>
      </w:r>
    </w:p>
    <w:p w14:paraId="71BC52B4">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采购文件获取日期：</w:t>
      </w:r>
      <w:r>
        <w:rPr>
          <w:rFonts w:hint="eastAsia" w:ascii="宋体" w:hAnsi="宋体" w:cs="宋体"/>
          <w:color w:val="auto"/>
          <w:sz w:val="24"/>
          <w:highlight w:val="none"/>
          <w:u w:val="dotted"/>
        </w:rPr>
        <w:t xml:space="preserve">                                           </w:t>
      </w:r>
    </w:p>
    <w:p w14:paraId="60BDB415">
      <w:pPr>
        <w:snapToGri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三、质疑事项具体内容</w:t>
      </w:r>
    </w:p>
    <w:p w14:paraId="68B26AA9">
      <w:pPr>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质疑事项1：</w:t>
      </w:r>
      <w:r>
        <w:rPr>
          <w:rFonts w:hint="eastAsia" w:ascii="宋体" w:hAnsi="宋体" w:cs="宋体"/>
          <w:color w:val="auto"/>
          <w:sz w:val="24"/>
          <w:highlight w:val="none"/>
          <w:u w:val="dotted"/>
        </w:rPr>
        <w:t xml:space="preserve">                                         </w:t>
      </w:r>
    </w:p>
    <w:p w14:paraId="1FB2B7DA">
      <w:pPr>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事实依据：</w:t>
      </w:r>
      <w:r>
        <w:rPr>
          <w:rFonts w:hint="eastAsia" w:ascii="宋体" w:hAnsi="宋体" w:cs="宋体"/>
          <w:color w:val="auto"/>
          <w:sz w:val="24"/>
          <w:highlight w:val="none"/>
          <w:u w:val="dotted"/>
        </w:rPr>
        <w:t xml:space="preserve">                                          </w:t>
      </w:r>
    </w:p>
    <w:p w14:paraId="2643F399">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u w:val="dotted"/>
        </w:rPr>
        <w:t xml:space="preserve">                                                       </w:t>
      </w:r>
    </w:p>
    <w:p w14:paraId="17E5006A">
      <w:pPr>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法律依据：</w:t>
      </w:r>
      <w:r>
        <w:rPr>
          <w:rFonts w:hint="eastAsia" w:ascii="宋体" w:hAnsi="宋体" w:cs="宋体"/>
          <w:color w:val="auto"/>
          <w:sz w:val="24"/>
          <w:highlight w:val="none"/>
          <w:u w:val="dotted"/>
        </w:rPr>
        <w:t xml:space="preserve">                                          </w:t>
      </w:r>
    </w:p>
    <w:p w14:paraId="474D8F17">
      <w:pPr>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u w:val="dotted"/>
        </w:rPr>
        <w:t xml:space="preserve">                                                     </w:t>
      </w:r>
    </w:p>
    <w:p w14:paraId="0577421F">
      <w:pPr>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质疑事项2</w:t>
      </w:r>
    </w:p>
    <w:p w14:paraId="4B304DCB">
      <w:p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w:t>
      </w:r>
    </w:p>
    <w:p w14:paraId="172536DF">
      <w:pPr>
        <w:snapToGri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四、与质疑事项相关的质疑请求</w:t>
      </w:r>
    </w:p>
    <w:p w14:paraId="09B6BF7D">
      <w:pPr>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请求：</w:t>
      </w:r>
      <w:r>
        <w:rPr>
          <w:rFonts w:hint="eastAsia" w:ascii="宋体" w:hAnsi="宋体" w:cs="宋体"/>
          <w:color w:val="auto"/>
          <w:sz w:val="24"/>
          <w:highlight w:val="none"/>
          <w:u w:val="dotted"/>
        </w:rPr>
        <w:t xml:space="preserve">                                               </w:t>
      </w:r>
    </w:p>
    <w:p w14:paraId="42DCD3E9">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签字(签章)：                   公章：                      </w:t>
      </w:r>
    </w:p>
    <w:p w14:paraId="2CBA5FA5">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日期：    </w:t>
      </w:r>
    </w:p>
    <w:p w14:paraId="04F41A28">
      <w:pPr>
        <w:spacing w:line="360" w:lineRule="auto"/>
        <w:jc w:val="center"/>
        <w:rPr>
          <w:rFonts w:hint="eastAsia" w:ascii="宋体" w:hAnsi="宋体" w:cs="宋体"/>
          <w:b/>
          <w:bCs/>
          <w:color w:val="auto"/>
          <w:sz w:val="24"/>
          <w:highlight w:val="none"/>
        </w:rPr>
      </w:pPr>
    </w:p>
    <w:p w14:paraId="239C2283">
      <w:pPr>
        <w:spacing w:line="360" w:lineRule="auto"/>
        <w:rPr>
          <w:rFonts w:hint="eastAsia" w:ascii="宋体" w:hAnsi="宋体" w:cs="宋体"/>
          <w:b/>
          <w:color w:val="auto"/>
          <w:sz w:val="24"/>
          <w:highlight w:val="none"/>
        </w:rPr>
      </w:pPr>
    </w:p>
    <w:p w14:paraId="37E4B4FC">
      <w:pPr>
        <w:spacing w:line="360" w:lineRule="auto"/>
        <w:rPr>
          <w:rFonts w:hint="eastAsia" w:ascii="宋体" w:hAnsi="宋体" w:cs="宋体"/>
          <w:b/>
          <w:color w:val="auto"/>
          <w:sz w:val="24"/>
          <w:highlight w:val="none"/>
        </w:rPr>
      </w:pPr>
    </w:p>
    <w:p w14:paraId="5C0006A1">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质疑函制作说明：</w:t>
      </w:r>
    </w:p>
    <w:p w14:paraId="080B3B96">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1.供应商提出质疑时，应提交质疑函和必要的证明材料。</w:t>
      </w:r>
    </w:p>
    <w:p w14:paraId="31F9AEF4">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2.质疑供应商若委托代理人进行质疑的，质疑函应按要求列明“授权代表”的有关内容，并在附件中提交由质疑</w:t>
      </w:r>
      <w:r>
        <w:rPr>
          <w:rFonts w:hint="eastAsia" w:ascii="宋体" w:hAnsi="宋体" w:cs="宋体"/>
          <w:color w:val="auto"/>
          <w:kern w:val="0"/>
          <w:sz w:val="24"/>
          <w:highlight w:val="none"/>
        </w:rPr>
        <w:t>供应商签署的授权委托书。授权委托书应载明代理人的姓名或者名称、代理事项、具体权限、期限和相关事项。</w:t>
      </w:r>
    </w:p>
    <w:p w14:paraId="52B988BA">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3.质疑供应商若对项目的某一分包进行质疑，质疑函中应列明具体分包号。</w:t>
      </w:r>
    </w:p>
    <w:p w14:paraId="32BF295A">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4.质疑函的质疑事项应具体、明确，并有必要的事实依据和法律依据。</w:t>
      </w:r>
    </w:p>
    <w:p w14:paraId="6AA23D1B">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5.质疑函的质疑请求应与质疑事项相关。</w:t>
      </w:r>
    </w:p>
    <w:p w14:paraId="6D0F25B9">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6.质疑供应商为自然人的，质疑函应由本人签字；质疑供应商为法人或者其他组织的，质疑函应由法定代表人、主要负责人，或者其授权代表签字或者盖章，并加盖公章。</w:t>
      </w:r>
    </w:p>
    <w:p w14:paraId="79272024">
      <w:pPr>
        <w:widowControl/>
        <w:spacing w:line="360" w:lineRule="auto"/>
        <w:ind w:firstLine="600" w:firstLineChars="200"/>
        <w:jc w:val="left"/>
        <w:rPr>
          <w:rFonts w:hint="eastAsia" w:ascii="宋体" w:hAnsi="宋体" w:cs="宋体"/>
          <w:color w:val="auto"/>
          <w:sz w:val="30"/>
          <w:szCs w:val="30"/>
          <w:highlight w:val="none"/>
        </w:rPr>
      </w:pPr>
    </w:p>
    <w:p w14:paraId="6D0901AE">
      <w:pPr>
        <w:spacing w:line="360" w:lineRule="auto"/>
        <w:jc w:val="center"/>
        <w:rPr>
          <w:rFonts w:hint="eastAsia" w:ascii="宋体" w:hAnsi="宋体" w:cs="宋体"/>
          <w:b/>
          <w:color w:val="auto"/>
          <w:spacing w:val="6"/>
          <w:sz w:val="32"/>
          <w:szCs w:val="32"/>
          <w:highlight w:val="none"/>
        </w:rPr>
      </w:pPr>
    </w:p>
    <w:p w14:paraId="0D92731D">
      <w:pPr>
        <w:spacing w:line="360" w:lineRule="auto"/>
        <w:jc w:val="center"/>
        <w:rPr>
          <w:rFonts w:hint="eastAsia" w:ascii="宋体" w:hAnsi="宋体" w:cs="宋体"/>
          <w:b/>
          <w:color w:val="auto"/>
          <w:spacing w:val="6"/>
          <w:sz w:val="32"/>
          <w:szCs w:val="32"/>
          <w:highlight w:val="none"/>
        </w:rPr>
      </w:pPr>
    </w:p>
    <w:p w14:paraId="4656DF99">
      <w:pPr>
        <w:spacing w:line="360" w:lineRule="auto"/>
        <w:jc w:val="center"/>
        <w:rPr>
          <w:rFonts w:hint="eastAsia" w:ascii="宋体" w:hAnsi="宋体" w:cs="宋体"/>
          <w:b/>
          <w:color w:val="auto"/>
          <w:spacing w:val="6"/>
          <w:sz w:val="32"/>
          <w:szCs w:val="32"/>
          <w:highlight w:val="none"/>
        </w:rPr>
      </w:pPr>
    </w:p>
    <w:p w14:paraId="0DCCD60A">
      <w:pPr>
        <w:spacing w:line="360" w:lineRule="auto"/>
        <w:jc w:val="center"/>
        <w:rPr>
          <w:rFonts w:hint="eastAsia" w:ascii="宋体" w:hAnsi="宋体" w:cs="宋体"/>
          <w:b/>
          <w:color w:val="auto"/>
          <w:spacing w:val="6"/>
          <w:sz w:val="32"/>
          <w:szCs w:val="32"/>
          <w:highlight w:val="none"/>
        </w:rPr>
      </w:pPr>
    </w:p>
    <w:p w14:paraId="063BEEDD">
      <w:pPr>
        <w:spacing w:line="360" w:lineRule="auto"/>
        <w:jc w:val="center"/>
        <w:rPr>
          <w:rFonts w:hint="eastAsia" w:ascii="宋体" w:hAnsi="宋体" w:cs="宋体"/>
          <w:b/>
          <w:color w:val="auto"/>
          <w:spacing w:val="6"/>
          <w:sz w:val="32"/>
          <w:szCs w:val="32"/>
          <w:highlight w:val="none"/>
        </w:rPr>
      </w:pPr>
    </w:p>
    <w:p w14:paraId="444754B9">
      <w:pPr>
        <w:spacing w:line="360" w:lineRule="auto"/>
        <w:jc w:val="center"/>
        <w:rPr>
          <w:rFonts w:hint="eastAsia" w:ascii="宋体" w:hAnsi="宋体" w:cs="宋体"/>
          <w:b/>
          <w:color w:val="auto"/>
          <w:spacing w:val="6"/>
          <w:sz w:val="32"/>
          <w:szCs w:val="32"/>
          <w:highlight w:val="none"/>
        </w:rPr>
      </w:pPr>
    </w:p>
    <w:p w14:paraId="7F8A1F22">
      <w:pPr>
        <w:spacing w:line="360" w:lineRule="auto"/>
        <w:jc w:val="center"/>
        <w:rPr>
          <w:rFonts w:hint="eastAsia" w:ascii="宋体" w:hAnsi="宋体" w:cs="宋体"/>
          <w:b/>
          <w:color w:val="auto"/>
          <w:spacing w:val="6"/>
          <w:sz w:val="32"/>
          <w:szCs w:val="32"/>
          <w:highlight w:val="none"/>
        </w:rPr>
      </w:pPr>
    </w:p>
    <w:p w14:paraId="70D96B10">
      <w:pPr>
        <w:spacing w:line="360" w:lineRule="auto"/>
        <w:jc w:val="center"/>
        <w:rPr>
          <w:rFonts w:hint="eastAsia" w:ascii="宋体" w:hAnsi="宋体" w:cs="宋体"/>
          <w:b/>
          <w:color w:val="auto"/>
          <w:spacing w:val="6"/>
          <w:sz w:val="32"/>
          <w:szCs w:val="32"/>
          <w:highlight w:val="none"/>
        </w:rPr>
      </w:pPr>
    </w:p>
    <w:p w14:paraId="5FED2DA3">
      <w:pPr>
        <w:spacing w:line="360" w:lineRule="auto"/>
        <w:jc w:val="center"/>
        <w:rPr>
          <w:rFonts w:hint="eastAsia" w:ascii="宋体" w:hAnsi="宋体" w:cs="宋体"/>
          <w:b/>
          <w:color w:val="auto"/>
          <w:spacing w:val="6"/>
          <w:sz w:val="32"/>
          <w:szCs w:val="32"/>
          <w:highlight w:val="none"/>
        </w:rPr>
      </w:pPr>
    </w:p>
    <w:p w14:paraId="28FCA48D">
      <w:pPr>
        <w:spacing w:line="360" w:lineRule="auto"/>
        <w:jc w:val="center"/>
        <w:rPr>
          <w:rFonts w:hint="eastAsia" w:ascii="宋体" w:hAnsi="宋体" w:cs="宋体"/>
          <w:b/>
          <w:color w:val="auto"/>
          <w:spacing w:val="6"/>
          <w:sz w:val="32"/>
          <w:szCs w:val="32"/>
          <w:highlight w:val="none"/>
        </w:rPr>
      </w:pPr>
    </w:p>
    <w:p w14:paraId="7F4182FF">
      <w:pPr>
        <w:spacing w:line="360" w:lineRule="auto"/>
        <w:jc w:val="center"/>
        <w:rPr>
          <w:rFonts w:hint="eastAsia" w:ascii="宋体" w:hAnsi="宋体" w:cs="宋体"/>
          <w:b/>
          <w:color w:val="auto"/>
          <w:spacing w:val="6"/>
          <w:sz w:val="32"/>
          <w:szCs w:val="32"/>
          <w:highlight w:val="none"/>
        </w:rPr>
      </w:pPr>
    </w:p>
    <w:p w14:paraId="0F4B5F4F">
      <w:pPr>
        <w:spacing w:line="360" w:lineRule="auto"/>
        <w:jc w:val="center"/>
        <w:rPr>
          <w:rFonts w:hint="eastAsia" w:ascii="宋体" w:hAnsi="宋体" w:cs="宋体"/>
          <w:b/>
          <w:color w:val="auto"/>
          <w:spacing w:val="6"/>
          <w:sz w:val="32"/>
          <w:szCs w:val="32"/>
          <w:highlight w:val="none"/>
        </w:rPr>
      </w:pPr>
    </w:p>
    <w:p w14:paraId="5994181D">
      <w:pPr>
        <w:spacing w:line="360" w:lineRule="auto"/>
        <w:jc w:val="left"/>
        <w:rPr>
          <w:rFonts w:hint="eastAsia" w:ascii="宋体" w:hAnsi="宋体" w:cs="宋体"/>
          <w:b/>
          <w:color w:val="auto"/>
          <w:spacing w:val="6"/>
          <w:sz w:val="32"/>
          <w:szCs w:val="32"/>
          <w:highlight w:val="none"/>
        </w:rPr>
      </w:pPr>
    </w:p>
    <w:p w14:paraId="216DF624">
      <w:pPr>
        <w:spacing w:line="360" w:lineRule="auto"/>
        <w:jc w:val="left"/>
        <w:rPr>
          <w:rFonts w:hint="eastAsia" w:ascii="宋体" w:hAnsi="宋体" w:cs="宋体"/>
          <w:b/>
          <w:color w:val="auto"/>
          <w:spacing w:val="6"/>
          <w:sz w:val="32"/>
          <w:szCs w:val="32"/>
          <w:highlight w:val="none"/>
        </w:rPr>
      </w:pPr>
    </w:p>
    <w:p w14:paraId="1288823F">
      <w:pPr>
        <w:spacing w:line="360" w:lineRule="auto"/>
        <w:jc w:val="left"/>
        <w:rPr>
          <w:rFonts w:hint="eastAsia"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附件3：投诉书范本及制作说明</w:t>
      </w:r>
    </w:p>
    <w:p w14:paraId="19F96316">
      <w:pPr>
        <w:spacing w:line="360" w:lineRule="auto"/>
        <w:jc w:val="center"/>
        <w:rPr>
          <w:rFonts w:hint="eastAsia" w:ascii="宋体" w:hAnsi="宋体" w:cs="宋体"/>
          <w:b/>
          <w:color w:val="auto"/>
          <w:sz w:val="24"/>
          <w:highlight w:val="none"/>
        </w:rPr>
      </w:pPr>
    </w:p>
    <w:p w14:paraId="0F5AFF50">
      <w:pPr>
        <w:spacing w:line="360" w:lineRule="auto"/>
        <w:jc w:val="center"/>
        <w:rPr>
          <w:rFonts w:hint="eastAsia" w:ascii="宋体" w:hAnsi="宋体" w:cs="宋体"/>
          <w:b/>
          <w:color w:val="auto"/>
          <w:spacing w:val="6"/>
          <w:sz w:val="32"/>
          <w:szCs w:val="32"/>
          <w:highlight w:val="none"/>
        </w:rPr>
      </w:pPr>
      <w:r>
        <w:rPr>
          <w:rFonts w:hint="eastAsia" w:ascii="宋体" w:hAnsi="宋体" w:cs="宋体"/>
          <w:b/>
          <w:color w:val="auto"/>
          <w:spacing w:val="6"/>
          <w:sz w:val="32"/>
          <w:szCs w:val="32"/>
          <w:highlight w:val="none"/>
        </w:rPr>
        <w:t>投诉书范本</w:t>
      </w:r>
    </w:p>
    <w:p w14:paraId="31015C02">
      <w:pPr>
        <w:spacing w:line="360" w:lineRule="auto"/>
        <w:rPr>
          <w:rFonts w:hint="eastAsia" w:ascii="宋体" w:hAnsi="宋体" w:cs="宋体"/>
          <w:color w:val="auto"/>
          <w:sz w:val="24"/>
          <w:highlight w:val="none"/>
        </w:rPr>
      </w:pPr>
      <w:r>
        <w:rPr>
          <w:rFonts w:hint="eastAsia" w:ascii="宋体" w:hAnsi="宋体" w:cs="宋体"/>
          <w:color w:val="auto"/>
          <w:sz w:val="24"/>
          <w:highlight w:val="none"/>
        </w:rPr>
        <w:t>一、投诉相关主体基本情况</w:t>
      </w:r>
    </w:p>
    <w:p w14:paraId="1C337831">
      <w:pPr>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投诉人：</w:t>
      </w:r>
      <w:r>
        <w:rPr>
          <w:rFonts w:hint="eastAsia" w:ascii="宋体" w:hAnsi="宋体" w:cs="宋体"/>
          <w:color w:val="auto"/>
          <w:sz w:val="24"/>
          <w:highlight w:val="none"/>
          <w:u w:val="dotted"/>
        </w:rPr>
        <w:t xml:space="preserve">                                               </w:t>
      </w:r>
    </w:p>
    <w:p w14:paraId="7D96C3DE">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1BE51436">
      <w:pPr>
        <w:tabs>
          <w:tab w:val="left" w:pos="6510"/>
        </w:tabs>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法定代表人/主要负责人：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3E451922">
      <w:pPr>
        <w:tabs>
          <w:tab w:val="left" w:pos="6510"/>
        </w:tabs>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p>
    <w:p w14:paraId="7BE20C0F">
      <w:pPr>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授权代表：</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p>
    <w:p w14:paraId="29F58C11">
      <w:pPr>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dotted"/>
        </w:rPr>
        <w:t xml:space="preserve">                   </w:t>
      </w:r>
    </w:p>
    <w:p w14:paraId="4C0B4250">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被投诉人1：</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66FBE49B">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687DFD93">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4475E67D">
      <w:pPr>
        <w:spacing w:line="360" w:lineRule="auto"/>
        <w:rPr>
          <w:rFonts w:hint="eastAsia" w:ascii="宋体" w:hAnsi="宋体" w:cs="宋体"/>
          <w:color w:val="auto"/>
          <w:sz w:val="24"/>
          <w:highlight w:val="none"/>
        </w:rPr>
      </w:pPr>
      <w:r>
        <w:rPr>
          <w:rFonts w:hint="eastAsia" w:ascii="宋体" w:hAnsi="宋体" w:cs="宋体"/>
          <w:color w:val="auto"/>
          <w:sz w:val="24"/>
          <w:highlight w:val="none"/>
        </w:rPr>
        <w:t>被投诉人2</w:t>
      </w:r>
    </w:p>
    <w:p w14:paraId="7A182D70">
      <w:pPr>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w:t>
      </w:r>
    </w:p>
    <w:p w14:paraId="0C940E56">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相关供应商：</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26F6BB68">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6280472A">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6E3713E9">
      <w:pPr>
        <w:spacing w:line="360" w:lineRule="auto"/>
        <w:rPr>
          <w:rFonts w:hint="eastAsia" w:ascii="宋体" w:hAnsi="宋体" w:cs="宋体"/>
          <w:color w:val="auto"/>
          <w:sz w:val="24"/>
          <w:highlight w:val="none"/>
        </w:rPr>
      </w:pPr>
      <w:r>
        <w:rPr>
          <w:rFonts w:hint="eastAsia" w:ascii="宋体" w:hAnsi="宋体" w:cs="宋体"/>
          <w:color w:val="auto"/>
          <w:sz w:val="24"/>
          <w:highlight w:val="none"/>
        </w:rPr>
        <w:t>二、投诉项目基本情况</w:t>
      </w:r>
    </w:p>
    <w:p w14:paraId="5203C2EF">
      <w:pPr>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采购项目名称：</w:t>
      </w:r>
      <w:r>
        <w:rPr>
          <w:rFonts w:hint="eastAsia" w:ascii="宋体" w:hAnsi="宋体" w:cs="宋体"/>
          <w:color w:val="auto"/>
          <w:sz w:val="24"/>
          <w:highlight w:val="none"/>
          <w:u w:val="dotted"/>
        </w:rPr>
        <w:t xml:space="preserve">                                        </w:t>
      </w:r>
    </w:p>
    <w:p w14:paraId="755A3D3D">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采购项目编号：</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包号：</w:t>
      </w:r>
      <w:r>
        <w:rPr>
          <w:rFonts w:hint="eastAsia" w:ascii="宋体" w:hAnsi="宋体" w:cs="宋体"/>
          <w:color w:val="auto"/>
          <w:sz w:val="24"/>
          <w:highlight w:val="none"/>
          <w:u w:val="dotted"/>
        </w:rPr>
        <w:t xml:space="preserve">              </w:t>
      </w:r>
    </w:p>
    <w:p w14:paraId="21EC3503">
      <w:pPr>
        <w:spacing w:line="360" w:lineRule="auto"/>
        <w:rPr>
          <w:rFonts w:hint="eastAsia" w:ascii="宋体" w:hAnsi="宋体" w:cs="宋体"/>
          <w:color w:val="auto"/>
          <w:sz w:val="24"/>
          <w:highlight w:val="none"/>
        </w:rPr>
      </w:pPr>
      <w:r>
        <w:rPr>
          <w:rFonts w:hint="eastAsia" w:ascii="宋体" w:hAnsi="宋体" w:cs="宋体"/>
          <w:color w:val="auto"/>
          <w:sz w:val="24"/>
          <w:highlight w:val="none"/>
        </w:rPr>
        <w:t>采购人名称：</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7DBA84A2">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代理机构名称：</w:t>
      </w:r>
      <w:r>
        <w:rPr>
          <w:rFonts w:hint="eastAsia" w:ascii="宋体" w:hAnsi="宋体" w:cs="宋体"/>
          <w:color w:val="auto"/>
          <w:sz w:val="24"/>
          <w:highlight w:val="none"/>
          <w:u w:val="dotted"/>
        </w:rPr>
        <w:t xml:space="preserve">                                         </w:t>
      </w:r>
    </w:p>
    <w:p w14:paraId="777F452B">
      <w:pPr>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采购文件公告:</w:t>
      </w:r>
      <w:r>
        <w:rPr>
          <w:rFonts w:hint="eastAsia" w:ascii="宋体" w:hAnsi="宋体" w:cs="宋体"/>
          <w:color w:val="auto"/>
          <w:sz w:val="24"/>
          <w:highlight w:val="none"/>
          <w:u w:val="dotted"/>
        </w:rPr>
        <w:t xml:space="preserve">是/否 </w:t>
      </w:r>
      <w:r>
        <w:rPr>
          <w:rFonts w:hint="eastAsia" w:ascii="宋体" w:hAnsi="宋体" w:cs="宋体"/>
          <w:color w:val="auto"/>
          <w:sz w:val="24"/>
          <w:highlight w:val="none"/>
        </w:rPr>
        <w:t>公告期限：</w:t>
      </w:r>
      <w:r>
        <w:rPr>
          <w:rFonts w:hint="eastAsia" w:ascii="宋体" w:hAnsi="宋体" w:cs="宋体"/>
          <w:color w:val="auto"/>
          <w:sz w:val="24"/>
          <w:highlight w:val="none"/>
          <w:u w:val="dotted"/>
        </w:rPr>
        <w:t xml:space="preserve">                                 </w:t>
      </w:r>
    </w:p>
    <w:p w14:paraId="688D6872">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采购结果公告:</w:t>
      </w:r>
      <w:r>
        <w:rPr>
          <w:rFonts w:hint="eastAsia" w:ascii="宋体" w:hAnsi="宋体" w:cs="宋体"/>
          <w:color w:val="auto"/>
          <w:sz w:val="24"/>
          <w:highlight w:val="none"/>
          <w:u w:val="dotted"/>
        </w:rPr>
        <w:t xml:space="preserve">是/否 </w:t>
      </w:r>
      <w:r>
        <w:rPr>
          <w:rFonts w:hint="eastAsia" w:ascii="宋体" w:hAnsi="宋体" w:cs="宋体"/>
          <w:color w:val="auto"/>
          <w:sz w:val="24"/>
          <w:highlight w:val="none"/>
        </w:rPr>
        <w:t>公告期限：</w:t>
      </w:r>
      <w:r>
        <w:rPr>
          <w:rFonts w:hint="eastAsia" w:ascii="宋体" w:hAnsi="宋体" w:cs="宋体"/>
          <w:color w:val="auto"/>
          <w:sz w:val="24"/>
          <w:highlight w:val="none"/>
          <w:u w:val="dotted"/>
        </w:rPr>
        <w:t xml:space="preserve">                        </w:t>
      </w:r>
    </w:p>
    <w:p w14:paraId="13ECD7ED">
      <w:pPr>
        <w:spacing w:line="360" w:lineRule="auto"/>
        <w:rPr>
          <w:rFonts w:hint="eastAsia" w:ascii="宋体" w:hAnsi="宋体" w:cs="宋体"/>
          <w:color w:val="auto"/>
          <w:sz w:val="24"/>
          <w:highlight w:val="none"/>
        </w:rPr>
      </w:pPr>
      <w:r>
        <w:rPr>
          <w:rFonts w:hint="eastAsia" w:ascii="宋体" w:hAnsi="宋体" w:cs="宋体"/>
          <w:color w:val="auto"/>
          <w:sz w:val="24"/>
          <w:highlight w:val="none"/>
        </w:rPr>
        <w:t>三、质疑基本情况</w:t>
      </w:r>
    </w:p>
    <w:p w14:paraId="002451E7">
      <w:pPr>
        <w:spacing w:line="360" w:lineRule="auto"/>
        <w:ind w:firstLine="480" w:firstLineChars="200"/>
        <w:rPr>
          <w:rFonts w:hint="eastAsia" w:ascii="宋体" w:hAnsi="宋体" w:cs="宋体"/>
          <w:color w:val="auto"/>
          <w:sz w:val="24"/>
          <w:highlight w:val="none"/>
          <w:u w:val="dotted"/>
        </w:rPr>
      </w:pPr>
      <w:r>
        <w:rPr>
          <w:rFonts w:hint="eastAsia" w:ascii="宋体" w:hAnsi="宋体" w:cs="宋体"/>
          <w:color w:val="auto"/>
          <w:sz w:val="24"/>
          <w:highlight w:val="none"/>
        </w:rPr>
        <w:t>投诉人于</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日,向</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提出质疑，质疑事项为：</w:t>
      </w:r>
      <w:r>
        <w:rPr>
          <w:rFonts w:hint="eastAsia" w:ascii="宋体" w:hAnsi="宋体" w:cs="宋体"/>
          <w:color w:val="auto"/>
          <w:sz w:val="24"/>
          <w:highlight w:val="none"/>
          <w:u w:val="dotted"/>
        </w:rPr>
        <w:t xml:space="preserve">                                </w:t>
      </w:r>
    </w:p>
    <w:p w14:paraId="0C66C43E">
      <w:pPr>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5D833047">
      <w:pPr>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u w:val="dotted"/>
        </w:rPr>
        <w:t>采购人/代理机构</w:t>
      </w:r>
      <w:r>
        <w:rPr>
          <w:rFonts w:hint="eastAsia" w:ascii="宋体" w:hAnsi="宋体" w:cs="宋体"/>
          <w:color w:val="auto"/>
          <w:sz w:val="24"/>
          <w:highlight w:val="none"/>
        </w:rPr>
        <w:t>于</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日,就质疑事项作出了答复/没有在法定期限内作出答复。</w:t>
      </w:r>
    </w:p>
    <w:p w14:paraId="0CDFED07">
      <w:pPr>
        <w:spacing w:line="360" w:lineRule="auto"/>
        <w:rPr>
          <w:rFonts w:hint="eastAsia" w:ascii="宋体" w:hAnsi="宋体" w:cs="宋体"/>
          <w:color w:val="auto"/>
          <w:sz w:val="24"/>
          <w:highlight w:val="none"/>
        </w:rPr>
      </w:pPr>
      <w:r>
        <w:rPr>
          <w:rFonts w:hint="eastAsia" w:ascii="宋体" w:hAnsi="宋体" w:cs="宋体"/>
          <w:color w:val="auto"/>
          <w:sz w:val="24"/>
          <w:highlight w:val="none"/>
        </w:rPr>
        <w:t>四、投诉事项具体内容</w:t>
      </w:r>
    </w:p>
    <w:p w14:paraId="0594D68D">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投诉事项 1：</w:t>
      </w:r>
      <w:r>
        <w:rPr>
          <w:rFonts w:hint="eastAsia" w:ascii="宋体" w:hAnsi="宋体" w:cs="宋体"/>
          <w:color w:val="auto"/>
          <w:sz w:val="24"/>
          <w:highlight w:val="none"/>
          <w:u w:val="dotted"/>
        </w:rPr>
        <w:t xml:space="preserve">                                       </w:t>
      </w:r>
    </w:p>
    <w:p w14:paraId="39F78AC2">
      <w:pPr>
        <w:spacing w:line="360" w:lineRule="auto"/>
        <w:rPr>
          <w:rFonts w:hint="eastAsia" w:ascii="宋体" w:hAnsi="宋体" w:cs="宋体"/>
          <w:color w:val="auto"/>
          <w:sz w:val="24"/>
          <w:highlight w:val="none"/>
        </w:rPr>
      </w:pPr>
      <w:r>
        <w:rPr>
          <w:rFonts w:hint="eastAsia" w:ascii="宋体" w:hAnsi="宋体" w:cs="宋体"/>
          <w:color w:val="auto"/>
          <w:sz w:val="24"/>
          <w:highlight w:val="none"/>
        </w:rPr>
        <w:t>事实依据：</w:t>
      </w:r>
      <w:r>
        <w:rPr>
          <w:rFonts w:hint="eastAsia" w:ascii="宋体" w:hAnsi="宋体" w:cs="宋体"/>
          <w:color w:val="auto"/>
          <w:sz w:val="24"/>
          <w:highlight w:val="none"/>
          <w:u w:val="dotted"/>
        </w:rPr>
        <w:t xml:space="preserve">                                         </w:t>
      </w:r>
    </w:p>
    <w:p w14:paraId="6892FC68">
      <w:pPr>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u w:val="dotted"/>
        </w:rPr>
        <w:t xml:space="preserve">                                                      </w:t>
      </w:r>
    </w:p>
    <w:p w14:paraId="69EA0A01">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法律依据：</w:t>
      </w:r>
      <w:r>
        <w:rPr>
          <w:rFonts w:hint="eastAsia" w:ascii="宋体" w:hAnsi="宋体" w:cs="宋体"/>
          <w:color w:val="auto"/>
          <w:sz w:val="24"/>
          <w:highlight w:val="none"/>
          <w:u w:val="dotted"/>
        </w:rPr>
        <w:t xml:space="preserve">                                          </w:t>
      </w:r>
    </w:p>
    <w:p w14:paraId="528EBB9A">
      <w:pPr>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u w:val="dotted"/>
        </w:rPr>
        <w:t xml:space="preserve">                                                      </w:t>
      </w:r>
    </w:p>
    <w:p w14:paraId="48BFEAB9">
      <w:pPr>
        <w:spacing w:line="360" w:lineRule="auto"/>
        <w:rPr>
          <w:rFonts w:hint="eastAsia" w:ascii="宋体" w:hAnsi="宋体" w:cs="宋体"/>
          <w:color w:val="auto"/>
          <w:sz w:val="24"/>
          <w:highlight w:val="none"/>
        </w:rPr>
      </w:pPr>
      <w:r>
        <w:rPr>
          <w:rFonts w:hint="eastAsia" w:ascii="宋体" w:hAnsi="宋体" w:cs="宋体"/>
          <w:color w:val="auto"/>
          <w:sz w:val="24"/>
          <w:highlight w:val="none"/>
        </w:rPr>
        <w:t>投诉事项2</w:t>
      </w:r>
    </w:p>
    <w:p w14:paraId="059C84A4">
      <w:pPr>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w:t>
      </w:r>
    </w:p>
    <w:p w14:paraId="60993B5A">
      <w:pPr>
        <w:spacing w:line="360" w:lineRule="auto"/>
        <w:rPr>
          <w:rFonts w:hint="eastAsia" w:ascii="宋体" w:hAnsi="宋体" w:cs="宋体"/>
          <w:color w:val="auto"/>
          <w:sz w:val="24"/>
          <w:highlight w:val="none"/>
        </w:rPr>
      </w:pPr>
      <w:r>
        <w:rPr>
          <w:rFonts w:hint="eastAsia" w:ascii="宋体" w:hAnsi="宋体" w:cs="宋体"/>
          <w:color w:val="auto"/>
          <w:sz w:val="24"/>
          <w:highlight w:val="none"/>
        </w:rPr>
        <w:t>五、与投诉事项相关的投诉请求</w:t>
      </w:r>
    </w:p>
    <w:p w14:paraId="7186D93D">
      <w:pPr>
        <w:spacing w:line="360" w:lineRule="auto"/>
        <w:rPr>
          <w:rFonts w:hint="eastAsia" w:ascii="宋体" w:hAnsi="宋体" w:cs="宋体"/>
          <w:color w:val="auto"/>
          <w:sz w:val="24"/>
          <w:highlight w:val="none"/>
        </w:rPr>
      </w:pPr>
      <w:r>
        <w:rPr>
          <w:rFonts w:hint="eastAsia" w:ascii="宋体" w:hAnsi="宋体" w:cs="宋体"/>
          <w:color w:val="auto"/>
          <w:sz w:val="24"/>
          <w:highlight w:val="none"/>
        </w:rPr>
        <w:t>请求：</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5D48E86D">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 xml:space="preserve">                                                                                                    </w:t>
      </w:r>
    </w:p>
    <w:p w14:paraId="510993C2">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签字(签章)：                   公章：                      </w:t>
      </w:r>
    </w:p>
    <w:p w14:paraId="77766479">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日期：    </w:t>
      </w:r>
    </w:p>
    <w:p w14:paraId="13F95E7C">
      <w:pPr>
        <w:spacing w:line="360" w:lineRule="auto"/>
        <w:rPr>
          <w:rFonts w:hint="eastAsia" w:ascii="宋体" w:hAnsi="宋体" w:cs="宋体"/>
          <w:b/>
          <w:color w:val="auto"/>
          <w:sz w:val="24"/>
          <w:highlight w:val="none"/>
        </w:rPr>
      </w:pPr>
    </w:p>
    <w:p w14:paraId="60AA7D82">
      <w:pPr>
        <w:spacing w:line="360" w:lineRule="auto"/>
        <w:rPr>
          <w:rFonts w:hint="eastAsia" w:ascii="宋体" w:hAnsi="宋体" w:cs="宋体"/>
          <w:b/>
          <w:color w:val="auto"/>
          <w:sz w:val="24"/>
          <w:highlight w:val="none"/>
        </w:rPr>
      </w:pPr>
    </w:p>
    <w:p w14:paraId="079DC27D">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投诉书制作说明：</w:t>
      </w:r>
    </w:p>
    <w:p w14:paraId="4A3AFC38">
      <w:pPr>
        <w:widowControl/>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sz w:val="24"/>
          <w:highlight w:val="none"/>
        </w:rPr>
        <w:t>1.投诉人提起投诉时，应当提交投诉书和必要的证明材料，并按照被投诉人和与投诉事项有关的供应商数量提供投诉书副本。</w:t>
      </w:r>
    </w:p>
    <w:p w14:paraId="53EABCC5">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2.投诉人若委托代理人进行投诉的，投诉书应按照要求列明“授权代表”的有关内容，并在附件中提交由</w:t>
      </w:r>
      <w:r>
        <w:rPr>
          <w:rFonts w:hint="eastAsia" w:ascii="宋体" w:hAnsi="宋体" w:cs="宋体"/>
          <w:color w:val="auto"/>
          <w:kern w:val="0"/>
          <w:sz w:val="24"/>
          <w:highlight w:val="none"/>
        </w:rPr>
        <w:t>投诉人签署的授权委托书。授权委托书应当载明代理人的姓名或者名称、代理事项、具体权限、期限和相关事项。</w:t>
      </w:r>
    </w:p>
    <w:p w14:paraId="6F58B5E5">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3.投诉人若对项目的某一分包进行投诉，投诉书应列明具体分包号。</w:t>
      </w:r>
    </w:p>
    <w:p w14:paraId="3946F459">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4.投诉书应简要列明质疑事项，质疑函、质疑答复等作为附件材料提供。</w:t>
      </w:r>
    </w:p>
    <w:p w14:paraId="7218D25F">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5.投诉书的投诉事项应具体、明确，并有必要的事实依据和法律依据。</w:t>
      </w:r>
    </w:p>
    <w:p w14:paraId="3D4B70C3">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6.投诉书的投诉请求应与投诉事项相关。</w:t>
      </w:r>
    </w:p>
    <w:p w14:paraId="1231B233">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7.投诉人为自然人的，投诉书应当由本人签字；投诉人为法人或者其他组织的，投诉书应当由法定代表人、主要负责人，或者其授权代表签字或者盖章，并加盖公章。</w:t>
      </w:r>
    </w:p>
    <w:p w14:paraId="178DFB56">
      <w:pPr>
        <w:spacing w:line="360" w:lineRule="auto"/>
        <w:rPr>
          <w:rFonts w:hint="eastAsia" w:ascii="宋体" w:hAnsi="宋体" w:cs="宋体"/>
          <w:b/>
          <w:color w:val="auto"/>
          <w:sz w:val="24"/>
          <w:highlight w:val="none"/>
        </w:rPr>
      </w:pPr>
    </w:p>
    <w:p w14:paraId="3CEFDD8C">
      <w:pPr>
        <w:autoSpaceDE w:val="0"/>
        <w:autoSpaceDN w:val="0"/>
        <w:jc w:val="center"/>
        <w:rPr>
          <w:rFonts w:hint="eastAsia" w:ascii="宋体" w:hAnsi="宋体" w:cs="宋体"/>
          <w:b/>
          <w:color w:val="auto"/>
          <w:spacing w:val="6"/>
          <w:sz w:val="32"/>
          <w:szCs w:val="32"/>
          <w:highlight w:val="none"/>
        </w:rPr>
      </w:pPr>
    </w:p>
    <w:p w14:paraId="59130C64">
      <w:pPr>
        <w:rPr>
          <w:rFonts w:hint="eastAsia" w:ascii="宋体" w:hAnsi="宋体" w:cs="宋体"/>
          <w:b/>
          <w:color w:val="auto"/>
          <w:spacing w:val="6"/>
          <w:sz w:val="32"/>
          <w:szCs w:val="32"/>
          <w:highlight w:val="none"/>
        </w:rPr>
      </w:pPr>
      <w:r>
        <w:rPr>
          <w:rFonts w:hint="eastAsia" w:ascii="宋体" w:hAnsi="宋体" w:cs="宋体"/>
          <w:b/>
          <w:color w:val="auto"/>
          <w:spacing w:val="6"/>
          <w:sz w:val="32"/>
          <w:szCs w:val="32"/>
          <w:highlight w:val="none"/>
        </w:rPr>
        <w:br w:type="page"/>
      </w:r>
    </w:p>
    <w:p w14:paraId="4ACF2B93">
      <w:pPr>
        <w:autoSpaceDE w:val="0"/>
        <w:autoSpaceDN w:val="0"/>
        <w:jc w:val="center"/>
        <w:rPr>
          <w:rFonts w:hint="eastAsia" w:ascii="宋体" w:hAnsi="宋体" w:cs="宋体"/>
          <w:b/>
          <w:bCs/>
          <w:color w:val="auto"/>
          <w:sz w:val="32"/>
          <w:szCs w:val="32"/>
          <w:highlight w:val="none"/>
        </w:rPr>
      </w:pPr>
      <w:r>
        <w:rPr>
          <w:rFonts w:hint="eastAsia" w:ascii="宋体" w:hAnsi="宋体" w:cs="宋体"/>
          <w:b/>
          <w:color w:val="auto"/>
          <w:spacing w:val="6"/>
          <w:sz w:val="32"/>
          <w:szCs w:val="32"/>
          <w:highlight w:val="none"/>
        </w:rPr>
        <w:t>附件4：</w:t>
      </w:r>
      <w:r>
        <w:rPr>
          <w:rFonts w:hint="eastAsia" w:ascii="宋体" w:hAnsi="宋体" w:cs="宋体"/>
          <w:b/>
          <w:bCs/>
          <w:color w:val="auto"/>
          <w:sz w:val="32"/>
          <w:szCs w:val="32"/>
          <w:highlight w:val="none"/>
        </w:rPr>
        <w:t>业务专用章使用说明函</w:t>
      </w:r>
    </w:p>
    <w:p w14:paraId="08C778AD">
      <w:pPr>
        <w:spacing w:line="360" w:lineRule="auto"/>
        <w:rPr>
          <w:rFonts w:hint="eastAsia" w:ascii="宋体" w:hAnsi="宋体" w:cs="宋体"/>
          <w:color w:val="auto"/>
          <w:sz w:val="24"/>
          <w:highlight w:val="none"/>
          <w:u w:val="single"/>
        </w:rPr>
      </w:pPr>
    </w:p>
    <w:p w14:paraId="676D4941">
      <w:pPr>
        <w:spacing w:line="360" w:lineRule="auto"/>
        <w:rPr>
          <w:rFonts w:hint="eastAsia" w:ascii="宋体" w:hAnsi="宋体" w:cs="宋体"/>
          <w:color w:val="auto"/>
          <w:sz w:val="24"/>
          <w:highlight w:val="none"/>
        </w:rPr>
      </w:pPr>
      <w:r>
        <w:rPr>
          <w:rFonts w:hint="eastAsia" w:ascii="宋体" w:hAnsi="宋体" w:cs="宋体"/>
          <w:color w:val="auto"/>
          <w:sz w:val="24"/>
          <w:highlight w:val="none"/>
          <w:u w:val="single"/>
        </w:rPr>
        <w:t>（采购人）、（采购代理机构）</w:t>
      </w:r>
    </w:p>
    <w:p w14:paraId="66A03C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kern w:val="0"/>
          <w:sz w:val="24"/>
          <w:highlight w:val="none"/>
          <w:lang w:val="zh-CN"/>
        </w:rPr>
        <w:t>我方</w:t>
      </w:r>
      <w:r>
        <w:rPr>
          <w:rFonts w:hint="eastAsia" w:ascii="宋体" w:hAnsi="宋体" w:cs="宋体"/>
          <w:color w:val="auto"/>
          <w:kern w:val="0"/>
          <w:sz w:val="24"/>
          <w:highlight w:val="none"/>
          <w:u w:val="single"/>
          <w:lang w:val="zh-CN"/>
        </w:rPr>
        <w:t xml:space="preserve">                         </w:t>
      </w:r>
      <w:r>
        <w:rPr>
          <w:rFonts w:hint="eastAsia" w:ascii="宋体" w:hAnsi="宋体" w:cs="宋体"/>
          <w:color w:val="auto"/>
          <w:sz w:val="24"/>
          <w:highlight w:val="none"/>
        </w:rPr>
        <w:t>(供应商全称)是中华人民共和国依法登记注册的合法企业，</w:t>
      </w:r>
      <w:r>
        <w:rPr>
          <w:rFonts w:hint="eastAsia" w:ascii="宋体" w:hAnsi="宋体" w:cs="宋体"/>
          <w:bCs/>
          <w:color w:val="auto"/>
          <w:sz w:val="24"/>
          <w:highlight w:val="none"/>
        </w:rPr>
        <w:t>在参加</w:t>
      </w:r>
      <w:r>
        <w:rPr>
          <w:rFonts w:hint="eastAsia" w:ascii="宋体" w:hAnsi="宋体" w:cs="宋体"/>
          <w:color w:val="auto"/>
          <w:sz w:val="24"/>
          <w:highlight w:val="none"/>
        </w:rPr>
        <w:t>你方组织的（项目名称）项目【项目编号：（采购编号）】</w:t>
      </w:r>
      <w:r>
        <w:rPr>
          <w:rFonts w:hint="eastAsia" w:ascii="宋体" w:hAnsi="宋体" w:cs="宋体"/>
          <w:bCs/>
          <w:color w:val="auto"/>
          <w:sz w:val="24"/>
          <w:highlight w:val="none"/>
        </w:rPr>
        <w:t>投标活动中作如下说明：</w:t>
      </w:r>
      <w:r>
        <w:rPr>
          <w:rFonts w:hint="eastAsia" w:ascii="宋体" w:hAnsi="宋体" w:cs="宋体"/>
          <w:color w:val="auto"/>
          <w:sz w:val="24"/>
          <w:highlight w:val="none"/>
        </w:rPr>
        <w:t xml:space="preserve">我方所使用的“XX专用章”与法定名称章具有同等的法律效力，对使用“XX专用章”的行为予以完全承认，并愿意承担相应责任。   </w:t>
      </w:r>
    </w:p>
    <w:p w14:paraId="2C41885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特此说明。</w:t>
      </w:r>
    </w:p>
    <w:p w14:paraId="6917FB0B">
      <w:pPr>
        <w:spacing w:line="360" w:lineRule="auto"/>
        <w:ind w:firstLine="494"/>
        <w:rPr>
          <w:rFonts w:hint="eastAsia" w:ascii="宋体" w:hAnsi="宋体" w:cs="宋体"/>
          <w:color w:val="auto"/>
          <w:sz w:val="24"/>
          <w:highlight w:val="none"/>
        </w:rPr>
      </w:pPr>
    </w:p>
    <w:p w14:paraId="5806D0DA">
      <w:pPr>
        <w:spacing w:line="360" w:lineRule="auto"/>
        <w:ind w:firstLine="494"/>
        <w:rPr>
          <w:rFonts w:hint="eastAsia" w:ascii="宋体" w:hAnsi="宋体" w:cs="宋体"/>
          <w:color w:val="auto"/>
          <w:sz w:val="24"/>
          <w:highlight w:val="none"/>
        </w:rPr>
      </w:pPr>
    </w:p>
    <w:p w14:paraId="18871EB4">
      <w:pPr>
        <w:spacing w:line="360" w:lineRule="auto"/>
        <w:ind w:firstLine="494"/>
        <w:rPr>
          <w:rFonts w:hint="eastAsia" w:ascii="宋体" w:hAnsi="宋体" w:cs="宋体"/>
          <w:color w:val="auto"/>
          <w:sz w:val="24"/>
          <w:highlight w:val="none"/>
        </w:rPr>
      </w:pPr>
    </w:p>
    <w:p w14:paraId="12B19B43">
      <w:pPr>
        <w:spacing w:line="360" w:lineRule="auto"/>
        <w:ind w:firstLine="494"/>
        <w:rPr>
          <w:rFonts w:hint="eastAsia" w:ascii="宋体" w:hAnsi="宋体" w:cs="宋体"/>
          <w:color w:val="auto"/>
          <w:sz w:val="24"/>
          <w:highlight w:val="none"/>
        </w:rPr>
      </w:pPr>
    </w:p>
    <w:p w14:paraId="429E11D6">
      <w:pPr>
        <w:spacing w:line="360" w:lineRule="auto"/>
        <w:ind w:right="480" w:firstLine="4080" w:firstLineChars="1700"/>
        <w:rPr>
          <w:rFonts w:hint="eastAsia" w:ascii="宋体" w:hAnsi="宋体" w:cs="宋体"/>
          <w:color w:val="auto"/>
          <w:sz w:val="24"/>
          <w:highlight w:val="none"/>
        </w:rPr>
      </w:pPr>
      <w:r>
        <w:rPr>
          <w:rFonts w:hint="eastAsia" w:ascii="宋体" w:hAnsi="宋体" w:cs="宋体"/>
          <w:color w:val="auto"/>
          <w:sz w:val="24"/>
          <w:highlight w:val="none"/>
        </w:rPr>
        <w:t>供应商（法定名称章）：</w:t>
      </w:r>
    </w:p>
    <w:p w14:paraId="451F16EF">
      <w:pPr>
        <w:ind w:right="1440" w:firstLine="494"/>
        <w:jc w:val="center"/>
        <w:rPr>
          <w:rFonts w:hint="eastAsia" w:ascii="宋体" w:hAnsi="宋体" w:cs="宋体"/>
          <w:color w:val="auto"/>
          <w:sz w:val="24"/>
          <w:highlight w:val="none"/>
        </w:rPr>
      </w:pPr>
      <w:r>
        <w:rPr>
          <w:rFonts w:hint="eastAsia" w:ascii="宋体" w:hAnsi="宋体" w:cs="宋体"/>
          <w:color w:val="auto"/>
          <w:sz w:val="24"/>
          <w:highlight w:val="none"/>
        </w:rPr>
        <w:t xml:space="preserve">                              日期：       年     月     日</w:t>
      </w:r>
    </w:p>
    <w:p w14:paraId="54BFA0A5">
      <w:pPr>
        <w:rPr>
          <w:rFonts w:hint="eastAsia" w:ascii="宋体" w:hAnsi="宋体" w:cs="宋体"/>
          <w:color w:val="auto"/>
          <w:sz w:val="24"/>
          <w:highlight w:val="none"/>
        </w:rPr>
      </w:pPr>
      <w:r>
        <w:rPr>
          <w:rFonts w:hint="eastAsia" w:ascii="宋体" w:hAnsi="宋体" w:cs="宋体"/>
          <w:b/>
          <w:bCs/>
          <w:color w:val="auto"/>
          <w:sz w:val="24"/>
          <w:highlight w:val="none"/>
        </w:rPr>
        <w:t>附：</w:t>
      </w:r>
    </w:p>
    <w:p w14:paraId="5682C144">
      <w:pPr>
        <w:spacing w:line="360" w:lineRule="auto"/>
        <w:rPr>
          <w:rFonts w:hint="eastAsia" w:ascii="宋体" w:hAnsi="宋体" w:cs="宋体"/>
          <w:bCs/>
          <w:color w:val="auto"/>
          <w:sz w:val="24"/>
          <w:highlight w:val="none"/>
        </w:rPr>
      </w:pPr>
      <w:r>
        <w:rPr>
          <w:rFonts w:ascii="宋体" w:hAnsi="宋体" w:cs="宋体"/>
          <w:b/>
          <w:bCs/>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3034030</wp:posOffset>
                </wp:positionH>
                <wp:positionV relativeFrom="paragraph">
                  <wp:posOffset>356235</wp:posOffset>
                </wp:positionV>
                <wp:extent cx="2704465" cy="2253615"/>
                <wp:effectExtent l="10160" t="13335" r="9525" b="9525"/>
                <wp:wrapNone/>
                <wp:docPr id="3" name="Rectangle 17"/>
                <wp:cNvGraphicFramePr/>
                <a:graphic xmlns:a="http://schemas.openxmlformats.org/drawingml/2006/main">
                  <a:graphicData uri="http://schemas.microsoft.com/office/word/2010/wordprocessingShape">
                    <wps:wsp>
                      <wps:cNvSpPr>
                        <a:spLocks noChangeArrowheads="1"/>
                      </wps:cNvSpPr>
                      <wps:spPr bwMode="auto">
                        <a:xfrm>
                          <a:off x="0" y="0"/>
                          <a:ext cx="2704465"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17" o:spid="_x0000_s1026" o:spt="1" style="position:absolute;left:0pt;margin-left:238.9pt;margin-top:28.05pt;height:177.45pt;width:212.95pt;z-index:-251655168;mso-width-relative:page;mso-height-relative:page;" fillcolor="#FFFFFF" filled="t" stroked="t" coordsize="21600,21600" o:gfxdata="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1kA8/2AAAAAoBAAAPAAAAAAAAAAEAIAAAACIAAABkcnMvZG93bnJldi54bWxQSwECFAAU&#10;AAAACACHTuJA4teYCSoCAAB0BAAADgAAAAAAAAABACAAAAAnAQAAZHJzL2Uyb0RvYy54bWxQSwUG&#10;AAAAAAYABgBZAQAAwwUAAAAA&#10;">
                <v:fill on="t" focussize="0,0"/>
                <v:stroke color="#000000" miterlimit="2" joinstyle="miter"/>
                <v:imagedata o:title=""/>
                <o:lock v:ext="edit" aspectratio="f"/>
              </v:rect>
            </w:pict>
          </mc:Fallback>
        </mc:AlternateContent>
      </w:r>
      <w:r>
        <w:rPr>
          <w:rFonts w:ascii="宋体" w:hAnsi="宋体" w:cs="宋体"/>
          <w:b/>
          <w:bCs/>
          <w:color w:val="auto"/>
          <w:sz w:val="24"/>
          <w:highlight w:val="none"/>
        </w:rPr>
        <mc:AlternateContent>
          <mc:Choice Requires="wps">
            <w:drawing>
              <wp:anchor distT="0" distB="0" distL="114300" distR="114300" simplePos="0" relativeHeight="251662336" behindDoc="1" locked="0" layoutInCell="1" allowOverlap="1">
                <wp:simplePos x="0" y="0"/>
                <wp:positionH relativeFrom="column">
                  <wp:posOffset>-91440</wp:posOffset>
                </wp:positionH>
                <wp:positionV relativeFrom="paragraph">
                  <wp:posOffset>384810</wp:posOffset>
                </wp:positionV>
                <wp:extent cx="2647950" cy="2253615"/>
                <wp:effectExtent l="8890" t="13335" r="10160" b="9525"/>
                <wp:wrapNone/>
                <wp:docPr id="4" name="Rectangle 16"/>
                <wp:cNvGraphicFramePr/>
                <a:graphic xmlns:a="http://schemas.openxmlformats.org/drawingml/2006/main">
                  <a:graphicData uri="http://schemas.microsoft.com/office/word/2010/wordprocessingShape">
                    <wps:wsp>
                      <wps:cNvSpPr>
                        <a:spLocks noChangeArrowheads="1"/>
                      </wps:cNvSpPr>
                      <wps:spPr bwMode="auto">
                        <a:xfrm>
                          <a:off x="0" y="0"/>
                          <a:ext cx="2647950"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16" o:spid="_x0000_s1026" o:spt="1" style="position:absolute;left:0pt;margin-left:-7.2pt;margin-top:30.3pt;height:177.45pt;width:208.5pt;z-index:-251654144;mso-width-relative:page;mso-height-relative:page;" fillcolor="#FFFFFF" filled="t" stroked="t" coordsize="21600,21600" o:gfxdata="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ZjEem2AAAAAoBAAAPAAAAAAAAAAEAIAAAACIAAABkcnMvZG93bnJldi54bWxQSwECFAAU&#10;AAAACACHTuJAd4J9RCoCAAB0BAAADgAAAAAAAAABACAAAAAnAQAAZHJzL2Uyb0RvYy54bWxQSwUG&#10;AAAAAAYABgBZAQAAwwUAAAAA&#10;">
                <v:fill on="t" focussize="0,0"/>
                <v:stroke color="#000000" miterlimit="2" joinstyle="miter"/>
                <v:imagedata o:title=""/>
                <o:lock v:ext="edit" aspectratio="f"/>
              </v:rect>
            </w:pict>
          </mc:Fallback>
        </mc:AlternateContent>
      </w:r>
      <w:r>
        <w:rPr>
          <w:rFonts w:hint="eastAsia" w:ascii="宋体" w:hAnsi="宋体" w:cs="宋体"/>
          <w:b/>
          <w:bCs/>
          <w:color w:val="auto"/>
          <w:sz w:val="24"/>
          <w:highlight w:val="none"/>
        </w:rPr>
        <w:t>供应商</w:t>
      </w:r>
      <w:r>
        <w:rPr>
          <w:rFonts w:hint="eastAsia" w:ascii="宋体" w:hAnsi="宋体" w:cs="宋体"/>
          <w:color w:val="auto"/>
          <w:sz w:val="24"/>
          <w:highlight w:val="none"/>
        </w:rPr>
        <w:t>法定名称章（印模）                供应商“XX专用章”（印模）</w:t>
      </w:r>
    </w:p>
    <w:p w14:paraId="713D3A0C">
      <w:pPr>
        <w:autoSpaceDE w:val="0"/>
        <w:autoSpaceDN w:val="0"/>
        <w:jc w:val="center"/>
        <w:rPr>
          <w:rFonts w:hint="eastAsia" w:ascii="宋体" w:hAnsi="宋体" w:cs="宋体"/>
          <w:b/>
          <w:color w:val="auto"/>
          <w:spacing w:val="6"/>
          <w:sz w:val="32"/>
          <w:szCs w:val="32"/>
          <w:highlight w:val="none"/>
        </w:rPr>
      </w:pPr>
    </w:p>
    <w:p w14:paraId="54E8D139">
      <w:pPr>
        <w:autoSpaceDE w:val="0"/>
        <w:autoSpaceDN w:val="0"/>
        <w:jc w:val="center"/>
        <w:rPr>
          <w:rFonts w:hint="eastAsia" w:ascii="宋体" w:hAnsi="宋体" w:cs="宋体"/>
          <w:b/>
          <w:color w:val="auto"/>
          <w:spacing w:val="6"/>
          <w:sz w:val="32"/>
          <w:szCs w:val="32"/>
          <w:highlight w:val="none"/>
        </w:rPr>
      </w:pPr>
    </w:p>
    <w:p w14:paraId="02AF6315">
      <w:pPr>
        <w:autoSpaceDE w:val="0"/>
        <w:autoSpaceDN w:val="0"/>
        <w:jc w:val="center"/>
        <w:rPr>
          <w:rFonts w:hint="eastAsia" w:ascii="宋体" w:hAnsi="宋体" w:cs="宋体"/>
          <w:b/>
          <w:color w:val="auto"/>
          <w:spacing w:val="6"/>
          <w:sz w:val="32"/>
          <w:szCs w:val="32"/>
          <w:highlight w:val="none"/>
        </w:rPr>
      </w:pPr>
    </w:p>
    <w:p w14:paraId="1D78DB45">
      <w:pPr>
        <w:autoSpaceDE w:val="0"/>
        <w:autoSpaceDN w:val="0"/>
        <w:jc w:val="center"/>
        <w:rPr>
          <w:rFonts w:hint="eastAsia" w:ascii="宋体" w:hAnsi="宋体" w:cs="宋体"/>
          <w:b/>
          <w:color w:val="auto"/>
          <w:spacing w:val="6"/>
          <w:sz w:val="32"/>
          <w:szCs w:val="32"/>
          <w:highlight w:val="none"/>
        </w:rPr>
      </w:pPr>
    </w:p>
    <w:p w14:paraId="4080BA37">
      <w:pPr>
        <w:autoSpaceDE w:val="0"/>
        <w:autoSpaceDN w:val="0"/>
        <w:jc w:val="center"/>
        <w:rPr>
          <w:rFonts w:hint="eastAsia" w:ascii="宋体" w:hAnsi="宋体" w:cs="宋体"/>
          <w:b/>
          <w:color w:val="auto"/>
          <w:spacing w:val="6"/>
          <w:sz w:val="32"/>
          <w:szCs w:val="32"/>
          <w:highlight w:val="none"/>
        </w:rPr>
      </w:pPr>
    </w:p>
    <w:p w14:paraId="257499C9">
      <w:pPr>
        <w:autoSpaceDE w:val="0"/>
        <w:autoSpaceDN w:val="0"/>
        <w:jc w:val="center"/>
        <w:rPr>
          <w:rFonts w:hint="eastAsia" w:ascii="宋体" w:hAnsi="宋体" w:cs="宋体"/>
          <w:b/>
          <w:color w:val="auto"/>
          <w:spacing w:val="6"/>
          <w:sz w:val="32"/>
          <w:szCs w:val="32"/>
          <w:highlight w:val="none"/>
        </w:rPr>
      </w:pPr>
    </w:p>
    <w:p w14:paraId="053C8AA4">
      <w:pPr>
        <w:autoSpaceDE w:val="0"/>
        <w:autoSpaceDN w:val="0"/>
        <w:jc w:val="center"/>
        <w:rPr>
          <w:rFonts w:hint="eastAsia" w:ascii="宋体" w:hAnsi="宋体" w:cs="宋体"/>
          <w:b/>
          <w:color w:val="auto"/>
          <w:spacing w:val="6"/>
          <w:sz w:val="32"/>
          <w:szCs w:val="32"/>
          <w:highlight w:val="none"/>
        </w:rPr>
      </w:pPr>
    </w:p>
    <w:p w14:paraId="7E9F6827">
      <w:pPr>
        <w:autoSpaceDE w:val="0"/>
        <w:autoSpaceDN w:val="0"/>
        <w:jc w:val="center"/>
        <w:rPr>
          <w:rFonts w:hint="eastAsia" w:ascii="宋体" w:hAnsi="宋体" w:cs="宋体"/>
          <w:b/>
          <w:color w:val="auto"/>
          <w:spacing w:val="6"/>
          <w:sz w:val="32"/>
          <w:szCs w:val="32"/>
          <w:highlight w:val="none"/>
        </w:rPr>
      </w:pPr>
    </w:p>
    <w:p w14:paraId="446B914F">
      <w:pPr>
        <w:autoSpaceDE w:val="0"/>
        <w:autoSpaceDN w:val="0"/>
        <w:jc w:val="center"/>
        <w:rPr>
          <w:rFonts w:hint="eastAsia" w:ascii="宋体" w:hAnsi="宋体" w:cs="宋体"/>
          <w:b/>
          <w:color w:val="auto"/>
          <w:spacing w:val="6"/>
          <w:sz w:val="32"/>
          <w:szCs w:val="32"/>
          <w:highlight w:val="none"/>
        </w:rPr>
      </w:pPr>
    </w:p>
    <w:p w14:paraId="6DB26853">
      <w:pPr>
        <w:autoSpaceDE w:val="0"/>
        <w:autoSpaceDN w:val="0"/>
        <w:jc w:val="center"/>
        <w:rPr>
          <w:rFonts w:hint="eastAsia" w:ascii="宋体" w:hAnsi="宋体" w:cs="宋体"/>
          <w:b/>
          <w:color w:val="auto"/>
          <w:spacing w:val="6"/>
          <w:sz w:val="32"/>
          <w:szCs w:val="32"/>
          <w:highlight w:val="none"/>
        </w:rPr>
      </w:pPr>
    </w:p>
    <w:p w14:paraId="7059362E">
      <w:pPr>
        <w:autoSpaceDE w:val="0"/>
        <w:autoSpaceDN w:val="0"/>
        <w:jc w:val="center"/>
        <w:rPr>
          <w:rFonts w:hint="eastAsia" w:ascii="宋体" w:hAnsi="宋体" w:cs="宋体"/>
          <w:b/>
          <w:color w:val="auto"/>
          <w:spacing w:val="6"/>
          <w:sz w:val="32"/>
          <w:szCs w:val="32"/>
          <w:highlight w:val="none"/>
        </w:rPr>
      </w:pPr>
    </w:p>
    <w:p w14:paraId="298070A2">
      <w:pPr>
        <w:autoSpaceDE w:val="0"/>
        <w:autoSpaceDN w:val="0"/>
        <w:jc w:val="center"/>
        <w:rPr>
          <w:rFonts w:hint="eastAsia" w:ascii="宋体" w:hAnsi="宋体" w:cs="宋体"/>
          <w:b/>
          <w:color w:val="auto"/>
          <w:spacing w:val="6"/>
          <w:sz w:val="32"/>
          <w:szCs w:val="32"/>
          <w:highlight w:val="none"/>
        </w:rPr>
      </w:pPr>
    </w:p>
    <w:p w14:paraId="3F6DBC4F">
      <w:pPr>
        <w:autoSpaceDE w:val="0"/>
        <w:autoSpaceDN w:val="0"/>
        <w:jc w:val="center"/>
        <w:rPr>
          <w:rFonts w:hint="eastAsia" w:ascii="宋体" w:hAnsi="宋体" w:cs="宋体"/>
          <w:b/>
          <w:color w:val="auto"/>
          <w:spacing w:val="6"/>
          <w:sz w:val="32"/>
          <w:szCs w:val="32"/>
          <w:highlight w:val="none"/>
        </w:rPr>
      </w:pPr>
    </w:p>
    <w:p w14:paraId="6FDE0B26">
      <w:pPr>
        <w:autoSpaceDE w:val="0"/>
        <w:autoSpaceDN w:val="0"/>
        <w:jc w:val="center"/>
        <w:rPr>
          <w:rFonts w:hint="eastAsia" w:ascii="宋体" w:hAnsi="宋体" w:cs="宋体"/>
          <w:b/>
          <w:color w:val="auto"/>
          <w:spacing w:val="6"/>
          <w:sz w:val="32"/>
          <w:szCs w:val="32"/>
          <w:highlight w:val="none"/>
        </w:rPr>
      </w:pPr>
    </w:p>
    <w:p w14:paraId="345E9296">
      <w:pPr>
        <w:autoSpaceDE w:val="0"/>
        <w:autoSpaceDN w:val="0"/>
        <w:jc w:val="center"/>
        <w:rPr>
          <w:rFonts w:hint="eastAsia" w:ascii="宋体" w:hAnsi="宋体" w:cs="宋体"/>
          <w:b/>
          <w:color w:val="auto"/>
          <w:spacing w:val="6"/>
          <w:sz w:val="32"/>
          <w:szCs w:val="32"/>
          <w:highlight w:val="none"/>
        </w:rPr>
      </w:pPr>
    </w:p>
    <w:p w14:paraId="2B2A5FFB">
      <w:pPr>
        <w:autoSpaceDE w:val="0"/>
        <w:autoSpaceDN w:val="0"/>
        <w:jc w:val="center"/>
        <w:rPr>
          <w:rFonts w:hint="eastAsia" w:ascii="宋体" w:hAnsi="宋体" w:cs="宋体"/>
          <w:b/>
          <w:color w:val="auto"/>
          <w:spacing w:val="6"/>
          <w:sz w:val="32"/>
          <w:szCs w:val="32"/>
          <w:highlight w:val="none"/>
        </w:rPr>
      </w:pPr>
    </w:p>
    <w:p w14:paraId="13B0F1B5">
      <w:pPr>
        <w:autoSpaceDE w:val="0"/>
        <w:autoSpaceDN w:val="0"/>
        <w:jc w:val="center"/>
        <w:rPr>
          <w:rFonts w:hint="eastAsia" w:ascii="宋体" w:hAnsi="宋体" w:cs="宋体"/>
          <w:b/>
          <w:color w:val="auto"/>
          <w:spacing w:val="6"/>
          <w:sz w:val="32"/>
          <w:szCs w:val="32"/>
          <w:highlight w:val="none"/>
        </w:rPr>
      </w:pPr>
    </w:p>
    <w:p w14:paraId="06357836">
      <w:pPr>
        <w:autoSpaceDE w:val="0"/>
        <w:autoSpaceDN w:val="0"/>
        <w:jc w:val="center"/>
        <w:rPr>
          <w:rFonts w:hint="eastAsia" w:ascii="宋体" w:hAnsi="宋体" w:cs="宋体"/>
          <w:b/>
          <w:color w:val="auto"/>
          <w:kern w:val="0"/>
          <w:sz w:val="32"/>
          <w:szCs w:val="32"/>
          <w:highlight w:val="none"/>
          <w:lang w:val="zh-CN"/>
        </w:rPr>
      </w:pPr>
      <w:r>
        <w:rPr>
          <w:rFonts w:hint="eastAsia" w:ascii="宋体" w:hAnsi="宋体" w:cs="宋体"/>
          <w:b/>
          <w:color w:val="auto"/>
          <w:spacing w:val="6"/>
          <w:sz w:val="32"/>
          <w:szCs w:val="32"/>
          <w:highlight w:val="none"/>
        </w:rPr>
        <w:t>附件</w:t>
      </w:r>
      <w:r>
        <w:rPr>
          <w:rFonts w:ascii="宋体" w:hAnsi="宋体" w:cs="宋体"/>
          <w:b/>
          <w:color w:val="auto"/>
          <w:spacing w:val="6"/>
          <w:sz w:val="32"/>
          <w:szCs w:val="32"/>
          <w:highlight w:val="none"/>
        </w:rPr>
        <w:t>5</w:t>
      </w:r>
      <w:r>
        <w:rPr>
          <w:rFonts w:hint="eastAsia" w:ascii="宋体" w:hAnsi="宋体" w:cs="宋体"/>
          <w:b/>
          <w:color w:val="auto"/>
          <w:spacing w:val="6"/>
          <w:sz w:val="32"/>
          <w:szCs w:val="32"/>
          <w:highlight w:val="none"/>
        </w:rPr>
        <w:t>：</w:t>
      </w:r>
      <w:r>
        <w:rPr>
          <w:rFonts w:hint="eastAsia" w:ascii="宋体" w:hAnsi="宋体" w:cs="宋体"/>
          <w:b/>
          <w:color w:val="auto"/>
          <w:kern w:val="0"/>
          <w:sz w:val="32"/>
          <w:szCs w:val="32"/>
          <w:highlight w:val="none"/>
          <w:lang w:val="zh-CN"/>
        </w:rPr>
        <w:t>联合协议</w:t>
      </w:r>
    </w:p>
    <w:p w14:paraId="4C515FB9">
      <w:pPr>
        <w:widowControl/>
        <w:spacing w:line="360" w:lineRule="auto"/>
        <w:ind w:firstLine="482" w:firstLineChars="200"/>
        <w:jc w:val="left"/>
        <w:rPr>
          <w:rFonts w:hint="eastAsia" w:ascii="宋体" w:hAnsi="宋体" w:cs="宋体"/>
          <w:b/>
          <w:color w:val="auto"/>
          <w:sz w:val="24"/>
          <w:highlight w:val="none"/>
        </w:rPr>
      </w:pPr>
      <w:r>
        <w:rPr>
          <w:rFonts w:hint="eastAsia" w:ascii="宋体" w:hAnsi="宋体" w:cs="宋体"/>
          <w:b/>
          <w:color w:val="auto"/>
          <w:sz w:val="24"/>
          <w:highlight w:val="none"/>
        </w:rPr>
        <w:t>（以联合体形式参与的，提供联合协议；本项目不接受联合体或者供应商不以联合体形式参与的，则不需要提供）</w:t>
      </w:r>
    </w:p>
    <w:p w14:paraId="68D20735">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u w:val="single"/>
        </w:rPr>
        <w:t>（联合体所有成员名称）</w:t>
      </w:r>
      <w:r>
        <w:rPr>
          <w:rFonts w:hint="eastAsia" w:ascii="宋体" w:hAnsi="宋体" w:cs="宋体"/>
          <w:color w:val="auto"/>
          <w:kern w:val="0"/>
          <w:sz w:val="24"/>
          <w:highlight w:val="none"/>
        </w:rPr>
        <w:t>自愿</w:t>
      </w:r>
      <w:r>
        <w:rPr>
          <w:rFonts w:hint="eastAsia" w:ascii="宋体" w:hAnsi="宋体" w:cs="宋体"/>
          <w:color w:val="auto"/>
          <w:kern w:val="0"/>
          <w:sz w:val="24"/>
          <w:highlight w:val="none"/>
          <w:lang w:val="zh-CN"/>
        </w:rPr>
        <w:t>组成一个联合体，以一个供应商的身份</w:t>
      </w:r>
      <w:r>
        <w:rPr>
          <w:rFonts w:hint="eastAsia" w:ascii="宋体" w:hAnsi="宋体" w:cs="宋体"/>
          <w:color w:val="auto"/>
          <w:kern w:val="0"/>
          <w:sz w:val="24"/>
          <w:highlight w:val="none"/>
        </w:rPr>
        <w:t>参加</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 xml:space="preserve">。 </w:t>
      </w:r>
    </w:p>
    <w:p w14:paraId="5C6B75A3">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一、各方一致决定，</w:t>
      </w:r>
      <w:r>
        <w:rPr>
          <w:rFonts w:hint="eastAsia" w:ascii="宋体" w:hAnsi="宋体" w:cs="宋体"/>
          <w:color w:val="auto"/>
          <w:kern w:val="0"/>
          <w:sz w:val="24"/>
          <w:highlight w:val="none"/>
          <w:u w:val="single"/>
        </w:rPr>
        <w:t>（某联合体成员名称）</w:t>
      </w:r>
      <w:r>
        <w:rPr>
          <w:rFonts w:hint="eastAsia" w:ascii="宋体" w:hAnsi="宋体" w:cs="宋体"/>
          <w:color w:val="auto"/>
          <w:kern w:val="0"/>
          <w:sz w:val="24"/>
          <w:highlight w:val="none"/>
        </w:rPr>
        <w:t>为联合体</w:t>
      </w:r>
      <w:r>
        <w:rPr>
          <w:rFonts w:hint="eastAsia" w:ascii="宋体" w:hAnsi="宋体" w:cs="宋体"/>
          <w:color w:val="auto"/>
          <w:kern w:val="0"/>
          <w:sz w:val="24"/>
          <w:highlight w:val="none"/>
          <w:lang w:val="zh-CN"/>
        </w:rPr>
        <w:t>牵头人</w:t>
      </w:r>
      <w:r>
        <w:rPr>
          <w:rFonts w:hint="eastAsia" w:ascii="宋体" w:hAnsi="宋体" w:cs="宋体"/>
          <w:color w:val="auto"/>
          <w:sz w:val="24"/>
          <w:highlight w:val="none"/>
        </w:rPr>
        <w:t>，代表所有联合体成员负责投标和合同实施阶段的主办、协调工作</w:t>
      </w:r>
      <w:r>
        <w:rPr>
          <w:rFonts w:hint="eastAsia" w:ascii="宋体" w:hAnsi="宋体" w:cs="宋体"/>
          <w:color w:val="auto"/>
          <w:kern w:val="0"/>
          <w:sz w:val="24"/>
          <w:highlight w:val="none"/>
          <w:lang w:val="zh-CN"/>
        </w:rPr>
        <w:t>。</w:t>
      </w:r>
    </w:p>
    <w:p w14:paraId="218CD1F2">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二、</w:t>
      </w:r>
      <w:r>
        <w:rPr>
          <w:rFonts w:hint="eastAsia" w:ascii="宋体" w:hAnsi="宋体" w:cs="宋体"/>
          <w:color w:val="auto"/>
          <w:sz w:val="24"/>
          <w:highlight w:val="none"/>
        </w:rPr>
        <w:t>所有联合体成员各方签署授权书，授权书载明的</w:t>
      </w:r>
      <w:r>
        <w:rPr>
          <w:rFonts w:hint="eastAsia" w:ascii="宋体" w:hAnsi="宋体" w:cs="宋体"/>
          <w:color w:val="auto"/>
          <w:kern w:val="0"/>
          <w:sz w:val="24"/>
          <w:highlight w:val="none"/>
          <w:lang w:val="zh-CN"/>
        </w:rPr>
        <w:t>授权代表根据采购文件规定及</w:t>
      </w:r>
      <w:r>
        <w:rPr>
          <w:rFonts w:hint="eastAsia" w:ascii="宋体" w:hAnsi="宋体" w:cs="宋体"/>
          <w:color w:val="auto"/>
          <w:kern w:val="0"/>
          <w:sz w:val="24"/>
          <w:highlight w:val="none"/>
        </w:rPr>
        <w:t>响应内容</w:t>
      </w:r>
      <w:r>
        <w:rPr>
          <w:rFonts w:hint="eastAsia" w:ascii="宋体" w:hAnsi="宋体" w:cs="宋体"/>
          <w:color w:val="auto"/>
          <w:kern w:val="0"/>
          <w:sz w:val="24"/>
          <w:highlight w:val="none"/>
          <w:lang w:val="zh-CN"/>
        </w:rPr>
        <w:t>而对采购人、采购代理机构所作的任何合法承诺，包括书面澄清及相应等均对联合投标各方产生约束力。</w:t>
      </w:r>
    </w:p>
    <w:p w14:paraId="325F01B0">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三、本次联合</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中，分工如下：</w:t>
      </w:r>
    </w:p>
    <w:p w14:paraId="01D08F70">
      <w:pPr>
        <w:snapToGrid w:val="0"/>
        <w:spacing w:line="360" w:lineRule="auto"/>
        <w:ind w:firstLine="576"/>
        <w:rPr>
          <w:rFonts w:hint="eastAsia" w:ascii="宋体" w:hAnsi="宋体" w:cs="宋体"/>
          <w:color w:val="auto"/>
          <w:kern w:val="0"/>
          <w:sz w:val="24"/>
          <w:highlight w:val="none"/>
          <w:lang w:val="zh-CN"/>
        </w:rPr>
      </w:pPr>
      <w:bookmarkStart w:id="1055" w:name="_Hlk101134295"/>
      <w:r>
        <w:rPr>
          <w:rFonts w:hint="eastAsia" w:ascii="宋体" w:hAnsi="宋体" w:cs="宋体"/>
          <w:color w:val="auto"/>
          <w:kern w:val="0"/>
          <w:sz w:val="24"/>
          <w:highlight w:val="none"/>
          <w:u w:val="single"/>
        </w:rPr>
        <w:t>（联合体成员1）</w:t>
      </w:r>
      <w:r>
        <w:rPr>
          <w:rFonts w:hint="eastAsia" w:ascii="宋体" w:hAnsi="宋体" w:cs="宋体"/>
          <w:color w:val="auto"/>
          <w:kern w:val="0"/>
          <w:sz w:val="24"/>
          <w:highlight w:val="none"/>
          <w:lang w:val="zh-CN"/>
        </w:rPr>
        <w:t>承担的工作和义务为：</w:t>
      </w:r>
      <w:r>
        <w:rPr>
          <w:rFonts w:hint="eastAsia" w:ascii="宋体" w:hAnsi="宋体" w:cs="宋体"/>
          <w:color w:val="auto"/>
          <w:highlight w:val="none"/>
          <w:u w:val="single"/>
        </w:rPr>
        <w:t xml:space="preserve">             </w:t>
      </w:r>
      <w:r>
        <w:rPr>
          <w:rFonts w:hint="eastAsia" w:ascii="宋体" w:hAnsi="宋体" w:cs="宋体"/>
          <w:color w:val="auto"/>
          <w:kern w:val="0"/>
          <w:sz w:val="24"/>
          <w:highlight w:val="none"/>
          <w:lang w:val="zh-CN"/>
        </w:rPr>
        <w:t>；</w:t>
      </w:r>
    </w:p>
    <w:p w14:paraId="391B6EA4">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u w:val="single"/>
        </w:rPr>
        <w:t>（联合体成员</w:t>
      </w:r>
      <w:r>
        <w:rPr>
          <w:rFonts w:ascii="宋体" w:hAnsi="宋体" w:cs="宋体"/>
          <w:color w:val="auto"/>
          <w:kern w:val="0"/>
          <w:sz w:val="24"/>
          <w:highlight w:val="none"/>
          <w:u w:val="single"/>
        </w:rPr>
        <w:t>2</w:t>
      </w:r>
      <w:r>
        <w:rPr>
          <w:rFonts w:hint="eastAsia" w:ascii="宋体" w:hAnsi="宋体" w:cs="宋体"/>
          <w:color w:val="auto"/>
          <w:kern w:val="0"/>
          <w:sz w:val="24"/>
          <w:highlight w:val="none"/>
          <w:u w:val="single"/>
        </w:rPr>
        <w:t>）</w:t>
      </w:r>
      <w:r>
        <w:rPr>
          <w:rFonts w:hint="eastAsia" w:ascii="宋体" w:hAnsi="宋体" w:cs="宋体"/>
          <w:color w:val="auto"/>
          <w:kern w:val="0"/>
          <w:sz w:val="24"/>
          <w:highlight w:val="none"/>
          <w:lang w:val="zh-CN"/>
        </w:rPr>
        <w:t>承担的工作和义务为：</w:t>
      </w:r>
      <w:r>
        <w:rPr>
          <w:rFonts w:hint="eastAsia" w:ascii="宋体" w:hAnsi="宋体" w:cs="宋体"/>
          <w:color w:val="auto"/>
          <w:highlight w:val="none"/>
          <w:u w:val="single"/>
        </w:rPr>
        <w:t xml:space="preserve">             </w:t>
      </w:r>
      <w:r>
        <w:rPr>
          <w:rFonts w:hint="eastAsia" w:ascii="宋体" w:hAnsi="宋体" w:cs="宋体"/>
          <w:color w:val="auto"/>
          <w:kern w:val="0"/>
          <w:sz w:val="24"/>
          <w:highlight w:val="none"/>
          <w:lang w:val="zh-CN"/>
        </w:rPr>
        <w:t>；</w:t>
      </w:r>
    </w:p>
    <w:p w14:paraId="6C7050D6">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w:t>
      </w:r>
    </w:p>
    <w:bookmarkEnd w:id="1055"/>
    <w:p w14:paraId="2BDA089F">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四、联合体成员中小企业合同份额。</w:t>
      </w:r>
    </w:p>
    <w:p w14:paraId="66897E5F">
      <w:pPr>
        <w:snapToGrid w:val="0"/>
        <w:spacing w:line="360" w:lineRule="auto"/>
        <w:ind w:firstLine="576"/>
        <w:rPr>
          <w:rFonts w:hint="eastAsia" w:ascii="宋体" w:hAnsi="宋体" w:cs="宋体"/>
          <w:b/>
          <w:color w:val="auto"/>
          <w:kern w:val="0"/>
          <w:sz w:val="24"/>
          <w:highlight w:val="none"/>
          <w:lang w:val="zh-CN"/>
        </w:rPr>
      </w:pPr>
      <w:r>
        <w:rPr>
          <w:rFonts w:hint="eastAsia" w:ascii="宋体" w:hAnsi="宋体" w:cs="宋体"/>
          <w:color w:val="auto"/>
          <w:kern w:val="0"/>
          <w:sz w:val="24"/>
          <w:highlight w:val="none"/>
          <w:lang w:val="zh-CN"/>
        </w:rPr>
        <w:t>1、</w:t>
      </w:r>
      <w:r>
        <w:rPr>
          <w:rFonts w:hint="eastAsia" w:ascii="宋体" w:hAnsi="宋体" w:cs="宋体"/>
          <w:color w:val="auto"/>
          <w:kern w:val="0"/>
          <w:sz w:val="24"/>
          <w:highlight w:val="none"/>
          <w:u w:val="single"/>
        </w:rPr>
        <w:t>（联合体成员</w:t>
      </w:r>
      <w:r>
        <w:rPr>
          <w:rFonts w:ascii="宋体" w:hAnsi="宋体" w:cs="宋体"/>
          <w:color w:val="auto"/>
          <w:kern w:val="0"/>
          <w:sz w:val="24"/>
          <w:highlight w:val="none"/>
          <w:u w:val="single"/>
        </w:rPr>
        <w:t>X,</w:t>
      </w:r>
      <w:r>
        <w:rPr>
          <w:rFonts w:hint="eastAsia" w:ascii="宋体" w:hAnsi="宋体" w:cs="宋体"/>
          <w:color w:val="auto"/>
          <w:kern w:val="0"/>
          <w:sz w:val="24"/>
          <w:highlight w:val="none"/>
          <w:u w:val="single"/>
        </w:rPr>
        <w:t>……）</w:t>
      </w:r>
      <w:r>
        <w:rPr>
          <w:rFonts w:hint="eastAsia" w:ascii="宋体" w:hAnsi="宋体" w:cs="宋体"/>
          <w:color w:val="auto"/>
          <w:kern w:val="0"/>
          <w:sz w:val="24"/>
          <w:highlight w:val="none"/>
        </w:rPr>
        <w:t>提供的全部工程由小微企业承建，其合同份额占到合同总金额</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%以上；</w:t>
      </w:r>
      <w:r>
        <w:rPr>
          <w:rFonts w:hint="eastAsia" w:ascii="宋体" w:hAnsi="宋体" w:cs="宋体"/>
          <w:color w:val="auto"/>
          <w:kern w:val="0"/>
          <w:sz w:val="24"/>
          <w:highlight w:val="none"/>
          <w:lang w:val="zh-CN"/>
        </w:rPr>
        <w:t>……。</w:t>
      </w:r>
      <w:r>
        <w:rPr>
          <w:rFonts w:hint="eastAsia" w:ascii="宋体" w:hAnsi="宋体" w:cs="宋体"/>
          <w:b/>
          <w:color w:val="auto"/>
          <w:kern w:val="0"/>
          <w:sz w:val="24"/>
          <w:highlight w:val="none"/>
          <w:lang w:val="zh-CN"/>
        </w:rPr>
        <w:t>（未预留份额专门面向中小企业采购的采购项目，以及预留份额中的非预留部分采购包，接受联合体</w:t>
      </w:r>
      <w:r>
        <w:rPr>
          <w:rFonts w:hint="eastAsia" w:ascii="宋体" w:hAnsi="宋体" w:cs="宋体"/>
          <w:b/>
          <w:color w:val="auto"/>
          <w:kern w:val="0"/>
          <w:sz w:val="24"/>
          <w:highlight w:val="none"/>
        </w:rPr>
        <w:t>磋商</w:t>
      </w:r>
      <w:r>
        <w:rPr>
          <w:rFonts w:hint="eastAsia" w:ascii="宋体" w:hAnsi="宋体" w:cs="宋体"/>
          <w:b/>
          <w:color w:val="auto"/>
          <w:kern w:val="0"/>
          <w:sz w:val="24"/>
          <w:highlight w:val="none"/>
          <w:lang w:val="zh-CN"/>
        </w:rPr>
        <w:t>的，联合协议约定小微企业的合同份额占到合同总金额30%以上的，对联合体报价给予</w:t>
      </w:r>
      <w:r>
        <w:rPr>
          <w:rFonts w:hint="eastAsia" w:ascii="宋体" w:hAnsi="宋体" w:cs="宋体"/>
          <w:b/>
          <w:color w:val="auto"/>
          <w:kern w:val="0"/>
          <w:sz w:val="24"/>
          <w:highlight w:val="none"/>
        </w:rPr>
        <w:t>2</w:t>
      </w:r>
      <w:r>
        <w:rPr>
          <w:rFonts w:hint="eastAsia" w:ascii="宋体" w:hAnsi="宋体" w:cs="宋体"/>
          <w:b/>
          <w:color w:val="auto"/>
          <w:kern w:val="0"/>
          <w:sz w:val="24"/>
          <w:highlight w:val="none"/>
          <w:lang w:val="zh-CN"/>
        </w:rPr>
        <w:t>%的扣除。供应商</w:t>
      </w:r>
      <w:r>
        <w:rPr>
          <w:rFonts w:hint="eastAsia" w:ascii="宋体" w:hAnsi="宋体" w:cs="宋体"/>
          <w:b/>
          <w:color w:val="auto"/>
          <w:sz w:val="24"/>
          <w:highlight w:val="none"/>
        </w:rPr>
        <w:t>拟享受以上价格扣除政策的，填写有关内容。</w:t>
      </w:r>
      <w:r>
        <w:rPr>
          <w:rFonts w:hint="eastAsia" w:ascii="宋体" w:hAnsi="宋体" w:cs="宋体"/>
          <w:b/>
          <w:color w:val="auto"/>
          <w:kern w:val="0"/>
          <w:sz w:val="24"/>
          <w:highlight w:val="none"/>
          <w:lang w:val="zh-CN"/>
        </w:rPr>
        <w:t>）</w:t>
      </w:r>
    </w:p>
    <w:p w14:paraId="43C1EEB5">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sz w:val="24"/>
          <w:highlight w:val="none"/>
        </w:rPr>
        <w:t>2、中小企业合同金额达到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%，其中小微企业合同金额达到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kern w:val="0"/>
          <w:sz w:val="24"/>
          <w:highlight w:val="none"/>
          <w:lang w:val="zh-CN"/>
        </w:rPr>
        <w:t>。</w:t>
      </w:r>
      <w:r>
        <w:rPr>
          <w:rFonts w:hint="eastAsia" w:ascii="宋体" w:hAnsi="宋体" w:cs="宋体"/>
          <w:b/>
          <w:bCs/>
          <w:color w:val="auto"/>
          <w:kern w:val="0"/>
          <w:sz w:val="24"/>
          <w:highlight w:val="none"/>
          <w:lang w:val="zh-CN"/>
        </w:rPr>
        <w:t>（</w:t>
      </w:r>
      <w:r>
        <w:rPr>
          <w:rFonts w:hint="eastAsia" w:ascii="宋体" w:hAnsi="宋体" w:cs="宋体"/>
          <w:b/>
          <w:bCs/>
          <w:color w:val="auto"/>
          <w:sz w:val="24"/>
          <w:highlight w:val="none"/>
        </w:rPr>
        <w:t>要求以联合体形式参加的项目或采购包，供应商按采购文件第一部分竞争性磋商公告申请人的资格要求中规定的联合协议中中小企业、小微企业合同金额应当达到的比例要求填写。</w:t>
      </w:r>
      <w:r>
        <w:rPr>
          <w:rFonts w:hint="eastAsia" w:ascii="宋体" w:hAnsi="宋体" w:cs="宋体"/>
          <w:b/>
          <w:bCs/>
          <w:color w:val="auto"/>
          <w:kern w:val="0"/>
          <w:sz w:val="24"/>
          <w:highlight w:val="none"/>
          <w:lang w:val="zh-CN"/>
        </w:rPr>
        <w:t>）</w:t>
      </w:r>
    </w:p>
    <w:p w14:paraId="01EF7AB0">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五、如果成交，</w:t>
      </w:r>
      <w:r>
        <w:rPr>
          <w:rFonts w:hint="eastAsia" w:ascii="宋体" w:hAnsi="宋体" w:cs="宋体"/>
          <w:color w:val="auto"/>
          <w:sz w:val="24"/>
          <w:highlight w:val="none"/>
        </w:rPr>
        <w:t>联合体各成员方共同与采购人签订合同，并就采购合同约定的事项对采购人承担连带责任。</w:t>
      </w:r>
    </w:p>
    <w:p w14:paraId="5B4258C0">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六、有关本次联合</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的其他事宜：</w:t>
      </w:r>
    </w:p>
    <w:p w14:paraId="1B539B0A">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1、联合体各方不再单独参加或者与其他供应商另外组成联合体参加同一合同项下的政府采购活动。</w:t>
      </w:r>
    </w:p>
    <w:p w14:paraId="716F9E94">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2、联合体中有同类资质的各方按照联合体分工承担相同工作的，按照资质等级较低的供应商确定资质等级。</w:t>
      </w:r>
    </w:p>
    <w:p w14:paraId="62238CB3">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3、本协议提交采购人、采购代理机构后，联合体各方不得以任何形式对上述内容进行修改或撤销。</w:t>
      </w:r>
    </w:p>
    <w:p w14:paraId="08D98F77">
      <w:pPr>
        <w:snapToGrid w:val="0"/>
        <w:spacing w:line="360" w:lineRule="auto"/>
        <w:ind w:firstLine="5040" w:firstLineChars="2100"/>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14:paraId="1D6172F1">
      <w:pPr>
        <w:snapToGrid w:val="0"/>
        <w:spacing w:line="360" w:lineRule="auto"/>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14:paraId="3E834F8F">
      <w:pPr>
        <w:spacing w:line="360" w:lineRule="auto"/>
        <w:ind w:right="420"/>
        <w:rPr>
          <w:rFonts w:hint="eastAsia" w:ascii="宋体" w:hAnsi="宋体" w:cs="宋体"/>
          <w:color w:val="auto"/>
          <w:sz w:val="24"/>
          <w:highlight w:val="none"/>
        </w:rPr>
      </w:pPr>
      <w:r>
        <w:rPr>
          <w:rFonts w:hint="eastAsia" w:ascii="宋体" w:hAnsi="宋体" w:cs="宋体"/>
          <w:color w:val="auto"/>
          <w:sz w:val="24"/>
          <w:highlight w:val="none"/>
        </w:rPr>
        <w:t>注：按本格式和要求提供。</w:t>
      </w:r>
    </w:p>
    <w:p w14:paraId="4E8FE9C7">
      <w:pPr>
        <w:autoSpaceDE w:val="0"/>
        <w:autoSpaceDN w:val="0"/>
        <w:jc w:val="center"/>
        <w:rPr>
          <w:rFonts w:hint="eastAsia" w:ascii="宋体" w:hAnsi="宋体" w:cs="宋体"/>
          <w:b/>
          <w:color w:val="auto"/>
          <w:spacing w:val="6"/>
          <w:sz w:val="32"/>
          <w:szCs w:val="32"/>
          <w:highlight w:val="none"/>
        </w:rPr>
        <w:sectPr>
          <w:pgSz w:w="11906" w:h="16838"/>
          <w:pgMar w:top="1440" w:right="1080" w:bottom="1440" w:left="1080" w:header="851" w:footer="992" w:gutter="0"/>
          <w:cols w:space="720" w:num="1"/>
          <w:titlePg/>
          <w:docGrid w:linePitch="312" w:charSpace="0"/>
        </w:sectPr>
      </w:pPr>
    </w:p>
    <w:p w14:paraId="0208666A">
      <w:pPr>
        <w:snapToGrid w:val="0"/>
        <w:spacing w:line="360" w:lineRule="auto"/>
        <w:jc w:val="center"/>
        <w:rPr>
          <w:rFonts w:hint="eastAsia" w:ascii="宋体" w:hAnsi="宋体" w:cs="宋体"/>
          <w:b/>
          <w:color w:val="auto"/>
          <w:kern w:val="0"/>
          <w:sz w:val="32"/>
          <w:szCs w:val="32"/>
          <w:highlight w:val="none"/>
        </w:rPr>
      </w:pPr>
      <w:r>
        <w:rPr>
          <w:rFonts w:hint="eastAsia" w:ascii="宋体" w:hAnsi="宋体" w:cs="宋体"/>
          <w:b/>
          <w:color w:val="auto"/>
          <w:spacing w:val="6"/>
          <w:sz w:val="32"/>
          <w:szCs w:val="32"/>
          <w:highlight w:val="none"/>
        </w:rPr>
        <w:t>附件</w:t>
      </w:r>
      <w:r>
        <w:rPr>
          <w:rFonts w:ascii="宋体" w:hAnsi="宋体" w:cs="宋体"/>
          <w:b/>
          <w:color w:val="auto"/>
          <w:spacing w:val="6"/>
          <w:sz w:val="32"/>
          <w:szCs w:val="32"/>
          <w:highlight w:val="none"/>
        </w:rPr>
        <w:t>6</w:t>
      </w:r>
      <w:r>
        <w:rPr>
          <w:rFonts w:hint="eastAsia" w:ascii="宋体" w:hAnsi="宋体" w:cs="宋体"/>
          <w:b/>
          <w:color w:val="auto"/>
          <w:spacing w:val="6"/>
          <w:sz w:val="32"/>
          <w:szCs w:val="32"/>
          <w:highlight w:val="none"/>
        </w:rPr>
        <w:t>：</w:t>
      </w:r>
      <w:r>
        <w:rPr>
          <w:rFonts w:hint="eastAsia" w:ascii="宋体" w:hAnsi="宋体" w:cs="宋体"/>
          <w:b/>
          <w:color w:val="auto"/>
          <w:kern w:val="0"/>
          <w:sz w:val="32"/>
          <w:szCs w:val="32"/>
          <w:highlight w:val="none"/>
        </w:rPr>
        <w:t>分包意向协议</w:t>
      </w:r>
    </w:p>
    <w:p w14:paraId="174DB24C">
      <w:pPr>
        <w:widowControl/>
        <w:spacing w:line="360" w:lineRule="auto"/>
        <w:ind w:firstLine="120" w:firstLineChars="50"/>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b/>
          <w:color w:val="auto"/>
          <w:sz w:val="24"/>
          <w:highlight w:val="none"/>
        </w:rPr>
        <w:t>成交后以分包方式履行合同的，提供分包意向协议；采购人不同意分包或者供应商成交后不以分包方式履行合同的，则不需要提供。</w:t>
      </w:r>
      <w:r>
        <w:rPr>
          <w:rFonts w:hint="eastAsia" w:ascii="宋体" w:hAnsi="宋体" w:cs="宋体"/>
          <w:color w:val="auto"/>
          <w:sz w:val="24"/>
          <w:highlight w:val="none"/>
        </w:rPr>
        <w:t>）</w:t>
      </w:r>
    </w:p>
    <w:p w14:paraId="1ABDD386">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u w:val="single"/>
        </w:rPr>
        <w:t>（供应商名称）</w:t>
      </w:r>
      <w:r>
        <w:rPr>
          <w:rFonts w:hint="eastAsia" w:ascii="宋体" w:hAnsi="宋体" w:cs="宋体"/>
          <w:color w:val="auto"/>
          <w:kern w:val="0"/>
          <w:sz w:val="24"/>
          <w:highlight w:val="none"/>
          <w:lang w:val="zh-CN"/>
        </w:rPr>
        <w:t>若成为</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lang w:val="zh-CN"/>
        </w:rPr>
        <w:t>的成交供应商，将依法采取分包方式履行合同。</w:t>
      </w:r>
      <w:r>
        <w:rPr>
          <w:rFonts w:hint="eastAsia" w:ascii="宋体" w:hAnsi="宋体" w:cs="宋体"/>
          <w:color w:val="auto"/>
          <w:kern w:val="0"/>
          <w:sz w:val="24"/>
          <w:highlight w:val="none"/>
          <w:u w:val="single"/>
        </w:rPr>
        <w:t>（供应商名称）</w:t>
      </w:r>
      <w:r>
        <w:rPr>
          <w:rFonts w:hint="eastAsia" w:ascii="宋体" w:hAnsi="宋体" w:cs="宋体"/>
          <w:color w:val="auto"/>
          <w:kern w:val="0"/>
          <w:sz w:val="24"/>
          <w:highlight w:val="none"/>
        </w:rPr>
        <w:t>与</w:t>
      </w:r>
      <w:r>
        <w:rPr>
          <w:rFonts w:hint="eastAsia" w:ascii="宋体" w:hAnsi="宋体" w:cs="宋体"/>
          <w:color w:val="auto"/>
          <w:kern w:val="0"/>
          <w:sz w:val="24"/>
          <w:highlight w:val="none"/>
          <w:u w:val="single"/>
        </w:rPr>
        <w:t>（所有分包供应商名称）</w:t>
      </w:r>
      <w:r>
        <w:rPr>
          <w:rFonts w:hint="eastAsia" w:ascii="宋体" w:hAnsi="宋体" w:cs="宋体"/>
          <w:color w:val="auto"/>
          <w:kern w:val="0"/>
          <w:sz w:val="24"/>
          <w:highlight w:val="none"/>
        </w:rPr>
        <w:t>达成分包意向协议</w:t>
      </w:r>
      <w:r>
        <w:rPr>
          <w:rFonts w:hint="eastAsia" w:ascii="宋体" w:hAnsi="宋体" w:cs="宋体"/>
          <w:color w:val="auto"/>
          <w:kern w:val="0"/>
          <w:sz w:val="24"/>
          <w:highlight w:val="none"/>
          <w:lang w:val="zh-CN"/>
        </w:rPr>
        <w:t xml:space="preserve">。 </w:t>
      </w:r>
    </w:p>
    <w:p w14:paraId="7F6871D9">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一、分包标的及数量</w:t>
      </w:r>
    </w:p>
    <w:p w14:paraId="64E49E8C">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u w:val="single"/>
        </w:rPr>
        <w:t>（供应商名称）</w:t>
      </w:r>
      <w:r>
        <w:rPr>
          <w:rFonts w:hint="eastAsia" w:ascii="宋体" w:hAnsi="宋体" w:cs="宋体"/>
          <w:color w:val="auto"/>
          <w:kern w:val="0"/>
          <w:sz w:val="24"/>
          <w:highlight w:val="none"/>
          <w:lang w:val="zh-CN"/>
        </w:rPr>
        <w:t>将</w:t>
      </w:r>
      <w:r>
        <w:rPr>
          <w:rFonts w:hint="eastAsia" w:ascii="宋体" w:hAnsi="宋体" w:cs="宋体"/>
          <w:color w:val="auto"/>
          <w:highlight w:val="none"/>
          <w:u w:val="single"/>
        </w:rPr>
        <w:t xml:space="preserve"> </w:t>
      </w:r>
      <w:r>
        <w:rPr>
          <w:rFonts w:ascii="宋体" w:hAnsi="宋体" w:cs="宋体"/>
          <w:color w:val="auto"/>
          <w:kern w:val="0"/>
          <w:sz w:val="24"/>
          <w:highlight w:val="none"/>
          <w:u w:val="single"/>
        </w:rPr>
        <w:t xml:space="preserve">  XX工作内容   </w:t>
      </w:r>
      <w:r>
        <w:rPr>
          <w:rFonts w:hint="eastAsia" w:ascii="宋体" w:hAnsi="宋体" w:cs="宋体"/>
          <w:color w:val="auto"/>
          <w:sz w:val="24"/>
          <w:highlight w:val="none"/>
        </w:rPr>
        <w:t>分包给</w:t>
      </w:r>
      <w:r>
        <w:rPr>
          <w:rFonts w:hint="eastAsia" w:ascii="宋体" w:hAnsi="宋体" w:cs="宋体"/>
          <w:color w:val="auto"/>
          <w:kern w:val="0"/>
          <w:sz w:val="24"/>
          <w:highlight w:val="none"/>
          <w:u w:val="single"/>
        </w:rPr>
        <w:t>（分包供应商1名称）</w:t>
      </w:r>
      <w:r>
        <w:rPr>
          <w:rFonts w:hint="eastAsia" w:ascii="宋体" w:hAnsi="宋体" w:cs="宋体"/>
          <w:color w:val="auto"/>
          <w:kern w:val="0"/>
          <w:sz w:val="24"/>
          <w:highlight w:val="none"/>
          <w:lang w:val="zh-CN"/>
        </w:rPr>
        <w:t>，</w:t>
      </w:r>
      <w:r>
        <w:rPr>
          <w:rFonts w:hint="eastAsia" w:ascii="宋体" w:hAnsi="宋体" w:cs="宋体"/>
          <w:color w:val="auto"/>
          <w:kern w:val="0"/>
          <w:sz w:val="24"/>
          <w:highlight w:val="none"/>
          <w:u w:val="single"/>
        </w:rPr>
        <w:t>（分包供应商1名称），</w:t>
      </w:r>
      <w:r>
        <w:rPr>
          <w:rFonts w:hint="eastAsia" w:ascii="宋体" w:hAnsi="宋体" w:cs="宋体"/>
          <w:color w:val="auto"/>
          <w:kern w:val="0"/>
          <w:sz w:val="24"/>
          <w:highlight w:val="none"/>
          <w:lang w:val="zh-CN"/>
        </w:rPr>
        <w:t>具备承</w:t>
      </w:r>
      <w:r>
        <w:rPr>
          <w:rFonts w:hint="eastAsia" w:ascii="宋体" w:hAnsi="宋体" w:cs="宋体"/>
          <w:color w:val="auto"/>
          <w:kern w:val="0"/>
          <w:sz w:val="24"/>
          <w:highlight w:val="none"/>
        </w:rPr>
        <w:t>担</w:t>
      </w:r>
      <w:r>
        <w:rPr>
          <w:rFonts w:hint="eastAsia" w:ascii="宋体" w:hAnsi="宋体" w:cs="宋体"/>
          <w:color w:val="auto"/>
          <w:kern w:val="0"/>
          <w:sz w:val="24"/>
          <w:highlight w:val="none"/>
          <w:u w:val="single"/>
          <w:lang w:val="zh-CN"/>
        </w:rPr>
        <w:t>XX工作内容</w:t>
      </w:r>
      <w:r>
        <w:rPr>
          <w:rFonts w:hint="eastAsia" w:ascii="宋体" w:hAnsi="宋体" w:cs="宋体"/>
          <w:color w:val="auto"/>
          <w:kern w:val="0"/>
          <w:sz w:val="24"/>
          <w:highlight w:val="none"/>
          <w:lang w:val="zh-CN"/>
        </w:rPr>
        <w:t>相应资质条件且不得再次分包；</w:t>
      </w:r>
    </w:p>
    <w:p w14:paraId="31A33F7F">
      <w:pPr>
        <w:pStyle w:val="6"/>
        <w:ind w:left="664" w:leftChars="316" w:firstLine="229" w:firstLineChars="9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p w14:paraId="5EC7AE6C">
      <w:pPr>
        <w:snapToGrid w:val="0"/>
        <w:spacing w:line="360"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二、分包供应商中小企业合同份额</w:t>
      </w:r>
    </w:p>
    <w:p w14:paraId="2D7B436C">
      <w:pPr>
        <w:snapToGrid w:val="0"/>
        <w:spacing w:line="360" w:lineRule="auto"/>
        <w:ind w:firstLine="576"/>
        <w:rPr>
          <w:rFonts w:hint="eastAsia" w:ascii="宋体" w:hAnsi="宋体" w:cs="宋体"/>
          <w:b/>
          <w:color w:val="auto"/>
          <w:kern w:val="0"/>
          <w:sz w:val="24"/>
          <w:highlight w:val="none"/>
          <w:lang w:val="zh-CN"/>
        </w:rPr>
      </w:pPr>
      <w:r>
        <w:rPr>
          <w:rFonts w:ascii="宋体" w:hAnsi="宋体" w:cs="宋体"/>
          <w:color w:val="auto"/>
          <w:kern w:val="0"/>
          <w:sz w:val="24"/>
          <w:highlight w:val="none"/>
        </w:rPr>
        <w:t>1、</w:t>
      </w:r>
      <w:r>
        <w:rPr>
          <w:rFonts w:hint="eastAsia" w:ascii="宋体" w:hAnsi="宋体" w:cs="宋体"/>
          <w:color w:val="auto"/>
          <w:kern w:val="0"/>
          <w:sz w:val="24"/>
          <w:highlight w:val="none"/>
          <w:u w:val="single"/>
        </w:rPr>
        <w:t>（分包供应商X</w:t>
      </w:r>
      <w:r>
        <w:rPr>
          <w:rFonts w:ascii="宋体" w:hAnsi="宋体" w:cs="宋体"/>
          <w:color w:val="auto"/>
          <w:kern w:val="0"/>
          <w:sz w:val="24"/>
          <w:highlight w:val="none"/>
          <w:u w:val="single"/>
        </w:rPr>
        <w:t>,</w:t>
      </w:r>
      <w:r>
        <w:rPr>
          <w:rFonts w:hint="eastAsia" w:ascii="宋体" w:hAnsi="宋体" w:cs="宋体"/>
          <w:color w:val="auto"/>
          <w:kern w:val="0"/>
          <w:sz w:val="24"/>
          <w:highlight w:val="none"/>
          <w:u w:val="single"/>
        </w:rPr>
        <w:t>……）提供的工程全部由小微企业承建，</w:t>
      </w:r>
      <w:r>
        <w:rPr>
          <w:rFonts w:hint="eastAsia" w:ascii="宋体" w:hAnsi="宋体" w:cs="宋体"/>
          <w:color w:val="auto"/>
          <w:kern w:val="0"/>
          <w:sz w:val="24"/>
          <w:highlight w:val="none"/>
        </w:rPr>
        <w:t>其合同份额占到合同总金额</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%以上</w:t>
      </w:r>
      <w:r>
        <w:rPr>
          <w:rFonts w:hint="eastAsia" w:ascii="宋体" w:hAnsi="宋体" w:cs="宋体"/>
          <w:color w:val="auto"/>
          <w:highlight w:val="none"/>
        </w:rPr>
        <w:t>。</w:t>
      </w:r>
      <w:r>
        <w:rPr>
          <w:rFonts w:hint="eastAsia" w:ascii="宋体" w:hAnsi="宋体" w:cs="宋体"/>
          <w:b/>
          <w:color w:val="auto"/>
          <w:kern w:val="0"/>
          <w:sz w:val="24"/>
          <w:highlight w:val="none"/>
          <w:lang w:val="zh-CN"/>
        </w:rPr>
        <w:t>（未预留份额专门面向中小企业采购的采购项目，以及预留份额中的非预留部分采购包，允许分包的，分包意向协议约定小微企业的合同份额占到合同总金额30%以上的，对大中型企业的报价给予</w:t>
      </w:r>
      <w:r>
        <w:rPr>
          <w:rFonts w:hint="eastAsia" w:ascii="宋体" w:hAnsi="宋体" w:cs="宋体"/>
          <w:b/>
          <w:color w:val="auto"/>
          <w:kern w:val="0"/>
          <w:sz w:val="24"/>
          <w:highlight w:val="none"/>
        </w:rPr>
        <w:t>2</w:t>
      </w:r>
      <w:r>
        <w:rPr>
          <w:rFonts w:hint="eastAsia" w:ascii="宋体" w:hAnsi="宋体" w:cs="宋体"/>
          <w:b/>
          <w:color w:val="auto"/>
          <w:kern w:val="0"/>
          <w:sz w:val="24"/>
          <w:highlight w:val="none"/>
          <w:lang w:val="zh-CN"/>
        </w:rPr>
        <w:t>%的扣除。供应商</w:t>
      </w:r>
      <w:r>
        <w:rPr>
          <w:rFonts w:hint="eastAsia" w:ascii="宋体" w:hAnsi="宋体" w:cs="宋体"/>
          <w:b/>
          <w:color w:val="auto"/>
          <w:sz w:val="24"/>
          <w:highlight w:val="none"/>
        </w:rPr>
        <w:t>拟享受以上价格扣除政策的，填写有关内容。</w:t>
      </w:r>
      <w:r>
        <w:rPr>
          <w:rFonts w:hint="eastAsia" w:ascii="宋体" w:hAnsi="宋体" w:cs="宋体"/>
          <w:b/>
          <w:color w:val="auto"/>
          <w:kern w:val="0"/>
          <w:sz w:val="24"/>
          <w:highlight w:val="none"/>
          <w:lang w:val="zh-CN"/>
        </w:rPr>
        <w:t>）</w:t>
      </w:r>
    </w:p>
    <w:p w14:paraId="6CD64612">
      <w:pPr>
        <w:spacing w:line="360" w:lineRule="auto"/>
        <w:ind w:firstLine="480" w:firstLineChars="200"/>
        <w:rPr>
          <w:rFonts w:hint="eastAsia" w:ascii="宋体" w:hAnsi="宋体" w:cs="宋体"/>
          <w:b/>
          <w:bCs/>
          <w:color w:val="auto"/>
          <w:kern w:val="0"/>
          <w:sz w:val="24"/>
          <w:highlight w:val="none"/>
          <w:lang w:val="zh-CN"/>
        </w:rPr>
      </w:pPr>
      <w:r>
        <w:rPr>
          <w:rFonts w:hint="eastAsia" w:ascii="宋体" w:hAnsi="宋体" w:cs="宋体"/>
          <w:color w:val="auto"/>
          <w:sz w:val="24"/>
          <w:highlight w:val="none"/>
        </w:rPr>
        <w:t>2、</w:t>
      </w:r>
      <w:bookmarkStart w:id="1056" w:name="_Hlk101133173"/>
      <w:r>
        <w:rPr>
          <w:rFonts w:hint="eastAsia" w:ascii="宋体" w:hAnsi="宋体" w:cs="宋体"/>
          <w:color w:val="auto"/>
          <w:sz w:val="24"/>
          <w:highlight w:val="none"/>
        </w:rPr>
        <w:t>中小企业合同金额达到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%，其中小微企业合同金额达到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kern w:val="0"/>
          <w:sz w:val="24"/>
          <w:highlight w:val="none"/>
          <w:lang w:val="zh-CN"/>
        </w:rPr>
        <w:t>。</w:t>
      </w:r>
      <w:r>
        <w:rPr>
          <w:rFonts w:hint="eastAsia" w:ascii="宋体" w:hAnsi="宋体" w:cs="宋体"/>
          <w:b/>
          <w:bCs/>
          <w:color w:val="auto"/>
          <w:kern w:val="0"/>
          <w:sz w:val="24"/>
          <w:highlight w:val="none"/>
          <w:lang w:val="zh-CN"/>
        </w:rPr>
        <w:t>（</w:t>
      </w:r>
      <w:r>
        <w:rPr>
          <w:rFonts w:hint="eastAsia" w:ascii="宋体" w:hAnsi="宋体" w:cs="宋体"/>
          <w:b/>
          <w:bCs/>
          <w:color w:val="auto"/>
          <w:sz w:val="24"/>
          <w:highlight w:val="none"/>
        </w:rPr>
        <w:t>要求合同分包形式参加的项目或采购包，供应商按采购文件第一部分竞争性磋商公告申请人的资格要求中规定的</w:t>
      </w:r>
      <w:r>
        <w:rPr>
          <w:rFonts w:hint="eastAsia" w:ascii="宋体" w:hAnsi="宋体" w:cs="宋体"/>
          <w:b/>
          <w:color w:val="auto"/>
          <w:kern w:val="0"/>
          <w:sz w:val="24"/>
          <w:highlight w:val="none"/>
          <w:lang w:val="zh-CN"/>
        </w:rPr>
        <w:t>分包意向协议</w:t>
      </w:r>
      <w:r>
        <w:rPr>
          <w:rFonts w:hint="eastAsia" w:ascii="宋体" w:hAnsi="宋体" w:cs="宋体"/>
          <w:b/>
          <w:bCs/>
          <w:color w:val="auto"/>
          <w:sz w:val="24"/>
          <w:highlight w:val="none"/>
        </w:rPr>
        <w:t>中中小企业、小微企业合同金额应当达到的比例要求填写。</w:t>
      </w:r>
      <w:r>
        <w:rPr>
          <w:rFonts w:hint="eastAsia" w:ascii="宋体" w:hAnsi="宋体" w:cs="宋体"/>
          <w:b/>
          <w:bCs/>
          <w:color w:val="auto"/>
          <w:kern w:val="0"/>
          <w:sz w:val="24"/>
          <w:highlight w:val="none"/>
          <w:lang w:val="zh-CN"/>
        </w:rPr>
        <w:t>）</w:t>
      </w:r>
      <w:bookmarkEnd w:id="1056"/>
    </w:p>
    <w:p w14:paraId="734B1773">
      <w:pPr>
        <w:snapToGrid w:val="0"/>
        <w:spacing w:line="312"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三、分包工作履行期限、地点、方式</w:t>
      </w:r>
    </w:p>
    <w:p w14:paraId="22CF7ACF">
      <w:pPr>
        <w:snapToGrid w:val="0"/>
        <w:spacing w:line="312" w:lineRule="auto"/>
        <w:ind w:firstLine="576"/>
        <w:rPr>
          <w:rFonts w:hint="eastAsia" w:ascii="宋体" w:hAnsi="宋体" w:cs="宋体"/>
          <w:color w:val="auto"/>
          <w:highlight w:val="none"/>
          <w:u w:val="single"/>
        </w:rPr>
      </w:pPr>
      <w:r>
        <w:rPr>
          <w:rFonts w:hint="eastAsia" w:ascii="宋体" w:hAnsi="宋体" w:cs="宋体"/>
          <w:color w:val="auto"/>
          <w:highlight w:val="none"/>
          <w:u w:val="single"/>
        </w:rPr>
        <w:t xml:space="preserve">                                                                                  </w:t>
      </w:r>
    </w:p>
    <w:p w14:paraId="0CA71D8F">
      <w:pPr>
        <w:snapToGrid w:val="0"/>
        <w:spacing w:line="312"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四、质量</w:t>
      </w:r>
    </w:p>
    <w:p w14:paraId="0225BFEF">
      <w:pPr>
        <w:snapToGrid w:val="0"/>
        <w:spacing w:line="312" w:lineRule="auto"/>
        <w:ind w:firstLine="576"/>
        <w:rPr>
          <w:rFonts w:hint="eastAsia"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7D40E426">
      <w:pPr>
        <w:snapToGrid w:val="0"/>
        <w:spacing w:line="312"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五、价款或者报酬</w:t>
      </w:r>
    </w:p>
    <w:p w14:paraId="3D7D8C14">
      <w:pPr>
        <w:snapToGrid w:val="0"/>
        <w:spacing w:line="312" w:lineRule="auto"/>
        <w:ind w:left="573" w:leftChars="273"/>
        <w:rPr>
          <w:rFonts w:hint="eastAsia"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1473B901">
      <w:pPr>
        <w:snapToGrid w:val="0"/>
        <w:spacing w:line="312" w:lineRule="auto"/>
        <w:ind w:left="573" w:leftChars="273"/>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六、违约责任</w:t>
      </w:r>
    </w:p>
    <w:p w14:paraId="368D17C2">
      <w:pPr>
        <w:snapToGrid w:val="0"/>
        <w:spacing w:line="312" w:lineRule="auto"/>
        <w:ind w:firstLine="576"/>
        <w:rPr>
          <w:rFonts w:hint="eastAsia"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5DD53063">
      <w:pPr>
        <w:snapToGrid w:val="0"/>
        <w:spacing w:line="312" w:lineRule="auto"/>
        <w:ind w:firstLine="576"/>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七、争议解决的办法</w:t>
      </w:r>
    </w:p>
    <w:p w14:paraId="56AE27AC">
      <w:pPr>
        <w:snapToGrid w:val="0"/>
        <w:spacing w:line="312" w:lineRule="auto"/>
        <w:ind w:firstLine="576"/>
        <w:rPr>
          <w:rFonts w:hint="eastAsia"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7234C5ED">
      <w:pPr>
        <w:snapToGrid w:val="0"/>
        <w:spacing w:line="360" w:lineRule="auto"/>
        <w:ind w:left="5758" w:leftChars="342" w:hanging="5040" w:hangingChars="2100"/>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供应商名称(电子签名)：</w:t>
      </w:r>
    </w:p>
    <w:p w14:paraId="6D9A0A22">
      <w:pPr>
        <w:snapToGrid w:val="0"/>
        <w:spacing w:line="360" w:lineRule="auto"/>
        <w:ind w:firstLine="5640" w:firstLineChars="2350"/>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分包供应商名称：</w:t>
      </w:r>
    </w:p>
    <w:p w14:paraId="4983B010">
      <w:pPr>
        <w:snapToGrid w:val="0"/>
        <w:spacing w:line="360" w:lineRule="auto"/>
        <w:ind w:firstLine="5760" w:firstLineChars="2400"/>
        <w:rPr>
          <w:rFonts w:hint="eastAsia" w:ascii="宋体" w:hAnsi="宋体" w:cs="宋体"/>
          <w:color w:val="auto"/>
          <w:highlight w:val="none"/>
        </w:rPr>
      </w:pPr>
      <w:r>
        <w:rPr>
          <w:rFonts w:hint="eastAsia" w:ascii="宋体" w:hAnsi="宋体" w:cs="宋体"/>
          <w:color w:val="auto"/>
          <w:kern w:val="0"/>
          <w:sz w:val="24"/>
          <w:highlight w:val="none"/>
          <w:lang w:val="zh-CN"/>
        </w:rPr>
        <w:t>……</w:t>
      </w:r>
    </w:p>
    <w:p w14:paraId="5C063D70">
      <w:pPr>
        <w:spacing w:line="360" w:lineRule="auto"/>
        <w:jc w:val="center"/>
        <w:rPr>
          <w:rFonts w:hint="eastAsia" w:ascii="宋体" w:hAnsi="宋体" w:cs="宋体"/>
          <w:b/>
          <w:color w:val="auto"/>
          <w:spacing w:val="6"/>
          <w:sz w:val="32"/>
          <w:szCs w:val="32"/>
          <w:highlight w:val="none"/>
        </w:rPr>
      </w:pPr>
      <w:r>
        <w:rPr>
          <w:rFonts w:hint="eastAsia" w:ascii="宋体" w:hAnsi="宋体" w:cs="宋体"/>
          <w:color w:val="auto"/>
          <w:kern w:val="0"/>
          <w:sz w:val="24"/>
          <w:highlight w:val="none"/>
          <w:lang w:val="zh-CN"/>
        </w:rPr>
        <w:t xml:space="preserve">                                        日期：  年  月   日</w:t>
      </w:r>
    </w:p>
    <w:p w14:paraId="766FD38A">
      <w:pPr>
        <w:autoSpaceDE w:val="0"/>
        <w:autoSpaceDN w:val="0"/>
        <w:jc w:val="center"/>
        <w:rPr>
          <w:rFonts w:hint="eastAsia" w:ascii="宋体" w:hAnsi="宋体" w:cs="宋体"/>
          <w:b/>
          <w:color w:val="auto"/>
          <w:spacing w:val="6"/>
          <w:sz w:val="32"/>
          <w:szCs w:val="32"/>
          <w:highlight w:val="none"/>
        </w:rPr>
        <w:sectPr>
          <w:pgSz w:w="11906" w:h="16838"/>
          <w:pgMar w:top="1440" w:right="1080" w:bottom="1440" w:left="1080" w:header="851" w:footer="992" w:gutter="0"/>
          <w:cols w:space="720" w:num="1"/>
          <w:titlePg/>
          <w:docGrid w:linePitch="312" w:charSpace="0"/>
        </w:sectPr>
      </w:pPr>
    </w:p>
    <w:p w14:paraId="3B135DE1">
      <w:pPr>
        <w:autoSpaceDE w:val="0"/>
        <w:autoSpaceDN w:val="0"/>
        <w:jc w:val="center"/>
        <w:rPr>
          <w:rFonts w:hint="eastAsia" w:ascii="宋体" w:hAnsi="宋体" w:cs="宋体"/>
          <w:b/>
          <w:bCs/>
          <w:color w:val="auto"/>
          <w:sz w:val="32"/>
          <w:szCs w:val="32"/>
          <w:highlight w:val="none"/>
        </w:rPr>
      </w:pPr>
      <w:r>
        <w:rPr>
          <w:rFonts w:hint="eastAsia" w:ascii="宋体" w:hAnsi="宋体" w:cs="宋体"/>
          <w:b/>
          <w:color w:val="auto"/>
          <w:spacing w:val="6"/>
          <w:sz w:val="32"/>
          <w:szCs w:val="32"/>
          <w:highlight w:val="none"/>
        </w:rPr>
        <w:t>附件</w:t>
      </w:r>
      <w:r>
        <w:rPr>
          <w:rFonts w:ascii="宋体" w:hAnsi="宋体" w:cs="宋体"/>
          <w:b/>
          <w:color w:val="auto"/>
          <w:spacing w:val="6"/>
          <w:sz w:val="32"/>
          <w:szCs w:val="32"/>
          <w:highlight w:val="none"/>
        </w:rPr>
        <w:t>7</w:t>
      </w:r>
      <w:r>
        <w:rPr>
          <w:rFonts w:hint="eastAsia" w:ascii="宋体" w:hAnsi="宋体" w:cs="宋体"/>
          <w:b/>
          <w:color w:val="auto"/>
          <w:spacing w:val="6"/>
          <w:sz w:val="32"/>
          <w:szCs w:val="32"/>
          <w:highlight w:val="none"/>
        </w:rPr>
        <w:t>：</w:t>
      </w:r>
      <w:r>
        <w:rPr>
          <w:rFonts w:hint="eastAsia" w:ascii="宋体" w:hAnsi="宋体" w:cs="宋体"/>
          <w:b/>
          <w:color w:val="auto"/>
          <w:sz w:val="32"/>
          <w:szCs w:val="32"/>
          <w:highlight w:val="none"/>
        </w:rPr>
        <w:t>中小企业声明函</w:t>
      </w:r>
    </w:p>
    <w:p w14:paraId="7105473E">
      <w:pPr>
        <w:spacing w:line="360" w:lineRule="auto"/>
        <w:jc w:val="center"/>
        <w:rPr>
          <w:rFonts w:hint="eastAsia" w:ascii="宋体" w:hAnsi="宋体" w:cs="宋体"/>
          <w:color w:val="auto"/>
          <w:sz w:val="24"/>
          <w:highlight w:val="none"/>
          <w:u w:val="single"/>
        </w:rPr>
      </w:pPr>
    </w:p>
    <w:p w14:paraId="728B12CD">
      <w:pPr>
        <w:spacing w:line="360" w:lineRule="auto"/>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中小企业声明函（工程）</w:t>
      </w:r>
    </w:p>
    <w:p w14:paraId="5C5D3749">
      <w:pPr>
        <w:spacing w:line="360" w:lineRule="auto"/>
        <w:ind w:firstLine="360" w:firstLineChars="150"/>
        <w:jc w:val="left"/>
        <w:rPr>
          <w:rFonts w:hint="eastAsia" w:ascii="宋体" w:hAnsi="宋体" w:cs="宋体"/>
          <w:color w:val="auto"/>
          <w:sz w:val="24"/>
          <w:highlight w:val="none"/>
        </w:rPr>
      </w:pPr>
      <w:r>
        <w:rPr>
          <w:rFonts w:hint="eastAsia" w:ascii="宋体" w:hAnsi="宋体" w:cs="宋体"/>
          <w:color w:val="auto"/>
          <w:sz w:val="24"/>
          <w:highlight w:val="none"/>
        </w:rPr>
        <w:t xml:space="preserve">本公司（联合体）郑重声明，根据《政府采购促进中小企业发展管理办法》（财库﹝2020﹞46 号）的规定，本公司（联合体）参加 </w:t>
      </w:r>
      <w:r>
        <w:rPr>
          <w:rFonts w:hint="eastAsia" w:ascii="宋体" w:hAnsi="宋体" w:cs="宋体"/>
          <w:color w:val="auto"/>
          <w:sz w:val="24"/>
          <w:highlight w:val="none"/>
          <w:u w:val="single"/>
        </w:rPr>
        <w:t xml:space="preserve">（采购人） </w:t>
      </w:r>
      <w:r>
        <w:rPr>
          <w:rFonts w:hint="eastAsia" w:ascii="宋体" w:hAnsi="宋体" w:cs="宋体"/>
          <w:color w:val="auto"/>
          <w:sz w:val="24"/>
          <w:highlight w:val="none"/>
        </w:rPr>
        <w:t>的</w:t>
      </w:r>
      <w:r>
        <w:rPr>
          <w:rFonts w:hint="eastAsia" w:ascii="宋体" w:hAnsi="宋体" w:cs="宋体"/>
          <w:color w:val="auto"/>
          <w:sz w:val="24"/>
          <w:highlight w:val="none"/>
          <w:u w:val="single"/>
        </w:rPr>
        <w:t xml:space="preserve"> （项目名称） </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7F1ECC40">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highlight w:val="none"/>
        </w:rPr>
        <w:t xml:space="preserve"> </w:t>
      </w:r>
      <w:r>
        <w:rPr>
          <w:rFonts w:hint="eastAsia" w:ascii="宋体" w:hAnsi="宋体" w:cs="宋体"/>
          <w:color w:val="auto"/>
          <w:sz w:val="24"/>
          <w:highlight w:val="none"/>
          <w:u w:val="single"/>
        </w:rPr>
        <w:t>（标的名称）</w:t>
      </w:r>
      <w:r>
        <w:rPr>
          <w:rFonts w:hint="eastAsia" w:ascii="宋体" w:hAnsi="宋体" w:cs="宋体"/>
          <w:color w:val="auto"/>
          <w:sz w:val="24"/>
          <w:highlight w:val="none"/>
        </w:rPr>
        <w:t xml:space="preserve">，属于 </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 xml:space="preserve"> ；承建（承接）企业为 </w:t>
      </w:r>
      <w:r>
        <w:rPr>
          <w:rFonts w:hint="eastAsia" w:ascii="宋体" w:hAnsi="宋体" w:cs="宋体"/>
          <w:color w:val="auto"/>
          <w:sz w:val="24"/>
          <w:highlight w:val="none"/>
          <w:u w:val="single"/>
        </w:rPr>
        <w:t>（企业名称）</w:t>
      </w:r>
      <w:r>
        <w:rPr>
          <w:rFonts w:hint="eastAsia" w:ascii="宋体" w:hAnsi="宋体" w:cs="宋体"/>
          <w:color w:val="auto"/>
          <w:sz w:val="24"/>
          <w:highlight w:val="none"/>
        </w:rPr>
        <w:t xml:space="preserve"> ，从业人员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（中型企业、小型企业、微型企业） </w:t>
      </w:r>
      <w:r>
        <w:rPr>
          <w:rFonts w:hint="eastAsia" w:ascii="宋体" w:hAnsi="宋体" w:cs="宋体"/>
          <w:color w:val="auto"/>
          <w:sz w:val="24"/>
          <w:highlight w:val="none"/>
        </w:rPr>
        <w:t>；</w:t>
      </w:r>
    </w:p>
    <w:p w14:paraId="5B8EA032">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highlight w:val="none"/>
        </w:rPr>
        <w:t xml:space="preserve"> </w:t>
      </w:r>
      <w:r>
        <w:rPr>
          <w:rFonts w:hint="eastAsia" w:ascii="宋体" w:hAnsi="宋体" w:cs="宋体"/>
          <w:color w:val="auto"/>
          <w:sz w:val="24"/>
          <w:highlight w:val="none"/>
          <w:u w:val="single"/>
        </w:rPr>
        <w:t>（标的名称）</w:t>
      </w:r>
      <w:r>
        <w:rPr>
          <w:rFonts w:hint="eastAsia" w:ascii="宋体" w:hAnsi="宋体" w:cs="宋体"/>
          <w:color w:val="auto"/>
          <w:sz w:val="24"/>
          <w:highlight w:val="none"/>
        </w:rPr>
        <w:t xml:space="preserve">，属于 </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 xml:space="preserve"> ；承建（承接）企业为 </w:t>
      </w:r>
      <w:r>
        <w:rPr>
          <w:rFonts w:hint="eastAsia" w:ascii="宋体" w:hAnsi="宋体" w:cs="宋体"/>
          <w:color w:val="auto"/>
          <w:sz w:val="24"/>
          <w:highlight w:val="none"/>
          <w:u w:val="single"/>
        </w:rPr>
        <w:t>（企业名称）</w:t>
      </w:r>
      <w:r>
        <w:rPr>
          <w:rFonts w:hint="eastAsia" w:ascii="宋体" w:hAnsi="宋体" w:cs="宋体"/>
          <w:color w:val="auto"/>
          <w:sz w:val="24"/>
          <w:highlight w:val="none"/>
        </w:rPr>
        <w:t xml:space="preserve"> ，从业人员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（中型企业、小型企业、微型企业） </w:t>
      </w:r>
      <w:r>
        <w:rPr>
          <w:rFonts w:hint="eastAsia" w:ascii="宋体" w:hAnsi="宋体" w:cs="宋体"/>
          <w:color w:val="auto"/>
          <w:sz w:val="24"/>
          <w:highlight w:val="none"/>
        </w:rPr>
        <w:t>；</w:t>
      </w:r>
    </w:p>
    <w:p w14:paraId="09A47C34">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w:t>
      </w:r>
    </w:p>
    <w:p w14:paraId="063D88CC">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w:t>
      </w:r>
    </w:p>
    <w:p w14:paraId="01B5AC8A">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本企业对上述声明内容的真实性负责。如有虚假，将依法承担相应责任。</w:t>
      </w:r>
    </w:p>
    <w:p w14:paraId="31A8E6FA">
      <w:pPr>
        <w:spacing w:line="360" w:lineRule="auto"/>
        <w:ind w:firstLine="480" w:firstLineChars="200"/>
        <w:rPr>
          <w:rFonts w:hint="eastAsia" w:ascii="宋体" w:hAnsi="宋体" w:cs="宋体"/>
          <w:color w:val="auto"/>
          <w:sz w:val="24"/>
          <w:highlight w:val="none"/>
        </w:rPr>
      </w:pPr>
    </w:p>
    <w:p w14:paraId="37B1CB2E">
      <w:pPr>
        <w:snapToGrid w:val="0"/>
        <w:spacing w:line="360" w:lineRule="auto"/>
        <w:ind w:firstLine="5160" w:firstLineChars="2150"/>
        <w:rPr>
          <w:rFonts w:hint="eastAsia" w:ascii="宋体" w:hAnsi="宋体" w:cs="宋体"/>
          <w:color w:val="auto"/>
          <w:kern w:val="0"/>
          <w:sz w:val="24"/>
          <w:highlight w:val="none"/>
        </w:rPr>
      </w:pPr>
      <w:r>
        <w:rPr>
          <w:rFonts w:hint="eastAsia" w:ascii="宋体" w:hAnsi="宋体" w:cs="宋体"/>
          <w:color w:val="auto"/>
          <w:kern w:val="0"/>
          <w:sz w:val="24"/>
          <w:highlight w:val="none"/>
          <w:lang w:val="zh-CN"/>
        </w:rPr>
        <w:t>供应商名称(电子签名)：</w:t>
      </w:r>
    </w:p>
    <w:p w14:paraId="3ACC83B2">
      <w:pPr>
        <w:snapToGrid w:val="0"/>
        <w:spacing w:line="360" w:lineRule="auto"/>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14:paraId="52E5114A">
      <w:pPr>
        <w:spacing w:line="360" w:lineRule="auto"/>
        <w:ind w:firstLine="422" w:firstLineChars="200"/>
        <w:jc w:val="left"/>
        <w:rPr>
          <w:rFonts w:hint="eastAsia" w:ascii="宋体" w:hAnsi="宋体" w:cs="宋体"/>
          <w:b/>
          <w:bCs/>
          <w:color w:val="auto"/>
          <w:szCs w:val="21"/>
          <w:highlight w:val="none"/>
        </w:rPr>
      </w:pPr>
      <w:r>
        <w:rPr>
          <w:rFonts w:hint="eastAsia" w:ascii="宋体" w:hAnsi="宋体" w:cs="宋体"/>
          <w:b/>
          <w:bCs/>
          <w:color w:val="auto"/>
          <w:szCs w:val="21"/>
          <w:highlight w:val="none"/>
        </w:rPr>
        <w:t>从业人员、营业收入、资产总额填报上一年度数据，无上一年度数据的新成立企业可不填报。</w:t>
      </w:r>
    </w:p>
    <w:p w14:paraId="38D5249E">
      <w:pPr>
        <w:snapToGrid w:val="0"/>
        <w:spacing w:line="360" w:lineRule="auto"/>
        <w:jc w:val="left"/>
        <w:rPr>
          <w:color w:val="auto"/>
          <w:highlight w:val="none"/>
        </w:rPr>
      </w:pPr>
      <w:r>
        <w:rPr>
          <w:b/>
          <w:color w:val="auto"/>
          <w:highlight w:val="none"/>
        </w:rPr>
        <w:t>请登录工业和信息化部</w:t>
      </w:r>
      <w:r>
        <w:rPr>
          <w:b/>
          <w:color w:val="auto"/>
          <w:highlight w:val="none"/>
        </w:rPr>
        <w:fldChar w:fldCharType="begin"/>
      </w:r>
      <w:r>
        <w:rPr>
          <w:b/>
          <w:color w:val="auto"/>
          <w:highlight w:val="none"/>
        </w:rPr>
        <w:instrText xml:space="preserve"> INCLUDEPICTURE "C:\\Documents and Settings\\Administrator\\Application Data\\Tencent\\QQTempSys\\[5UQ[BL(6~BS2JV6W}N6[%S.png" \* MERGEFORMATINET </w:instrText>
      </w:r>
      <w:r>
        <w:rPr>
          <w:b/>
          <w:color w:val="auto"/>
          <w:highlight w:val="none"/>
        </w:rPr>
        <w:fldChar w:fldCharType="separate"/>
      </w:r>
      <w:r>
        <w:rPr>
          <w:b/>
          <w:color w:val="auto"/>
          <w:highlight w:val="none"/>
        </w:rPr>
        <w:drawing>
          <wp:inline distT="0" distB="0" distL="114300" distR="114300">
            <wp:extent cx="189230" cy="142875"/>
            <wp:effectExtent l="0" t="0" r="8890" b="9525"/>
            <wp:docPr id="15" name="图片 1" descr="[5UQ[BL(6~BS2JV6W}N6[%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descr="[5UQ[BL(6~BS2JV6W}N6[%S"/>
                    <pic:cNvPicPr>
                      <a:picLocks noChangeAspect="1"/>
                    </pic:cNvPicPr>
                  </pic:nvPicPr>
                  <pic:blipFill>
                    <a:blip r:embed="rId25"/>
                    <a:stretch>
                      <a:fillRect/>
                    </a:stretch>
                  </pic:blipFill>
                  <pic:spPr>
                    <a:xfrm>
                      <a:off x="0" y="0"/>
                      <a:ext cx="189230" cy="142875"/>
                    </a:xfrm>
                    <a:prstGeom prst="rect">
                      <a:avLst/>
                    </a:prstGeom>
                    <a:noFill/>
                    <a:ln>
                      <a:noFill/>
                    </a:ln>
                  </pic:spPr>
                </pic:pic>
              </a:graphicData>
            </a:graphic>
          </wp:inline>
        </w:drawing>
      </w:r>
      <w:r>
        <w:rPr>
          <w:b/>
          <w:color w:val="auto"/>
          <w:highlight w:val="none"/>
        </w:rPr>
        <w:fldChar w:fldCharType="end"/>
      </w:r>
      <w:r>
        <w:rPr>
          <w:b/>
          <w:color w:val="auto"/>
          <w:highlight w:val="none"/>
        </w:rPr>
        <w:t>https://www.miit.gov.cn/网站，</w:t>
      </w:r>
      <w:r>
        <w:rPr>
          <w:color w:val="auto"/>
          <w:highlight w:val="none"/>
        </w:rPr>
        <w:fldChar w:fldCharType="begin"/>
      </w:r>
      <w:r>
        <w:rPr>
          <w:color w:val="auto"/>
          <w:highlight w:val="none"/>
        </w:rPr>
        <w:instrText xml:space="preserve"> INCLUDEPICTURE "C:\\Program Files\\Tencent\\QQ\\Users\\1121991092\\Image\\Group2\\6N\\K6\\6NK6[U(5_DT(HU5(T4EZ222.png" \* MERGEFORMATINET </w:instrText>
      </w:r>
      <w:r>
        <w:rPr>
          <w:color w:val="auto"/>
          <w:highlight w:val="none"/>
        </w:rPr>
        <w:fldChar w:fldCharType="separate"/>
      </w:r>
      <w:r>
        <w:rPr>
          <w:color w:val="auto"/>
          <w:highlight w:val="none"/>
        </w:rPr>
        <w:drawing>
          <wp:inline distT="0" distB="0" distL="114300" distR="114300">
            <wp:extent cx="5505450" cy="1305560"/>
            <wp:effectExtent l="0" t="0" r="11430" b="5080"/>
            <wp:docPr id="14" name="图片 2" descr="6NK6[U(5_DT(HU5(T4EZ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6NK6[U(5_DT(HU5(T4EZ222"/>
                    <pic:cNvPicPr>
                      <a:picLocks noChangeAspect="1"/>
                    </pic:cNvPicPr>
                  </pic:nvPicPr>
                  <pic:blipFill>
                    <a:blip r:embed="rId26"/>
                    <a:stretch>
                      <a:fillRect/>
                    </a:stretch>
                  </pic:blipFill>
                  <pic:spPr>
                    <a:xfrm>
                      <a:off x="0" y="0"/>
                      <a:ext cx="5505450" cy="1305560"/>
                    </a:xfrm>
                    <a:prstGeom prst="rect">
                      <a:avLst/>
                    </a:prstGeom>
                    <a:noFill/>
                    <a:ln>
                      <a:noFill/>
                    </a:ln>
                  </pic:spPr>
                </pic:pic>
              </a:graphicData>
            </a:graphic>
          </wp:inline>
        </w:drawing>
      </w:r>
      <w:r>
        <w:rPr>
          <w:color w:val="auto"/>
          <w:highlight w:val="none"/>
        </w:rPr>
        <w:fldChar w:fldCharType="end"/>
      </w:r>
    </w:p>
    <w:p w14:paraId="63EA87FB">
      <w:pPr>
        <w:snapToGrid w:val="0"/>
        <w:spacing w:line="360" w:lineRule="auto"/>
        <w:jc w:val="left"/>
        <w:rPr>
          <w:rFonts w:hint="eastAsia" w:ascii="宋体" w:hAnsi="宋体"/>
          <w:color w:val="auto"/>
          <w:sz w:val="24"/>
          <w:highlight w:val="none"/>
        </w:rPr>
      </w:pPr>
      <w:r>
        <w:rPr>
          <w:b/>
          <w:color w:val="auto"/>
          <w:highlight w:val="none"/>
        </w:rPr>
        <w:t>点开“中小企业规模类型自测小程序”，填写投标产品所属的行业和投标企业</w:t>
      </w:r>
      <w:r>
        <w:rPr>
          <w:rFonts w:hint="eastAsia"/>
          <w:b/>
          <w:color w:val="auto"/>
          <w:highlight w:val="none"/>
        </w:rPr>
        <w:t>从业人员</w:t>
      </w:r>
      <w:r>
        <w:rPr>
          <w:b/>
          <w:color w:val="auto"/>
          <w:highlight w:val="none"/>
        </w:rPr>
        <w:t>交社保职工人数及</w:t>
      </w:r>
      <w:r>
        <w:rPr>
          <w:rFonts w:hint="eastAsia"/>
          <w:b/>
          <w:color w:val="auto"/>
          <w:highlight w:val="none"/>
        </w:rPr>
        <w:t>上年末资产总额</w:t>
      </w:r>
      <w:r>
        <w:rPr>
          <w:b/>
          <w:color w:val="auto"/>
          <w:highlight w:val="none"/>
        </w:rPr>
        <w:t>指标数据自动生成企业规模类型测试结果。</w:t>
      </w:r>
    </w:p>
    <w:p w14:paraId="376F8612">
      <w:pPr>
        <w:spacing w:line="360" w:lineRule="auto"/>
        <w:ind w:right="420"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注：</w:t>
      </w:r>
    </w:p>
    <w:p w14:paraId="4C772ADE">
      <w:pPr>
        <w:spacing w:line="360" w:lineRule="auto"/>
        <w:ind w:right="420" w:firstLine="480" w:firstLineChars="200"/>
        <w:rPr>
          <w:rFonts w:hint="eastAsia" w:ascii="宋体" w:hAnsi="宋体" w:cs="宋体"/>
          <w:color w:val="auto"/>
          <w:sz w:val="24"/>
          <w:highlight w:val="none"/>
        </w:rPr>
      </w:pPr>
      <w:r>
        <w:rPr>
          <w:rFonts w:hint="eastAsia" w:ascii="宋体" w:hAnsi="宋体" w:cs="宋体"/>
          <w:color w:val="auto"/>
          <w:sz w:val="24"/>
          <w:highlight w:val="none"/>
        </w:rPr>
        <w:t>1、填写要求：①“标的名称”、“采购文件中明确的所属行业”依据采购文件第二部分供应商须知前附表中“采购标的及其对应的中小企业划分标准所属行业”的指引，逐一填写，不得缺漏；②从业人员、营业收入、资产总额填报上一年度数据，无上一年度数据的新成立企业可不填报；③中型企业、小型企业、微型企业等3种企业类型，结合以上数据，依据《中小企业划型标准规定》（工信部联企业〔2011〕300号）确定；④供应商提供的《中小企业声明函》与实际情况不符的或者未按以上要求填写的，中小企业声明函无效，不享受中小企业扶持政策。声明内容不实的，属于提供虚假材料谋取中标、成交的，依法承担法律责任。</w:t>
      </w:r>
    </w:p>
    <w:p w14:paraId="12B467AF">
      <w:pPr>
        <w:spacing w:line="360" w:lineRule="auto"/>
        <w:ind w:right="420" w:firstLine="480" w:firstLineChars="200"/>
        <w:rPr>
          <w:rFonts w:hint="eastAsia" w:ascii="宋体" w:hAnsi="宋体" w:cs="宋体"/>
          <w:color w:val="auto"/>
          <w:sz w:val="24"/>
          <w:highlight w:val="none"/>
        </w:rPr>
      </w:pPr>
      <w:r>
        <w:rPr>
          <w:rFonts w:hint="eastAsia" w:ascii="宋体" w:hAnsi="宋体" w:cs="宋体"/>
          <w:color w:val="auto"/>
          <w:sz w:val="24"/>
          <w:highlight w:val="none"/>
        </w:rPr>
        <w:t>2、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供应商提供由省级以上监狱管理局、戒毒管理局（含新疆生产建设兵团）出具的属于监狱企业证明文件的，视同为小型和微型企业。</w:t>
      </w:r>
    </w:p>
    <w:p w14:paraId="2DFA60AB">
      <w:pPr>
        <w:spacing w:line="360" w:lineRule="auto"/>
        <w:jc w:val="center"/>
        <w:rPr>
          <w:rFonts w:hint="eastAsia" w:ascii="宋体" w:hAnsi="宋体" w:cs="宋体"/>
          <w:b/>
          <w:color w:val="auto"/>
          <w:sz w:val="32"/>
          <w:szCs w:val="32"/>
          <w:highlight w:val="none"/>
        </w:rPr>
      </w:pPr>
    </w:p>
    <w:p w14:paraId="795B4D85">
      <w:pPr>
        <w:spacing w:line="360" w:lineRule="auto"/>
        <w:jc w:val="center"/>
        <w:rPr>
          <w:rFonts w:hint="eastAsia" w:ascii="宋体" w:hAnsi="宋体" w:cs="宋体"/>
          <w:b/>
          <w:color w:val="auto"/>
          <w:sz w:val="32"/>
          <w:szCs w:val="32"/>
          <w:highlight w:val="none"/>
        </w:rPr>
      </w:pPr>
    </w:p>
    <w:p w14:paraId="3EB9D982">
      <w:pPr>
        <w:spacing w:line="360" w:lineRule="auto"/>
        <w:jc w:val="center"/>
        <w:rPr>
          <w:rFonts w:hint="eastAsia" w:ascii="宋体" w:hAnsi="宋体" w:cs="宋体"/>
          <w:b/>
          <w:color w:val="auto"/>
          <w:sz w:val="32"/>
          <w:szCs w:val="32"/>
          <w:highlight w:val="none"/>
        </w:rPr>
      </w:pPr>
    </w:p>
    <w:p w14:paraId="7ADA232B">
      <w:pPr>
        <w:spacing w:line="360" w:lineRule="auto"/>
        <w:jc w:val="center"/>
        <w:rPr>
          <w:rFonts w:hint="eastAsia" w:ascii="宋体" w:hAnsi="宋体" w:cs="宋体"/>
          <w:b/>
          <w:color w:val="auto"/>
          <w:sz w:val="32"/>
          <w:szCs w:val="32"/>
          <w:highlight w:val="none"/>
        </w:rPr>
      </w:pPr>
    </w:p>
    <w:p w14:paraId="1D842BBF">
      <w:pPr>
        <w:spacing w:line="360" w:lineRule="auto"/>
        <w:jc w:val="center"/>
        <w:rPr>
          <w:rFonts w:hint="eastAsia" w:ascii="宋体" w:hAnsi="宋体" w:cs="宋体"/>
          <w:b/>
          <w:color w:val="auto"/>
          <w:sz w:val="32"/>
          <w:szCs w:val="32"/>
          <w:highlight w:val="none"/>
        </w:rPr>
      </w:pPr>
    </w:p>
    <w:p w14:paraId="728F136D">
      <w:pPr>
        <w:spacing w:line="360" w:lineRule="auto"/>
        <w:jc w:val="center"/>
        <w:rPr>
          <w:rFonts w:hint="eastAsia" w:ascii="宋体" w:hAnsi="宋体" w:cs="宋体"/>
          <w:b/>
          <w:color w:val="auto"/>
          <w:sz w:val="32"/>
          <w:szCs w:val="32"/>
          <w:highlight w:val="none"/>
        </w:rPr>
      </w:pPr>
    </w:p>
    <w:p w14:paraId="75E94304">
      <w:pPr>
        <w:spacing w:line="360" w:lineRule="auto"/>
        <w:jc w:val="center"/>
        <w:rPr>
          <w:rFonts w:hint="eastAsia" w:ascii="宋体" w:hAnsi="宋体" w:cs="宋体"/>
          <w:b/>
          <w:color w:val="auto"/>
          <w:sz w:val="32"/>
          <w:szCs w:val="32"/>
          <w:highlight w:val="none"/>
        </w:rPr>
      </w:pPr>
    </w:p>
    <w:p w14:paraId="10BCEB90">
      <w:pPr>
        <w:spacing w:line="360" w:lineRule="auto"/>
        <w:jc w:val="center"/>
        <w:rPr>
          <w:rFonts w:hint="eastAsia" w:ascii="宋体" w:hAnsi="宋体" w:cs="宋体"/>
          <w:b/>
          <w:color w:val="auto"/>
          <w:sz w:val="32"/>
          <w:szCs w:val="32"/>
          <w:highlight w:val="none"/>
        </w:rPr>
      </w:pPr>
    </w:p>
    <w:p w14:paraId="3AA5B793">
      <w:pPr>
        <w:spacing w:line="360" w:lineRule="auto"/>
        <w:jc w:val="center"/>
        <w:rPr>
          <w:rFonts w:hint="eastAsia" w:ascii="宋体" w:hAnsi="宋体" w:cs="宋体"/>
          <w:b/>
          <w:color w:val="auto"/>
          <w:sz w:val="32"/>
          <w:szCs w:val="32"/>
          <w:highlight w:val="none"/>
        </w:rPr>
      </w:pPr>
    </w:p>
    <w:p w14:paraId="02804817">
      <w:pPr>
        <w:spacing w:line="360" w:lineRule="auto"/>
        <w:jc w:val="center"/>
        <w:rPr>
          <w:rFonts w:hint="eastAsia" w:ascii="宋体" w:hAnsi="宋体" w:cs="宋体"/>
          <w:b/>
          <w:color w:val="auto"/>
          <w:sz w:val="32"/>
          <w:szCs w:val="32"/>
          <w:highlight w:val="none"/>
        </w:rPr>
      </w:pPr>
    </w:p>
    <w:p w14:paraId="0E5A4AFD">
      <w:pPr>
        <w:spacing w:line="360" w:lineRule="auto"/>
        <w:jc w:val="center"/>
        <w:rPr>
          <w:rFonts w:hint="eastAsia" w:ascii="宋体" w:hAnsi="宋体" w:cs="宋体"/>
          <w:b/>
          <w:color w:val="auto"/>
          <w:sz w:val="32"/>
          <w:szCs w:val="32"/>
          <w:highlight w:val="none"/>
        </w:rPr>
      </w:pPr>
    </w:p>
    <w:p w14:paraId="38FB7AF8">
      <w:pPr>
        <w:spacing w:line="360" w:lineRule="auto"/>
        <w:jc w:val="center"/>
        <w:rPr>
          <w:rFonts w:hint="eastAsia" w:ascii="宋体" w:hAnsi="宋体" w:cs="宋体"/>
          <w:b/>
          <w:color w:val="auto"/>
          <w:sz w:val="32"/>
          <w:szCs w:val="32"/>
          <w:highlight w:val="none"/>
        </w:rPr>
      </w:pPr>
    </w:p>
    <w:p w14:paraId="22A94946">
      <w:pPr>
        <w:spacing w:line="360" w:lineRule="auto"/>
        <w:jc w:val="center"/>
        <w:rPr>
          <w:rFonts w:hint="eastAsia" w:ascii="宋体" w:hAnsi="宋体" w:cs="宋体"/>
          <w:b/>
          <w:color w:val="auto"/>
          <w:sz w:val="32"/>
          <w:szCs w:val="32"/>
          <w:highlight w:val="none"/>
        </w:rPr>
      </w:pPr>
    </w:p>
    <w:p w14:paraId="536CB95A">
      <w:pPr>
        <w:spacing w:line="360" w:lineRule="auto"/>
        <w:rPr>
          <w:rFonts w:hint="eastAsia" w:ascii="宋体" w:hAnsi="宋体" w:cs="宋体"/>
          <w:bCs/>
          <w:color w:val="auto"/>
          <w:sz w:val="24"/>
          <w:highlight w:val="none"/>
        </w:rPr>
        <w:sectPr>
          <w:pgSz w:w="11906" w:h="16838"/>
          <w:pgMar w:top="1440" w:right="1080" w:bottom="1440" w:left="1080" w:header="851" w:footer="992" w:gutter="0"/>
          <w:cols w:space="720" w:num="1"/>
          <w:titlePg/>
          <w:docGrid w:linePitch="312" w:charSpace="0"/>
        </w:sectPr>
      </w:pPr>
    </w:p>
    <w:p w14:paraId="0D0F9102">
      <w:pPr>
        <w:spacing w:line="360" w:lineRule="auto"/>
        <w:jc w:val="center"/>
        <w:rPr>
          <w:rFonts w:hint="eastAsia"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附件8：工程量清单（另附）</w:t>
      </w:r>
    </w:p>
    <w:p w14:paraId="293AAF01">
      <w:pPr>
        <w:spacing w:line="360" w:lineRule="auto"/>
        <w:jc w:val="center"/>
        <w:rPr>
          <w:rFonts w:hint="eastAsia" w:ascii="宋体" w:hAnsi="宋体" w:cs="宋体"/>
          <w:b/>
          <w:color w:val="auto"/>
          <w:spacing w:val="6"/>
          <w:sz w:val="32"/>
          <w:szCs w:val="32"/>
          <w:highlight w:val="none"/>
        </w:rPr>
      </w:pPr>
    </w:p>
    <w:p w14:paraId="4B587275">
      <w:pPr>
        <w:spacing w:line="360" w:lineRule="auto"/>
        <w:jc w:val="center"/>
        <w:rPr>
          <w:rFonts w:hint="eastAsia"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附件9：图纸（另附）</w:t>
      </w:r>
    </w:p>
    <w:p w14:paraId="1B2BDC15">
      <w:pPr>
        <w:rPr>
          <w:color w:val="auto"/>
          <w:highlight w:val="none"/>
        </w:rPr>
      </w:pPr>
    </w:p>
    <w:sectPr>
      <w:pgSz w:w="11906" w:h="16838"/>
      <w:pgMar w:top="1440" w:right="1080" w:bottom="1440" w:left="1080"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华文中宋">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MS Sans Serif">
    <w:altName w:val="Segoe Print"/>
    <w:panose1 w:val="00000000000000000000"/>
    <w:charset w:val="00"/>
    <w:family w:val="swiss"/>
    <w:pitch w:val="default"/>
    <w:sig w:usb0="00000000" w:usb1="00000000" w:usb2="00000000" w:usb3="00000000" w:csb0="00000001" w:csb1="00000000"/>
  </w:font>
  <w:font w:name="Lucida Sans">
    <w:altName w:val="Lucida Sans Unicode"/>
    <w:panose1 w:val="020B0602030504020204"/>
    <w:charset w:val="00"/>
    <w:family w:val="swiss"/>
    <w:pitch w:val="default"/>
    <w:sig w:usb0="00000000" w:usb1="00000000" w:usb2="00000000" w:usb3="00000000" w:csb0="00000001" w:csb1="00000000"/>
  </w:font>
  <w:font w:name="Lucida Sans Unicode">
    <w:panose1 w:val="020B0602030504020204"/>
    <w:charset w:val="00"/>
    <w:family w:val="swiss"/>
    <w:pitch w:val="default"/>
    <w:sig w:usb0="80001AFF" w:usb1="0000396B" w:usb2="00000000" w:usb3="00000000" w:csb0="200000BF" w:csb1="D7F70000"/>
  </w:font>
  <w:font w:name="等线 Light">
    <w:altName w:val="宋体"/>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幼圆">
    <w:altName w:val="宋体"/>
    <w:panose1 w:val="02010509060101010101"/>
    <w:charset w:val="86"/>
    <w:family w:val="modern"/>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FHLHE E+ Futura Bk">
    <w:altName w:val="宋体"/>
    <w:panose1 w:val="00000000000000000000"/>
    <w:charset w:val="86"/>
    <w:family w:val="swiss"/>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8" w:usb3="00000000" w:csb0="000001FF" w:csb1="00000000"/>
  </w:font>
  <w:font w:name="Arial Unicode MS">
    <w:altName w:val="宋体"/>
    <w:panose1 w:val="020B0604020202020204"/>
    <w:charset w:val="86"/>
    <w:family w:val="swiss"/>
    <w:pitch w:val="default"/>
    <w:sig w:usb0="00000000" w:usb1="00000000" w:usb2="0000007F" w:usb3="00000000" w:csb0="203F01FF" w:csb1="DFFF0000"/>
  </w:font>
  <w:font w:name="Helvetica">
    <w:altName w:val="Arial"/>
    <w:panose1 w:val="020B0604020202020204"/>
    <w:charset w:val="00"/>
    <w:family w:val="swiss"/>
    <w:pitch w:val="default"/>
    <w:sig w:usb0="00000000" w:usb1="00000000" w:usb2="00000000" w:usb3="00000000" w:csb0="00000001" w:csb1="00000000"/>
  </w:font>
  <w:font w:name="Cumberland">
    <w:altName w:val="微软雅黑"/>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Futura Hv">
    <w:altName w:val="Segoe Print"/>
    <w:panose1 w:val="00000000000000000000"/>
    <w:charset w:val="00"/>
    <w:family w:val="swiss"/>
    <w:pitch w:val="default"/>
    <w:sig w:usb0="00000000" w:usb1="00000000" w:usb2="00000000" w:usb3="00000000" w:csb0="000001FB" w:csb1="00000000"/>
  </w:font>
  <w:font w:name="Segoe UI">
    <w:panose1 w:val="020B0502040204020203"/>
    <w:charset w:val="00"/>
    <w:family w:val="swiss"/>
    <w:pitch w:val="default"/>
    <w:sig w:usb0="E10022FF" w:usb1="C000E47F" w:usb2="00000029" w:usb3="00000000" w:csb0="200001DF" w:csb1="20000000"/>
  </w:font>
  <w:font w:name="Latha">
    <w:panose1 w:val="020B0604020202020204"/>
    <w:charset w:val="00"/>
    <w:family w:val="swiss"/>
    <w:pitch w:val="default"/>
    <w:sig w:usb0="00100003" w:usb1="00000000" w:usb2="00000000" w:usb3="00000000" w:csb0="00000001" w:csb1="00000000"/>
  </w:font>
  <w:font w:name="等线">
    <w:altName w:val="微软雅黑"/>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Century Gothic">
    <w:altName w:val="Segoe Print"/>
    <w:panose1 w:val="020B0502020202020204"/>
    <w:charset w:val="00"/>
    <w:family w:val="swiss"/>
    <w:pitch w:val="default"/>
    <w:sig w:usb0="00000000" w:usb1="00000000" w:usb2="00000000" w:usb3="00000000" w:csb0="0000009F" w:csb1="00000000"/>
  </w:font>
  <w:font w:name="Aldine401 BT">
    <w:altName w:val="Segoe Print"/>
    <w:panose1 w:val="00000000000000000000"/>
    <w:charset w:val="00"/>
    <w:family w:val="roman"/>
    <w:pitch w:val="default"/>
    <w:sig w:usb0="00000000" w:usb1="00000000" w:usb2="00000000" w:usb3="00000000" w:csb0="00000011" w:csb1="00000000"/>
  </w:font>
  <w:font w:name=".PingFang SC">
    <w:altName w:val="微软雅黑"/>
    <w:panose1 w:val="00000000000000000000"/>
    <w:charset w:val="00"/>
    <w:family w:val="modern"/>
    <w:pitch w:val="default"/>
    <w:sig w:usb0="00000000" w:usb1="00000000" w:usb2="00000000" w:usb3="00000000" w:csb0="00040001" w:csb1="00000000"/>
  </w:font>
  <w:font w:name="MS Gothic">
    <w:panose1 w:val="020B0609070205080204"/>
    <w:charset w:val="80"/>
    <w:family w:val="modern"/>
    <w:pitch w:val="default"/>
    <w:sig w:usb0="E00002FF" w:usb1="6AC7FDFB" w:usb2="00000012" w:usb3="00000000" w:csb0="4002009F" w:csb1="DFD70000"/>
  </w:font>
  <w:font w:name="Wingdings 2">
    <w:altName w:val="Wingdings"/>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00"/>
    <w:family w:val="roman"/>
    <w:pitch w:val="default"/>
    <w:sig w:usb0="00000000" w:usb1="00000000" w:usb2="00000000" w:usb3="00000000" w:csb0="00000001" w:csb1="00000000"/>
  </w:font>
  <w:font w:name="Kingsoft U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DC95E">
    <w:pPr>
      <w:pStyle w:val="42"/>
      <w:jc w:val="center"/>
      <w:rPr>
        <w:rFonts w:ascii="仿宋_GB2312" w:eastAsia="仿宋_GB23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7AE88B">
                          <w:pPr>
                            <w:pStyle w:val="4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D7AE88B">
                    <w:pPr>
                      <w:pStyle w:val="4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8267A">
    <w:pPr>
      <w:pStyle w:val="42"/>
      <w:jc w:val="center"/>
      <w:rPr>
        <w:rFonts w:ascii="仿宋_GB2312" w:eastAsia="仿宋_GB2312"/>
      </w:rP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923653">
                          <w:pPr>
                            <w:pStyle w:val="42"/>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06923653">
                    <w:pPr>
                      <w:pStyle w:val="42"/>
                    </w:pPr>
                    <w:r>
                      <w:fldChar w:fldCharType="begin"/>
                    </w:r>
                    <w:r>
                      <w:instrText xml:space="preserve"> PAGE  \* MERGEFORMAT </w:instrText>
                    </w:r>
                    <w:r>
                      <w:fldChar w:fldCharType="separate"/>
                    </w:r>
                    <w:r>
                      <w:t>64</w:t>
                    </w:r>
                    <w:r>
                      <w:fldChar w:fldCharType="end"/>
                    </w:r>
                  </w:p>
                </w:txbxContent>
              </v:textbox>
            </v:shape>
          </w:pict>
        </mc:Fallback>
      </mc:AlternateContent>
    </w:r>
  </w:p>
  <w:p w14:paraId="7438CF1D">
    <w:pPr>
      <w:rPr>
        <w:rFonts w:ascii="仿宋_GB2312" w:eastAsia="仿宋_GB231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44755">
    <w:pPr>
      <w:pStyle w:val="42"/>
      <w:jc w:val="center"/>
      <w:rPr>
        <w:rFonts w:ascii="仿宋_GB2312" w:eastAsia="仿宋_GB2312"/>
      </w:rPr>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1BC523">
                          <w:pPr>
                            <w:pStyle w:val="42"/>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421BC523">
                    <w:pPr>
                      <w:pStyle w:val="42"/>
                    </w:pPr>
                    <w:r>
                      <w:fldChar w:fldCharType="begin"/>
                    </w:r>
                    <w:r>
                      <w:instrText xml:space="preserve"> PAGE  \* MERGEFORMAT </w:instrText>
                    </w:r>
                    <w:r>
                      <w:fldChar w:fldCharType="separate"/>
                    </w:r>
                    <w:r>
                      <w:t>69</w:t>
                    </w:r>
                    <w:r>
                      <w:fldChar w:fldCharType="end"/>
                    </w:r>
                  </w:p>
                </w:txbxContent>
              </v:textbox>
            </v:shape>
          </w:pict>
        </mc:Fallback>
      </mc:AlternateContent>
    </w:r>
  </w:p>
  <w:p w14:paraId="3671756D">
    <w:pPr>
      <w:rPr>
        <w:rFonts w:ascii="仿宋_GB2312" w:eastAsia="仿宋_GB231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DE797">
    <w:pPr>
      <w:pStyle w:val="42"/>
      <w:jc w:val="center"/>
      <w:rPr>
        <w:rFonts w:ascii="仿宋_GB2312" w:eastAsia="仿宋_GB2312"/>
      </w:rP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F1DBE4">
                          <w:pPr>
                            <w:pStyle w:val="42"/>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51F1DBE4">
                    <w:pPr>
                      <w:pStyle w:val="42"/>
                    </w:pPr>
                    <w:r>
                      <w:fldChar w:fldCharType="begin"/>
                    </w:r>
                    <w:r>
                      <w:instrText xml:space="preserve"> PAGE  \* MERGEFORMAT </w:instrText>
                    </w:r>
                    <w:r>
                      <w:fldChar w:fldCharType="separate"/>
                    </w:r>
                    <w:r>
                      <w:t>67</w:t>
                    </w:r>
                    <w:r>
                      <w:fldChar w:fldCharType="end"/>
                    </w:r>
                  </w:p>
                </w:txbxContent>
              </v:textbox>
            </v:shape>
          </w:pict>
        </mc:Fallback>
      </mc:AlternateContent>
    </w:r>
  </w:p>
  <w:p w14:paraId="08CA4986">
    <w:pPr>
      <w:rPr>
        <w:rFonts w:ascii="仿宋_GB2312" w:eastAsia="仿宋_GB231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CE1D0">
    <w:pPr>
      <w:pStyle w:val="42"/>
      <w:jc w:val="center"/>
      <w:rPr>
        <w:rFonts w:ascii="仿宋_GB2312" w:eastAsia="仿宋_GB2312"/>
        <w:szCs w:val="24"/>
      </w:rPr>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D0F817">
                          <w:pPr>
                            <w:pStyle w:val="42"/>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6CD0F817">
                    <w:pPr>
                      <w:pStyle w:val="42"/>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FA047">
    <w:pPr>
      <w:pStyle w:val="42"/>
      <w:framePr w:wrap="around" w:vAnchor="text" w:hAnchor="margin" w:xAlign="right" w:y="1"/>
      <w:rPr>
        <w:rStyle w:val="73"/>
      </w:rPr>
    </w:pPr>
    <w:r>
      <w:fldChar w:fldCharType="begin"/>
    </w:r>
    <w:r>
      <w:rPr>
        <w:rStyle w:val="73"/>
      </w:rPr>
      <w:instrText xml:space="preserve">PAGE  </w:instrText>
    </w:r>
    <w:r>
      <w:fldChar w:fldCharType="end"/>
    </w:r>
  </w:p>
  <w:p w14:paraId="1E348E0D">
    <w:pPr>
      <w:pStyle w:val="42"/>
      <w:ind w:right="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63134">
    <w:pPr>
      <w:pStyle w:val="42"/>
      <w:jc w:val="center"/>
      <w:rPr>
        <w:rFonts w:ascii="仿宋_GB2312" w:eastAsia="仿宋_GB2312"/>
      </w:rPr>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8F54C4">
                          <w:pPr>
                            <w:pStyle w:val="42"/>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018F54C4">
                    <w:pPr>
                      <w:pStyle w:val="42"/>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FCF59">
    <w:pPr>
      <w:pStyle w:val="42"/>
      <w:framePr w:wrap="around" w:vAnchor="text" w:hAnchor="margin" w:xAlign="right" w:y="1"/>
      <w:rPr>
        <w:rStyle w:val="73"/>
      </w:rPr>
    </w:pPr>
    <w:r>
      <w:fldChar w:fldCharType="begin"/>
    </w:r>
    <w:r>
      <w:rPr>
        <w:rStyle w:val="73"/>
      </w:rPr>
      <w:instrText xml:space="preserve">PAGE  </w:instrText>
    </w:r>
    <w:r>
      <w:fldChar w:fldCharType="end"/>
    </w:r>
  </w:p>
  <w:p w14:paraId="38A2578F">
    <w:pPr>
      <w:pStyle w:val="4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E1F9A">
    <w:pPr>
      <w:pStyle w:val="42"/>
      <w:jc w:val="center"/>
      <w:rPr>
        <w:rFonts w:ascii="仿宋_GB2312" w:eastAsia="仿宋_GB2312"/>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29ACA7">
                          <w:pPr>
                            <w:pStyle w:val="4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729ACA7">
                    <w:pPr>
                      <w:pStyle w:val="4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56FF7">
    <w:pPr>
      <w:pStyle w:val="42"/>
      <w:jc w:val="center"/>
    </w:pPr>
    <w:r>
      <w:fldChar w:fldCharType="begin"/>
    </w:r>
    <w:r>
      <w:instrText xml:space="preserve">PAGE   \* MERGEFORMAT</w:instrText>
    </w:r>
    <w:r>
      <w:fldChar w:fldCharType="separate"/>
    </w:r>
    <w:r>
      <w:rPr>
        <w:lang w:val="zh-CN"/>
      </w:rPr>
      <w:t>39</w:t>
    </w:r>
    <w:r>
      <w:rPr>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9D7EE">
    <w:pPr>
      <w:pStyle w:val="42"/>
      <w:framePr w:wrap="around" w:vAnchor="text" w:hAnchor="margin" w:xAlign="right" w:y="1"/>
      <w:rPr>
        <w:rStyle w:val="73"/>
      </w:rPr>
    </w:pPr>
    <w:r>
      <w:fldChar w:fldCharType="begin"/>
    </w:r>
    <w:r>
      <w:rPr>
        <w:rStyle w:val="73"/>
      </w:rPr>
      <w:instrText xml:space="preserve">PAGE  </w:instrText>
    </w:r>
    <w:r>
      <w:fldChar w:fldCharType="end"/>
    </w:r>
  </w:p>
  <w:p w14:paraId="588DB0AF">
    <w:pPr>
      <w:pStyle w:val="42"/>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E852B">
    <w:pPr>
      <w:pStyle w:val="42"/>
      <w:jc w:val="center"/>
    </w:pPr>
    <w:r>
      <w:fldChar w:fldCharType="begin"/>
    </w:r>
    <w:r>
      <w:instrText xml:space="preserve">PAGE   \* MERGEFORMAT</w:instrText>
    </w:r>
    <w:r>
      <w:fldChar w:fldCharType="separate"/>
    </w:r>
    <w:r>
      <w:rPr>
        <w:lang w:val="zh-CN"/>
      </w:rPr>
      <w:t>38</w:t>
    </w:r>
    <w:r>
      <w:rPr>
        <w:lang w:val="zh-C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54A9A">
    <w:pPr>
      <w:pStyle w:val="42"/>
      <w:jc w:val="center"/>
      <w:rPr>
        <w:rFonts w:ascii="仿宋_GB2312" w:eastAsia="仿宋_GB2312"/>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27518C">
                          <w:pPr>
                            <w:pStyle w:val="42"/>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4D27518C">
                    <w:pPr>
                      <w:pStyle w:val="42"/>
                    </w:pPr>
                    <w:r>
                      <w:fldChar w:fldCharType="begin"/>
                    </w:r>
                    <w:r>
                      <w:instrText xml:space="preserve"> PAGE  \* MERGEFORMAT </w:instrText>
                    </w:r>
                    <w:r>
                      <w:fldChar w:fldCharType="separate"/>
                    </w:r>
                    <w:r>
                      <w:t>33</w:t>
                    </w:r>
                    <w:r>
                      <w:fldChar w:fldCharType="end"/>
                    </w:r>
                  </w:p>
                </w:txbxContent>
              </v:textbox>
            </v:shape>
          </w:pict>
        </mc:Fallback>
      </mc:AlternateContent>
    </w:r>
  </w:p>
  <w:p w14:paraId="536BB7E2">
    <w:pPr>
      <w:rPr>
        <w:rFonts w:ascii="仿宋_GB2312" w:eastAsia="仿宋_GB23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6722A">
    <w:pPr>
      <w:pStyle w:val="42"/>
      <w:jc w:val="center"/>
      <w:rPr>
        <w:rFonts w:ascii="仿宋_GB2312" w:eastAsia="仿宋_GB2312"/>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9DB19A">
                          <w:pPr>
                            <w:pStyle w:val="42"/>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569DB19A">
                    <w:pPr>
                      <w:pStyle w:val="42"/>
                    </w:pPr>
                    <w:r>
                      <w:fldChar w:fldCharType="begin"/>
                    </w:r>
                    <w:r>
                      <w:instrText xml:space="preserve"> PAGE  \* MERGEFORMAT </w:instrText>
                    </w:r>
                    <w:r>
                      <w:fldChar w:fldCharType="separate"/>
                    </w:r>
                    <w:r>
                      <w:t>32</w:t>
                    </w:r>
                    <w:r>
                      <w:fldChar w:fldCharType="end"/>
                    </w:r>
                  </w:p>
                </w:txbxContent>
              </v:textbox>
            </v:shape>
          </w:pict>
        </mc:Fallback>
      </mc:AlternateContent>
    </w:r>
  </w:p>
  <w:p w14:paraId="50F66ECD">
    <w:pPr>
      <w:rPr>
        <w:rFonts w:ascii="仿宋_GB2312" w:eastAsia="仿宋_GB231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B15A1">
    <w:pPr>
      <w:pStyle w:val="42"/>
      <w:jc w:val="center"/>
      <w:rPr>
        <w:rFonts w:ascii="仿宋_GB2312" w:eastAsia="仿宋_GB2312"/>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7CADAF">
                          <w:pPr>
                            <w:pStyle w:val="42"/>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107CADAF">
                    <w:pPr>
                      <w:pStyle w:val="42"/>
                    </w:pPr>
                    <w:r>
                      <w:fldChar w:fldCharType="begin"/>
                    </w:r>
                    <w:r>
                      <w:instrText xml:space="preserve"> PAGE  \* MERGEFORMAT </w:instrText>
                    </w:r>
                    <w:r>
                      <w:fldChar w:fldCharType="separate"/>
                    </w:r>
                    <w:r>
                      <w:t>65</w:t>
                    </w:r>
                    <w:r>
                      <w:fldChar w:fldCharType="end"/>
                    </w:r>
                  </w:p>
                </w:txbxContent>
              </v:textbox>
            </v:shape>
          </w:pict>
        </mc:Fallback>
      </mc:AlternateContent>
    </w:r>
  </w:p>
  <w:p w14:paraId="1AE987B3">
    <w:pPr>
      <w:rPr>
        <w:rFonts w:ascii="仿宋_GB2312" w:eastAsia="仿宋_GB231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3F731">
    <w:pPr>
      <w:pStyle w:val="43"/>
      <w:pBdr>
        <w:bottom w:val="single" w:color="auto" w:sz="6" w:space="0"/>
      </w:pBdr>
      <w:jc w:val="right"/>
      <w:rPr>
        <w:rFonts w:ascii="仿宋_GB2312" w:eastAsia="仿宋_GB2312"/>
        <w:i/>
        <w:u w:val="single"/>
      </w:rPr>
    </w:pPr>
    <w:r>
      <w:rPr>
        <w:lang w:val="zh-CN"/>
      </w:rPr>
      <w:t>杭州市政府采购</w:t>
    </w:r>
    <w:r>
      <w:rPr>
        <w:rFonts w:hint="eastAsia"/>
        <w:lang w:val="zh-CN"/>
      </w:rPr>
      <w:t>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B936D">
    <w:pPr>
      <w:pStyle w:val="43"/>
      <w:pBdr>
        <w:bottom w:val="single" w:color="auto" w:sz="6" w:space="0"/>
      </w:pBdr>
      <w:tabs>
        <w:tab w:val="center" w:pos="4535"/>
        <w:tab w:val="right" w:pos="9070"/>
        <w:tab w:val="clear" w:pos="4153"/>
        <w:tab w:val="clear" w:pos="8306"/>
      </w:tabs>
      <w:jc w:val="right"/>
    </w:pPr>
    <w:r>
      <w:rPr>
        <w:lang w:val="zh-CN"/>
      </w:rPr>
      <w:t>杭州市政府采购</w:t>
    </w:r>
    <w:r>
      <w:rPr>
        <w:rFonts w:hint="eastAsia"/>
        <w:lang w:val="zh-CN"/>
      </w:rPr>
      <w:t>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5206F">
    <w:pPr>
      <w:pStyle w:val="43"/>
      <w:pBdr>
        <w:bottom w:val="single" w:color="auto" w:sz="4" w:space="0"/>
      </w:pBdr>
      <w:jc w:val="right"/>
    </w:pPr>
    <w:r>
      <w:rPr>
        <w:lang w:val="zh-CN"/>
      </w:rPr>
      <w:t>杭州市政府采购</w:t>
    </w:r>
    <w:r>
      <w:rPr>
        <w:rFonts w:hint="eastAsia"/>
        <w:lang w:val="zh-CN"/>
      </w:rPr>
      <w:t>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B2391">
    <w:pPr>
      <w:pStyle w:val="43"/>
      <w:pBdr>
        <w:bottom w:val="single" w:color="auto" w:sz="6" w:space="0"/>
      </w:pBdr>
      <w:tabs>
        <w:tab w:val="center" w:pos="4535"/>
        <w:tab w:val="right" w:pos="9070"/>
        <w:tab w:val="clear" w:pos="4153"/>
        <w:tab w:val="clear" w:pos="8306"/>
      </w:tabs>
      <w:jc w:val="right"/>
    </w:pPr>
    <w:r>
      <w:rPr>
        <w:lang w:val="zh-CN"/>
      </w:rPr>
      <w:t>杭州市政府采购</w:t>
    </w:r>
    <w:r>
      <w:rPr>
        <w:rFonts w:hint="eastAsia"/>
        <w:lang w:val="zh-CN"/>
      </w:rPr>
      <w:t>竞争性磋商文件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1F85C">
    <w:pPr>
      <w:pStyle w:val="43"/>
      <w:pBdr>
        <w:bottom w:val="single" w:color="auto" w:sz="6" w:space="0"/>
      </w:pBdr>
      <w:tabs>
        <w:tab w:val="center" w:pos="4535"/>
        <w:tab w:val="right" w:pos="9070"/>
        <w:tab w:val="clear" w:pos="4153"/>
        <w:tab w:val="clear" w:pos="8306"/>
      </w:tabs>
      <w:jc w:val="right"/>
      <w:rPr>
        <w:rFonts w:ascii="仿宋_GB2312" w:eastAsia="仿宋_GB2312"/>
        <w:b/>
        <w:i/>
        <w:u w:val="single"/>
      </w:rPr>
    </w:pPr>
    <w:r>
      <w:rPr>
        <w:lang w:val="zh-CN"/>
      </w:rPr>
      <w:t>杭州市政府采购</w:t>
    </w:r>
    <w:r>
      <w:rPr>
        <w:rFonts w:hint="eastAsia"/>
        <w:lang w:val="zh-CN"/>
      </w:rPr>
      <w:t>竞争性磋商文件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548BF">
    <w:pPr>
      <w:pStyle w:val="43"/>
      <w:pBdr>
        <w:bottom w:val="single" w:color="auto" w:sz="6" w:space="0"/>
      </w:pBdr>
      <w:tabs>
        <w:tab w:val="center" w:pos="4535"/>
        <w:tab w:val="right" w:pos="9070"/>
        <w:tab w:val="clear" w:pos="4153"/>
        <w:tab w:val="clear" w:pos="8306"/>
      </w:tabs>
      <w:jc w:val="right"/>
      <w:rPr>
        <w:rFonts w:ascii="仿宋_GB2312"/>
        <w:b/>
        <w:i/>
        <w:iCs/>
        <w:u w:val="single"/>
      </w:rPr>
    </w:pPr>
    <w:r>
      <w:rPr>
        <w:lang w:val="zh-CN"/>
      </w:rPr>
      <w:t>杭州市政府采购</w:t>
    </w:r>
    <w:r>
      <w:rPr>
        <w:rFonts w:hint="eastAsia"/>
        <w:lang w:val="zh-CN"/>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AF675A"/>
    <w:multiLevelType w:val="singleLevel"/>
    <w:tmpl w:val="10AF675A"/>
    <w:lvl w:ilvl="0" w:tentative="0">
      <w:start w:val="2"/>
      <w:numFmt w:val="decimal"/>
      <w:suff w:val="nothing"/>
      <w:lvlText w:val="（%1）"/>
      <w:lvlJc w:val="left"/>
    </w:lvl>
  </w:abstractNum>
  <w:abstractNum w:abstractNumId="1">
    <w:nsid w:val="2079FCB0"/>
    <w:multiLevelType w:val="singleLevel"/>
    <w:tmpl w:val="2079FCB0"/>
    <w:lvl w:ilvl="0" w:tentative="0">
      <w:start w:val="2"/>
      <w:numFmt w:val="decimal"/>
      <w:suff w:val="nothing"/>
      <w:lvlText w:val="（%1）"/>
      <w:lvlJc w:val="left"/>
    </w:lvl>
  </w:abstractNum>
  <w:abstractNum w:abstractNumId="2">
    <w:nsid w:val="537ACA4D"/>
    <w:multiLevelType w:val="singleLevel"/>
    <w:tmpl w:val="537ACA4D"/>
    <w:lvl w:ilvl="0" w:tentative="0">
      <w:start w:val="1"/>
      <w:numFmt w:val="decimal"/>
      <w:lvlText w:val="%1."/>
      <w:lvlJc w:val="left"/>
      <w:pPr>
        <w:ind w:left="425" w:hanging="425"/>
      </w:pPr>
      <w:rPr>
        <w:rFont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19"/>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wNzQ0ZDc2NWVlOTAxZmRlMGEwNTRkN2U4ZGFmOWYifQ=="/>
  </w:docVars>
  <w:rsids>
    <w:rsidRoot w:val="00172A27"/>
    <w:rsid w:val="00000451"/>
    <w:rsid w:val="0000108B"/>
    <w:rsid w:val="0000133D"/>
    <w:rsid w:val="00001509"/>
    <w:rsid w:val="000032B2"/>
    <w:rsid w:val="0000363B"/>
    <w:rsid w:val="000058BD"/>
    <w:rsid w:val="00006109"/>
    <w:rsid w:val="00006150"/>
    <w:rsid w:val="000063E8"/>
    <w:rsid w:val="00006725"/>
    <w:rsid w:val="0000675E"/>
    <w:rsid w:val="00007CAA"/>
    <w:rsid w:val="00010FE9"/>
    <w:rsid w:val="0001122F"/>
    <w:rsid w:val="00011A4B"/>
    <w:rsid w:val="00012251"/>
    <w:rsid w:val="0001337C"/>
    <w:rsid w:val="000138C4"/>
    <w:rsid w:val="00013C1F"/>
    <w:rsid w:val="00013F31"/>
    <w:rsid w:val="000140D8"/>
    <w:rsid w:val="00014530"/>
    <w:rsid w:val="00014BBC"/>
    <w:rsid w:val="000150EE"/>
    <w:rsid w:val="000168D8"/>
    <w:rsid w:val="000170C8"/>
    <w:rsid w:val="000173F4"/>
    <w:rsid w:val="00020287"/>
    <w:rsid w:val="000202FE"/>
    <w:rsid w:val="00020B5F"/>
    <w:rsid w:val="000211BC"/>
    <w:rsid w:val="0002207B"/>
    <w:rsid w:val="000232FD"/>
    <w:rsid w:val="00023323"/>
    <w:rsid w:val="000233E4"/>
    <w:rsid w:val="00023495"/>
    <w:rsid w:val="00023777"/>
    <w:rsid w:val="00024130"/>
    <w:rsid w:val="00024584"/>
    <w:rsid w:val="00024962"/>
    <w:rsid w:val="000249AA"/>
    <w:rsid w:val="00025350"/>
    <w:rsid w:val="000253E5"/>
    <w:rsid w:val="00025776"/>
    <w:rsid w:val="00026EAC"/>
    <w:rsid w:val="000270F2"/>
    <w:rsid w:val="00027540"/>
    <w:rsid w:val="00030572"/>
    <w:rsid w:val="00030A97"/>
    <w:rsid w:val="00030CB3"/>
    <w:rsid w:val="0003206A"/>
    <w:rsid w:val="000326A7"/>
    <w:rsid w:val="00032EA0"/>
    <w:rsid w:val="000331B0"/>
    <w:rsid w:val="0003353E"/>
    <w:rsid w:val="000336D4"/>
    <w:rsid w:val="00034FA7"/>
    <w:rsid w:val="0003533D"/>
    <w:rsid w:val="000357E4"/>
    <w:rsid w:val="00035ACA"/>
    <w:rsid w:val="00036C29"/>
    <w:rsid w:val="00040447"/>
    <w:rsid w:val="00040494"/>
    <w:rsid w:val="00040B70"/>
    <w:rsid w:val="00042441"/>
    <w:rsid w:val="00042533"/>
    <w:rsid w:val="00042DBB"/>
    <w:rsid w:val="00042E65"/>
    <w:rsid w:val="0004347C"/>
    <w:rsid w:val="00043907"/>
    <w:rsid w:val="00044F48"/>
    <w:rsid w:val="00047354"/>
    <w:rsid w:val="00050656"/>
    <w:rsid w:val="00050A19"/>
    <w:rsid w:val="000511B6"/>
    <w:rsid w:val="00051B00"/>
    <w:rsid w:val="00051C72"/>
    <w:rsid w:val="00052192"/>
    <w:rsid w:val="0005238F"/>
    <w:rsid w:val="00052787"/>
    <w:rsid w:val="00052BB8"/>
    <w:rsid w:val="0005417A"/>
    <w:rsid w:val="00054D39"/>
    <w:rsid w:val="0005501B"/>
    <w:rsid w:val="000550F5"/>
    <w:rsid w:val="00055337"/>
    <w:rsid w:val="000554C7"/>
    <w:rsid w:val="000559B0"/>
    <w:rsid w:val="00056145"/>
    <w:rsid w:val="00056402"/>
    <w:rsid w:val="00056791"/>
    <w:rsid w:val="00056868"/>
    <w:rsid w:val="00056876"/>
    <w:rsid w:val="000568DF"/>
    <w:rsid w:val="000578A3"/>
    <w:rsid w:val="00057D4C"/>
    <w:rsid w:val="00060C48"/>
    <w:rsid w:val="00061A3C"/>
    <w:rsid w:val="00061C48"/>
    <w:rsid w:val="00064278"/>
    <w:rsid w:val="000646CA"/>
    <w:rsid w:val="000665C4"/>
    <w:rsid w:val="00067821"/>
    <w:rsid w:val="0006785E"/>
    <w:rsid w:val="00067F92"/>
    <w:rsid w:val="00067FA7"/>
    <w:rsid w:val="0007038E"/>
    <w:rsid w:val="0007077C"/>
    <w:rsid w:val="00070825"/>
    <w:rsid w:val="00071CD8"/>
    <w:rsid w:val="00071DB2"/>
    <w:rsid w:val="00072AED"/>
    <w:rsid w:val="00072B56"/>
    <w:rsid w:val="00072D2B"/>
    <w:rsid w:val="00072D51"/>
    <w:rsid w:val="000730B1"/>
    <w:rsid w:val="00073860"/>
    <w:rsid w:val="000738EA"/>
    <w:rsid w:val="00074078"/>
    <w:rsid w:val="00075B15"/>
    <w:rsid w:val="00075D0E"/>
    <w:rsid w:val="00075F6A"/>
    <w:rsid w:val="00076159"/>
    <w:rsid w:val="0007616C"/>
    <w:rsid w:val="000763B5"/>
    <w:rsid w:val="000763F3"/>
    <w:rsid w:val="000766D2"/>
    <w:rsid w:val="00076801"/>
    <w:rsid w:val="00077577"/>
    <w:rsid w:val="00077607"/>
    <w:rsid w:val="00077756"/>
    <w:rsid w:val="00077B7F"/>
    <w:rsid w:val="000808C1"/>
    <w:rsid w:val="00080970"/>
    <w:rsid w:val="00081671"/>
    <w:rsid w:val="00082AD4"/>
    <w:rsid w:val="00083471"/>
    <w:rsid w:val="00083E07"/>
    <w:rsid w:val="00084D27"/>
    <w:rsid w:val="00084ED6"/>
    <w:rsid w:val="0008580E"/>
    <w:rsid w:val="00085A0E"/>
    <w:rsid w:val="00085C4F"/>
    <w:rsid w:val="00086EFD"/>
    <w:rsid w:val="00086F8A"/>
    <w:rsid w:val="00087031"/>
    <w:rsid w:val="00090243"/>
    <w:rsid w:val="000904F6"/>
    <w:rsid w:val="00090918"/>
    <w:rsid w:val="00090ED8"/>
    <w:rsid w:val="00090F9F"/>
    <w:rsid w:val="0009145F"/>
    <w:rsid w:val="0009184E"/>
    <w:rsid w:val="00091B4E"/>
    <w:rsid w:val="00092467"/>
    <w:rsid w:val="00092FE9"/>
    <w:rsid w:val="000936BF"/>
    <w:rsid w:val="0009382F"/>
    <w:rsid w:val="00093A30"/>
    <w:rsid w:val="00094342"/>
    <w:rsid w:val="000945BA"/>
    <w:rsid w:val="00095954"/>
    <w:rsid w:val="000960BA"/>
    <w:rsid w:val="0009662A"/>
    <w:rsid w:val="0009690D"/>
    <w:rsid w:val="00096DFF"/>
    <w:rsid w:val="000A0729"/>
    <w:rsid w:val="000A0E69"/>
    <w:rsid w:val="000A1A52"/>
    <w:rsid w:val="000A1F98"/>
    <w:rsid w:val="000A3D58"/>
    <w:rsid w:val="000A3FE3"/>
    <w:rsid w:val="000A47B0"/>
    <w:rsid w:val="000A4851"/>
    <w:rsid w:val="000A49BB"/>
    <w:rsid w:val="000A4F22"/>
    <w:rsid w:val="000A5674"/>
    <w:rsid w:val="000A5A46"/>
    <w:rsid w:val="000A607A"/>
    <w:rsid w:val="000A7299"/>
    <w:rsid w:val="000A752E"/>
    <w:rsid w:val="000B0E04"/>
    <w:rsid w:val="000B268D"/>
    <w:rsid w:val="000B291B"/>
    <w:rsid w:val="000B456C"/>
    <w:rsid w:val="000B45B9"/>
    <w:rsid w:val="000B47CE"/>
    <w:rsid w:val="000B4B56"/>
    <w:rsid w:val="000B4C62"/>
    <w:rsid w:val="000B541D"/>
    <w:rsid w:val="000B54C1"/>
    <w:rsid w:val="000B5553"/>
    <w:rsid w:val="000B5FE8"/>
    <w:rsid w:val="000B666E"/>
    <w:rsid w:val="000C0A43"/>
    <w:rsid w:val="000C0CB1"/>
    <w:rsid w:val="000C1411"/>
    <w:rsid w:val="000C1ADE"/>
    <w:rsid w:val="000C1C38"/>
    <w:rsid w:val="000C21DC"/>
    <w:rsid w:val="000C2264"/>
    <w:rsid w:val="000C256B"/>
    <w:rsid w:val="000C3970"/>
    <w:rsid w:val="000C3B1A"/>
    <w:rsid w:val="000C4727"/>
    <w:rsid w:val="000C47AE"/>
    <w:rsid w:val="000C51AD"/>
    <w:rsid w:val="000C5374"/>
    <w:rsid w:val="000C5EC0"/>
    <w:rsid w:val="000C6162"/>
    <w:rsid w:val="000C64CC"/>
    <w:rsid w:val="000C6688"/>
    <w:rsid w:val="000C692E"/>
    <w:rsid w:val="000C6B28"/>
    <w:rsid w:val="000C7BEB"/>
    <w:rsid w:val="000D0124"/>
    <w:rsid w:val="000D11E5"/>
    <w:rsid w:val="000D19E8"/>
    <w:rsid w:val="000D1FA1"/>
    <w:rsid w:val="000D2834"/>
    <w:rsid w:val="000D2CAC"/>
    <w:rsid w:val="000D34C8"/>
    <w:rsid w:val="000D34FD"/>
    <w:rsid w:val="000D3BE5"/>
    <w:rsid w:val="000D3C37"/>
    <w:rsid w:val="000D453A"/>
    <w:rsid w:val="000D4AFA"/>
    <w:rsid w:val="000D5EA6"/>
    <w:rsid w:val="000D5F00"/>
    <w:rsid w:val="000D6C9F"/>
    <w:rsid w:val="000D6E3B"/>
    <w:rsid w:val="000D6F30"/>
    <w:rsid w:val="000D74E4"/>
    <w:rsid w:val="000D7C9D"/>
    <w:rsid w:val="000D7CE0"/>
    <w:rsid w:val="000E2785"/>
    <w:rsid w:val="000E27BB"/>
    <w:rsid w:val="000E3153"/>
    <w:rsid w:val="000E3484"/>
    <w:rsid w:val="000E386F"/>
    <w:rsid w:val="000E4051"/>
    <w:rsid w:val="000E4139"/>
    <w:rsid w:val="000E4765"/>
    <w:rsid w:val="000E5B7E"/>
    <w:rsid w:val="000E5FF9"/>
    <w:rsid w:val="000E6AE1"/>
    <w:rsid w:val="000E7142"/>
    <w:rsid w:val="000E7632"/>
    <w:rsid w:val="000E7737"/>
    <w:rsid w:val="000E7739"/>
    <w:rsid w:val="000E77EE"/>
    <w:rsid w:val="000F1604"/>
    <w:rsid w:val="000F2843"/>
    <w:rsid w:val="000F287A"/>
    <w:rsid w:val="000F2940"/>
    <w:rsid w:val="000F2AB3"/>
    <w:rsid w:val="000F3D08"/>
    <w:rsid w:val="000F4495"/>
    <w:rsid w:val="000F4A05"/>
    <w:rsid w:val="000F4AA8"/>
    <w:rsid w:val="000F4AEA"/>
    <w:rsid w:val="000F4E67"/>
    <w:rsid w:val="000F505B"/>
    <w:rsid w:val="000F5677"/>
    <w:rsid w:val="000F5DDB"/>
    <w:rsid w:val="000F628E"/>
    <w:rsid w:val="000F68A0"/>
    <w:rsid w:val="000F6CC2"/>
    <w:rsid w:val="000F729C"/>
    <w:rsid w:val="000F7D4B"/>
    <w:rsid w:val="0010118C"/>
    <w:rsid w:val="0010125E"/>
    <w:rsid w:val="001015F8"/>
    <w:rsid w:val="00101967"/>
    <w:rsid w:val="00102EEF"/>
    <w:rsid w:val="00103251"/>
    <w:rsid w:val="00103509"/>
    <w:rsid w:val="0010393D"/>
    <w:rsid w:val="00103EBD"/>
    <w:rsid w:val="00104699"/>
    <w:rsid w:val="00104E5B"/>
    <w:rsid w:val="00104EEC"/>
    <w:rsid w:val="001050DC"/>
    <w:rsid w:val="00105482"/>
    <w:rsid w:val="001056A5"/>
    <w:rsid w:val="00105BA9"/>
    <w:rsid w:val="00105FE1"/>
    <w:rsid w:val="00106AAA"/>
    <w:rsid w:val="00106E0E"/>
    <w:rsid w:val="001078A5"/>
    <w:rsid w:val="00107BBD"/>
    <w:rsid w:val="00107BC7"/>
    <w:rsid w:val="00110033"/>
    <w:rsid w:val="001102B5"/>
    <w:rsid w:val="00111C7D"/>
    <w:rsid w:val="00112038"/>
    <w:rsid w:val="001127FF"/>
    <w:rsid w:val="00112B0B"/>
    <w:rsid w:val="00112EB5"/>
    <w:rsid w:val="0011383E"/>
    <w:rsid w:val="00113EE3"/>
    <w:rsid w:val="00114847"/>
    <w:rsid w:val="0011585B"/>
    <w:rsid w:val="00115B1A"/>
    <w:rsid w:val="001160FF"/>
    <w:rsid w:val="001164F4"/>
    <w:rsid w:val="001168F8"/>
    <w:rsid w:val="001176FF"/>
    <w:rsid w:val="0012153F"/>
    <w:rsid w:val="0012159D"/>
    <w:rsid w:val="00121804"/>
    <w:rsid w:val="00121EC9"/>
    <w:rsid w:val="0012208F"/>
    <w:rsid w:val="001224FE"/>
    <w:rsid w:val="001231D3"/>
    <w:rsid w:val="001232A7"/>
    <w:rsid w:val="00123F7C"/>
    <w:rsid w:val="0012419E"/>
    <w:rsid w:val="001248EF"/>
    <w:rsid w:val="00124AC0"/>
    <w:rsid w:val="00124FC4"/>
    <w:rsid w:val="001253AB"/>
    <w:rsid w:val="0012574C"/>
    <w:rsid w:val="001259B8"/>
    <w:rsid w:val="001264B9"/>
    <w:rsid w:val="0012693E"/>
    <w:rsid w:val="00126A3A"/>
    <w:rsid w:val="00127060"/>
    <w:rsid w:val="0012716F"/>
    <w:rsid w:val="00127B83"/>
    <w:rsid w:val="00131C2D"/>
    <w:rsid w:val="0013202C"/>
    <w:rsid w:val="00132704"/>
    <w:rsid w:val="00132CBF"/>
    <w:rsid w:val="00133707"/>
    <w:rsid w:val="00133742"/>
    <w:rsid w:val="00133B70"/>
    <w:rsid w:val="00133E97"/>
    <w:rsid w:val="001350F7"/>
    <w:rsid w:val="00135769"/>
    <w:rsid w:val="00135BE9"/>
    <w:rsid w:val="00135E5C"/>
    <w:rsid w:val="00136762"/>
    <w:rsid w:val="00136E33"/>
    <w:rsid w:val="001375BC"/>
    <w:rsid w:val="0013773D"/>
    <w:rsid w:val="0014042F"/>
    <w:rsid w:val="00140693"/>
    <w:rsid w:val="00140D7A"/>
    <w:rsid w:val="00141D28"/>
    <w:rsid w:val="00141DFE"/>
    <w:rsid w:val="00142185"/>
    <w:rsid w:val="001422E2"/>
    <w:rsid w:val="001433BC"/>
    <w:rsid w:val="00143872"/>
    <w:rsid w:val="00143A85"/>
    <w:rsid w:val="00144649"/>
    <w:rsid w:val="00145022"/>
    <w:rsid w:val="00145662"/>
    <w:rsid w:val="00145C6D"/>
    <w:rsid w:val="001460FC"/>
    <w:rsid w:val="00146151"/>
    <w:rsid w:val="00146326"/>
    <w:rsid w:val="00147032"/>
    <w:rsid w:val="00147EA7"/>
    <w:rsid w:val="00151820"/>
    <w:rsid w:val="00151B2F"/>
    <w:rsid w:val="001524DC"/>
    <w:rsid w:val="001525E5"/>
    <w:rsid w:val="00153859"/>
    <w:rsid w:val="00153915"/>
    <w:rsid w:val="001539F0"/>
    <w:rsid w:val="00154BBA"/>
    <w:rsid w:val="00155B95"/>
    <w:rsid w:val="00156853"/>
    <w:rsid w:val="0015689A"/>
    <w:rsid w:val="00157432"/>
    <w:rsid w:val="00161185"/>
    <w:rsid w:val="001620BA"/>
    <w:rsid w:val="001623AC"/>
    <w:rsid w:val="00162BAA"/>
    <w:rsid w:val="00163C40"/>
    <w:rsid w:val="0016488B"/>
    <w:rsid w:val="00165758"/>
    <w:rsid w:val="00165A65"/>
    <w:rsid w:val="00166317"/>
    <w:rsid w:val="00167055"/>
    <w:rsid w:val="00167478"/>
    <w:rsid w:val="00167594"/>
    <w:rsid w:val="001702BE"/>
    <w:rsid w:val="001704B3"/>
    <w:rsid w:val="0017059C"/>
    <w:rsid w:val="0017105C"/>
    <w:rsid w:val="00171622"/>
    <w:rsid w:val="00171785"/>
    <w:rsid w:val="00171AB5"/>
    <w:rsid w:val="0017204F"/>
    <w:rsid w:val="001721CF"/>
    <w:rsid w:val="001728FD"/>
    <w:rsid w:val="00172A27"/>
    <w:rsid w:val="00172F02"/>
    <w:rsid w:val="00172F2D"/>
    <w:rsid w:val="00173631"/>
    <w:rsid w:val="0017372D"/>
    <w:rsid w:val="00173826"/>
    <w:rsid w:val="00173C58"/>
    <w:rsid w:val="00173E59"/>
    <w:rsid w:val="001741DC"/>
    <w:rsid w:val="00174C4F"/>
    <w:rsid w:val="00174F57"/>
    <w:rsid w:val="00175078"/>
    <w:rsid w:val="001755DC"/>
    <w:rsid w:val="001763D8"/>
    <w:rsid w:val="00176AA6"/>
    <w:rsid w:val="00177063"/>
    <w:rsid w:val="00180A47"/>
    <w:rsid w:val="001827B7"/>
    <w:rsid w:val="001827EF"/>
    <w:rsid w:val="00182982"/>
    <w:rsid w:val="001829BC"/>
    <w:rsid w:val="00182D68"/>
    <w:rsid w:val="00183031"/>
    <w:rsid w:val="00183468"/>
    <w:rsid w:val="0018397E"/>
    <w:rsid w:val="00184466"/>
    <w:rsid w:val="00184DBF"/>
    <w:rsid w:val="001852A8"/>
    <w:rsid w:val="001856EF"/>
    <w:rsid w:val="0018620A"/>
    <w:rsid w:val="00186EB0"/>
    <w:rsid w:val="00187121"/>
    <w:rsid w:val="00187243"/>
    <w:rsid w:val="00187C29"/>
    <w:rsid w:val="00190782"/>
    <w:rsid w:val="00190942"/>
    <w:rsid w:val="001909A7"/>
    <w:rsid w:val="001909C3"/>
    <w:rsid w:val="00191459"/>
    <w:rsid w:val="00191603"/>
    <w:rsid w:val="0019173E"/>
    <w:rsid w:val="0019174E"/>
    <w:rsid w:val="0019196B"/>
    <w:rsid w:val="001923D5"/>
    <w:rsid w:val="00192991"/>
    <w:rsid w:val="00193470"/>
    <w:rsid w:val="00193B94"/>
    <w:rsid w:val="001940A7"/>
    <w:rsid w:val="00194BB1"/>
    <w:rsid w:val="00194BC6"/>
    <w:rsid w:val="00195070"/>
    <w:rsid w:val="00195245"/>
    <w:rsid w:val="0019526D"/>
    <w:rsid w:val="0019553F"/>
    <w:rsid w:val="001956BE"/>
    <w:rsid w:val="0019602C"/>
    <w:rsid w:val="001969F2"/>
    <w:rsid w:val="00196CD6"/>
    <w:rsid w:val="0019756A"/>
    <w:rsid w:val="001A06B5"/>
    <w:rsid w:val="001A07F8"/>
    <w:rsid w:val="001A0A23"/>
    <w:rsid w:val="001A0C98"/>
    <w:rsid w:val="001A0CFA"/>
    <w:rsid w:val="001A128B"/>
    <w:rsid w:val="001A1475"/>
    <w:rsid w:val="001A1F0E"/>
    <w:rsid w:val="001A3335"/>
    <w:rsid w:val="001A473A"/>
    <w:rsid w:val="001A4977"/>
    <w:rsid w:val="001A4ED9"/>
    <w:rsid w:val="001A5785"/>
    <w:rsid w:val="001A5FD7"/>
    <w:rsid w:val="001A66A6"/>
    <w:rsid w:val="001A6BAF"/>
    <w:rsid w:val="001A6BBB"/>
    <w:rsid w:val="001A79A2"/>
    <w:rsid w:val="001B06A6"/>
    <w:rsid w:val="001B13BF"/>
    <w:rsid w:val="001B16F5"/>
    <w:rsid w:val="001B1C1F"/>
    <w:rsid w:val="001B219B"/>
    <w:rsid w:val="001B2703"/>
    <w:rsid w:val="001B3DCD"/>
    <w:rsid w:val="001B45B9"/>
    <w:rsid w:val="001B46B2"/>
    <w:rsid w:val="001B4725"/>
    <w:rsid w:val="001B48B2"/>
    <w:rsid w:val="001B49DA"/>
    <w:rsid w:val="001B4CA8"/>
    <w:rsid w:val="001B559D"/>
    <w:rsid w:val="001B572D"/>
    <w:rsid w:val="001B576E"/>
    <w:rsid w:val="001B5B10"/>
    <w:rsid w:val="001B6025"/>
    <w:rsid w:val="001B6D58"/>
    <w:rsid w:val="001B6FA7"/>
    <w:rsid w:val="001B7A15"/>
    <w:rsid w:val="001B7B69"/>
    <w:rsid w:val="001B7DC1"/>
    <w:rsid w:val="001C08DB"/>
    <w:rsid w:val="001C10BD"/>
    <w:rsid w:val="001C1F01"/>
    <w:rsid w:val="001C2092"/>
    <w:rsid w:val="001C232F"/>
    <w:rsid w:val="001C2544"/>
    <w:rsid w:val="001C2A17"/>
    <w:rsid w:val="001C31F5"/>
    <w:rsid w:val="001C6047"/>
    <w:rsid w:val="001C6698"/>
    <w:rsid w:val="001C6C5B"/>
    <w:rsid w:val="001C7399"/>
    <w:rsid w:val="001C7CE0"/>
    <w:rsid w:val="001D005B"/>
    <w:rsid w:val="001D0947"/>
    <w:rsid w:val="001D16F5"/>
    <w:rsid w:val="001D1970"/>
    <w:rsid w:val="001D1D55"/>
    <w:rsid w:val="001D21EF"/>
    <w:rsid w:val="001D29A4"/>
    <w:rsid w:val="001D2B73"/>
    <w:rsid w:val="001D3136"/>
    <w:rsid w:val="001D330D"/>
    <w:rsid w:val="001D4AB6"/>
    <w:rsid w:val="001D4AD3"/>
    <w:rsid w:val="001D5281"/>
    <w:rsid w:val="001E17E3"/>
    <w:rsid w:val="001E2052"/>
    <w:rsid w:val="001E2492"/>
    <w:rsid w:val="001E257C"/>
    <w:rsid w:val="001E286C"/>
    <w:rsid w:val="001E2F34"/>
    <w:rsid w:val="001E35EE"/>
    <w:rsid w:val="001E4B2C"/>
    <w:rsid w:val="001E507F"/>
    <w:rsid w:val="001E56C2"/>
    <w:rsid w:val="001E59FB"/>
    <w:rsid w:val="001E7F81"/>
    <w:rsid w:val="001F0FD1"/>
    <w:rsid w:val="001F1526"/>
    <w:rsid w:val="001F19D1"/>
    <w:rsid w:val="001F1CB9"/>
    <w:rsid w:val="001F1F18"/>
    <w:rsid w:val="001F2F92"/>
    <w:rsid w:val="001F5DA1"/>
    <w:rsid w:val="001F612E"/>
    <w:rsid w:val="001F6A92"/>
    <w:rsid w:val="001F77E8"/>
    <w:rsid w:val="00201A0C"/>
    <w:rsid w:val="00201B0F"/>
    <w:rsid w:val="0020255A"/>
    <w:rsid w:val="00202800"/>
    <w:rsid w:val="00202D33"/>
    <w:rsid w:val="00202E58"/>
    <w:rsid w:val="00202F99"/>
    <w:rsid w:val="00203C85"/>
    <w:rsid w:val="0020449A"/>
    <w:rsid w:val="00204E9B"/>
    <w:rsid w:val="00205298"/>
    <w:rsid w:val="002055C0"/>
    <w:rsid w:val="0020569E"/>
    <w:rsid w:val="00206698"/>
    <w:rsid w:val="00206736"/>
    <w:rsid w:val="00206C88"/>
    <w:rsid w:val="00210B9C"/>
    <w:rsid w:val="00211185"/>
    <w:rsid w:val="00211A94"/>
    <w:rsid w:val="002126F2"/>
    <w:rsid w:val="00213478"/>
    <w:rsid w:val="00214028"/>
    <w:rsid w:val="002141C3"/>
    <w:rsid w:val="002141DC"/>
    <w:rsid w:val="0021440C"/>
    <w:rsid w:val="00214479"/>
    <w:rsid w:val="002144F3"/>
    <w:rsid w:val="002146C3"/>
    <w:rsid w:val="00215334"/>
    <w:rsid w:val="00215514"/>
    <w:rsid w:val="00215A2A"/>
    <w:rsid w:val="00215A3F"/>
    <w:rsid w:val="00215D21"/>
    <w:rsid w:val="0021636B"/>
    <w:rsid w:val="00216387"/>
    <w:rsid w:val="00216E7B"/>
    <w:rsid w:val="00217A25"/>
    <w:rsid w:val="00217E1F"/>
    <w:rsid w:val="002204BC"/>
    <w:rsid w:val="00220F7B"/>
    <w:rsid w:val="002213CE"/>
    <w:rsid w:val="00221AF7"/>
    <w:rsid w:val="00222494"/>
    <w:rsid w:val="00222775"/>
    <w:rsid w:val="00222A31"/>
    <w:rsid w:val="00222CF6"/>
    <w:rsid w:val="00224037"/>
    <w:rsid w:val="002244E4"/>
    <w:rsid w:val="00224D2A"/>
    <w:rsid w:val="00224D8D"/>
    <w:rsid w:val="0022555A"/>
    <w:rsid w:val="00227214"/>
    <w:rsid w:val="00227DDC"/>
    <w:rsid w:val="0023079F"/>
    <w:rsid w:val="00231135"/>
    <w:rsid w:val="00231B0B"/>
    <w:rsid w:val="00231D18"/>
    <w:rsid w:val="00232555"/>
    <w:rsid w:val="00233538"/>
    <w:rsid w:val="00234248"/>
    <w:rsid w:val="0023449F"/>
    <w:rsid w:val="002344F5"/>
    <w:rsid w:val="0023454D"/>
    <w:rsid w:val="00234679"/>
    <w:rsid w:val="002359FC"/>
    <w:rsid w:val="002361C8"/>
    <w:rsid w:val="00236690"/>
    <w:rsid w:val="0023669D"/>
    <w:rsid w:val="00237EAE"/>
    <w:rsid w:val="00237FA2"/>
    <w:rsid w:val="002403D5"/>
    <w:rsid w:val="00240C1F"/>
    <w:rsid w:val="00240F55"/>
    <w:rsid w:val="00240F67"/>
    <w:rsid w:val="00241144"/>
    <w:rsid w:val="00242510"/>
    <w:rsid w:val="00242F79"/>
    <w:rsid w:val="0024415B"/>
    <w:rsid w:val="00245565"/>
    <w:rsid w:val="002458C1"/>
    <w:rsid w:val="00245E62"/>
    <w:rsid w:val="002460D0"/>
    <w:rsid w:val="00246357"/>
    <w:rsid w:val="00247422"/>
    <w:rsid w:val="00247BA2"/>
    <w:rsid w:val="00250870"/>
    <w:rsid w:val="0025151C"/>
    <w:rsid w:val="0025184F"/>
    <w:rsid w:val="00251967"/>
    <w:rsid w:val="002527CC"/>
    <w:rsid w:val="00252F48"/>
    <w:rsid w:val="002530C0"/>
    <w:rsid w:val="00253586"/>
    <w:rsid w:val="002537FC"/>
    <w:rsid w:val="002542F8"/>
    <w:rsid w:val="002543EF"/>
    <w:rsid w:val="00254F2A"/>
    <w:rsid w:val="00255784"/>
    <w:rsid w:val="00255A29"/>
    <w:rsid w:val="0025631F"/>
    <w:rsid w:val="00256986"/>
    <w:rsid w:val="00256D61"/>
    <w:rsid w:val="00256E23"/>
    <w:rsid w:val="00257246"/>
    <w:rsid w:val="00257438"/>
    <w:rsid w:val="0026119C"/>
    <w:rsid w:val="00261AFE"/>
    <w:rsid w:val="0026212A"/>
    <w:rsid w:val="002621D7"/>
    <w:rsid w:val="00262996"/>
    <w:rsid w:val="00263044"/>
    <w:rsid w:val="00263759"/>
    <w:rsid w:val="002638BD"/>
    <w:rsid w:val="0026470B"/>
    <w:rsid w:val="0026486D"/>
    <w:rsid w:val="00264C4B"/>
    <w:rsid w:val="00264ED0"/>
    <w:rsid w:val="00265346"/>
    <w:rsid w:val="00266045"/>
    <w:rsid w:val="002660C3"/>
    <w:rsid w:val="00266C21"/>
    <w:rsid w:val="00266DE1"/>
    <w:rsid w:val="00267A92"/>
    <w:rsid w:val="00267E43"/>
    <w:rsid w:val="00270282"/>
    <w:rsid w:val="00270780"/>
    <w:rsid w:val="00270CF6"/>
    <w:rsid w:val="00271097"/>
    <w:rsid w:val="00271C53"/>
    <w:rsid w:val="0027244F"/>
    <w:rsid w:val="00273052"/>
    <w:rsid w:val="002739CE"/>
    <w:rsid w:val="00273C5F"/>
    <w:rsid w:val="002741D4"/>
    <w:rsid w:val="002743AC"/>
    <w:rsid w:val="0027499D"/>
    <w:rsid w:val="002751CA"/>
    <w:rsid w:val="0027544D"/>
    <w:rsid w:val="00277196"/>
    <w:rsid w:val="002775ED"/>
    <w:rsid w:val="002778AB"/>
    <w:rsid w:val="002802A5"/>
    <w:rsid w:val="00280CFB"/>
    <w:rsid w:val="00280D24"/>
    <w:rsid w:val="002815C4"/>
    <w:rsid w:val="00281BCB"/>
    <w:rsid w:val="00281C76"/>
    <w:rsid w:val="0028316D"/>
    <w:rsid w:val="00283296"/>
    <w:rsid w:val="0028583E"/>
    <w:rsid w:val="00285853"/>
    <w:rsid w:val="00285B1A"/>
    <w:rsid w:val="00285FF3"/>
    <w:rsid w:val="002866EC"/>
    <w:rsid w:val="002867C6"/>
    <w:rsid w:val="0028744E"/>
    <w:rsid w:val="002876D2"/>
    <w:rsid w:val="00287936"/>
    <w:rsid w:val="00287BB7"/>
    <w:rsid w:val="002903C5"/>
    <w:rsid w:val="0029041B"/>
    <w:rsid w:val="00290A99"/>
    <w:rsid w:val="00290EAF"/>
    <w:rsid w:val="0029159A"/>
    <w:rsid w:val="00291CF1"/>
    <w:rsid w:val="00292AA1"/>
    <w:rsid w:val="00294012"/>
    <w:rsid w:val="002945B0"/>
    <w:rsid w:val="0029499D"/>
    <w:rsid w:val="00294A13"/>
    <w:rsid w:val="00294B10"/>
    <w:rsid w:val="00294DF9"/>
    <w:rsid w:val="00295073"/>
    <w:rsid w:val="00295468"/>
    <w:rsid w:val="002968DC"/>
    <w:rsid w:val="00296C32"/>
    <w:rsid w:val="002977CE"/>
    <w:rsid w:val="00297AF5"/>
    <w:rsid w:val="002A02D6"/>
    <w:rsid w:val="002A07C4"/>
    <w:rsid w:val="002A0921"/>
    <w:rsid w:val="002A0CB3"/>
    <w:rsid w:val="002A1887"/>
    <w:rsid w:val="002A2001"/>
    <w:rsid w:val="002A28BA"/>
    <w:rsid w:val="002A4060"/>
    <w:rsid w:val="002A4868"/>
    <w:rsid w:val="002A4A05"/>
    <w:rsid w:val="002A4EB3"/>
    <w:rsid w:val="002A51D9"/>
    <w:rsid w:val="002A525A"/>
    <w:rsid w:val="002A5968"/>
    <w:rsid w:val="002A5CAB"/>
    <w:rsid w:val="002A5D40"/>
    <w:rsid w:val="002A622E"/>
    <w:rsid w:val="002A6424"/>
    <w:rsid w:val="002A64E7"/>
    <w:rsid w:val="002A7748"/>
    <w:rsid w:val="002A7ED3"/>
    <w:rsid w:val="002A7FB1"/>
    <w:rsid w:val="002A7FC9"/>
    <w:rsid w:val="002B139C"/>
    <w:rsid w:val="002B1881"/>
    <w:rsid w:val="002B1F61"/>
    <w:rsid w:val="002B2070"/>
    <w:rsid w:val="002B2906"/>
    <w:rsid w:val="002B2C66"/>
    <w:rsid w:val="002B34E3"/>
    <w:rsid w:val="002B51B6"/>
    <w:rsid w:val="002B5AEE"/>
    <w:rsid w:val="002B6177"/>
    <w:rsid w:val="002B650C"/>
    <w:rsid w:val="002B68E6"/>
    <w:rsid w:val="002B6985"/>
    <w:rsid w:val="002B6D7A"/>
    <w:rsid w:val="002C02BA"/>
    <w:rsid w:val="002C0301"/>
    <w:rsid w:val="002C0326"/>
    <w:rsid w:val="002C0A9F"/>
    <w:rsid w:val="002C1AB3"/>
    <w:rsid w:val="002C1BB7"/>
    <w:rsid w:val="002C1FB3"/>
    <w:rsid w:val="002C2665"/>
    <w:rsid w:val="002C28E1"/>
    <w:rsid w:val="002C327D"/>
    <w:rsid w:val="002C3635"/>
    <w:rsid w:val="002C3890"/>
    <w:rsid w:val="002C3AD9"/>
    <w:rsid w:val="002C4286"/>
    <w:rsid w:val="002C43FC"/>
    <w:rsid w:val="002C45C3"/>
    <w:rsid w:val="002C483B"/>
    <w:rsid w:val="002C4DFE"/>
    <w:rsid w:val="002C519E"/>
    <w:rsid w:val="002C5D5E"/>
    <w:rsid w:val="002C6116"/>
    <w:rsid w:val="002C643D"/>
    <w:rsid w:val="002C66B8"/>
    <w:rsid w:val="002C70E7"/>
    <w:rsid w:val="002D0C27"/>
    <w:rsid w:val="002D0E88"/>
    <w:rsid w:val="002D0EA7"/>
    <w:rsid w:val="002D0F31"/>
    <w:rsid w:val="002D1593"/>
    <w:rsid w:val="002D1A1E"/>
    <w:rsid w:val="002D22A6"/>
    <w:rsid w:val="002D2819"/>
    <w:rsid w:val="002D2CD6"/>
    <w:rsid w:val="002D2F81"/>
    <w:rsid w:val="002D38A3"/>
    <w:rsid w:val="002D3BA3"/>
    <w:rsid w:val="002D43EE"/>
    <w:rsid w:val="002D4892"/>
    <w:rsid w:val="002D4D06"/>
    <w:rsid w:val="002D4DDE"/>
    <w:rsid w:val="002D4EE7"/>
    <w:rsid w:val="002D4EED"/>
    <w:rsid w:val="002D5AAD"/>
    <w:rsid w:val="002D5DA3"/>
    <w:rsid w:val="002D6097"/>
    <w:rsid w:val="002D65AD"/>
    <w:rsid w:val="002D6782"/>
    <w:rsid w:val="002D74A4"/>
    <w:rsid w:val="002D7DB2"/>
    <w:rsid w:val="002D7DBD"/>
    <w:rsid w:val="002D7EA8"/>
    <w:rsid w:val="002E00E1"/>
    <w:rsid w:val="002E0102"/>
    <w:rsid w:val="002E03AE"/>
    <w:rsid w:val="002E0542"/>
    <w:rsid w:val="002E05F2"/>
    <w:rsid w:val="002E0E87"/>
    <w:rsid w:val="002E12FA"/>
    <w:rsid w:val="002E13CF"/>
    <w:rsid w:val="002E201C"/>
    <w:rsid w:val="002E22CA"/>
    <w:rsid w:val="002E236F"/>
    <w:rsid w:val="002E37C5"/>
    <w:rsid w:val="002E3956"/>
    <w:rsid w:val="002E3C08"/>
    <w:rsid w:val="002E3CF2"/>
    <w:rsid w:val="002E469E"/>
    <w:rsid w:val="002E4C01"/>
    <w:rsid w:val="002E4D50"/>
    <w:rsid w:val="002E55FF"/>
    <w:rsid w:val="002E587E"/>
    <w:rsid w:val="002E672A"/>
    <w:rsid w:val="002E6853"/>
    <w:rsid w:val="002E7EC1"/>
    <w:rsid w:val="002E7EE5"/>
    <w:rsid w:val="002F0323"/>
    <w:rsid w:val="002F0DFB"/>
    <w:rsid w:val="002F134F"/>
    <w:rsid w:val="002F1D0B"/>
    <w:rsid w:val="002F1E1D"/>
    <w:rsid w:val="002F1F02"/>
    <w:rsid w:val="002F27E5"/>
    <w:rsid w:val="002F2D81"/>
    <w:rsid w:val="002F2F66"/>
    <w:rsid w:val="002F39D4"/>
    <w:rsid w:val="002F4BA9"/>
    <w:rsid w:val="002F541B"/>
    <w:rsid w:val="002F5BFE"/>
    <w:rsid w:val="002F5DA5"/>
    <w:rsid w:val="002F5E17"/>
    <w:rsid w:val="002F647C"/>
    <w:rsid w:val="002F6C6B"/>
    <w:rsid w:val="002F6CB0"/>
    <w:rsid w:val="002F6EFF"/>
    <w:rsid w:val="002F7DF0"/>
    <w:rsid w:val="002F7FAF"/>
    <w:rsid w:val="00300573"/>
    <w:rsid w:val="003025FE"/>
    <w:rsid w:val="00302A27"/>
    <w:rsid w:val="00303AB6"/>
    <w:rsid w:val="00304640"/>
    <w:rsid w:val="00304AC1"/>
    <w:rsid w:val="00305090"/>
    <w:rsid w:val="00305454"/>
    <w:rsid w:val="00305B9F"/>
    <w:rsid w:val="00305E21"/>
    <w:rsid w:val="003066C6"/>
    <w:rsid w:val="003066FA"/>
    <w:rsid w:val="00306AD6"/>
    <w:rsid w:val="003077F4"/>
    <w:rsid w:val="00307DC7"/>
    <w:rsid w:val="00307FF2"/>
    <w:rsid w:val="00310EDB"/>
    <w:rsid w:val="00311C51"/>
    <w:rsid w:val="00311D56"/>
    <w:rsid w:val="00312016"/>
    <w:rsid w:val="00312340"/>
    <w:rsid w:val="00312DFC"/>
    <w:rsid w:val="0031318C"/>
    <w:rsid w:val="00313C9D"/>
    <w:rsid w:val="0031430C"/>
    <w:rsid w:val="00314919"/>
    <w:rsid w:val="00314C5A"/>
    <w:rsid w:val="0031531A"/>
    <w:rsid w:val="00315394"/>
    <w:rsid w:val="00315D77"/>
    <w:rsid w:val="00315D8E"/>
    <w:rsid w:val="00316002"/>
    <w:rsid w:val="00316CDE"/>
    <w:rsid w:val="00316E94"/>
    <w:rsid w:val="0031752D"/>
    <w:rsid w:val="00317709"/>
    <w:rsid w:val="00320688"/>
    <w:rsid w:val="00320B75"/>
    <w:rsid w:val="00321DB7"/>
    <w:rsid w:val="00321E7A"/>
    <w:rsid w:val="0032226D"/>
    <w:rsid w:val="003235E6"/>
    <w:rsid w:val="00324038"/>
    <w:rsid w:val="00324951"/>
    <w:rsid w:val="003249F6"/>
    <w:rsid w:val="00324B2F"/>
    <w:rsid w:val="00325FCC"/>
    <w:rsid w:val="00326106"/>
    <w:rsid w:val="00326805"/>
    <w:rsid w:val="003269B7"/>
    <w:rsid w:val="00326C0E"/>
    <w:rsid w:val="003272A3"/>
    <w:rsid w:val="003272E4"/>
    <w:rsid w:val="00327B71"/>
    <w:rsid w:val="00331461"/>
    <w:rsid w:val="003316A8"/>
    <w:rsid w:val="00331C80"/>
    <w:rsid w:val="00331CC9"/>
    <w:rsid w:val="003320D7"/>
    <w:rsid w:val="00332265"/>
    <w:rsid w:val="00332862"/>
    <w:rsid w:val="00332D52"/>
    <w:rsid w:val="00333337"/>
    <w:rsid w:val="00333A28"/>
    <w:rsid w:val="00333B6C"/>
    <w:rsid w:val="00334927"/>
    <w:rsid w:val="003360AD"/>
    <w:rsid w:val="003361FD"/>
    <w:rsid w:val="0033631D"/>
    <w:rsid w:val="003369C7"/>
    <w:rsid w:val="003373A6"/>
    <w:rsid w:val="00337409"/>
    <w:rsid w:val="00337E18"/>
    <w:rsid w:val="003405AF"/>
    <w:rsid w:val="0034088F"/>
    <w:rsid w:val="00340B3E"/>
    <w:rsid w:val="003413D2"/>
    <w:rsid w:val="00341525"/>
    <w:rsid w:val="0034257E"/>
    <w:rsid w:val="003429A1"/>
    <w:rsid w:val="003429FC"/>
    <w:rsid w:val="00343079"/>
    <w:rsid w:val="00343127"/>
    <w:rsid w:val="00343320"/>
    <w:rsid w:val="00344066"/>
    <w:rsid w:val="00344BBF"/>
    <w:rsid w:val="0034509B"/>
    <w:rsid w:val="00345644"/>
    <w:rsid w:val="00345D0E"/>
    <w:rsid w:val="00345D7A"/>
    <w:rsid w:val="0034607E"/>
    <w:rsid w:val="00346A96"/>
    <w:rsid w:val="00346B6D"/>
    <w:rsid w:val="00346BA3"/>
    <w:rsid w:val="00346C69"/>
    <w:rsid w:val="00347356"/>
    <w:rsid w:val="0035005C"/>
    <w:rsid w:val="00350896"/>
    <w:rsid w:val="00350C31"/>
    <w:rsid w:val="00350C9F"/>
    <w:rsid w:val="00351391"/>
    <w:rsid w:val="003519CD"/>
    <w:rsid w:val="00351A3A"/>
    <w:rsid w:val="00352945"/>
    <w:rsid w:val="0035455F"/>
    <w:rsid w:val="00355D75"/>
    <w:rsid w:val="00355D8F"/>
    <w:rsid w:val="00356A73"/>
    <w:rsid w:val="00356FF0"/>
    <w:rsid w:val="003577EF"/>
    <w:rsid w:val="00357A3A"/>
    <w:rsid w:val="00357A60"/>
    <w:rsid w:val="00360304"/>
    <w:rsid w:val="00360A78"/>
    <w:rsid w:val="00361750"/>
    <w:rsid w:val="00363894"/>
    <w:rsid w:val="00363B2A"/>
    <w:rsid w:val="00363BF1"/>
    <w:rsid w:val="00366779"/>
    <w:rsid w:val="003668E5"/>
    <w:rsid w:val="003669C8"/>
    <w:rsid w:val="00366CEB"/>
    <w:rsid w:val="003672B3"/>
    <w:rsid w:val="003676DF"/>
    <w:rsid w:val="00367783"/>
    <w:rsid w:val="00367898"/>
    <w:rsid w:val="003679D3"/>
    <w:rsid w:val="00367A87"/>
    <w:rsid w:val="00367EE7"/>
    <w:rsid w:val="003703BB"/>
    <w:rsid w:val="003705EA"/>
    <w:rsid w:val="00370A56"/>
    <w:rsid w:val="00371213"/>
    <w:rsid w:val="00372842"/>
    <w:rsid w:val="003729A5"/>
    <w:rsid w:val="00372C89"/>
    <w:rsid w:val="00372E9A"/>
    <w:rsid w:val="003735B9"/>
    <w:rsid w:val="00373634"/>
    <w:rsid w:val="00374677"/>
    <w:rsid w:val="0037510C"/>
    <w:rsid w:val="00375850"/>
    <w:rsid w:val="0037632F"/>
    <w:rsid w:val="00377B26"/>
    <w:rsid w:val="00381014"/>
    <w:rsid w:val="00381604"/>
    <w:rsid w:val="00381C68"/>
    <w:rsid w:val="00381F60"/>
    <w:rsid w:val="00383204"/>
    <w:rsid w:val="00383AB0"/>
    <w:rsid w:val="003847BB"/>
    <w:rsid w:val="00384814"/>
    <w:rsid w:val="00384C0A"/>
    <w:rsid w:val="00385B16"/>
    <w:rsid w:val="00385B96"/>
    <w:rsid w:val="0038637D"/>
    <w:rsid w:val="003868F6"/>
    <w:rsid w:val="003869DC"/>
    <w:rsid w:val="00386C07"/>
    <w:rsid w:val="00386F58"/>
    <w:rsid w:val="0038700D"/>
    <w:rsid w:val="003879CE"/>
    <w:rsid w:val="00387B88"/>
    <w:rsid w:val="00390B8F"/>
    <w:rsid w:val="00390C0D"/>
    <w:rsid w:val="00391447"/>
    <w:rsid w:val="003919D9"/>
    <w:rsid w:val="00391BDD"/>
    <w:rsid w:val="003922DE"/>
    <w:rsid w:val="00392E35"/>
    <w:rsid w:val="00393247"/>
    <w:rsid w:val="00393551"/>
    <w:rsid w:val="00393816"/>
    <w:rsid w:val="00393FCD"/>
    <w:rsid w:val="003944EA"/>
    <w:rsid w:val="00394639"/>
    <w:rsid w:val="00394DF6"/>
    <w:rsid w:val="00394EC6"/>
    <w:rsid w:val="00395A02"/>
    <w:rsid w:val="00395CD9"/>
    <w:rsid w:val="003962E6"/>
    <w:rsid w:val="00396831"/>
    <w:rsid w:val="003971A1"/>
    <w:rsid w:val="003A0F6B"/>
    <w:rsid w:val="003A12B6"/>
    <w:rsid w:val="003A1804"/>
    <w:rsid w:val="003A1C44"/>
    <w:rsid w:val="003A20D5"/>
    <w:rsid w:val="003A24CC"/>
    <w:rsid w:val="003A2512"/>
    <w:rsid w:val="003A2A53"/>
    <w:rsid w:val="003A2EE8"/>
    <w:rsid w:val="003A373C"/>
    <w:rsid w:val="003A5378"/>
    <w:rsid w:val="003A553C"/>
    <w:rsid w:val="003A56DF"/>
    <w:rsid w:val="003A6008"/>
    <w:rsid w:val="003A703F"/>
    <w:rsid w:val="003A7E2B"/>
    <w:rsid w:val="003A7E40"/>
    <w:rsid w:val="003B0336"/>
    <w:rsid w:val="003B0A3A"/>
    <w:rsid w:val="003B0A6B"/>
    <w:rsid w:val="003B0D79"/>
    <w:rsid w:val="003B2930"/>
    <w:rsid w:val="003B31A7"/>
    <w:rsid w:val="003B4587"/>
    <w:rsid w:val="003B4B51"/>
    <w:rsid w:val="003B4FE1"/>
    <w:rsid w:val="003B514E"/>
    <w:rsid w:val="003B5531"/>
    <w:rsid w:val="003B636A"/>
    <w:rsid w:val="003B69CE"/>
    <w:rsid w:val="003B7403"/>
    <w:rsid w:val="003C0088"/>
    <w:rsid w:val="003C011C"/>
    <w:rsid w:val="003C0E32"/>
    <w:rsid w:val="003C11D7"/>
    <w:rsid w:val="003C16CB"/>
    <w:rsid w:val="003C1B97"/>
    <w:rsid w:val="003C247B"/>
    <w:rsid w:val="003C3292"/>
    <w:rsid w:val="003C3C1E"/>
    <w:rsid w:val="003C3D88"/>
    <w:rsid w:val="003C4134"/>
    <w:rsid w:val="003C435B"/>
    <w:rsid w:val="003C4EBE"/>
    <w:rsid w:val="003C62EC"/>
    <w:rsid w:val="003C685A"/>
    <w:rsid w:val="003C6E9C"/>
    <w:rsid w:val="003C746F"/>
    <w:rsid w:val="003C7570"/>
    <w:rsid w:val="003C76E6"/>
    <w:rsid w:val="003C7E59"/>
    <w:rsid w:val="003C7F12"/>
    <w:rsid w:val="003D03D6"/>
    <w:rsid w:val="003D075D"/>
    <w:rsid w:val="003D0EE2"/>
    <w:rsid w:val="003D1283"/>
    <w:rsid w:val="003D14C8"/>
    <w:rsid w:val="003D1517"/>
    <w:rsid w:val="003D16C5"/>
    <w:rsid w:val="003D1CA9"/>
    <w:rsid w:val="003D2DA0"/>
    <w:rsid w:val="003D34C3"/>
    <w:rsid w:val="003D3D83"/>
    <w:rsid w:val="003D4685"/>
    <w:rsid w:val="003D4A41"/>
    <w:rsid w:val="003D4CDF"/>
    <w:rsid w:val="003D514A"/>
    <w:rsid w:val="003D5ADB"/>
    <w:rsid w:val="003D6448"/>
    <w:rsid w:val="003D646C"/>
    <w:rsid w:val="003D663E"/>
    <w:rsid w:val="003D664B"/>
    <w:rsid w:val="003D6793"/>
    <w:rsid w:val="003D6B03"/>
    <w:rsid w:val="003D75D8"/>
    <w:rsid w:val="003E006E"/>
    <w:rsid w:val="003E0947"/>
    <w:rsid w:val="003E0E96"/>
    <w:rsid w:val="003E20F7"/>
    <w:rsid w:val="003E336A"/>
    <w:rsid w:val="003E3E2F"/>
    <w:rsid w:val="003E4048"/>
    <w:rsid w:val="003E4CE5"/>
    <w:rsid w:val="003E604C"/>
    <w:rsid w:val="003E60DA"/>
    <w:rsid w:val="003E6E00"/>
    <w:rsid w:val="003E7111"/>
    <w:rsid w:val="003E7940"/>
    <w:rsid w:val="003F01BD"/>
    <w:rsid w:val="003F0486"/>
    <w:rsid w:val="003F048E"/>
    <w:rsid w:val="003F09FA"/>
    <w:rsid w:val="003F0AFF"/>
    <w:rsid w:val="003F1AA2"/>
    <w:rsid w:val="003F26DC"/>
    <w:rsid w:val="003F42FF"/>
    <w:rsid w:val="003F4B48"/>
    <w:rsid w:val="003F4DDC"/>
    <w:rsid w:val="003F56B8"/>
    <w:rsid w:val="003F57CB"/>
    <w:rsid w:val="003F5F1A"/>
    <w:rsid w:val="003F6327"/>
    <w:rsid w:val="003F6CEE"/>
    <w:rsid w:val="003F7425"/>
    <w:rsid w:val="003F765B"/>
    <w:rsid w:val="003F7CB8"/>
    <w:rsid w:val="00400CB4"/>
    <w:rsid w:val="00401386"/>
    <w:rsid w:val="004013E6"/>
    <w:rsid w:val="00401E31"/>
    <w:rsid w:val="00402BBA"/>
    <w:rsid w:val="004035D0"/>
    <w:rsid w:val="0040361D"/>
    <w:rsid w:val="00403795"/>
    <w:rsid w:val="004041FB"/>
    <w:rsid w:val="0040443E"/>
    <w:rsid w:val="004056B6"/>
    <w:rsid w:val="00405764"/>
    <w:rsid w:val="00406745"/>
    <w:rsid w:val="0040674B"/>
    <w:rsid w:val="00406B32"/>
    <w:rsid w:val="004074FA"/>
    <w:rsid w:val="00407A56"/>
    <w:rsid w:val="00407FCC"/>
    <w:rsid w:val="0041035A"/>
    <w:rsid w:val="00410E76"/>
    <w:rsid w:val="004112D1"/>
    <w:rsid w:val="004113C9"/>
    <w:rsid w:val="00411D1E"/>
    <w:rsid w:val="00411DF2"/>
    <w:rsid w:val="004120DF"/>
    <w:rsid w:val="004126B5"/>
    <w:rsid w:val="00414909"/>
    <w:rsid w:val="00415034"/>
    <w:rsid w:val="00415B1A"/>
    <w:rsid w:val="00415DFD"/>
    <w:rsid w:val="00416208"/>
    <w:rsid w:val="0041690F"/>
    <w:rsid w:val="004169D3"/>
    <w:rsid w:val="00416C2B"/>
    <w:rsid w:val="00416D41"/>
    <w:rsid w:val="00416E70"/>
    <w:rsid w:val="00417264"/>
    <w:rsid w:val="004210C0"/>
    <w:rsid w:val="004211DD"/>
    <w:rsid w:val="00421762"/>
    <w:rsid w:val="00421D4B"/>
    <w:rsid w:val="00421ED8"/>
    <w:rsid w:val="00422907"/>
    <w:rsid w:val="00423125"/>
    <w:rsid w:val="00423309"/>
    <w:rsid w:val="004233AD"/>
    <w:rsid w:val="00424446"/>
    <w:rsid w:val="00424867"/>
    <w:rsid w:val="00425341"/>
    <w:rsid w:val="004255FE"/>
    <w:rsid w:val="00425674"/>
    <w:rsid w:val="00425A82"/>
    <w:rsid w:val="00425C60"/>
    <w:rsid w:val="00426B2C"/>
    <w:rsid w:val="00427FA8"/>
    <w:rsid w:val="0043009D"/>
    <w:rsid w:val="0043026B"/>
    <w:rsid w:val="00430299"/>
    <w:rsid w:val="004306D4"/>
    <w:rsid w:val="00431A2A"/>
    <w:rsid w:val="00432ECA"/>
    <w:rsid w:val="0043554E"/>
    <w:rsid w:val="004355D4"/>
    <w:rsid w:val="004357B1"/>
    <w:rsid w:val="00435821"/>
    <w:rsid w:val="0043583E"/>
    <w:rsid w:val="00436CCE"/>
    <w:rsid w:val="00436EAD"/>
    <w:rsid w:val="00437439"/>
    <w:rsid w:val="004375E1"/>
    <w:rsid w:val="00437A2F"/>
    <w:rsid w:val="00440262"/>
    <w:rsid w:val="004406BF"/>
    <w:rsid w:val="00440814"/>
    <w:rsid w:val="0044105D"/>
    <w:rsid w:val="00441424"/>
    <w:rsid w:val="00442731"/>
    <w:rsid w:val="00442C12"/>
    <w:rsid w:val="004434DF"/>
    <w:rsid w:val="0044354B"/>
    <w:rsid w:val="0044493E"/>
    <w:rsid w:val="00444A1F"/>
    <w:rsid w:val="00444FC6"/>
    <w:rsid w:val="00445874"/>
    <w:rsid w:val="00445C38"/>
    <w:rsid w:val="0044686B"/>
    <w:rsid w:val="004475F7"/>
    <w:rsid w:val="0045057B"/>
    <w:rsid w:val="0045069B"/>
    <w:rsid w:val="00450B22"/>
    <w:rsid w:val="00451709"/>
    <w:rsid w:val="004518FA"/>
    <w:rsid w:val="00451A02"/>
    <w:rsid w:val="0045277C"/>
    <w:rsid w:val="00453507"/>
    <w:rsid w:val="00453592"/>
    <w:rsid w:val="004543AB"/>
    <w:rsid w:val="004545EC"/>
    <w:rsid w:val="00455967"/>
    <w:rsid w:val="00455F71"/>
    <w:rsid w:val="00456272"/>
    <w:rsid w:val="0045679C"/>
    <w:rsid w:val="004570EF"/>
    <w:rsid w:val="00457517"/>
    <w:rsid w:val="00457CF7"/>
    <w:rsid w:val="00457D37"/>
    <w:rsid w:val="0046028A"/>
    <w:rsid w:val="00460E3A"/>
    <w:rsid w:val="00460E68"/>
    <w:rsid w:val="004614BC"/>
    <w:rsid w:val="004619A5"/>
    <w:rsid w:val="004619E8"/>
    <w:rsid w:val="00461F80"/>
    <w:rsid w:val="0046240D"/>
    <w:rsid w:val="00462898"/>
    <w:rsid w:val="00462D84"/>
    <w:rsid w:val="00463208"/>
    <w:rsid w:val="00463576"/>
    <w:rsid w:val="004636D6"/>
    <w:rsid w:val="0046399D"/>
    <w:rsid w:val="00463EA4"/>
    <w:rsid w:val="00464C4C"/>
    <w:rsid w:val="00465A21"/>
    <w:rsid w:val="00465DE5"/>
    <w:rsid w:val="00466978"/>
    <w:rsid w:val="00466ABA"/>
    <w:rsid w:val="004672E3"/>
    <w:rsid w:val="0046775D"/>
    <w:rsid w:val="00467823"/>
    <w:rsid w:val="004705FA"/>
    <w:rsid w:val="004708AC"/>
    <w:rsid w:val="00470B42"/>
    <w:rsid w:val="00471387"/>
    <w:rsid w:val="0047146C"/>
    <w:rsid w:val="0047149F"/>
    <w:rsid w:val="00471963"/>
    <w:rsid w:val="004724B8"/>
    <w:rsid w:val="004728FB"/>
    <w:rsid w:val="004729AD"/>
    <w:rsid w:val="00472CA7"/>
    <w:rsid w:val="00472CEC"/>
    <w:rsid w:val="00473308"/>
    <w:rsid w:val="0047377C"/>
    <w:rsid w:val="00473DD1"/>
    <w:rsid w:val="0047471E"/>
    <w:rsid w:val="004749DA"/>
    <w:rsid w:val="00474DEF"/>
    <w:rsid w:val="00475729"/>
    <w:rsid w:val="004758E7"/>
    <w:rsid w:val="00475BAB"/>
    <w:rsid w:val="004764C6"/>
    <w:rsid w:val="00476AC1"/>
    <w:rsid w:val="00476F97"/>
    <w:rsid w:val="00477247"/>
    <w:rsid w:val="004776BB"/>
    <w:rsid w:val="004776FB"/>
    <w:rsid w:val="0048055E"/>
    <w:rsid w:val="00480C2B"/>
    <w:rsid w:val="00480DC5"/>
    <w:rsid w:val="00480FD9"/>
    <w:rsid w:val="0048131D"/>
    <w:rsid w:val="00481D0B"/>
    <w:rsid w:val="004824A9"/>
    <w:rsid w:val="00483091"/>
    <w:rsid w:val="00483140"/>
    <w:rsid w:val="00483984"/>
    <w:rsid w:val="00483BC7"/>
    <w:rsid w:val="00483CF0"/>
    <w:rsid w:val="00484D4D"/>
    <w:rsid w:val="00486516"/>
    <w:rsid w:val="0048664F"/>
    <w:rsid w:val="004868AD"/>
    <w:rsid w:val="00486D00"/>
    <w:rsid w:val="00487FE1"/>
    <w:rsid w:val="00490707"/>
    <w:rsid w:val="00490815"/>
    <w:rsid w:val="0049117E"/>
    <w:rsid w:val="0049217D"/>
    <w:rsid w:val="00492503"/>
    <w:rsid w:val="004925C8"/>
    <w:rsid w:val="00492AF9"/>
    <w:rsid w:val="00492B76"/>
    <w:rsid w:val="0049333E"/>
    <w:rsid w:val="0049418F"/>
    <w:rsid w:val="0049570D"/>
    <w:rsid w:val="00495C48"/>
    <w:rsid w:val="00495DC6"/>
    <w:rsid w:val="00496CCE"/>
    <w:rsid w:val="004978C1"/>
    <w:rsid w:val="00497AAD"/>
    <w:rsid w:val="00497BD7"/>
    <w:rsid w:val="00497D1A"/>
    <w:rsid w:val="004A00C9"/>
    <w:rsid w:val="004A03D0"/>
    <w:rsid w:val="004A1049"/>
    <w:rsid w:val="004A1AFA"/>
    <w:rsid w:val="004A1EA7"/>
    <w:rsid w:val="004A26F5"/>
    <w:rsid w:val="004A2EF8"/>
    <w:rsid w:val="004A3A21"/>
    <w:rsid w:val="004A407A"/>
    <w:rsid w:val="004A4E3B"/>
    <w:rsid w:val="004A6110"/>
    <w:rsid w:val="004A61B8"/>
    <w:rsid w:val="004A6415"/>
    <w:rsid w:val="004A64F9"/>
    <w:rsid w:val="004A65F4"/>
    <w:rsid w:val="004A6D2C"/>
    <w:rsid w:val="004B026C"/>
    <w:rsid w:val="004B0271"/>
    <w:rsid w:val="004B0BE8"/>
    <w:rsid w:val="004B0E4A"/>
    <w:rsid w:val="004B18F4"/>
    <w:rsid w:val="004B1A98"/>
    <w:rsid w:val="004B2463"/>
    <w:rsid w:val="004B2E9D"/>
    <w:rsid w:val="004B305F"/>
    <w:rsid w:val="004B34C4"/>
    <w:rsid w:val="004B34E8"/>
    <w:rsid w:val="004B3981"/>
    <w:rsid w:val="004B3A03"/>
    <w:rsid w:val="004B419F"/>
    <w:rsid w:val="004B4EA9"/>
    <w:rsid w:val="004B5C96"/>
    <w:rsid w:val="004B6124"/>
    <w:rsid w:val="004B645F"/>
    <w:rsid w:val="004B6E50"/>
    <w:rsid w:val="004B728F"/>
    <w:rsid w:val="004B7317"/>
    <w:rsid w:val="004B75B2"/>
    <w:rsid w:val="004B75C6"/>
    <w:rsid w:val="004B7A16"/>
    <w:rsid w:val="004C02C5"/>
    <w:rsid w:val="004C0BF0"/>
    <w:rsid w:val="004C0D40"/>
    <w:rsid w:val="004C0D94"/>
    <w:rsid w:val="004C114F"/>
    <w:rsid w:val="004C11A9"/>
    <w:rsid w:val="004C27CF"/>
    <w:rsid w:val="004C2CA7"/>
    <w:rsid w:val="004C3592"/>
    <w:rsid w:val="004C45C8"/>
    <w:rsid w:val="004C4F8F"/>
    <w:rsid w:val="004C5F4B"/>
    <w:rsid w:val="004C612E"/>
    <w:rsid w:val="004C61B8"/>
    <w:rsid w:val="004C69FE"/>
    <w:rsid w:val="004C6C0A"/>
    <w:rsid w:val="004C6C6D"/>
    <w:rsid w:val="004C77FF"/>
    <w:rsid w:val="004C7A0B"/>
    <w:rsid w:val="004C7DB0"/>
    <w:rsid w:val="004C7FFC"/>
    <w:rsid w:val="004D0223"/>
    <w:rsid w:val="004D0C4C"/>
    <w:rsid w:val="004D16A3"/>
    <w:rsid w:val="004D1934"/>
    <w:rsid w:val="004D1E41"/>
    <w:rsid w:val="004D2326"/>
    <w:rsid w:val="004D2E11"/>
    <w:rsid w:val="004D3108"/>
    <w:rsid w:val="004D329C"/>
    <w:rsid w:val="004D34D1"/>
    <w:rsid w:val="004D4523"/>
    <w:rsid w:val="004D4990"/>
    <w:rsid w:val="004D4B05"/>
    <w:rsid w:val="004D51D6"/>
    <w:rsid w:val="004D6BF2"/>
    <w:rsid w:val="004D6F29"/>
    <w:rsid w:val="004D7BF5"/>
    <w:rsid w:val="004D7F9C"/>
    <w:rsid w:val="004E03F4"/>
    <w:rsid w:val="004E068F"/>
    <w:rsid w:val="004E0860"/>
    <w:rsid w:val="004E09CF"/>
    <w:rsid w:val="004E0B75"/>
    <w:rsid w:val="004E0C29"/>
    <w:rsid w:val="004E0DC4"/>
    <w:rsid w:val="004E109C"/>
    <w:rsid w:val="004E1D6F"/>
    <w:rsid w:val="004E1DF3"/>
    <w:rsid w:val="004E2393"/>
    <w:rsid w:val="004E289D"/>
    <w:rsid w:val="004E3117"/>
    <w:rsid w:val="004E3A2A"/>
    <w:rsid w:val="004E3AB1"/>
    <w:rsid w:val="004E4003"/>
    <w:rsid w:val="004E4626"/>
    <w:rsid w:val="004E4984"/>
    <w:rsid w:val="004E5101"/>
    <w:rsid w:val="004E5380"/>
    <w:rsid w:val="004E6746"/>
    <w:rsid w:val="004E6CAC"/>
    <w:rsid w:val="004E6F69"/>
    <w:rsid w:val="004E75C1"/>
    <w:rsid w:val="004E777F"/>
    <w:rsid w:val="004F07F2"/>
    <w:rsid w:val="004F07F9"/>
    <w:rsid w:val="004F0A50"/>
    <w:rsid w:val="004F0D1F"/>
    <w:rsid w:val="004F0E82"/>
    <w:rsid w:val="004F1523"/>
    <w:rsid w:val="004F1847"/>
    <w:rsid w:val="004F1CE1"/>
    <w:rsid w:val="004F1F9E"/>
    <w:rsid w:val="004F2CB6"/>
    <w:rsid w:val="004F2E6E"/>
    <w:rsid w:val="004F3015"/>
    <w:rsid w:val="004F313F"/>
    <w:rsid w:val="004F34E2"/>
    <w:rsid w:val="004F367F"/>
    <w:rsid w:val="004F3EEF"/>
    <w:rsid w:val="004F43A7"/>
    <w:rsid w:val="004F447B"/>
    <w:rsid w:val="004F497C"/>
    <w:rsid w:val="004F4FAC"/>
    <w:rsid w:val="004F4FE8"/>
    <w:rsid w:val="004F531B"/>
    <w:rsid w:val="004F560C"/>
    <w:rsid w:val="004F5DBB"/>
    <w:rsid w:val="004F60B4"/>
    <w:rsid w:val="004F61A3"/>
    <w:rsid w:val="004F6874"/>
    <w:rsid w:val="004F7922"/>
    <w:rsid w:val="004F7A1F"/>
    <w:rsid w:val="004F7B47"/>
    <w:rsid w:val="0050079C"/>
    <w:rsid w:val="0050106A"/>
    <w:rsid w:val="005010BC"/>
    <w:rsid w:val="00501848"/>
    <w:rsid w:val="00502B31"/>
    <w:rsid w:val="0050434C"/>
    <w:rsid w:val="0050537D"/>
    <w:rsid w:val="0050591C"/>
    <w:rsid w:val="005059BD"/>
    <w:rsid w:val="005060AE"/>
    <w:rsid w:val="0050790B"/>
    <w:rsid w:val="00507FDF"/>
    <w:rsid w:val="0051037C"/>
    <w:rsid w:val="0051050F"/>
    <w:rsid w:val="0051058B"/>
    <w:rsid w:val="00510DDC"/>
    <w:rsid w:val="00511166"/>
    <w:rsid w:val="00512217"/>
    <w:rsid w:val="00512459"/>
    <w:rsid w:val="005131A2"/>
    <w:rsid w:val="005137E4"/>
    <w:rsid w:val="00513BB9"/>
    <w:rsid w:val="0051440E"/>
    <w:rsid w:val="00514480"/>
    <w:rsid w:val="005148CD"/>
    <w:rsid w:val="00515180"/>
    <w:rsid w:val="00515973"/>
    <w:rsid w:val="00516069"/>
    <w:rsid w:val="00517AC8"/>
    <w:rsid w:val="00517C3E"/>
    <w:rsid w:val="00517FE0"/>
    <w:rsid w:val="005207D8"/>
    <w:rsid w:val="0052091D"/>
    <w:rsid w:val="005212F4"/>
    <w:rsid w:val="00521908"/>
    <w:rsid w:val="005224BC"/>
    <w:rsid w:val="00522928"/>
    <w:rsid w:val="00522FF1"/>
    <w:rsid w:val="00523946"/>
    <w:rsid w:val="0052397A"/>
    <w:rsid w:val="005256D6"/>
    <w:rsid w:val="00525AD8"/>
    <w:rsid w:val="00525D6B"/>
    <w:rsid w:val="00526429"/>
    <w:rsid w:val="005266C1"/>
    <w:rsid w:val="005267F4"/>
    <w:rsid w:val="005269D3"/>
    <w:rsid w:val="00527317"/>
    <w:rsid w:val="00527ED6"/>
    <w:rsid w:val="0053024F"/>
    <w:rsid w:val="00531064"/>
    <w:rsid w:val="005312CB"/>
    <w:rsid w:val="005313B2"/>
    <w:rsid w:val="00531911"/>
    <w:rsid w:val="00531E92"/>
    <w:rsid w:val="005324D7"/>
    <w:rsid w:val="005326F0"/>
    <w:rsid w:val="00532764"/>
    <w:rsid w:val="00532AA5"/>
    <w:rsid w:val="00532C5F"/>
    <w:rsid w:val="00533233"/>
    <w:rsid w:val="005335A2"/>
    <w:rsid w:val="00533D13"/>
    <w:rsid w:val="00533DEC"/>
    <w:rsid w:val="00534026"/>
    <w:rsid w:val="00534D55"/>
    <w:rsid w:val="00535B53"/>
    <w:rsid w:val="00536B03"/>
    <w:rsid w:val="00537456"/>
    <w:rsid w:val="0053790C"/>
    <w:rsid w:val="00537B3D"/>
    <w:rsid w:val="00540401"/>
    <w:rsid w:val="005405B2"/>
    <w:rsid w:val="0054076A"/>
    <w:rsid w:val="00540D47"/>
    <w:rsid w:val="00540EE7"/>
    <w:rsid w:val="00541A22"/>
    <w:rsid w:val="00541EAD"/>
    <w:rsid w:val="005424C2"/>
    <w:rsid w:val="005426B2"/>
    <w:rsid w:val="00543519"/>
    <w:rsid w:val="00543640"/>
    <w:rsid w:val="00544019"/>
    <w:rsid w:val="005444C6"/>
    <w:rsid w:val="00544BF9"/>
    <w:rsid w:val="00544F05"/>
    <w:rsid w:val="00544FCC"/>
    <w:rsid w:val="005454B8"/>
    <w:rsid w:val="00545ACB"/>
    <w:rsid w:val="00545DB9"/>
    <w:rsid w:val="005462ED"/>
    <w:rsid w:val="00546585"/>
    <w:rsid w:val="0054680A"/>
    <w:rsid w:val="00546BF8"/>
    <w:rsid w:val="00547BA2"/>
    <w:rsid w:val="00550AC5"/>
    <w:rsid w:val="00550B7E"/>
    <w:rsid w:val="00551052"/>
    <w:rsid w:val="005524ED"/>
    <w:rsid w:val="00553F91"/>
    <w:rsid w:val="00554007"/>
    <w:rsid w:val="00554C03"/>
    <w:rsid w:val="00554C58"/>
    <w:rsid w:val="00554D5D"/>
    <w:rsid w:val="005550F9"/>
    <w:rsid w:val="00556338"/>
    <w:rsid w:val="00556441"/>
    <w:rsid w:val="00557031"/>
    <w:rsid w:val="00557F87"/>
    <w:rsid w:val="00560FCB"/>
    <w:rsid w:val="00561001"/>
    <w:rsid w:val="0056111C"/>
    <w:rsid w:val="00561140"/>
    <w:rsid w:val="00561412"/>
    <w:rsid w:val="00561903"/>
    <w:rsid w:val="00561A9B"/>
    <w:rsid w:val="00561E54"/>
    <w:rsid w:val="00561F73"/>
    <w:rsid w:val="005621F7"/>
    <w:rsid w:val="0056278F"/>
    <w:rsid w:val="00562FB1"/>
    <w:rsid w:val="00563068"/>
    <w:rsid w:val="0056376A"/>
    <w:rsid w:val="00563B3C"/>
    <w:rsid w:val="0056419C"/>
    <w:rsid w:val="00564DA7"/>
    <w:rsid w:val="00565204"/>
    <w:rsid w:val="00565473"/>
    <w:rsid w:val="00565DAC"/>
    <w:rsid w:val="00565F0D"/>
    <w:rsid w:val="005662DC"/>
    <w:rsid w:val="00566329"/>
    <w:rsid w:val="005668B9"/>
    <w:rsid w:val="00566E39"/>
    <w:rsid w:val="0056704E"/>
    <w:rsid w:val="00567623"/>
    <w:rsid w:val="005701C2"/>
    <w:rsid w:val="00570250"/>
    <w:rsid w:val="00570763"/>
    <w:rsid w:val="0057200B"/>
    <w:rsid w:val="00572297"/>
    <w:rsid w:val="0057345D"/>
    <w:rsid w:val="0057347D"/>
    <w:rsid w:val="00573560"/>
    <w:rsid w:val="00574E7B"/>
    <w:rsid w:val="00574F36"/>
    <w:rsid w:val="00576B5C"/>
    <w:rsid w:val="005770CC"/>
    <w:rsid w:val="005802F9"/>
    <w:rsid w:val="005806D5"/>
    <w:rsid w:val="00580DFC"/>
    <w:rsid w:val="0058134C"/>
    <w:rsid w:val="005815CD"/>
    <w:rsid w:val="005827A7"/>
    <w:rsid w:val="00583D43"/>
    <w:rsid w:val="005846C3"/>
    <w:rsid w:val="00584F04"/>
    <w:rsid w:val="0058544C"/>
    <w:rsid w:val="00585623"/>
    <w:rsid w:val="005857F7"/>
    <w:rsid w:val="005865E9"/>
    <w:rsid w:val="005868FD"/>
    <w:rsid w:val="00587D7B"/>
    <w:rsid w:val="005904DB"/>
    <w:rsid w:val="005905ED"/>
    <w:rsid w:val="00590D11"/>
    <w:rsid w:val="00591BA6"/>
    <w:rsid w:val="00592825"/>
    <w:rsid w:val="00594437"/>
    <w:rsid w:val="00594B70"/>
    <w:rsid w:val="00596CFA"/>
    <w:rsid w:val="00596EC6"/>
    <w:rsid w:val="005975CE"/>
    <w:rsid w:val="005A0088"/>
    <w:rsid w:val="005A04F6"/>
    <w:rsid w:val="005A14F0"/>
    <w:rsid w:val="005A1861"/>
    <w:rsid w:val="005A1A31"/>
    <w:rsid w:val="005A361D"/>
    <w:rsid w:val="005A36C2"/>
    <w:rsid w:val="005A3719"/>
    <w:rsid w:val="005A3DD7"/>
    <w:rsid w:val="005A40FA"/>
    <w:rsid w:val="005A4C20"/>
    <w:rsid w:val="005A4F48"/>
    <w:rsid w:val="005A54F1"/>
    <w:rsid w:val="005A57B8"/>
    <w:rsid w:val="005A5DDE"/>
    <w:rsid w:val="005A64A8"/>
    <w:rsid w:val="005A65C5"/>
    <w:rsid w:val="005A6875"/>
    <w:rsid w:val="005A7016"/>
    <w:rsid w:val="005A7A32"/>
    <w:rsid w:val="005A7F85"/>
    <w:rsid w:val="005B00DD"/>
    <w:rsid w:val="005B03B1"/>
    <w:rsid w:val="005B07D5"/>
    <w:rsid w:val="005B1A8A"/>
    <w:rsid w:val="005B1AAB"/>
    <w:rsid w:val="005B2578"/>
    <w:rsid w:val="005B2930"/>
    <w:rsid w:val="005B2B87"/>
    <w:rsid w:val="005B2FAA"/>
    <w:rsid w:val="005B33C8"/>
    <w:rsid w:val="005B387B"/>
    <w:rsid w:val="005B3B01"/>
    <w:rsid w:val="005B4333"/>
    <w:rsid w:val="005B48BE"/>
    <w:rsid w:val="005B58F7"/>
    <w:rsid w:val="005B5981"/>
    <w:rsid w:val="005B5994"/>
    <w:rsid w:val="005B6474"/>
    <w:rsid w:val="005B666D"/>
    <w:rsid w:val="005B667A"/>
    <w:rsid w:val="005B6865"/>
    <w:rsid w:val="005C039B"/>
    <w:rsid w:val="005C059F"/>
    <w:rsid w:val="005C07CE"/>
    <w:rsid w:val="005C0B8F"/>
    <w:rsid w:val="005C194E"/>
    <w:rsid w:val="005C1C83"/>
    <w:rsid w:val="005C1DB1"/>
    <w:rsid w:val="005C226F"/>
    <w:rsid w:val="005C2294"/>
    <w:rsid w:val="005C2E48"/>
    <w:rsid w:val="005C3344"/>
    <w:rsid w:val="005C37EE"/>
    <w:rsid w:val="005C4E4D"/>
    <w:rsid w:val="005C58F2"/>
    <w:rsid w:val="005C5A97"/>
    <w:rsid w:val="005C5F77"/>
    <w:rsid w:val="005C6AAB"/>
    <w:rsid w:val="005C6D5D"/>
    <w:rsid w:val="005C6FD0"/>
    <w:rsid w:val="005D01C3"/>
    <w:rsid w:val="005D05FF"/>
    <w:rsid w:val="005D0FB4"/>
    <w:rsid w:val="005D1176"/>
    <w:rsid w:val="005D1747"/>
    <w:rsid w:val="005D266D"/>
    <w:rsid w:val="005D306D"/>
    <w:rsid w:val="005D3327"/>
    <w:rsid w:val="005D4854"/>
    <w:rsid w:val="005D5BCF"/>
    <w:rsid w:val="005D65BF"/>
    <w:rsid w:val="005D6D84"/>
    <w:rsid w:val="005D70A1"/>
    <w:rsid w:val="005D79F2"/>
    <w:rsid w:val="005D7CB1"/>
    <w:rsid w:val="005D7F57"/>
    <w:rsid w:val="005E0067"/>
    <w:rsid w:val="005E0141"/>
    <w:rsid w:val="005E09CA"/>
    <w:rsid w:val="005E1AB4"/>
    <w:rsid w:val="005E255B"/>
    <w:rsid w:val="005E2CF7"/>
    <w:rsid w:val="005E37FD"/>
    <w:rsid w:val="005E4543"/>
    <w:rsid w:val="005E4A1C"/>
    <w:rsid w:val="005E56C9"/>
    <w:rsid w:val="005E5CF7"/>
    <w:rsid w:val="005E5FF0"/>
    <w:rsid w:val="005E642A"/>
    <w:rsid w:val="005E65A7"/>
    <w:rsid w:val="005E721E"/>
    <w:rsid w:val="005F0857"/>
    <w:rsid w:val="005F1470"/>
    <w:rsid w:val="005F15A9"/>
    <w:rsid w:val="005F2807"/>
    <w:rsid w:val="005F2CD5"/>
    <w:rsid w:val="005F3382"/>
    <w:rsid w:val="005F3720"/>
    <w:rsid w:val="005F4719"/>
    <w:rsid w:val="005F4F00"/>
    <w:rsid w:val="005F5506"/>
    <w:rsid w:val="005F5A0D"/>
    <w:rsid w:val="005F60DF"/>
    <w:rsid w:val="005F615B"/>
    <w:rsid w:val="005F61DF"/>
    <w:rsid w:val="005F680A"/>
    <w:rsid w:val="005F6880"/>
    <w:rsid w:val="005F6B3E"/>
    <w:rsid w:val="005F6ED2"/>
    <w:rsid w:val="005F745B"/>
    <w:rsid w:val="005F77F8"/>
    <w:rsid w:val="005F7CA8"/>
    <w:rsid w:val="00600DE1"/>
    <w:rsid w:val="00601506"/>
    <w:rsid w:val="00601596"/>
    <w:rsid w:val="00601C92"/>
    <w:rsid w:val="00601F66"/>
    <w:rsid w:val="00602764"/>
    <w:rsid w:val="00602B29"/>
    <w:rsid w:val="00602DAD"/>
    <w:rsid w:val="00603373"/>
    <w:rsid w:val="006036D0"/>
    <w:rsid w:val="00603B1C"/>
    <w:rsid w:val="006042CD"/>
    <w:rsid w:val="00605217"/>
    <w:rsid w:val="006054A5"/>
    <w:rsid w:val="006059E4"/>
    <w:rsid w:val="00605D60"/>
    <w:rsid w:val="006062A0"/>
    <w:rsid w:val="00607015"/>
    <w:rsid w:val="0061098D"/>
    <w:rsid w:val="00610B78"/>
    <w:rsid w:val="00611B59"/>
    <w:rsid w:val="00611FBA"/>
    <w:rsid w:val="00612098"/>
    <w:rsid w:val="0061272A"/>
    <w:rsid w:val="0061299E"/>
    <w:rsid w:val="006130D0"/>
    <w:rsid w:val="0061355D"/>
    <w:rsid w:val="006139F7"/>
    <w:rsid w:val="00613AA2"/>
    <w:rsid w:val="00614906"/>
    <w:rsid w:val="0061517F"/>
    <w:rsid w:val="00615276"/>
    <w:rsid w:val="006155F1"/>
    <w:rsid w:val="00615846"/>
    <w:rsid w:val="006160F0"/>
    <w:rsid w:val="0061618F"/>
    <w:rsid w:val="0061624B"/>
    <w:rsid w:val="006166AD"/>
    <w:rsid w:val="00616C1E"/>
    <w:rsid w:val="00617EFC"/>
    <w:rsid w:val="00620055"/>
    <w:rsid w:val="00620336"/>
    <w:rsid w:val="006204B3"/>
    <w:rsid w:val="006204C2"/>
    <w:rsid w:val="006212D3"/>
    <w:rsid w:val="00621639"/>
    <w:rsid w:val="00622B22"/>
    <w:rsid w:val="00622F67"/>
    <w:rsid w:val="00623571"/>
    <w:rsid w:val="00623A5E"/>
    <w:rsid w:val="00625008"/>
    <w:rsid w:val="0062548B"/>
    <w:rsid w:val="006261E6"/>
    <w:rsid w:val="00626710"/>
    <w:rsid w:val="00626930"/>
    <w:rsid w:val="00626AD3"/>
    <w:rsid w:val="00626BAC"/>
    <w:rsid w:val="006271C3"/>
    <w:rsid w:val="00627B14"/>
    <w:rsid w:val="0063001E"/>
    <w:rsid w:val="00630023"/>
    <w:rsid w:val="006308EE"/>
    <w:rsid w:val="00630C70"/>
    <w:rsid w:val="00630D67"/>
    <w:rsid w:val="00631005"/>
    <w:rsid w:val="00631C79"/>
    <w:rsid w:val="00632727"/>
    <w:rsid w:val="0063283D"/>
    <w:rsid w:val="00633769"/>
    <w:rsid w:val="00633FE3"/>
    <w:rsid w:val="00634276"/>
    <w:rsid w:val="00634570"/>
    <w:rsid w:val="0063487C"/>
    <w:rsid w:val="00635B73"/>
    <w:rsid w:val="00635BB7"/>
    <w:rsid w:val="00636CC7"/>
    <w:rsid w:val="00637F27"/>
    <w:rsid w:val="006405EC"/>
    <w:rsid w:val="00640A4D"/>
    <w:rsid w:val="006418F2"/>
    <w:rsid w:val="00641A84"/>
    <w:rsid w:val="00641B05"/>
    <w:rsid w:val="00641DA1"/>
    <w:rsid w:val="00641E35"/>
    <w:rsid w:val="00641E5B"/>
    <w:rsid w:val="00642C69"/>
    <w:rsid w:val="0064330A"/>
    <w:rsid w:val="00643F89"/>
    <w:rsid w:val="00644334"/>
    <w:rsid w:val="0064487C"/>
    <w:rsid w:val="00644BED"/>
    <w:rsid w:val="00644E2E"/>
    <w:rsid w:val="00645A3A"/>
    <w:rsid w:val="00645B87"/>
    <w:rsid w:val="00645CB4"/>
    <w:rsid w:val="00646084"/>
    <w:rsid w:val="006468ED"/>
    <w:rsid w:val="00647664"/>
    <w:rsid w:val="006506AA"/>
    <w:rsid w:val="00650D19"/>
    <w:rsid w:val="00652CF5"/>
    <w:rsid w:val="0065343E"/>
    <w:rsid w:val="00653446"/>
    <w:rsid w:val="00653672"/>
    <w:rsid w:val="006536BB"/>
    <w:rsid w:val="0065398F"/>
    <w:rsid w:val="00653C7C"/>
    <w:rsid w:val="00654252"/>
    <w:rsid w:val="006543B7"/>
    <w:rsid w:val="00654EA5"/>
    <w:rsid w:val="0065587E"/>
    <w:rsid w:val="006558CD"/>
    <w:rsid w:val="00655C26"/>
    <w:rsid w:val="0065637A"/>
    <w:rsid w:val="00656998"/>
    <w:rsid w:val="00656E4D"/>
    <w:rsid w:val="006576BA"/>
    <w:rsid w:val="006600BF"/>
    <w:rsid w:val="00660AF7"/>
    <w:rsid w:val="00660D3E"/>
    <w:rsid w:val="00661691"/>
    <w:rsid w:val="006628BB"/>
    <w:rsid w:val="00662D3D"/>
    <w:rsid w:val="00662F1F"/>
    <w:rsid w:val="00663D15"/>
    <w:rsid w:val="00665030"/>
    <w:rsid w:val="00665670"/>
    <w:rsid w:val="006659EA"/>
    <w:rsid w:val="006661E8"/>
    <w:rsid w:val="00666424"/>
    <w:rsid w:val="0066676C"/>
    <w:rsid w:val="006673B9"/>
    <w:rsid w:val="0066790C"/>
    <w:rsid w:val="00667FF0"/>
    <w:rsid w:val="00670C7C"/>
    <w:rsid w:val="00671480"/>
    <w:rsid w:val="006717E7"/>
    <w:rsid w:val="00671FD5"/>
    <w:rsid w:val="006720BC"/>
    <w:rsid w:val="00672906"/>
    <w:rsid w:val="00672C73"/>
    <w:rsid w:val="00673B64"/>
    <w:rsid w:val="006753AC"/>
    <w:rsid w:val="00675430"/>
    <w:rsid w:val="006755F0"/>
    <w:rsid w:val="00675749"/>
    <w:rsid w:val="006759FE"/>
    <w:rsid w:val="00677382"/>
    <w:rsid w:val="0067772D"/>
    <w:rsid w:val="00677991"/>
    <w:rsid w:val="00677AD2"/>
    <w:rsid w:val="00680326"/>
    <w:rsid w:val="00680714"/>
    <w:rsid w:val="0068071D"/>
    <w:rsid w:val="00680C6B"/>
    <w:rsid w:val="006811F3"/>
    <w:rsid w:val="00681240"/>
    <w:rsid w:val="00683068"/>
    <w:rsid w:val="00683DAD"/>
    <w:rsid w:val="00684592"/>
    <w:rsid w:val="00684963"/>
    <w:rsid w:val="00685033"/>
    <w:rsid w:val="0068517F"/>
    <w:rsid w:val="00685D65"/>
    <w:rsid w:val="00685FC8"/>
    <w:rsid w:val="006861E4"/>
    <w:rsid w:val="00686E80"/>
    <w:rsid w:val="0068790B"/>
    <w:rsid w:val="00687AF2"/>
    <w:rsid w:val="006901AC"/>
    <w:rsid w:val="00690C8D"/>
    <w:rsid w:val="00691890"/>
    <w:rsid w:val="00691AAD"/>
    <w:rsid w:val="00692416"/>
    <w:rsid w:val="00692AFF"/>
    <w:rsid w:val="00692D2D"/>
    <w:rsid w:val="00693B73"/>
    <w:rsid w:val="006945A1"/>
    <w:rsid w:val="00694A53"/>
    <w:rsid w:val="006952DE"/>
    <w:rsid w:val="00695985"/>
    <w:rsid w:val="00695C78"/>
    <w:rsid w:val="00695E6C"/>
    <w:rsid w:val="00695EAC"/>
    <w:rsid w:val="00696C79"/>
    <w:rsid w:val="00697068"/>
    <w:rsid w:val="006977DE"/>
    <w:rsid w:val="00697D5F"/>
    <w:rsid w:val="006A035B"/>
    <w:rsid w:val="006A0582"/>
    <w:rsid w:val="006A060C"/>
    <w:rsid w:val="006A06F8"/>
    <w:rsid w:val="006A071C"/>
    <w:rsid w:val="006A0DC7"/>
    <w:rsid w:val="006A150D"/>
    <w:rsid w:val="006A1B00"/>
    <w:rsid w:val="006A2766"/>
    <w:rsid w:val="006A39D0"/>
    <w:rsid w:val="006A3E91"/>
    <w:rsid w:val="006A430B"/>
    <w:rsid w:val="006A4321"/>
    <w:rsid w:val="006A4E20"/>
    <w:rsid w:val="006A4F11"/>
    <w:rsid w:val="006A563C"/>
    <w:rsid w:val="006A5A6F"/>
    <w:rsid w:val="006A5F7E"/>
    <w:rsid w:val="006A6786"/>
    <w:rsid w:val="006A7C29"/>
    <w:rsid w:val="006B0580"/>
    <w:rsid w:val="006B0DA2"/>
    <w:rsid w:val="006B0F70"/>
    <w:rsid w:val="006B1486"/>
    <w:rsid w:val="006B169F"/>
    <w:rsid w:val="006B1BEB"/>
    <w:rsid w:val="006B1D06"/>
    <w:rsid w:val="006B2506"/>
    <w:rsid w:val="006B2823"/>
    <w:rsid w:val="006B29DC"/>
    <w:rsid w:val="006B2F60"/>
    <w:rsid w:val="006B33DB"/>
    <w:rsid w:val="006B33DD"/>
    <w:rsid w:val="006B3669"/>
    <w:rsid w:val="006B36E5"/>
    <w:rsid w:val="006B3D00"/>
    <w:rsid w:val="006B4CF8"/>
    <w:rsid w:val="006B506B"/>
    <w:rsid w:val="006B54E8"/>
    <w:rsid w:val="006B5FBC"/>
    <w:rsid w:val="006B6ED2"/>
    <w:rsid w:val="006B7F74"/>
    <w:rsid w:val="006C0230"/>
    <w:rsid w:val="006C05BE"/>
    <w:rsid w:val="006C05C7"/>
    <w:rsid w:val="006C25AB"/>
    <w:rsid w:val="006C2DA6"/>
    <w:rsid w:val="006C3581"/>
    <w:rsid w:val="006C39A0"/>
    <w:rsid w:val="006C3EFE"/>
    <w:rsid w:val="006C46C7"/>
    <w:rsid w:val="006C4767"/>
    <w:rsid w:val="006C4A1A"/>
    <w:rsid w:val="006C4D02"/>
    <w:rsid w:val="006C53A4"/>
    <w:rsid w:val="006C54DF"/>
    <w:rsid w:val="006C5D5D"/>
    <w:rsid w:val="006C627E"/>
    <w:rsid w:val="006C6303"/>
    <w:rsid w:val="006C6A51"/>
    <w:rsid w:val="006C6EBD"/>
    <w:rsid w:val="006C7E04"/>
    <w:rsid w:val="006C7F79"/>
    <w:rsid w:val="006D0004"/>
    <w:rsid w:val="006D015F"/>
    <w:rsid w:val="006D060E"/>
    <w:rsid w:val="006D0681"/>
    <w:rsid w:val="006D0A80"/>
    <w:rsid w:val="006D0AE8"/>
    <w:rsid w:val="006D0E3A"/>
    <w:rsid w:val="006D135C"/>
    <w:rsid w:val="006D2F72"/>
    <w:rsid w:val="006D43C1"/>
    <w:rsid w:val="006D5442"/>
    <w:rsid w:val="006D6E4E"/>
    <w:rsid w:val="006D7A7B"/>
    <w:rsid w:val="006D7A8E"/>
    <w:rsid w:val="006D7C59"/>
    <w:rsid w:val="006E00E3"/>
    <w:rsid w:val="006E045C"/>
    <w:rsid w:val="006E0569"/>
    <w:rsid w:val="006E065E"/>
    <w:rsid w:val="006E0849"/>
    <w:rsid w:val="006E11D6"/>
    <w:rsid w:val="006E17AC"/>
    <w:rsid w:val="006E189B"/>
    <w:rsid w:val="006E20D9"/>
    <w:rsid w:val="006E27DC"/>
    <w:rsid w:val="006E2902"/>
    <w:rsid w:val="006E2F9D"/>
    <w:rsid w:val="006E37C6"/>
    <w:rsid w:val="006E39A3"/>
    <w:rsid w:val="006E3CF3"/>
    <w:rsid w:val="006E41ED"/>
    <w:rsid w:val="006E4667"/>
    <w:rsid w:val="006E46B7"/>
    <w:rsid w:val="006E475A"/>
    <w:rsid w:val="006E486D"/>
    <w:rsid w:val="006E4880"/>
    <w:rsid w:val="006E48BB"/>
    <w:rsid w:val="006E727B"/>
    <w:rsid w:val="006E76C8"/>
    <w:rsid w:val="006E7A92"/>
    <w:rsid w:val="006F01FF"/>
    <w:rsid w:val="006F0CB2"/>
    <w:rsid w:val="006F1DE9"/>
    <w:rsid w:val="006F2046"/>
    <w:rsid w:val="006F2F59"/>
    <w:rsid w:val="006F311E"/>
    <w:rsid w:val="006F3442"/>
    <w:rsid w:val="006F36A5"/>
    <w:rsid w:val="006F41F4"/>
    <w:rsid w:val="006F4576"/>
    <w:rsid w:val="006F5813"/>
    <w:rsid w:val="006F59A8"/>
    <w:rsid w:val="006F5A1D"/>
    <w:rsid w:val="006F71A6"/>
    <w:rsid w:val="006F7974"/>
    <w:rsid w:val="006F7C2C"/>
    <w:rsid w:val="006F7FD5"/>
    <w:rsid w:val="00700405"/>
    <w:rsid w:val="00700D18"/>
    <w:rsid w:val="00700FEA"/>
    <w:rsid w:val="0070168D"/>
    <w:rsid w:val="00701C36"/>
    <w:rsid w:val="00702F2D"/>
    <w:rsid w:val="0070353F"/>
    <w:rsid w:val="0070415E"/>
    <w:rsid w:val="00704631"/>
    <w:rsid w:val="00704B79"/>
    <w:rsid w:val="00704E7D"/>
    <w:rsid w:val="00705060"/>
    <w:rsid w:val="00705351"/>
    <w:rsid w:val="00705619"/>
    <w:rsid w:val="00705E93"/>
    <w:rsid w:val="007062AF"/>
    <w:rsid w:val="007069AE"/>
    <w:rsid w:val="007069D4"/>
    <w:rsid w:val="00706C89"/>
    <w:rsid w:val="00707967"/>
    <w:rsid w:val="00710257"/>
    <w:rsid w:val="00710587"/>
    <w:rsid w:val="007107D5"/>
    <w:rsid w:val="007119DC"/>
    <w:rsid w:val="00711CC7"/>
    <w:rsid w:val="0071230A"/>
    <w:rsid w:val="0071294A"/>
    <w:rsid w:val="00712BDD"/>
    <w:rsid w:val="00712E1E"/>
    <w:rsid w:val="00712F37"/>
    <w:rsid w:val="00713A6B"/>
    <w:rsid w:val="00713CB5"/>
    <w:rsid w:val="00714708"/>
    <w:rsid w:val="0071499C"/>
    <w:rsid w:val="00714F9D"/>
    <w:rsid w:val="007154D8"/>
    <w:rsid w:val="00715577"/>
    <w:rsid w:val="0071604D"/>
    <w:rsid w:val="00716C67"/>
    <w:rsid w:val="007170AB"/>
    <w:rsid w:val="0071779C"/>
    <w:rsid w:val="00717808"/>
    <w:rsid w:val="007208A7"/>
    <w:rsid w:val="00720B3D"/>
    <w:rsid w:val="00720B6A"/>
    <w:rsid w:val="007210F6"/>
    <w:rsid w:val="0072129A"/>
    <w:rsid w:val="0072139F"/>
    <w:rsid w:val="0072198A"/>
    <w:rsid w:val="00721AD9"/>
    <w:rsid w:val="00721FC3"/>
    <w:rsid w:val="00722A86"/>
    <w:rsid w:val="00722BC6"/>
    <w:rsid w:val="00722C69"/>
    <w:rsid w:val="0072311F"/>
    <w:rsid w:val="0072388C"/>
    <w:rsid w:val="0072454E"/>
    <w:rsid w:val="007249D1"/>
    <w:rsid w:val="00724FE4"/>
    <w:rsid w:val="00725829"/>
    <w:rsid w:val="00725D6A"/>
    <w:rsid w:val="007263A2"/>
    <w:rsid w:val="007266B9"/>
    <w:rsid w:val="00727351"/>
    <w:rsid w:val="00727AC5"/>
    <w:rsid w:val="00727C65"/>
    <w:rsid w:val="007300F0"/>
    <w:rsid w:val="00730904"/>
    <w:rsid w:val="00731EDE"/>
    <w:rsid w:val="0073245C"/>
    <w:rsid w:val="00732493"/>
    <w:rsid w:val="00732FE9"/>
    <w:rsid w:val="007333EE"/>
    <w:rsid w:val="00733772"/>
    <w:rsid w:val="00733A43"/>
    <w:rsid w:val="00733AE4"/>
    <w:rsid w:val="00733D5F"/>
    <w:rsid w:val="00734932"/>
    <w:rsid w:val="00735D53"/>
    <w:rsid w:val="0073618A"/>
    <w:rsid w:val="007364A3"/>
    <w:rsid w:val="00736740"/>
    <w:rsid w:val="007378FD"/>
    <w:rsid w:val="007403FE"/>
    <w:rsid w:val="007413EB"/>
    <w:rsid w:val="007413FB"/>
    <w:rsid w:val="00742D32"/>
    <w:rsid w:val="00742E9B"/>
    <w:rsid w:val="00743761"/>
    <w:rsid w:val="007444E6"/>
    <w:rsid w:val="00744F5C"/>
    <w:rsid w:val="0074592C"/>
    <w:rsid w:val="00745C91"/>
    <w:rsid w:val="00746098"/>
    <w:rsid w:val="00746D58"/>
    <w:rsid w:val="00747578"/>
    <w:rsid w:val="00750ACA"/>
    <w:rsid w:val="00750D12"/>
    <w:rsid w:val="00751073"/>
    <w:rsid w:val="00751AF2"/>
    <w:rsid w:val="00751B1A"/>
    <w:rsid w:val="00751BD2"/>
    <w:rsid w:val="00751CE5"/>
    <w:rsid w:val="00752188"/>
    <w:rsid w:val="00752CC6"/>
    <w:rsid w:val="00753938"/>
    <w:rsid w:val="00753A57"/>
    <w:rsid w:val="007543CE"/>
    <w:rsid w:val="0075497E"/>
    <w:rsid w:val="00754A29"/>
    <w:rsid w:val="00755B6F"/>
    <w:rsid w:val="00755BCF"/>
    <w:rsid w:val="00756C5F"/>
    <w:rsid w:val="00756D69"/>
    <w:rsid w:val="00757029"/>
    <w:rsid w:val="007571FD"/>
    <w:rsid w:val="0075723D"/>
    <w:rsid w:val="007602D4"/>
    <w:rsid w:val="00760D96"/>
    <w:rsid w:val="0076124A"/>
    <w:rsid w:val="0076161B"/>
    <w:rsid w:val="0076182A"/>
    <w:rsid w:val="00761950"/>
    <w:rsid w:val="00761CB5"/>
    <w:rsid w:val="0076216B"/>
    <w:rsid w:val="00762948"/>
    <w:rsid w:val="00762A81"/>
    <w:rsid w:val="00763137"/>
    <w:rsid w:val="00763AED"/>
    <w:rsid w:val="00763F8B"/>
    <w:rsid w:val="007640F3"/>
    <w:rsid w:val="0076417E"/>
    <w:rsid w:val="0076497F"/>
    <w:rsid w:val="007660EC"/>
    <w:rsid w:val="007662C7"/>
    <w:rsid w:val="00766862"/>
    <w:rsid w:val="007675DD"/>
    <w:rsid w:val="007702BF"/>
    <w:rsid w:val="007705F0"/>
    <w:rsid w:val="00771CAC"/>
    <w:rsid w:val="00772036"/>
    <w:rsid w:val="00773098"/>
    <w:rsid w:val="007739A3"/>
    <w:rsid w:val="00773BD9"/>
    <w:rsid w:val="00773CB0"/>
    <w:rsid w:val="00773D71"/>
    <w:rsid w:val="00775526"/>
    <w:rsid w:val="00775651"/>
    <w:rsid w:val="00775F3F"/>
    <w:rsid w:val="0077710B"/>
    <w:rsid w:val="0077765A"/>
    <w:rsid w:val="007778AE"/>
    <w:rsid w:val="00780032"/>
    <w:rsid w:val="00780636"/>
    <w:rsid w:val="00780E86"/>
    <w:rsid w:val="0078108C"/>
    <w:rsid w:val="00781727"/>
    <w:rsid w:val="007823E8"/>
    <w:rsid w:val="00782CF3"/>
    <w:rsid w:val="00783959"/>
    <w:rsid w:val="00783BA5"/>
    <w:rsid w:val="007844A9"/>
    <w:rsid w:val="00785091"/>
    <w:rsid w:val="0078638C"/>
    <w:rsid w:val="007869F9"/>
    <w:rsid w:val="00786CBB"/>
    <w:rsid w:val="00786E21"/>
    <w:rsid w:val="0079038E"/>
    <w:rsid w:val="00790EBB"/>
    <w:rsid w:val="00791C6E"/>
    <w:rsid w:val="007921F7"/>
    <w:rsid w:val="00792909"/>
    <w:rsid w:val="00792BC6"/>
    <w:rsid w:val="00792C3F"/>
    <w:rsid w:val="00792EE2"/>
    <w:rsid w:val="00792EFD"/>
    <w:rsid w:val="00793105"/>
    <w:rsid w:val="007931E8"/>
    <w:rsid w:val="00793333"/>
    <w:rsid w:val="00794158"/>
    <w:rsid w:val="00794509"/>
    <w:rsid w:val="00794E46"/>
    <w:rsid w:val="007952DE"/>
    <w:rsid w:val="00795479"/>
    <w:rsid w:val="00796292"/>
    <w:rsid w:val="007965D9"/>
    <w:rsid w:val="00796BA2"/>
    <w:rsid w:val="007972D5"/>
    <w:rsid w:val="0079778D"/>
    <w:rsid w:val="00797D73"/>
    <w:rsid w:val="007A006C"/>
    <w:rsid w:val="007A0789"/>
    <w:rsid w:val="007A130E"/>
    <w:rsid w:val="007A18B1"/>
    <w:rsid w:val="007A1BBD"/>
    <w:rsid w:val="007A1F08"/>
    <w:rsid w:val="007A2317"/>
    <w:rsid w:val="007A2555"/>
    <w:rsid w:val="007A25FA"/>
    <w:rsid w:val="007A2DB8"/>
    <w:rsid w:val="007A2FCB"/>
    <w:rsid w:val="007A3520"/>
    <w:rsid w:val="007A3604"/>
    <w:rsid w:val="007A3878"/>
    <w:rsid w:val="007A3D85"/>
    <w:rsid w:val="007A3E0D"/>
    <w:rsid w:val="007A436D"/>
    <w:rsid w:val="007A54F6"/>
    <w:rsid w:val="007A55FE"/>
    <w:rsid w:val="007A582C"/>
    <w:rsid w:val="007A5950"/>
    <w:rsid w:val="007A6D91"/>
    <w:rsid w:val="007A7618"/>
    <w:rsid w:val="007B00C9"/>
    <w:rsid w:val="007B02C7"/>
    <w:rsid w:val="007B0306"/>
    <w:rsid w:val="007B08E4"/>
    <w:rsid w:val="007B0D86"/>
    <w:rsid w:val="007B28C3"/>
    <w:rsid w:val="007B3A8E"/>
    <w:rsid w:val="007B3C9B"/>
    <w:rsid w:val="007B4271"/>
    <w:rsid w:val="007B497D"/>
    <w:rsid w:val="007B4EE9"/>
    <w:rsid w:val="007B5234"/>
    <w:rsid w:val="007B54C7"/>
    <w:rsid w:val="007B5637"/>
    <w:rsid w:val="007B5DC5"/>
    <w:rsid w:val="007B5F32"/>
    <w:rsid w:val="007B63FC"/>
    <w:rsid w:val="007B6708"/>
    <w:rsid w:val="007B6C20"/>
    <w:rsid w:val="007B6E8D"/>
    <w:rsid w:val="007C029E"/>
    <w:rsid w:val="007C0636"/>
    <w:rsid w:val="007C10E4"/>
    <w:rsid w:val="007C17B4"/>
    <w:rsid w:val="007C20F8"/>
    <w:rsid w:val="007C21C5"/>
    <w:rsid w:val="007C2229"/>
    <w:rsid w:val="007C2313"/>
    <w:rsid w:val="007C2D47"/>
    <w:rsid w:val="007C3590"/>
    <w:rsid w:val="007C387A"/>
    <w:rsid w:val="007C3A0D"/>
    <w:rsid w:val="007C3EB0"/>
    <w:rsid w:val="007C43D6"/>
    <w:rsid w:val="007C44C1"/>
    <w:rsid w:val="007C47FF"/>
    <w:rsid w:val="007C60A8"/>
    <w:rsid w:val="007C660F"/>
    <w:rsid w:val="007C6664"/>
    <w:rsid w:val="007C66FF"/>
    <w:rsid w:val="007C69AE"/>
    <w:rsid w:val="007C6FE9"/>
    <w:rsid w:val="007C7688"/>
    <w:rsid w:val="007C76E3"/>
    <w:rsid w:val="007C76F3"/>
    <w:rsid w:val="007C7DD9"/>
    <w:rsid w:val="007D03BC"/>
    <w:rsid w:val="007D0502"/>
    <w:rsid w:val="007D0503"/>
    <w:rsid w:val="007D0DC9"/>
    <w:rsid w:val="007D0ECD"/>
    <w:rsid w:val="007D2882"/>
    <w:rsid w:val="007D296C"/>
    <w:rsid w:val="007D2C31"/>
    <w:rsid w:val="007D2E50"/>
    <w:rsid w:val="007D3D74"/>
    <w:rsid w:val="007D445F"/>
    <w:rsid w:val="007D4DED"/>
    <w:rsid w:val="007D5BA2"/>
    <w:rsid w:val="007D5ED3"/>
    <w:rsid w:val="007D682F"/>
    <w:rsid w:val="007D6FB9"/>
    <w:rsid w:val="007D7211"/>
    <w:rsid w:val="007E0595"/>
    <w:rsid w:val="007E0A63"/>
    <w:rsid w:val="007E0C63"/>
    <w:rsid w:val="007E0E05"/>
    <w:rsid w:val="007E0F5D"/>
    <w:rsid w:val="007E23A1"/>
    <w:rsid w:val="007E259F"/>
    <w:rsid w:val="007E347E"/>
    <w:rsid w:val="007E41A4"/>
    <w:rsid w:val="007E43E3"/>
    <w:rsid w:val="007E54B8"/>
    <w:rsid w:val="007E5D12"/>
    <w:rsid w:val="007E6420"/>
    <w:rsid w:val="007E677F"/>
    <w:rsid w:val="007E6B25"/>
    <w:rsid w:val="007E6E06"/>
    <w:rsid w:val="007E6F4A"/>
    <w:rsid w:val="007E79CC"/>
    <w:rsid w:val="007F1124"/>
    <w:rsid w:val="007F152D"/>
    <w:rsid w:val="007F20C4"/>
    <w:rsid w:val="007F20EE"/>
    <w:rsid w:val="007F23D8"/>
    <w:rsid w:val="007F307A"/>
    <w:rsid w:val="007F30C6"/>
    <w:rsid w:val="007F38FD"/>
    <w:rsid w:val="007F3C18"/>
    <w:rsid w:val="007F4318"/>
    <w:rsid w:val="007F4709"/>
    <w:rsid w:val="007F47DA"/>
    <w:rsid w:val="007F4E52"/>
    <w:rsid w:val="007F4F84"/>
    <w:rsid w:val="007F5382"/>
    <w:rsid w:val="007F55A4"/>
    <w:rsid w:val="007F5D28"/>
    <w:rsid w:val="007F6260"/>
    <w:rsid w:val="007F682B"/>
    <w:rsid w:val="007F78E8"/>
    <w:rsid w:val="007F7F8F"/>
    <w:rsid w:val="00800509"/>
    <w:rsid w:val="0080078E"/>
    <w:rsid w:val="00800B7F"/>
    <w:rsid w:val="008012B1"/>
    <w:rsid w:val="00801D63"/>
    <w:rsid w:val="0080348B"/>
    <w:rsid w:val="00803D82"/>
    <w:rsid w:val="00803D98"/>
    <w:rsid w:val="00804D71"/>
    <w:rsid w:val="008052CE"/>
    <w:rsid w:val="0080548A"/>
    <w:rsid w:val="008058D0"/>
    <w:rsid w:val="00806A4C"/>
    <w:rsid w:val="0080705B"/>
    <w:rsid w:val="0080723C"/>
    <w:rsid w:val="00807F71"/>
    <w:rsid w:val="0081000F"/>
    <w:rsid w:val="0081137A"/>
    <w:rsid w:val="00812657"/>
    <w:rsid w:val="00812A1A"/>
    <w:rsid w:val="00812DFF"/>
    <w:rsid w:val="008135BD"/>
    <w:rsid w:val="0081362F"/>
    <w:rsid w:val="0081383A"/>
    <w:rsid w:val="0081497F"/>
    <w:rsid w:val="00814B90"/>
    <w:rsid w:val="00814FC7"/>
    <w:rsid w:val="0081660C"/>
    <w:rsid w:val="00816AD8"/>
    <w:rsid w:val="00817195"/>
    <w:rsid w:val="00817416"/>
    <w:rsid w:val="00817658"/>
    <w:rsid w:val="008206AE"/>
    <w:rsid w:val="00821271"/>
    <w:rsid w:val="00821306"/>
    <w:rsid w:val="008213D9"/>
    <w:rsid w:val="008216CE"/>
    <w:rsid w:val="008218AE"/>
    <w:rsid w:val="00821D85"/>
    <w:rsid w:val="00821E47"/>
    <w:rsid w:val="008220F6"/>
    <w:rsid w:val="00822456"/>
    <w:rsid w:val="00823819"/>
    <w:rsid w:val="00823C4B"/>
    <w:rsid w:val="0082427D"/>
    <w:rsid w:val="00825441"/>
    <w:rsid w:val="00826855"/>
    <w:rsid w:val="00830052"/>
    <w:rsid w:val="008300D0"/>
    <w:rsid w:val="008308D8"/>
    <w:rsid w:val="008320D2"/>
    <w:rsid w:val="008321CE"/>
    <w:rsid w:val="0083257C"/>
    <w:rsid w:val="0083261B"/>
    <w:rsid w:val="00832B44"/>
    <w:rsid w:val="00832EC9"/>
    <w:rsid w:val="00833307"/>
    <w:rsid w:val="00833583"/>
    <w:rsid w:val="00833B5B"/>
    <w:rsid w:val="00833E9A"/>
    <w:rsid w:val="00834FEF"/>
    <w:rsid w:val="00836323"/>
    <w:rsid w:val="008379FF"/>
    <w:rsid w:val="00837D3D"/>
    <w:rsid w:val="00837E9B"/>
    <w:rsid w:val="008404AA"/>
    <w:rsid w:val="008406D7"/>
    <w:rsid w:val="0084074F"/>
    <w:rsid w:val="008407BA"/>
    <w:rsid w:val="00840AA3"/>
    <w:rsid w:val="00840AAC"/>
    <w:rsid w:val="0084101C"/>
    <w:rsid w:val="0084181B"/>
    <w:rsid w:val="00841F29"/>
    <w:rsid w:val="008425CC"/>
    <w:rsid w:val="00842DC2"/>
    <w:rsid w:val="0084357B"/>
    <w:rsid w:val="00845B14"/>
    <w:rsid w:val="008465B4"/>
    <w:rsid w:val="00846D25"/>
    <w:rsid w:val="00850013"/>
    <w:rsid w:val="008500DD"/>
    <w:rsid w:val="00850A0A"/>
    <w:rsid w:val="00850A94"/>
    <w:rsid w:val="00851E96"/>
    <w:rsid w:val="00851F1C"/>
    <w:rsid w:val="00852FA5"/>
    <w:rsid w:val="00853F7D"/>
    <w:rsid w:val="0085517F"/>
    <w:rsid w:val="0085562D"/>
    <w:rsid w:val="00855A78"/>
    <w:rsid w:val="00856154"/>
    <w:rsid w:val="00856286"/>
    <w:rsid w:val="0085657E"/>
    <w:rsid w:val="00856F0E"/>
    <w:rsid w:val="008573AF"/>
    <w:rsid w:val="008576B0"/>
    <w:rsid w:val="00860296"/>
    <w:rsid w:val="008602E3"/>
    <w:rsid w:val="00860DA4"/>
    <w:rsid w:val="00861146"/>
    <w:rsid w:val="00861948"/>
    <w:rsid w:val="00862011"/>
    <w:rsid w:val="00862A15"/>
    <w:rsid w:val="00862CC9"/>
    <w:rsid w:val="00862D8E"/>
    <w:rsid w:val="00862EF2"/>
    <w:rsid w:val="0086598A"/>
    <w:rsid w:val="00865C3D"/>
    <w:rsid w:val="00865F4C"/>
    <w:rsid w:val="00866453"/>
    <w:rsid w:val="0086707F"/>
    <w:rsid w:val="00867501"/>
    <w:rsid w:val="00867D8E"/>
    <w:rsid w:val="008700C0"/>
    <w:rsid w:val="0087058B"/>
    <w:rsid w:val="0087099A"/>
    <w:rsid w:val="00870D79"/>
    <w:rsid w:val="00871333"/>
    <w:rsid w:val="00871952"/>
    <w:rsid w:val="00872006"/>
    <w:rsid w:val="00872386"/>
    <w:rsid w:val="008726D7"/>
    <w:rsid w:val="00873128"/>
    <w:rsid w:val="008735BC"/>
    <w:rsid w:val="00873AAC"/>
    <w:rsid w:val="00873C61"/>
    <w:rsid w:val="00873DFD"/>
    <w:rsid w:val="008749BF"/>
    <w:rsid w:val="00875542"/>
    <w:rsid w:val="00875E14"/>
    <w:rsid w:val="0087677E"/>
    <w:rsid w:val="0087712C"/>
    <w:rsid w:val="008776E7"/>
    <w:rsid w:val="00877746"/>
    <w:rsid w:val="00877C5D"/>
    <w:rsid w:val="00880354"/>
    <w:rsid w:val="0088093C"/>
    <w:rsid w:val="00880BC0"/>
    <w:rsid w:val="0088127A"/>
    <w:rsid w:val="00881D59"/>
    <w:rsid w:val="00882991"/>
    <w:rsid w:val="00882EC1"/>
    <w:rsid w:val="00883236"/>
    <w:rsid w:val="0088324E"/>
    <w:rsid w:val="0088434F"/>
    <w:rsid w:val="00884371"/>
    <w:rsid w:val="008848E2"/>
    <w:rsid w:val="00884B7A"/>
    <w:rsid w:val="00884D47"/>
    <w:rsid w:val="008856C5"/>
    <w:rsid w:val="00886112"/>
    <w:rsid w:val="008872B3"/>
    <w:rsid w:val="00887392"/>
    <w:rsid w:val="00890A64"/>
    <w:rsid w:val="00890C40"/>
    <w:rsid w:val="0089122E"/>
    <w:rsid w:val="008912A7"/>
    <w:rsid w:val="0089183A"/>
    <w:rsid w:val="008920B4"/>
    <w:rsid w:val="008925EB"/>
    <w:rsid w:val="0089275E"/>
    <w:rsid w:val="00892B43"/>
    <w:rsid w:val="00893432"/>
    <w:rsid w:val="00893936"/>
    <w:rsid w:val="00893CE2"/>
    <w:rsid w:val="00893F41"/>
    <w:rsid w:val="00895144"/>
    <w:rsid w:val="00895963"/>
    <w:rsid w:val="008972B6"/>
    <w:rsid w:val="00897339"/>
    <w:rsid w:val="00897697"/>
    <w:rsid w:val="008977E1"/>
    <w:rsid w:val="00897BFA"/>
    <w:rsid w:val="00897C35"/>
    <w:rsid w:val="00897D19"/>
    <w:rsid w:val="008A0044"/>
    <w:rsid w:val="008A0156"/>
    <w:rsid w:val="008A0BFE"/>
    <w:rsid w:val="008A1932"/>
    <w:rsid w:val="008A21D9"/>
    <w:rsid w:val="008A232D"/>
    <w:rsid w:val="008A3182"/>
    <w:rsid w:val="008A3C76"/>
    <w:rsid w:val="008A3D54"/>
    <w:rsid w:val="008A3E10"/>
    <w:rsid w:val="008A411C"/>
    <w:rsid w:val="008A4630"/>
    <w:rsid w:val="008A47CE"/>
    <w:rsid w:val="008A4DFA"/>
    <w:rsid w:val="008A5F2F"/>
    <w:rsid w:val="008A6BAE"/>
    <w:rsid w:val="008A7350"/>
    <w:rsid w:val="008A7A72"/>
    <w:rsid w:val="008B09F3"/>
    <w:rsid w:val="008B111A"/>
    <w:rsid w:val="008B16E6"/>
    <w:rsid w:val="008B1AB2"/>
    <w:rsid w:val="008B1D9B"/>
    <w:rsid w:val="008B2042"/>
    <w:rsid w:val="008B25F1"/>
    <w:rsid w:val="008B3567"/>
    <w:rsid w:val="008B36D0"/>
    <w:rsid w:val="008B38AF"/>
    <w:rsid w:val="008B3D7F"/>
    <w:rsid w:val="008B3E1B"/>
    <w:rsid w:val="008B3F4B"/>
    <w:rsid w:val="008B48EC"/>
    <w:rsid w:val="008B4AF0"/>
    <w:rsid w:val="008B518E"/>
    <w:rsid w:val="008B527B"/>
    <w:rsid w:val="008B5AB9"/>
    <w:rsid w:val="008B67E6"/>
    <w:rsid w:val="008B69B8"/>
    <w:rsid w:val="008B7042"/>
    <w:rsid w:val="008B770C"/>
    <w:rsid w:val="008C0325"/>
    <w:rsid w:val="008C094A"/>
    <w:rsid w:val="008C1570"/>
    <w:rsid w:val="008C1792"/>
    <w:rsid w:val="008C17B2"/>
    <w:rsid w:val="008C1E3E"/>
    <w:rsid w:val="008C2059"/>
    <w:rsid w:val="008C21D0"/>
    <w:rsid w:val="008C2DBC"/>
    <w:rsid w:val="008C3A4E"/>
    <w:rsid w:val="008C3DA6"/>
    <w:rsid w:val="008C5371"/>
    <w:rsid w:val="008C623D"/>
    <w:rsid w:val="008C65F4"/>
    <w:rsid w:val="008C6683"/>
    <w:rsid w:val="008C6E0C"/>
    <w:rsid w:val="008C7273"/>
    <w:rsid w:val="008C78F8"/>
    <w:rsid w:val="008D05DF"/>
    <w:rsid w:val="008D09E8"/>
    <w:rsid w:val="008D0E65"/>
    <w:rsid w:val="008D110A"/>
    <w:rsid w:val="008D1612"/>
    <w:rsid w:val="008D2259"/>
    <w:rsid w:val="008D2531"/>
    <w:rsid w:val="008D2833"/>
    <w:rsid w:val="008D2A5B"/>
    <w:rsid w:val="008D313A"/>
    <w:rsid w:val="008D3381"/>
    <w:rsid w:val="008D33FE"/>
    <w:rsid w:val="008D3B9F"/>
    <w:rsid w:val="008D3D02"/>
    <w:rsid w:val="008D3D5A"/>
    <w:rsid w:val="008D4226"/>
    <w:rsid w:val="008D4D7C"/>
    <w:rsid w:val="008D5432"/>
    <w:rsid w:val="008D54C0"/>
    <w:rsid w:val="008D5558"/>
    <w:rsid w:val="008D5806"/>
    <w:rsid w:val="008D5ED9"/>
    <w:rsid w:val="008D7247"/>
    <w:rsid w:val="008D7567"/>
    <w:rsid w:val="008E0EE4"/>
    <w:rsid w:val="008E12BE"/>
    <w:rsid w:val="008E13FD"/>
    <w:rsid w:val="008E1C24"/>
    <w:rsid w:val="008E2626"/>
    <w:rsid w:val="008E27A9"/>
    <w:rsid w:val="008E323C"/>
    <w:rsid w:val="008E32E0"/>
    <w:rsid w:val="008E35A6"/>
    <w:rsid w:val="008E36D9"/>
    <w:rsid w:val="008E3A5C"/>
    <w:rsid w:val="008E3A9A"/>
    <w:rsid w:val="008E429E"/>
    <w:rsid w:val="008E58A3"/>
    <w:rsid w:val="008E5938"/>
    <w:rsid w:val="008E6109"/>
    <w:rsid w:val="008E6A39"/>
    <w:rsid w:val="008E76BB"/>
    <w:rsid w:val="008F1764"/>
    <w:rsid w:val="008F1E3D"/>
    <w:rsid w:val="008F235C"/>
    <w:rsid w:val="008F290B"/>
    <w:rsid w:val="008F2F11"/>
    <w:rsid w:val="008F3369"/>
    <w:rsid w:val="008F33A6"/>
    <w:rsid w:val="008F35EC"/>
    <w:rsid w:val="008F4FE8"/>
    <w:rsid w:val="008F4FED"/>
    <w:rsid w:val="008F5D5A"/>
    <w:rsid w:val="008F6200"/>
    <w:rsid w:val="008F62F8"/>
    <w:rsid w:val="008F6893"/>
    <w:rsid w:val="008F7292"/>
    <w:rsid w:val="008F76C0"/>
    <w:rsid w:val="009000F2"/>
    <w:rsid w:val="0090079D"/>
    <w:rsid w:val="0090086A"/>
    <w:rsid w:val="00900D2C"/>
    <w:rsid w:val="00901807"/>
    <w:rsid w:val="00901F0E"/>
    <w:rsid w:val="00902A26"/>
    <w:rsid w:val="00902A57"/>
    <w:rsid w:val="00902B29"/>
    <w:rsid w:val="00903C83"/>
    <w:rsid w:val="00903D77"/>
    <w:rsid w:val="0090408F"/>
    <w:rsid w:val="0090446A"/>
    <w:rsid w:val="00904537"/>
    <w:rsid w:val="00904DC3"/>
    <w:rsid w:val="0090534A"/>
    <w:rsid w:val="00905469"/>
    <w:rsid w:val="00906078"/>
    <w:rsid w:val="0090629C"/>
    <w:rsid w:val="00906EA2"/>
    <w:rsid w:val="00907278"/>
    <w:rsid w:val="00910041"/>
    <w:rsid w:val="0091112B"/>
    <w:rsid w:val="00911D61"/>
    <w:rsid w:val="00912850"/>
    <w:rsid w:val="009128B8"/>
    <w:rsid w:val="0091472C"/>
    <w:rsid w:val="00914DC9"/>
    <w:rsid w:val="00914F4F"/>
    <w:rsid w:val="00915351"/>
    <w:rsid w:val="00915679"/>
    <w:rsid w:val="009159C2"/>
    <w:rsid w:val="0091627F"/>
    <w:rsid w:val="00916E45"/>
    <w:rsid w:val="0092077A"/>
    <w:rsid w:val="00920DC0"/>
    <w:rsid w:val="009219F3"/>
    <w:rsid w:val="009221CB"/>
    <w:rsid w:val="00922320"/>
    <w:rsid w:val="00923643"/>
    <w:rsid w:val="00923E1A"/>
    <w:rsid w:val="009245CC"/>
    <w:rsid w:val="0092490A"/>
    <w:rsid w:val="00925A3E"/>
    <w:rsid w:val="009261DB"/>
    <w:rsid w:val="009267C2"/>
    <w:rsid w:val="00926939"/>
    <w:rsid w:val="00926F4C"/>
    <w:rsid w:val="00927330"/>
    <w:rsid w:val="00927710"/>
    <w:rsid w:val="009307CA"/>
    <w:rsid w:val="009312F9"/>
    <w:rsid w:val="00931445"/>
    <w:rsid w:val="00931AB8"/>
    <w:rsid w:val="00931C19"/>
    <w:rsid w:val="00931C63"/>
    <w:rsid w:val="00931D10"/>
    <w:rsid w:val="0093218A"/>
    <w:rsid w:val="0093386D"/>
    <w:rsid w:val="00934C8E"/>
    <w:rsid w:val="00935194"/>
    <w:rsid w:val="00936EA5"/>
    <w:rsid w:val="00937114"/>
    <w:rsid w:val="0094015D"/>
    <w:rsid w:val="00940916"/>
    <w:rsid w:val="009412B7"/>
    <w:rsid w:val="00941B13"/>
    <w:rsid w:val="0094215C"/>
    <w:rsid w:val="00942F8E"/>
    <w:rsid w:val="00943543"/>
    <w:rsid w:val="009441DB"/>
    <w:rsid w:val="00944834"/>
    <w:rsid w:val="00946128"/>
    <w:rsid w:val="0094633F"/>
    <w:rsid w:val="00947BA5"/>
    <w:rsid w:val="00950805"/>
    <w:rsid w:val="009517E4"/>
    <w:rsid w:val="009518D4"/>
    <w:rsid w:val="009520BC"/>
    <w:rsid w:val="009521D2"/>
    <w:rsid w:val="00952403"/>
    <w:rsid w:val="00952589"/>
    <w:rsid w:val="00952BD8"/>
    <w:rsid w:val="00953573"/>
    <w:rsid w:val="009537C0"/>
    <w:rsid w:val="009557A9"/>
    <w:rsid w:val="00956647"/>
    <w:rsid w:val="00956CF3"/>
    <w:rsid w:val="00957380"/>
    <w:rsid w:val="00957409"/>
    <w:rsid w:val="00957499"/>
    <w:rsid w:val="00957ED2"/>
    <w:rsid w:val="009604AE"/>
    <w:rsid w:val="009609AF"/>
    <w:rsid w:val="00960DE4"/>
    <w:rsid w:val="009610C7"/>
    <w:rsid w:val="00961164"/>
    <w:rsid w:val="009612A4"/>
    <w:rsid w:val="00961867"/>
    <w:rsid w:val="00961A4F"/>
    <w:rsid w:val="009625B7"/>
    <w:rsid w:val="00962FB8"/>
    <w:rsid w:val="00963183"/>
    <w:rsid w:val="0096373F"/>
    <w:rsid w:val="00964007"/>
    <w:rsid w:val="00964283"/>
    <w:rsid w:val="009642A4"/>
    <w:rsid w:val="009643F4"/>
    <w:rsid w:val="009645A6"/>
    <w:rsid w:val="00964F5A"/>
    <w:rsid w:val="0096527F"/>
    <w:rsid w:val="009653ED"/>
    <w:rsid w:val="00965B85"/>
    <w:rsid w:val="00966A21"/>
    <w:rsid w:val="00966AD2"/>
    <w:rsid w:val="0097025C"/>
    <w:rsid w:val="00971415"/>
    <w:rsid w:val="009716D8"/>
    <w:rsid w:val="00971F54"/>
    <w:rsid w:val="00972057"/>
    <w:rsid w:val="0097227B"/>
    <w:rsid w:val="0097262E"/>
    <w:rsid w:val="0097293F"/>
    <w:rsid w:val="00973103"/>
    <w:rsid w:val="00974022"/>
    <w:rsid w:val="009743E8"/>
    <w:rsid w:val="009745D8"/>
    <w:rsid w:val="00974F3B"/>
    <w:rsid w:val="0097552A"/>
    <w:rsid w:val="0097564A"/>
    <w:rsid w:val="00975974"/>
    <w:rsid w:val="00975D06"/>
    <w:rsid w:val="00975D63"/>
    <w:rsid w:val="00975DAE"/>
    <w:rsid w:val="00976BBE"/>
    <w:rsid w:val="00977349"/>
    <w:rsid w:val="0098055B"/>
    <w:rsid w:val="00980B30"/>
    <w:rsid w:val="009810BE"/>
    <w:rsid w:val="009817BC"/>
    <w:rsid w:val="009819A7"/>
    <w:rsid w:val="0098220A"/>
    <w:rsid w:val="00982E75"/>
    <w:rsid w:val="00983337"/>
    <w:rsid w:val="009836AA"/>
    <w:rsid w:val="009846BF"/>
    <w:rsid w:val="009851F5"/>
    <w:rsid w:val="0098534B"/>
    <w:rsid w:val="00986019"/>
    <w:rsid w:val="00986281"/>
    <w:rsid w:val="00986FC9"/>
    <w:rsid w:val="0098764E"/>
    <w:rsid w:val="00987683"/>
    <w:rsid w:val="00987826"/>
    <w:rsid w:val="00987B4F"/>
    <w:rsid w:val="00987D58"/>
    <w:rsid w:val="0099034B"/>
    <w:rsid w:val="009906D4"/>
    <w:rsid w:val="00990A8E"/>
    <w:rsid w:val="00990EB7"/>
    <w:rsid w:val="00990F5F"/>
    <w:rsid w:val="009911A7"/>
    <w:rsid w:val="009913B8"/>
    <w:rsid w:val="009914E4"/>
    <w:rsid w:val="00992141"/>
    <w:rsid w:val="009921DB"/>
    <w:rsid w:val="00992C67"/>
    <w:rsid w:val="00992D5B"/>
    <w:rsid w:val="00992F7F"/>
    <w:rsid w:val="00993135"/>
    <w:rsid w:val="00993452"/>
    <w:rsid w:val="00993AC7"/>
    <w:rsid w:val="00993BAD"/>
    <w:rsid w:val="00993E49"/>
    <w:rsid w:val="00994120"/>
    <w:rsid w:val="009942F5"/>
    <w:rsid w:val="00994568"/>
    <w:rsid w:val="00994602"/>
    <w:rsid w:val="00995B01"/>
    <w:rsid w:val="00996055"/>
    <w:rsid w:val="00996EF4"/>
    <w:rsid w:val="00997044"/>
    <w:rsid w:val="00997BC9"/>
    <w:rsid w:val="009A113D"/>
    <w:rsid w:val="009A1357"/>
    <w:rsid w:val="009A1ECA"/>
    <w:rsid w:val="009A2BE9"/>
    <w:rsid w:val="009A2BF3"/>
    <w:rsid w:val="009A3688"/>
    <w:rsid w:val="009A3713"/>
    <w:rsid w:val="009A3C3E"/>
    <w:rsid w:val="009A4153"/>
    <w:rsid w:val="009A4C2C"/>
    <w:rsid w:val="009A59B3"/>
    <w:rsid w:val="009A5FAE"/>
    <w:rsid w:val="009A6B3A"/>
    <w:rsid w:val="009A70A3"/>
    <w:rsid w:val="009A7E7C"/>
    <w:rsid w:val="009B05D2"/>
    <w:rsid w:val="009B152B"/>
    <w:rsid w:val="009B2731"/>
    <w:rsid w:val="009B2DCF"/>
    <w:rsid w:val="009B39D8"/>
    <w:rsid w:val="009B3D38"/>
    <w:rsid w:val="009B4368"/>
    <w:rsid w:val="009B4D4C"/>
    <w:rsid w:val="009B66F5"/>
    <w:rsid w:val="009B7505"/>
    <w:rsid w:val="009C0020"/>
    <w:rsid w:val="009C03F7"/>
    <w:rsid w:val="009C10DA"/>
    <w:rsid w:val="009C18B8"/>
    <w:rsid w:val="009C19FC"/>
    <w:rsid w:val="009C27F7"/>
    <w:rsid w:val="009C3BC4"/>
    <w:rsid w:val="009C3C93"/>
    <w:rsid w:val="009C3E97"/>
    <w:rsid w:val="009C4017"/>
    <w:rsid w:val="009C424E"/>
    <w:rsid w:val="009C4708"/>
    <w:rsid w:val="009C4870"/>
    <w:rsid w:val="009C4C4E"/>
    <w:rsid w:val="009C4D37"/>
    <w:rsid w:val="009C574C"/>
    <w:rsid w:val="009C5753"/>
    <w:rsid w:val="009C5E42"/>
    <w:rsid w:val="009C620F"/>
    <w:rsid w:val="009C657D"/>
    <w:rsid w:val="009C724B"/>
    <w:rsid w:val="009C7266"/>
    <w:rsid w:val="009C748A"/>
    <w:rsid w:val="009D03B7"/>
    <w:rsid w:val="009D07AD"/>
    <w:rsid w:val="009D0824"/>
    <w:rsid w:val="009D1172"/>
    <w:rsid w:val="009D13CC"/>
    <w:rsid w:val="009D1654"/>
    <w:rsid w:val="009D1AAC"/>
    <w:rsid w:val="009D1BDB"/>
    <w:rsid w:val="009D298F"/>
    <w:rsid w:val="009D2F9C"/>
    <w:rsid w:val="009D4207"/>
    <w:rsid w:val="009D4E4A"/>
    <w:rsid w:val="009D5130"/>
    <w:rsid w:val="009D53D1"/>
    <w:rsid w:val="009D53FB"/>
    <w:rsid w:val="009D56A4"/>
    <w:rsid w:val="009D6081"/>
    <w:rsid w:val="009D678C"/>
    <w:rsid w:val="009D6B9A"/>
    <w:rsid w:val="009D6D30"/>
    <w:rsid w:val="009D7523"/>
    <w:rsid w:val="009D76B5"/>
    <w:rsid w:val="009D7AF1"/>
    <w:rsid w:val="009D7BC7"/>
    <w:rsid w:val="009D7FAC"/>
    <w:rsid w:val="009E0109"/>
    <w:rsid w:val="009E0342"/>
    <w:rsid w:val="009E098B"/>
    <w:rsid w:val="009E09AB"/>
    <w:rsid w:val="009E0D7D"/>
    <w:rsid w:val="009E0DAF"/>
    <w:rsid w:val="009E19BB"/>
    <w:rsid w:val="009E1C47"/>
    <w:rsid w:val="009E38D1"/>
    <w:rsid w:val="009E3DF1"/>
    <w:rsid w:val="009E514A"/>
    <w:rsid w:val="009E5177"/>
    <w:rsid w:val="009E5701"/>
    <w:rsid w:val="009E5711"/>
    <w:rsid w:val="009E758E"/>
    <w:rsid w:val="009E7BFB"/>
    <w:rsid w:val="009E7D6B"/>
    <w:rsid w:val="009E7E81"/>
    <w:rsid w:val="009F020A"/>
    <w:rsid w:val="009F05AD"/>
    <w:rsid w:val="009F0659"/>
    <w:rsid w:val="009F1109"/>
    <w:rsid w:val="009F143E"/>
    <w:rsid w:val="009F1DE8"/>
    <w:rsid w:val="009F2186"/>
    <w:rsid w:val="009F227C"/>
    <w:rsid w:val="009F24DD"/>
    <w:rsid w:val="009F28DC"/>
    <w:rsid w:val="009F2EDB"/>
    <w:rsid w:val="009F33DC"/>
    <w:rsid w:val="009F3572"/>
    <w:rsid w:val="009F4550"/>
    <w:rsid w:val="009F56C0"/>
    <w:rsid w:val="009F5B89"/>
    <w:rsid w:val="009F5C76"/>
    <w:rsid w:val="00A000C5"/>
    <w:rsid w:val="00A007B4"/>
    <w:rsid w:val="00A00930"/>
    <w:rsid w:val="00A00CA0"/>
    <w:rsid w:val="00A00E00"/>
    <w:rsid w:val="00A01221"/>
    <w:rsid w:val="00A012A8"/>
    <w:rsid w:val="00A012F1"/>
    <w:rsid w:val="00A016FF"/>
    <w:rsid w:val="00A01886"/>
    <w:rsid w:val="00A0207F"/>
    <w:rsid w:val="00A021AF"/>
    <w:rsid w:val="00A027B1"/>
    <w:rsid w:val="00A0307A"/>
    <w:rsid w:val="00A03A7C"/>
    <w:rsid w:val="00A044AA"/>
    <w:rsid w:val="00A0700C"/>
    <w:rsid w:val="00A102F8"/>
    <w:rsid w:val="00A10A20"/>
    <w:rsid w:val="00A117D5"/>
    <w:rsid w:val="00A11C11"/>
    <w:rsid w:val="00A12720"/>
    <w:rsid w:val="00A12ED1"/>
    <w:rsid w:val="00A13121"/>
    <w:rsid w:val="00A131F5"/>
    <w:rsid w:val="00A133C1"/>
    <w:rsid w:val="00A13414"/>
    <w:rsid w:val="00A13675"/>
    <w:rsid w:val="00A138B7"/>
    <w:rsid w:val="00A13F2D"/>
    <w:rsid w:val="00A148A0"/>
    <w:rsid w:val="00A14AA8"/>
    <w:rsid w:val="00A14F81"/>
    <w:rsid w:val="00A1535F"/>
    <w:rsid w:val="00A15CB1"/>
    <w:rsid w:val="00A15DCC"/>
    <w:rsid w:val="00A15E7D"/>
    <w:rsid w:val="00A15E84"/>
    <w:rsid w:val="00A16021"/>
    <w:rsid w:val="00A16961"/>
    <w:rsid w:val="00A176DD"/>
    <w:rsid w:val="00A21085"/>
    <w:rsid w:val="00A21838"/>
    <w:rsid w:val="00A22C3E"/>
    <w:rsid w:val="00A22C4D"/>
    <w:rsid w:val="00A2334E"/>
    <w:rsid w:val="00A23442"/>
    <w:rsid w:val="00A249D2"/>
    <w:rsid w:val="00A254AB"/>
    <w:rsid w:val="00A259F2"/>
    <w:rsid w:val="00A266CC"/>
    <w:rsid w:val="00A26DB4"/>
    <w:rsid w:val="00A27425"/>
    <w:rsid w:val="00A3023E"/>
    <w:rsid w:val="00A305C5"/>
    <w:rsid w:val="00A30919"/>
    <w:rsid w:val="00A30AA8"/>
    <w:rsid w:val="00A31F05"/>
    <w:rsid w:val="00A31FD2"/>
    <w:rsid w:val="00A3404D"/>
    <w:rsid w:val="00A341AB"/>
    <w:rsid w:val="00A34290"/>
    <w:rsid w:val="00A355F9"/>
    <w:rsid w:val="00A357D3"/>
    <w:rsid w:val="00A35AA9"/>
    <w:rsid w:val="00A35F3C"/>
    <w:rsid w:val="00A36CF6"/>
    <w:rsid w:val="00A37309"/>
    <w:rsid w:val="00A37329"/>
    <w:rsid w:val="00A37558"/>
    <w:rsid w:val="00A3786A"/>
    <w:rsid w:val="00A4008C"/>
    <w:rsid w:val="00A402A8"/>
    <w:rsid w:val="00A40685"/>
    <w:rsid w:val="00A40E2F"/>
    <w:rsid w:val="00A41819"/>
    <w:rsid w:val="00A41C9A"/>
    <w:rsid w:val="00A41D73"/>
    <w:rsid w:val="00A42406"/>
    <w:rsid w:val="00A433E8"/>
    <w:rsid w:val="00A43A1D"/>
    <w:rsid w:val="00A43AB0"/>
    <w:rsid w:val="00A44854"/>
    <w:rsid w:val="00A44A45"/>
    <w:rsid w:val="00A4665D"/>
    <w:rsid w:val="00A46859"/>
    <w:rsid w:val="00A46D39"/>
    <w:rsid w:val="00A47019"/>
    <w:rsid w:val="00A472B8"/>
    <w:rsid w:val="00A5004A"/>
    <w:rsid w:val="00A5017C"/>
    <w:rsid w:val="00A502D6"/>
    <w:rsid w:val="00A502F5"/>
    <w:rsid w:val="00A504F4"/>
    <w:rsid w:val="00A507C4"/>
    <w:rsid w:val="00A508AA"/>
    <w:rsid w:val="00A50EE7"/>
    <w:rsid w:val="00A51A6F"/>
    <w:rsid w:val="00A526CE"/>
    <w:rsid w:val="00A5468F"/>
    <w:rsid w:val="00A54909"/>
    <w:rsid w:val="00A54DC0"/>
    <w:rsid w:val="00A550C9"/>
    <w:rsid w:val="00A55228"/>
    <w:rsid w:val="00A55410"/>
    <w:rsid w:val="00A55A04"/>
    <w:rsid w:val="00A564DE"/>
    <w:rsid w:val="00A6054E"/>
    <w:rsid w:val="00A60799"/>
    <w:rsid w:val="00A6170B"/>
    <w:rsid w:val="00A61991"/>
    <w:rsid w:val="00A61B7F"/>
    <w:rsid w:val="00A61B91"/>
    <w:rsid w:val="00A61C3A"/>
    <w:rsid w:val="00A620E8"/>
    <w:rsid w:val="00A63335"/>
    <w:rsid w:val="00A634EB"/>
    <w:rsid w:val="00A63685"/>
    <w:rsid w:val="00A63EA5"/>
    <w:rsid w:val="00A64545"/>
    <w:rsid w:val="00A645AC"/>
    <w:rsid w:val="00A64C79"/>
    <w:rsid w:val="00A65EFB"/>
    <w:rsid w:val="00A66E28"/>
    <w:rsid w:val="00A67429"/>
    <w:rsid w:val="00A677E7"/>
    <w:rsid w:val="00A67CE9"/>
    <w:rsid w:val="00A70590"/>
    <w:rsid w:val="00A7062E"/>
    <w:rsid w:val="00A70834"/>
    <w:rsid w:val="00A71542"/>
    <w:rsid w:val="00A7171F"/>
    <w:rsid w:val="00A71FA0"/>
    <w:rsid w:val="00A71FBD"/>
    <w:rsid w:val="00A72727"/>
    <w:rsid w:val="00A727D8"/>
    <w:rsid w:val="00A72C1A"/>
    <w:rsid w:val="00A732FB"/>
    <w:rsid w:val="00A7463E"/>
    <w:rsid w:val="00A758E2"/>
    <w:rsid w:val="00A765B1"/>
    <w:rsid w:val="00A772F2"/>
    <w:rsid w:val="00A77828"/>
    <w:rsid w:val="00A77BAA"/>
    <w:rsid w:val="00A800F9"/>
    <w:rsid w:val="00A803A6"/>
    <w:rsid w:val="00A8073D"/>
    <w:rsid w:val="00A80D02"/>
    <w:rsid w:val="00A815FB"/>
    <w:rsid w:val="00A81AEB"/>
    <w:rsid w:val="00A82D32"/>
    <w:rsid w:val="00A82EAE"/>
    <w:rsid w:val="00A82FC7"/>
    <w:rsid w:val="00A847F9"/>
    <w:rsid w:val="00A84F27"/>
    <w:rsid w:val="00A8519C"/>
    <w:rsid w:val="00A855EE"/>
    <w:rsid w:val="00A8597A"/>
    <w:rsid w:val="00A85B87"/>
    <w:rsid w:val="00A85F83"/>
    <w:rsid w:val="00A86019"/>
    <w:rsid w:val="00A86EED"/>
    <w:rsid w:val="00A8733A"/>
    <w:rsid w:val="00A9151F"/>
    <w:rsid w:val="00A9196B"/>
    <w:rsid w:val="00A91BB5"/>
    <w:rsid w:val="00A91BEE"/>
    <w:rsid w:val="00A91D4B"/>
    <w:rsid w:val="00A920B2"/>
    <w:rsid w:val="00A92A96"/>
    <w:rsid w:val="00A92AF0"/>
    <w:rsid w:val="00A933FE"/>
    <w:rsid w:val="00A937D5"/>
    <w:rsid w:val="00A93C70"/>
    <w:rsid w:val="00A94423"/>
    <w:rsid w:val="00A94A32"/>
    <w:rsid w:val="00A94AFC"/>
    <w:rsid w:val="00A94BF5"/>
    <w:rsid w:val="00A9686A"/>
    <w:rsid w:val="00A96B4A"/>
    <w:rsid w:val="00A97BDA"/>
    <w:rsid w:val="00AA043A"/>
    <w:rsid w:val="00AA0779"/>
    <w:rsid w:val="00AA08F3"/>
    <w:rsid w:val="00AA0A7E"/>
    <w:rsid w:val="00AA0F23"/>
    <w:rsid w:val="00AA1067"/>
    <w:rsid w:val="00AA1163"/>
    <w:rsid w:val="00AA1DA8"/>
    <w:rsid w:val="00AA222C"/>
    <w:rsid w:val="00AA2264"/>
    <w:rsid w:val="00AA238E"/>
    <w:rsid w:val="00AA2483"/>
    <w:rsid w:val="00AA253B"/>
    <w:rsid w:val="00AA29F8"/>
    <w:rsid w:val="00AA30E8"/>
    <w:rsid w:val="00AA3243"/>
    <w:rsid w:val="00AA388F"/>
    <w:rsid w:val="00AA3C4C"/>
    <w:rsid w:val="00AA408E"/>
    <w:rsid w:val="00AA4DA9"/>
    <w:rsid w:val="00AA4F6D"/>
    <w:rsid w:val="00AA50CE"/>
    <w:rsid w:val="00AA536B"/>
    <w:rsid w:val="00AA57C9"/>
    <w:rsid w:val="00AA5A5C"/>
    <w:rsid w:val="00AA5A6F"/>
    <w:rsid w:val="00AA634D"/>
    <w:rsid w:val="00AA6F6C"/>
    <w:rsid w:val="00AA721D"/>
    <w:rsid w:val="00AA7519"/>
    <w:rsid w:val="00AA790A"/>
    <w:rsid w:val="00AB02EA"/>
    <w:rsid w:val="00AB110C"/>
    <w:rsid w:val="00AB227A"/>
    <w:rsid w:val="00AB22BF"/>
    <w:rsid w:val="00AB256E"/>
    <w:rsid w:val="00AB3466"/>
    <w:rsid w:val="00AB38B2"/>
    <w:rsid w:val="00AB3BBB"/>
    <w:rsid w:val="00AB408C"/>
    <w:rsid w:val="00AB40DD"/>
    <w:rsid w:val="00AB43AF"/>
    <w:rsid w:val="00AB4E41"/>
    <w:rsid w:val="00AB5EB1"/>
    <w:rsid w:val="00AB6003"/>
    <w:rsid w:val="00AB759A"/>
    <w:rsid w:val="00AB7B06"/>
    <w:rsid w:val="00AB7EAA"/>
    <w:rsid w:val="00AC0432"/>
    <w:rsid w:val="00AC0770"/>
    <w:rsid w:val="00AC1683"/>
    <w:rsid w:val="00AC1D82"/>
    <w:rsid w:val="00AC2D5F"/>
    <w:rsid w:val="00AC4094"/>
    <w:rsid w:val="00AC42B6"/>
    <w:rsid w:val="00AC4AB7"/>
    <w:rsid w:val="00AC51E0"/>
    <w:rsid w:val="00AC6D24"/>
    <w:rsid w:val="00AC6E18"/>
    <w:rsid w:val="00AC7F64"/>
    <w:rsid w:val="00AD1065"/>
    <w:rsid w:val="00AD159E"/>
    <w:rsid w:val="00AD2AB1"/>
    <w:rsid w:val="00AD3132"/>
    <w:rsid w:val="00AD3DA6"/>
    <w:rsid w:val="00AD3F3C"/>
    <w:rsid w:val="00AD447E"/>
    <w:rsid w:val="00AD4B2F"/>
    <w:rsid w:val="00AD5F0A"/>
    <w:rsid w:val="00AD6A5B"/>
    <w:rsid w:val="00AD6B4F"/>
    <w:rsid w:val="00AD6D19"/>
    <w:rsid w:val="00AD7812"/>
    <w:rsid w:val="00AD7C42"/>
    <w:rsid w:val="00AD7CFA"/>
    <w:rsid w:val="00AE06B0"/>
    <w:rsid w:val="00AE0BD6"/>
    <w:rsid w:val="00AE11C1"/>
    <w:rsid w:val="00AE163D"/>
    <w:rsid w:val="00AE1A42"/>
    <w:rsid w:val="00AE1C5C"/>
    <w:rsid w:val="00AE315E"/>
    <w:rsid w:val="00AE319F"/>
    <w:rsid w:val="00AE31D9"/>
    <w:rsid w:val="00AE3CF0"/>
    <w:rsid w:val="00AE4546"/>
    <w:rsid w:val="00AE6575"/>
    <w:rsid w:val="00AE71EE"/>
    <w:rsid w:val="00AE7368"/>
    <w:rsid w:val="00AF03CF"/>
    <w:rsid w:val="00AF0A0A"/>
    <w:rsid w:val="00AF14FC"/>
    <w:rsid w:val="00AF1ED2"/>
    <w:rsid w:val="00AF1F4E"/>
    <w:rsid w:val="00AF2302"/>
    <w:rsid w:val="00AF262A"/>
    <w:rsid w:val="00AF3557"/>
    <w:rsid w:val="00AF3F86"/>
    <w:rsid w:val="00AF4CEE"/>
    <w:rsid w:val="00AF4F4A"/>
    <w:rsid w:val="00AF584C"/>
    <w:rsid w:val="00AF5D84"/>
    <w:rsid w:val="00AF6476"/>
    <w:rsid w:val="00AF669D"/>
    <w:rsid w:val="00AF672C"/>
    <w:rsid w:val="00AF673E"/>
    <w:rsid w:val="00AF6ABE"/>
    <w:rsid w:val="00AF7389"/>
    <w:rsid w:val="00AF79DF"/>
    <w:rsid w:val="00AF7C37"/>
    <w:rsid w:val="00B00378"/>
    <w:rsid w:val="00B00D91"/>
    <w:rsid w:val="00B00E84"/>
    <w:rsid w:val="00B01DD9"/>
    <w:rsid w:val="00B01F0E"/>
    <w:rsid w:val="00B038F1"/>
    <w:rsid w:val="00B03C1B"/>
    <w:rsid w:val="00B044EE"/>
    <w:rsid w:val="00B04678"/>
    <w:rsid w:val="00B047C9"/>
    <w:rsid w:val="00B04A04"/>
    <w:rsid w:val="00B04B78"/>
    <w:rsid w:val="00B04C37"/>
    <w:rsid w:val="00B04F00"/>
    <w:rsid w:val="00B05BA6"/>
    <w:rsid w:val="00B066FE"/>
    <w:rsid w:val="00B06912"/>
    <w:rsid w:val="00B07316"/>
    <w:rsid w:val="00B07F74"/>
    <w:rsid w:val="00B10618"/>
    <w:rsid w:val="00B10B04"/>
    <w:rsid w:val="00B10CC6"/>
    <w:rsid w:val="00B1168B"/>
    <w:rsid w:val="00B11932"/>
    <w:rsid w:val="00B11A61"/>
    <w:rsid w:val="00B12082"/>
    <w:rsid w:val="00B12648"/>
    <w:rsid w:val="00B1270C"/>
    <w:rsid w:val="00B12710"/>
    <w:rsid w:val="00B13389"/>
    <w:rsid w:val="00B1364C"/>
    <w:rsid w:val="00B13EDB"/>
    <w:rsid w:val="00B141A5"/>
    <w:rsid w:val="00B14F47"/>
    <w:rsid w:val="00B15282"/>
    <w:rsid w:val="00B15286"/>
    <w:rsid w:val="00B1539F"/>
    <w:rsid w:val="00B1550D"/>
    <w:rsid w:val="00B15F6C"/>
    <w:rsid w:val="00B163E8"/>
    <w:rsid w:val="00B1767E"/>
    <w:rsid w:val="00B20760"/>
    <w:rsid w:val="00B2125C"/>
    <w:rsid w:val="00B21676"/>
    <w:rsid w:val="00B219E1"/>
    <w:rsid w:val="00B21ECF"/>
    <w:rsid w:val="00B22150"/>
    <w:rsid w:val="00B226DE"/>
    <w:rsid w:val="00B22FB5"/>
    <w:rsid w:val="00B241D5"/>
    <w:rsid w:val="00B24BE9"/>
    <w:rsid w:val="00B2551D"/>
    <w:rsid w:val="00B25F8C"/>
    <w:rsid w:val="00B260BE"/>
    <w:rsid w:val="00B26677"/>
    <w:rsid w:val="00B26A96"/>
    <w:rsid w:val="00B274E3"/>
    <w:rsid w:val="00B2765C"/>
    <w:rsid w:val="00B27C4B"/>
    <w:rsid w:val="00B30563"/>
    <w:rsid w:val="00B3069E"/>
    <w:rsid w:val="00B30A76"/>
    <w:rsid w:val="00B31246"/>
    <w:rsid w:val="00B32295"/>
    <w:rsid w:val="00B33AB5"/>
    <w:rsid w:val="00B3412E"/>
    <w:rsid w:val="00B343E0"/>
    <w:rsid w:val="00B34478"/>
    <w:rsid w:val="00B35B6D"/>
    <w:rsid w:val="00B35D53"/>
    <w:rsid w:val="00B367C4"/>
    <w:rsid w:val="00B36D3E"/>
    <w:rsid w:val="00B37B8E"/>
    <w:rsid w:val="00B40222"/>
    <w:rsid w:val="00B404C3"/>
    <w:rsid w:val="00B41A04"/>
    <w:rsid w:val="00B42743"/>
    <w:rsid w:val="00B430E9"/>
    <w:rsid w:val="00B4311F"/>
    <w:rsid w:val="00B431AE"/>
    <w:rsid w:val="00B44288"/>
    <w:rsid w:val="00B448BF"/>
    <w:rsid w:val="00B45A59"/>
    <w:rsid w:val="00B45F9F"/>
    <w:rsid w:val="00B4627C"/>
    <w:rsid w:val="00B4641F"/>
    <w:rsid w:val="00B46793"/>
    <w:rsid w:val="00B46953"/>
    <w:rsid w:val="00B47455"/>
    <w:rsid w:val="00B47979"/>
    <w:rsid w:val="00B47A59"/>
    <w:rsid w:val="00B47ECD"/>
    <w:rsid w:val="00B47FF3"/>
    <w:rsid w:val="00B503D6"/>
    <w:rsid w:val="00B51520"/>
    <w:rsid w:val="00B515C3"/>
    <w:rsid w:val="00B517C2"/>
    <w:rsid w:val="00B518CE"/>
    <w:rsid w:val="00B51F56"/>
    <w:rsid w:val="00B52234"/>
    <w:rsid w:val="00B53623"/>
    <w:rsid w:val="00B53D1D"/>
    <w:rsid w:val="00B53E98"/>
    <w:rsid w:val="00B53F9B"/>
    <w:rsid w:val="00B54B19"/>
    <w:rsid w:val="00B55F64"/>
    <w:rsid w:val="00B56ECA"/>
    <w:rsid w:val="00B57093"/>
    <w:rsid w:val="00B57B5D"/>
    <w:rsid w:val="00B60613"/>
    <w:rsid w:val="00B61AEC"/>
    <w:rsid w:val="00B6244C"/>
    <w:rsid w:val="00B62A2F"/>
    <w:rsid w:val="00B62B7B"/>
    <w:rsid w:val="00B62F0A"/>
    <w:rsid w:val="00B63484"/>
    <w:rsid w:val="00B634B7"/>
    <w:rsid w:val="00B634F1"/>
    <w:rsid w:val="00B637EF"/>
    <w:rsid w:val="00B63EF6"/>
    <w:rsid w:val="00B6440A"/>
    <w:rsid w:val="00B65788"/>
    <w:rsid w:val="00B65844"/>
    <w:rsid w:val="00B66054"/>
    <w:rsid w:val="00B6677F"/>
    <w:rsid w:val="00B66C7A"/>
    <w:rsid w:val="00B672EA"/>
    <w:rsid w:val="00B6747B"/>
    <w:rsid w:val="00B70200"/>
    <w:rsid w:val="00B702D7"/>
    <w:rsid w:val="00B70389"/>
    <w:rsid w:val="00B70E01"/>
    <w:rsid w:val="00B72A0B"/>
    <w:rsid w:val="00B72CF0"/>
    <w:rsid w:val="00B7380E"/>
    <w:rsid w:val="00B740F6"/>
    <w:rsid w:val="00B74615"/>
    <w:rsid w:val="00B74789"/>
    <w:rsid w:val="00B755B6"/>
    <w:rsid w:val="00B75977"/>
    <w:rsid w:val="00B75A48"/>
    <w:rsid w:val="00B75CC0"/>
    <w:rsid w:val="00B76021"/>
    <w:rsid w:val="00B76FCD"/>
    <w:rsid w:val="00B76FFF"/>
    <w:rsid w:val="00B7764D"/>
    <w:rsid w:val="00B8003B"/>
    <w:rsid w:val="00B804F8"/>
    <w:rsid w:val="00B8095A"/>
    <w:rsid w:val="00B81274"/>
    <w:rsid w:val="00B815D3"/>
    <w:rsid w:val="00B81742"/>
    <w:rsid w:val="00B817B5"/>
    <w:rsid w:val="00B823A6"/>
    <w:rsid w:val="00B83E76"/>
    <w:rsid w:val="00B83FA0"/>
    <w:rsid w:val="00B84156"/>
    <w:rsid w:val="00B846E6"/>
    <w:rsid w:val="00B8537B"/>
    <w:rsid w:val="00B85586"/>
    <w:rsid w:val="00B86289"/>
    <w:rsid w:val="00B863B3"/>
    <w:rsid w:val="00B869D3"/>
    <w:rsid w:val="00B86CF8"/>
    <w:rsid w:val="00B86E44"/>
    <w:rsid w:val="00B87359"/>
    <w:rsid w:val="00B87F1C"/>
    <w:rsid w:val="00B90D8D"/>
    <w:rsid w:val="00B91263"/>
    <w:rsid w:val="00B91B61"/>
    <w:rsid w:val="00B93849"/>
    <w:rsid w:val="00B938BD"/>
    <w:rsid w:val="00B93CF3"/>
    <w:rsid w:val="00B9407F"/>
    <w:rsid w:val="00B944E9"/>
    <w:rsid w:val="00B945D7"/>
    <w:rsid w:val="00B94896"/>
    <w:rsid w:val="00B94CDD"/>
    <w:rsid w:val="00B94DA7"/>
    <w:rsid w:val="00B95163"/>
    <w:rsid w:val="00B954D0"/>
    <w:rsid w:val="00B96DD9"/>
    <w:rsid w:val="00B96EA6"/>
    <w:rsid w:val="00B9789D"/>
    <w:rsid w:val="00B97A4C"/>
    <w:rsid w:val="00BA050E"/>
    <w:rsid w:val="00BA1289"/>
    <w:rsid w:val="00BA14B2"/>
    <w:rsid w:val="00BA15DC"/>
    <w:rsid w:val="00BA1E2F"/>
    <w:rsid w:val="00BA1EB8"/>
    <w:rsid w:val="00BA2C82"/>
    <w:rsid w:val="00BA3532"/>
    <w:rsid w:val="00BA3869"/>
    <w:rsid w:val="00BA39EB"/>
    <w:rsid w:val="00BA4399"/>
    <w:rsid w:val="00BA4452"/>
    <w:rsid w:val="00BA46C6"/>
    <w:rsid w:val="00BA4ACF"/>
    <w:rsid w:val="00BA5039"/>
    <w:rsid w:val="00BA583B"/>
    <w:rsid w:val="00BA5DF2"/>
    <w:rsid w:val="00BA5EC7"/>
    <w:rsid w:val="00BA6319"/>
    <w:rsid w:val="00BA63CE"/>
    <w:rsid w:val="00BA676E"/>
    <w:rsid w:val="00BA6980"/>
    <w:rsid w:val="00BA6EF2"/>
    <w:rsid w:val="00BA7227"/>
    <w:rsid w:val="00BA763C"/>
    <w:rsid w:val="00BA784D"/>
    <w:rsid w:val="00BA7CD7"/>
    <w:rsid w:val="00BB00E5"/>
    <w:rsid w:val="00BB1688"/>
    <w:rsid w:val="00BB1EFB"/>
    <w:rsid w:val="00BB269F"/>
    <w:rsid w:val="00BB27CC"/>
    <w:rsid w:val="00BB2ACE"/>
    <w:rsid w:val="00BB2E4E"/>
    <w:rsid w:val="00BB2E62"/>
    <w:rsid w:val="00BB36C9"/>
    <w:rsid w:val="00BB3A66"/>
    <w:rsid w:val="00BB40D1"/>
    <w:rsid w:val="00BB777D"/>
    <w:rsid w:val="00BB7EC0"/>
    <w:rsid w:val="00BB7F88"/>
    <w:rsid w:val="00BC0207"/>
    <w:rsid w:val="00BC089F"/>
    <w:rsid w:val="00BC0A0C"/>
    <w:rsid w:val="00BC0A5A"/>
    <w:rsid w:val="00BC0E64"/>
    <w:rsid w:val="00BC131A"/>
    <w:rsid w:val="00BC25D1"/>
    <w:rsid w:val="00BC2DBD"/>
    <w:rsid w:val="00BC3BCB"/>
    <w:rsid w:val="00BC3CF1"/>
    <w:rsid w:val="00BC428A"/>
    <w:rsid w:val="00BC4C40"/>
    <w:rsid w:val="00BC5A29"/>
    <w:rsid w:val="00BC5AE3"/>
    <w:rsid w:val="00BC5BAD"/>
    <w:rsid w:val="00BC692A"/>
    <w:rsid w:val="00BC76C5"/>
    <w:rsid w:val="00BC7F94"/>
    <w:rsid w:val="00BD1039"/>
    <w:rsid w:val="00BD10B7"/>
    <w:rsid w:val="00BD138A"/>
    <w:rsid w:val="00BD164A"/>
    <w:rsid w:val="00BD1BDD"/>
    <w:rsid w:val="00BD1D7D"/>
    <w:rsid w:val="00BD1E27"/>
    <w:rsid w:val="00BD2B4D"/>
    <w:rsid w:val="00BD2F08"/>
    <w:rsid w:val="00BD2FB9"/>
    <w:rsid w:val="00BD31C2"/>
    <w:rsid w:val="00BD3683"/>
    <w:rsid w:val="00BD450A"/>
    <w:rsid w:val="00BD4717"/>
    <w:rsid w:val="00BD48EA"/>
    <w:rsid w:val="00BD4BA8"/>
    <w:rsid w:val="00BD5624"/>
    <w:rsid w:val="00BD62E6"/>
    <w:rsid w:val="00BD6B0E"/>
    <w:rsid w:val="00BD734D"/>
    <w:rsid w:val="00BD7941"/>
    <w:rsid w:val="00BE0591"/>
    <w:rsid w:val="00BE0C55"/>
    <w:rsid w:val="00BE0F03"/>
    <w:rsid w:val="00BE11A2"/>
    <w:rsid w:val="00BE1EF0"/>
    <w:rsid w:val="00BE246C"/>
    <w:rsid w:val="00BE2657"/>
    <w:rsid w:val="00BE2FD2"/>
    <w:rsid w:val="00BE377A"/>
    <w:rsid w:val="00BE37AE"/>
    <w:rsid w:val="00BE3B14"/>
    <w:rsid w:val="00BE3C65"/>
    <w:rsid w:val="00BE4222"/>
    <w:rsid w:val="00BE472D"/>
    <w:rsid w:val="00BE4C03"/>
    <w:rsid w:val="00BE7F4D"/>
    <w:rsid w:val="00BF03C0"/>
    <w:rsid w:val="00BF0EBF"/>
    <w:rsid w:val="00BF1534"/>
    <w:rsid w:val="00BF2021"/>
    <w:rsid w:val="00BF21D4"/>
    <w:rsid w:val="00BF2DDC"/>
    <w:rsid w:val="00BF32DE"/>
    <w:rsid w:val="00BF4A15"/>
    <w:rsid w:val="00BF4E0E"/>
    <w:rsid w:val="00BF4E27"/>
    <w:rsid w:val="00BF4F7C"/>
    <w:rsid w:val="00BF537B"/>
    <w:rsid w:val="00BF5901"/>
    <w:rsid w:val="00BF626A"/>
    <w:rsid w:val="00BF688E"/>
    <w:rsid w:val="00BF6D77"/>
    <w:rsid w:val="00BF704C"/>
    <w:rsid w:val="00BF739A"/>
    <w:rsid w:val="00BF7EF5"/>
    <w:rsid w:val="00C00BF6"/>
    <w:rsid w:val="00C01146"/>
    <w:rsid w:val="00C0234A"/>
    <w:rsid w:val="00C0247B"/>
    <w:rsid w:val="00C0378E"/>
    <w:rsid w:val="00C04314"/>
    <w:rsid w:val="00C04BD0"/>
    <w:rsid w:val="00C05595"/>
    <w:rsid w:val="00C05730"/>
    <w:rsid w:val="00C05AF4"/>
    <w:rsid w:val="00C05AFD"/>
    <w:rsid w:val="00C0661C"/>
    <w:rsid w:val="00C0675F"/>
    <w:rsid w:val="00C06ECC"/>
    <w:rsid w:val="00C0702A"/>
    <w:rsid w:val="00C0724C"/>
    <w:rsid w:val="00C07C11"/>
    <w:rsid w:val="00C07E10"/>
    <w:rsid w:val="00C10015"/>
    <w:rsid w:val="00C1110A"/>
    <w:rsid w:val="00C11689"/>
    <w:rsid w:val="00C12414"/>
    <w:rsid w:val="00C12ECB"/>
    <w:rsid w:val="00C148B2"/>
    <w:rsid w:val="00C14ABD"/>
    <w:rsid w:val="00C151E0"/>
    <w:rsid w:val="00C155A8"/>
    <w:rsid w:val="00C159FD"/>
    <w:rsid w:val="00C15B31"/>
    <w:rsid w:val="00C15F66"/>
    <w:rsid w:val="00C1604F"/>
    <w:rsid w:val="00C166D4"/>
    <w:rsid w:val="00C168E5"/>
    <w:rsid w:val="00C1696D"/>
    <w:rsid w:val="00C16C90"/>
    <w:rsid w:val="00C17AB5"/>
    <w:rsid w:val="00C20051"/>
    <w:rsid w:val="00C2021B"/>
    <w:rsid w:val="00C20B6C"/>
    <w:rsid w:val="00C20B86"/>
    <w:rsid w:val="00C21145"/>
    <w:rsid w:val="00C215ED"/>
    <w:rsid w:val="00C22350"/>
    <w:rsid w:val="00C2302B"/>
    <w:rsid w:val="00C23615"/>
    <w:rsid w:val="00C2397E"/>
    <w:rsid w:val="00C23A83"/>
    <w:rsid w:val="00C24381"/>
    <w:rsid w:val="00C24801"/>
    <w:rsid w:val="00C24C2E"/>
    <w:rsid w:val="00C24C7A"/>
    <w:rsid w:val="00C24FFB"/>
    <w:rsid w:val="00C25CFF"/>
    <w:rsid w:val="00C25EA6"/>
    <w:rsid w:val="00C26164"/>
    <w:rsid w:val="00C261C1"/>
    <w:rsid w:val="00C26574"/>
    <w:rsid w:val="00C26DBF"/>
    <w:rsid w:val="00C27199"/>
    <w:rsid w:val="00C27204"/>
    <w:rsid w:val="00C304E9"/>
    <w:rsid w:val="00C30B0B"/>
    <w:rsid w:val="00C31320"/>
    <w:rsid w:val="00C316B4"/>
    <w:rsid w:val="00C332D4"/>
    <w:rsid w:val="00C33A66"/>
    <w:rsid w:val="00C33E51"/>
    <w:rsid w:val="00C34C45"/>
    <w:rsid w:val="00C34C47"/>
    <w:rsid w:val="00C34FCE"/>
    <w:rsid w:val="00C35411"/>
    <w:rsid w:val="00C35EED"/>
    <w:rsid w:val="00C36B2C"/>
    <w:rsid w:val="00C3701A"/>
    <w:rsid w:val="00C379EF"/>
    <w:rsid w:val="00C405C8"/>
    <w:rsid w:val="00C40C2F"/>
    <w:rsid w:val="00C415AC"/>
    <w:rsid w:val="00C4297A"/>
    <w:rsid w:val="00C4360C"/>
    <w:rsid w:val="00C439B8"/>
    <w:rsid w:val="00C43A0B"/>
    <w:rsid w:val="00C43B1A"/>
    <w:rsid w:val="00C43EDA"/>
    <w:rsid w:val="00C43FEC"/>
    <w:rsid w:val="00C4414C"/>
    <w:rsid w:val="00C45512"/>
    <w:rsid w:val="00C4602B"/>
    <w:rsid w:val="00C46564"/>
    <w:rsid w:val="00C46BFA"/>
    <w:rsid w:val="00C46DDF"/>
    <w:rsid w:val="00C500A1"/>
    <w:rsid w:val="00C50A02"/>
    <w:rsid w:val="00C51149"/>
    <w:rsid w:val="00C5117E"/>
    <w:rsid w:val="00C512D1"/>
    <w:rsid w:val="00C51856"/>
    <w:rsid w:val="00C51B04"/>
    <w:rsid w:val="00C51DB5"/>
    <w:rsid w:val="00C53CE9"/>
    <w:rsid w:val="00C5531B"/>
    <w:rsid w:val="00C55375"/>
    <w:rsid w:val="00C5570F"/>
    <w:rsid w:val="00C56C98"/>
    <w:rsid w:val="00C56DE1"/>
    <w:rsid w:val="00C56DEE"/>
    <w:rsid w:val="00C57120"/>
    <w:rsid w:val="00C571D5"/>
    <w:rsid w:val="00C575D4"/>
    <w:rsid w:val="00C61223"/>
    <w:rsid w:val="00C61246"/>
    <w:rsid w:val="00C618A8"/>
    <w:rsid w:val="00C61A78"/>
    <w:rsid w:val="00C629F3"/>
    <w:rsid w:val="00C62B88"/>
    <w:rsid w:val="00C62CD3"/>
    <w:rsid w:val="00C634F9"/>
    <w:rsid w:val="00C63CDE"/>
    <w:rsid w:val="00C643ED"/>
    <w:rsid w:val="00C64534"/>
    <w:rsid w:val="00C64D93"/>
    <w:rsid w:val="00C64F49"/>
    <w:rsid w:val="00C64F71"/>
    <w:rsid w:val="00C650E3"/>
    <w:rsid w:val="00C65200"/>
    <w:rsid w:val="00C65BD3"/>
    <w:rsid w:val="00C664FB"/>
    <w:rsid w:val="00C665DE"/>
    <w:rsid w:val="00C667C3"/>
    <w:rsid w:val="00C6728B"/>
    <w:rsid w:val="00C70718"/>
    <w:rsid w:val="00C70B25"/>
    <w:rsid w:val="00C71528"/>
    <w:rsid w:val="00C717E4"/>
    <w:rsid w:val="00C7191B"/>
    <w:rsid w:val="00C71F09"/>
    <w:rsid w:val="00C72588"/>
    <w:rsid w:val="00C727B9"/>
    <w:rsid w:val="00C72F44"/>
    <w:rsid w:val="00C73670"/>
    <w:rsid w:val="00C737D1"/>
    <w:rsid w:val="00C738A0"/>
    <w:rsid w:val="00C73DE0"/>
    <w:rsid w:val="00C74609"/>
    <w:rsid w:val="00C749AB"/>
    <w:rsid w:val="00C75A8F"/>
    <w:rsid w:val="00C76129"/>
    <w:rsid w:val="00C76C0C"/>
    <w:rsid w:val="00C76FFC"/>
    <w:rsid w:val="00C774E0"/>
    <w:rsid w:val="00C776BA"/>
    <w:rsid w:val="00C7791E"/>
    <w:rsid w:val="00C81716"/>
    <w:rsid w:val="00C832CB"/>
    <w:rsid w:val="00C84085"/>
    <w:rsid w:val="00C852DC"/>
    <w:rsid w:val="00C854A8"/>
    <w:rsid w:val="00C85677"/>
    <w:rsid w:val="00C85928"/>
    <w:rsid w:val="00C85E17"/>
    <w:rsid w:val="00C868A7"/>
    <w:rsid w:val="00C86ABA"/>
    <w:rsid w:val="00C86BF7"/>
    <w:rsid w:val="00C87164"/>
    <w:rsid w:val="00C8786A"/>
    <w:rsid w:val="00C87BBA"/>
    <w:rsid w:val="00C87BD0"/>
    <w:rsid w:val="00C905E5"/>
    <w:rsid w:val="00C90754"/>
    <w:rsid w:val="00C90B95"/>
    <w:rsid w:val="00C90BC4"/>
    <w:rsid w:val="00C90CA9"/>
    <w:rsid w:val="00C91802"/>
    <w:rsid w:val="00C92E41"/>
    <w:rsid w:val="00C92F62"/>
    <w:rsid w:val="00C93097"/>
    <w:rsid w:val="00C93B40"/>
    <w:rsid w:val="00C93DB5"/>
    <w:rsid w:val="00C94ABD"/>
    <w:rsid w:val="00C94CB9"/>
    <w:rsid w:val="00C95853"/>
    <w:rsid w:val="00C95C2F"/>
    <w:rsid w:val="00C95F87"/>
    <w:rsid w:val="00C96035"/>
    <w:rsid w:val="00C968EF"/>
    <w:rsid w:val="00C972CE"/>
    <w:rsid w:val="00CA0492"/>
    <w:rsid w:val="00CA05B0"/>
    <w:rsid w:val="00CA0632"/>
    <w:rsid w:val="00CA0A04"/>
    <w:rsid w:val="00CA2528"/>
    <w:rsid w:val="00CA3CAB"/>
    <w:rsid w:val="00CA3FC0"/>
    <w:rsid w:val="00CA5685"/>
    <w:rsid w:val="00CA6A2E"/>
    <w:rsid w:val="00CA6B56"/>
    <w:rsid w:val="00CA7D3E"/>
    <w:rsid w:val="00CB0317"/>
    <w:rsid w:val="00CB034B"/>
    <w:rsid w:val="00CB0662"/>
    <w:rsid w:val="00CB0A82"/>
    <w:rsid w:val="00CB0F2F"/>
    <w:rsid w:val="00CB0F76"/>
    <w:rsid w:val="00CB1556"/>
    <w:rsid w:val="00CB2913"/>
    <w:rsid w:val="00CB3970"/>
    <w:rsid w:val="00CB42B9"/>
    <w:rsid w:val="00CB4550"/>
    <w:rsid w:val="00CB4F39"/>
    <w:rsid w:val="00CB52A4"/>
    <w:rsid w:val="00CB537C"/>
    <w:rsid w:val="00CB5A26"/>
    <w:rsid w:val="00CB645B"/>
    <w:rsid w:val="00CB6A93"/>
    <w:rsid w:val="00CB6C79"/>
    <w:rsid w:val="00CB77C3"/>
    <w:rsid w:val="00CB7E9C"/>
    <w:rsid w:val="00CC0072"/>
    <w:rsid w:val="00CC027A"/>
    <w:rsid w:val="00CC0915"/>
    <w:rsid w:val="00CC1398"/>
    <w:rsid w:val="00CC1AF5"/>
    <w:rsid w:val="00CC1B74"/>
    <w:rsid w:val="00CC291E"/>
    <w:rsid w:val="00CC2D03"/>
    <w:rsid w:val="00CC2EB0"/>
    <w:rsid w:val="00CC4701"/>
    <w:rsid w:val="00CC56B4"/>
    <w:rsid w:val="00CC5F95"/>
    <w:rsid w:val="00CC642A"/>
    <w:rsid w:val="00CC6AC7"/>
    <w:rsid w:val="00CC733D"/>
    <w:rsid w:val="00CC7617"/>
    <w:rsid w:val="00CC7E0D"/>
    <w:rsid w:val="00CC7E97"/>
    <w:rsid w:val="00CD00EB"/>
    <w:rsid w:val="00CD1255"/>
    <w:rsid w:val="00CD1484"/>
    <w:rsid w:val="00CD1892"/>
    <w:rsid w:val="00CD1C01"/>
    <w:rsid w:val="00CD1D00"/>
    <w:rsid w:val="00CD2009"/>
    <w:rsid w:val="00CD27AC"/>
    <w:rsid w:val="00CD2A82"/>
    <w:rsid w:val="00CD3CAB"/>
    <w:rsid w:val="00CD44FF"/>
    <w:rsid w:val="00CD46A7"/>
    <w:rsid w:val="00CD47BC"/>
    <w:rsid w:val="00CD4E50"/>
    <w:rsid w:val="00CD57CB"/>
    <w:rsid w:val="00CD64E1"/>
    <w:rsid w:val="00CD66BA"/>
    <w:rsid w:val="00CD68D5"/>
    <w:rsid w:val="00CD699D"/>
    <w:rsid w:val="00CD6BA3"/>
    <w:rsid w:val="00CD70DB"/>
    <w:rsid w:val="00CD7544"/>
    <w:rsid w:val="00CD78D4"/>
    <w:rsid w:val="00CE0697"/>
    <w:rsid w:val="00CE14CB"/>
    <w:rsid w:val="00CE2E2E"/>
    <w:rsid w:val="00CE3A51"/>
    <w:rsid w:val="00CE41F9"/>
    <w:rsid w:val="00CE59F6"/>
    <w:rsid w:val="00CE66CD"/>
    <w:rsid w:val="00CE6BA9"/>
    <w:rsid w:val="00CE71C3"/>
    <w:rsid w:val="00CE727A"/>
    <w:rsid w:val="00CF029C"/>
    <w:rsid w:val="00CF0AF0"/>
    <w:rsid w:val="00CF157E"/>
    <w:rsid w:val="00CF1631"/>
    <w:rsid w:val="00CF1834"/>
    <w:rsid w:val="00CF1AAA"/>
    <w:rsid w:val="00CF1EC2"/>
    <w:rsid w:val="00CF2ACF"/>
    <w:rsid w:val="00CF345B"/>
    <w:rsid w:val="00CF475F"/>
    <w:rsid w:val="00CF5008"/>
    <w:rsid w:val="00CF5069"/>
    <w:rsid w:val="00CF5E34"/>
    <w:rsid w:val="00CF6707"/>
    <w:rsid w:val="00CF7101"/>
    <w:rsid w:val="00CF7327"/>
    <w:rsid w:val="00CF7385"/>
    <w:rsid w:val="00CF7539"/>
    <w:rsid w:val="00CF75C6"/>
    <w:rsid w:val="00CF7B77"/>
    <w:rsid w:val="00CF7DF5"/>
    <w:rsid w:val="00D001D2"/>
    <w:rsid w:val="00D02A80"/>
    <w:rsid w:val="00D0352D"/>
    <w:rsid w:val="00D038DC"/>
    <w:rsid w:val="00D04F01"/>
    <w:rsid w:val="00D04F8B"/>
    <w:rsid w:val="00D054EF"/>
    <w:rsid w:val="00D05637"/>
    <w:rsid w:val="00D05BA9"/>
    <w:rsid w:val="00D05EB1"/>
    <w:rsid w:val="00D0650B"/>
    <w:rsid w:val="00D068AA"/>
    <w:rsid w:val="00D06E71"/>
    <w:rsid w:val="00D06E9C"/>
    <w:rsid w:val="00D0714B"/>
    <w:rsid w:val="00D0764E"/>
    <w:rsid w:val="00D07D82"/>
    <w:rsid w:val="00D10327"/>
    <w:rsid w:val="00D103C9"/>
    <w:rsid w:val="00D1079C"/>
    <w:rsid w:val="00D10BE1"/>
    <w:rsid w:val="00D11FE3"/>
    <w:rsid w:val="00D12393"/>
    <w:rsid w:val="00D12945"/>
    <w:rsid w:val="00D12CC0"/>
    <w:rsid w:val="00D12DA1"/>
    <w:rsid w:val="00D130C0"/>
    <w:rsid w:val="00D1343A"/>
    <w:rsid w:val="00D13D50"/>
    <w:rsid w:val="00D14101"/>
    <w:rsid w:val="00D144D8"/>
    <w:rsid w:val="00D14919"/>
    <w:rsid w:val="00D14E25"/>
    <w:rsid w:val="00D15470"/>
    <w:rsid w:val="00D15AE3"/>
    <w:rsid w:val="00D160C4"/>
    <w:rsid w:val="00D165D8"/>
    <w:rsid w:val="00D1724E"/>
    <w:rsid w:val="00D17C26"/>
    <w:rsid w:val="00D17E08"/>
    <w:rsid w:val="00D206F6"/>
    <w:rsid w:val="00D20FD1"/>
    <w:rsid w:val="00D214D4"/>
    <w:rsid w:val="00D21AAA"/>
    <w:rsid w:val="00D21E6F"/>
    <w:rsid w:val="00D2218A"/>
    <w:rsid w:val="00D2238E"/>
    <w:rsid w:val="00D22B13"/>
    <w:rsid w:val="00D2371E"/>
    <w:rsid w:val="00D237E0"/>
    <w:rsid w:val="00D23A17"/>
    <w:rsid w:val="00D25676"/>
    <w:rsid w:val="00D2579F"/>
    <w:rsid w:val="00D2580E"/>
    <w:rsid w:val="00D265A7"/>
    <w:rsid w:val="00D2690C"/>
    <w:rsid w:val="00D27129"/>
    <w:rsid w:val="00D279E7"/>
    <w:rsid w:val="00D27F75"/>
    <w:rsid w:val="00D3046D"/>
    <w:rsid w:val="00D30497"/>
    <w:rsid w:val="00D30C4D"/>
    <w:rsid w:val="00D30F5F"/>
    <w:rsid w:val="00D31243"/>
    <w:rsid w:val="00D316D9"/>
    <w:rsid w:val="00D31B07"/>
    <w:rsid w:val="00D31B9D"/>
    <w:rsid w:val="00D3272E"/>
    <w:rsid w:val="00D32D38"/>
    <w:rsid w:val="00D32FA0"/>
    <w:rsid w:val="00D33112"/>
    <w:rsid w:val="00D331CB"/>
    <w:rsid w:val="00D3497A"/>
    <w:rsid w:val="00D35F2F"/>
    <w:rsid w:val="00D35FC6"/>
    <w:rsid w:val="00D36BB8"/>
    <w:rsid w:val="00D377D4"/>
    <w:rsid w:val="00D401A1"/>
    <w:rsid w:val="00D40217"/>
    <w:rsid w:val="00D40385"/>
    <w:rsid w:val="00D404CE"/>
    <w:rsid w:val="00D40E8F"/>
    <w:rsid w:val="00D412BF"/>
    <w:rsid w:val="00D417C6"/>
    <w:rsid w:val="00D417D0"/>
    <w:rsid w:val="00D42B0C"/>
    <w:rsid w:val="00D42D6E"/>
    <w:rsid w:val="00D43DEF"/>
    <w:rsid w:val="00D44259"/>
    <w:rsid w:val="00D45C61"/>
    <w:rsid w:val="00D45DDC"/>
    <w:rsid w:val="00D5064C"/>
    <w:rsid w:val="00D50C94"/>
    <w:rsid w:val="00D511E7"/>
    <w:rsid w:val="00D517ED"/>
    <w:rsid w:val="00D5251C"/>
    <w:rsid w:val="00D52F56"/>
    <w:rsid w:val="00D539DA"/>
    <w:rsid w:val="00D54A50"/>
    <w:rsid w:val="00D54FFD"/>
    <w:rsid w:val="00D5552C"/>
    <w:rsid w:val="00D5556D"/>
    <w:rsid w:val="00D55C34"/>
    <w:rsid w:val="00D55C81"/>
    <w:rsid w:val="00D5674B"/>
    <w:rsid w:val="00D56B56"/>
    <w:rsid w:val="00D56BF5"/>
    <w:rsid w:val="00D56F99"/>
    <w:rsid w:val="00D5743F"/>
    <w:rsid w:val="00D57F1F"/>
    <w:rsid w:val="00D60065"/>
    <w:rsid w:val="00D60270"/>
    <w:rsid w:val="00D605C2"/>
    <w:rsid w:val="00D60733"/>
    <w:rsid w:val="00D60C60"/>
    <w:rsid w:val="00D61E1D"/>
    <w:rsid w:val="00D629A4"/>
    <w:rsid w:val="00D62BDF"/>
    <w:rsid w:val="00D62EEE"/>
    <w:rsid w:val="00D64F1C"/>
    <w:rsid w:val="00D6570C"/>
    <w:rsid w:val="00D659EA"/>
    <w:rsid w:val="00D65A89"/>
    <w:rsid w:val="00D65E85"/>
    <w:rsid w:val="00D6611C"/>
    <w:rsid w:val="00D671C7"/>
    <w:rsid w:val="00D675B0"/>
    <w:rsid w:val="00D675DE"/>
    <w:rsid w:val="00D678BB"/>
    <w:rsid w:val="00D67D81"/>
    <w:rsid w:val="00D70170"/>
    <w:rsid w:val="00D702E8"/>
    <w:rsid w:val="00D70552"/>
    <w:rsid w:val="00D70D42"/>
    <w:rsid w:val="00D71285"/>
    <w:rsid w:val="00D71ABC"/>
    <w:rsid w:val="00D71D50"/>
    <w:rsid w:val="00D721C5"/>
    <w:rsid w:val="00D72454"/>
    <w:rsid w:val="00D729A7"/>
    <w:rsid w:val="00D72A5B"/>
    <w:rsid w:val="00D73991"/>
    <w:rsid w:val="00D73CD4"/>
    <w:rsid w:val="00D73F06"/>
    <w:rsid w:val="00D740B2"/>
    <w:rsid w:val="00D74247"/>
    <w:rsid w:val="00D743F1"/>
    <w:rsid w:val="00D744CF"/>
    <w:rsid w:val="00D7456E"/>
    <w:rsid w:val="00D753A9"/>
    <w:rsid w:val="00D755F7"/>
    <w:rsid w:val="00D75C31"/>
    <w:rsid w:val="00D75DDB"/>
    <w:rsid w:val="00D75E4B"/>
    <w:rsid w:val="00D774F4"/>
    <w:rsid w:val="00D77687"/>
    <w:rsid w:val="00D77AF6"/>
    <w:rsid w:val="00D804C5"/>
    <w:rsid w:val="00D815E6"/>
    <w:rsid w:val="00D81A28"/>
    <w:rsid w:val="00D81BDE"/>
    <w:rsid w:val="00D8201D"/>
    <w:rsid w:val="00D82B00"/>
    <w:rsid w:val="00D82B04"/>
    <w:rsid w:val="00D82BE4"/>
    <w:rsid w:val="00D82E05"/>
    <w:rsid w:val="00D83C0D"/>
    <w:rsid w:val="00D83C80"/>
    <w:rsid w:val="00D83F5B"/>
    <w:rsid w:val="00D85FDE"/>
    <w:rsid w:val="00D8665E"/>
    <w:rsid w:val="00D869C1"/>
    <w:rsid w:val="00D86EC6"/>
    <w:rsid w:val="00D87418"/>
    <w:rsid w:val="00D87A39"/>
    <w:rsid w:val="00D87FE6"/>
    <w:rsid w:val="00D90BC3"/>
    <w:rsid w:val="00D90C93"/>
    <w:rsid w:val="00D90DB9"/>
    <w:rsid w:val="00D91001"/>
    <w:rsid w:val="00D910FF"/>
    <w:rsid w:val="00D91337"/>
    <w:rsid w:val="00D915C9"/>
    <w:rsid w:val="00D918DA"/>
    <w:rsid w:val="00D9198F"/>
    <w:rsid w:val="00D92078"/>
    <w:rsid w:val="00D926F0"/>
    <w:rsid w:val="00D92A87"/>
    <w:rsid w:val="00D9384E"/>
    <w:rsid w:val="00D93AEE"/>
    <w:rsid w:val="00D9413E"/>
    <w:rsid w:val="00D94C8D"/>
    <w:rsid w:val="00D95F88"/>
    <w:rsid w:val="00D96698"/>
    <w:rsid w:val="00D96876"/>
    <w:rsid w:val="00D96940"/>
    <w:rsid w:val="00D96B12"/>
    <w:rsid w:val="00D96F59"/>
    <w:rsid w:val="00DA0175"/>
    <w:rsid w:val="00DA099C"/>
    <w:rsid w:val="00DA0F18"/>
    <w:rsid w:val="00DA2125"/>
    <w:rsid w:val="00DA21EC"/>
    <w:rsid w:val="00DA24DE"/>
    <w:rsid w:val="00DA270C"/>
    <w:rsid w:val="00DA281F"/>
    <w:rsid w:val="00DA3C5B"/>
    <w:rsid w:val="00DA3D23"/>
    <w:rsid w:val="00DA3D5D"/>
    <w:rsid w:val="00DA4A61"/>
    <w:rsid w:val="00DA5897"/>
    <w:rsid w:val="00DA5AFE"/>
    <w:rsid w:val="00DA61AB"/>
    <w:rsid w:val="00DA61CD"/>
    <w:rsid w:val="00DA6EE2"/>
    <w:rsid w:val="00DA718A"/>
    <w:rsid w:val="00DA78CF"/>
    <w:rsid w:val="00DA78D5"/>
    <w:rsid w:val="00DA7A89"/>
    <w:rsid w:val="00DA7BF4"/>
    <w:rsid w:val="00DB052F"/>
    <w:rsid w:val="00DB14D3"/>
    <w:rsid w:val="00DB154B"/>
    <w:rsid w:val="00DB1BDC"/>
    <w:rsid w:val="00DB3490"/>
    <w:rsid w:val="00DB3593"/>
    <w:rsid w:val="00DB440B"/>
    <w:rsid w:val="00DB4426"/>
    <w:rsid w:val="00DB4522"/>
    <w:rsid w:val="00DB4B40"/>
    <w:rsid w:val="00DB4F12"/>
    <w:rsid w:val="00DB4F21"/>
    <w:rsid w:val="00DB4F42"/>
    <w:rsid w:val="00DB540C"/>
    <w:rsid w:val="00DB6F96"/>
    <w:rsid w:val="00DB71B9"/>
    <w:rsid w:val="00DB7662"/>
    <w:rsid w:val="00DB7E46"/>
    <w:rsid w:val="00DC1395"/>
    <w:rsid w:val="00DC32FC"/>
    <w:rsid w:val="00DC3D89"/>
    <w:rsid w:val="00DC4567"/>
    <w:rsid w:val="00DC4D6C"/>
    <w:rsid w:val="00DC4F47"/>
    <w:rsid w:val="00DC5059"/>
    <w:rsid w:val="00DC5860"/>
    <w:rsid w:val="00DC5BD0"/>
    <w:rsid w:val="00DC5BE2"/>
    <w:rsid w:val="00DC6284"/>
    <w:rsid w:val="00DC628E"/>
    <w:rsid w:val="00DC6747"/>
    <w:rsid w:val="00DC6AF3"/>
    <w:rsid w:val="00DC7608"/>
    <w:rsid w:val="00DC761E"/>
    <w:rsid w:val="00DC7B3B"/>
    <w:rsid w:val="00DC7CFC"/>
    <w:rsid w:val="00DD09F2"/>
    <w:rsid w:val="00DD0DEE"/>
    <w:rsid w:val="00DD1205"/>
    <w:rsid w:val="00DD1633"/>
    <w:rsid w:val="00DD17A0"/>
    <w:rsid w:val="00DD1B97"/>
    <w:rsid w:val="00DD2831"/>
    <w:rsid w:val="00DD2A6D"/>
    <w:rsid w:val="00DD2E17"/>
    <w:rsid w:val="00DD42DE"/>
    <w:rsid w:val="00DD4309"/>
    <w:rsid w:val="00DD4344"/>
    <w:rsid w:val="00DD4357"/>
    <w:rsid w:val="00DD4DDD"/>
    <w:rsid w:val="00DD573B"/>
    <w:rsid w:val="00DD57E7"/>
    <w:rsid w:val="00DD5A1E"/>
    <w:rsid w:val="00DD5B8C"/>
    <w:rsid w:val="00DD5DFA"/>
    <w:rsid w:val="00DD5E91"/>
    <w:rsid w:val="00DD6CE2"/>
    <w:rsid w:val="00DD720D"/>
    <w:rsid w:val="00DE0229"/>
    <w:rsid w:val="00DE04E0"/>
    <w:rsid w:val="00DE12F1"/>
    <w:rsid w:val="00DE1A9D"/>
    <w:rsid w:val="00DE1CB1"/>
    <w:rsid w:val="00DE1EA4"/>
    <w:rsid w:val="00DE2073"/>
    <w:rsid w:val="00DE30AC"/>
    <w:rsid w:val="00DE38D1"/>
    <w:rsid w:val="00DE4106"/>
    <w:rsid w:val="00DE466B"/>
    <w:rsid w:val="00DE48F4"/>
    <w:rsid w:val="00DE5563"/>
    <w:rsid w:val="00DE5C19"/>
    <w:rsid w:val="00DE5D48"/>
    <w:rsid w:val="00DE6157"/>
    <w:rsid w:val="00DE6E4D"/>
    <w:rsid w:val="00DE7498"/>
    <w:rsid w:val="00DE75EF"/>
    <w:rsid w:val="00DE7611"/>
    <w:rsid w:val="00DE7D19"/>
    <w:rsid w:val="00DF04FC"/>
    <w:rsid w:val="00DF05A0"/>
    <w:rsid w:val="00DF1162"/>
    <w:rsid w:val="00DF1BA8"/>
    <w:rsid w:val="00DF1F63"/>
    <w:rsid w:val="00DF28F2"/>
    <w:rsid w:val="00DF2BFF"/>
    <w:rsid w:val="00DF3798"/>
    <w:rsid w:val="00DF4FF1"/>
    <w:rsid w:val="00DF56A3"/>
    <w:rsid w:val="00DF5B33"/>
    <w:rsid w:val="00DF6FD2"/>
    <w:rsid w:val="00DF72EF"/>
    <w:rsid w:val="00DF743D"/>
    <w:rsid w:val="00DF7724"/>
    <w:rsid w:val="00E000D8"/>
    <w:rsid w:val="00E00C1E"/>
    <w:rsid w:val="00E00F5F"/>
    <w:rsid w:val="00E010E6"/>
    <w:rsid w:val="00E01377"/>
    <w:rsid w:val="00E014E7"/>
    <w:rsid w:val="00E0232F"/>
    <w:rsid w:val="00E026A9"/>
    <w:rsid w:val="00E0356F"/>
    <w:rsid w:val="00E03B42"/>
    <w:rsid w:val="00E03C10"/>
    <w:rsid w:val="00E0479F"/>
    <w:rsid w:val="00E04816"/>
    <w:rsid w:val="00E04982"/>
    <w:rsid w:val="00E04D6A"/>
    <w:rsid w:val="00E058DB"/>
    <w:rsid w:val="00E05950"/>
    <w:rsid w:val="00E05CD4"/>
    <w:rsid w:val="00E05DE8"/>
    <w:rsid w:val="00E06100"/>
    <w:rsid w:val="00E0614E"/>
    <w:rsid w:val="00E06E97"/>
    <w:rsid w:val="00E07B8F"/>
    <w:rsid w:val="00E10712"/>
    <w:rsid w:val="00E10DD1"/>
    <w:rsid w:val="00E1224C"/>
    <w:rsid w:val="00E1254C"/>
    <w:rsid w:val="00E12BDF"/>
    <w:rsid w:val="00E13326"/>
    <w:rsid w:val="00E13D07"/>
    <w:rsid w:val="00E13E71"/>
    <w:rsid w:val="00E14356"/>
    <w:rsid w:val="00E14961"/>
    <w:rsid w:val="00E14D76"/>
    <w:rsid w:val="00E15183"/>
    <w:rsid w:val="00E15D6C"/>
    <w:rsid w:val="00E1720B"/>
    <w:rsid w:val="00E203DE"/>
    <w:rsid w:val="00E20CE7"/>
    <w:rsid w:val="00E217B1"/>
    <w:rsid w:val="00E222FA"/>
    <w:rsid w:val="00E229CE"/>
    <w:rsid w:val="00E22B4A"/>
    <w:rsid w:val="00E2449B"/>
    <w:rsid w:val="00E24A62"/>
    <w:rsid w:val="00E24F52"/>
    <w:rsid w:val="00E255CC"/>
    <w:rsid w:val="00E25636"/>
    <w:rsid w:val="00E25755"/>
    <w:rsid w:val="00E25F90"/>
    <w:rsid w:val="00E266DD"/>
    <w:rsid w:val="00E26D2E"/>
    <w:rsid w:val="00E279B2"/>
    <w:rsid w:val="00E303C0"/>
    <w:rsid w:val="00E3055B"/>
    <w:rsid w:val="00E31687"/>
    <w:rsid w:val="00E31699"/>
    <w:rsid w:val="00E31761"/>
    <w:rsid w:val="00E31812"/>
    <w:rsid w:val="00E31889"/>
    <w:rsid w:val="00E31CE7"/>
    <w:rsid w:val="00E333D5"/>
    <w:rsid w:val="00E3394F"/>
    <w:rsid w:val="00E33A0B"/>
    <w:rsid w:val="00E34A2F"/>
    <w:rsid w:val="00E35A45"/>
    <w:rsid w:val="00E35BBF"/>
    <w:rsid w:val="00E35F7F"/>
    <w:rsid w:val="00E36392"/>
    <w:rsid w:val="00E36B32"/>
    <w:rsid w:val="00E37A6F"/>
    <w:rsid w:val="00E37A9C"/>
    <w:rsid w:val="00E40222"/>
    <w:rsid w:val="00E40406"/>
    <w:rsid w:val="00E4082B"/>
    <w:rsid w:val="00E40835"/>
    <w:rsid w:val="00E408EC"/>
    <w:rsid w:val="00E409B5"/>
    <w:rsid w:val="00E40BCB"/>
    <w:rsid w:val="00E4208F"/>
    <w:rsid w:val="00E42E94"/>
    <w:rsid w:val="00E43006"/>
    <w:rsid w:val="00E4312A"/>
    <w:rsid w:val="00E4331B"/>
    <w:rsid w:val="00E43551"/>
    <w:rsid w:val="00E437FA"/>
    <w:rsid w:val="00E45A2C"/>
    <w:rsid w:val="00E46A6B"/>
    <w:rsid w:val="00E46A9C"/>
    <w:rsid w:val="00E47DB1"/>
    <w:rsid w:val="00E50BDD"/>
    <w:rsid w:val="00E510CF"/>
    <w:rsid w:val="00E513D7"/>
    <w:rsid w:val="00E519FE"/>
    <w:rsid w:val="00E5206C"/>
    <w:rsid w:val="00E52AAB"/>
    <w:rsid w:val="00E5448E"/>
    <w:rsid w:val="00E54E0D"/>
    <w:rsid w:val="00E55247"/>
    <w:rsid w:val="00E558E5"/>
    <w:rsid w:val="00E55B3C"/>
    <w:rsid w:val="00E56795"/>
    <w:rsid w:val="00E56EC6"/>
    <w:rsid w:val="00E57932"/>
    <w:rsid w:val="00E606C4"/>
    <w:rsid w:val="00E60811"/>
    <w:rsid w:val="00E60AB8"/>
    <w:rsid w:val="00E6103E"/>
    <w:rsid w:val="00E6185F"/>
    <w:rsid w:val="00E61D32"/>
    <w:rsid w:val="00E63C60"/>
    <w:rsid w:val="00E64050"/>
    <w:rsid w:val="00E64B7B"/>
    <w:rsid w:val="00E6514D"/>
    <w:rsid w:val="00E65161"/>
    <w:rsid w:val="00E652C9"/>
    <w:rsid w:val="00E6593B"/>
    <w:rsid w:val="00E65D74"/>
    <w:rsid w:val="00E66E11"/>
    <w:rsid w:val="00E672C6"/>
    <w:rsid w:val="00E70192"/>
    <w:rsid w:val="00E70C55"/>
    <w:rsid w:val="00E70E34"/>
    <w:rsid w:val="00E71809"/>
    <w:rsid w:val="00E71D1E"/>
    <w:rsid w:val="00E726F2"/>
    <w:rsid w:val="00E728E2"/>
    <w:rsid w:val="00E738FA"/>
    <w:rsid w:val="00E739B6"/>
    <w:rsid w:val="00E74A2B"/>
    <w:rsid w:val="00E75667"/>
    <w:rsid w:val="00E756D3"/>
    <w:rsid w:val="00E75A5A"/>
    <w:rsid w:val="00E76004"/>
    <w:rsid w:val="00E7608F"/>
    <w:rsid w:val="00E760D7"/>
    <w:rsid w:val="00E769CC"/>
    <w:rsid w:val="00E77124"/>
    <w:rsid w:val="00E77341"/>
    <w:rsid w:val="00E7783E"/>
    <w:rsid w:val="00E778B8"/>
    <w:rsid w:val="00E801C7"/>
    <w:rsid w:val="00E80AF8"/>
    <w:rsid w:val="00E80BED"/>
    <w:rsid w:val="00E816E8"/>
    <w:rsid w:val="00E82592"/>
    <w:rsid w:val="00E825ED"/>
    <w:rsid w:val="00E827BB"/>
    <w:rsid w:val="00E82BCE"/>
    <w:rsid w:val="00E82D24"/>
    <w:rsid w:val="00E8357D"/>
    <w:rsid w:val="00E83C4F"/>
    <w:rsid w:val="00E84212"/>
    <w:rsid w:val="00E84C04"/>
    <w:rsid w:val="00E84F72"/>
    <w:rsid w:val="00E856A2"/>
    <w:rsid w:val="00E8572B"/>
    <w:rsid w:val="00E8575B"/>
    <w:rsid w:val="00E85929"/>
    <w:rsid w:val="00E85AD2"/>
    <w:rsid w:val="00E87A37"/>
    <w:rsid w:val="00E87CF7"/>
    <w:rsid w:val="00E9036E"/>
    <w:rsid w:val="00E9078A"/>
    <w:rsid w:val="00E911EE"/>
    <w:rsid w:val="00E912FD"/>
    <w:rsid w:val="00E91B26"/>
    <w:rsid w:val="00E92C6E"/>
    <w:rsid w:val="00E92D0B"/>
    <w:rsid w:val="00E92FFF"/>
    <w:rsid w:val="00E93195"/>
    <w:rsid w:val="00E9391C"/>
    <w:rsid w:val="00E93D05"/>
    <w:rsid w:val="00E950D4"/>
    <w:rsid w:val="00E951D8"/>
    <w:rsid w:val="00E95C2A"/>
    <w:rsid w:val="00E961CB"/>
    <w:rsid w:val="00E963BC"/>
    <w:rsid w:val="00E966A6"/>
    <w:rsid w:val="00E96E91"/>
    <w:rsid w:val="00E9751D"/>
    <w:rsid w:val="00E97DC6"/>
    <w:rsid w:val="00E97F7A"/>
    <w:rsid w:val="00EA0010"/>
    <w:rsid w:val="00EA0143"/>
    <w:rsid w:val="00EA089B"/>
    <w:rsid w:val="00EA1ACC"/>
    <w:rsid w:val="00EA29E4"/>
    <w:rsid w:val="00EA2E21"/>
    <w:rsid w:val="00EA2EAA"/>
    <w:rsid w:val="00EA380C"/>
    <w:rsid w:val="00EA613D"/>
    <w:rsid w:val="00EA6744"/>
    <w:rsid w:val="00EA7308"/>
    <w:rsid w:val="00EA7474"/>
    <w:rsid w:val="00EB0831"/>
    <w:rsid w:val="00EB089C"/>
    <w:rsid w:val="00EB0AA8"/>
    <w:rsid w:val="00EB0B65"/>
    <w:rsid w:val="00EB0C65"/>
    <w:rsid w:val="00EB1624"/>
    <w:rsid w:val="00EB169F"/>
    <w:rsid w:val="00EB2635"/>
    <w:rsid w:val="00EB2961"/>
    <w:rsid w:val="00EB2E1A"/>
    <w:rsid w:val="00EB2F8A"/>
    <w:rsid w:val="00EB3268"/>
    <w:rsid w:val="00EB3298"/>
    <w:rsid w:val="00EB3939"/>
    <w:rsid w:val="00EB3CE6"/>
    <w:rsid w:val="00EB3E92"/>
    <w:rsid w:val="00EB54AB"/>
    <w:rsid w:val="00EB6257"/>
    <w:rsid w:val="00EB68E6"/>
    <w:rsid w:val="00EB6AE9"/>
    <w:rsid w:val="00EB6B2D"/>
    <w:rsid w:val="00EB71C9"/>
    <w:rsid w:val="00EB763E"/>
    <w:rsid w:val="00EB7B67"/>
    <w:rsid w:val="00EC07F1"/>
    <w:rsid w:val="00EC1E8A"/>
    <w:rsid w:val="00EC328C"/>
    <w:rsid w:val="00EC32F5"/>
    <w:rsid w:val="00EC3852"/>
    <w:rsid w:val="00EC4528"/>
    <w:rsid w:val="00EC5241"/>
    <w:rsid w:val="00EC5817"/>
    <w:rsid w:val="00EC594C"/>
    <w:rsid w:val="00EC5C7B"/>
    <w:rsid w:val="00EC66AA"/>
    <w:rsid w:val="00EC6B30"/>
    <w:rsid w:val="00EC6B8F"/>
    <w:rsid w:val="00EC7154"/>
    <w:rsid w:val="00EC7371"/>
    <w:rsid w:val="00EC73F5"/>
    <w:rsid w:val="00EC7894"/>
    <w:rsid w:val="00EC7A28"/>
    <w:rsid w:val="00EC7B48"/>
    <w:rsid w:val="00ED0151"/>
    <w:rsid w:val="00ED0257"/>
    <w:rsid w:val="00ED071B"/>
    <w:rsid w:val="00ED18B1"/>
    <w:rsid w:val="00ED1ADE"/>
    <w:rsid w:val="00ED3692"/>
    <w:rsid w:val="00ED4A77"/>
    <w:rsid w:val="00ED4B6E"/>
    <w:rsid w:val="00ED5981"/>
    <w:rsid w:val="00ED613A"/>
    <w:rsid w:val="00ED6514"/>
    <w:rsid w:val="00ED66B2"/>
    <w:rsid w:val="00ED71BA"/>
    <w:rsid w:val="00ED728F"/>
    <w:rsid w:val="00ED73A1"/>
    <w:rsid w:val="00ED7CA2"/>
    <w:rsid w:val="00EE04F9"/>
    <w:rsid w:val="00EE05E0"/>
    <w:rsid w:val="00EE0FF6"/>
    <w:rsid w:val="00EE13DA"/>
    <w:rsid w:val="00EE1595"/>
    <w:rsid w:val="00EE1E71"/>
    <w:rsid w:val="00EE2087"/>
    <w:rsid w:val="00EE20C2"/>
    <w:rsid w:val="00EE2A9D"/>
    <w:rsid w:val="00EE3384"/>
    <w:rsid w:val="00EE499F"/>
    <w:rsid w:val="00EE56E2"/>
    <w:rsid w:val="00EE5FCD"/>
    <w:rsid w:val="00EE63BF"/>
    <w:rsid w:val="00EE6D45"/>
    <w:rsid w:val="00EE6E89"/>
    <w:rsid w:val="00EF0D4B"/>
    <w:rsid w:val="00EF0FE6"/>
    <w:rsid w:val="00EF1130"/>
    <w:rsid w:val="00EF1432"/>
    <w:rsid w:val="00EF1511"/>
    <w:rsid w:val="00EF1F01"/>
    <w:rsid w:val="00EF2C39"/>
    <w:rsid w:val="00EF2C5F"/>
    <w:rsid w:val="00EF3811"/>
    <w:rsid w:val="00EF3AC4"/>
    <w:rsid w:val="00EF3FF9"/>
    <w:rsid w:val="00EF41AF"/>
    <w:rsid w:val="00EF4DB4"/>
    <w:rsid w:val="00EF5234"/>
    <w:rsid w:val="00EF55E9"/>
    <w:rsid w:val="00EF5B41"/>
    <w:rsid w:val="00EF611C"/>
    <w:rsid w:val="00EF625F"/>
    <w:rsid w:val="00EF62C0"/>
    <w:rsid w:val="00EF6D5A"/>
    <w:rsid w:val="00EF71E6"/>
    <w:rsid w:val="00F0058A"/>
    <w:rsid w:val="00F00630"/>
    <w:rsid w:val="00F00922"/>
    <w:rsid w:val="00F00924"/>
    <w:rsid w:val="00F0187E"/>
    <w:rsid w:val="00F01BE6"/>
    <w:rsid w:val="00F01F75"/>
    <w:rsid w:val="00F0217A"/>
    <w:rsid w:val="00F026D3"/>
    <w:rsid w:val="00F027E8"/>
    <w:rsid w:val="00F03395"/>
    <w:rsid w:val="00F034E6"/>
    <w:rsid w:val="00F03E4C"/>
    <w:rsid w:val="00F04D19"/>
    <w:rsid w:val="00F050A3"/>
    <w:rsid w:val="00F06340"/>
    <w:rsid w:val="00F0665D"/>
    <w:rsid w:val="00F06D42"/>
    <w:rsid w:val="00F07134"/>
    <w:rsid w:val="00F0724D"/>
    <w:rsid w:val="00F07378"/>
    <w:rsid w:val="00F10B81"/>
    <w:rsid w:val="00F10BC9"/>
    <w:rsid w:val="00F113C9"/>
    <w:rsid w:val="00F11C01"/>
    <w:rsid w:val="00F11D80"/>
    <w:rsid w:val="00F14B08"/>
    <w:rsid w:val="00F14B4B"/>
    <w:rsid w:val="00F14CD1"/>
    <w:rsid w:val="00F15115"/>
    <w:rsid w:val="00F15A85"/>
    <w:rsid w:val="00F15C81"/>
    <w:rsid w:val="00F15D8C"/>
    <w:rsid w:val="00F15F18"/>
    <w:rsid w:val="00F16B86"/>
    <w:rsid w:val="00F16E1A"/>
    <w:rsid w:val="00F16F92"/>
    <w:rsid w:val="00F17C3E"/>
    <w:rsid w:val="00F20197"/>
    <w:rsid w:val="00F20369"/>
    <w:rsid w:val="00F20607"/>
    <w:rsid w:val="00F208BB"/>
    <w:rsid w:val="00F20C9E"/>
    <w:rsid w:val="00F20E2D"/>
    <w:rsid w:val="00F213D8"/>
    <w:rsid w:val="00F21A5D"/>
    <w:rsid w:val="00F21C13"/>
    <w:rsid w:val="00F22362"/>
    <w:rsid w:val="00F2242A"/>
    <w:rsid w:val="00F22796"/>
    <w:rsid w:val="00F2296A"/>
    <w:rsid w:val="00F234A4"/>
    <w:rsid w:val="00F2363A"/>
    <w:rsid w:val="00F238F7"/>
    <w:rsid w:val="00F23BA0"/>
    <w:rsid w:val="00F2420C"/>
    <w:rsid w:val="00F24C28"/>
    <w:rsid w:val="00F254C4"/>
    <w:rsid w:val="00F25641"/>
    <w:rsid w:val="00F256D8"/>
    <w:rsid w:val="00F25824"/>
    <w:rsid w:val="00F25E8C"/>
    <w:rsid w:val="00F26065"/>
    <w:rsid w:val="00F266E3"/>
    <w:rsid w:val="00F2689C"/>
    <w:rsid w:val="00F27E44"/>
    <w:rsid w:val="00F30313"/>
    <w:rsid w:val="00F303BC"/>
    <w:rsid w:val="00F30472"/>
    <w:rsid w:val="00F31052"/>
    <w:rsid w:val="00F318A1"/>
    <w:rsid w:val="00F31CF5"/>
    <w:rsid w:val="00F3265C"/>
    <w:rsid w:val="00F32C4A"/>
    <w:rsid w:val="00F33262"/>
    <w:rsid w:val="00F343EE"/>
    <w:rsid w:val="00F353F4"/>
    <w:rsid w:val="00F35494"/>
    <w:rsid w:val="00F35607"/>
    <w:rsid w:val="00F359AB"/>
    <w:rsid w:val="00F35DBA"/>
    <w:rsid w:val="00F3619D"/>
    <w:rsid w:val="00F36DDE"/>
    <w:rsid w:val="00F3722A"/>
    <w:rsid w:val="00F37366"/>
    <w:rsid w:val="00F37C99"/>
    <w:rsid w:val="00F37FCC"/>
    <w:rsid w:val="00F419B8"/>
    <w:rsid w:val="00F41C0F"/>
    <w:rsid w:val="00F42856"/>
    <w:rsid w:val="00F42ED7"/>
    <w:rsid w:val="00F43777"/>
    <w:rsid w:val="00F4482B"/>
    <w:rsid w:val="00F44F02"/>
    <w:rsid w:val="00F45039"/>
    <w:rsid w:val="00F4526B"/>
    <w:rsid w:val="00F45298"/>
    <w:rsid w:val="00F45F64"/>
    <w:rsid w:val="00F462DF"/>
    <w:rsid w:val="00F46534"/>
    <w:rsid w:val="00F4662D"/>
    <w:rsid w:val="00F467BA"/>
    <w:rsid w:val="00F4689E"/>
    <w:rsid w:val="00F468AC"/>
    <w:rsid w:val="00F4696F"/>
    <w:rsid w:val="00F46A5F"/>
    <w:rsid w:val="00F47316"/>
    <w:rsid w:val="00F47507"/>
    <w:rsid w:val="00F47A01"/>
    <w:rsid w:val="00F47CEE"/>
    <w:rsid w:val="00F5052D"/>
    <w:rsid w:val="00F51A82"/>
    <w:rsid w:val="00F51B78"/>
    <w:rsid w:val="00F51BDD"/>
    <w:rsid w:val="00F52065"/>
    <w:rsid w:val="00F521CE"/>
    <w:rsid w:val="00F5253E"/>
    <w:rsid w:val="00F5254B"/>
    <w:rsid w:val="00F52CB7"/>
    <w:rsid w:val="00F53A44"/>
    <w:rsid w:val="00F54E5E"/>
    <w:rsid w:val="00F551DB"/>
    <w:rsid w:val="00F55810"/>
    <w:rsid w:val="00F559BE"/>
    <w:rsid w:val="00F56F7E"/>
    <w:rsid w:val="00F56FEF"/>
    <w:rsid w:val="00F57521"/>
    <w:rsid w:val="00F60938"/>
    <w:rsid w:val="00F60C7E"/>
    <w:rsid w:val="00F60E0A"/>
    <w:rsid w:val="00F61606"/>
    <w:rsid w:val="00F61918"/>
    <w:rsid w:val="00F62151"/>
    <w:rsid w:val="00F62CA8"/>
    <w:rsid w:val="00F62F92"/>
    <w:rsid w:val="00F630B4"/>
    <w:rsid w:val="00F635EF"/>
    <w:rsid w:val="00F63BF4"/>
    <w:rsid w:val="00F63C55"/>
    <w:rsid w:val="00F63C60"/>
    <w:rsid w:val="00F64991"/>
    <w:rsid w:val="00F65BA9"/>
    <w:rsid w:val="00F65BC8"/>
    <w:rsid w:val="00F65EEA"/>
    <w:rsid w:val="00F66205"/>
    <w:rsid w:val="00F6630F"/>
    <w:rsid w:val="00F66419"/>
    <w:rsid w:val="00F66944"/>
    <w:rsid w:val="00F67079"/>
    <w:rsid w:val="00F67B58"/>
    <w:rsid w:val="00F67E81"/>
    <w:rsid w:val="00F7044B"/>
    <w:rsid w:val="00F70FD4"/>
    <w:rsid w:val="00F71342"/>
    <w:rsid w:val="00F71C68"/>
    <w:rsid w:val="00F724E2"/>
    <w:rsid w:val="00F74103"/>
    <w:rsid w:val="00F7410A"/>
    <w:rsid w:val="00F745A4"/>
    <w:rsid w:val="00F74C0C"/>
    <w:rsid w:val="00F758E1"/>
    <w:rsid w:val="00F75BB5"/>
    <w:rsid w:val="00F75FD5"/>
    <w:rsid w:val="00F7604C"/>
    <w:rsid w:val="00F773A9"/>
    <w:rsid w:val="00F8056E"/>
    <w:rsid w:val="00F805B7"/>
    <w:rsid w:val="00F810C1"/>
    <w:rsid w:val="00F81623"/>
    <w:rsid w:val="00F81D25"/>
    <w:rsid w:val="00F8245C"/>
    <w:rsid w:val="00F82928"/>
    <w:rsid w:val="00F829B9"/>
    <w:rsid w:val="00F83045"/>
    <w:rsid w:val="00F83615"/>
    <w:rsid w:val="00F83EC7"/>
    <w:rsid w:val="00F8421D"/>
    <w:rsid w:val="00F85329"/>
    <w:rsid w:val="00F85683"/>
    <w:rsid w:val="00F85841"/>
    <w:rsid w:val="00F86079"/>
    <w:rsid w:val="00F8610A"/>
    <w:rsid w:val="00F87282"/>
    <w:rsid w:val="00F878CD"/>
    <w:rsid w:val="00F87905"/>
    <w:rsid w:val="00F87A66"/>
    <w:rsid w:val="00F90C1F"/>
    <w:rsid w:val="00F912D9"/>
    <w:rsid w:val="00F91A44"/>
    <w:rsid w:val="00F91BFA"/>
    <w:rsid w:val="00F91F8F"/>
    <w:rsid w:val="00F9217B"/>
    <w:rsid w:val="00F97A34"/>
    <w:rsid w:val="00F97E4A"/>
    <w:rsid w:val="00F97EA1"/>
    <w:rsid w:val="00FA003A"/>
    <w:rsid w:val="00FA05C8"/>
    <w:rsid w:val="00FA0678"/>
    <w:rsid w:val="00FA0DB6"/>
    <w:rsid w:val="00FA23F7"/>
    <w:rsid w:val="00FA27EB"/>
    <w:rsid w:val="00FA35B6"/>
    <w:rsid w:val="00FA3EBC"/>
    <w:rsid w:val="00FA423C"/>
    <w:rsid w:val="00FA44D0"/>
    <w:rsid w:val="00FA4590"/>
    <w:rsid w:val="00FA55A2"/>
    <w:rsid w:val="00FA672F"/>
    <w:rsid w:val="00FA775E"/>
    <w:rsid w:val="00FA7792"/>
    <w:rsid w:val="00FA7AA8"/>
    <w:rsid w:val="00FA7F1D"/>
    <w:rsid w:val="00FB011C"/>
    <w:rsid w:val="00FB0D60"/>
    <w:rsid w:val="00FB18FD"/>
    <w:rsid w:val="00FB2BF5"/>
    <w:rsid w:val="00FB2F8E"/>
    <w:rsid w:val="00FB30C3"/>
    <w:rsid w:val="00FB39B0"/>
    <w:rsid w:val="00FB5138"/>
    <w:rsid w:val="00FB547F"/>
    <w:rsid w:val="00FB5A71"/>
    <w:rsid w:val="00FB63F6"/>
    <w:rsid w:val="00FB7823"/>
    <w:rsid w:val="00FC05B2"/>
    <w:rsid w:val="00FC08B3"/>
    <w:rsid w:val="00FC09D7"/>
    <w:rsid w:val="00FC0ABE"/>
    <w:rsid w:val="00FC1269"/>
    <w:rsid w:val="00FC22D0"/>
    <w:rsid w:val="00FC38D4"/>
    <w:rsid w:val="00FC391E"/>
    <w:rsid w:val="00FC39B3"/>
    <w:rsid w:val="00FC3BB7"/>
    <w:rsid w:val="00FC4345"/>
    <w:rsid w:val="00FC444A"/>
    <w:rsid w:val="00FC453D"/>
    <w:rsid w:val="00FC4A89"/>
    <w:rsid w:val="00FC619B"/>
    <w:rsid w:val="00FC665F"/>
    <w:rsid w:val="00FC6C35"/>
    <w:rsid w:val="00FC6D59"/>
    <w:rsid w:val="00FC7561"/>
    <w:rsid w:val="00FC78F5"/>
    <w:rsid w:val="00FC7ACA"/>
    <w:rsid w:val="00FC7AD2"/>
    <w:rsid w:val="00FD10B3"/>
    <w:rsid w:val="00FD11C3"/>
    <w:rsid w:val="00FD154E"/>
    <w:rsid w:val="00FD24D7"/>
    <w:rsid w:val="00FD29CE"/>
    <w:rsid w:val="00FD3AE2"/>
    <w:rsid w:val="00FD3E41"/>
    <w:rsid w:val="00FD3EFA"/>
    <w:rsid w:val="00FD4508"/>
    <w:rsid w:val="00FD54A8"/>
    <w:rsid w:val="00FD5AE4"/>
    <w:rsid w:val="00FD5F25"/>
    <w:rsid w:val="00FD60BE"/>
    <w:rsid w:val="00FD6894"/>
    <w:rsid w:val="00FD6AF0"/>
    <w:rsid w:val="00FD704D"/>
    <w:rsid w:val="00FD74EF"/>
    <w:rsid w:val="00FD79B8"/>
    <w:rsid w:val="00FD79F6"/>
    <w:rsid w:val="00FE033F"/>
    <w:rsid w:val="00FE07A8"/>
    <w:rsid w:val="00FE0AD1"/>
    <w:rsid w:val="00FE0CC0"/>
    <w:rsid w:val="00FE1852"/>
    <w:rsid w:val="00FE1963"/>
    <w:rsid w:val="00FE1981"/>
    <w:rsid w:val="00FE1BF1"/>
    <w:rsid w:val="00FE33DB"/>
    <w:rsid w:val="00FE33F5"/>
    <w:rsid w:val="00FE352A"/>
    <w:rsid w:val="00FE37DD"/>
    <w:rsid w:val="00FE3C31"/>
    <w:rsid w:val="00FE4015"/>
    <w:rsid w:val="00FE44F5"/>
    <w:rsid w:val="00FE4783"/>
    <w:rsid w:val="00FE480D"/>
    <w:rsid w:val="00FE4ACC"/>
    <w:rsid w:val="00FE4F80"/>
    <w:rsid w:val="00FE570E"/>
    <w:rsid w:val="00FE6870"/>
    <w:rsid w:val="00FE713E"/>
    <w:rsid w:val="00FE7877"/>
    <w:rsid w:val="00FE7DD1"/>
    <w:rsid w:val="00FF0B4F"/>
    <w:rsid w:val="00FF0F58"/>
    <w:rsid w:val="00FF183C"/>
    <w:rsid w:val="00FF1A06"/>
    <w:rsid w:val="00FF1AD3"/>
    <w:rsid w:val="00FF1B46"/>
    <w:rsid w:val="00FF219D"/>
    <w:rsid w:val="00FF2A7B"/>
    <w:rsid w:val="00FF3D2B"/>
    <w:rsid w:val="00FF49B4"/>
    <w:rsid w:val="00FF49F4"/>
    <w:rsid w:val="00FF5C6A"/>
    <w:rsid w:val="00FF651D"/>
    <w:rsid w:val="00FF6843"/>
    <w:rsid w:val="00FF6C25"/>
    <w:rsid w:val="010651D9"/>
    <w:rsid w:val="01113D6B"/>
    <w:rsid w:val="011F6449"/>
    <w:rsid w:val="01236AFB"/>
    <w:rsid w:val="01255120"/>
    <w:rsid w:val="01317F69"/>
    <w:rsid w:val="014F03EF"/>
    <w:rsid w:val="019F7441"/>
    <w:rsid w:val="01B37585"/>
    <w:rsid w:val="01BF5575"/>
    <w:rsid w:val="01C65DA5"/>
    <w:rsid w:val="01D55165"/>
    <w:rsid w:val="01DF6BF8"/>
    <w:rsid w:val="01EC2C57"/>
    <w:rsid w:val="01FD42EF"/>
    <w:rsid w:val="02253CF6"/>
    <w:rsid w:val="025F0711"/>
    <w:rsid w:val="026B2E25"/>
    <w:rsid w:val="02824D4D"/>
    <w:rsid w:val="02980F02"/>
    <w:rsid w:val="02AC4D64"/>
    <w:rsid w:val="02DC4B10"/>
    <w:rsid w:val="02DD76CE"/>
    <w:rsid w:val="02F36323"/>
    <w:rsid w:val="02F5619C"/>
    <w:rsid w:val="0326446A"/>
    <w:rsid w:val="032D5555"/>
    <w:rsid w:val="036634D2"/>
    <w:rsid w:val="037759DB"/>
    <w:rsid w:val="039C229E"/>
    <w:rsid w:val="03BD0726"/>
    <w:rsid w:val="03CE5F43"/>
    <w:rsid w:val="03DD35E4"/>
    <w:rsid w:val="03F040A4"/>
    <w:rsid w:val="03F2214F"/>
    <w:rsid w:val="03FB340F"/>
    <w:rsid w:val="04076900"/>
    <w:rsid w:val="040D44D9"/>
    <w:rsid w:val="041A5A3B"/>
    <w:rsid w:val="042311BA"/>
    <w:rsid w:val="042B157A"/>
    <w:rsid w:val="043B0DC7"/>
    <w:rsid w:val="048F763B"/>
    <w:rsid w:val="049F330E"/>
    <w:rsid w:val="04AA775C"/>
    <w:rsid w:val="04AF1889"/>
    <w:rsid w:val="04BF5889"/>
    <w:rsid w:val="04C64E6C"/>
    <w:rsid w:val="04F66F48"/>
    <w:rsid w:val="05251E14"/>
    <w:rsid w:val="052C286F"/>
    <w:rsid w:val="05534766"/>
    <w:rsid w:val="05660860"/>
    <w:rsid w:val="05663F59"/>
    <w:rsid w:val="05A16594"/>
    <w:rsid w:val="05A7762D"/>
    <w:rsid w:val="05E05ABA"/>
    <w:rsid w:val="05EC26B0"/>
    <w:rsid w:val="060C2D53"/>
    <w:rsid w:val="060E5941"/>
    <w:rsid w:val="06110FAF"/>
    <w:rsid w:val="061E21DC"/>
    <w:rsid w:val="062C0CFF"/>
    <w:rsid w:val="06493CA7"/>
    <w:rsid w:val="065A6178"/>
    <w:rsid w:val="06691F53"/>
    <w:rsid w:val="066F1CF3"/>
    <w:rsid w:val="068154EF"/>
    <w:rsid w:val="06930BB8"/>
    <w:rsid w:val="06C60C92"/>
    <w:rsid w:val="070F7027"/>
    <w:rsid w:val="071E2D3E"/>
    <w:rsid w:val="07245D42"/>
    <w:rsid w:val="07264C62"/>
    <w:rsid w:val="072C7236"/>
    <w:rsid w:val="0779354C"/>
    <w:rsid w:val="07A46B95"/>
    <w:rsid w:val="07BF1F9A"/>
    <w:rsid w:val="07DE0501"/>
    <w:rsid w:val="07FE491D"/>
    <w:rsid w:val="08061376"/>
    <w:rsid w:val="08452D77"/>
    <w:rsid w:val="08546917"/>
    <w:rsid w:val="086401F8"/>
    <w:rsid w:val="08661343"/>
    <w:rsid w:val="08751CAA"/>
    <w:rsid w:val="087E4C40"/>
    <w:rsid w:val="08923AEE"/>
    <w:rsid w:val="08A871D0"/>
    <w:rsid w:val="08D66AD6"/>
    <w:rsid w:val="08DA33A3"/>
    <w:rsid w:val="08E80F13"/>
    <w:rsid w:val="090E6766"/>
    <w:rsid w:val="09335624"/>
    <w:rsid w:val="0944690F"/>
    <w:rsid w:val="09535675"/>
    <w:rsid w:val="09540C99"/>
    <w:rsid w:val="095F057D"/>
    <w:rsid w:val="0963712E"/>
    <w:rsid w:val="09642282"/>
    <w:rsid w:val="09733572"/>
    <w:rsid w:val="09772C16"/>
    <w:rsid w:val="098353B5"/>
    <w:rsid w:val="09A92330"/>
    <w:rsid w:val="09B06B87"/>
    <w:rsid w:val="09BB3552"/>
    <w:rsid w:val="09C13146"/>
    <w:rsid w:val="09E04166"/>
    <w:rsid w:val="0A0A75A9"/>
    <w:rsid w:val="0A1C0718"/>
    <w:rsid w:val="0A3E7710"/>
    <w:rsid w:val="0A5B7E63"/>
    <w:rsid w:val="0A703465"/>
    <w:rsid w:val="0AA374A5"/>
    <w:rsid w:val="0AAB7649"/>
    <w:rsid w:val="0ABC5606"/>
    <w:rsid w:val="0AC074BD"/>
    <w:rsid w:val="0AD33E3F"/>
    <w:rsid w:val="0AFD2C6A"/>
    <w:rsid w:val="0B30404E"/>
    <w:rsid w:val="0B455512"/>
    <w:rsid w:val="0B4C6C14"/>
    <w:rsid w:val="0B4E1717"/>
    <w:rsid w:val="0B547599"/>
    <w:rsid w:val="0B631A88"/>
    <w:rsid w:val="0B683D45"/>
    <w:rsid w:val="0B7373D0"/>
    <w:rsid w:val="0B7F3F11"/>
    <w:rsid w:val="0B884417"/>
    <w:rsid w:val="0B995722"/>
    <w:rsid w:val="0BF6188C"/>
    <w:rsid w:val="0BF73C91"/>
    <w:rsid w:val="0C101901"/>
    <w:rsid w:val="0C170175"/>
    <w:rsid w:val="0C571A41"/>
    <w:rsid w:val="0C5C1171"/>
    <w:rsid w:val="0C5E1CBC"/>
    <w:rsid w:val="0C615B50"/>
    <w:rsid w:val="0C74181A"/>
    <w:rsid w:val="0C78199D"/>
    <w:rsid w:val="0C8445DA"/>
    <w:rsid w:val="0C87121B"/>
    <w:rsid w:val="0CC007F7"/>
    <w:rsid w:val="0CC617AC"/>
    <w:rsid w:val="0CD5038D"/>
    <w:rsid w:val="0CE618DF"/>
    <w:rsid w:val="0CEF79B5"/>
    <w:rsid w:val="0CFE707A"/>
    <w:rsid w:val="0D063BDA"/>
    <w:rsid w:val="0D08375F"/>
    <w:rsid w:val="0D184CFB"/>
    <w:rsid w:val="0D4A7419"/>
    <w:rsid w:val="0D827401"/>
    <w:rsid w:val="0D84094E"/>
    <w:rsid w:val="0D8A00E9"/>
    <w:rsid w:val="0D8D589E"/>
    <w:rsid w:val="0DA01C73"/>
    <w:rsid w:val="0DD63300"/>
    <w:rsid w:val="0DF50604"/>
    <w:rsid w:val="0DF702FE"/>
    <w:rsid w:val="0E060E51"/>
    <w:rsid w:val="0E0B5806"/>
    <w:rsid w:val="0E2F75DE"/>
    <w:rsid w:val="0E5604B2"/>
    <w:rsid w:val="0E6D5D79"/>
    <w:rsid w:val="0E72396F"/>
    <w:rsid w:val="0E755372"/>
    <w:rsid w:val="0E9438E5"/>
    <w:rsid w:val="0E9472EA"/>
    <w:rsid w:val="0E9D0089"/>
    <w:rsid w:val="0EB803EE"/>
    <w:rsid w:val="0EE619A8"/>
    <w:rsid w:val="0EF822C3"/>
    <w:rsid w:val="0EF94D4B"/>
    <w:rsid w:val="0F3121D5"/>
    <w:rsid w:val="0F373251"/>
    <w:rsid w:val="0F4958DC"/>
    <w:rsid w:val="0F515DF7"/>
    <w:rsid w:val="0F596BA8"/>
    <w:rsid w:val="0F6248D2"/>
    <w:rsid w:val="0F693536"/>
    <w:rsid w:val="0F6F2D42"/>
    <w:rsid w:val="0F73174D"/>
    <w:rsid w:val="0F7B0511"/>
    <w:rsid w:val="0F7B76D9"/>
    <w:rsid w:val="0F816ACD"/>
    <w:rsid w:val="0F9832DB"/>
    <w:rsid w:val="0FBF3FD2"/>
    <w:rsid w:val="0FBF7FF3"/>
    <w:rsid w:val="103203DE"/>
    <w:rsid w:val="10646583"/>
    <w:rsid w:val="10704E41"/>
    <w:rsid w:val="107D4B15"/>
    <w:rsid w:val="108A3C80"/>
    <w:rsid w:val="10C26171"/>
    <w:rsid w:val="10DB3A4D"/>
    <w:rsid w:val="10F33360"/>
    <w:rsid w:val="10FC16EA"/>
    <w:rsid w:val="110006C9"/>
    <w:rsid w:val="110022FD"/>
    <w:rsid w:val="110F1D40"/>
    <w:rsid w:val="111807FE"/>
    <w:rsid w:val="11266F33"/>
    <w:rsid w:val="112F3D99"/>
    <w:rsid w:val="113E311D"/>
    <w:rsid w:val="113F222E"/>
    <w:rsid w:val="1182211B"/>
    <w:rsid w:val="118963A1"/>
    <w:rsid w:val="11C24C0D"/>
    <w:rsid w:val="11C6522A"/>
    <w:rsid w:val="11E104CC"/>
    <w:rsid w:val="11E20309"/>
    <w:rsid w:val="12255233"/>
    <w:rsid w:val="12303805"/>
    <w:rsid w:val="12530213"/>
    <w:rsid w:val="127723A9"/>
    <w:rsid w:val="12862074"/>
    <w:rsid w:val="12883966"/>
    <w:rsid w:val="12946612"/>
    <w:rsid w:val="1299596E"/>
    <w:rsid w:val="129E45B4"/>
    <w:rsid w:val="12D41701"/>
    <w:rsid w:val="12D81596"/>
    <w:rsid w:val="12DE3D56"/>
    <w:rsid w:val="13072A44"/>
    <w:rsid w:val="130F0A6E"/>
    <w:rsid w:val="135F4BE2"/>
    <w:rsid w:val="13923F34"/>
    <w:rsid w:val="139B1A0A"/>
    <w:rsid w:val="139D25C7"/>
    <w:rsid w:val="13BF3CE4"/>
    <w:rsid w:val="141008D8"/>
    <w:rsid w:val="14125FE6"/>
    <w:rsid w:val="14432035"/>
    <w:rsid w:val="146D271E"/>
    <w:rsid w:val="148D505F"/>
    <w:rsid w:val="14982588"/>
    <w:rsid w:val="149A5AD9"/>
    <w:rsid w:val="14A7619D"/>
    <w:rsid w:val="150536C3"/>
    <w:rsid w:val="150C1963"/>
    <w:rsid w:val="15103AFE"/>
    <w:rsid w:val="151412DC"/>
    <w:rsid w:val="151447A0"/>
    <w:rsid w:val="152B4878"/>
    <w:rsid w:val="15323E58"/>
    <w:rsid w:val="15405C16"/>
    <w:rsid w:val="154A6454"/>
    <w:rsid w:val="15762120"/>
    <w:rsid w:val="15B4486D"/>
    <w:rsid w:val="15D54F0F"/>
    <w:rsid w:val="15F555B1"/>
    <w:rsid w:val="16100AFF"/>
    <w:rsid w:val="16816CD9"/>
    <w:rsid w:val="16A8729C"/>
    <w:rsid w:val="16B33777"/>
    <w:rsid w:val="16BC70A7"/>
    <w:rsid w:val="16C6339E"/>
    <w:rsid w:val="16CF328B"/>
    <w:rsid w:val="16D97E36"/>
    <w:rsid w:val="172D0D7B"/>
    <w:rsid w:val="172F2D79"/>
    <w:rsid w:val="17557BEF"/>
    <w:rsid w:val="175B1444"/>
    <w:rsid w:val="179E7A78"/>
    <w:rsid w:val="17B1375A"/>
    <w:rsid w:val="17CB401E"/>
    <w:rsid w:val="17D349C1"/>
    <w:rsid w:val="181066D2"/>
    <w:rsid w:val="1830729E"/>
    <w:rsid w:val="18334B66"/>
    <w:rsid w:val="18354985"/>
    <w:rsid w:val="1870062C"/>
    <w:rsid w:val="18817102"/>
    <w:rsid w:val="18830A15"/>
    <w:rsid w:val="18852B28"/>
    <w:rsid w:val="188B5321"/>
    <w:rsid w:val="193452F4"/>
    <w:rsid w:val="19932372"/>
    <w:rsid w:val="19A20DD5"/>
    <w:rsid w:val="19AE03F1"/>
    <w:rsid w:val="19AF7573"/>
    <w:rsid w:val="1A071A03"/>
    <w:rsid w:val="1A1F16AE"/>
    <w:rsid w:val="1A3B5C77"/>
    <w:rsid w:val="1A442663"/>
    <w:rsid w:val="1A557924"/>
    <w:rsid w:val="1A984BAD"/>
    <w:rsid w:val="1A9D1D74"/>
    <w:rsid w:val="1AB81E7E"/>
    <w:rsid w:val="1AB8220E"/>
    <w:rsid w:val="1AE4166C"/>
    <w:rsid w:val="1AF06CFB"/>
    <w:rsid w:val="1AF11B8D"/>
    <w:rsid w:val="1B11359C"/>
    <w:rsid w:val="1B2A271F"/>
    <w:rsid w:val="1B530544"/>
    <w:rsid w:val="1B713184"/>
    <w:rsid w:val="1BA209CF"/>
    <w:rsid w:val="1BB4777D"/>
    <w:rsid w:val="1BD75AB8"/>
    <w:rsid w:val="1BFB1448"/>
    <w:rsid w:val="1C0459C2"/>
    <w:rsid w:val="1C1B3B4A"/>
    <w:rsid w:val="1C580A26"/>
    <w:rsid w:val="1C5D6DCA"/>
    <w:rsid w:val="1C7725CD"/>
    <w:rsid w:val="1C88086E"/>
    <w:rsid w:val="1C8C3BB7"/>
    <w:rsid w:val="1D1665A1"/>
    <w:rsid w:val="1D266CE1"/>
    <w:rsid w:val="1D383FD6"/>
    <w:rsid w:val="1D3963AF"/>
    <w:rsid w:val="1D3D0FE5"/>
    <w:rsid w:val="1D6A673C"/>
    <w:rsid w:val="1D882867"/>
    <w:rsid w:val="1D8F5231"/>
    <w:rsid w:val="1D9247AE"/>
    <w:rsid w:val="1D9B5EF2"/>
    <w:rsid w:val="1DB20242"/>
    <w:rsid w:val="1DB567EC"/>
    <w:rsid w:val="1DF51A98"/>
    <w:rsid w:val="1E0839A8"/>
    <w:rsid w:val="1E161AB5"/>
    <w:rsid w:val="1E3D060F"/>
    <w:rsid w:val="1E3F7D2E"/>
    <w:rsid w:val="1E4134E4"/>
    <w:rsid w:val="1E5062B3"/>
    <w:rsid w:val="1E523514"/>
    <w:rsid w:val="1E714A66"/>
    <w:rsid w:val="1E802593"/>
    <w:rsid w:val="1E8B6156"/>
    <w:rsid w:val="1E91399D"/>
    <w:rsid w:val="1EA03724"/>
    <w:rsid w:val="1EA41923"/>
    <w:rsid w:val="1EA703CC"/>
    <w:rsid w:val="1EB47AA8"/>
    <w:rsid w:val="1EB7330C"/>
    <w:rsid w:val="1F0A0FF3"/>
    <w:rsid w:val="1F5771FF"/>
    <w:rsid w:val="1F904124"/>
    <w:rsid w:val="1FAD7B0D"/>
    <w:rsid w:val="1FC73179"/>
    <w:rsid w:val="1FE868A9"/>
    <w:rsid w:val="20034907"/>
    <w:rsid w:val="20173E4B"/>
    <w:rsid w:val="20361CE9"/>
    <w:rsid w:val="204E48BC"/>
    <w:rsid w:val="20622AB2"/>
    <w:rsid w:val="208921B3"/>
    <w:rsid w:val="20973DEB"/>
    <w:rsid w:val="20B26522"/>
    <w:rsid w:val="20B44310"/>
    <w:rsid w:val="20F52909"/>
    <w:rsid w:val="210F3994"/>
    <w:rsid w:val="211116EB"/>
    <w:rsid w:val="211319FF"/>
    <w:rsid w:val="212E76D6"/>
    <w:rsid w:val="2132536A"/>
    <w:rsid w:val="216133FC"/>
    <w:rsid w:val="217C7701"/>
    <w:rsid w:val="21951A5D"/>
    <w:rsid w:val="21D56769"/>
    <w:rsid w:val="21DC5877"/>
    <w:rsid w:val="21E52EF3"/>
    <w:rsid w:val="21FB5D7B"/>
    <w:rsid w:val="22015E94"/>
    <w:rsid w:val="220B1C3D"/>
    <w:rsid w:val="22186033"/>
    <w:rsid w:val="221D1D20"/>
    <w:rsid w:val="22334A87"/>
    <w:rsid w:val="22407560"/>
    <w:rsid w:val="22651ABC"/>
    <w:rsid w:val="226D42F6"/>
    <w:rsid w:val="22BE6801"/>
    <w:rsid w:val="22BF3C01"/>
    <w:rsid w:val="22E06CA1"/>
    <w:rsid w:val="23047A11"/>
    <w:rsid w:val="233500BF"/>
    <w:rsid w:val="23377FF7"/>
    <w:rsid w:val="233A565A"/>
    <w:rsid w:val="233C211C"/>
    <w:rsid w:val="236B425F"/>
    <w:rsid w:val="23836192"/>
    <w:rsid w:val="23901F29"/>
    <w:rsid w:val="239C0061"/>
    <w:rsid w:val="23B908A4"/>
    <w:rsid w:val="23BD6FE3"/>
    <w:rsid w:val="23E95BEF"/>
    <w:rsid w:val="23F65BCE"/>
    <w:rsid w:val="23F70746"/>
    <w:rsid w:val="23FD0064"/>
    <w:rsid w:val="24122282"/>
    <w:rsid w:val="24155071"/>
    <w:rsid w:val="245375B0"/>
    <w:rsid w:val="24642C0A"/>
    <w:rsid w:val="246F652F"/>
    <w:rsid w:val="24997A50"/>
    <w:rsid w:val="24B22173"/>
    <w:rsid w:val="24B93C4E"/>
    <w:rsid w:val="24B95AD9"/>
    <w:rsid w:val="24BE24DA"/>
    <w:rsid w:val="24CF5825"/>
    <w:rsid w:val="24D663E6"/>
    <w:rsid w:val="24D77F2B"/>
    <w:rsid w:val="251931C4"/>
    <w:rsid w:val="254925FD"/>
    <w:rsid w:val="254A703B"/>
    <w:rsid w:val="254D36B0"/>
    <w:rsid w:val="25530643"/>
    <w:rsid w:val="258B00E2"/>
    <w:rsid w:val="25956469"/>
    <w:rsid w:val="25A917A6"/>
    <w:rsid w:val="25B42C20"/>
    <w:rsid w:val="25BE27CC"/>
    <w:rsid w:val="25C96D92"/>
    <w:rsid w:val="25F74A5C"/>
    <w:rsid w:val="260047A6"/>
    <w:rsid w:val="26042723"/>
    <w:rsid w:val="2628662C"/>
    <w:rsid w:val="262D45DE"/>
    <w:rsid w:val="265A4FBD"/>
    <w:rsid w:val="266876DA"/>
    <w:rsid w:val="26871DC8"/>
    <w:rsid w:val="26A06AEA"/>
    <w:rsid w:val="26A53EF9"/>
    <w:rsid w:val="26A86367"/>
    <w:rsid w:val="26A86F43"/>
    <w:rsid w:val="26A94201"/>
    <w:rsid w:val="26AC274F"/>
    <w:rsid w:val="26B15520"/>
    <w:rsid w:val="26C37006"/>
    <w:rsid w:val="27044A29"/>
    <w:rsid w:val="270A69E3"/>
    <w:rsid w:val="270D0373"/>
    <w:rsid w:val="271D34C8"/>
    <w:rsid w:val="276142BF"/>
    <w:rsid w:val="276E51C4"/>
    <w:rsid w:val="277255B9"/>
    <w:rsid w:val="27783712"/>
    <w:rsid w:val="27907362"/>
    <w:rsid w:val="28147979"/>
    <w:rsid w:val="28333E1D"/>
    <w:rsid w:val="283D7F45"/>
    <w:rsid w:val="28454BD6"/>
    <w:rsid w:val="28455253"/>
    <w:rsid w:val="28551971"/>
    <w:rsid w:val="285B1C53"/>
    <w:rsid w:val="28750676"/>
    <w:rsid w:val="289F7086"/>
    <w:rsid w:val="28C32028"/>
    <w:rsid w:val="28CC490F"/>
    <w:rsid w:val="28DE40AA"/>
    <w:rsid w:val="28F25980"/>
    <w:rsid w:val="28F6721F"/>
    <w:rsid w:val="292250A7"/>
    <w:rsid w:val="29345E77"/>
    <w:rsid w:val="29433BA2"/>
    <w:rsid w:val="294C65AD"/>
    <w:rsid w:val="296A5517"/>
    <w:rsid w:val="29790CBE"/>
    <w:rsid w:val="29806583"/>
    <w:rsid w:val="298B3C4C"/>
    <w:rsid w:val="29F26D24"/>
    <w:rsid w:val="29FD282F"/>
    <w:rsid w:val="2A033736"/>
    <w:rsid w:val="2A15033F"/>
    <w:rsid w:val="2A1662C1"/>
    <w:rsid w:val="2A1C7367"/>
    <w:rsid w:val="2A2815FA"/>
    <w:rsid w:val="2A4A162B"/>
    <w:rsid w:val="2A6D6092"/>
    <w:rsid w:val="2A7D76B4"/>
    <w:rsid w:val="2A825080"/>
    <w:rsid w:val="2AAA2063"/>
    <w:rsid w:val="2AD30360"/>
    <w:rsid w:val="2AED0654"/>
    <w:rsid w:val="2B437463"/>
    <w:rsid w:val="2B603075"/>
    <w:rsid w:val="2B7807EE"/>
    <w:rsid w:val="2BA50BF7"/>
    <w:rsid w:val="2BBF00EC"/>
    <w:rsid w:val="2BC37CFD"/>
    <w:rsid w:val="2BD5237F"/>
    <w:rsid w:val="2BE536CE"/>
    <w:rsid w:val="2BE758D9"/>
    <w:rsid w:val="2C09049E"/>
    <w:rsid w:val="2C0A653C"/>
    <w:rsid w:val="2C191F85"/>
    <w:rsid w:val="2C720EE2"/>
    <w:rsid w:val="2C7D3887"/>
    <w:rsid w:val="2C82701B"/>
    <w:rsid w:val="2CE82D6F"/>
    <w:rsid w:val="2CF02F61"/>
    <w:rsid w:val="2D037DFD"/>
    <w:rsid w:val="2D2F0F51"/>
    <w:rsid w:val="2D343236"/>
    <w:rsid w:val="2DD15014"/>
    <w:rsid w:val="2DF72DE4"/>
    <w:rsid w:val="2E0220AF"/>
    <w:rsid w:val="2E4B082A"/>
    <w:rsid w:val="2E4B5103"/>
    <w:rsid w:val="2E5D4E86"/>
    <w:rsid w:val="2E5D790B"/>
    <w:rsid w:val="2E8D60F4"/>
    <w:rsid w:val="2E9A3C18"/>
    <w:rsid w:val="2EBB0FEE"/>
    <w:rsid w:val="2EC63002"/>
    <w:rsid w:val="2F0A6B38"/>
    <w:rsid w:val="2F946CCB"/>
    <w:rsid w:val="2FD25781"/>
    <w:rsid w:val="2FDC745C"/>
    <w:rsid w:val="2FFD7934"/>
    <w:rsid w:val="306163E6"/>
    <w:rsid w:val="30733ACD"/>
    <w:rsid w:val="308C3862"/>
    <w:rsid w:val="309379D8"/>
    <w:rsid w:val="30A270F7"/>
    <w:rsid w:val="30DF1478"/>
    <w:rsid w:val="30EC586F"/>
    <w:rsid w:val="30EE16B1"/>
    <w:rsid w:val="31883CF0"/>
    <w:rsid w:val="319C6071"/>
    <w:rsid w:val="31A11ECE"/>
    <w:rsid w:val="31AC537E"/>
    <w:rsid w:val="31E3679B"/>
    <w:rsid w:val="31E732FD"/>
    <w:rsid w:val="31E931F7"/>
    <w:rsid w:val="32517576"/>
    <w:rsid w:val="32BE5C2C"/>
    <w:rsid w:val="32C64E6F"/>
    <w:rsid w:val="32D63C1D"/>
    <w:rsid w:val="32E3401B"/>
    <w:rsid w:val="32FB6478"/>
    <w:rsid w:val="332410BB"/>
    <w:rsid w:val="33263B3F"/>
    <w:rsid w:val="33475064"/>
    <w:rsid w:val="336963EB"/>
    <w:rsid w:val="33756F9C"/>
    <w:rsid w:val="33816EEB"/>
    <w:rsid w:val="33EB55CD"/>
    <w:rsid w:val="33EC4C02"/>
    <w:rsid w:val="33FC5673"/>
    <w:rsid w:val="33FF7F86"/>
    <w:rsid w:val="340D2360"/>
    <w:rsid w:val="3410665D"/>
    <w:rsid w:val="34211214"/>
    <w:rsid w:val="342E63AB"/>
    <w:rsid w:val="34950E68"/>
    <w:rsid w:val="34986E94"/>
    <w:rsid w:val="34A27892"/>
    <w:rsid w:val="34A55F9D"/>
    <w:rsid w:val="34AF62C9"/>
    <w:rsid w:val="34BB0E6C"/>
    <w:rsid w:val="34CB4388"/>
    <w:rsid w:val="34CE1050"/>
    <w:rsid w:val="34EF55D5"/>
    <w:rsid w:val="34FA6E12"/>
    <w:rsid w:val="35280085"/>
    <w:rsid w:val="354D7158"/>
    <w:rsid w:val="358D5588"/>
    <w:rsid w:val="360246AF"/>
    <w:rsid w:val="363A3B40"/>
    <w:rsid w:val="3646125C"/>
    <w:rsid w:val="365302AE"/>
    <w:rsid w:val="36607A0A"/>
    <w:rsid w:val="366E227C"/>
    <w:rsid w:val="366F2E0D"/>
    <w:rsid w:val="367125DA"/>
    <w:rsid w:val="367B6A5C"/>
    <w:rsid w:val="367D5E6C"/>
    <w:rsid w:val="36A52284"/>
    <w:rsid w:val="36A74ADA"/>
    <w:rsid w:val="36AD60D5"/>
    <w:rsid w:val="36B129D7"/>
    <w:rsid w:val="36B224F9"/>
    <w:rsid w:val="36EC0CC9"/>
    <w:rsid w:val="371E0226"/>
    <w:rsid w:val="373F410B"/>
    <w:rsid w:val="37BF7375"/>
    <w:rsid w:val="37EE7094"/>
    <w:rsid w:val="3802360F"/>
    <w:rsid w:val="3809239F"/>
    <w:rsid w:val="380E11B5"/>
    <w:rsid w:val="38296C89"/>
    <w:rsid w:val="383002EB"/>
    <w:rsid w:val="38586797"/>
    <w:rsid w:val="388859B9"/>
    <w:rsid w:val="38BC0149"/>
    <w:rsid w:val="38D87D1C"/>
    <w:rsid w:val="38DF0E61"/>
    <w:rsid w:val="3902576C"/>
    <w:rsid w:val="39403E42"/>
    <w:rsid w:val="39624AD9"/>
    <w:rsid w:val="39636459"/>
    <w:rsid w:val="396B7F6C"/>
    <w:rsid w:val="39B417A9"/>
    <w:rsid w:val="39B45A4A"/>
    <w:rsid w:val="39CD2AE4"/>
    <w:rsid w:val="39CF79FB"/>
    <w:rsid w:val="39FC5695"/>
    <w:rsid w:val="3A00388D"/>
    <w:rsid w:val="3A006D8E"/>
    <w:rsid w:val="3A190FBF"/>
    <w:rsid w:val="3A204F94"/>
    <w:rsid w:val="3A3651E5"/>
    <w:rsid w:val="3A744481"/>
    <w:rsid w:val="3A8C7BEF"/>
    <w:rsid w:val="3A906246"/>
    <w:rsid w:val="3A995C5C"/>
    <w:rsid w:val="3AAA1C17"/>
    <w:rsid w:val="3ADF21C2"/>
    <w:rsid w:val="3AE67AB9"/>
    <w:rsid w:val="3B147F21"/>
    <w:rsid w:val="3B2349B7"/>
    <w:rsid w:val="3B616CFF"/>
    <w:rsid w:val="3B6259F6"/>
    <w:rsid w:val="3B862684"/>
    <w:rsid w:val="3B976654"/>
    <w:rsid w:val="3BC01EFC"/>
    <w:rsid w:val="3BCA786A"/>
    <w:rsid w:val="3BD31E2F"/>
    <w:rsid w:val="3BD74C8E"/>
    <w:rsid w:val="3BF15831"/>
    <w:rsid w:val="3C105946"/>
    <w:rsid w:val="3C471448"/>
    <w:rsid w:val="3C5F759A"/>
    <w:rsid w:val="3C634773"/>
    <w:rsid w:val="3C6C525A"/>
    <w:rsid w:val="3C7760E1"/>
    <w:rsid w:val="3CAD3311"/>
    <w:rsid w:val="3CCE23CB"/>
    <w:rsid w:val="3CD17D17"/>
    <w:rsid w:val="3D3C7F39"/>
    <w:rsid w:val="3D422F12"/>
    <w:rsid w:val="3D440F09"/>
    <w:rsid w:val="3D4504A0"/>
    <w:rsid w:val="3D460FB8"/>
    <w:rsid w:val="3D8734BB"/>
    <w:rsid w:val="3D9A11D4"/>
    <w:rsid w:val="3DA16D89"/>
    <w:rsid w:val="3DA364BE"/>
    <w:rsid w:val="3DE041CB"/>
    <w:rsid w:val="3E0D48F6"/>
    <w:rsid w:val="3E1868B4"/>
    <w:rsid w:val="3E35446A"/>
    <w:rsid w:val="3E377251"/>
    <w:rsid w:val="3E42664B"/>
    <w:rsid w:val="3E58678A"/>
    <w:rsid w:val="3E5A7334"/>
    <w:rsid w:val="3E7B5D6B"/>
    <w:rsid w:val="3E843E66"/>
    <w:rsid w:val="3E8F51FE"/>
    <w:rsid w:val="3E926F87"/>
    <w:rsid w:val="3E9A59DE"/>
    <w:rsid w:val="3E9B4B1E"/>
    <w:rsid w:val="3EAF4836"/>
    <w:rsid w:val="3EC00860"/>
    <w:rsid w:val="3EC33DFA"/>
    <w:rsid w:val="3F060E16"/>
    <w:rsid w:val="3F1D1096"/>
    <w:rsid w:val="3F2F0234"/>
    <w:rsid w:val="3F6363FE"/>
    <w:rsid w:val="3F756B8F"/>
    <w:rsid w:val="3F852C53"/>
    <w:rsid w:val="3F95482B"/>
    <w:rsid w:val="3FA74527"/>
    <w:rsid w:val="4019356B"/>
    <w:rsid w:val="40592157"/>
    <w:rsid w:val="406E1CAE"/>
    <w:rsid w:val="409E2A47"/>
    <w:rsid w:val="40A0133A"/>
    <w:rsid w:val="40C1415E"/>
    <w:rsid w:val="40C31A53"/>
    <w:rsid w:val="40D55514"/>
    <w:rsid w:val="40FF545D"/>
    <w:rsid w:val="410067C8"/>
    <w:rsid w:val="4152091B"/>
    <w:rsid w:val="416176D3"/>
    <w:rsid w:val="41827BD7"/>
    <w:rsid w:val="418F0D2A"/>
    <w:rsid w:val="4198795D"/>
    <w:rsid w:val="41D01505"/>
    <w:rsid w:val="41DD5DCE"/>
    <w:rsid w:val="42132D21"/>
    <w:rsid w:val="4246491B"/>
    <w:rsid w:val="42474939"/>
    <w:rsid w:val="424961B9"/>
    <w:rsid w:val="424C3C57"/>
    <w:rsid w:val="42613FF3"/>
    <w:rsid w:val="42660D96"/>
    <w:rsid w:val="428667D2"/>
    <w:rsid w:val="42951DBC"/>
    <w:rsid w:val="42CD1CE0"/>
    <w:rsid w:val="42E1381E"/>
    <w:rsid w:val="42ED6459"/>
    <w:rsid w:val="42FE58DD"/>
    <w:rsid w:val="43174B3D"/>
    <w:rsid w:val="4339622E"/>
    <w:rsid w:val="434B790E"/>
    <w:rsid w:val="434C75CB"/>
    <w:rsid w:val="4360274F"/>
    <w:rsid w:val="437D25BE"/>
    <w:rsid w:val="43977AB6"/>
    <w:rsid w:val="43A3342B"/>
    <w:rsid w:val="43B243C5"/>
    <w:rsid w:val="43C77C27"/>
    <w:rsid w:val="43DE09EE"/>
    <w:rsid w:val="43EC14F2"/>
    <w:rsid w:val="44002FAD"/>
    <w:rsid w:val="4408510A"/>
    <w:rsid w:val="441C37AA"/>
    <w:rsid w:val="444B3D92"/>
    <w:rsid w:val="449101DD"/>
    <w:rsid w:val="449A2CFC"/>
    <w:rsid w:val="44CD797E"/>
    <w:rsid w:val="44DE1391"/>
    <w:rsid w:val="44E61BF1"/>
    <w:rsid w:val="451B225C"/>
    <w:rsid w:val="451E0AF1"/>
    <w:rsid w:val="452410C9"/>
    <w:rsid w:val="45317DFB"/>
    <w:rsid w:val="456D3CE4"/>
    <w:rsid w:val="4579042C"/>
    <w:rsid w:val="457F0571"/>
    <w:rsid w:val="45851176"/>
    <w:rsid w:val="45C55BC2"/>
    <w:rsid w:val="45C63B94"/>
    <w:rsid w:val="460E7DA5"/>
    <w:rsid w:val="46195EA3"/>
    <w:rsid w:val="46422483"/>
    <w:rsid w:val="464473C4"/>
    <w:rsid w:val="464A0752"/>
    <w:rsid w:val="464E1FF0"/>
    <w:rsid w:val="4659254A"/>
    <w:rsid w:val="465B0637"/>
    <w:rsid w:val="465E3F0D"/>
    <w:rsid w:val="466A16E6"/>
    <w:rsid w:val="46893F2B"/>
    <w:rsid w:val="46911EDD"/>
    <w:rsid w:val="46C444E6"/>
    <w:rsid w:val="46C4686E"/>
    <w:rsid w:val="46FE5BC0"/>
    <w:rsid w:val="47052704"/>
    <w:rsid w:val="477B778F"/>
    <w:rsid w:val="478203EC"/>
    <w:rsid w:val="47956946"/>
    <w:rsid w:val="47B025FA"/>
    <w:rsid w:val="47B6609F"/>
    <w:rsid w:val="47D84C18"/>
    <w:rsid w:val="47FD3CCE"/>
    <w:rsid w:val="48007A58"/>
    <w:rsid w:val="480473E7"/>
    <w:rsid w:val="4809698F"/>
    <w:rsid w:val="4811697D"/>
    <w:rsid w:val="487A3E25"/>
    <w:rsid w:val="488B5503"/>
    <w:rsid w:val="48937E21"/>
    <w:rsid w:val="489A0361"/>
    <w:rsid w:val="48A8102D"/>
    <w:rsid w:val="48B94FF3"/>
    <w:rsid w:val="48E37AAB"/>
    <w:rsid w:val="48FD4B4C"/>
    <w:rsid w:val="490A68E0"/>
    <w:rsid w:val="491055FE"/>
    <w:rsid w:val="4916491B"/>
    <w:rsid w:val="492E1B8B"/>
    <w:rsid w:val="492F5D76"/>
    <w:rsid w:val="494D6D05"/>
    <w:rsid w:val="495F5B3E"/>
    <w:rsid w:val="496F77D7"/>
    <w:rsid w:val="497654FD"/>
    <w:rsid w:val="497A30FC"/>
    <w:rsid w:val="49B64211"/>
    <w:rsid w:val="49D41AAC"/>
    <w:rsid w:val="49F6167F"/>
    <w:rsid w:val="4A064FA0"/>
    <w:rsid w:val="4A16615C"/>
    <w:rsid w:val="4A4424D7"/>
    <w:rsid w:val="4A553B36"/>
    <w:rsid w:val="4AA23939"/>
    <w:rsid w:val="4AB82D0F"/>
    <w:rsid w:val="4AEB7664"/>
    <w:rsid w:val="4AFD7C19"/>
    <w:rsid w:val="4B0567D1"/>
    <w:rsid w:val="4B236AAE"/>
    <w:rsid w:val="4B2F799D"/>
    <w:rsid w:val="4B4C1113"/>
    <w:rsid w:val="4B5F2907"/>
    <w:rsid w:val="4B707271"/>
    <w:rsid w:val="4B9739F7"/>
    <w:rsid w:val="4BB01057"/>
    <w:rsid w:val="4BE43BF5"/>
    <w:rsid w:val="4BEE2503"/>
    <w:rsid w:val="4BF727EA"/>
    <w:rsid w:val="4C150274"/>
    <w:rsid w:val="4C245A30"/>
    <w:rsid w:val="4C6D0CF6"/>
    <w:rsid w:val="4CB6685F"/>
    <w:rsid w:val="4CC367FE"/>
    <w:rsid w:val="4CE40929"/>
    <w:rsid w:val="4D077F3C"/>
    <w:rsid w:val="4D123355"/>
    <w:rsid w:val="4D2A3B31"/>
    <w:rsid w:val="4D312C52"/>
    <w:rsid w:val="4D330192"/>
    <w:rsid w:val="4D834C75"/>
    <w:rsid w:val="4D905305"/>
    <w:rsid w:val="4D9329DF"/>
    <w:rsid w:val="4D964A72"/>
    <w:rsid w:val="4D9C1254"/>
    <w:rsid w:val="4D9E5B15"/>
    <w:rsid w:val="4DA150FB"/>
    <w:rsid w:val="4DAE2411"/>
    <w:rsid w:val="4DC112FA"/>
    <w:rsid w:val="4DDE0552"/>
    <w:rsid w:val="4E1458CD"/>
    <w:rsid w:val="4E201A58"/>
    <w:rsid w:val="4E3715BC"/>
    <w:rsid w:val="4E793892"/>
    <w:rsid w:val="4E800872"/>
    <w:rsid w:val="4EC569ED"/>
    <w:rsid w:val="4ECB5AAD"/>
    <w:rsid w:val="4ED50EA1"/>
    <w:rsid w:val="4EEC050C"/>
    <w:rsid w:val="4F104EC3"/>
    <w:rsid w:val="4F47354A"/>
    <w:rsid w:val="4F836998"/>
    <w:rsid w:val="4F911C54"/>
    <w:rsid w:val="4FCD7C33"/>
    <w:rsid w:val="4FE625E0"/>
    <w:rsid w:val="5021480F"/>
    <w:rsid w:val="505C301C"/>
    <w:rsid w:val="505D502C"/>
    <w:rsid w:val="50962ECB"/>
    <w:rsid w:val="50A42E38"/>
    <w:rsid w:val="50A4577F"/>
    <w:rsid w:val="50B73D1F"/>
    <w:rsid w:val="50BD5BC9"/>
    <w:rsid w:val="50C11EEE"/>
    <w:rsid w:val="50E97CFC"/>
    <w:rsid w:val="50FA4028"/>
    <w:rsid w:val="510065DD"/>
    <w:rsid w:val="510D65B7"/>
    <w:rsid w:val="511157AB"/>
    <w:rsid w:val="5142540C"/>
    <w:rsid w:val="51491D32"/>
    <w:rsid w:val="518832C8"/>
    <w:rsid w:val="519531C9"/>
    <w:rsid w:val="519D3C50"/>
    <w:rsid w:val="51A0432A"/>
    <w:rsid w:val="51A86090"/>
    <w:rsid w:val="51B7396D"/>
    <w:rsid w:val="522E4CC3"/>
    <w:rsid w:val="5244713B"/>
    <w:rsid w:val="52552958"/>
    <w:rsid w:val="52615633"/>
    <w:rsid w:val="526F4DE4"/>
    <w:rsid w:val="5287592D"/>
    <w:rsid w:val="52977FD4"/>
    <w:rsid w:val="52A25790"/>
    <w:rsid w:val="52A96B6F"/>
    <w:rsid w:val="52B45975"/>
    <w:rsid w:val="52D7511B"/>
    <w:rsid w:val="52D94AA4"/>
    <w:rsid w:val="52EA3A62"/>
    <w:rsid w:val="52F50BB8"/>
    <w:rsid w:val="52F61A46"/>
    <w:rsid w:val="53097272"/>
    <w:rsid w:val="530F48B5"/>
    <w:rsid w:val="53376E9E"/>
    <w:rsid w:val="534C1537"/>
    <w:rsid w:val="53544462"/>
    <w:rsid w:val="53754537"/>
    <w:rsid w:val="53780771"/>
    <w:rsid w:val="5397158E"/>
    <w:rsid w:val="53B34F17"/>
    <w:rsid w:val="53E325D5"/>
    <w:rsid w:val="54013861"/>
    <w:rsid w:val="54487265"/>
    <w:rsid w:val="544D6070"/>
    <w:rsid w:val="54520EFE"/>
    <w:rsid w:val="545963E7"/>
    <w:rsid w:val="54605E1E"/>
    <w:rsid w:val="549556E2"/>
    <w:rsid w:val="54B3506A"/>
    <w:rsid w:val="54C55B73"/>
    <w:rsid w:val="54CA0D16"/>
    <w:rsid w:val="54DD4057"/>
    <w:rsid w:val="54E7490F"/>
    <w:rsid w:val="54F75F49"/>
    <w:rsid w:val="550764A4"/>
    <w:rsid w:val="550B2BF6"/>
    <w:rsid w:val="55191A1B"/>
    <w:rsid w:val="551A3A79"/>
    <w:rsid w:val="55214EB5"/>
    <w:rsid w:val="55364EFD"/>
    <w:rsid w:val="555D4828"/>
    <w:rsid w:val="55664241"/>
    <w:rsid w:val="557A4C8B"/>
    <w:rsid w:val="558931E1"/>
    <w:rsid w:val="55923347"/>
    <w:rsid w:val="55925180"/>
    <w:rsid w:val="55983B1B"/>
    <w:rsid w:val="559B68D4"/>
    <w:rsid w:val="55A8376B"/>
    <w:rsid w:val="55D122F6"/>
    <w:rsid w:val="55DC29B6"/>
    <w:rsid w:val="55DD4241"/>
    <w:rsid w:val="55EE10FA"/>
    <w:rsid w:val="55F935FB"/>
    <w:rsid w:val="562C39D0"/>
    <w:rsid w:val="566B6D1E"/>
    <w:rsid w:val="56946307"/>
    <w:rsid w:val="56B71078"/>
    <w:rsid w:val="57032A2C"/>
    <w:rsid w:val="570F5219"/>
    <w:rsid w:val="572E78E5"/>
    <w:rsid w:val="575D12B5"/>
    <w:rsid w:val="57610A87"/>
    <w:rsid w:val="57684EDC"/>
    <w:rsid w:val="57715B3F"/>
    <w:rsid w:val="577B1140"/>
    <w:rsid w:val="577B7F21"/>
    <w:rsid w:val="577F181B"/>
    <w:rsid w:val="57921984"/>
    <w:rsid w:val="579737F0"/>
    <w:rsid w:val="57AB7B30"/>
    <w:rsid w:val="57AC43C7"/>
    <w:rsid w:val="57AF5251"/>
    <w:rsid w:val="57B26373"/>
    <w:rsid w:val="57B63F04"/>
    <w:rsid w:val="57CD20C2"/>
    <w:rsid w:val="57D675AB"/>
    <w:rsid w:val="57D95FDD"/>
    <w:rsid w:val="58096624"/>
    <w:rsid w:val="582C1122"/>
    <w:rsid w:val="58596FB4"/>
    <w:rsid w:val="585F62DF"/>
    <w:rsid w:val="58763360"/>
    <w:rsid w:val="58917D2F"/>
    <w:rsid w:val="5894085C"/>
    <w:rsid w:val="58A504A8"/>
    <w:rsid w:val="58AE4F0C"/>
    <w:rsid w:val="58B85899"/>
    <w:rsid w:val="58C41652"/>
    <w:rsid w:val="58CE0D6F"/>
    <w:rsid w:val="58CF5213"/>
    <w:rsid w:val="58E363A9"/>
    <w:rsid w:val="591E264C"/>
    <w:rsid w:val="595E1678"/>
    <w:rsid w:val="596D5BD4"/>
    <w:rsid w:val="597E3DD8"/>
    <w:rsid w:val="599B0F4B"/>
    <w:rsid w:val="599E5B95"/>
    <w:rsid w:val="59F80043"/>
    <w:rsid w:val="5A09252F"/>
    <w:rsid w:val="5A0B2778"/>
    <w:rsid w:val="5A2A7C7B"/>
    <w:rsid w:val="5A3E2560"/>
    <w:rsid w:val="5A5D3B6E"/>
    <w:rsid w:val="5A637A76"/>
    <w:rsid w:val="5A6D33BA"/>
    <w:rsid w:val="5A7871E4"/>
    <w:rsid w:val="5A7914CD"/>
    <w:rsid w:val="5A792B1F"/>
    <w:rsid w:val="5A874767"/>
    <w:rsid w:val="5A93401E"/>
    <w:rsid w:val="5AA13C8E"/>
    <w:rsid w:val="5AA85BE2"/>
    <w:rsid w:val="5AAD6F28"/>
    <w:rsid w:val="5ABE2749"/>
    <w:rsid w:val="5AD63A24"/>
    <w:rsid w:val="5AE51A4D"/>
    <w:rsid w:val="5B2E1A1D"/>
    <w:rsid w:val="5B3061CC"/>
    <w:rsid w:val="5B3D63BA"/>
    <w:rsid w:val="5B821789"/>
    <w:rsid w:val="5B843A1C"/>
    <w:rsid w:val="5B873E3F"/>
    <w:rsid w:val="5BF803A6"/>
    <w:rsid w:val="5C02690E"/>
    <w:rsid w:val="5C196DA7"/>
    <w:rsid w:val="5C2A048C"/>
    <w:rsid w:val="5C4D2220"/>
    <w:rsid w:val="5C6D406A"/>
    <w:rsid w:val="5C765E63"/>
    <w:rsid w:val="5C80234E"/>
    <w:rsid w:val="5C8A680C"/>
    <w:rsid w:val="5CA109A2"/>
    <w:rsid w:val="5CAA564F"/>
    <w:rsid w:val="5CE51D10"/>
    <w:rsid w:val="5CFD1E17"/>
    <w:rsid w:val="5D0C4701"/>
    <w:rsid w:val="5D0F0395"/>
    <w:rsid w:val="5D1A006B"/>
    <w:rsid w:val="5D221076"/>
    <w:rsid w:val="5D397964"/>
    <w:rsid w:val="5D4C2378"/>
    <w:rsid w:val="5D5A391C"/>
    <w:rsid w:val="5D5F10C0"/>
    <w:rsid w:val="5D6D01BF"/>
    <w:rsid w:val="5D790E2F"/>
    <w:rsid w:val="5D891B7B"/>
    <w:rsid w:val="5DA402F0"/>
    <w:rsid w:val="5DAD38EE"/>
    <w:rsid w:val="5DBA5079"/>
    <w:rsid w:val="5DC76063"/>
    <w:rsid w:val="5DE66666"/>
    <w:rsid w:val="5DF70EE1"/>
    <w:rsid w:val="5E006862"/>
    <w:rsid w:val="5E0207B9"/>
    <w:rsid w:val="5E1834A1"/>
    <w:rsid w:val="5E261785"/>
    <w:rsid w:val="5E3F0AE5"/>
    <w:rsid w:val="5E4A7017"/>
    <w:rsid w:val="5E552BBA"/>
    <w:rsid w:val="5E611C10"/>
    <w:rsid w:val="5E645BA0"/>
    <w:rsid w:val="5E7A0F3F"/>
    <w:rsid w:val="5EF332DD"/>
    <w:rsid w:val="5EF527CE"/>
    <w:rsid w:val="5EFC7377"/>
    <w:rsid w:val="5F06174D"/>
    <w:rsid w:val="5F3A3602"/>
    <w:rsid w:val="5F45733B"/>
    <w:rsid w:val="5F6277C6"/>
    <w:rsid w:val="5F6D0B1D"/>
    <w:rsid w:val="5F8D0B82"/>
    <w:rsid w:val="5FCC5339"/>
    <w:rsid w:val="5FE34A5B"/>
    <w:rsid w:val="5FFE1E36"/>
    <w:rsid w:val="601B1160"/>
    <w:rsid w:val="60232584"/>
    <w:rsid w:val="604714C1"/>
    <w:rsid w:val="60600E46"/>
    <w:rsid w:val="607330CE"/>
    <w:rsid w:val="607466A0"/>
    <w:rsid w:val="60825176"/>
    <w:rsid w:val="609F2AC4"/>
    <w:rsid w:val="60DD2680"/>
    <w:rsid w:val="60FA2EE8"/>
    <w:rsid w:val="61054A27"/>
    <w:rsid w:val="610A52BC"/>
    <w:rsid w:val="610D059B"/>
    <w:rsid w:val="610F77E0"/>
    <w:rsid w:val="611D2366"/>
    <w:rsid w:val="61421856"/>
    <w:rsid w:val="615227C4"/>
    <w:rsid w:val="61654E3F"/>
    <w:rsid w:val="616A14E3"/>
    <w:rsid w:val="616C7742"/>
    <w:rsid w:val="617D1968"/>
    <w:rsid w:val="6182292A"/>
    <w:rsid w:val="618A738C"/>
    <w:rsid w:val="619C04EF"/>
    <w:rsid w:val="619F7F92"/>
    <w:rsid w:val="61F94C26"/>
    <w:rsid w:val="62000E56"/>
    <w:rsid w:val="624B1296"/>
    <w:rsid w:val="624F3E49"/>
    <w:rsid w:val="62632286"/>
    <w:rsid w:val="62710E5F"/>
    <w:rsid w:val="62885958"/>
    <w:rsid w:val="628D38D1"/>
    <w:rsid w:val="62A579B9"/>
    <w:rsid w:val="62CF72F8"/>
    <w:rsid w:val="62F40B65"/>
    <w:rsid w:val="62FC2CFE"/>
    <w:rsid w:val="63024505"/>
    <w:rsid w:val="63454CBA"/>
    <w:rsid w:val="634E24E0"/>
    <w:rsid w:val="635600A5"/>
    <w:rsid w:val="635B1DB5"/>
    <w:rsid w:val="63711FED"/>
    <w:rsid w:val="637559D7"/>
    <w:rsid w:val="63880DDC"/>
    <w:rsid w:val="638D750D"/>
    <w:rsid w:val="63AC6CC0"/>
    <w:rsid w:val="63EB4ECB"/>
    <w:rsid w:val="63F23480"/>
    <w:rsid w:val="64055776"/>
    <w:rsid w:val="641F5B67"/>
    <w:rsid w:val="64240056"/>
    <w:rsid w:val="64341C13"/>
    <w:rsid w:val="643E143A"/>
    <w:rsid w:val="64491666"/>
    <w:rsid w:val="64495E0B"/>
    <w:rsid w:val="644F5459"/>
    <w:rsid w:val="64691305"/>
    <w:rsid w:val="64694640"/>
    <w:rsid w:val="648B6EEF"/>
    <w:rsid w:val="64B96711"/>
    <w:rsid w:val="64C158BF"/>
    <w:rsid w:val="64CE2EAA"/>
    <w:rsid w:val="64CF0348"/>
    <w:rsid w:val="653C3090"/>
    <w:rsid w:val="65401246"/>
    <w:rsid w:val="65562818"/>
    <w:rsid w:val="65854376"/>
    <w:rsid w:val="658767BE"/>
    <w:rsid w:val="65892531"/>
    <w:rsid w:val="65BB267B"/>
    <w:rsid w:val="65C634F9"/>
    <w:rsid w:val="65CC62CA"/>
    <w:rsid w:val="65D877BB"/>
    <w:rsid w:val="66195831"/>
    <w:rsid w:val="662E75B1"/>
    <w:rsid w:val="66342C2E"/>
    <w:rsid w:val="663E784C"/>
    <w:rsid w:val="664B7EA3"/>
    <w:rsid w:val="667A4D80"/>
    <w:rsid w:val="668A0D6B"/>
    <w:rsid w:val="668B6A45"/>
    <w:rsid w:val="66D863DF"/>
    <w:rsid w:val="66E33128"/>
    <w:rsid w:val="66E83943"/>
    <w:rsid w:val="67112C4A"/>
    <w:rsid w:val="672F3F24"/>
    <w:rsid w:val="673E055F"/>
    <w:rsid w:val="67551CE3"/>
    <w:rsid w:val="676D546F"/>
    <w:rsid w:val="67A22552"/>
    <w:rsid w:val="67AA4E8D"/>
    <w:rsid w:val="67B22DCC"/>
    <w:rsid w:val="67BE71AA"/>
    <w:rsid w:val="67CF7323"/>
    <w:rsid w:val="67D90273"/>
    <w:rsid w:val="67D92476"/>
    <w:rsid w:val="67DE5875"/>
    <w:rsid w:val="67E1286C"/>
    <w:rsid w:val="67E55852"/>
    <w:rsid w:val="67EB1AB4"/>
    <w:rsid w:val="67FA1285"/>
    <w:rsid w:val="68203D1B"/>
    <w:rsid w:val="68420E31"/>
    <w:rsid w:val="68551F4F"/>
    <w:rsid w:val="687C10C9"/>
    <w:rsid w:val="68840C16"/>
    <w:rsid w:val="68876EFB"/>
    <w:rsid w:val="68884654"/>
    <w:rsid w:val="689F444F"/>
    <w:rsid w:val="68B96DBB"/>
    <w:rsid w:val="68CA2805"/>
    <w:rsid w:val="68E937A3"/>
    <w:rsid w:val="68F264B9"/>
    <w:rsid w:val="68FB149A"/>
    <w:rsid w:val="691B3DD3"/>
    <w:rsid w:val="692E2278"/>
    <w:rsid w:val="6939050C"/>
    <w:rsid w:val="693E15D3"/>
    <w:rsid w:val="694A1976"/>
    <w:rsid w:val="69627681"/>
    <w:rsid w:val="6977531D"/>
    <w:rsid w:val="69CC2BFF"/>
    <w:rsid w:val="69F35EE6"/>
    <w:rsid w:val="69FD55B8"/>
    <w:rsid w:val="6A0B1C62"/>
    <w:rsid w:val="6A2406C8"/>
    <w:rsid w:val="6A2627B9"/>
    <w:rsid w:val="6A2F6D4A"/>
    <w:rsid w:val="6A60030A"/>
    <w:rsid w:val="6A9A1ADF"/>
    <w:rsid w:val="6ADE0BD1"/>
    <w:rsid w:val="6ADF7409"/>
    <w:rsid w:val="6AE81378"/>
    <w:rsid w:val="6AE96859"/>
    <w:rsid w:val="6AFF774B"/>
    <w:rsid w:val="6B147746"/>
    <w:rsid w:val="6B24787C"/>
    <w:rsid w:val="6B4B135A"/>
    <w:rsid w:val="6B573233"/>
    <w:rsid w:val="6B5B6274"/>
    <w:rsid w:val="6B6356B9"/>
    <w:rsid w:val="6B935D53"/>
    <w:rsid w:val="6B9D4CFC"/>
    <w:rsid w:val="6BD20370"/>
    <w:rsid w:val="6C1316F7"/>
    <w:rsid w:val="6C196F71"/>
    <w:rsid w:val="6C226FCB"/>
    <w:rsid w:val="6C31226F"/>
    <w:rsid w:val="6C517EC7"/>
    <w:rsid w:val="6C53505A"/>
    <w:rsid w:val="6C552F0B"/>
    <w:rsid w:val="6C8C67B7"/>
    <w:rsid w:val="6C9D744C"/>
    <w:rsid w:val="6CDC0A28"/>
    <w:rsid w:val="6D167928"/>
    <w:rsid w:val="6D26299B"/>
    <w:rsid w:val="6D4772EC"/>
    <w:rsid w:val="6D521531"/>
    <w:rsid w:val="6D9078AF"/>
    <w:rsid w:val="6DAA3FEF"/>
    <w:rsid w:val="6DC0172B"/>
    <w:rsid w:val="6DC903DE"/>
    <w:rsid w:val="6DCB690C"/>
    <w:rsid w:val="6DD41A5B"/>
    <w:rsid w:val="6DDB7D5E"/>
    <w:rsid w:val="6DF43C2E"/>
    <w:rsid w:val="6DF51CA3"/>
    <w:rsid w:val="6E0E0133"/>
    <w:rsid w:val="6E3155F7"/>
    <w:rsid w:val="6E6F0A62"/>
    <w:rsid w:val="6E8335BD"/>
    <w:rsid w:val="6E8E12EF"/>
    <w:rsid w:val="6E972936"/>
    <w:rsid w:val="6ED446C5"/>
    <w:rsid w:val="6F2A7D94"/>
    <w:rsid w:val="6F5C0EDE"/>
    <w:rsid w:val="6F8331F1"/>
    <w:rsid w:val="6FAE1A09"/>
    <w:rsid w:val="6FBC59BA"/>
    <w:rsid w:val="6FD75BF8"/>
    <w:rsid w:val="707324D0"/>
    <w:rsid w:val="707723D0"/>
    <w:rsid w:val="70862203"/>
    <w:rsid w:val="70D37F0E"/>
    <w:rsid w:val="70F5661B"/>
    <w:rsid w:val="71360107"/>
    <w:rsid w:val="713B688E"/>
    <w:rsid w:val="713E0B8F"/>
    <w:rsid w:val="714459EF"/>
    <w:rsid w:val="7148279F"/>
    <w:rsid w:val="714D2D21"/>
    <w:rsid w:val="71841E1F"/>
    <w:rsid w:val="71D43752"/>
    <w:rsid w:val="71E96DDC"/>
    <w:rsid w:val="71F1796A"/>
    <w:rsid w:val="71FB63D5"/>
    <w:rsid w:val="720C351F"/>
    <w:rsid w:val="72154626"/>
    <w:rsid w:val="721E387A"/>
    <w:rsid w:val="72262B5D"/>
    <w:rsid w:val="72283FF7"/>
    <w:rsid w:val="722E7212"/>
    <w:rsid w:val="723A0474"/>
    <w:rsid w:val="725923E4"/>
    <w:rsid w:val="72864BF7"/>
    <w:rsid w:val="729023FC"/>
    <w:rsid w:val="729C763A"/>
    <w:rsid w:val="729E5013"/>
    <w:rsid w:val="73142912"/>
    <w:rsid w:val="731534B1"/>
    <w:rsid w:val="739D1E38"/>
    <w:rsid w:val="73C0646E"/>
    <w:rsid w:val="73E92965"/>
    <w:rsid w:val="742222F5"/>
    <w:rsid w:val="74476126"/>
    <w:rsid w:val="74706664"/>
    <w:rsid w:val="74791AE3"/>
    <w:rsid w:val="747F3682"/>
    <w:rsid w:val="749A44CF"/>
    <w:rsid w:val="749C4185"/>
    <w:rsid w:val="74E2079B"/>
    <w:rsid w:val="74E76FE8"/>
    <w:rsid w:val="75067759"/>
    <w:rsid w:val="752E6DCD"/>
    <w:rsid w:val="7551380D"/>
    <w:rsid w:val="755A7918"/>
    <w:rsid w:val="755D394A"/>
    <w:rsid w:val="75600BE5"/>
    <w:rsid w:val="75630CCD"/>
    <w:rsid w:val="7564475C"/>
    <w:rsid w:val="75774810"/>
    <w:rsid w:val="7583797F"/>
    <w:rsid w:val="759F4AB9"/>
    <w:rsid w:val="75AA603C"/>
    <w:rsid w:val="75D20F1D"/>
    <w:rsid w:val="75DA2C18"/>
    <w:rsid w:val="75DF48DB"/>
    <w:rsid w:val="75F54412"/>
    <w:rsid w:val="75FD3DF8"/>
    <w:rsid w:val="761D08E0"/>
    <w:rsid w:val="76227771"/>
    <w:rsid w:val="7633643A"/>
    <w:rsid w:val="764327B9"/>
    <w:rsid w:val="765D347C"/>
    <w:rsid w:val="76654669"/>
    <w:rsid w:val="76826699"/>
    <w:rsid w:val="769351CE"/>
    <w:rsid w:val="76C87133"/>
    <w:rsid w:val="76CD08D5"/>
    <w:rsid w:val="76DB4B92"/>
    <w:rsid w:val="77052AA4"/>
    <w:rsid w:val="77136511"/>
    <w:rsid w:val="77157E52"/>
    <w:rsid w:val="77340A39"/>
    <w:rsid w:val="77351FD0"/>
    <w:rsid w:val="77472422"/>
    <w:rsid w:val="776337C2"/>
    <w:rsid w:val="777727FC"/>
    <w:rsid w:val="777D1965"/>
    <w:rsid w:val="777F31F2"/>
    <w:rsid w:val="778E5E41"/>
    <w:rsid w:val="779720EC"/>
    <w:rsid w:val="77D1700D"/>
    <w:rsid w:val="77EC04CC"/>
    <w:rsid w:val="77EE6736"/>
    <w:rsid w:val="780454B4"/>
    <w:rsid w:val="786A6A9A"/>
    <w:rsid w:val="78775729"/>
    <w:rsid w:val="78A42DB0"/>
    <w:rsid w:val="78A656AB"/>
    <w:rsid w:val="78B2245C"/>
    <w:rsid w:val="78B96EEE"/>
    <w:rsid w:val="78E172CC"/>
    <w:rsid w:val="78EA1D1F"/>
    <w:rsid w:val="79036DC3"/>
    <w:rsid w:val="7904172F"/>
    <w:rsid w:val="790F7E27"/>
    <w:rsid w:val="792A231A"/>
    <w:rsid w:val="79314B25"/>
    <w:rsid w:val="79316829"/>
    <w:rsid w:val="79424897"/>
    <w:rsid w:val="794830FC"/>
    <w:rsid w:val="79631D75"/>
    <w:rsid w:val="797E66A9"/>
    <w:rsid w:val="798518A4"/>
    <w:rsid w:val="798D7F66"/>
    <w:rsid w:val="79A97383"/>
    <w:rsid w:val="79E27E8B"/>
    <w:rsid w:val="79F850CE"/>
    <w:rsid w:val="79FD003C"/>
    <w:rsid w:val="79FD443C"/>
    <w:rsid w:val="7A1D1975"/>
    <w:rsid w:val="7A3E5150"/>
    <w:rsid w:val="7A400926"/>
    <w:rsid w:val="7A4670D6"/>
    <w:rsid w:val="7A534B63"/>
    <w:rsid w:val="7A615382"/>
    <w:rsid w:val="7A67303B"/>
    <w:rsid w:val="7A9279F6"/>
    <w:rsid w:val="7AA1503F"/>
    <w:rsid w:val="7AAB1D04"/>
    <w:rsid w:val="7ABA4368"/>
    <w:rsid w:val="7AD05746"/>
    <w:rsid w:val="7B164183"/>
    <w:rsid w:val="7B257FFD"/>
    <w:rsid w:val="7B343476"/>
    <w:rsid w:val="7B51204A"/>
    <w:rsid w:val="7B5A2978"/>
    <w:rsid w:val="7B5A7E4C"/>
    <w:rsid w:val="7B667AF9"/>
    <w:rsid w:val="7B7468F8"/>
    <w:rsid w:val="7B9250B1"/>
    <w:rsid w:val="7BC34A15"/>
    <w:rsid w:val="7BEE0103"/>
    <w:rsid w:val="7C032906"/>
    <w:rsid w:val="7C0A0FE4"/>
    <w:rsid w:val="7C254906"/>
    <w:rsid w:val="7C590818"/>
    <w:rsid w:val="7C7C10F6"/>
    <w:rsid w:val="7C853BEA"/>
    <w:rsid w:val="7C881368"/>
    <w:rsid w:val="7CA95FA6"/>
    <w:rsid w:val="7CD564F7"/>
    <w:rsid w:val="7CDE33C7"/>
    <w:rsid w:val="7CE27788"/>
    <w:rsid w:val="7D0C32F1"/>
    <w:rsid w:val="7D0F408D"/>
    <w:rsid w:val="7D491C6C"/>
    <w:rsid w:val="7D5429C0"/>
    <w:rsid w:val="7D624406"/>
    <w:rsid w:val="7D6E6D43"/>
    <w:rsid w:val="7DB57A34"/>
    <w:rsid w:val="7DBB54B6"/>
    <w:rsid w:val="7DE60973"/>
    <w:rsid w:val="7DEF0916"/>
    <w:rsid w:val="7DFF25D4"/>
    <w:rsid w:val="7E1E5218"/>
    <w:rsid w:val="7E693D3E"/>
    <w:rsid w:val="7E6C679B"/>
    <w:rsid w:val="7E802F68"/>
    <w:rsid w:val="7E9A4E1F"/>
    <w:rsid w:val="7EA7723A"/>
    <w:rsid w:val="7EF56FBB"/>
    <w:rsid w:val="7F0768EB"/>
    <w:rsid w:val="7F122F1E"/>
    <w:rsid w:val="7F143BEC"/>
    <w:rsid w:val="7F362021"/>
    <w:rsid w:val="7F412978"/>
    <w:rsid w:val="7F715AF2"/>
    <w:rsid w:val="7F7B47F9"/>
    <w:rsid w:val="7F886E69"/>
    <w:rsid w:val="BB7FA927"/>
    <w:rsid w:val="EFF72F48"/>
    <w:rsid w:val="F5FFD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iPriority="0" w:semiHidden="0" w:name="List Bullet 3"/>
    <w:lsdException w:qFormat="1"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qFormat="1" w:unhideWhenUsed="0" w:uiPriority="0" w:semiHidden="0" w:name="Table Grid 5"/>
    <w:lsdException w:uiPriority="99" w:name="Table Grid 6"/>
    <w:lsdException w:uiPriority="99" w:name="Table Grid 7"/>
    <w:lsdException w:qFormat="1" w:unhideWhenUsed="0" w:uiPriority="0" w:semiHidden="0"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qFormat="1" w:unhideWhenUsed="0" w:uiPriority="0" w:semiHidden="0"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85"/>
    <w:autoRedefine/>
    <w:qFormat/>
    <w:uiPriority w:val="9"/>
    <w:pPr>
      <w:keepNext/>
      <w:keepLines/>
      <w:tabs>
        <w:tab w:val="left" w:pos="432"/>
      </w:tabs>
      <w:spacing w:before="340" w:after="330" w:line="578" w:lineRule="auto"/>
      <w:ind w:left="432" w:hanging="432"/>
      <w:outlineLvl w:val="0"/>
    </w:pPr>
    <w:rPr>
      <w:b/>
      <w:bCs/>
      <w:kern w:val="44"/>
      <w:sz w:val="44"/>
      <w:szCs w:val="44"/>
    </w:rPr>
  </w:style>
  <w:style w:type="paragraph" w:styleId="6">
    <w:name w:val="heading 2"/>
    <w:basedOn w:val="1"/>
    <w:next w:val="1"/>
    <w:autoRedefine/>
    <w:qFormat/>
    <w:uiPriority w:val="0"/>
    <w:pPr>
      <w:keepNext/>
      <w:keepLines/>
      <w:tabs>
        <w:tab w:val="left" w:pos="432"/>
      </w:tabs>
      <w:adjustRightInd/>
      <w:spacing w:line="360" w:lineRule="auto"/>
      <w:ind w:left="432" w:hanging="432"/>
      <w:jc w:val="left"/>
      <w:outlineLvl w:val="1"/>
    </w:pPr>
    <w:rPr>
      <w:rFonts w:ascii="仿宋_GB2312" w:hAnsi="仿宋" w:eastAsia="仿宋_GB2312"/>
      <w:b/>
      <w:bCs/>
      <w:sz w:val="32"/>
      <w:szCs w:val="32"/>
      <w:lang w:val="zh-CN"/>
    </w:rPr>
  </w:style>
  <w:style w:type="paragraph" w:styleId="7">
    <w:name w:val="heading 3"/>
    <w:basedOn w:val="1"/>
    <w:next w:val="1"/>
    <w:autoRedefine/>
    <w:qFormat/>
    <w:uiPriority w:val="0"/>
    <w:pPr>
      <w:keepNext/>
      <w:keepLines/>
      <w:tabs>
        <w:tab w:val="left" w:pos="900"/>
      </w:tabs>
      <w:spacing w:before="260" w:after="260" w:line="416" w:lineRule="auto"/>
      <w:ind w:left="900" w:hanging="720"/>
      <w:outlineLvl w:val="2"/>
    </w:pPr>
    <w:rPr>
      <w:b/>
      <w:bCs/>
      <w:sz w:val="32"/>
      <w:szCs w:val="32"/>
    </w:rPr>
  </w:style>
  <w:style w:type="paragraph" w:styleId="8">
    <w:name w:val="heading 4"/>
    <w:basedOn w:val="1"/>
    <w:next w:val="1"/>
    <w:link w:val="330"/>
    <w:autoRedefine/>
    <w:qFormat/>
    <w:uiPriority w:val="0"/>
    <w:pPr>
      <w:keepNext/>
      <w:keepLines/>
      <w:tabs>
        <w:tab w:val="left" w:pos="864"/>
      </w:tabs>
      <w:spacing w:before="280" w:after="290" w:line="376" w:lineRule="auto"/>
      <w:ind w:left="864" w:hanging="864"/>
      <w:outlineLvl w:val="3"/>
    </w:pPr>
    <w:rPr>
      <w:rFonts w:ascii="Arial" w:hAnsi="Arial" w:eastAsia="黑体"/>
      <w:b/>
      <w:bCs/>
      <w:sz w:val="28"/>
      <w:szCs w:val="28"/>
      <w:lang w:val="zh-CN"/>
    </w:rPr>
  </w:style>
  <w:style w:type="paragraph" w:styleId="9">
    <w:name w:val="heading 5"/>
    <w:basedOn w:val="1"/>
    <w:next w:val="1"/>
    <w:link w:val="295"/>
    <w:autoRedefine/>
    <w:qFormat/>
    <w:uiPriority w:val="0"/>
    <w:pPr>
      <w:keepNext/>
      <w:keepLines/>
      <w:tabs>
        <w:tab w:val="left" w:pos="1008"/>
      </w:tabs>
      <w:spacing w:before="280" w:after="290" w:line="376" w:lineRule="auto"/>
      <w:ind w:left="1008" w:hanging="1008"/>
      <w:outlineLvl w:val="4"/>
    </w:pPr>
    <w:rPr>
      <w:b/>
      <w:bCs/>
      <w:sz w:val="28"/>
      <w:szCs w:val="28"/>
    </w:rPr>
  </w:style>
  <w:style w:type="paragraph" w:styleId="10">
    <w:name w:val="heading 6"/>
    <w:basedOn w:val="1"/>
    <w:next w:val="1"/>
    <w:link w:val="149"/>
    <w:autoRedefine/>
    <w:qFormat/>
    <w:uiPriority w:val="0"/>
    <w:pPr>
      <w:keepNext/>
      <w:keepLines/>
      <w:tabs>
        <w:tab w:val="left" w:pos="1152"/>
      </w:tabs>
      <w:spacing w:before="240" w:after="64" w:line="320" w:lineRule="auto"/>
      <w:ind w:left="1152" w:hanging="1152"/>
      <w:outlineLvl w:val="5"/>
    </w:pPr>
    <w:rPr>
      <w:rFonts w:ascii="Arial" w:hAnsi="Arial" w:eastAsia="黑体"/>
      <w:b/>
      <w:bCs/>
      <w:sz w:val="24"/>
    </w:rPr>
  </w:style>
  <w:style w:type="paragraph" w:styleId="11">
    <w:name w:val="heading 7"/>
    <w:basedOn w:val="1"/>
    <w:next w:val="1"/>
    <w:link w:val="309"/>
    <w:autoRedefine/>
    <w:qFormat/>
    <w:uiPriority w:val="0"/>
    <w:pPr>
      <w:keepNext/>
      <w:keepLines/>
      <w:tabs>
        <w:tab w:val="left" w:pos="1296"/>
      </w:tabs>
      <w:spacing w:before="240" w:after="64" w:line="320" w:lineRule="auto"/>
      <w:ind w:left="1296" w:hanging="1296"/>
      <w:outlineLvl w:val="6"/>
    </w:pPr>
    <w:rPr>
      <w:b/>
      <w:bCs/>
      <w:sz w:val="24"/>
    </w:rPr>
  </w:style>
  <w:style w:type="paragraph" w:styleId="12">
    <w:name w:val="heading 8"/>
    <w:basedOn w:val="1"/>
    <w:next w:val="1"/>
    <w:link w:val="361"/>
    <w:autoRedefine/>
    <w:qFormat/>
    <w:uiPriority w:val="0"/>
    <w:pPr>
      <w:keepNext/>
      <w:keepLines/>
      <w:tabs>
        <w:tab w:val="left" w:pos="1440"/>
      </w:tabs>
      <w:spacing w:before="240" w:after="64" w:line="320" w:lineRule="auto"/>
      <w:ind w:left="1440" w:hanging="1440"/>
      <w:outlineLvl w:val="7"/>
    </w:pPr>
    <w:rPr>
      <w:rFonts w:ascii="Arial" w:hAnsi="Arial" w:eastAsia="黑体"/>
      <w:sz w:val="24"/>
    </w:rPr>
  </w:style>
  <w:style w:type="paragraph" w:styleId="13">
    <w:name w:val="heading 9"/>
    <w:basedOn w:val="1"/>
    <w:next w:val="1"/>
    <w:link w:val="184"/>
    <w:autoRedefine/>
    <w:qFormat/>
    <w:uiPriority w:val="0"/>
    <w:pPr>
      <w:keepNext/>
      <w:keepLines/>
      <w:tabs>
        <w:tab w:val="left" w:pos="1584"/>
      </w:tabs>
      <w:spacing w:before="240" w:after="64" w:line="320" w:lineRule="auto"/>
      <w:ind w:left="1584" w:hanging="1584"/>
      <w:outlineLvl w:val="8"/>
    </w:pPr>
    <w:rPr>
      <w:rFonts w:ascii="Arial" w:hAnsi="Arial" w:eastAsia="黑体"/>
      <w:szCs w:val="21"/>
    </w:rPr>
  </w:style>
  <w:style w:type="character" w:default="1" w:styleId="70">
    <w:name w:val="Default Paragraph Font"/>
    <w:semiHidden/>
    <w:unhideWhenUsed/>
    <w:qFormat/>
    <w:uiPriority w:val="1"/>
  </w:style>
  <w:style w:type="table" w:default="1" w:styleId="63">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link w:val="324"/>
    <w:autoRedefine/>
    <w:qFormat/>
    <w:uiPriority w:val="0"/>
    <w:pPr>
      <w:ind w:firstLine="420"/>
    </w:pPr>
    <w:rPr>
      <w:rFonts w:hAnsi="Calibri" w:cs="Times New Roman"/>
      <w:snapToGrid/>
      <w:szCs w:val="20"/>
    </w:rPr>
  </w:style>
  <w:style w:type="paragraph" w:styleId="3">
    <w:name w:val="Body Text"/>
    <w:basedOn w:val="1"/>
    <w:next w:val="2"/>
    <w:link w:val="433"/>
    <w:autoRedefine/>
    <w:qFormat/>
    <w:uiPriority w:val="0"/>
    <w:pPr>
      <w:autoSpaceDE w:val="0"/>
      <w:autoSpaceDN w:val="0"/>
      <w:spacing w:line="360" w:lineRule="auto"/>
    </w:pPr>
    <w:rPr>
      <w:rFonts w:ascii="宋体" w:hAnsi="Arial" w:cs="Arial"/>
      <w:snapToGrid w:val="0"/>
      <w:sz w:val="24"/>
      <w:szCs w:val="21"/>
      <w:lang w:val="zh-CN"/>
    </w:rPr>
  </w:style>
  <w:style w:type="paragraph" w:styleId="4">
    <w:name w:val="toc 6"/>
    <w:basedOn w:val="1"/>
    <w:next w:val="1"/>
    <w:autoRedefine/>
    <w:qFormat/>
    <w:uiPriority w:val="0"/>
    <w:pPr>
      <w:ind w:left="2100" w:leftChars="1000"/>
    </w:pPr>
  </w:style>
  <w:style w:type="paragraph" w:styleId="14">
    <w:name w:val="toc 7"/>
    <w:basedOn w:val="1"/>
    <w:next w:val="1"/>
    <w:autoRedefine/>
    <w:qFormat/>
    <w:uiPriority w:val="0"/>
    <w:pPr>
      <w:ind w:left="2520" w:leftChars="1200"/>
    </w:pPr>
  </w:style>
  <w:style w:type="paragraph" w:styleId="15">
    <w:name w:val="List Number 2"/>
    <w:basedOn w:val="1"/>
    <w:autoRedefine/>
    <w:qFormat/>
    <w:uiPriority w:val="0"/>
    <w:pPr>
      <w:widowControl/>
      <w:tabs>
        <w:tab w:val="left" w:pos="1697"/>
      </w:tabs>
      <w:adjustRightInd/>
      <w:spacing w:after="156" w:afterLines="50"/>
      <w:ind w:left="1697" w:hanging="420"/>
      <w:jc w:val="left"/>
    </w:pPr>
    <w:rPr>
      <w:kern w:val="0"/>
      <w:sz w:val="24"/>
      <w:szCs w:val="20"/>
    </w:rPr>
  </w:style>
  <w:style w:type="paragraph" w:styleId="16">
    <w:name w:val="List Bullet 4"/>
    <w:basedOn w:val="1"/>
    <w:autoRedefine/>
    <w:unhideWhenUsed/>
    <w:qFormat/>
    <w:uiPriority w:val="99"/>
    <w:pPr>
      <w:widowControl/>
      <w:tabs>
        <w:tab w:val="left" w:pos="432"/>
      </w:tabs>
      <w:adjustRightInd/>
      <w:spacing w:before="40" w:after="160"/>
      <w:ind w:left="432" w:hanging="432"/>
      <w:contextualSpacing/>
      <w:jc w:val="left"/>
    </w:pPr>
    <w:rPr>
      <w:rFonts w:ascii="Cambria" w:hAnsi="Cambria" w:eastAsia="微软雅黑"/>
      <w:color w:val="595959"/>
      <w:kern w:val="20"/>
      <w:szCs w:val="20"/>
      <w:lang w:val="zh-CN"/>
    </w:rPr>
  </w:style>
  <w:style w:type="paragraph" w:styleId="17">
    <w:name w:val="List Number"/>
    <w:basedOn w:val="1"/>
    <w:autoRedefine/>
    <w:qFormat/>
    <w:uiPriority w:val="0"/>
    <w:pPr>
      <w:widowControl/>
      <w:tabs>
        <w:tab w:val="left" w:pos="390"/>
        <w:tab w:val="left" w:pos="454"/>
      </w:tabs>
      <w:adjustRightInd/>
      <w:spacing w:after="156" w:afterLines="50"/>
      <w:ind w:left="454" w:hanging="284"/>
      <w:jc w:val="left"/>
    </w:pPr>
    <w:rPr>
      <w:kern w:val="0"/>
      <w:sz w:val="24"/>
      <w:szCs w:val="20"/>
    </w:rPr>
  </w:style>
  <w:style w:type="paragraph" w:styleId="18">
    <w:name w:val="Normal Indent"/>
    <w:basedOn w:val="1"/>
    <w:link w:val="195"/>
    <w:autoRedefine/>
    <w:qFormat/>
    <w:uiPriority w:val="0"/>
    <w:pPr>
      <w:widowControl/>
      <w:snapToGrid w:val="0"/>
      <w:spacing w:line="480" w:lineRule="exact"/>
      <w:ind w:firstLine="567"/>
    </w:pPr>
    <w:rPr>
      <w:rFonts w:ascii="宋体"/>
      <w:snapToGrid w:val="0"/>
      <w:color w:val="000000"/>
      <w:kern w:val="28"/>
      <w:sz w:val="28"/>
      <w:szCs w:val="20"/>
    </w:rPr>
  </w:style>
  <w:style w:type="paragraph" w:styleId="19">
    <w:name w:val="caption"/>
    <w:basedOn w:val="1"/>
    <w:next w:val="1"/>
    <w:link w:val="231"/>
    <w:autoRedefine/>
    <w:qFormat/>
    <w:uiPriority w:val="0"/>
    <w:rPr>
      <w:b/>
      <w:sz w:val="28"/>
      <w:szCs w:val="20"/>
    </w:rPr>
  </w:style>
  <w:style w:type="paragraph" w:styleId="20">
    <w:name w:val="index 5"/>
    <w:basedOn w:val="1"/>
    <w:next w:val="1"/>
    <w:autoRedefine/>
    <w:qFormat/>
    <w:uiPriority w:val="0"/>
    <w:pPr>
      <w:adjustRightInd/>
      <w:ind w:left="800" w:leftChars="800" w:firstLine="200" w:firstLineChars="200"/>
    </w:pPr>
  </w:style>
  <w:style w:type="paragraph" w:styleId="21">
    <w:name w:val="Document Map"/>
    <w:basedOn w:val="1"/>
    <w:link w:val="204"/>
    <w:autoRedefine/>
    <w:qFormat/>
    <w:uiPriority w:val="0"/>
    <w:pPr>
      <w:shd w:val="clear" w:color="auto" w:fill="000080"/>
    </w:pPr>
  </w:style>
  <w:style w:type="paragraph" w:styleId="22">
    <w:name w:val="annotation text"/>
    <w:basedOn w:val="1"/>
    <w:link w:val="347"/>
    <w:autoRedefine/>
    <w:qFormat/>
    <w:uiPriority w:val="99"/>
    <w:pPr>
      <w:jc w:val="left"/>
    </w:pPr>
  </w:style>
  <w:style w:type="paragraph" w:styleId="23">
    <w:name w:val="Salutation"/>
    <w:basedOn w:val="1"/>
    <w:next w:val="1"/>
    <w:link w:val="300"/>
    <w:autoRedefine/>
    <w:qFormat/>
    <w:uiPriority w:val="0"/>
    <w:rPr>
      <w:rFonts w:ascii="仿宋_GB2312" w:eastAsia="仿宋_GB2312"/>
      <w:sz w:val="28"/>
      <w:szCs w:val="20"/>
    </w:rPr>
  </w:style>
  <w:style w:type="paragraph" w:styleId="24">
    <w:name w:val="Body Text 3"/>
    <w:basedOn w:val="1"/>
    <w:link w:val="333"/>
    <w:autoRedefine/>
    <w:qFormat/>
    <w:uiPriority w:val="0"/>
    <w:pPr>
      <w:jc w:val="center"/>
    </w:pPr>
    <w:rPr>
      <w:szCs w:val="20"/>
    </w:rPr>
  </w:style>
  <w:style w:type="paragraph" w:styleId="25">
    <w:name w:val="List Bullet 3"/>
    <w:basedOn w:val="1"/>
    <w:autoRedefine/>
    <w:unhideWhenUsed/>
    <w:qFormat/>
    <w:uiPriority w:val="0"/>
    <w:pPr>
      <w:snapToGrid w:val="0"/>
      <w:spacing w:line="360" w:lineRule="auto"/>
      <w:ind w:left="360" w:right="238" w:hanging="360"/>
      <w:contextualSpacing/>
    </w:pPr>
    <w:rPr>
      <w:sz w:val="24"/>
    </w:rPr>
  </w:style>
  <w:style w:type="paragraph" w:styleId="26">
    <w:name w:val="Body Text Indent"/>
    <w:basedOn w:val="1"/>
    <w:next w:val="27"/>
    <w:link w:val="267"/>
    <w:autoRedefine/>
    <w:qFormat/>
    <w:uiPriority w:val="0"/>
    <w:pPr>
      <w:spacing w:line="480" w:lineRule="exact"/>
      <w:ind w:firstLine="480" w:firstLineChars="200"/>
    </w:pPr>
    <w:rPr>
      <w:rFonts w:ascii="宋体" w:hAnsi="宋体"/>
      <w:sz w:val="24"/>
    </w:rPr>
  </w:style>
  <w:style w:type="paragraph" w:styleId="27">
    <w:name w:val="envelope return"/>
    <w:basedOn w:val="1"/>
    <w:autoRedefine/>
    <w:qFormat/>
    <w:uiPriority w:val="0"/>
    <w:pPr>
      <w:snapToGrid w:val="0"/>
    </w:pPr>
    <w:rPr>
      <w:rFonts w:ascii="Arial" w:hAnsi="Arial"/>
    </w:rPr>
  </w:style>
  <w:style w:type="paragraph" w:styleId="28">
    <w:name w:val="List Number 3"/>
    <w:basedOn w:val="1"/>
    <w:autoRedefine/>
    <w:qFormat/>
    <w:uiPriority w:val="0"/>
    <w:pPr>
      <w:widowControl/>
      <w:tabs>
        <w:tab w:val="left" w:pos="360"/>
        <w:tab w:val="left" w:pos="482"/>
      </w:tabs>
      <w:adjustRightInd/>
      <w:spacing w:after="156" w:afterLines="50"/>
      <w:ind w:left="482" w:hanging="340"/>
      <w:jc w:val="left"/>
    </w:pPr>
    <w:rPr>
      <w:kern w:val="0"/>
      <w:sz w:val="24"/>
      <w:szCs w:val="20"/>
    </w:rPr>
  </w:style>
  <w:style w:type="paragraph" w:styleId="29">
    <w:name w:val="List 2"/>
    <w:basedOn w:val="1"/>
    <w:autoRedefine/>
    <w:qFormat/>
    <w:uiPriority w:val="0"/>
    <w:pPr>
      <w:adjustRightInd/>
      <w:spacing w:line="360" w:lineRule="auto"/>
      <w:ind w:left="100" w:leftChars="200" w:hanging="200" w:hangingChars="200"/>
    </w:pPr>
    <w:rPr>
      <w:rFonts w:eastAsia="微软雅黑"/>
    </w:rPr>
  </w:style>
  <w:style w:type="paragraph" w:styleId="30">
    <w:name w:val="Block Text"/>
    <w:basedOn w:val="1"/>
    <w:autoRedefine/>
    <w:qFormat/>
    <w:uiPriority w:val="0"/>
    <w:pPr>
      <w:ind w:left="-359" w:leftChars="-171" w:right="-244" w:rightChars="-244" w:firstLine="501" w:firstLineChars="239"/>
    </w:pPr>
    <w:rPr>
      <w:rFonts w:ascii="仿宋_GB2312" w:eastAsia="仿宋_GB2312"/>
      <w:sz w:val="30"/>
      <w:szCs w:val="20"/>
    </w:rPr>
  </w:style>
  <w:style w:type="paragraph" w:styleId="31">
    <w:name w:val="List Bullet 2"/>
    <w:basedOn w:val="1"/>
    <w:autoRedefine/>
    <w:qFormat/>
    <w:uiPriority w:val="0"/>
    <w:pPr>
      <w:autoSpaceDE w:val="0"/>
      <w:autoSpaceDN w:val="0"/>
      <w:ind w:left="420"/>
      <w:jc w:val="left"/>
    </w:pPr>
    <w:rPr>
      <w:rFonts w:ascii="宋体" w:hAnsi="宋体"/>
      <w:color w:val="000000"/>
      <w:kern w:val="0"/>
      <w:sz w:val="24"/>
      <w:szCs w:val="20"/>
    </w:rPr>
  </w:style>
  <w:style w:type="paragraph" w:styleId="32">
    <w:name w:val="HTML Address"/>
    <w:basedOn w:val="1"/>
    <w:link w:val="221"/>
    <w:autoRedefine/>
    <w:qFormat/>
    <w:uiPriority w:val="0"/>
    <w:pPr>
      <w:widowControl/>
      <w:adjustRightInd/>
      <w:ind w:firstLine="200" w:firstLineChars="200"/>
      <w:jc w:val="left"/>
    </w:pPr>
    <w:rPr>
      <w:rFonts w:ascii="宋体" w:hAnsi="宋体"/>
      <w:i/>
      <w:iCs/>
      <w:kern w:val="0"/>
      <w:sz w:val="24"/>
    </w:rPr>
  </w:style>
  <w:style w:type="paragraph" w:styleId="33">
    <w:name w:val="toc 5"/>
    <w:basedOn w:val="1"/>
    <w:next w:val="1"/>
    <w:autoRedefine/>
    <w:qFormat/>
    <w:uiPriority w:val="0"/>
    <w:pPr>
      <w:ind w:left="1680" w:leftChars="800"/>
    </w:pPr>
  </w:style>
  <w:style w:type="paragraph" w:styleId="34">
    <w:name w:val="toc 3"/>
    <w:basedOn w:val="1"/>
    <w:next w:val="1"/>
    <w:autoRedefine/>
    <w:qFormat/>
    <w:uiPriority w:val="0"/>
    <w:pPr>
      <w:tabs>
        <w:tab w:val="right" w:leader="dot" w:pos="8268"/>
      </w:tabs>
      <w:spacing w:line="460" w:lineRule="exact"/>
      <w:ind w:left="840" w:leftChars="400" w:firstLine="482"/>
    </w:pPr>
    <w:rPr>
      <w:rFonts w:ascii="宋体" w:hAnsi="宋体"/>
    </w:rPr>
  </w:style>
  <w:style w:type="paragraph" w:styleId="35">
    <w:name w:val="Plain Text"/>
    <w:basedOn w:val="1"/>
    <w:link w:val="127"/>
    <w:autoRedefine/>
    <w:qFormat/>
    <w:uiPriority w:val="0"/>
    <w:rPr>
      <w:rFonts w:ascii="宋体" w:hAnsi="Courier New" w:cs="Arial"/>
      <w:snapToGrid w:val="0"/>
      <w:szCs w:val="21"/>
    </w:rPr>
  </w:style>
  <w:style w:type="paragraph" w:styleId="36">
    <w:name w:val="List Number 4"/>
    <w:basedOn w:val="1"/>
    <w:autoRedefine/>
    <w:qFormat/>
    <w:uiPriority w:val="0"/>
    <w:pPr>
      <w:tabs>
        <w:tab w:val="left" w:pos="840"/>
      </w:tabs>
      <w:autoSpaceDE w:val="0"/>
      <w:autoSpaceDN w:val="0"/>
      <w:spacing w:line="360" w:lineRule="atLeast"/>
      <w:ind w:left="840" w:hanging="420"/>
    </w:pPr>
    <w:rPr>
      <w:kern w:val="0"/>
      <w:sz w:val="24"/>
    </w:rPr>
  </w:style>
  <w:style w:type="paragraph" w:styleId="37">
    <w:name w:val="toc 8"/>
    <w:basedOn w:val="1"/>
    <w:next w:val="1"/>
    <w:autoRedefine/>
    <w:qFormat/>
    <w:uiPriority w:val="0"/>
    <w:pPr>
      <w:ind w:left="2940" w:leftChars="1400"/>
    </w:pPr>
  </w:style>
  <w:style w:type="paragraph" w:styleId="38">
    <w:name w:val="Date"/>
    <w:basedOn w:val="1"/>
    <w:next w:val="1"/>
    <w:link w:val="183"/>
    <w:autoRedefine/>
    <w:qFormat/>
    <w:uiPriority w:val="0"/>
    <w:pPr>
      <w:ind w:left="100" w:leftChars="2500"/>
    </w:pPr>
    <w:rPr>
      <w:rFonts w:ascii="宋体"/>
      <w:sz w:val="24"/>
      <w:szCs w:val="21"/>
      <w:lang w:val="zh-CN"/>
    </w:rPr>
  </w:style>
  <w:style w:type="paragraph" w:styleId="39">
    <w:name w:val="Body Text Indent 2"/>
    <w:basedOn w:val="1"/>
    <w:link w:val="310"/>
    <w:autoRedefine/>
    <w:qFormat/>
    <w:uiPriority w:val="0"/>
    <w:pPr>
      <w:spacing w:line="360" w:lineRule="auto"/>
      <w:ind w:firstLine="601"/>
      <w:textAlignment w:val="baseline"/>
    </w:pPr>
    <w:rPr>
      <w:rFonts w:ascii="宋体"/>
      <w:kern w:val="0"/>
      <w:sz w:val="28"/>
      <w:szCs w:val="20"/>
    </w:rPr>
  </w:style>
  <w:style w:type="paragraph" w:styleId="40">
    <w:name w:val="endnote text"/>
    <w:basedOn w:val="1"/>
    <w:link w:val="934"/>
    <w:autoRedefine/>
    <w:qFormat/>
    <w:uiPriority w:val="0"/>
    <w:rPr>
      <w:lang w:val="zh-CN"/>
    </w:rPr>
  </w:style>
  <w:style w:type="paragraph" w:styleId="41">
    <w:name w:val="Balloon Text"/>
    <w:basedOn w:val="1"/>
    <w:link w:val="190"/>
    <w:autoRedefine/>
    <w:qFormat/>
    <w:uiPriority w:val="0"/>
    <w:rPr>
      <w:sz w:val="18"/>
      <w:szCs w:val="18"/>
    </w:rPr>
  </w:style>
  <w:style w:type="paragraph" w:styleId="42">
    <w:name w:val="footer"/>
    <w:basedOn w:val="1"/>
    <w:link w:val="386"/>
    <w:autoRedefine/>
    <w:qFormat/>
    <w:uiPriority w:val="99"/>
    <w:pPr>
      <w:tabs>
        <w:tab w:val="center" w:pos="4153"/>
        <w:tab w:val="right" w:pos="8306"/>
      </w:tabs>
      <w:snapToGrid w:val="0"/>
      <w:jc w:val="left"/>
    </w:pPr>
    <w:rPr>
      <w:sz w:val="18"/>
      <w:szCs w:val="18"/>
    </w:rPr>
  </w:style>
  <w:style w:type="paragraph" w:styleId="43">
    <w:name w:val="header"/>
    <w:basedOn w:val="1"/>
    <w:link w:val="395"/>
    <w:autoRedefine/>
    <w:qFormat/>
    <w:uiPriority w:val="99"/>
    <w:pPr>
      <w:pBdr>
        <w:bottom w:val="single" w:color="auto" w:sz="6" w:space="1"/>
      </w:pBdr>
      <w:tabs>
        <w:tab w:val="center" w:pos="4153"/>
        <w:tab w:val="right" w:pos="8306"/>
      </w:tabs>
      <w:snapToGrid w:val="0"/>
      <w:jc w:val="center"/>
    </w:pPr>
    <w:rPr>
      <w:sz w:val="18"/>
      <w:szCs w:val="18"/>
    </w:rPr>
  </w:style>
  <w:style w:type="paragraph" w:styleId="44">
    <w:name w:val="Signature"/>
    <w:basedOn w:val="1"/>
    <w:link w:val="348"/>
    <w:autoRedefine/>
    <w:qFormat/>
    <w:uiPriority w:val="0"/>
    <w:pPr>
      <w:spacing w:after="600" w:line="312" w:lineRule="atLeast"/>
      <w:jc w:val="center"/>
      <w:textAlignment w:val="baseline"/>
    </w:pPr>
    <w:rPr>
      <w:rFonts w:eastAsia="仿宋_GB2312"/>
      <w:kern w:val="0"/>
      <w:sz w:val="24"/>
      <w:szCs w:val="20"/>
    </w:rPr>
  </w:style>
  <w:style w:type="paragraph" w:styleId="45">
    <w:name w:val="toc 1"/>
    <w:basedOn w:val="1"/>
    <w:next w:val="1"/>
    <w:autoRedefine/>
    <w:qFormat/>
    <w:uiPriority w:val="0"/>
  </w:style>
  <w:style w:type="paragraph" w:styleId="46">
    <w:name w:val="toc 4"/>
    <w:basedOn w:val="1"/>
    <w:next w:val="1"/>
    <w:autoRedefine/>
    <w:qFormat/>
    <w:uiPriority w:val="0"/>
    <w:pPr>
      <w:ind w:left="1260" w:leftChars="600"/>
    </w:pPr>
  </w:style>
  <w:style w:type="paragraph" w:styleId="47">
    <w:name w:val="index heading"/>
    <w:basedOn w:val="1"/>
    <w:next w:val="48"/>
    <w:autoRedefine/>
    <w:qFormat/>
    <w:uiPriority w:val="0"/>
    <w:pPr>
      <w:adjustRightInd/>
      <w:ind w:firstLine="200" w:firstLineChars="200"/>
    </w:pPr>
  </w:style>
  <w:style w:type="paragraph" w:styleId="48">
    <w:name w:val="index 1"/>
    <w:basedOn w:val="1"/>
    <w:next w:val="1"/>
    <w:autoRedefine/>
    <w:qFormat/>
    <w:uiPriority w:val="0"/>
    <w:pPr>
      <w:adjustRightInd/>
      <w:spacing w:line="360" w:lineRule="auto"/>
      <w:ind w:firstLine="200" w:firstLineChars="200"/>
      <w:jc w:val="center"/>
    </w:pPr>
    <w:rPr>
      <w:sz w:val="24"/>
      <w:szCs w:val="20"/>
    </w:rPr>
  </w:style>
  <w:style w:type="paragraph" w:styleId="49">
    <w:name w:val="Subtitle"/>
    <w:link w:val="135"/>
    <w:autoRedefine/>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50">
    <w:name w:val="List Number 5"/>
    <w:basedOn w:val="1"/>
    <w:autoRedefine/>
    <w:qFormat/>
    <w:uiPriority w:val="0"/>
    <w:pPr>
      <w:tabs>
        <w:tab w:val="left" w:pos="902"/>
      </w:tabs>
      <w:adjustRightInd/>
      <w:spacing w:line="400" w:lineRule="exact"/>
      <w:ind w:left="902" w:hanging="420"/>
    </w:pPr>
    <w:rPr>
      <w:sz w:val="24"/>
      <w:szCs w:val="20"/>
    </w:rPr>
  </w:style>
  <w:style w:type="paragraph" w:styleId="51">
    <w:name w:val="List"/>
    <w:basedOn w:val="1"/>
    <w:autoRedefine/>
    <w:qFormat/>
    <w:uiPriority w:val="0"/>
    <w:pPr>
      <w:ind w:left="200" w:hanging="200" w:hangingChars="200"/>
    </w:pPr>
  </w:style>
  <w:style w:type="paragraph" w:styleId="52">
    <w:name w:val="footnote text"/>
    <w:basedOn w:val="18"/>
    <w:link w:val="312"/>
    <w:autoRedefine/>
    <w:qFormat/>
    <w:uiPriority w:val="0"/>
    <w:pPr>
      <w:adjustRightInd/>
      <w:snapToGrid/>
      <w:spacing w:before="60" w:after="60" w:line="300" w:lineRule="exact"/>
      <w:ind w:firstLine="0"/>
    </w:pPr>
    <w:rPr>
      <w:rFonts w:ascii="Calibri"/>
      <w:snapToGrid/>
      <w:color w:val="0000FF"/>
      <w:kern w:val="0"/>
      <w:sz w:val="21"/>
    </w:rPr>
  </w:style>
  <w:style w:type="paragraph" w:styleId="53">
    <w:name w:val="List 5"/>
    <w:basedOn w:val="1"/>
    <w:autoRedefine/>
    <w:qFormat/>
    <w:uiPriority w:val="0"/>
    <w:pPr>
      <w:adjustRightInd/>
      <w:ind w:left="100" w:leftChars="800" w:hanging="200" w:hangingChars="200"/>
    </w:pPr>
  </w:style>
  <w:style w:type="paragraph" w:styleId="54">
    <w:name w:val="Body Text Indent 3"/>
    <w:basedOn w:val="1"/>
    <w:link w:val="378"/>
    <w:autoRedefine/>
    <w:qFormat/>
    <w:uiPriority w:val="0"/>
    <w:pPr>
      <w:spacing w:line="360" w:lineRule="auto"/>
      <w:ind w:firstLine="420"/>
    </w:pPr>
    <w:rPr>
      <w:sz w:val="24"/>
      <w:szCs w:val="20"/>
    </w:rPr>
  </w:style>
  <w:style w:type="paragraph" w:styleId="55">
    <w:name w:val="toc 2"/>
    <w:basedOn w:val="1"/>
    <w:next w:val="1"/>
    <w:autoRedefine/>
    <w:qFormat/>
    <w:uiPriority w:val="0"/>
    <w:pPr>
      <w:ind w:left="420" w:leftChars="200"/>
    </w:pPr>
  </w:style>
  <w:style w:type="paragraph" w:styleId="56">
    <w:name w:val="toc 9"/>
    <w:basedOn w:val="1"/>
    <w:next w:val="1"/>
    <w:autoRedefine/>
    <w:qFormat/>
    <w:uiPriority w:val="0"/>
    <w:pPr>
      <w:ind w:left="3360" w:leftChars="1600"/>
    </w:pPr>
  </w:style>
  <w:style w:type="paragraph" w:styleId="57">
    <w:name w:val="Body Text 2"/>
    <w:basedOn w:val="1"/>
    <w:link w:val="304"/>
    <w:autoRedefine/>
    <w:qFormat/>
    <w:uiPriority w:val="0"/>
    <w:pPr>
      <w:spacing w:after="120" w:line="480" w:lineRule="auto"/>
    </w:pPr>
  </w:style>
  <w:style w:type="paragraph" w:styleId="58">
    <w:name w:val="HTML Preformatted"/>
    <w:basedOn w:val="1"/>
    <w:link w:val="303"/>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59">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60">
    <w:name w:val="Title"/>
    <w:basedOn w:val="1"/>
    <w:link w:val="288"/>
    <w:autoRedefine/>
    <w:qFormat/>
    <w:uiPriority w:val="10"/>
    <w:pPr>
      <w:widowControl/>
      <w:overflowPunct w:val="0"/>
      <w:autoSpaceDE w:val="0"/>
      <w:autoSpaceDN w:val="0"/>
      <w:jc w:val="center"/>
      <w:textAlignment w:val="baseline"/>
    </w:pPr>
    <w:rPr>
      <w:b/>
      <w:kern w:val="0"/>
      <w:sz w:val="24"/>
      <w:szCs w:val="20"/>
      <w:lang w:val="en-GB"/>
    </w:rPr>
  </w:style>
  <w:style w:type="paragraph" w:styleId="61">
    <w:name w:val="annotation subject"/>
    <w:basedOn w:val="22"/>
    <w:next w:val="22"/>
    <w:link w:val="98"/>
    <w:autoRedefine/>
    <w:qFormat/>
    <w:uiPriority w:val="0"/>
    <w:rPr>
      <w:b/>
      <w:bCs/>
    </w:rPr>
  </w:style>
  <w:style w:type="paragraph" w:styleId="62">
    <w:name w:val="Body Text First Indent 2"/>
    <w:basedOn w:val="26"/>
    <w:link w:val="123"/>
    <w:autoRedefine/>
    <w:qFormat/>
    <w:uiPriority w:val="0"/>
    <w:pPr>
      <w:adjustRightInd/>
      <w:spacing w:after="120" w:line="240" w:lineRule="auto"/>
      <w:ind w:left="420" w:leftChars="200" w:firstLine="210"/>
    </w:pPr>
    <w:rPr>
      <w:sz w:val="21"/>
    </w:rPr>
  </w:style>
  <w:style w:type="table" w:styleId="64">
    <w:name w:val="Table Grid"/>
    <w:basedOn w:val="6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5">
    <w:name w:val="Table Theme"/>
    <w:basedOn w:val="63"/>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6">
    <w:name w:val="Table Elegant"/>
    <w:basedOn w:val="63"/>
    <w:autoRedefine/>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7">
    <w:name w:val="Table Grid 5"/>
    <w:basedOn w:val="63"/>
    <w:autoRedefine/>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68">
    <w:name w:val="Table Grid 8"/>
    <w:basedOn w:val="63"/>
    <w:autoRedefine/>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69">
    <w:name w:val="Table Professional"/>
    <w:basedOn w:val="63"/>
    <w:autoRedefine/>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71">
    <w:name w:val="Strong"/>
    <w:autoRedefine/>
    <w:qFormat/>
    <w:uiPriority w:val="22"/>
    <w:rPr>
      <w:b/>
      <w:bCs/>
    </w:rPr>
  </w:style>
  <w:style w:type="character" w:styleId="72">
    <w:name w:val="endnote reference"/>
    <w:autoRedefine/>
    <w:qFormat/>
    <w:uiPriority w:val="0"/>
    <w:rPr>
      <w:vertAlign w:val="superscript"/>
    </w:rPr>
  </w:style>
  <w:style w:type="character" w:styleId="73">
    <w:name w:val="page number"/>
    <w:basedOn w:val="70"/>
    <w:autoRedefine/>
    <w:qFormat/>
    <w:uiPriority w:val="0"/>
    <w:rPr>
      <w:rFonts w:ascii="Arial" w:hAnsi="Arial" w:eastAsia="黑体" w:cs="Arial"/>
      <w:snapToGrid w:val="0"/>
      <w:kern w:val="0"/>
      <w:szCs w:val="21"/>
    </w:rPr>
  </w:style>
  <w:style w:type="character" w:styleId="74">
    <w:name w:val="FollowedHyperlink"/>
    <w:autoRedefine/>
    <w:qFormat/>
    <w:uiPriority w:val="99"/>
    <w:rPr>
      <w:rFonts w:ascii="Arial" w:hAnsi="Arial" w:eastAsia="黑体" w:cs="Arial"/>
      <w:snapToGrid w:val="0"/>
      <w:color w:val="000000"/>
      <w:kern w:val="0"/>
      <w:sz w:val="18"/>
      <w:szCs w:val="18"/>
      <w:u w:val="none"/>
    </w:rPr>
  </w:style>
  <w:style w:type="character" w:styleId="75">
    <w:name w:val="Emphasis"/>
    <w:autoRedefine/>
    <w:qFormat/>
    <w:uiPriority w:val="20"/>
    <w:rPr>
      <w:color w:val="CC0033"/>
    </w:rPr>
  </w:style>
  <w:style w:type="character" w:styleId="76">
    <w:name w:val="line number"/>
    <w:basedOn w:val="70"/>
    <w:autoRedefine/>
    <w:qFormat/>
    <w:uiPriority w:val="0"/>
    <w:rPr>
      <w:rFonts w:ascii="Arial" w:hAnsi="Arial" w:eastAsia="黑体" w:cs="Arial"/>
      <w:snapToGrid w:val="0"/>
      <w:kern w:val="0"/>
      <w:szCs w:val="21"/>
    </w:rPr>
  </w:style>
  <w:style w:type="character" w:styleId="77">
    <w:name w:val="Hyperlink"/>
    <w:autoRedefine/>
    <w:qFormat/>
    <w:uiPriority w:val="99"/>
    <w:rPr>
      <w:rFonts w:ascii="Arial" w:hAnsi="Arial" w:eastAsia="黑体" w:cs="Arial"/>
      <w:snapToGrid w:val="0"/>
      <w:color w:val="000000"/>
      <w:kern w:val="0"/>
      <w:sz w:val="18"/>
      <w:szCs w:val="18"/>
      <w:u w:val="none"/>
    </w:rPr>
  </w:style>
  <w:style w:type="character" w:styleId="78">
    <w:name w:val="HTML Code"/>
    <w:autoRedefine/>
    <w:qFormat/>
    <w:uiPriority w:val="0"/>
    <w:rPr>
      <w:rFonts w:ascii="黑体" w:hAnsi="Courier New" w:eastAsia="黑体" w:cs="楷体_GB2312"/>
      <w:sz w:val="20"/>
      <w:szCs w:val="20"/>
    </w:rPr>
  </w:style>
  <w:style w:type="character" w:styleId="79">
    <w:name w:val="annotation reference"/>
    <w:autoRedefine/>
    <w:qFormat/>
    <w:uiPriority w:val="99"/>
    <w:rPr>
      <w:sz w:val="21"/>
      <w:szCs w:val="21"/>
    </w:rPr>
  </w:style>
  <w:style w:type="paragraph" w:customStyle="1" w:styleId="80">
    <w:name w:val="正文空2字"/>
    <w:basedOn w:val="81"/>
    <w:autoRedefine/>
    <w:qFormat/>
    <w:uiPriority w:val="99"/>
    <w:pPr>
      <w:widowControl w:val="0"/>
      <w:snapToGrid w:val="0"/>
      <w:spacing w:line="560" w:lineRule="exact"/>
      <w:ind w:firstLine="640" w:firstLineChars="200"/>
    </w:pPr>
    <w:rPr>
      <w:rFonts w:ascii="仿宋_GB2312" w:hAnsi="仿宋_GB2312" w:cs="仿宋_GB2312"/>
      <w:lang w:val="zh-TW"/>
    </w:rPr>
  </w:style>
  <w:style w:type="paragraph" w:customStyle="1" w:styleId="81">
    <w:name w:val="左对齐正文"/>
    <w:autoRedefine/>
    <w:qFormat/>
    <w:uiPriority w:val="99"/>
    <w:rPr>
      <w:rFonts w:ascii="Calibri" w:hAnsi="Calibri" w:eastAsia="仿宋_GB2312" w:cs="Calibri"/>
      <w:kern w:val="2"/>
      <w:sz w:val="32"/>
      <w:szCs w:val="32"/>
      <w:lang w:val="en-US" w:eastAsia="zh-CN" w:bidi="ar-SA"/>
    </w:rPr>
  </w:style>
  <w:style w:type="paragraph" w:customStyle="1" w:styleId="82">
    <w:name w:val="正文首行缩进 21"/>
    <w:basedOn w:val="83"/>
    <w:autoRedefine/>
    <w:qFormat/>
    <w:uiPriority w:val="0"/>
    <w:pPr>
      <w:ind w:firstLine="420"/>
    </w:pPr>
    <w:rPr>
      <w:szCs w:val="22"/>
    </w:rPr>
  </w:style>
  <w:style w:type="paragraph" w:customStyle="1" w:styleId="83">
    <w:name w:val="正文文本缩进1"/>
    <w:basedOn w:val="1"/>
    <w:autoRedefine/>
    <w:qFormat/>
    <w:uiPriority w:val="0"/>
    <w:pPr>
      <w:spacing w:line="500" w:lineRule="exact"/>
      <w:ind w:firstLine="880" w:firstLineChars="200"/>
    </w:pPr>
  </w:style>
  <w:style w:type="character" w:customStyle="1" w:styleId="84">
    <w:name w:val="表格非标题文字 Char"/>
    <w:link w:val="85"/>
    <w:autoRedefine/>
    <w:qFormat/>
    <w:uiPriority w:val="0"/>
    <w:rPr>
      <w:rFonts w:ascii="Futura Bk" w:hAnsi="Futura Bk"/>
      <w:kern w:val="2"/>
      <w:sz w:val="18"/>
      <w:szCs w:val="21"/>
      <w:lang w:val="en-US" w:eastAsia="zh-CN" w:bidi="ar-SA"/>
    </w:rPr>
  </w:style>
  <w:style w:type="paragraph" w:customStyle="1" w:styleId="85">
    <w:name w:val="表格非标题文字"/>
    <w:link w:val="84"/>
    <w:autoRedefine/>
    <w:qFormat/>
    <w:uiPriority w:val="0"/>
    <w:pPr>
      <w:snapToGrid w:val="0"/>
      <w:spacing w:before="80" w:after="40"/>
    </w:pPr>
    <w:rPr>
      <w:rFonts w:ascii="Futura Bk" w:hAnsi="Futura Bk" w:eastAsia="宋体" w:cs="Times New Roman"/>
      <w:kern w:val="2"/>
      <w:sz w:val="18"/>
      <w:szCs w:val="21"/>
      <w:lang w:val="en-US" w:eastAsia="zh-CN" w:bidi="ar-SA"/>
    </w:rPr>
  </w:style>
  <w:style w:type="character" w:customStyle="1" w:styleId="86">
    <w:name w:val="*正文 Char"/>
    <w:link w:val="87"/>
    <w:autoRedefine/>
    <w:qFormat/>
    <w:locked/>
    <w:uiPriority w:val="0"/>
    <w:rPr>
      <w:rFonts w:ascii="宋体" w:hAnsi="宋体"/>
      <w:sz w:val="24"/>
    </w:rPr>
  </w:style>
  <w:style w:type="paragraph" w:customStyle="1" w:styleId="87">
    <w:name w:val="*正文"/>
    <w:basedOn w:val="1"/>
    <w:link w:val="86"/>
    <w:autoRedefine/>
    <w:qFormat/>
    <w:uiPriority w:val="0"/>
    <w:pPr>
      <w:snapToGrid w:val="0"/>
      <w:spacing w:line="360" w:lineRule="auto"/>
      <w:ind w:firstLine="482"/>
      <w:jc w:val="left"/>
    </w:pPr>
    <w:rPr>
      <w:rFonts w:ascii="宋体" w:hAnsi="宋体"/>
      <w:kern w:val="0"/>
      <w:sz w:val="24"/>
      <w:szCs w:val="20"/>
    </w:rPr>
  </w:style>
  <w:style w:type="character" w:customStyle="1" w:styleId="88">
    <w:name w:val="Char Char71"/>
    <w:autoRedefine/>
    <w:semiHidden/>
    <w:qFormat/>
    <w:uiPriority w:val="0"/>
    <w:rPr>
      <w:rFonts w:eastAsia="宋体"/>
      <w:kern w:val="2"/>
      <w:sz w:val="21"/>
      <w:szCs w:val="24"/>
      <w:lang w:val="en-US" w:eastAsia="zh-CN" w:bidi="ar-SA"/>
    </w:rPr>
  </w:style>
  <w:style w:type="character" w:customStyle="1" w:styleId="89">
    <w:name w:val="Char Char6"/>
    <w:autoRedefine/>
    <w:qFormat/>
    <w:uiPriority w:val="0"/>
    <w:rPr>
      <w:rFonts w:eastAsia="宋体"/>
      <w:kern w:val="2"/>
      <w:sz w:val="21"/>
      <w:szCs w:val="24"/>
      <w:lang w:val="en-US" w:eastAsia="zh-CN" w:bidi="ar-SA"/>
    </w:rPr>
  </w:style>
  <w:style w:type="character" w:customStyle="1" w:styleId="90">
    <w:name w:val="正文缩进 Char"/>
    <w:autoRedefine/>
    <w:qFormat/>
    <w:uiPriority w:val="0"/>
    <w:rPr>
      <w:rFonts w:eastAsia="宋体"/>
      <w:kern w:val="2"/>
      <w:sz w:val="21"/>
      <w:lang w:val="en-US" w:eastAsia="zh-CN"/>
    </w:rPr>
  </w:style>
  <w:style w:type="character" w:customStyle="1" w:styleId="91">
    <w:name w:val="正文首行缩进 Char1"/>
    <w:autoRedefine/>
    <w:qFormat/>
    <w:uiPriority w:val="0"/>
    <w:rPr>
      <w:rFonts w:ascii="宋体" w:hAnsi="Times New Roman" w:eastAsia="宋体" w:cs="Times New Roman"/>
      <w:snapToGrid w:val="0"/>
      <w:kern w:val="2"/>
      <w:sz w:val="24"/>
      <w:szCs w:val="21"/>
      <w:lang w:val="zh-CN"/>
    </w:rPr>
  </w:style>
  <w:style w:type="character" w:customStyle="1" w:styleId="92">
    <w:name w:val="Char Char28"/>
    <w:autoRedefine/>
    <w:qFormat/>
    <w:uiPriority w:val="6"/>
    <w:rPr>
      <w:rFonts w:ascii="仿宋_GB2312" w:hAnsi="仿宋_GB2312" w:eastAsia="仿宋_GB2312"/>
      <w:kern w:val="1"/>
      <w:sz w:val="28"/>
    </w:rPr>
  </w:style>
  <w:style w:type="character" w:customStyle="1" w:styleId="93">
    <w:name w:val="标题 3 Char1"/>
    <w:autoRedefine/>
    <w:qFormat/>
    <w:uiPriority w:val="0"/>
    <w:rPr>
      <w:rFonts w:hint="eastAsia" w:ascii="华文中宋" w:hAnsi="华文中宋" w:eastAsia="华文中宋"/>
      <w:b/>
      <w:bCs/>
      <w:kern w:val="2"/>
      <w:sz w:val="32"/>
      <w:szCs w:val="32"/>
      <w:lang w:val="en-US" w:eastAsia="zh-CN" w:bidi="ar-SA"/>
    </w:rPr>
  </w:style>
  <w:style w:type="character" w:customStyle="1" w:styleId="94">
    <w:name w:val="Heading 1 Char"/>
    <w:autoRedefine/>
    <w:qFormat/>
    <w:uiPriority w:val="6"/>
    <w:rPr>
      <w:rFonts w:ascii="Times New Roman" w:hAnsi="Times New Roman" w:eastAsia="黑体" w:cs="Times New Roman"/>
      <w:b/>
      <w:kern w:val="0"/>
      <w:sz w:val="24"/>
      <w:szCs w:val="24"/>
    </w:rPr>
  </w:style>
  <w:style w:type="character" w:customStyle="1" w:styleId="95">
    <w:name w:val="U_正文 Char"/>
    <w:link w:val="96"/>
    <w:autoRedefine/>
    <w:qFormat/>
    <w:uiPriority w:val="0"/>
    <w:rPr>
      <w:sz w:val="24"/>
      <w:szCs w:val="24"/>
    </w:rPr>
  </w:style>
  <w:style w:type="paragraph" w:customStyle="1" w:styleId="96">
    <w:name w:val="U_正文"/>
    <w:basedOn w:val="1"/>
    <w:link w:val="95"/>
    <w:autoRedefine/>
    <w:qFormat/>
    <w:uiPriority w:val="0"/>
    <w:pPr>
      <w:adjustRightInd/>
      <w:spacing w:beforeLines="20" w:afterLines="20" w:line="300" w:lineRule="auto"/>
      <w:ind w:firstLine="200" w:firstLineChars="200"/>
    </w:pPr>
    <w:rPr>
      <w:kern w:val="0"/>
      <w:sz w:val="24"/>
    </w:rPr>
  </w:style>
  <w:style w:type="character" w:customStyle="1" w:styleId="97">
    <w:name w:val="HTML 地址 Char1"/>
    <w:autoRedefine/>
    <w:qFormat/>
    <w:uiPriority w:val="0"/>
    <w:rPr>
      <w:rFonts w:ascii="Times New Roman" w:hAnsi="Times New Roman" w:eastAsia="宋体" w:cs="Times New Roman"/>
      <w:i/>
      <w:iCs/>
      <w:szCs w:val="24"/>
    </w:rPr>
  </w:style>
  <w:style w:type="character" w:customStyle="1" w:styleId="98">
    <w:name w:val="批注主题 字符"/>
    <w:link w:val="61"/>
    <w:autoRedefine/>
    <w:qFormat/>
    <w:uiPriority w:val="0"/>
    <w:rPr>
      <w:b/>
      <w:bCs/>
      <w:kern w:val="2"/>
      <w:sz w:val="21"/>
      <w:szCs w:val="24"/>
    </w:rPr>
  </w:style>
  <w:style w:type="character" w:customStyle="1" w:styleId="99">
    <w:name w:val="Char Char51"/>
    <w:autoRedefine/>
    <w:qFormat/>
    <w:uiPriority w:val="0"/>
    <w:rPr>
      <w:rFonts w:ascii="宋体" w:hAnsi="Courier New" w:eastAsia="宋体"/>
      <w:kern w:val="2"/>
      <w:sz w:val="21"/>
      <w:lang w:val="en-US" w:eastAsia="zh-CN"/>
    </w:rPr>
  </w:style>
  <w:style w:type="character" w:customStyle="1" w:styleId="100">
    <w:name w:val="表正文 Char"/>
    <w:autoRedefine/>
    <w:qFormat/>
    <w:uiPriority w:val="0"/>
    <w:rPr>
      <w:rFonts w:ascii="宋体" w:eastAsia="宋体"/>
      <w:snapToGrid w:val="0"/>
      <w:color w:val="000000"/>
      <w:kern w:val="28"/>
      <w:sz w:val="28"/>
      <w:lang w:val="en-US" w:eastAsia="zh-CN" w:bidi="ar-SA"/>
    </w:rPr>
  </w:style>
  <w:style w:type="character" w:customStyle="1" w:styleId="101">
    <w:name w:val="Char Char34"/>
    <w:autoRedefine/>
    <w:qFormat/>
    <w:uiPriority w:val="6"/>
    <w:rPr>
      <w:b/>
      <w:kern w:val="1"/>
      <w:sz w:val="28"/>
      <w:szCs w:val="28"/>
    </w:rPr>
  </w:style>
  <w:style w:type="character" w:customStyle="1" w:styleId="102">
    <w:name w:val="Normal Indent Char"/>
    <w:autoRedefine/>
    <w:qFormat/>
    <w:locked/>
    <w:uiPriority w:val="0"/>
    <w:rPr>
      <w:rFonts w:ascii="Calibri" w:hAnsi="Calibri" w:eastAsia="宋体" w:cs="黑体"/>
      <w:snapToGrid w:val="0"/>
      <w:kern w:val="2"/>
      <w:sz w:val="24"/>
      <w:szCs w:val="22"/>
      <w:lang w:val="en-US" w:eastAsia="zh-CN" w:bidi="ar-SA"/>
    </w:rPr>
  </w:style>
  <w:style w:type="character" w:customStyle="1" w:styleId="103">
    <w:name w:val="哈哈正文 Char"/>
    <w:link w:val="104"/>
    <w:autoRedefine/>
    <w:qFormat/>
    <w:uiPriority w:val="0"/>
    <w:rPr>
      <w:rFonts w:ascii="宋体" w:hAnsi="宋体" w:eastAsia="宋体"/>
      <w:kern w:val="2"/>
      <w:sz w:val="24"/>
      <w:lang w:bidi="ar-SA"/>
    </w:rPr>
  </w:style>
  <w:style w:type="paragraph" w:customStyle="1" w:styleId="104">
    <w:name w:val="哈哈正文"/>
    <w:basedOn w:val="1"/>
    <w:link w:val="103"/>
    <w:autoRedefine/>
    <w:qFormat/>
    <w:uiPriority w:val="0"/>
    <w:pPr>
      <w:adjustRightInd/>
      <w:spacing w:line="360" w:lineRule="auto"/>
      <w:ind w:firstLine="200" w:firstLineChars="200"/>
    </w:pPr>
    <w:rPr>
      <w:rFonts w:ascii="宋体" w:hAnsi="宋体"/>
      <w:sz w:val="24"/>
      <w:szCs w:val="20"/>
    </w:rPr>
  </w:style>
  <w:style w:type="character" w:customStyle="1" w:styleId="105">
    <w:name w:val="未处理的提及1"/>
    <w:autoRedefine/>
    <w:qFormat/>
    <w:uiPriority w:val="0"/>
    <w:rPr>
      <w:color w:val="808080"/>
      <w:shd w:val="clear" w:color="auto" w:fill="E6E6E6"/>
    </w:rPr>
  </w:style>
  <w:style w:type="character" w:customStyle="1" w:styleId="106">
    <w:name w:val="txt"/>
    <w:autoRedefine/>
    <w:qFormat/>
    <w:uiPriority w:val="0"/>
    <w:rPr>
      <w:rFonts w:ascii="仿宋_GB2312" w:eastAsia="微软雅黑"/>
      <w:b/>
      <w:kern w:val="2"/>
      <w:sz w:val="32"/>
      <w:szCs w:val="32"/>
      <w:lang w:val="en-US" w:eastAsia="zh-CN" w:bidi="ar-SA"/>
    </w:rPr>
  </w:style>
  <w:style w:type="character" w:customStyle="1" w:styleId="107">
    <w:name w:val="二级标题 Char Char"/>
    <w:autoRedefine/>
    <w:qFormat/>
    <w:uiPriority w:val="0"/>
    <w:rPr>
      <w:rFonts w:ascii="宋体" w:hAnsi="宋体" w:eastAsia="宋体"/>
      <w:b/>
      <w:snapToGrid w:val="0"/>
      <w:kern w:val="2"/>
      <w:sz w:val="24"/>
      <w:szCs w:val="24"/>
      <w:lang w:val="en-US" w:eastAsia="zh-CN" w:bidi="ar-SA"/>
    </w:rPr>
  </w:style>
  <w:style w:type="character" w:customStyle="1" w:styleId="108">
    <w:name w:val="Char Char32"/>
    <w:autoRedefine/>
    <w:qFormat/>
    <w:uiPriority w:val="6"/>
    <w:rPr>
      <w:b/>
      <w:kern w:val="1"/>
      <w:sz w:val="24"/>
      <w:szCs w:val="24"/>
    </w:rPr>
  </w:style>
  <w:style w:type="character" w:customStyle="1" w:styleId="109">
    <w:name w:val="PI Char1"/>
    <w:autoRedefine/>
    <w:qFormat/>
    <w:uiPriority w:val="0"/>
    <w:rPr>
      <w:rFonts w:ascii="宋体" w:hAnsi="宋体"/>
      <w:kern w:val="2"/>
      <w:sz w:val="24"/>
      <w:szCs w:val="24"/>
    </w:rPr>
  </w:style>
  <w:style w:type="character" w:customStyle="1" w:styleId="110">
    <w:name w:val="tw4winTerm"/>
    <w:autoRedefine/>
    <w:qFormat/>
    <w:uiPriority w:val="0"/>
    <w:rPr>
      <w:color w:val="0000FF"/>
    </w:rPr>
  </w:style>
  <w:style w:type="character" w:customStyle="1" w:styleId="111">
    <w:name w:val="Footer Char"/>
    <w:autoRedefine/>
    <w:qFormat/>
    <w:locked/>
    <w:uiPriority w:val="0"/>
    <w:rPr>
      <w:rFonts w:eastAsia="宋体"/>
      <w:kern w:val="2"/>
      <w:sz w:val="18"/>
      <w:lang w:val="en-US" w:eastAsia="zh-CN" w:bidi="ar-SA"/>
    </w:rPr>
  </w:style>
  <w:style w:type="character" w:customStyle="1" w:styleId="112">
    <w:name w:val="普通文字 Char Char1"/>
    <w:autoRedefine/>
    <w:qFormat/>
    <w:uiPriority w:val="0"/>
    <w:rPr>
      <w:rFonts w:ascii="宋体" w:hAnsi="Courier New"/>
      <w:kern w:val="2"/>
      <w:sz w:val="21"/>
    </w:rPr>
  </w:style>
  <w:style w:type="character" w:customStyle="1" w:styleId="113">
    <w:name w:val="Char Char101"/>
    <w:autoRedefine/>
    <w:qFormat/>
    <w:uiPriority w:val="6"/>
    <w:rPr>
      <w:rFonts w:ascii="宋体" w:hAnsi="宋体"/>
      <w:kern w:val="2"/>
      <w:sz w:val="21"/>
      <w:szCs w:val="24"/>
      <w:lang w:val="en-US" w:eastAsia="zh-CN"/>
    </w:rPr>
  </w:style>
  <w:style w:type="character" w:customStyle="1" w:styleId="114">
    <w:name w:val="标题 4 Char"/>
    <w:autoRedefine/>
    <w:qFormat/>
    <w:uiPriority w:val="0"/>
    <w:rPr>
      <w:rFonts w:ascii="Arial" w:hAnsi="Arial" w:eastAsia="黑体"/>
      <w:b/>
      <w:kern w:val="2"/>
      <w:sz w:val="28"/>
    </w:rPr>
  </w:style>
  <w:style w:type="character" w:customStyle="1" w:styleId="115">
    <w:name w:val="链接"/>
    <w:autoRedefine/>
    <w:qFormat/>
    <w:uiPriority w:val="0"/>
    <w:rPr>
      <w:color w:val="0000FF"/>
      <w:sz w:val="21"/>
      <w:szCs w:val="21"/>
      <w:u w:val="single"/>
    </w:rPr>
  </w:style>
  <w:style w:type="character" w:customStyle="1" w:styleId="116">
    <w:name w:val="h4 Char"/>
    <w:autoRedefine/>
    <w:qFormat/>
    <w:uiPriority w:val="0"/>
    <w:rPr>
      <w:rFonts w:ascii="Arial" w:hAnsi="Arial" w:eastAsia="黑体"/>
      <w:b/>
      <w:bCs/>
      <w:kern w:val="2"/>
      <w:sz w:val="28"/>
      <w:szCs w:val="28"/>
      <w:lang w:val="zh-CN" w:eastAsia="zh-CN" w:bidi="ar-SA"/>
    </w:rPr>
  </w:style>
  <w:style w:type="character" w:customStyle="1" w:styleId="117">
    <w:name w:val="5正文 Char"/>
    <w:link w:val="118"/>
    <w:autoRedefine/>
    <w:qFormat/>
    <w:uiPriority w:val="0"/>
    <w:rPr>
      <w:rFonts w:ascii="仿宋_GB2312" w:hAnsi="微软雅黑" w:eastAsia="仿宋_GB2312"/>
      <w:sz w:val="28"/>
      <w:szCs w:val="21"/>
    </w:rPr>
  </w:style>
  <w:style w:type="paragraph" w:customStyle="1" w:styleId="118">
    <w:name w:val="5正文"/>
    <w:basedOn w:val="1"/>
    <w:link w:val="117"/>
    <w:autoRedefine/>
    <w:qFormat/>
    <w:uiPriority w:val="0"/>
    <w:pPr>
      <w:adjustRightInd/>
      <w:spacing w:line="360" w:lineRule="auto"/>
      <w:ind w:firstLine="566" w:firstLineChars="202"/>
      <w:jc w:val="left"/>
    </w:pPr>
    <w:rPr>
      <w:rFonts w:ascii="仿宋_GB2312" w:hAnsi="微软雅黑" w:eastAsia="仿宋_GB2312"/>
      <w:kern w:val="0"/>
      <w:sz w:val="28"/>
      <w:szCs w:val="21"/>
    </w:rPr>
  </w:style>
  <w:style w:type="character" w:customStyle="1" w:styleId="119">
    <w:name w:val="标题 3 字符"/>
    <w:autoRedefine/>
    <w:qFormat/>
    <w:uiPriority w:val="9"/>
    <w:rPr>
      <w:b/>
      <w:bCs/>
      <w:kern w:val="2"/>
      <w:sz w:val="32"/>
      <w:szCs w:val="32"/>
    </w:rPr>
  </w:style>
  <w:style w:type="character" w:customStyle="1" w:styleId="120">
    <w:name w:val="样式6 Char"/>
    <w:autoRedefine/>
    <w:qFormat/>
    <w:uiPriority w:val="0"/>
    <w:rPr>
      <w:rFonts w:ascii="仿宋_GB2312" w:hAnsi="宋体" w:eastAsia="仿宋_GB2312"/>
      <w:b/>
      <w:bCs/>
      <w:kern w:val="2"/>
      <w:sz w:val="24"/>
      <w:szCs w:val="24"/>
      <w:lang w:val="en-US" w:eastAsia="zh-CN" w:bidi="ar-SA"/>
    </w:rPr>
  </w:style>
  <w:style w:type="character" w:customStyle="1" w:styleId="121">
    <w:name w:val="Char Char14"/>
    <w:autoRedefine/>
    <w:qFormat/>
    <w:uiPriority w:val="6"/>
    <w:rPr>
      <w:rFonts w:ascii="黑体" w:hAnsi="黑体" w:eastAsia="黑体"/>
    </w:rPr>
  </w:style>
  <w:style w:type="character" w:customStyle="1" w:styleId="122">
    <w:name w:val="Heading 2 Hidden Char"/>
    <w:autoRedefine/>
    <w:qFormat/>
    <w:uiPriority w:val="0"/>
    <w:rPr>
      <w:rFonts w:ascii="仿宋_GB2312" w:eastAsia="仿宋_GB2312"/>
      <w:b/>
      <w:bCs/>
      <w:kern w:val="2"/>
      <w:sz w:val="24"/>
      <w:szCs w:val="24"/>
      <w:lang w:val="zh-CN" w:eastAsia="zh-CN" w:bidi="ar-SA"/>
    </w:rPr>
  </w:style>
  <w:style w:type="character" w:customStyle="1" w:styleId="123">
    <w:name w:val="正文文本首行缩进 2 字符"/>
    <w:link w:val="62"/>
    <w:autoRedefine/>
    <w:qFormat/>
    <w:uiPriority w:val="0"/>
    <w:rPr>
      <w:rFonts w:ascii="宋体" w:hAnsi="宋体"/>
      <w:kern w:val="2"/>
      <w:sz w:val="21"/>
      <w:szCs w:val="24"/>
    </w:rPr>
  </w:style>
  <w:style w:type="character" w:customStyle="1" w:styleId="124">
    <w:name w:val="font11"/>
    <w:autoRedefine/>
    <w:qFormat/>
    <w:uiPriority w:val="0"/>
    <w:rPr>
      <w:rFonts w:hint="default" w:ascii="Times New Roman" w:hAnsi="Times New Roman" w:cs="Times New Roman"/>
      <w:color w:val="000000"/>
      <w:sz w:val="22"/>
      <w:szCs w:val="22"/>
      <w:u w:val="none"/>
    </w:rPr>
  </w:style>
  <w:style w:type="character" w:customStyle="1" w:styleId="125">
    <w:name w:val="表正文 Char1"/>
    <w:autoRedefine/>
    <w:qFormat/>
    <w:uiPriority w:val="0"/>
    <w:rPr>
      <w:rFonts w:ascii="宋体" w:eastAsia="宋体"/>
      <w:snapToGrid w:val="0"/>
      <w:color w:val="000000"/>
      <w:kern w:val="28"/>
      <w:sz w:val="28"/>
    </w:rPr>
  </w:style>
  <w:style w:type="character" w:customStyle="1" w:styleId="126">
    <w:name w:val="blue1"/>
    <w:basedOn w:val="70"/>
    <w:autoRedefine/>
    <w:qFormat/>
    <w:uiPriority w:val="0"/>
    <w:rPr>
      <w:rFonts w:ascii="Arial" w:hAnsi="Arial" w:eastAsia="黑体" w:cs="Arial"/>
      <w:snapToGrid w:val="0"/>
      <w:kern w:val="0"/>
      <w:szCs w:val="21"/>
    </w:rPr>
  </w:style>
  <w:style w:type="character" w:customStyle="1" w:styleId="127">
    <w:name w:val="纯文本 字符1"/>
    <w:link w:val="35"/>
    <w:autoRedefine/>
    <w:qFormat/>
    <w:uiPriority w:val="0"/>
    <w:rPr>
      <w:rFonts w:ascii="宋体" w:hAnsi="Courier New" w:eastAsia="宋体" w:cs="Arial"/>
      <w:snapToGrid w:val="0"/>
      <w:kern w:val="2"/>
      <w:sz w:val="21"/>
      <w:szCs w:val="21"/>
      <w:lang w:val="en-US" w:eastAsia="zh-CN" w:bidi="ar-SA"/>
    </w:rPr>
  </w:style>
  <w:style w:type="character" w:customStyle="1" w:styleId="128">
    <w:name w:val="标书1 Char"/>
    <w:autoRedefine/>
    <w:qFormat/>
    <w:uiPriority w:val="0"/>
    <w:rPr>
      <w:rFonts w:eastAsia="宋体"/>
      <w:b/>
      <w:bCs/>
      <w:kern w:val="44"/>
      <w:sz w:val="44"/>
      <w:szCs w:val="44"/>
      <w:lang w:val="en-US" w:eastAsia="zh-CN" w:bidi="ar-SA"/>
    </w:rPr>
  </w:style>
  <w:style w:type="character" w:customStyle="1" w:styleId="129">
    <w:name w:val="样式5 Char"/>
    <w:autoRedefine/>
    <w:qFormat/>
    <w:uiPriority w:val="0"/>
    <w:rPr>
      <w:rFonts w:ascii="仿宋_GB2312" w:hAnsi="仿宋" w:eastAsia="仿宋_GB2312"/>
      <w:kern w:val="2"/>
      <w:sz w:val="24"/>
      <w:szCs w:val="24"/>
    </w:rPr>
  </w:style>
  <w:style w:type="character" w:customStyle="1" w:styleId="130">
    <w:name w:val="样式4 Char"/>
    <w:autoRedefine/>
    <w:qFormat/>
    <w:uiPriority w:val="0"/>
    <w:rPr>
      <w:rFonts w:ascii="仿宋_GB2312" w:hAnsi="仿宋" w:eastAsia="仿宋_GB2312"/>
      <w:b/>
      <w:kern w:val="2"/>
      <w:sz w:val="32"/>
      <w:szCs w:val="32"/>
      <w:lang w:bidi="ar-SA"/>
    </w:rPr>
  </w:style>
  <w:style w:type="character" w:customStyle="1" w:styleId="131">
    <w:name w:val="插图说明 Char"/>
    <w:autoRedefine/>
    <w:qFormat/>
    <w:uiPriority w:val="0"/>
    <w:rPr>
      <w:rFonts w:eastAsia="黑体"/>
      <w:sz w:val="24"/>
      <w:lang w:val="en-US" w:eastAsia="zh-CN"/>
    </w:rPr>
  </w:style>
  <w:style w:type="character" w:customStyle="1" w:styleId="132">
    <w:name w:val="正文2 Char Char"/>
    <w:link w:val="133"/>
    <w:autoRedefine/>
    <w:qFormat/>
    <w:uiPriority w:val="0"/>
    <w:rPr>
      <w:rFonts w:eastAsia="宋体"/>
      <w:kern w:val="2"/>
      <w:sz w:val="24"/>
      <w:lang w:val="en-US" w:eastAsia="zh-CN" w:bidi="ar-SA"/>
    </w:rPr>
  </w:style>
  <w:style w:type="paragraph" w:customStyle="1" w:styleId="133">
    <w:name w:val="正文2"/>
    <w:basedOn w:val="1"/>
    <w:link w:val="132"/>
    <w:autoRedefine/>
    <w:qFormat/>
    <w:uiPriority w:val="0"/>
    <w:pPr>
      <w:spacing w:before="156" w:line="360" w:lineRule="auto"/>
      <w:ind w:firstLine="510" w:firstLineChars="200"/>
    </w:pPr>
    <w:rPr>
      <w:sz w:val="24"/>
      <w:szCs w:val="20"/>
    </w:rPr>
  </w:style>
  <w:style w:type="character" w:customStyle="1" w:styleId="134">
    <w:name w:val="Char Char24"/>
    <w:autoRedefine/>
    <w:qFormat/>
    <w:uiPriority w:val="6"/>
    <w:rPr>
      <w:kern w:val="1"/>
      <w:sz w:val="21"/>
    </w:rPr>
  </w:style>
  <w:style w:type="character" w:customStyle="1" w:styleId="135">
    <w:name w:val="副标题 字符"/>
    <w:link w:val="49"/>
    <w:autoRedefine/>
    <w:qFormat/>
    <w:uiPriority w:val="0"/>
    <w:rPr>
      <w:rFonts w:ascii="Arial" w:hAnsi="Arial" w:eastAsia="隶书"/>
      <w:b/>
      <w:bCs/>
      <w:kern w:val="28"/>
      <w:sz w:val="44"/>
      <w:szCs w:val="32"/>
      <w:lang w:val="en-US" w:eastAsia="zh-CN" w:bidi="ar-SA"/>
    </w:rPr>
  </w:style>
  <w:style w:type="character" w:customStyle="1" w:styleId="136">
    <w:name w:val="普通文字 Char1 Char"/>
    <w:autoRedefine/>
    <w:qFormat/>
    <w:uiPriority w:val="0"/>
    <w:rPr>
      <w:rFonts w:ascii="宋体" w:hAnsi="Courier New" w:eastAsia="宋体"/>
      <w:kern w:val="2"/>
      <w:sz w:val="21"/>
      <w:szCs w:val="24"/>
      <w:lang w:val="en-US" w:eastAsia="zh-CN" w:bidi="ar-SA"/>
    </w:rPr>
  </w:style>
  <w:style w:type="character" w:customStyle="1" w:styleId="137">
    <w:name w:val="h3 Char1"/>
    <w:autoRedefine/>
    <w:qFormat/>
    <w:uiPriority w:val="0"/>
    <w:rPr>
      <w:rFonts w:eastAsia="宋体"/>
      <w:b/>
      <w:bCs/>
      <w:kern w:val="2"/>
      <w:sz w:val="32"/>
      <w:szCs w:val="32"/>
      <w:lang w:bidi="ar-SA"/>
    </w:rPr>
  </w:style>
  <w:style w:type="character" w:customStyle="1" w:styleId="138">
    <w:name w:val="标题 Char1"/>
    <w:autoRedefine/>
    <w:qFormat/>
    <w:uiPriority w:val="0"/>
    <w:rPr>
      <w:rFonts w:ascii="Cambria" w:hAnsi="Cambria" w:eastAsia="宋体" w:cs="Times New Roman"/>
      <w:b/>
      <w:bCs/>
      <w:sz w:val="32"/>
      <w:szCs w:val="32"/>
      <w:lang w:bidi="ar-SA"/>
    </w:rPr>
  </w:style>
  <w:style w:type="character" w:customStyle="1" w:styleId="139">
    <w:name w:val="gf正文1 Char"/>
    <w:autoRedefine/>
    <w:qFormat/>
    <w:uiPriority w:val="0"/>
    <w:rPr>
      <w:rFonts w:ascii="宋体" w:hAnsi="宋体" w:eastAsia="宋体" w:cs="宋体"/>
      <w:kern w:val="2"/>
      <w:sz w:val="24"/>
      <w:szCs w:val="24"/>
      <w:lang w:val="en-US" w:eastAsia="zh-CN" w:bidi="ar-SA"/>
    </w:rPr>
  </w:style>
  <w:style w:type="character" w:customStyle="1" w:styleId="140">
    <w:name w:val="正文文本缩进 Char1"/>
    <w:autoRedefine/>
    <w:qFormat/>
    <w:uiPriority w:val="0"/>
    <w:rPr>
      <w:rFonts w:ascii="Calibri" w:hAnsi="Calibri"/>
      <w:sz w:val="28"/>
    </w:rPr>
  </w:style>
  <w:style w:type="character" w:customStyle="1" w:styleId="141">
    <w:name w:val="No Spacing Char"/>
    <w:link w:val="142"/>
    <w:autoRedefine/>
    <w:qFormat/>
    <w:uiPriority w:val="1"/>
    <w:rPr>
      <w:sz w:val="22"/>
      <w:szCs w:val="22"/>
      <w:lang w:val="en-US" w:eastAsia="zh-CN" w:bidi="ar-SA"/>
    </w:rPr>
  </w:style>
  <w:style w:type="paragraph" w:customStyle="1" w:styleId="142">
    <w:name w:val="无间隔1"/>
    <w:link w:val="141"/>
    <w:autoRedefine/>
    <w:qFormat/>
    <w:uiPriority w:val="1"/>
    <w:rPr>
      <w:rFonts w:ascii="Times New Roman" w:hAnsi="Times New Roman" w:eastAsia="宋体" w:cs="Times New Roman"/>
      <w:sz w:val="22"/>
      <w:szCs w:val="22"/>
      <w:lang w:val="en-US" w:eastAsia="zh-CN" w:bidi="ar-SA"/>
    </w:rPr>
  </w:style>
  <w:style w:type="character" w:customStyle="1" w:styleId="143">
    <w:name w:val="样式7 Char"/>
    <w:autoRedefine/>
    <w:qFormat/>
    <w:uiPriority w:val="0"/>
    <w:rPr>
      <w:rFonts w:ascii="仿宋_GB2312" w:hAnsi="仿宋" w:eastAsia="仿宋_GB2312"/>
      <w:b/>
      <w:kern w:val="2"/>
      <w:sz w:val="24"/>
      <w:szCs w:val="24"/>
    </w:rPr>
  </w:style>
  <w:style w:type="character" w:customStyle="1" w:styleId="144">
    <w:name w:val="font12gray1"/>
    <w:autoRedefine/>
    <w:qFormat/>
    <w:uiPriority w:val="0"/>
    <w:rPr>
      <w:rFonts w:ascii="仿宋_GB2312" w:eastAsia="微软雅黑"/>
      <w:b/>
      <w:spacing w:val="300"/>
      <w:kern w:val="2"/>
      <w:sz w:val="18"/>
      <w:szCs w:val="18"/>
      <w:lang w:val="en-US" w:eastAsia="zh-CN" w:bidi="ar-SA"/>
    </w:rPr>
  </w:style>
  <w:style w:type="character" w:customStyle="1" w:styleId="145">
    <w:name w:val="Char Char7"/>
    <w:autoRedefine/>
    <w:semiHidden/>
    <w:qFormat/>
    <w:uiPriority w:val="0"/>
    <w:rPr>
      <w:rFonts w:eastAsia="宋体"/>
      <w:kern w:val="2"/>
      <w:sz w:val="21"/>
      <w:szCs w:val="24"/>
      <w:lang w:val="en-US" w:eastAsia="zh-CN" w:bidi="ar-SA"/>
    </w:rPr>
  </w:style>
  <w:style w:type="character" w:customStyle="1" w:styleId="146">
    <w:name w:val="表名 Char"/>
    <w:autoRedefine/>
    <w:qFormat/>
    <w:uiPriority w:val="0"/>
    <w:rPr>
      <w:rFonts w:eastAsia="宋体"/>
      <w:b/>
      <w:bCs/>
      <w:kern w:val="2"/>
      <w:sz w:val="24"/>
      <w:szCs w:val="24"/>
      <w:lang w:val="en-US" w:eastAsia="zh-CN" w:bidi="ar-SA"/>
    </w:rPr>
  </w:style>
  <w:style w:type="character" w:customStyle="1" w:styleId="147">
    <w:name w:val="Document Map Char"/>
    <w:autoRedefine/>
    <w:qFormat/>
    <w:locked/>
    <w:uiPriority w:val="0"/>
    <w:rPr>
      <w:rFonts w:eastAsia="宋体"/>
      <w:kern w:val="2"/>
      <w:sz w:val="21"/>
      <w:szCs w:val="24"/>
      <w:lang w:val="en-US" w:eastAsia="zh-CN" w:bidi="ar-SA"/>
    </w:rPr>
  </w:style>
  <w:style w:type="character" w:customStyle="1" w:styleId="148">
    <w:name w:val="font41"/>
    <w:autoRedefine/>
    <w:qFormat/>
    <w:uiPriority w:val="0"/>
    <w:rPr>
      <w:rFonts w:hint="eastAsia" w:ascii="仿宋_GB2312" w:eastAsia="仿宋_GB2312" w:cs="仿宋_GB2312"/>
      <w:color w:val="000000"/>
      <w:sz w:val="22"/>
      <w:szCs w:val="22"/>
      <w:u w:val="none"/>
    </w:rPr>
  </w:style>
  <w:style w:type="character" w:customStyle="1" w:styleId="149">
    <w:name w:val="标题 6 字符"/>
    <w:link w:val="10"/>
    <w:autoRedefine/>
    <w:qFormat/>
    <w:uiPriority w:val="0"/>
    <w:rPr>
      <w:rFonts w:ascii="Arial" w:hAnsi="Arial" w:eastAsia="黑体"/>
      <w:b/>
      <w:bCs/>
      <w:kern w:val="2"/>
      <w:sz w:val="24"/>
      <w:szCs w:val="24"/>
    </w:rPr>
  </w:style>
  <w:style w:type="character" w:customStyle="1" w:styleId="150">
    <w:name w:val="纯文本 Char_0"/>
    <w:link w:val="151"/>
    <w:autoRedefine/>
    <w:qFormat/>
    <w:uiPriority w:val="0"/>
    <w:rPr>
      <w:rFonts w:ascii="宋体" w:hAnsi="Courier New"/>
      <w:kern w:val="2"/>
      <w:sz w:val="21"/>
      <w:szCs w:val="21"/>
      <w:lang w:val="en-US" w:eastAsia="zh-CN"/>
    </w:rPr>
  </w:style>
  <w:style w:type="paragraph" w:customStyle="1" w:styleId="151">
    <w:name w:val="纯文本_0_0"/>
    <w:basedOn w:val="152"/>
    <w:link w:val="150"/>
    <w:autoRedefine/>
    <w:qFormat/>
    <w:uiPriority w:val="0"/>
    <w:rPr>
      <w:rFonts w:ascii="宋体" w:hAnsi="Courier New"/>
      <w:szCs w:val="21"/>
    </w:rPr>
  </w:style>
  <w:style w:type="paragraph" w:customStyle="1" w:styleId="152">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3">
    <w:name w:val="Balloon Text Char"/>
    <w:autoRedefine/>
    <w:qFormat/>
    <w:locked/>
    <w:uiPriority w:val="0"/>
    <w:rPr>
      <w:rFonts w:eastAsia="宋体"/>
      <w:kern w:val="2"/>
      <w:sz w:val="18"/>
      <w:szCs w:val="18"/>
      <w:lang w:val="en-US" w:eastAsia="zh-CN" w:bidi="ar-SA"/>
    </w:rPr>
  </w:style>
  <w:style w:type="character" w:customStyle="1" w:styleId="154">
    <w:name w:val="正文 项目2 Char"/>
    <w:basedOn w:val="155"/>
    <w:autoRedefine/>
    <w:qFormat/>
    <w:uiPriority w:val="0"/>
    <w:rPr>
      <w:rFonts w:ascii="仿宋_GB2312" w:hAnsi="仿宋_GB2312" w:eastAsia="仿宋_GB2312"/>
      <w:kern w:val="2"/>
      <w:sz w:val="24"/>
      <w:lang w:bidi="ar-SA"/>
    </w:rPr>
  </w:style>
  <w:style w:type="character" w:customStyle="1" w:styleId="155">
    <w:name w:val="正文 项目 Char"/>
    <w:autoRedefine/>
    <w:qFormat/>
    <w:uiPriority w:val="0"/>
    <w:rPr>
      <w:rFonts w:ascii="仿宋_GB2312" w:hAnsi="仿宋_GB2312" w:eastAsia="仿宋_GB2312"/>
      <w:kern w:val="2"/>
      <w:sz w:val="24"/>
      <w:lang w:bidi="ar-SA"/>
    </w:rPr>
  </w:style>
  <w:style w:type="character" w:customStyle="1" w:styleId="156">
    <w:name w:val="h Char Char1"/>
    <w:autoRedefine/>
    <w:qFormat/>
    <w:uiPriority w:val="0"/>
    <w:rPr>
      <w:rFonts w:eastAsia="宋体"/>
      <w:kern w:val="2"/>
      <w:sz w:val="18"/>
      <w:szCs w:val="18"/>
      <w:lang w:val="en-US" w:eastAsia="zh-CN" w:bidi="ar-SA"/>
    </w:rPr>
  </w:style>
  <w:style w:type="character" w:customStyle="1" w:styleId="157">
    <w:name w:val="Char Char27"/>
    <w:autoRedefine/>
    <w:qFormat/>
    <w:uiPriority w:val="6"/>
    <w:rPr>
      <w:rFonts w:ascii="宋体" w:hAnsi="宋体" w:eastAsia="宋体"/>
      <w:color w:val="000000"/>
      <w:kern w:val="1"/>
      <w:sz w:val="28"/>
      <w:lang w:val="en-US" w:eastAsia="zh-CN" w:bidi="ar-SA"/>
    </w:rPr>
  </w:style>
  <w:style w:type="character" w:customStyle="1" w:styleId="158">
    <w:name w:val="px14"/>
    <w:autoRedefine/>
    <w:qFormat/>
    <w:uiPriority w:val="0"/>
    <w:rPr>
      <w:rFonts w:ascii="仿宋_GB2312" w:eastAsia="微软雅黑" w:cs="Times New Roman"/>
      <w:b/>
      <w:kern w:val="2"/>
      <w:sz w:val="32"/>
      <w:szCs w:val="32"/>
      <w:lang w:val="en-US" w:eastAsia="zh-CN" w:bidi="ar-SA"/>
    </w:rPr>
  </w:style>
  <w:style w:type="character" w:customStyle="1" w:styleId="159">
    <w:name w:val="HTML 预设格式 Char1"/>
    <w:autoRedefine/>
    <w:qFormat/>
    <w:uiPriority w:val="0"/>
    <w:rPr>
      <w:rFonts w:ascii="Courier New" w:hAnsi="Courier New" w:eastAsia="宋体" w:cs="Courier New"/>
      <w:sz w:val="20"/>
      <w:szCs w:val="20"/>
    </w:rPr>
  </w:style>
  <w:style w:type="character" w:customStyle="1" w:styleId="160">
    <w:name w:val="普通文字 Char1"/>
    <w:autoRedefine/>
    <w:qFormat/>
    <w:uiPriority w:val="0"/>
    <w:rPr>
      <w:rFonts w:ascii="宋体" w:hAnsi="Courier New" w:eastAsia="宋体"/>
      <w:kern w:val="2"/>
      <w:sz w:val="21"/>
      <w:lang w:val="en-US" w:eastAsia="zh-CN"/>
    </w:rPr>
  </w:style>
  <w:style w:type="character" w:customStyle="1" w:styleId="161">
    <w:name w:val="hei16b1"/>
    <w:autoRedefine/>
    <w:qFormat/>
    <w:uiPriority w:val="0"/>
    <w:rPr>
      <w:rFonts w:hint="default" w:ascii="Arial" w:hAnsi="Arial" w:cs="Arial"/>
      <w:b/>
      <w:bCs/>
      <w:color w:val="000000"/>
      <w:sz w:val="24"/>
      <w:szCs w:val="24"/>
    </w:rPr>
  </w:style>
  <w:style w:type="character" w:customStyle="1" w:styleId="162">
    <w:name w:val="正文（绿盟科技） Char"/>
    <w:link w:val="163"/>
    <w:autoRedefine/>
    <w:qFormat/>
    <w:uiPriority w:val="0"/>
    <w:rPr>
      <w:rFonts w:ascii="Arial" w:hAnsi="Arial"/>
      <w:sz w:val="21"/>
      <w:szCs w:val="21"/>
    </w:rPr>
  </w:style>
  <w:style w:type="paragraph" w:customStyle="1" w:styleId="163">
    <w:name w:val="正文（绿盟科技）"/>
    <w:link w:val="162"/>
    <w:autoRedefine/>
    <w:qFormat/>
    <w:uiPriority w:val="0"/>
    <w:pPr>
      <w:spacing w:line="300" w:lineRule="auto"/>
    </w:pPr>
    <w:rPr>
      <w:rFonts w:ascii="Arial" w:hAnsi="Arial" w:eastAsia="宋体" w:cs="Times New Roman"/>
      <w:sz w:val="21"/>
      <w:szCs w:val="21"/>
      <w:lang w:val="en-US" w:eastAsia="zh-CN" w:bidi="ar-SA"/>
    </w:rPr>
  </w:style>
  <w:style w:type="character" w:customStyle="1" w:styleId="164">
    <w:name w:val="Char Char19"/>
    <w:autoRedefine/>
    <w:qFormat/>
    <w:uiPriority w:val="6"/>
    <w:rPr>
      <w:rFonts w:ascii="宋体" w:hAnsi="宋体"/>
      <w:i/>
      <w:sz w:val="24"/>
      <w:szCs w:val="24"/>
    </w:rPr>
  </w:style>
  <w:style w:type="character" w:customStyle="1" w:styleId="165">
    <w:name w:val="页脚 Char"/>
    <w:autoRedefine/>
    <w:qFormat/>
    <w:uiPriority w:val="0"/>
    <w:rPr>
      <w:rFonts w:eastAsia="仿宋_GB2312"/>
      <w:kern w:val="2"/>
      <w:sz w:val="18"/>
      <w:lang w:val="en-US" w:eastAsia="zh-CN"/>
    </w:rPr>
  </w:style>
  <w:style w:type="character" w:customStyle="1" w:styleId="166">
    <w:name w:val="批注主题 Char"/>
    <w:autoRedefine/>
    <w:qFormat/>
    <w:uiPriority w:val="0"/>
    <w:rPr>
      <w:rFonts w:eastAsia="宋体"/>
      <w:b/>
      <w:bCs/>
      <w:kern w:val="2"/>
      <w:sz w:val="21"/>
      <w:szCs w:val="24"/>
      <w:lang w:val="en-US" w:eastAsia="zh-CN" w:bidi="ar-SA"/>
    </w:rPr>
  </w:style>
  <w:style w:type="character" w:customStyle="1" w:styleId="167">
    <w:name w:val="Comment Text Char"/>
    <w:autoRedefine/>
    <w:qFormat/>
    <w:locked/>
    <w:uiPriority w:val="0"/>
    <w:rPr>
      <w:rFonts w:ascii="宋体" w:hAnsi="宋体" w:eastAsia="宋体"/>
      <w:kern w:val="2"/>
      <w:sz w:val="24"/>
      <w:lang w:val="en-US" w:eastAsia="zh-CN" w:bidi="ar-SA"/>
    </w:rPr>
  </w:style>
  <w:style w:type="character" w:customStyle="1" w:styleId="168">
    <w:name w:val="标题 2 字符"/>
    <w:autoRedefine/>
    <w:qFormat/>
    <w:uiPriority w:val="1"/>
    <w:rPr>
      <w:rFonts w:ascii="仿宋_GB2312" w:hAnsi="Times New Roman" w:eastAsia="仿宋_GB2312" w:cs="Times New Roman"/>
      <w:b/>
      <w:kern w:val="2"/>
      <w:sz w:val="24"/>
      <w:lang w:val="zh-CN"/>
    </w:rPr>
  </w:style>
  <w:style w:type="character" w:customStyle="1" w:styleId="169">
    <w:name w:val="Char Char72"/>
    <w:autoRedefine/>
    <w:qFormat/>
    <w:uiPriority w:val="0"/>
    <w:rPr>
      <w:rFonts w:eastAsia="宋体"/>
      <w:kern w:val="2"/>
      <w:sz w:val="21"/>
      <w:szCs w:val="24"/>
      <w:lang w:val="en-US" w:eastAsia="zh-CN" w:bidi="ar-SA"/>
    </w:rPr>
  </w:style>
  <w:style w:type="character" w:customStyle="1" w:styleId="170">
    <w:name w:val="正文文本缩进 Char2"/>
    <w:autoRedefine/>
    <w:qFormat/>
    <w:uiPriority w:val="0"/>
    <w:rPr>
      <w:rFonts w:ascii="Times New Roman" w:hAnsi="Times New Roman" w:eastAsia="宋体" w:cs="Times New Roman"/>
      <w:snapToGrid w:val="0"/>
      <w:kern w:val="0"/>
      <w:szCs w:val="24"/>
    </w:rPr>
  </w:style>
  <w:style w:type="character" w:customStyle="1" w:styleId="171">
    <w:name w:val="样式2 Char"/>
    <w:autoRedefine/>
    <w:qFormat/>
    <w:uiPriority w:val="0"/>
    <w:rPr>
      <w:rFonts w:ascii="仿宋_GB2312" w:hAnsi="仿宋" w:eastAsia="仿宋_GB2312" w:cs="仿宋_GB2312"/>
      <w:b/>
      <w:bCs/>
      <w:sz w:val="32"/>
      <w:szCs w:val="30"/>
      <w:lang w:val="zh-CN"/>
    </w:rPr>
  </w:style>
  <w:style w:type="character" w:customStyle="1" w:styleId="172">
    <w:name w:val="表格名称[858D7CFB-ED40-4347-BF05-701D383B685F]"/>
    <w:link w:val="173"/>
    <w:autoRedefine/>
    <w:qFormat/>
    <w:uiPriority w:val="0"/>
    <w:rPr>
      <w:sz w:val="32"/>
    </w:rPr>
  </w:style>
  <w:style w:type="paragraph" w:customStyle="1" w:styleId="173">
    <w:name w:val="表格名称"/>
    <w:basedOn w:val="6"/>
    <w:link w:val="172"/>
    <w:autoRedefine/>
    <w:qFormat/>
    <w:uiPriority w:val="0"/>
    <w:pPr>
      <w:snapToGrid w:val="0"/>
      <w:spacing w:before="240" w:after="240" w:line="240" w:lineRule="auto"/>
      <w:ind w:left="0" w:firstLine="0"/>
      <w:jc w:val="center"/>
    </w:pPr>
    <w:rPr>
      <w:rFonts w:ascii="Calibri" w:hAnsi="Calibri" w:eastAsia="宋体"/>
      <w:b w:val="0"/>
      <w:bCs w:val="0"/>
      <w:kern w:val="0"/>
      <w:szCs w:val="20"/>
    </w:rPr>
  </w:style>
  <w:style w:type="character" w:customStyle="1" w:styleId="174">
    <w:name w:val="Char Char4"/>
    <w:autoRedefine/>
    <w:qFormat/>
    <w:uiPriority w:val="0"/>
    <w:rPr>
      <w:rFonts w:eastAsia="宋体"/>
      <w:b/>
      <w:sz w:val="24"/>
      <w:lang w:val="en-GB" w:eastAsia="zh-CN" w:bidi="ar-SA"/>
    </w:rPr>
  </w:style>
  <w:style w:type="character" w:customStyle="1" w:styleId="175">
    <w:name w:val="c7 style3"/>
    <w:autoRedefine/>
    <w:qFormat/>
    <w:uiPriority w:val="0"/>
  </w:style>
  <w:style w:type="character" w:customStyle="1" w:styleId="176">
    <w:name w:val="正文文本 3 Char1"/>
    <w:autoRedefine/>
    <w:semiHidden/>
    <w:qFormat/>
    <w:uiPriority w:val="99"/>
    <w:rPr>
      <w:rFonts w:ascii="Times New Roman" w:hAnsi="Times New Roman" w:eastAsia="宋体" w:cs="Times New Roman"/>
      <w:sz w:val="16"/>
      <w:szCs w:val="16"/>
    </w:rPr>
  </w:style>
  <w:style w:type="character" w:customStyle="1" w:styleId="177">
    <w:name w:val="tw4winInternal"/>
    <w:autoRedefine/>
    <w:qFormat/>
    <w:uiPriority w:val="0"/>
    <w:rPr>
      <w:rFonts w:ascii="Courier New" w:hAnsi="Courier New" w:cs="Courier New"/>
      <w:color w:val="FF0000"/>
      <w:lang w:val="en-US" w:eastAsia="zh-CN"/>
    </w:rPr>
  </w:style>
  <w:style w:type="character" w:customStyle="1" w:styleId="178">
    <w:name w:val="Char Char10"/>
    <w:autoRedefine/>
    <w:semiHidden/>
    <w:qFormat/>
    <w:uiPriority w:val="0"/>
    <w:rPr>
      <w:rFonts w:ascii="宋体" w:hAnsi="宋体"/>
      <w:kern w:val="2"/>
      <w:sz w:val="21"/>
      <w:szCs w:val="24"/>
      <w:lang w:val="en-US" w:eastAsia="zh-CN"/>
    </w:rPr>
  </w:style>
  <w:style w:type="character" w:customStyle="1" w:styleId="179">
    <w:name w:val="shadow11"/>
    <w:autoRedefine/>
    <w:qFormat/>
    <w:uiPriority w:val="0"/>
    <w:rPr>
      <w:color w:val="000000"/>
      <w:sz w:val="21"/>
    </w:rPr>
  </w:style>
  <w:style w:type="character" w:customStyle="1" w:styleId="180">
    <w:name w:val="正文非缩进 Char3"/>
    <w:autoRedefine/>
    <w:qFormat/>
    <w:uiPriority w:val="0"/>
    <w:rPr>
      <w:rFonts w:ascii="宋体" w:eastAsia="宋体"/>
      <w:snapToGrid w:val="0"/>
      <w:color w:val="000000"/>
      <w:kern w:val="28"/>
      <w:sz w:val="28"/>
      <w:lang w:val="en-US" w:eastAsia="zh-CN" w:bidi="ar-SA"/>
    </w:rPr>
  </w:style>
  <w:style w:type="character" w:customStyle="1" w:styleId="181">
    <w:name w:val="Char Char"/>
    <w:autoRedefine/>
    <w:qFormat/>
    <w:uiPriority w:val="0"/>
    <w:rPr>
      <w:rFonts w:ascii="宋体" w:hAnsi="Courier New" w:eastAsia="宋体"/>
      <w:kern w:val="2"/>
      <w:sz w:val="21"/>
      <w:lang w:val="en-US" w:eastAsia="zh-CN" w:bidi="ar-SA"/>
    </w:rPr>
  </w:style>
  <w:style w:type="character" w:customStyle="1" w:styleId="182">
    <w:name w:val="签名 Char1"/>
    <w:autoRedefine/>
    <w:qFormat/>
    <w:uiPriority w:val="0"/>
    <w:rPr>
      <w:rFonts w:ascii="Times New Roman" w:hAnsi="Times New Roman" w:eastAsia="宋体" w:cs="Times New Roman"/>
      <w:szCs w:val="24"/>
    </w:rPr>
  </w:style>
  <w:style w:type="character" w:customStyle="1" w:styleId="183">
    <w:name w:val="日期 字符"/>
    <w:link w:val="38"/>
    <w:autoRedefine/>
    <w:qFormat/>
    <w:uiPriority w:val="0"/>
    <w:rPr>
      <w:rFonts w:ascii="宋体"/>
      <w:kern w:val="2"/>
      <w:sz w:val="24"/>
      <w:szCs w:val="21"/>
      <w:lang w:val="zh-CN"/>
    </w:rPr>
  </w:style>
  <w:style w:type="character" w:customStyle="1" w:styleId="184">
    <w:name w:val="标题 9 字符"/>
    <w:link w:val="13"/>
    <w:autoRedefine/>
    <w:qFormat/>
    <w:uiPriority w:val="0"/>
    <w:rPr>
      <w:rFonts w:ascii="Arial" w:hAnsi="Arial" w:eastAsia="黑体"/>
      <w:kern w:val="2"/>
      <w:sz w:val="21"/>
      <w:szCs w:val="21"/>
    </w:rPr>
  </w:style>
  <w:style w:type="character" w:customStyle="1" w:styleId="185">
    <w:name w:val="Char Char18"/>
    <w:autoRedefine/>
    <w:qFormat/>
    <w:uiPriority w:val="6"/>
    <w:rPr>
      <w:rFonts w:ascii="宋体" w:hAnsi="宋体"/>
      <w:sz w:val="28"/>
    </w:rPr>
  </w:style>
  <w:style w:type="character" w:customStyle="1" w:styleId="186">
    <w:name w:val="批注文字 Char"/>
    <w:autoRedefine/>
    <w:qFormat/>
    <w:uiPriority w:val="99"/>
    <w:rPr>
      <w:kern w:val="2"/>
      <w:sz w:val="21"/>
      <w:szCs w:val="24"/>
    </w:rPr>
  </w:style>
  <w:style w:type="character" w:customStyle="1" w:styleId="187">
    <w:name w:val="Char Char22"/>
    <w:autoRedefine/>
    <w:qFormat/>
    <w:uiPriority w:val="6"/>
    <w:rPr>
      <w:rFonts w:ascii="宋体" w:hAnsi="宋体"/>
      <w:kern w:val="1"/>
      <w:sz w:val="24"/>
      <w:szCs w:val="24"/>
    </w:rPr>
  </w:style>
  <w:style w:type="character" w:customStyle="1" w:styleId="188">
    <w:name w:val="pt141"/>
    <w:autoRedefine/>
    <w:qFormat/>
    <w:uiPriority w:val="0"/>
    <w:rPr>
      <w:color w:val="330066"/>
      <w:sz w:val="22"/>
      <w:szCs w:val="22"/>
    </w:rPr>
  </w:style>
  <w:style w:type="character" w:customStyle="1" w:styleId="189">
    <w:name w:val="正文文本缩进 2 Char1"/>
    <w:autoRedefine/>
    <w:semiHidden/>
    <w:qFormat/>
    <w:uiPriority w:val="99"/>
    <w:rPr>
      <w:rFonts w:ascii="Times New Roman" w:hAnsi="Times New Roman" w:eastAsia="宋体" w:cs="Times New Roman"/>
      <w:szCs w:val="24"/>
    </w:rPr>
  </w:style>
  <w:style w:type="character" w:customStyle="1" w:styleId="190">
    <w:name w:val="批注框文本 字符1"/>
    <w:link w:val="41"/>
    <w:autoRedefine/>
    <w:qFormat/>
    <w:uiPriority w:val="0"/>
    <w:rPr>
      <w:kern w:val="2"/>
      <w:sz w:val="18"/>
      <w:szCs w:val="18"/>
    </w:rPr>
  </w:style>
  <w:style w:type="character" w:customStyle="1" w:styleId="191">
    <w:name w:val="Char Char611"/>
    <w:autoRedefine/>
    <w:qFormat/>
    <w:uiPriority w:val="0"/>
    <w:rPr>
      <w:rFonts w:eastAsia="宋体"/>
      <w:kern w:val="2"/>
      <w:sz w:val="21"/>
      <w:szCs w:val="24"/>
      <w:lang w:val="en-US" w:eastAsia="zh-CN" w:bidi="ar-SA"/>
    </w:rPr>
  </w:style>
  <w:style w:type="character" w:customStyle="1" w:styleId="192">
    <w:name w:val="highlight1"/>
    <w:autoRedefine/>
    <w:qFormat/>
    <w:uiPriority w:val="0"/>
    <w:rPr>
      <w:rFonts w:ascii="仿宋_GB2312" w:eastAsia="微软雅黑"/>
      <w:b/>
      <w:kern w:val="2"/>
      <w:sz w:val="23"/>
      <w:szCs w:val="23"/>
      <w:lang w:val="en-US" w:eastAsia="zh-CN" w:bidi="ar-SA"/>
    </w:rPr>
  </w:style>
  <w:style w:type="character" w:customStyle="1" w:styleId="193">
    <w:name w:val="my正文 Char"/>
    <w:link w:val="194"/>
    <w:autoRedefine/>
    <w:qFormat/>
    <w:locked/>
    <w:uiPriority w:val="0"/>
    <w:rPr>
      <w:rFonts w:ascii="Tahoma" w:hAnsi="Tahoma"/>
      <w:sz w:val="24"/>
      <w:szCs w:val="24"/>
    </w:rPr>
  </w:style>
  <w:style w:type="paragraph" w:customStyle="1" w:styleId="194">
    <w:name w:val="my正文"/>
    <w:basedOn w:val="1"/>
    <w:link w:val="193"/>
    <w:autoRedefine/>
    <w:qFormat/>
    <w:uiPriority w:val="0"/>
    <w:pPr>
      <w:adjustRightInd/>
      <w:spacing w:line="360" w:lineRule="auto"/>
      <w:ind w:firstLine="480" w:firstLineChars="200"/>
    </w:pPr>
    <w:rPr>
      <w:rFonts w:ascii="Tahoma" w:hAnsi="Tahoma"/>
      <w:kern w:val="0"/>
      <w:sz w:val="24"/>
    </w:rPr>
  </w:style>
  <w:style w:type="character" w:customStyle="1" w:styleId="195">
    <w:name w:val="正文缩进 字符2"/>
    <w:link w:val="18"/>
    <w:autoRedefine/>
    <w:qFormat/>
    <w:uiPriority w:val="0"/>
    <w:rPr>
      <w:rFonts w:ascii="宋体" w:eastAsia="宋体"/>
      <w:snapToGrid w:val="0"/>
      <w:color w:val="000000"/>
      <w:kern w:val="28"/>
      <w:sz w:val="28"/>
      <w:lang w:val="en-US" w:eastAsia="zh-CN" w:bidi="ar-SA"/>
    </w:rPr>
  </w:style>
  <w:style w:type="character" w:customStyle="1" w:styleId="196">
    <w:name w:val="Used by Word for text of Help footnotes Char Char1"/>
    <w:autoRedefine/>
    <w:qFormat/>
    <w:uiPriority w:val="0"/>
    <w:rPr>
      <w:color w:val="0000FF"/>
      <w:sz w:val="21"/>
    </w:rPr>
  </w:style>
  <w:style w:type="character" w:customStyle="1" w:styleId="197">
    <w:name w:val="页眉 Char"/>
    <w:autoRedefine/>
    <w:qFormat/>
    <w:uiPriority w:val="0"/>
    <w:rPr>
      <w:rFonts w:eastAsia="仿宋_GB2312"/>
      <w:kern w:val="2"/>
      <w:sz w:val="18"/>
      <w:lang w:val="en-US" w:eastAsia="zh-CN"/>
    </w:rPr>
  </w:style>
  <w:style w:type="character" w:customStyle="1" w:styleId="198">
    <w:name w:val="FA正文 Char Char"/>
    <w:autoRedefine/>
    <w:qFormat/>
    <w:uiPriority w:val="0"/>
    <w:rPr>
      <w:rFonts w:hAnsi="宋体"/>
      <w:kern w:val="2"/>
      <w:sz w:val="24"/>
      <w:lang w:bidi="ar-SA"/>
    </w:rPr>
  </w:style>
  <w:style w:type="character" w:customStyle="1" w:styleId="199">
    <w:name w:val="纯文本 字符"/>
    <w:autoRedefine/>
    <w:qFormat/>
    <w:uiPriority w:val="0"/>
    <w:rPr>
      <w:rFonts w:ascii="宋体" w:hAnsi="Courier New" w:eastAsia="宋体" w:cs="Arial"/>
      <w:snapToGrid w:val="0"/>
      <w:kern w:val="2"/>
      <w:sz w:val="21"/>
      <w:szCs w:val="21"/>
      <w:lang w:val="en-US" w:eastAsia="zh-CN" w:bidi="ar-SA"/>
    </w:rPr>
  </w:style>
  <w:style w:type="character" w:customStyle="1" w:styleId="200">
    <w:name w:val="3级 Char"/>
    <w:link w:val="201"/>
    <w:autoRedefine/>
    <w:qFormat/>
    <w:uiPriority w:val="0"/>
    <w:rPr>
      <w:rFonts w:ascii="宋体" w:hAnsi="宋体"/>
      <w:b/>
      <w:bCs/>
      <w:snapToGrid/>
      <w:sz w:val="28"/>
    </w:rPr>
  </w:style>
  <w:style w:type="paragraph" w:customStyle="1" w:styleId="201">
    <w:name w:val="3级"/>
    <w:basedOn w:val="202"/>
    <w:link w:val="200"/>
    <w:autoRedefine/>
    <w:qFormat/>
    <w:uiPriority w:val="0"/>
    <w:pPr>
      <w:ind w:left="0" w:right="466" w:firstLine="288"/>
    </w:pPr>
    <w:rPr>
      <w:rFonts w:hAnsi="宋体"/>
      <w:snapToGrid/>
    </w:rPr>
  </w:style>
  <w:style w:type="paragraph" w:customStyle="1" w:styleId="202">
    <w:name w:val="样式 标题 3h33rd level3BOD 0H3l3CTHeading 3 - oldLevel 3 He..."/>
    <w:basedOn w:val="7"/>
    <w:autoRedefine/>
    <w:qFormat/>
    <w:uiPriority w:val="99"/>
    <w:pPr>
      <w:keepLines w:val="0"/>
      <w:widowControl/>
      <w:tabs>
        <w:tab w:val="clear" w:pos="900"/>
      </w:tabs>
      <w:adjustRightInd/>
      <w:spacing w:before="240" w:after="240" w:line="360" w:lineRule="auto"/>
      <w:ind w:left="851" w:right="407" w:rightChars="194" w:hanging="851"/>
      <w:jc w:val="left"/>
    </w:pPr>
    <w:rPr>
      <w:rFonts w:ascii="宋体" w:hAnsi="Arial"/>
      <w:snapToGrid w:val="0"/>
      <w:kern w:val="0"/>
      <w:sz w:val="28"/>
      <w:szCs w:val="20"/>
    </w:rPr>
  </w:style>
  <w:style w:type="character" w:customStyle="1" w:styleId="203">
    <w:name w:val="myp11"/>
    <w:autoRedefine/>
    <w:qFormat/>
    <w:uiPriority w:val="0"/>
    <w:rPr>
      <w:rFonts w:ascii="仿宋_GB2312" w:eastAsia="微软雅黑"/>
      <w:b/>
      <w:kern w:val="2"/>
      <w:sz w:val="32"/>
      <w:szCs w:val="32"/>
      <w:lang w:val="en-US" w:eastAsia="zh-CN" w:bidi="ar-SA"/>
    </w:rPr>
  </w:style>
  <w:style w:type="character" w:customStyle="1" w:styleId="204">
    <w:name w:val="文档结构图 字符"/>
    <w:link w:val="21"/>
    <w:autoRedefine/>
    <w:qFormat/>
    <w:uiPriority w:val="0"/>
    <w:rPr>
      <w:kern w:val="2"/>
      <w:sz w:val="21"/>
      <w:szCs w:val="24"/>
      <w:shd w:val="clear" w:color="auto" w:fill="000080"/>
    </w:rPr>
  </w:style>
  <w:style w:type="character" w:customStyle="1" w:styleId="205">
    <w:name w:val="H6 Char"/>
    <w:autoRedefine/>
    <w:qFormat/>
    <w:uiPriority w:val="0"/>
    <w:rPr>
      <w:rFonts w:ascii="Arial" w:hAnsi="Arial" w:eastAsia="黑体"/>
      <w:b/>
      <w:bCs/>
      <w:kern w:val="2"/>
      <w:sz w:val="24"/>
      <w:szCs w:val="24"/>
    </w:rPr>
  </w:style>
  <w:style w:type="character" w:customStyle="1" w:styleId="206">
    <w:name w:val="Char Char91"/>
    <w:autoRedefine/>
    <w:qFormat/>
    <w:uiPriority w:val="0"/>
    <w:rPr>
      <w:rFonts w:eastAsia="宋体"/>
      <w:kern w:val="2"/>
      <w:sz w:val="18"/>
      <w:szCs w:val="18"/>
      <w:lang w:val="en-US" w:eastAsia="zh-CN" w:bidi="ar-SA"/>
    </w:rPr>
  </w:style>
  <w:style w:type="character" w:customStyle="1" w:styleId="207">
    <w:name w:val="副标题 Char1"/>
    <w:autoRedefine/>
    <w:qFormat/>
    <w:uiPriority w:val="0"/>
    <w:rPr>
      <w:rFonts w:ascii="Cambria" w:hAnsi="Cambria" w:eastAsia="宋体" w:cs="Times New Roman"/>
      <w:b/>
      <w:bCs/>
      <w:snapToGrid w:val="0"/>
      <w:kern w:val="28"/>
      <w:sz w:val="32"/>
      <w:szCs w:val="32"/>
    </w:rPr>
  </w:style>
  <w:style w:type="character" w:customStyle="1" w:styleId="208">
    <w:name w:val="font61"/>
    <w:autoRedefine/>
    <w:qFormat/>
    <w:uiPriority w:val="0"/>
    <w:rPr>
      <w:rFonts w:hint="eastAsia" w:ascii="仿宋" w:hAnsi="仿宋" w:eastAsia="仿宋" w:cs="仿宋"/>
      <w:color w:val="000000"/>
      <w:sz w:val="20"/>
      <w:szCs w:val="20"/>
      <w:u w:val="none"/>
    </w:rPr>
  </w:style>
  <w:style w:type="character" w:customStyle="1" w:styleId="209">
    <w:name w:val="bod1"/>
    <w:autoRedefine/>
    <w:qFormat/>
    <w:uiPriority w:val="0"/>
    <w:rPr>
      <w:rFonts w:ascii="MS Sans Serif" w:hAnsi="MS Sans Serif" w:eastAsia="微软雅黑" w:cs="Times New Roman"/>
      <w:b/>
      <w:color w:val="000000"/>
      <w:kern w:val="2"/>
      <w:sz w:val="20"/>
      <w:szCs w:val="20"/>
      <w:lang w:val="en-US" w:eastAsia="zh-CN" w:bidi="ar-SA"/>
    </w:rPr>
  </w:style>
  <w:style w:type="character" w:customStyle="1" w:styleId="210">
    <w:name w:val="Char Char211"/>
    <w:autoRedefine/>
    <w:qFormat/>
    <w:uiPriority w:val="0"/>
    <w:rPr>
      <w:rFonts w:eastAsia="宋体"/>
      <w:b/>
      <w:bCs/>
      <w:kern w:val="2"/>
      <w:sz w:val="21"/>
      <w:szCs w:val="24"/>
      <w:lang w:val="en-US" w:eastAsia="zh-CN" w:bidi="ar-SA"/>
    </w:rPr>
  </w:style>
  <w:style w:type="character" w:customStyle="1" w:styleId="211">
    <w:name w:val="标题 2 Char"/>
    <w:autoRedefine/>
    <w:qFormat/>
    <w:uiPriority w:val="0"/>
    <w:rPr>
      <w:rFonts w:ascii="Arial" w:hAnsi="Arial" w:eastAsia="黑体"/>
      <w:b/>
      <w:kern w:val="2"/>
      <w:sz w:val="32"/>
      <w:lang w:val="en-US" w:eastAsia="zh-CN"/>
    </w:rPr>
  </w:style>
  <w:style w:type="character" w:customStyle="1" w:styleId="212">
    <w:name w:val="maywed421"/>
    <w:autoRedefine/>
    <w:qFormat/>
    <w:uiPriority w:val="0"/>
    <w:rPr>
      <w:color w:val="366FB6"/>
      <w:u w:val="none"/>
    </w:rPr>
  </w:style>
  <w:style w:type="character" w:customStyle="1" w:styleId="213">
    <w:name w:val="正文文本缩进 Char"/>
    <w:autoRedefine/>
    <w:qFormat/>
    <w:uiPriority w:val="0"/>
    <w:rPr>
      <w:rFonts w:ascii="宋体" w:hAnsi="宋体"/>
      <w:kern w:val="2"/>
      <w:sz w:val="24"/>
      <w:szCs w:val="24"/>
    </w:rPr>
  </w:style>
  <w:style w:type="character" w:customStyle="1" w:styleId="214">
    <w:name w:val="Char Char102"/>
    <w:autoRedefine/>
    <w:semiHidden/>
    <w:qFormat/>
    <w:uiPriority w:val="0"/>
    <w:rPr>
      <w:rFonts w:ascii="宋体" w:hAnsi="宋体"/>
      <w:kern w:val="2"/>
      <w:sz w:val="21"/>
      <w:szCs w:val="24"/>
      <w:lang w:val="en-US" w:eastAsia="zh-CN"/>
    </w:rPr>
  </w:style>
  <w:style w:type="character" w:customStyle="1" w:styleId="215">
    <w:name w:val="页眉 Char1"/>
    <w:autoRedefine/>
    <w:qFormat/>
    <w:uiPriority w:val="0"/>
    <w:rPr>
      <w:rFonts w:eastAsia="宋体"/>
      <w:kern w:val="2"/>
      <w:sz w:val="18"/>
      <w:szCs w:val="18"/>
      <w:lang w:val="en-US" w:eastAsia="zh-CN" w:bidi="ar-SA"/>
    </w:rPr>
  </w:style>
  <w:style w:type="character" w:customStyle="1" w:styleId="216">
    <w:name w:val="md"/>
    <w:basedOn w:val="70"/>
    <w:autoRedefine/>
    <w:qFormat/>
    <w:uiPriority w:val="0"/>
    <w:rPr>
      <w:rFonts w:ascii="Arial" w:hAnsi="Arial" w:eastAsia="黑体" w:cs="Arial"/>
      <w:snapToGrid w:val="0"/>
      <w:kern w:val="0"/>
      <w:szCs w:val="21"/>
    </w:rPr>
  </w:style>
  <w:style w:type="character" w:customStyle="1" w:styleId="217">
    <w:name w:val="big1"/>
    <w:autoRedefine/>
    <w:qFormat/>
    <w:uiPriority w:val="0"/>
    <w:rPr>
      <w:rFonts w:hint="eastAsia" w:ascii="宋体" w:hAnsi="宋体" w:eastAsia="宋体"/>
      <w:color w:val="333333"/>
      <w:sz w:val="22"/>
      <w:szCs w:val="22"/>
    </w:rPr>
  </w:style>
  <w:style w:type="character" w:customStyle="1" w:styleId="218">
    <w:name w:val="Char Char311"/>
    <w:autoRedefine/>
    <w:qFormat/>
    <w:uiPriority w:val="0"/>
    <w:rPr>
      <w:rFonts w:eastAsia="宋体"/>
      <w:kern w:val="2"/>
      <w:sz w:val="21"/>
      <w:szCs w:val="24"/>
      <w:lang w:val="en-US" w:eastAsia="zh-CN" w:bidi="ar-SA"/>
    </w:rPr>
  </w:style>
  <w:style w:type="character" w:customStyle="1" w:styleId="219">
    <w:name w:val="Char Char81"/>
    <w:autoRedefine/>
    <w:qFormat/>
    <w:uiPriority w:val="6"/>
    <w:rPr>
      <w:rFonts w:eastAsia="宋体"/>
      <w:b/>
      <w:sz w:val="24"/>
      <w:lang w:val="en-GB" w:eastAsia="zh-CN"/>
    </w:rPr>
  </w:style>
  <w:style w:type="character" w:customStyle="1" w:styleId="220">
    <w:name w:val="样式3 Char"/>
    <w:basedOn w:val="171"/>
    <w:autoRedefine/>
    <w:qFormat/>
    <w:uiPriority w:val="0"/>
    <w:rPr>
      <w:rFonts w:ascii="仿宋_GB2312" w:hAnsi="仿宋" w:eastAsia="仿宋_GB2312" w:cs="仿宋_GB2312"/>
      <w:sz w:val="32"/>
      <w:szCs w:val="30"/>
      <w:lang w:val="zh-CN"/>
    </w:rPr>
  </w:style>
  <w:style w:type="character" w:customStyle="1" w:styleId="221">
    <w:name w:val="HTML 地址 字符"/>
    <w:link w:val="32"/>
    <w:autoRedefine/>
    <w:qFormat/>
    <w:uiPriority w:val="0"/>
    <w:rPr>
      <w:rFonts w:ascii="宋体" w:hAnsi="宋体"/>
      <w:i/>
      <w:iCs/>
      <w:sz w:val="24"/>
      <w:szCs w:val="24"/>
    </w:rPr>
  </w:style>
  <w:style w:type="character" w:customStyle="1" w:styleId="222">
    <w:name w:val="正文首行缩进 2 Char1"/>
    <w:autoRedefine/>
    <w:qFormat/>
    <w:uiPriority w:val="0"/>
    <w:rPr>
      <w:rFonts w:ascii="Times New Roman" w:hAnsi="Times New Roman" w:eastAsia="宋体" w:cs="Times New Roman"/>
      <w:kern w:val="2"/>
      <w:sz w:val="24"/>
      <w:szCs w:val="24"/>
    </w:rPr>
  </w:style>
  <w:style w:type="character" w:customStyle="1" w:styleId="223">
    <w:name w:val="副标题 Char2"/>
    <w:autoRedefine/>
    <w:qFormat/>
    <w:uiPriority w:val="0"/>
    <w:rPr>
      <w:rFonts w:ascii="Cambria" w:hAnsi="Cambria" w:eastAsia="宋体" w:cs="Times New Roman"/>
      <w:b/>
      <w:bCs/>
      <w:snapToGrid w:val="0"/>
      <w:kern w:val="28"/>
      <w:sz w:val="32"/>
      <w:szCs w:val="32"/>
    </w:rPr>
  </w:style>
  <w:style w:type="character" w:customStyle="1" w:styleId="224">
    <w:name w:val="标题4-dyf Char"/>
    <w:link w:val="225"/>
    <w:autoRedefine/>
    <w:qFormat/>
    <w:uiPriority w:val="0"/>
    <w:rPr>
      <w:rFonts w:ascii="Cambria" w:hAnsi="Cambria"/>
      <w:b/>
      <w:bCs/>
      <w:color w:val="000000"/>
      <w:kern w:val="2"/>
      <w:sz w:val="21"/>
      <w:szCs w:val="21"/>
    </w:rPr>
  </w:style>
  <w:style w:type="paragraph" w:customStyle="1" w:styleId="225">
    <w:name w:val="标题4-dyf"/>
    <w:basedOn w:val="8"/>
    <w:link w:val="224"/>
    <w:autoRedefine/>
    <w:qFormat/>
    <w:uiPriority w:val="0"/>
    <w:pPr>
      <w:tabs>
        <w:tab w:val="left" w:pos="851"/>
        <w:tab w:val="clear" w:pos="864"/>
      </w:tabs>
      <w:adjustRightInd/>
      <w:spacing w:line="376" w:lineRule="atLeast"/>
      <w:ind w:left="851" w:hanging="851"/>
    </w:pPr>
    <w:rPr>
      <w:rFonts w:ascii="Cambria" w:hAnsi="Cambria" w:eastAsia="宋体"/>
      <w:color w:val="000000"/>
      <w:sz w:val="21"/>
      <w:szCs w:val="21"/>
    </w:rPr>
  </w:style>
  <w:style w:type="character" w:customStyle="1" w:styleId="226">
    <w:name w:val="dectext1"/>
    <w:autoRedefine/>
    <w:qFormat/>
    <w:uiPriority w:val="0"/>
    <w:rPr>
      <w:rFonts w:ascii="宋体" w:hAnsi="宋体" w:eastAsia="宋体"/>
      <w:color w:val="333333"/>
      <w:sz w:val="21"/>
      <w:szCs w:val="21"/>
      <w:u w:val="none"/>
    </w:rPr>
  </w:style>
  <w:style w:type="character" w:customStyle="1" w:styleId="227">
    <w:name w:val="冯 Char"/>
    <w:link w:val="228"/>
    <w:autoRedefine/>
    <w:qFormat/>
    <w:uiPriority w:val="0"/>
    <w:rPr>
      <w:rFonts w:ascii="宋体" w:hAnsi="宋体"/>
      <w:color w:val="000000"/>
      <w:sz w:val="24"/>
      <w:szCs w:val="24"/>
    </w:rPr>
  </w:style>
  <w:style w:type="paragraph" w:customStyle="1" w:styleId="228">
    <w:name w:val="冯"/>
    <w:basedOn w:val="1"/>
    <w:link w:val="227"/>
    <w:autoRedefine/>
    <w:qFormat/>
    <w:uiPriority w:val="0"/>
    <w:pPr>
      <w:widowControl/>
      <w:adjustRightInd/>
      <w:spacing w:line="360" w:lineRule="auto"/>
      <w:ind w:firstLine="480" w:firstLineChars="200"/>
    </w:pPr>
    <w:rPr>
      <w:rFonts w:ascii="宋体" w:hAnsi="宋体"/>
      <w:color w:val="000000"/>
      <w:kern w:val="0"/>
      <w:sz w:val="24"/>
    </w:rPr>
  </w:style>
  <w:style w:type="character" w:customStyle="1" w:styleId="229">
    <w:name w:val="Header Char"/>
    <w:autoRedefine/>
    <w:qFormat/>
    <w:locked/>
    <w:uiPriority w:val="0"/>
    <w:rPr>
      <w:rFonts w:eastAsia="宋体"/>
      <w:kern w:val="2"/>
      <w:sz w:val="18"/>
      <w:szCs w:val="18"/>
      <w:lang w:val="en-US" w:eastAsia="zh-CN" w:bidi="ar-SA"/>
    </w:rPr>
  </w:style>
  <w:style w:type="character" w:customStyle="1" w:styleId="230">
    <w:name w:val="Char Char12"/>
    <w:autoRedefine/>
    <w:qFormat/>
    <w:uiPriority w:val="0"/>
    <w:rPr>
      <w:rFonts w:ascii="仿宋_GB2312" w:eastAsia="仿宋_GB2312"/>
      <w:b/>
      <w:bCs/>
      <w:kern w:val="2"/>
      <w:sz w:val="24"/>
      <w:szCs w:val="24"/>
      <w:lang w:val="zh-CN" w:eastAsia="zh-CN" w:bidi="ar-SA"/>
    </w:rPr>
  </w:style>
  <w:style w:type="character" w:customStyle="1" w:styleId="231">
    <w:name w:val="题注 字符"/>
    <w:link w:val="19"/>
    <w:autoRedefine/>
    <w:qFormat/>
    <w:uiPriority w:val="0"/>
    <w:rPr>
      <w:b/>
      <w:kern w:val="2"/>
      <w:sz w:val="28"/>
    </w:rPr>
  </w:style>
  <w:style w:type="character" w:customStyle="1" w:styleId="232">
    <w:name w:val="普通文字 Char3"/>
    <w:autoRedefine/>
    <w:qFormat/>
    <w:uiPriority w:val="0"/>
    <w:rPr>
      <w:rFonts w:ascii="宋体" w:hAnsi="Courier New" w:eastAsia="宋体"/>
      <w:kern w:val="2"/>
      <w:sz w:val="21"/>
      <w:lang w:val="en-US" w:eastAsia="zh-CN" w:bidi="ar-SA"/>
    </w:rPr>
  </w:style>
  <w:style w:type="character" w:customStyle="1" w:styleId="233">
    <w:name w:val="公文正文 Char"/>
    <w:autoRedefine/>
    <w:qFormat/>
    <w:uiPriority w:val="0"/>
    <w:rPr>
      <w:rFonts w:ascii="仿宋_GB2312" w:eastAsia="仿宋_GB2312"/>
      <w:kern w:val="2"/>
      <w:sz w:val="24"/>
      <w:szCs w:val="24"/>
      <w:lang w:val="en-US" w:eastAsia="zh-CN" w:bidi="ar-SA"/>
    </w:rPr>
  </w:style>
  <w:style w:type="character" w:customStyle="1" w:styleId="234">
    <w:name w:val="正文首行缩进 Char Char Char Char Char"/>
    <w:autoRedefine/>
    <w:qFormat/>
    <w:uiPriority w:val="0"/>
    <w:rPr>
      <w:rFonts w:ascii="宋体"/>
      <w:kern w:val="2"/>
      <w:sz w:val="24"/>
      <w:lang w:val="zh-CN"/>
    </w:rPr>
  </w:style>
  <w:style w:type="character" w:customStyle="1" w:styleId="235">
    <w:name w:val="PI Char"/>
    <w:autoRedefine/>
    <w:qFormat/>
    <w:uiPriority w:val="0"/>
    <w:rPr>
      <w:rFonts w:ascii="宋体" w:hAnsi="宋体" w:eastAsia="宋体"/>
      <w:kern w:val="2"/>
      <w:sz w:val="24"/>
      <w:szCs w:val="24"/>
      <w:lang w:val="en-US" w:eastAsia="zh-CN" w:bidi="ar-SA"/>
    </w:rPr>
  </w:style>
  <w:style w:type="character" w:customStyle="1" w:styleId="236">
    <w:name w:val="Default Char"/>
    <w:link w:val="237"/>
    <w:autoRedefine/>
    <w:qFormat/>
    <w:uiPriority w:val="0"/>
    <w:rPr>
      <w:rFonts w:ascii="仿宋_GB2312" w:eastAsia="仿宋_GB2312" w:cs="仿宋_GB2312"/>
      <w:color w:val="000000"/>
      <w:sz w:val="24"/>
      <w:szCs w:val="24"/>
      <w:lang w:val="en-US" w:eastAsia="zh-CN" w:bidi="ar-SA"/>
    </w:rPr>
  </w:style>
  <w:style w:type="paragraph" w:customStyle="1" w:styleId="237">
    <w:name w:val="Default"/>
    <w:link w:val="236"/>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238">
    <w:name w:val="style91"/>
    <w:autoRedefine/>
    <w:qFormat/>
    <w:uiPriority w:val="0"/>
    <w:rPr>
      <w:color w:val="333333"/>
    </w:rPr>
  </w:style>
  <w:style w:type="character" w:customStyle="1" w:styleId="239">
    <w:name w:val="列出段落 Char2"/>
    <w:autoRedefine/>
    <w:qFormat/>
    <w:uiPriority w:val="34"/>
    <w:rPr>
      <w:rFonts w:ascii="Calibri" w:hAnsi="Calibri"/>
      <w:kern w:val="2"/>
      <w:sz w:val="28"/>
    </w:rPr>
  </w:style>
  <w:style w:type="character" w:customStyle="1" w:styleId="240">
    <w:name w:val="mdeck"/>
    <w:autoRedefine/>
    <w:qFormat/>
    <w:uiPriority w:val="0"/>
    <w:rPr>
      <w:rFonts w:ascii="仿宋_GB2312" w:eastAsia="微软雅黑"/>
      <w:b/>
      <w:kern w:val="2"/>
      <w:sz w:val="32"/>
      <w:szCs w:val="32"/>
      <w:lang w:val="en-US" w:eastAsia="zh-CN" w:bidi="ar-SA"/>
    </w:rPr>
  </w:style>
  <w:style w:type="character" w:customStyle="1" w:styleId="241">
    <w:name w:val="unnamed11"/>
    <w:autoRedefine/>
    <w:qFormat/>
    <w:uiPriority w:val="0"/>
    <w:rPr>
      <w:sz w:val="20"/>
      <w:szCs w:val="20"/>
    </w:rPr>
  </w:style>
  <w:style w:type="character" w:customStyle="1" w:styleId="242">
    <w:name w:val="正文文本 Char2"/>
    <w:autoRedefine/>
    <w:semiHidden/>
    <w:qFormat/>
    <w:uiPriority w:val="99"/>
    <w:rPr>
      <w:rFonts w:ascii="Times New Roman" w:hAnsi="Times New Roman" w:eastAsia="宋体" w:cs="Times New Roman"/>
      <w:snapToGrid w:val="0"/>
      <w:kern w:val="0"/>
      <w:szCs w:val="24"/>
    </w:rPr>
  </w:style>
  <w:style w:type="character" w:customStyle="1" w:styleId="243">
    <w:name w:val="标书正文格式 Char"/>
    <w:autoRedefine/>
    <w:qFormat/>
    <w:uiPriority w:val="0"/>
    <w:rPr>
      <w:rFonts w:eastAsia="楷体_GB2312"/>
      <w:kern w:val="2"/>
      <w:sz w:val="24"/>
      <w:szCs w:val="24"/>
      <w:lang w:bidi="ar-SA"/>
    </w:rPr>
  </w:style>
  <w:style w:type="character" w:customStyle="1" w:styleId="244">
    <w:name w:val="Char Char11"/>
    <w:autoRedefine/>
    <w:qFormat/>
    <w:locked/>
    <w:uiPriority w:val="0"/>
    <w:rPr>
      <w:rFonts w:ascii="宋体" w:hAnsi="宋体" w:eastAsia="宋体"/>
      <w:b/>
      <w:kern w:val="2"/>
      <w:sz w:val="24"/>
      <w:szCs w:val="24"/>
      <w:lang w:val="en-US" w:eastAsia="zh-CN" w:bidi="ar-SA"/>
    </w:rPr>
  </w:style>
  <w:style w:type="character" w:customStyle="1" w:styleId="245">
    <w:name w:val="ca-131"/>
    <w:autoRedefine/>
    <w:qFormat/>
    <w:uiPriority w:val="0"/>
    <w:rPr>
      <w:rFonts w:hint="eastAsia" w:ascii="仿宋_GB2312" w:eastAsia="仿宋_GB2312"/>
      <w:b/>
      <w:bCs/>
      <w:color w:val="000000"/>
      <w:spacing w:val="-20"/>
      <w:sz w:val="24"/>
      <w:szCs w:val="24"/>
    </w:rPr>
  </w:style>
  <w:style w:type="character" w:customStyle="1" w:styleId="246">
    <w:name w:val="tw4winMark"/>
    <w:autoRedefine/>
    <w:qFormat/>
    <w:uiPriority w:val="0"/>
    <w:rPr>
      <w:rFonts w:ascii="Courier New" w:hAnsi="Courier New" w:cs="Courier New"/>
      <w:vanish/>
      <w:color w:val="800080"/>
      <w:sz w:val="24"/>
      <w:szCs w:val="24"/>
      <w:vertAlign w:val="subscript"/>
    </w:rPr>
  </w:style>
  <w:style w:type="character" w:customStyle="1" w:styleId="247">
    <w:name w:val="正文样式 Char"/>
    <w:link w:val="248"/>
    <w:autoRedefine/>
    <w:qFormat/>
    <w:uiPriority w:val="0"/>
    <w:rPr>
      <w:rFonts w:ascii="Calibri" w:hAnsi="Calibri"/>
      <w:sz w:val="24"/>
      <w:szCs w:val="24"/>
    </w:rPr>
  </w:style>
  <w:style w:type="paragraph" w:customStyle="1" w:styleId="248">
    <w:name w:val="正文样式"/>
    <w:basedOn w:val="1"/>
    <w:link w:val="247"/>
    <w:autoRedefine/>
    <w:qFormat/>
    <w:uiPriority w:val="0"/>
    <w:pPr>
      <w:adjustRightInd/>
      <w:spacing w:line="360" w:lineRule="auto"/>
      <w:ind w:firstLine="480" w:firstLineChars="200"/>
    </w:pPr>
    <w:rPr>
      <w:kern w:val="0"/>
      <w:sz w:val="24"/>
    </w:rPr>
  </w:style>
  <w:style w:type="character" w:customStyle="1" w:styleId="249">
    <w:name w:val="表正文 Char3"/>
    <w:autoRedefine/>
    <w:qFormat/>
    <w:uiPriority w:val="0"/>
    <w:rPr>
      <w:rFonts w:eastAsia="宋体"/>
    </w:rPr>
  </w:style>
  <w:style w:type="character" w:customStyle="1" w:styleId="250">
    <w:name w:val="H5 Char"/>
    <w:autoRedefine/>
    <w:qFormat/>
    <w:uiPriority w:val="0"/>
    <w:rPr>
      <w:b/>
      <w:bCs/>
      <w:kern w:val="2"/>
      <w:sz w:val="28"/>
      <w:szCs w:val="28"/>
    </w:rPr>
  </w:style>
  <w:style w:type="character" w:customStyle="1" w:styleId="251">
    <w:name w:val="Char Char3"/>
    <w:autoRedefine/>
    <w:qFormat/>
    <w:uiPriority w:val="0"/>
    <w:rPr>
      <w:rFonts w:eastAsia="宋体"/>
      <w:kern w:val="2"/>
      <w:sz w:val="21"/>
      <w:szCs w:val="24"/>
      <w:lang w:val="en-US" w:eastAsia="zh-CN" w:bidi="ar-SA"/>
    </w:rPr>
  </w:style>
  <w:style w:type="character" w:customStyle="1" w:styleId="252">
    <w:name w:val="正文 编号 Char"/>
    <w:autoRedefine/>
    <w:qFormat/>
    <w:uiPriority w:val="0"/>
    <w:rPr>
      <w:rFonts w:ascii="仿宋_GB2312" w:hAnsi="仿宋_GB2312" w:eastAsia="仿宋_GB2312"/>
      <w:kern w:val="2"/>
      <w:sz w:val="24"/>
      <w:lang w:bidi="ar-SA"/>
    </w:rPr>
  </w:style>
  <w:style w:type="character" w:customStyle="1" w:styleId="253">
    <w:name w:val="question-title2"/>
    <w:autoRedefine/>
    <w:qFormat/>
    <w:uiPriority w:val="6"/>
    <w:rPr>
      <w:rFonts w:ascii="Arial" w:hAnsi="Arial" w:eastAsia="黑体" w:cs="Arial"/>
      <w:snapToGrid w:val="0"/>
      <w:kern w:val="0"/>
      <w:szCs w:val="21"/>
    </w:rPr>
  </w:style>
  <w:style w:type="character" w:customStyle="1" w:styleId="254">
    <w:name w:val="gf正文1 Char Char"/>
    <w:link w:val="255"/>
    <w:autoRedefine/>
    <w:qFormat/>
    <w:uiPriority w:val="0"/>
    <w:rPr>
      <w:rFonts w:ascii="宋体" w:hAnsi="宋体" w:cs="宋体"/>
      <w:kern w:val="2"/>
      <w:sz w:val="24"/>
      <w:szCs w:val="24"/>
    </w:rPr>
  </w:style>
  <w:style w:type="paragraph" w:customStyle="1" w:styleId="255">
    <w:name w:val="gf正文1"/>
    <w:basedOn w:val="1"/>
    <w:link w:val="254"/>
    <w:autoRedefine/>
    <w:qFormat/>
    <w:uiPriority w:val="0"/>
    <w:pPr>
      <w:tabs>
        <w:tab w:val="left" w:pos="3240"/>
        <w:tab w:val="left" w:pos="3960"/>
      </w:tabs>
      <w:snapToGrid w:val="0"/>
      <w:spacing w:line="360" w:lineRule="auto"/>
      <w:ind w:firstLine="480" w:firstLineChars="200"/>
    </w:pPr>
    <w:rPr>
      <w:rFonts w:ascii="宋体" w:hAnsi="宋体"/>
      <w:sz w:val="24"/>
    </w:rPr>
  </w:style>
  <w:style w:type="character" w:customStyle="1" w:styleId="256">
    <w:name w:val="Char Char15"/>
    <w:autoRedefine/>
    <w:qFormat/>
    <w:uiPriority w:val="6"/>
    <w:rPr>
      <w:rFonts w:ascii="宋体" w:hAnsi="宋体"/>
      <w:kern w:val="1"/>
      <w:sz w:val="21"/>
    </w:rPr>
  </w:style>
  <w:style w:type="character" w:customStyle="1" w:styleId="257">
    <w:name w:val="正文缩进 Char3"/>
    <w:autoRedefine/>
    <w:qFormat/>
    <w:uiPriority w:val="0"/>
    <w:rPr>
      <w:rFonts w:ascii="宋体" w:eastAsia="宋体"/>
      <w:snapToGrid w:val="0"/>
      <w:color w:val="000000"/>
      <w:kern w:val="28"/>
      <w:sz w:val="28"/>
      <w:lang w:val="en-US" w:eastAsia="zh-CN" w:bidi="ar-SA"/>
    </w:rPr>
  </w:style>
  <w:style w:type="character" w:customStyle="1" w:styleId="258">
    <w:name w:val="列出段落 Char1"/>
    <w:link w:val="259"/>
    <w:autoRedefine/>
    <w:qFormat/>
    <w:uiPriority w:val="0"/>
    <w:rPr>
      <w:rFonts w:ascii="Calibri" w:hAnsi="Calibri"/>
      <w:sz w:val="24"/>
      <w:lang w:eastAsia="en-US"/>
    </w:rPr>
  </w:style>
  <w:style w:type="paragraph" w:customStyle="1" w:styleId="259">
    <w:name w:val="列表1"/>
    <w:basedOn w:val="1"/>
    <w:next w:val="260"/>
    <w:link w:val="258"/>
    <w:autoRedefine/>
    <w:qFormat/>
    <w:uiPriority w:val="0"/>
    <w:pPr>
      <w:widowControl/>
      <w:adjustRightInd/>
      <w:spacing w:after="200" w:line="360" w:lineRule="auto"/>
      <w:ind w:left="720" w:firstLine="200" w:firstLineChars="200"/>
      <w:jc w:val="left"/>
    </w:pPr>
    <w:rPr>
      <w:kern w:val="0"/>
      <w:sz w:val="24"/>
      <w:szCs w:val="20"/>
      <w:lang w:eastAsia="en-US"/>
    </w:rPr>
  </w:style>
  <w:style w:type="paragraph" w:customStyle="1" w:styleId="260">
    <w:name w:val="列出段落1"/>
    <w:basedOn w:val="1"/>
    <w:autoRedefine/>
    <w:qFormat/>
    <w:uiPriority w:val="34"/>
    <w:pPr>
      <w:spacing w:line="360" w:lineRule="auto"/>
      <w:ind w:firstLine="200" w:firstLineChars="200"/>
    </w:pPr>
    <w:rPr>
      <w:rFonts w:eastAsia="楷体_GB2312" w:cs="Lucida Sans"/>
      <w:sz w:val="24"/>
    </w:rPr>
  </w:style>
  <w:style w:type="character" w:customStyle="1" w:styleId="261">
    <w:name w:val="Char Char8"/>
    <w:autoRedefine/>
    <w:qFormat/>
    <w:uiPriority w:val="0"/>
    <w:rPr>
      <w:rFonts w:eastAsia="宋体"/>
      <w:b/>
      <w:sz w:val="24"/>
      <w:lang w:val="en-GB" w:eastAsia="zh-CN"/>
    </w:rPr>
  </w:style>
  <w:style w:type="character" w:customStyle="1" w:styleId="262">
    <w:name w:val="Normal Indent Char Char"/>
    <w:autoRedefine/>
    <w:qFormat/>
    <w:uiPriority w:val="0"/>
    <w:rPr>
      <w:rFonts w:eastAsia="宋体"/>
      <w:kern w:val="2"/>
      <w:sz w:val="21"/>
      <w:lang w:val="en-US" w:eastAsia="zh-CN" w:bidi="ar-SA"/>
    </w:rPr>
  </w:style>
  <w:style w:type="character" w:customStyle="1" w:styleId="263">
    <w:name w:val="列表段落 字符"/>
    <w:autoRedefine/>
    <w:qFormat/>
    <w:uiPriority w:val="99"/>
  </w:style>
  <w:style w:type="character" w:customStyle="1" w:styleId="264">
    <w:name w:val="Ò³Ã¼ Char Char1"/>
    <w:autoRedefine/>
    <w:qFormat/>
    <w:uiPriority w:val="0"/>
    <w:rPr>
      <w:rFonts w:eastAsia="宋体"/>
      <w:kern w:val="2"/>
      <w:sz w:val="18"/>
      <w:szCs w:val="18"/>
      <w:lang w:val="en-US" w:eastAsia="zh-CN" w:bidi="ar-SA"/>
    </w:rPr>
  </w:style>
  <w:style w:type="character" w:customStyle="1" w:styleId="265">
    <w:name w:val="方案正文 Char"/>
    <w:autoRedefine/>
    <w:qFormat/>
    <w:uiPriority w:val="0"/>
    <w:rPr>
      <w:rFonts w:ascii="仿宋_GB2312" w:eastAsia="仿宋_GB2312"/>
      <w:b/>
      <w:color w:val="000000"/>
      <w:kern w:val="2"/>
      <w:sz w:val="24"/>
      <w:lang w:val="en-US" w:eastAsia="zh-CN" w:bidi="ar-SA"/>
    </w:rPr>
  </w:style>
  <w:style w:type="character" w:customStyle="1" w:styleId="266">
    <w:name w:val="Char Char30"/>
    <w:autoRedefine/>
    <w:qFormat/>
    <w:uiPriority w:val="6"/>
    <w:rPr>
      <w:rFonts w:ascii="Arial" w:hAnsi="Arial" w:eastAsia="黑体"/>
      <w:kern w:val="1"/>
      <w:sz w:val="21"/>
      <w:szCs w:val="21"/>
    </w:rPr>
  </w:style>
  <w:style w:type="character" w:customStyle="1" w:styleId="267">
    <w:name w:val="正文文本缩进 字符1"/>
    <w:link w:val="26"/>
    <w:autoRedefine/>
    <w:qFormat/>
    <w:uiPriority w:val="0"/>
    <w:rPr>
      <w:rFonts w:ascii="宋体" w:hAnsi="宋体"/>
      <w:kern w:val="2"/>
      <w:sz w:val="24"/>
      <w:szCs w:val="24"/>
    </w:rPr>
  </w:style>
  <w:style w:type="character" w:customStyle="1" w:styleId="268">
    <w:name w:val="font01"/>
    <w:autoRedefine/>
    <w:qFormat/>
    <w:uiPriority w:val="0"/>
    <w:rPr>
      <w:rFonts w:hint="eastAsia" w:ascii="微软雅黑" w:hAnsi="微软雅黑" w:eastAsia="微软雅黑" w:cs="微软雅黑"/>
      <w:color w:val="000000"/>
      <w:sz w:val="20"/>
      <w:szCs w:val="20"/>
      <w:u w:val="none"/>
    </w:rPr>
  </w:style>
  <w:style w:type="character" w:customStyle="1" w:styleId="269">
    <w:name w:val="Char Char20"/>
    <w:autoRedefine/>
    <w:qFormat/>
    <w:uiPriority w:val="6"/>
    <w:rPr>
      <w:kern w:val="1"/>
      <w:sz w:val="24"/>
    </w:rPr>
  </w:style>
  <w:style w:type="character" w:customStyle="1" w:styleId="270">
    <w:name w:val="tw4winExternal"/>
    <w:autoRedefine/>
    <w:qFormat/>
    <w:uiPriority w:val="0"/>
    <w:rPr>
      <w:rFonts w:ascii="Courier New" w:hAnsi="Courier New" w:cs="Courier New"/>
      <w:color w:val="808080"/>
      <w:lang w:val="en-US" w:eastAsia="zh-CN"/>
    </w:rPr>
  </w:style>
  <w:style w:type="character" w:customStyle="1" w:styleId="271">
    <w:name w:val="标题 4 Char1"/>
    <w:autoRedefine/>
    <w:qFormat/>
    <w:uiPriority w:val="9"/>
    <w:rPr>
      <w:rFonts w:ascii="Cambria" w:hAnsi="Cambria" w:eastAsia="宋体" w:cs="Times New Roman"/>
      <w:b/>
      <w:bCs/>
      <w:kern w:val="2"/>
      <w:sz w:val="28"/>
      <w:szCs w:val="28"/>
    </w:rPr>
  </w:style>
  <w:style w:type="character" w:customStyle="1" w:styleId="272">
    <w:name w:val="批注文字 Char2"/>
    <w:autoRedefine/>
    <w:qFormat/>
    <w:uiPriority w:val="99"/>
    <w:rPr>
      <w:rFonts w:ascii="Times New Roman" w:hAnsi="Times New Roman" w:eastAsia="宋体" w:cs="Times New Roman"/>
      <w:snapToGrid w:val="0"/>
      <w:kern w:val="0"/>
      <w:szCs w:val="24"/>
    </w:rPr>
  </w:style>
  <w:style w:type="character" w:customStyle="1" w:styleId="273">
    <w:name w:val="正文文本 2 Char"/>
    <w:autoRedefine/>
    <w:qFormat/>
    <w:uiPriority w:val="0"/>
    <w:rPr>
      <w:rFonts w:eastAsia="宋体"/>
      <w:kern w:val="2"/>
      <w:sz w:val="21"/>
      <w:szCs w:val="24"/>
      <w:lang w:val="en-US" w:eastAsia="zh-CN" w:bidi="ar-SA"/>
    </w:rPr>
  </w:style>
  <w:style w:type="character" w:customStyle="1" w:styleId="274">
    <w:name w:val="Ò³Ã¼ Char Char"/>
    <w:autoRedefine/>
    <w:qFormat/>
    <w:uiPriority w:val="0"/>
    <w:rPr>
      <w:rFonts w:eastAsia="宋体"/>
      <w:kern w:val="2"/>
      <w:sz w:val="18"/>
      <w:lang w:val="en-US" w:eastAsia="zh-CN" w:bidi="ar-SA"/>
    </w:rPr>
  </w:style>
  <w:style w:type="character" w:customStyle="1" w:styleId="275">
    <w:name w:val="message1"/>
    <w:autoRedefine/>
    <w:qFormat/>
    <w:uiPriority w:val="0"/>
    <w:rPr>
      <w:rFonts w:hint="default" w:ascii="Tahoma" w:hAnsi="Tahoma" w:cs="Tahoma"/>
      <w:sz w:val="18"/>
      <w:szCs w:val="18"/>
    </w:rPr>
  </w:style>
  <w:style w:type="character" w:customStyle="1" w:styleId="276">
    <w:name w:val="Char Char23"/>
    <w:autoRedefine/>
    <w:qFormat/>
    <w:uiPriority w:val="6"/>
    <w:rPr>
      <w:color w:val="0000FF"/>
      <w:sz w:val="21"/>
    </w:rPr>
  </w:style>
  <w:style w:type="character" w:customStyle="1" w:styleId="277">
    <w:name w:val="批注框文本 字符"/>
    <w:autoRedefine/>
    <w:qFormat/>
    <w:uiPriority w:val="0"/>
    <w:rPr>
      <w:rFonts w:ascii="Arial" w:hAnsi="Arial" w:eastAsia="黑体" w:cs="Arial"/>
      <w:snapToGrid w:val="0"/>
      <w:kern w:val="0"/>
      <w:sz w:val="18"/>
      <w:szCs w:val="18"/>
    </w:rPr>
  </w:style>
  <w:style w:type="character" w:customStyle="1" w:styleId="278">
    <w:name w:val="纯文本 Char2"/>
    <w:autoRedefine/>
    <w:semiHidden/>
    <w:qFormat/>
    <w:uiPriority w:val="99"/>
    <w:rPr>
      <w:rFonts w:ascii="宋体" w:hAnsi="Courier New" w:eastAsia="宋体" w:cs="Courier New"/>
    </w:rPr>
  </w:style>
  <w:style w:type="character" w:customStyle="1" w:styleId="279">
    <w:name w:val="Char Char25"/>
    <w:autoRedefine/>
    <w:qFormat/>
    <w:uiPriority w:val="6"/>
    <w:rPr>
      <w:rFonts w:ascii="宋体" w:hAnsi="宋体"/>
      <w:kern w:val="1"/>
      <w:sz w:val="24"/>
      <w:lang w:val="zh-CN"/>
    </w:rPr>
  </w:style>
  <w:style w:type="character" w:customStyle="1" w:styleId="280">
    <w:name w:val="Char Char411"/>
    <w:autoRedefine/>
    <w:qFormat/>
    <w:uiPriority w:val="0"/>
    <w:rPr>
      <w:rFonts w:eastAsia="宋体"/>
      <w:b/>
      <w:sz w:val="24"/>
      <w:lang w:val="en-GB" w:eastAsia="zh-CN" w:bidi="ar-SA"/>
    </w:rPr>
  </w:style>
  <w:style w:type="character" w:customStyle="1" w:styleId="281">
    <w:name w:val="Heading 7 Char"/>
    <w:autoRedefine/>
    <w:qFormat/>
    <w:locked/>
    <w:uiPriority w:val="0"/>
    <w:rPr>
      <w:rFonts w:ascii="宋体" w:hAnsi="宋体" w:eastAsia="宋体"/>
      <w:b/>
      <w:bCs/>
      <w:kern w:val="2"/>
      <w:sz w:val="24"/>
      <w:szCs w:val="24"/>
      <w:lang w:val="en-US" w:eastAsia="zh-CN" w:bidi="ar-SA"/>
    </w:rPr>
  </w:style>
  <w:style w:type="character" w:customStyle="1" w:styleId="282">
    <w:name w:val="此正文 Char"/>
    <w:link w:val="283"/>
    <w:autoRedefine/>
    <w:qFormat/>
    <w:uiPriority w:val="0"/>
    <w:rPr>
      <w:kern w:val="2"/>
      <w:sz w:val="24"/>
      <w:szCs w:val="24"/>
    </w:rPr>
  </w:style>
  <w:style w:type="paragraph" w:customStyle="1" w:styleId="283">
    <w:name w:val="此正文"/>
    <w:basedOn w:val="1"/>
    <w:link w:val="282"/>
    <w:autoRedefine/>
    <w:qFormat/>
    <w:uiPriority w:val="0"/>
    <w:pPr>
      <w:adjustRightInd/>
      <w:spacing w:line="360" w:lineRule="auto"/>
      <w:ind w:firstLine="200" w:firstLineChars="200"/>
    </w:pPr>
    <w:rPr>
      <w:sz w:val="24"/>
    </w:rPr>
  </w:style>
  <w:style w:type="character" w:customStyle="1" w:styleId="284">
    <w:name w:val="Char Char2"/>
    <w:autoRedefine/>
    <w:qFormat/>
    <w:uiPriority w:val="0"/>
    <w:rPr>
      <w:rFonts w:eastAsia="宋体"/>
      <w:b/>
      <w:bCs/>
      <w:kern w:val="2"/>
      <w:sz w:val="21"/>
      <w:szCs w:val="24"/>
      <w:lang w:val="en-US" w:eastAsia="zh-CN" w:bidi="ar-SA"/>
    </w:rPr>
  </w:style>
  <w:style w:type="character" w:customStyle="1" w:styleId="285">
    <w:name w:val="标题 1 字符1"/>
    <w:link w:val="5"/>
    <w:autoRedefine/>
    <w:qFormat/>
    <w:uiPriority w:val="9"/>
    <w:rPr>
      <w:b/>
      <w:bCs/>
      <w:kern w:val="44"/>
      <w:sz w:val="44"/>
      <w:szCs w:val="44"/>
    </w:rPr>
  </w:style>
  <w:style w:type="character" w:customStyle="1" w:styleId="286">
    <w:name w:val="Footer-Even Char1"/>
    <w:autoRedefine/>
    <w:qFormat/>
    <w:uiPriority w:val="0"/>
    <w:rPr>
      <w:rFonts w:eastAsia="宋体"/>
      <w:kern w:val="2"/>
      <w:sz w:val="18"/>
      <w:szCs w:val="18"/>
      <w:lang w:val="en-US" w:eastAsia="zh-CN" w:bidi="ar-SA"/>
    </w:rPr>
  </w:style>
  <w:style w:type="character" w:customStyle="1" w:styleId="287">
    <w:name w:val="Char Char29"/>
    <w:autoRedefine/>
    <w:qFormat/>
    <w:uiPriority w:val="6"/>
    <w:rPr>
      <w:rFonts w:ascii="Arial" w:hAnsi="Arial" w:eastAsia="微软雅黑"/>
      <w:b/>
      <w:kern w:val="1"/>
      <w:sz w:val="44"/>
      <w:szCs w:val="32"/>
      <w:lang w:val="en-US" w:eastAsia="zh-CN" w:bidi="ar-SA"/>
    </w:rPr>
  </w:style>
  <w:style w:type="character" w:customStyle="1" w:styleId="288">
    <w:name w:val="标题 字符"/>
    <w:link w:val="60"/>
    <w:autoRedefine/>
    <w:qFormat/>
    <w:uiPriority w:val="10"/>
    <w:rPr>
      <w:b/>
      <w:sz w:val="24"/>
      <w:lang w:val="en-GB"/>
    </w:rPr>
  </w:style>
  <w:style w:type="character" w:customStyle="1" w:styleId="289">
    <w:name w:val="font81"/>
    <w:autoRedefine/>
    <w:qFormat/>
    <w:uiPriority w:val="0"/>
    <w:rPr>
      <w:rFonts w:ascii="微软雅黑" w:hAnsi="微软雅黑" w:eastAsia="微软雅黑" w:cs="微软雅黑"/>
      <w:color w:val="000000"/>
      <w:sz w:val="20"/>
      <w:szCs w:val="20"/>
      <w:u w:val="none"/>
    </w:rPr>
  </w:style>
  <w:style w:type="character" w:customStyle="1" w:styleId="290">
    <w:name w:val="Char Char312"/>
    <w:autoRedefine/>
    <w:qFormat/>
    <w:uiPriority w:val="0"/>
    <w:rPr>
      <w:rFonts w:ascii="Times New Roman" w:hAnsi="Times New Roman" w:eastAsia="宋体" w:cs="Times New Roman"/>
      <w:b/>
      <w:kern w:val="2"/>
      <w:sz w:val="32"/>
      <w:szCs w:val="24"/>
      <w:lang w:val="en-US" w:eastAsia="zh-CN" w:bidi="ar-SA"/>
    </w:rPr>
  </w:style>
  <w:style w:type="character" w:customStyle="1" w:styleId="291">
    <w:name w:val="t21"/>
    <w:autoRedefine/>
    <w:qFormat/>
    <w:uiPriority w:val="0"/>
    <w:rPr>
      <w:rFonts w:ascii="仿宋_GB2312" w:eastAsia="微软雅黑"/>
      <w:b/>
      <w:kern w:val="2"/>
      <w:sz w:val="23"/>
      <w:szCs w:val="23"/>
      <w:lang w:val="en-US" w:eastAsia="zh-CN" w:bidi="ar-SA"/>
    </w:rPr>
  </w:style>
  <w:style w:type="character" w:customStyle="1" w:styleId="292">
    <w:name w:val="样式8 Char"/>
    <w:autoRedefine/>
    <w:qFormat/>
    <w:uiPriority w:val="0"/>
    <w:rPr>
      <w:rFonts w:ascii="仿宋_GB2312" w:hAnsi="宋体" w:eastAsia="仿宋_GB2312"/>
      <w:b/>
      <w:bCs/>
      <w:kern w:val="2"/>
      <w:sz w:val="24"/>
      <w:szCs w:val="24"/>
    </w:rPr>
  </w:style>
  <w:style w:type="character" w:customStyle="1" w:styleId="293">
    <w:name w:val="表格 Char Char"/>
    <w:autoRedefine/>
    <w:qFormat/>
    <w:uiPriority w:val="0"/>
    <w:rPr>
      <w:rFonts w:ascii="宋体" w:hAnsi="宋体" w:eastAsia="宋体"/>
      <w:lang w:bidi="ar-SA"/>
    </w:rPr>
  </w:style>
  <w:style w:type="character" w:customStyle="1" w:styleId="294">
    <w:name w:val="正文文本 字符1"/>
    <w:autoRedefine/>
    <w:qFormat/>
    <w:uiPriority w:val="0"/>
    <w:rPr>
      <w:rFonts w:ascii="Calibri" w:hAnsi="Calibri" w:eastAsia="黑体" w:cs="Arial"/>
      <w:snapToGrid w:val="0"/>
      <w:kern w:val="2"/>
      <w:sz w:val="28"/>
      <w:szCs w:val="21"/>
    </w:rPr>
  </w:style>
  <w:style w:type="character" w:customStyle="1" w:styleId="295">
    <w:name w:val="标题 5 字符"/>
    <w:link w:val="9"/>
    <w:autoRedefine/>
    <w:qFormat/>
    <w:uiPriority w:val="9"/>
    <w:rPr>
      <w:b/>
      <w:bCs/>
      <w:kern w:val="2"/>
      <w:sz w:val="28"/>
      <w:szCs w:val="28"/>
    </w:rPr>
  </w:style>
  <w:style w:type="character" w:customStyle="1" w:styleId="296">
    <w:name w:val="标题 6 Char1"/>
    <w:autoRedefine/>
    <w:qFormat/>
    <w:uiPriority w:val="0"/>
    <w:rPr>
      <w:rFonts w:ascii="Arial" w:hAnsi="Arial" w:eastAsia="黑体" w:cs="Times New Roman"/>
      <w:b/>
      <w:sz w:val="24"/>
      <w:szCs w:val="20"/>
      <w:lang w:bidi="ar-SA"/>
    </w:rPr>
  </w:style>
  <w:style w:type="character" w:customStyle="1" w:styleId="297">
    <w:name w:val="带编号样式 Char"/>
    <w:autoRedefine/>
    <w:qFormat/>
    <w:uiPriority w:val="0"/>
    <w:rPr>
      <w:rFonts w:ascii="仿宋_GB2312" w:eastAsia="仿宋_GB2312"/>
      <w:color w:val="000000"/>
      <w:sz w:val="24"/>
      <w:lang w:bidi="ar-SA"/>
    </w:rPr>
  </w:style>
  <w:style w:type="character" w:customStyle="1" w:styleId="298">
    <w:name w:val="unnamed31"/>
    <w:autoRedefine/>
    <w:qFormat/>
    <w:uiPriority w:val="0"/>
    <w:rPr>
      <w:rFonts w:ascii="Tahoma" w:hAnsi="Tahoma" w:eastAsia="宋体"/>
      <w:b/>
      <w:kern w:val="2"/>
      <w:sz w:val="24"/>
      <w:szCs w:val="32"/>
      <w:u w:val="none"/>
      <w:lang w:val="en-US" w:eastAsia="zh-CN" w:bidi="ar-SA"/>
    </w:rPr>
  </w:style>
  <w:style w:type="character" w:customStyle="1" w:styleId="299">
    <w:name w:val="正文首行缩进 Char Char Char Char Char Char1"/>
    <w:autoRedefine/>
    <w:qFormat/>
    <w:uiPriority w:val="0"/>
    <w:rPr>
      <w:rFonts w:ascii="宋体" w:eastAsia="宋体"/>
      <w:kern w:val="2"/>
      <w:sz w:val="24"/>
      <w:szCs w:val="24"/>
      <w:lang w:val="zh-CN" w:bidi="ar-SA"/>
    </w:rPr>
  </w:style>
  <w:style w:type="character" w:customStyle="1" w:styleId="300">
    <w:name w:val="称呼 字符"/>
    <w:link w:val="23"/>
    <w:autoRedefine/>
    <w:qFormat/>
    <w:uiPriority w:val="0"/>
    <w:rPr>
      <w:rFonts w:ascii="仿宋_GB2312" w:eastAsia="仿宋_GB2312"/>
      <w:kern w:val="2"/>
      <w:sz w:val="28"/>
    </w:rPr>
  </w:style>
  <w:style w:type="character" w:customStyle="1" w:styleId="301">
    <w:name w:val="文本正文 Char Char"/>
    <w:autoRedefine/>
    <w:qFormat/>
    <w:locked/>
    <w:uiPriority w:val="0"/>
    <w:rPr>
      <w:sz w:val="24"/>
      <w:lang w:bidi="ar-SA"/>
    </w:rPr>
  </w:style>
  <w:style w:type="character" w:customStyle="1" w:styleId="302">
    <w:name w:val="正文缩进 字符"/>
    <w:autoRedefine/>
    <w:qFormat/>
    <w:uiPriority w:val="0"/>
    <w:rPr>
      <w:rFonts w:ascii="宋体" w:eastAsia="宋体"/>
      <w:snapToGrid w:val="0"/>
      <w:color w:val="000000"/>
      <w:kern w:val="28"/>
      <w:sz w:val="28"/>
      <w:lang w:val="en-US" w:eastAsia="zh-CN" w:bidi="ar-SA"/>
    </w:rPr>
  </w:style>
  <w:style w:type="character" w:customStyle="1" w:styleId="303">
    <w:name w:val="HTML 预设格式 字符"/>
    <w:link w:val="58"/>
    <w:autoRedefine/>
    <w:qFormat/>
    <w:uiPriority w:val="0"/>
    <w:rPr>
      <w:rFonts w:ascii="黑体" w:hAnsi="Courier New" w:eastAsia="黑体"/>
    </w:rPr>
  </w:style>
  <w:style w:type="character" w:customStyle="1" w:styleId="304">
    <w:name w:val="正文文本 2 字符1"/>
    <w:link w:val="57"/>
    <w:autoRedefine/>
    <w:qFormat/>
    <w:uiPriority w:val="0"/>
    <w:rPr>
      <w:kern w:val="2"/>
      <w:sz w:val="21"/>
      <w:szCs w:val="24"/>
    </w:rPr>
  </w:style>
  <w:style w:type="character" w:customStyle="1" w:styleId="305">
    <w:name w:val="样式 样式 标题 4h4H4Fab-4T5Ref Heading 1rh1Heading sqlsect 1.2.3.... +... Char"/>
    <w:link w:val="306"/>
    <w:autoRedefine/>
    <w:qFormat/>
    <w:uiPriority w:val="0"/>
    <w:rPr>
      <w:rFonts w:ascii="微软雅黑" w:hAnsi="微软雅黑" w:eastAsia="微软雅黑"/>
      <w:b/>
      <w:bCs/>
      <w:kern w:val="2"/>
      <w:sz w:val="24"/>
      <w:szCs w:val="28"/>
    </w:rPr>
  </w:style>
  <w:style w:type="paragraph" w:customStyle="1" w:styleId="306">
    <w:name w:val="样式 样式 标题 4h4H4Fab-4T5Ref Heading 1rh1Heading sqlsect 1.2.3.... +..."/>
    <w:basedOn w:val="307"/>
    <w:link w:val="305"/>
    <w:autoRedefine/>
    <w:qFormat/>
    <w:uiPriority w:val="0"/>
    <w:pPr>
      <w:tabs>
        <w:tab w:val="left" w:pos="2356"/>
      </w:tabs>
    </w:pPr>
  </w:style>
  <w:style w:type="paragraph" w:customStyle="1" w:styleId="307">
    <w:name w:val="样式 标题 4h4H4Fab-4T5Ref Heading 1rh1Heading sqlsect 1.2.3...."/>
    <w:basedOn w:val="8"/>
    <w:link w:val="416"/>
    <w:autoRedefine/>
    <w:qFormat/>
    <w:uiPriority w:val="0"/>
    <w:pPr>
      <w:tabs>
        <w:tab w:val="left" w:pos="2356"/>
        <w:tab w:val="clear" w:pos="864"/>
      </w:tabs>
      <w:adjustRightInd/>
      <w:spacing w:line="360" w:lineRule="auto"/>
      <w:ind w:left="1984" w:leftChars="75" w:hanging="708" w:firstLineChars="200"/>
    </w:pPr>
    <w:rPr>
      <w:rFonts w:ascii="微软雅黑" w:hAnsi="微软雅黑" w:eastAsia="微软雅黑"/>
      <w:sz w:val="24"/>
    </w:rPr>
  </w:style>
  <w:style w:type="character" w:customStyle="1" w:styleId="308">
    <w:name w:val="正文非缩进 Char"/>
    <w:autoRedefine/>
    <w:qFormat/>
    <w:uiPriority w:val="0"/>
    <w:rPr>
      <w:rFonts w:ascii="宋体" w:eastAsia="宋体"/>
      <w:snapToGrid w:val="0"/>
      <w:color w:val="000000"/>
      <w:kern w:val="28"/>
      <w:sz w:val="28"/>
      <w:lang w:val="en-US" w:eastAsia="zh-CN" w:bidi="ar-SA"/>
    </w:rPr>
  </w:style>
  <w:style w:type="character" w:customStyle="1" w:styleId="309">
    <w:name w:val="标题 7 字符"/>
    <w:link w:val="11"/>
    <w:autoRedefine/>
    <w:qFormat/>
    <w:uiPriority w:val="0"/>
    <w:rPr>
      <w:b/>
      <w:bCs/>
      <w:kern w:val="2"/>
      <w:sz w:val="24"/>
      <w:szCs w:val="24"/>
    </w:rPr>
  </w:style>
  <w:style w:type="character" w:customStyle="1" w:styleId="310">
    <w:name w:val="正文文本缩进 2 字符"/>
    <w:link w:val="39"/>
    <w:autoRedefine/>
    <w:qFormat/>
    <w:uiPriority w:val="0"/>
    <w:rPr>
      <w:rFonts w:ascii="宋体"/>
      <w:sz w:val="28"/>
    </w:rPr>
  </w:style>
  <w:style w:type="character" w:customStyle="1" w:styleId="311">
    <w:name w:val="Char Char5"/>
    <w:autoRedefine/>
    <w:qFormat/>
    <w:uiPriority w:val="0"/>
    <w:rPr>
      <w:rFonts w:ascii="宋体" w:hAnsi="Courier New" w:eastAsia="宋体"/>
      <w:kern w:val="2"/>
      <w:sz w:val="21"/>
      <w:lang w:val="en-US" w:eastAsia="zh-CN"/>
    </w:rPr>
  </w:style>
  <w:style w:type="character" w:customStyle="1" w:styleId="312">
    <w:name w:val="脚注文本 字符"/>
    <w:link w:val="52"/>
    <w:autoRedefine/>
    <w:qFormat/>
    <w:uiPriority w:val="0"/>
    <w:rPr>
      <w:color w:val="0000FF"/>
      <w:sz w:val="21"/>
    </w:rPr>
  </w:style>
  <w:style w:type="character" w:customStyle="1" w:styleId="313">
    <w:name w:val="称呼 Char1"/>
    <w:autoRedefine/>
    <w:qFormat/>
    <w:uiPriority w:val="0"/>
    <w:rPr>
      <w:rFonts w:ascii="Times New Roman" w:hAnsi="Times New Roman" w:eastAsia="宋体" w:cs="Times New Roman"/>
      <w:szCs w:val="24"/>
    </w:rPr>
  </w:style>
  <w:style w:type="character" w:customStyle="1" w:styleId="314">
    <w:name w:val="正文1 Char"/>
    <w:autoRedefine/>
    <w:qFormat/>
    <w:uiPriority w:val="0"/>
    <w:rPr>
      <w:rFonts w:ascii="宋体" w:eastAsia="宋体"/>
      <w:snapToGrid w:val="0"/>
      <w:color w:val="000000"/>
      <w:kern w:val="28"/>
      <w:sz w:val="28"/>
      <w:lang w:val="en-US" w:eastAsia="zh-CN" w:bidi="ar-SA"/>
    </w:rPr>
  </w:style>
  <w:style w:type="character" w:customStyle="1" w:styleId="315">
    <w:name w:val="正文缩进 Char1"/>
    <w:autoRedefine/>
    <w:qFormat/>
    <w:uiPriority w:val="0"/>
    <w:rPr>
      <w:rFonts w:ascii="宋体" w:eastAsia="宋体"/>
      <w:snapToGrid w:val="0"/>
      <w:color w:val="000000"/>
      <w:kern w:val="28"/>
      <w:sz w:val="28"/>
      <w:lang w:val="en-US" w:eastAsia="zh-CN" w:bidi="ar-SA"/>
    </w:rPr>
  </w:style>
  <w:style w:type="character" w:customStyle="1" w:styleId="316">
    <w:name w:val="font21"/>
    <w:autoRedefine/>
    <w:qFormat/>
    <w:uiPriority w:val="0"/>
    <w:rPr>
      <w:rFonts w:hint="eastAsia" w:ascii="宋体" w:hAnsi="宋体" w:eastAsia="宋体"/>
      <w:kern w:val="2"/>
      <w:sz w:val="28"/>
      <w:szCs w:val="28"/>
      <w:lang w:val="en-US" w:eastAsia="zh-CN" w:bidi="ar-SA"/>
    </w:rPr>
  </w:style>
  <w:style w:type="character" w:customStyle="1" w:styleId="317">
    <w:name w:val="Char Char26"/>
    <w:autoRedefine/>
    <w:qFormat/>
    <w:uiPriority w:val="6"/>
    <w:rPr>
      <w:kern w:val="1"/>
      <w:sz w:val="21"/>
      <w:szCs w:val="24"/>
    </w:rPr>
  </w:style>
  <w:style w:type="character" w:customStyle="1" w:styleId="318">
    <w:name w:val="Item List Char"/>
    <w:link w:val="319"/>
    <w:autoRedefine/>
    <w:qFormat/>
    <w:uiPriority w:val="0"/>
    <w:rPr>
      <w:rFonts w:ascii="Arial"/>
      <w:bCs/>
      <w:sz w:val="21"/>
      <w:szCs w:val="21"/>
      <w:lang w:val="en-US" w:eastAsia="zh-CN" w:bidi="ar-SA"/>
    </w:rPr>
  </w:style>
  <w:style w:type="paragraph" w:customStyle="1" w:styleId="319">
    <w:name w:val="Item List"/>
    <w:link w:val="318"/>
    <w:autoRedefine/>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character" w:customStyle="1" w:styleId="320">
    <w:name w:val="批注框文本 Char1"/>
    <w:autoRedefine/>
    <w:qFormat/>
    <w:uiPriority w:val="0"/>
    <w:rPr>
      <w:rFonts w:ascii="Times New Roman" w:hAnsi="Times New Roman" w:eastAsia="宋体" w:cs="Times New Roman"/>
      <w:sz w:val="18"/>
      <w:szCs w:val="18"/>
    </w:rPr>
  </w:style>
  <w:style w:type="character" w:customStyle="1" w:styleId="321">
    <w:name w:val="纯文本 Char1"/>
    <w:link w:val="322"/>
    <w:autoRedefine/>
    <w:qFormat/>
    <w:uiPriority w:val="0"/>
    <w:rPr>
      <w:rFonts w:ascii="宋体" w:hAnsi="Courier New"/>
    </w:rPr>
  </w:style>
  <w:style w:type="paragraph" w:customStyle="1" w:styleId="322">
    <w:name w:val="纯文本1"/>
    <w:basedOn w:val="323"/>
    <w:link w:val="321"/>
    <w:autoRedefine/>
    <w:qFormat/>
    <w:uiPriority w:val="0"/>
    <w:pPr>
      <w:tabs>
        <w:tab w:val="right" w:leader="dot" w:pos="8268"/>
      </w:tabs>
      <w:adjustRightInd/>
    </w:pPr>
    <w:rPr>
      <w:rFonts w:ascii="宋体"/>
      <w:kern w:val="0"/>
      <w:sz w:val="20"/>
      <w:szCs w:val="20"/>
    </w:rPr>
  </w:style>
  <w:style w:type="paragraph" w:customStyle="1" w:styleId="323">
    <w:name w:val="正文1"/>
    <w:basedOn w:val="34"/>
    <w:autoRedefine/>
    <w:qFormat/>
    <w:uiPriority w:val="0"/>
    <w:pPr>
      <w:ind w:left="0" w:leftChars="0" w:firstLine="480" w:firstLineChars="200"/>
    </w:pPr>
    <w:rPr>
      <w:rFonts w:ascii="仿宋_GB2312" w:hAnsi="Courier New" w:eastAsia="仿宋_GB2312"/>
      <w:kern w:val="28"/>
      <w:sz w:val="24"/>
    </w:rPr>
  </w:style>
  <w:style w:type="character" w:customStyle="1" w:styleId="324">
    <w:name w:val="正文文本首行缩进 字符"/>
    <w:link w:val="2"/>
    <w:autoRedefine/>
    <w:qFormat/>
    <w:uiPriority w:val="0"/>
    <w:rPr>
      <w:rFonts w:ascii="宋体"/>
      <w:kern w:val="2"/>
      <w:sz w:val="24"/>
      <w:lang w:val="zh-CN"/>
    </w:rPr>
  </w:style>
  <w:style w:type="character" w:customStyle="1" w:styleId="325">
    <w:name w:val="h3 Char"/>
    <w:autoRedefine/>
    <w:qFormat/>
    <w:uiPriority w:val="0"/>
    <w:rPr>
      <w:rFonts w:eastAsia="宋体"/>
      <w:b/>
      <w:kern w:val="2"/>
      <w:sz w:val="32"/>
      <w:lang w:val="en-US" w:eastAsia="zh-CN" w:bidi="ar-SA"/>
    </w:rPr>
  </w:style>
  <w:style w:type="character" w:customStyle="1" w:styleId="326">
    <w:name w:val="dandyren_title1"/>
    <w:autoRedefine/>
    <w:qFormat/>
    <w:uiPriority w:val="0"/>
    <w:rPr>
      <w:b/>
      <w:bCs/>
      <w:color w:val="FF6633"/>
      <w:sz w:val="18"/>
      <w:szCs w:val="18"/>
    </w:rPr>
  </w:style>
  <w:style w:type="character" w:customStyle="1" w:styleId="327">
    <w:name w:val="Char Char31"/>
    <w:autoRedefine/>
    <w:qFormat/>
    <w:uiPriority w:val="6"/>
    <w:rPr>
      <w:rFonts w:ascii="Arial" w:hAnsi="Arial" w:eastAsia="黑体"/>
      <w:kern w:val="1"/>
      <w:sz w:val="24"/>
      <w:szCs w:val="24"/>
    </w:rPr>
  </w:style>
  <w:style w:type="character" w:customStyle="1" w:styleId="328">
    <w:name w:val="h Char1"/>
    <w:autoRedefine/>
    <w:qFormat/>
    <w:uiPriority w:val="0"/>
    <w:rPr>
      <w:sz w:val="18"/>
      <w:szCs w:val="18"/>
    </w:rPr>
  </w:style>
  <w:style w:type="character" w:customStyle="1" w:styleId="329">
    <w:name w:val="solutionfonts"/>
    <w:autoRedefine/>
    <w:qFormat/>
    <w:uiPriority w:val="0"/>
  </w:style>
  <w:style w:type="character" w:customStyle="1" w:styleId="330">
    <w:name w:val="标题 4 字符1"/>
    <w:link w:val="8"/>
    <w:autoRedefine/>
    <w:qFormat/>
    <w:uiPriority w:val="9"/>
    <w:rPr>
      <w:rFonts w:ascii="Arial" w:hAnsi="Arial" w:eastAsia="黑体"/>
      <w:b/>
      <w:bCs/>
      <w:kern w:val="2"/>
      <w:sz w:val="28"/>
      <w:szCs w:val="28"/>
      <w:lang w:val="zh-CN"/>
    </w:rPr>
  </w:style>
  <w:style w:type="character" w:customStyle="1" w:styleId="331">
    <w:name w:val="首行缩进 Char"/>
    <w:autoRedefine/>
    <w:qFormat/>
    <w:uiPriority w:val="0"/>
    <w:rPr>
      <w:rFonts w:ascii="宋体" w:eastAsia="宋体"/>
      <w:kern w:val="2"/>
      <w:sz w:val="24"/>
      <w:lang w:val="en-US" w:eastAsia="zh-CN" w:bidi="ar-SA"/>
    </w:rPr>
  </w:style>
  <w:style w:type="character" w:customStyle="1" w:styleId="332">
    <w:name w:val="Char Char52"/>
    <w:autoRedefine/>
    <w:qFormat/>
    <w:uiPriority w:val="0"/>
    <w:rPr>
      <w:rFonts w:ascii="宋体" w:hAnsi="Courier New" w:eastAsia="宋体"/>
      <w:kern w:val="2"/>
      <w:sz w:val="21"/>
      <w:lang w:val="en-US" w:eastAsia="zh-CN"/>
    </w:rPr>
  </w:style>
  <w:style w:type="character" w:customStyle="1" w:styleId="333">
    <w:name w:val="正文文本 3 字符"/>
    <w:link w:val="24"/>
    <w:autoRedefine/>
    <w:qFormat/>
    <w:uiPriority w:val="0"/>
    <w:rPr>
      <w:kern w:val="2"/>
      <w:sz w:val="21"/>
    </w:rPr>
  </w:style>
  <w:style w:type="character" w:customStyle="1" w:styleId="334">
    <w:name w:val="font31"/>
    <w:autoRedefine/>
    <w:qFormat/>
    <w:uiPriority w:val="0"/>
    <w:rPr>
      <w:rFonts w:hint="eastAsia" w:ascii="仿宋" w:hAnsi="仿宋" w:eastAsia="仿宋" w:cs="仿宋"/>
      <w:color w:val="000000"/>
      <w:sz w:val="20"/>
      <w:szCs w:val="20"/>
      <w:u w:val="none"/>
    </w:rPr>
  </w:style>
  <w:style w:type="character" w:customStyle="1" w:styleId="335">
    <w:name w:val="正文说明 Char"/>
    <w:link w:val="336"/>
    <w:autoRedefine/>
    <w:qFormat/>
    <w:uiPriority w:val="0"/>
    <w:rPr>
      <w:sz w:val="24"/>
      <w:szCs w:val="24"/>
    </w:rPr>
  </w:style>
  <w:style w:type="paragraph" w:customStyle="1" w:styleId="336">
    <w:name w:val="正文说明"/>
    <w:basedOn w:val="1"/>
    <w:link w:val="335"/>
    <w:autoRedefine/>
    <w:qFormat/>
    <w:uiPriority w:val="0"/>
    <w:pPr>
      <w:adjustRightInd/>
      <w:spacing w:line="360" w:lineRule="auto"/>
    </w:pPr>
    <w:rPr>
      <w:kern w:val="0"/>
      <w:sz w:val="24"/>
    </w:rPr>
  </w:style>
  <w:style w:type="character" w:customStyle="1" w:styleId="337">
    <w:name w:val="脚注文本 Char1"/>
    <w:autoRedefine/>
    <w:qFormat/>
    <w:uiPriority w:val="0"/>
    <w:rPr>
      <w:rFonts w:ascii="Times New Roman" w:hAnsi="Times New Roman" w:eastAsia="宋体" w:cs="Times New Roman"/>
      <w:sz w:val="18"/>
      <w:szCs w:val="18"/>
    </w:rPr>
  </w:style>
  <w:style w:type="character" w:customStyle="1" w:styleId="338">
    <w:name w:val="Char Char1211"/>
    <w:autoRedefine/>
    <w:qFormat/>
    <w:uiPriority w:val="0"/>
    <w:rPr>
      <w:rFonts w:ascii="仿宋_GB2312" w:eastAsia="仿宋_GB2312"/>
      <w:b/>
      <w:bCs/>
      <w:kern w:val="2"/>
      <w:sz w:val="24"/>
      <w:szCs w:val="24"/>
      <w:lang w:val="zh-CN" w:eastAsia="zh-CN" w:bidi="ar-SA"/>
    </w:rPr>
  </w:style>
  <w:style w:type="character" w:customStyle="1" w:styleId="339">
    <w:name w:val="标题 Char"/>
    <w:autoRedefine/>
    <w:qFormat/>
    <w:uiPriority w:val="0"/>
    <w:rPr>
      <w:rFonts w:eastAsia="宋体"/>
      <w:b/>
      <w:sz w:val="24"/>
      <w:lang w:val="en-GB" w:eastAsia="zh-CN" w:bidi="ar-SA"/>
    </w:rPr>
  </w:style>
  <w:style w:type="character" w:customStyle="1" w:styleId="340">
    <w:name w:val="Char Char35"/>
    <w:autoRedefine/>
    <w:qFormat/>
    <w:uiPriority w:val="6"/>
    <w:rPr>
      <w:rFonts w:ascii="Arial" w:hAnsi="Arial" w:eastAsia="黑体"/>
      <w:b/>
      <w:kern w:val="1"/>
      <w:sz w:val="28"/>
      <w:szCs w:val="28"/>
      <w:lang w:val="zh-CN"/>
    </w:rPr>
  </w:style>
  <w:style w:type="character" w:customStyle="1" w:styleId="341">
    <w:name w:val="纯文本 Char Char Char"/>
    <w:autoRedefine/>
    <w:qFormat/>
    <w:uiPriority w:val="0"/>
    <w:rPr>
      <w:rFonts w:ascii="宋体" w:hAnsi="Courier New" w:eastAsia="宋体"/>
      <w:kern w:val="2"/>
      <w:sz w:val="21"/>
      <w:lang w:val="en-US" w:eastAsia="zh-CN" w:bidi="ar-SA"/>
    </w:rPr>
  </w:style>
  <w:style w:type="character" w:customStyle="1" w:styleId="342">
    <w:name w:val="Table Text Char"/>
    <w:link w:val="343"/>
    <w:autoRedefine/>
    <w:qFormat/>
    <w:uiPriority w:val="0"/>
    <w:rPr>
      <w:sz w:val="24"/>
      <w:szCs w:val="24"/>
    </w:rPr>
  </w:style>
  <w:style w:type="paragraph" w:customStyle="1" w:styleId="343">
    <w:name w:val="Table Text"/>
    <w:basedOn w:val="1"/>
    <w:link w:val="342"/>
    <w:autoRedefine/>
    <w:qFormat/>
    <w:uiPriority w:val="0"/>
    <w:pPr>
      <w:widowControl/>
      <w:spacing w:before="60" w:after="60"/>
      <w:jc w:val="left"/>
    </w:pPr>
    <w:rPr>
      <w:kern w:val="0"/>
      <w:sz w:val="24"/>
    </w:rPr>
  </w:style>
  <w:style w:type="character" w:customStyle="1" w:styleId="344">
    <w:name w:val="正文1 Char1"/>
    <w:autoRedefine/>
    <w:qFormat/>
    <w:uiPriority w:val="0"/>
    <w:rPr>
      <w:rFonts w:ascii="仿宋_GB2312" w:hAnsi="Courier New" w:eastAsia="仿宋_GB2312"/>
      <w:kern w:val="28"/>
      <w:sz w:val="24"/>
      <w:szCs w:val="24"/>
      <w:lang w:val="en-US" w:eastAsia="zh-CN"/>
    </w:rPr>
  </w:style>
  <w:style w:type="character" w:customStyle="1" w:styleId="345">
    <w:name w:val="页脚 Char1"/>
    <w:autoRedefine/>
    <w:qFormat/>
    <w:uiPriority w:val="0"/>
    <w:rPr>
      <w:rFonts w:eastAsia="宋体"/>
      <w:kern w:val="2"/>
      <w:sz w:val="18"/>
      <w:szCs w:val="18"/>
      <w:lang w:val="en-US" w:eastAsia="zh-CN" w:bidi="ar-SA"/>
    </w:rPr>
  </w:style>
  <w:style w:type="character" w:customStyle="1" w:styleId="346">
    <w:name w:val="Bold"/>
    <w:autoRedefine/>
    <w:qFormat/>
    <w:uiPriority w:val="0"/>
    <w:rPr>
      <w:rFonts w:ascii="Arial" w:hAnsi="Arial" w:eastAsia="黑体" w:cs="Times New Roman"/>
      <w:b/>
      <w:kern w:val="2"/>
      <w:sz w:val="32"/>
      <w:szCs w:val="32"/>
      <w:lang w:val="en-US" w:eastAsia="zh-CN" w:bidi="ar-SA"/>
    </w:rPr>
  </w:style>
  <w:style w:type="character" w:customStyle="1" w:styleId="347">
    <w:name w:val="批注文字 字符1"/>
    <w:link w:val="22"/>
    <w:autoRedefine/>
    <w:qFormat/>
    <w:uiPriority w:val="99"/>
    <w:rPr>
      <w:kern w:val="2"/>
      <w:sz w:val="21"/>
      <w:szCs w:val="24"/>
    </w:rPr>
  </w:style>
  <w:style w:type="character" w:customStyle="1" w:styleId="348">
    <w:name w:val="签名 字符"/>
    <w:link w:val="44"/>
    <w:autoRedefine/>
    <w:qFormat/>
    <w:uiPriority w:val="0"/>
    <w:rPr>
      <w:rFonts w:eastAsia="仿宋_GB2312"/>
      <w:sz w:val="24"/>
    </w:rPr>
  </w:style>
  <w:style w:type="character" w:customStyle="1" w:styleId="349">
    <w:name w:val="hui3"/>
    <w:autoRedefine/>
    <w:qFormat/>
    <w:uiPriority w:val="0"/>
    <w:rPr>
      <w:color w:val="333333"/>
    </w:rPr>
  </w:style>
  <w:style w:type="character" w:customStyle="1" w:styleId="350">
    <w:name w:val="Char Char17"/>
    <w:autoRedefine/>
    <w:qFormat/>
    <w:uiPriority w:val="6"/>
    <w:rPr>
      <w:rFonts w:eastAsia="仿宋_GB2312"/>
      <w:sz w:val="24"/>
    </w:rPr>
  </w:style>
  <w:style w:type="character" w:customStyle="1" w:styleId="351">
    <w:name w:val="标题 4 字符"/>
    <w:autoRedefine/>
    <w:qFormat/>
    <w:uiPriority w:val="9"/>
    <w:rPr>
      <w:rFonts w:ascii="等线 Light" w:hAnsi="等线 Light" w:eastAsia="等线 Light" w:cs="Times New Roman"/>
      <w:b/>
      <w:bCs/>
      <w:snapToGrid w:val="0"/>
      <w:kern w:val="0"/>
      <w:sz w:val="28"/>
      <w:szCs w:val="28"/>
    </w:rPr>
  </w:style>
  <w:style w:type="character" w:customStyle="1" w:styleId="352">
    <w:name w:val="Char Char37"/>
    <w:autoRedefine/>
    <w:qFormat/>
    <w:uiPriority w:val="6"/>
    <w:rPr>
      <w:b/>
      <w:kern w:val="1"/>
      <w:sz w:val="44"/>
      <w:szCs w:val="44"/>
    </w:rPr>
  </w:style>
  <w:style w:type="character" w:customStyle="1" w:styleId="353">
    <w:name w:val="列出段落 Char"/>
    <w:autoRedefine/>
    <w:qFormat/>
    <w:uiPriority w:val="0"/>
    <w:rPr>
      <w:rFonts w:eastAsia="楷体_GB2312" w:cs="Lucida Sans"/>
      <w:kern w:val="2"/>
      <w:sz w:val="24"/>
      <w:szCs w:val="24"/>
      <w:lang w:val="en-US" w:eastAsia="zh-CN" w:bidi="ar-SA"/>
    </w:rPr>
  </w:style>
  <w:style w:type="character" w:customStyle="1" w:styleId="354">
    <w:name w:val="正文文本缩进 3 Char1"/>
    <w:autoRedefine/>
    <w:semiHidden/>
    <w:qFormat/>
    <w:uiPriority w:val="99"/>
    <w:rPr>
      <w:rFonts w:ascii="Times New Roman" w:hAnsi="Times New Roman" w:eastAsia="宋体" w:cs="Times New Roman"/>
      <w:sz w:val="16"/>
      <w:szCs w:val="16"/>
    </w:rPr>
  </w:style>
  <w:style w:type="character" w:customStyle="1" w:styleId="355">
    <w:name w:val="公文正文 Char Char"/>
    <w:link w:val="356"/>
    <w:autoRedefine/>
    <w:qFormat/>
    <w:uiPriority w:val="0"/>
    <w:rPr>
      <w:rFonts w:ascii="仿宋_GB2312" w:eastAsia="仿宋_GB2312"/>
      <w:kern w:val="2"/>
      <w:sz w:val="24"/>
      <w:szCs w:val="24"/>
    </w:rPr>
  </w:style>
  <w:style w:type="paragraph" w:customStyle="1" w:styleId="356">
    <w:name w:val="公文正文"/>
    <w:basedOn w:val="1"/>
    <w:link w:val="355"/>
    <w:autoRedefine/>
    <w:qFormat/>
    <w:uiPriority w:val="0"/>
    <w:pPr>
      <w:adjustRightInd/>
      <w:spacing w:before="156" w:line="360" w:lineRule="auto"/>
      <w:ind w:firstLine="360" w:firstLineChars="200"/>
    </w:pPr>
    <w:rPr>
      <w:rFonts w:ascii="仿宋_GB2312" w:eastAsia="仿宋_GB2312"/>
      <w:sz w:val="24"/>
    </w:rPr>
  </w:style>
  <w:style w:type="character" w:customStyle="1" w:styleId="357">
    <w:name w:val="Table Text Char1"/>
    <w:autoRedefine/>
    <w:qFormat/>
    <w:uiPriority w:val="0"/>
    <w:rPr>
      <w:rFonts w:eastAsia="宋体"/>
      <w:sz w:val="24"/>
      <w:szCs w:val="24"/>
      <w:lang w:val="en-US" w:eastAsia="zh-CN" w:bidi="ar-SA"/>
    </w:rPr>
  </w:style>
  <w:style w:type="character" w:customStyle="1" w:styleId="358">
    <w:name w:val="标题 1 Char Char"/>
    <w:autoRedefine/>
    <w:qFormat/>
    <w:uiPriority w:val="0"/>
    <w:rPr>
      <w:rFonts w:hint="eastAsia" w:ascii="宋体" w:hAnsi="宋体" w:eastAsia="宋体"/>
      <w:b/>
      <w:spacing w:val="-2"/>
      <w:sz w:val="24"/>
      <w:lang w:val="en-US" w:eastAsia="zh-CN" w:bidi="ar-SA"/>
    </w:rPr>
  </w:style>
  <w:style w:type="character" w:customStyle="1" w:styleId="359">
    <w:name w:val="正文（缩进2汉字） Char"/>
    <w:link w:val="360"/>
    <w:autoRedefine/>
    <w:qFormat/>
    <w:uiPriority w:val="0"/>
    <w:rPr>
      <w:rFonts w:ascii="宋体"/>
    </w:rPr>
  </w:style>
  <w:style w:type="paragraph" w:customStyle="1" w:styleId="360">
    <w:name w:val="正文（缩进2汉字）"/>
    <w:basedOn w:val="1"/>
    <w:link w:val="359"/>
    <w:autoRedefine/>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character" w:customStyle="1" w:styleId="361">
    <w:name w:val="标题 8 字符"/>
    <w:link w:val="12"/>
    <w:autoRedefine/>
    <w:qFormat/>
    <w:uiPriority w:val="0"/>
    <w:rPr>
      <w:rFonts w:ascii="Arial" w:hAnsi="Arial" w:eastAsia="黑体"/>
      <w:kern w:val="2"/>
      <w:sz w:val="24"/>
      <w:szCs w:val="24"/>
    </w:rPr>
  </w:style>
  <w:style w:type="character" w:customStyle="1" w:styleId="362">
    <w:name w:val="标书表格字体格式 Char"/>
    <w:autoRedefine/>
    <w:qFormat/>
    <w:uiPriority w:val="0"/>
    <w:rPr>
      <w:kern w:val="2"/>
      <w:sz w:val="21"/>
      <w:szCs w:val="24"/>
      <w:lang w:bidi="ar-SA"/>
    </w:rPr>
  </w:style>
  <w:style w:type="character" w:customStyle="1" w:styleId="363">
    <w:name w:val="tw4winError"/>
    <w:autoRedefine/>
    <w:qFormat/>
    <w:uiPriority w:val="0"/>
    <w:rPr>
      <w:rFonts w:ascii="Courier New" w:hAnsi="Courier New" w:cs="Courier New"/>
      <w:color w:val="00FF00"/>
      <w:sz w:val="40"/>
      <w:szCs w:val="40"/>
    </w:rPr>
  </w:style>
  <w:style w:type="character" w:customStyle="1" w:styleId="364">
    <w:name w:val="Body Text(ch) Char Char"/>
    <w:autoRedefine/>
    <w:qFormat/>
    <w:uiPriority w:val="0"/>
    <w:rPr>
      <w:rFonts w:ascii="宋体"/>
      <w:kern w:val="2"/>
      <w:sz w:val="24"/>
      <w:szCs w:val="21"/>
      <w:lang w:val="zh-CN"/>
    </w:rPr>
  </w:style>
  <w:style w:type="character" w:customStyle="1" w:styleId="365">
    <w:name w:val="正文首行缩进两字 Char"/>
    <w:autoRedefine/>
    <w:qFormat/>
    <w:uiPriority w:val="0"/>
    <w:rPr>
      <w:sz w:val="24"/>
      <w:szCs w:val="24"/>
      <w:lang w:val="en-US" w:eastAsia="zh-CN" w:bidi="ar-SA"/>
    </w:rPr>
  </w:style>
  <w:style w:type="character" w:customStyle="1" w:styleId="366">
    <w:name w:val="正文文本 Char"/>
    <w:autoRedefine/>
    <w:qFormat/>
    <w:uiPriority w:val="0"/>
    <w:rPr>
      <w:rFonts w:eastAsia="宋体"/>
      <w:kern w:val="2"/>
      <w:sz w:val="24"/>
      <w:szCs w:val="24"/>
      <w:lang w:val="en-US" w:eastAsia="zh-CN" w:bidi="ar-SA"/>
    </w:rPr>
  </w:style>
  <w:style w:type="character" w:customStyle="1" w:styleId="367">
    <w:name w:val="文档结构图 字符1"/>
    <w:autoRedefine/>
    <w:qFormat/>
    <w:uiPriority w:val="0"/>
    <w:rPr>
      <w:rFonts w:ascii="宋体" w:hAnsi="Calibri" w:eastAsia="黑体" w:cs="Arial"/>
      <w:snapToGrid w:val="0"/>
      <w:kern w:val="2"/>
      <w:sz w:val="18"/>
      <w:szCs w:val="18"/>
    </w:rPr>
  </w:style>
  <w:style w:type="character" w:customStyle="1" w:styleId="368">
    <w:name w:val="content"/>
    <w:autoRedefine/>
    <w:qFormat/>
    <w:uiPriority w:val="0"/>
  </w:style>
  <w:style w:type="character" w:customStyle="1" w:styleId="369">
    <w:name w:val="tw4winPopup"/>
    <w:autoRedefine/>
    <w:qFormat/>
    <w:uiPriority w:val="0"/>
    <w:rPr>
      <w:rFonts w:ascii="Courier New" w:hAnsi="Courier New" w:cs="Courier New"/>
      <w:color w:val="008000"/>
      <w:lang w:val="en-US" w:eastAsia="zh-CN"/>
    </w:rPr>
  </w:style>
  <w:style w:type="character" w:customStyle="1" w:styleId="370">
    <w:name w:val="param-name"/>
    <w:autoRedefine/>
    <w:qFormat/>
    <w:uiPriority w:val="99"/>
    <w:rPr>
      <w:rFonts w:ascii="Arial" w:hAnsi="Arial" w:eastAsia="黑体" w:cs="Arial"/>
      <w:snapToGrid w:val="0"/>
      <w:kern w:val="0"/>
      <w:szCs w:val="21"/>
    </w:rPr>
  </w:style>
  <w:style w:type="character" w:customStyle="1" w:styleId="371">
    <w:name w:val="标准正文格式 Char"/>
    <w:autoRedefine/>
    <w:qFormat/>
    <w:uiPriority w:val="0"/>
    <w:rPr>
      <w:rFonts w:ascii="宋体" w:eastAsia="仿宋_GB2312" w:cs="宋体"/>
      <w:color w:val="000000"/>
      <w:sz w:val="24"/>
      <w:lang w:val="en-US" w:eastAsia="zh-CN" w:bidi="ar-SA"/>
    </w:rPr>
  </w:style>
  <w:style w:type="character" w:customStyle="1" w:styleId="372">
    <w:name w:val="Char Char212"/>
    <w:autoRedefine/>
    <w:qFormat/>
    <w:uiPriority w:val="0"/>
    <w:rPr>
      <w:rFonts w:eastAsia="宋体"/>
      <w:b/>
      <w:bCs/>
      <w:kern w:val="2"/>
      <w:sz w:val="21"/>
      <w:szCs w:val="24"/>
      <w:lang w:val="en-US" w:eastAsia="zh-CN" w:bidi="ar-SA"/>
    </w:rPr>
  </w:style>
  <w:style w:type="character" w:customStyle="1" w:styleId="373">
    <w:name w:val="文档结构图 Char"/>
    <w:autoRedefine/>
    <w:qFormat/>
    <w:uiPriority w:val="0"/>
    <w:rPr>
      <w:rFonts w:eastAsia="宋体"/>
      <w:kern w:val="2"/>
      <w:sz w:val="21"/>
      <w:szCs w:val="24"/>
      <w:lang w:val="en-US" w:eastAsia="zh-CN" w:bidi="ar-SA"/>
    </w:rPr>
  </w:style>
  <w:style w:type="character" w:customStyle="1" w:styleId="374">
    <w:name w:val="zbggmain style9"/>
    <w:autoRedefine/>
    <w:qFormat/>
    <w:uiPriority w:val="0"/>
  </w:style>
  <w:style w:type="character" w:customStyle="1" w:styleId="375">
    <w:name w:val="Char Char16"/>
    <w:autoRedefine/>
    <w:qFormat/>
    <w:uiPriority w:val="6"/>
    <w:rPr>
      <w:kern w:val="1"/>
      <w:sz w:val="18"/>
      <w:szCs w:val="18"/>
    </w:rPr>
  </w:style>
  <w:style w:type="character" w:customStyle="1" w:styleId="376">
    <w:name w:val="font51"/>
    <w:autoRedefine/>
    <w:qFormat/>
    <w:uiPriority w:val="0"/>
    <w:rPr>
      <w:rFonts w:hint="eastAsia" w:ascii="仿宋" w:hAnsi="仿宋" w:eastAsia="仿宋" w:cs="仿宋"/>
      <w:color w:val="000000"/>
      <w:sz w:val="20"/>
      <w:szCs w:val="20"/>
      <w:u w:val="none"/>
    </w:rPr>
  </w:style>
  <w:style w:type="character" w:customStyle="1" w:styleId="377">
    <w:name w:val="Char Char82"/>
    <w:autoRedefine/>
    <w:qFormat/>
    <w:uiPriority w:val="0"/>
    <w:rPr>
      <w:rFonts w:eastAsia="宋体"/>
      <w:b/>
      <w:sz w:val="24"/>
      <w:lang w:val="en-GB" w:eastAsia="zh-CN"/>
    </w:rPr>
  </w:style>
  <w:style w:type="character" w:customStyle="1" w:styleId="378">
    <w:name w:val="正文文本缩进 3 字符"/>
    <w:link w:val="54"/>
    <w:autoRedefine/>
    <w:qFormat/>
    <w:uiPriority w:val="0"/>
    <w:rPr>
      <w:kern w:val="2"/>
      <w:sz w:val="24"/>
    </w:rPr>
  </w:style>
  <w:style w:type="character" w:customStyle="1" w:styleId="379">
    <w:name w:val="日期 Char1"/>
    <w:autoRedefine/>
    <w:semiHidden/>
    <w:qFormat/>
    <w:uiPriority w:val="99"/>
    <w:rPr>
      <w:rFonts w:ascii="Times New Roman" w:hAnsi="Times New Roman" w:eastAsia="宋体" w:cs="Times New Roman"/>
      <w:szCs w:val="24"/>
    </w:rPr>
  </w:style>
  <w:style w:type="character" w:customStyle="1" w:styleId="380">
    <w:name w:val="页眉 字符"/>
    <w:autoRedefine/>
    <w:qFormat/>
    <w:uiPriority w:val="99"/>
    <w:rPr>
      <w:kern w:val="2"/>
      <w:sz w:val="18"/>
      <w:szCs w:val="18"/>
    </w:rPr>
  </w:style>
  <w:style w:type="character" w:customStyle="1" w:styleId="381">
    <w:name w:val="Char Char33"/>
    <w:autoRedefine/>
    <w:qFormat/>
    <w:uiPriority w:val="6"/>
    <w:rPr>
      <w:rFonts w:ascii="Arial" w:hAnsi="Arial" w:eastAsia="黑体"/>
      <w:b/>
      <w:kern w:val="1"/>
      <w:sz w:val="24"/>
      <w:szCs w:val="24"/>
    </w:rPr>
  </w:style>
  <w:style w:type="character" w:customStyle="1" w:styleId="382">
    <w:name w:val="b11_01b Char"/>
    <w:link w:val="383"/>
    <w:autoRedefine/>
    <w:qFormat/>
    <w:uiPriority w:val="0"/>
    <w:rPr>
      <w:rFonts w:ascii="Verdana" w:hAnsi="Verdana"/>
      <w:b/>
      <w:bCs/>
      <w:color w:val="4A82CA"/>
      <w:sz w:val="17"/>
      <w:szCs w:val="17"/>
    </w:rPr>
  </w:style>
  <w:style w:type="paragraph" w:customStyle="1" w:styleId="383">
    <w:name w:val="b11_01b"/>
    <w:basedOn w:val="1"/>
    <w:next w:val="1"/>
    <w:link w:val="382"/>
    <w:autoRedefine/>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character" w:customStyle="1" w:styleId="384">
    <w:name w:val="Char Char121"/>
    <w:autoRedefine/>
    <w:qFormat/>
    <w:uiPriority w:val="6"/>
    <w:rPr>
      <w:rFonts w:ascii="仿宋_GB2312" w:eastAsia="仿宋_GB2312"/>
      <w:b/>
      <w:bCs/>
      <w:kern w:val="2"/>
      <w:sz w:val="24"/>
      <w:szCs w:val="24"/>
      <w:lang w:val="zh-CN" w:eastAsia="zh-CN" w:bidi="ar-SA"/>
    </w:rPr>
  </w:style>
  <w:style w:type="character" w:customStyle="1" w:styleId="385">
    <w:name w:val="Footer-Even Char"/>
    <w:autoRedefine/>
    <w:qFormat/>
    <w:uiPriority w:val="0"/>
    <w:rPr>
      <w:rFonts w:eastAsia="宋体"/>
      <w:kern w:val="2"/>
      <w:sz w:val="18"/>
      <w:lang w:val="en-US" w:eastAsia="zh-CN" w:bidi="ar-SA"/>
    </w:rPr>
  </w:style>
  <w:style w:type="character" w:customStyle="1" w:styleId="386">
    <w:name w:val="页脚 字符2"/>
    <w:link w:val="42"/>
    <w:autoRedefine/>
    <w:qFormat/>
    <w:locked/>
    <w:uiPriority w:val="99"/>
    <w:rPr>
      <w:kern w:val="2"/>
      <w:sz w:val="18"/>
      <w:szCs w:val="18"/>
    </w:rPr>
  </w:style>
  <w:style w:type="character" w:customStyle="1" w:styleId="387">
    <w:name w:val="Char Char36"/>
    <w:autoRedefine/>
    <w:qFormat/>
    <w:uiPriority w:val="6"/>
    <w:rPr>
      <w:rFonts w:ascii="仿宋_GB2312" w:hAnsi="仿宋_GB2312" w:eastAsia="仿宋_GB2312" w:cs="Arial"/>
      <w:b/>
      <w:kern w:val="1"/>
      <w:sz w:val="32"/>
      <w:szCs w:val="32"/>
      <w:lang w:val="zh-CN" w:eastAsia="zh-CN" w:bidi="ar-SA"/>
    </w:rPr>
  </w:style>
  <w:style w:type="character" w:customStyle="1" w:styleId="388">
    <w:name w:val="Char Char61"/>
    <w:autoRedefine/>
    <w:qFormat/>
    <w:uiPriority w:val="6"/>
    <w:rPr>
      <w:rFonts w:eastAsia="宋体"/>
      <w:kern w:val="2"/>
      <w:sz w:val="21"/>
      <w:szCs w:val="24"/>
      <w:lang w:val="en-US" w:eastAsia="zh-CN" w:bidi="ar-SA"/>
    </w:rPr>
  </w:style>
  <w:style w:type="character" w:customStyle="1" w:styleId="389">
    <w:name w:val="正文文字缩进 2 Char Char"/>
    <w:autoRedefine/>
    <w:qFormat/>
    <w:uiPriority w:val="0"/>
    <w:rPr>
      <w:rFonts w:ascii="宋体"/>
      <w:sz w:val="28"/>
    </w:rPr>
  </w:style>
  <w:style w:type="character" w:customStyle="1" w:styleId="390">
    <w:name w:val="f141"/>
    <w:autoRedefine/>
    <w:qFormat/>
    <w:uiPriority w:val="0"/>
    <w:rPr>
      <w:rFonts w:ascii="Tahoma" w:hAnsi="Tahoma" w:eastAsia="宋体"/>
      <w:b/>
      <w:kern w:val="2"/>
      <w:sz w:val="21"/>
      <w:szCs w:val="21"/>
      <w:lang w:val="en-US" w:eastAsia="zh-CN" w:bidi="ar-SA"/>
    </w:rPr>
  </w:style>
  <w:style w:type="character" w:customStyle="1" w:styleId="391">
    <w:name w:val="段落 Char Char"/>
    <w:link w:val="392"/>
    <w:autoRedefine/>
    <w:qFormat/>
    <w:uiPriority w:val="0"/>
    <w:rPr>
      <w:rFonts w:ascii="宋体" w:hAnsi="宋体"/>
      <w:sz w:val="24"/>
    </w:rPr>
  </w:style>
  <w:style w:type="paragraph" w:customStyle="1" w:styleId="392">
    <w:name w:val="段落"/>
    <w:basedOn w:val="1"/>
    <w:link w:val="391"/>
    <w:autoRedefine/>
    <w:qFormat/>
    <w:uiPriority w:val="0"/>
    <w:pPr>
      <w:adjustRightInd/>
      <w:spacing w:line="360" w:lineRule="auto"/>
      <w:ind w:firstLine="480" w:firstLineChars="200"/>
    </w:pPr>
    <w:rPr>
      <w:rFonts w:ascii="宋体" w:hAnsi="宋体"/>
      <w:kern w:val="0"/>
      <w:sz w:val="24"/>
      <w:szCs w:val="20"/>
    </w:rPr>
  </w:style>
  <w:style w:type="character" w:customStyle="1" w:styleId="393">
    <w:name w:val="标题 3 Char2"/>
    <w:autoRedefine/>
    <w:qFormat/>
    <w:uiPriority w:val="0"/>
    <w:rPr>
      <w:rFonts w:eastAsia="宋体"/>
      <w:b/>
      <w:bCs/>
      <w:kern w:val="2"/>
      <w:sz w:val="32"/>
      <w:szCs w:val="32"/>
      <w:lang w:val="en-US" w:eastAsia="zh-CN" w:bidi="ar-SA"/>
    </w:rPr>
  </w:style>
  <w:style w:type="character" w:customStyle="1" w:styleId="394">
    <w:name w:val="apple-converted-space"/>
    <w:autoRedefine/>
    <w:qFormat/>
    <w:uiPriority w:val="0"/>
  </w:style>
  <w:style w:type="character" w:customStyle="1" w:styleId="395">
    <w:name w:val="页眉 字符2"/>
    <w:link w:val="43"/>
    <w:autoRedefine/>
    <w:qFormat/>
    <w:uiPriority w:val="99"/>
    <w:rPr>
      <w:kern w:val="2"/>
      <w:sz w:val="18"/>
      <w:szCs w:val="18"/>
    </w:rPr>
  </w:style>
  <w:style w:type="character" w:customStyle="1" w:styleId="396">
    <w:name w:val="Char Char9"/>
    <w:autoRedefine/>
    <w:qFormat/>
    <w:uiPriority w:val="0"/>
    <w:rPr>
      <w:rFonts w:eastAsia="宋体"/>
      <w:kern w:val="2"/>
      <w:sz w:val="18"/>
      <w:szCs w:val="18"/>
      <w:lang w:val="en-US" w:eastAsia="zh-CN" w:bidi="ar-SA"/>
    </w:rPr>
  </w:style>
  <w:style w:type="character" w:customStyle="1" w:styleId="397">
    <w:name w:val="Char Char41"/>
    <w:autoRedefine/>
    <w:qFormat/>
    <w:uiPriority w:val="0"/>
    <w:rPr>
      <w:rFonts w:eastAsia="宋体"/>
      <w:b/>
      <w:sz w:val="24"/>
      <w:lang w:val="en-GB" w:eastAsia="zh-CN" w:bidi="ar-SA"/>
    </w:rPr>
  </w:style>
  <w:style w:type="character" w:customStyle="1" w:styleId="398">
    <w:name w:val="large1"/>
    <w:autoRedefine/>
    <w:qFormat/>
    <w:uiPriority w:val="0"/>
    <w:rPr>
      <w:rFonts w:hint="eastAsia" w:ascii="宋体" w:hAnsi="宋体" w:eastAsia="宋体"/>
      <w:sz w:val="21"/>
      <w:szCs w:val="21"/>
    </w:rPr>
  </w:style>
  <w:style w:type="character" w:customStyle="1" w:styleId="399">
    <w:name w:val="正文段 Char"/>
    <w:link w:val="400"/>
    <w:autoRedefine/>
    <w:qFormat/>
    <w:uiPriority w:val="0"/>
    <w:rPr>
      <w:sz w:val="24"/>
    </w:rPr>
  </w:style>
  <w:style w:type="paragraph" w:customStyle="1" w:styleId="400">
    <w:name w:val="正文段"/>
    <w:basedOn w:val="1"/>
    <w:link w:val="399"/>
    <w:autoRedefine/>
    <w:qFormat/>
    <w:uiPriority w:val="0"/>
    <w:pPr>
      <w:widowControl/>
      <w:snapToGrid w:val="0"/>
      <w:spacing w:after="156" w:afterLines="50"/>
      <w:ind w:firstLine="200" w:firstLineChars="200"/>
    </w:pPr>
    <w:rPr>
      <w:kern w:val="0"/>
      <w:sz w:val="24"/>
      <w:szCs w:val="20"/>
    </w:rPr>
  </w:style>
  <w:style w:type="character" w:customStyle="1" w:styleId="401">
    <w:name w:val="Char Char13"/>
    <w:autoRedefine/>
    <w:qFormat/>
    <w:uiPriority w:val="6"/>
    <w:rPr>
      <w:rFonts w:ascii="宋体" w:hAnsi="宋体"/>
      <w:kern w:val="1"/>
      <w:sz w:val="21"/>
      <w:szCs w:val="24"/>
    </w:rPr>
  </w:style>
  <w:style w:type="character" w:customStyle="1" w:styleId="402">
    <w:name w:val="Char Char92"/>
    <w:autoRedefine/>
    <w:qFormat/>
    <w:uiPriority w:val="0"/>
    <w:rPr>
      <w:rFonts w:ascii="Times New Roman" w:hAnsi="Times New Roman" w:eastAsia="宋体" w:cs="Times New Roman"/>
      <w:b/>
      <w:bCs/>
      <w:kern w:val="2"/>
      <w:sz w:val="32"/>
      <w:szCs w:val="32"/>
      <w:lang w:val="en-US" w:eastAsia="zh-CN" w:bidi="ar-SA"/>
    </w:rPr>
  </w:style>
  <w:style w:type="character" w:customStyle="1" w:styleId="403">
    <w:name w:val="冯广丽 Char"/>
    <w:link w:val="404"/>
    <w:autoRedefine/>
    <w:qFormat/>
    <w:uiPriority w:val="0"/>
    <w:rPr>
      <w:rFonts w:ascii="宋体" w:hAnsi="宋体"/>
      <w:kern w:val="2"/>
      <w:sz w:val="24"/>
      <w:szCs w:val="22"/>
    </w:rPr>
  </w:style>
  <w:style w:type="paragraph" w:customStyle="1" w:styleId="404">
    <w:name w:val="冯广丽"/>
    <w:basedOn w:val="1"/>
    <w:link w:val="403"/>
    <w:autoRedefine/>
    <w:qFormat/>
    <w:uiPriority w:val="0"/>
    <w:pPr>
      <w:adjustRightInd/>
      <w:spacing w:line="360" w:lineRule="auto"/>
      <w:ind w:firstLine="480" w:firstLineChars="200"/>
    </w:pPr>
    <w:rPr>
      <w:rFonts w:ascii="宋体" w:hAnsi="宋体"/>
      <w:sz w:val="24"/>
      <w:szCs w:val="22"/>
    </w:rPr>
  </w:style>
  <w:style w:type="character" w:customStyle="1" w:styleId="405">
    <w:name w:val="批注文字 字符"/>
    <w:autoRedefine/>
    <w:qFormat/>
    <w:uiPriority w:val="0"/>
    <w:rPr>
      <w:rFonts w:ascii="Arial" w:hAnsi="Arial" w:eastAsia="黑体" w:cs="Arial"/>
      <w:snapToGrid w:val="0"/>
      <w:kern w:val="0"/>
      <w:szCs w:val="21"/>
    </w:rPr>
  </w:style>
  <w:style w:type="character" w:customStyle="1" w:styleId="406">
    <w:name w:val="Char Char161"/>
    <w:autoRedefine/>
    <w:qFormat/>
    <w:uiPriority w:val="0"/>
    <w:rPr>
      <w:rFonts w:eastAsia="宋体"/>
      <w:b/>
      <w:kern w:val="2"/>
      <w:sz w:val="32"/>
      <w:lang w:val="en-US" w:eastAsia="zh-CN"/>
    </w:rPr>
  </w:style>
  <w:style w:type="character" w:customStyle="1" w:styleId="407">
    <w:name w:val="javascript"/>
    <w:autoRedefine/>
    <w:qFormat/>
    <w:uiPriority w:val="0"/>
  </w:style>
  <w:style w:type="character" w:customStyle="1" w:styleId="408">
    <w:name w:val="图名 Char"/>
    <w:autoRedefine/>
    <w:qFormat/>
    <w:uiPriority w:val="0"/>
    <w:rPr>
      <w:rFonts w:ascii="Arial" w:hAnsi="Arial" w:eastAsia="黑体"/>
      <w:kern w:val="2"/>
      <w:sz w:val="24"/>
      <w:szCs w:val="24"/>
      <w:lang w:val="en-US" w:eastAsia="zh-CN" w:bidi="ar-SA"/>
    </w:rPr>
  </w:style>
  <w:style w:type="character" w:customStyle="1" w:styleId="409">
    <w:name w:val="Used by Word for text of Help footnotes Char Char"/>
    <w:autoRedefine/>
    <w:qFormat/>
    <w:uiPriority w:val="0"/>
    <w:rPr>
      <w:rFonts w:ascii="Times New Roman" w:hAnsi="Times New Roman" w:eastAsia="宋体" w:cs="Times New Roman"/>
      <w:sz w:val="20"/>
      <w:szCs w:val="20"/>
    </w:rPr>
  </w:style>
  <w:style w:type="character" w:customStyle="1" w:styleId="410">
    <w:name w:val="编号，小四 Char"/>
    <w:link w:val="411"/>
    <w:autoRedefine/>
    <w:qFormat/>
    <w:uiPriority w:val="0"/>
    <w:rPr>
      <w:rFonts w:ascii="Arial" w:hAnsi="Arial"/>
      <w:sz w:val="24"/>
    </w:rPr>
  </w:style>
  <w:style w:type="paragraph" w:customStyle="1" w:styleId="411">
    <w:name w:val="编号，小四"/>
    <w:basedOn w:val="1"/>
    <w:link w:val="410"/>
    <w:autoRedefine/>
    <w:qFormat/>
    <w:uiPriority w:val="0"/>
    <w:pPr>
      <w:tabs>
        <w:tab w:val="left" w:pos="432"/>
      </w:tabs>
      <w:adjustRightInd/>
      <w:spacing w:line="360" w:lineRule="auto"/>
      <w:ind w:left="432" w:hanging="432"/>
    </w:pPr>
    <w:rPr>
      <w:rFonts w:ascii="Arial" w:hAnsi="Arial"/>
      <w:kern w:val="0"/>
      <w:sz w:val="24"/>
      <w:szCs w:val="20"/>
    </w:rPr>
  </w:style>
  <w:style w:type="character" w:customStyle="1" w:styleId="412">
    <w:name w:val="Font Style82"/>
    <w:autoRedefine/>
    <w:qFormat/>
    <w:uiPriority w:val="99"/>
    <w:rPr>
      <w:rFonts w:ascii="宋体" w:eastAsia="宋体" w:cs="宋体"/>
      <w:color w:val="000000"/>
      <w:sz w:val="14"/>
      <w:szCs w:val="14"/>
    </w:rPr>
  </w:style>
  <w:style w:type="character" w:customStyle="1" w:styleId="413">
    <w:name w:val="标题 2 Char Char"/>
    <w:autoRedefine/>
    <w:qFormat/>
    <w:uiPriority w:val="0"/>
    <w:rPr>
      <w:rFonts w:ascii="楷体_GB2312" w:hAnsi="Arial" w:eastAsia="楷体_GB2312"/>
      <w:b/>
      <w:bCs/>
      <w:kern w:val="2"/>
      <w:sz w:val="24"/>
      <w:szCs w:val="32"/>
      <w:lang w:val="en-US" w:eastAsia="zh-CN" w:bidi="ar-SA"/>
    </w:rPr>
  </w:style>
  <w:style w:type="character" w:customStyle="1" w:styleId="414">
    <w:name w:val="未用 Char"/>
    <w:autoRedefine/>
    <w:qFormat/>
    <w:uiPriority w:val="0"/>
    <w:rPr>
      <w:rFonts w:ascii="Arial" w:hAnsi="Arial" w:eastAsia="黑体"/>
      <w:kern w:val="2"/>
      <w:sz w:val="21"/>
      <w:szCs w:val="21"/>
      <w:lang w:val="en-US" w:eastAsia="zh-CN" w:bidi="ar-SA"/>
    </w:rPr>
  </w:style>
  <w:style w:type="character" w:customStyle="1" w:styleId="415">
    <w:name w:val="myp1111"/>
    <w:autoRedefine/>
    <w:qFormat/>
    <w:uiPriority w:val="0"/>
    <w:rPr>
      <w:rFonts w:hint="default" w:ascii="ˎ̥" w:hAnsi="ˎ̥"/>
      <w:color w:val="000000"/>
      <w:sz w:val="20"/>
      <w:szCs w:val="20"/>
      <w:u w:val="none"/>
    </w:rPr>
  </w:style>
  <w:style w:type="character" w:customStyle="1" w:styleId="416">
    <w:name w:val="样式 标题 4h4H4Fab-4T5Ref Heading 1rh1Heading sqlsect 1.2.3.... Char"/>
    <w:link w:val="307"/>
    <w:autoRedefine/>
    <w:qFormat/>
    <w:uiPriority w:val="0"/>
    <w:rPr>
      <w:rFonts w:ascii="微软雅黑" w:hAnsi="微软雅黑" w:eastAsia="微软雅黑"/>
      <w:b/>
      <w:bCs/>
      <w:kern w:val="2"/>
      <w:sz w:val="24"/>
      <w:szCs w:val="28"/>
    </w:rPr>
  </w:style>
  <w:style w:type="character" w:customStyle="1" w:styleId="417">
    <w:name w:val="h Char Char"/>
    <w:autoRedefine/>
    <w:qFormat/>
    <w:uiPriority w:val="0"/>
    <w:rPr>
      <w:rFonts w:eastAsia="宋体"/>
      <w:kern w:val="2"/>
      <w:sz w:val="18"/>
      <w:lang w:val="en-US" w:eastAsia="zh-CN" w:bidi="ar-SA"/>
    </w:rPr>
  </w:style>
  <w:style w:type="character" w:customStyle="1" w:styleId="418">
    <w:name w:val="仿宋正文 Char"/>
    <w:link w:val="419"/>
    <w:autoRedefine/>
    <w:qFormat/>
    <w:uiPriority w:val="0"/>
    <w:rPr>
      <w:rFonts w:ascii="仿宋_GB2312" w:eastAsia="仿宋_GB2312"/>
      <w:kern w:val="2"/>
      <w:sz w:val="24"/>
      <w:lang w:val="en-US" w:eastAsia="zh-CN" w:bidi="ar-SA"/>
    </w:rPr>
  </w:style>
  <w:style w:type="paragraph" w:customStyle="1" w:styleId="419">
    <w:name w:val="仿宋正文"/>
    <w:basedOn w:val="1"/>
    <w:link w:val="418"/>
    <w:autoRedefine/>
    <w:qFormat/>
    <w:uiPriority w:val="0"/>
    <w:pPr>
      <w:adjustRightInd/>
      <w:spacing w:line="360" w:lineRule="auto"/>
      <w:ind w:firstLine="480" w:firstLineChars="200"/>
    </w:pPr>
    <w:rPr>
      <w:rFonts w:ascii="仿宋_GB2312" w:eastAsia="仿宋_GB2312"/>
      <w:sz w:val="24"/>
      <w:szCs w:val="20"/>
    </w:rPr>
  </w:style>
  <w:style w:type="character" w:customStyle="1" w:styleId="420">
    <w:name w:val="正文首行缩进 Char Char Char Char Char Char"/>
    <w:autoRedefine/>
    <w:qFormat/>
    <w:uiPriority w:val="0"/>
    <w:rPr>
      <w:rFonts w:ascii="宋体" w:eastAsia="宋体"/>
      <w:kern w:val="2"/>
      <w:sz w:val="24"/>
      <w:lang w:val="zh-CN" w:bidi="ar-SA"/>
    </w:rPr>
  </w:style>
  <w:style w:type="character" w:customStyle="1" w:styleId="421">
    <w:name w:val="样式 宋体"/>
    <w:autoRedefine/>
    <w:qFormat/>
    <w:uiPriority w:val="0"/>
    <w:rPr>
      <w:rFonts w:ascii="宋体" w:hAnsi="宋体"/>
      <w:sz w:val="24"/>
    </w:rPr>
  </w:style>
  <w:style w:type="character" w:customStyle="1" w:styleId="422">
    <w:name w:val="tw4winJump"/>
    <w:autoRedefine/>
    <w:qFormat/>
    <w:uiPriority w:val="0"/>
    <w:rPr>
      <w:rFonts w:ascii="Courier New" w:hAnsi="Courier New" w:cs="Courier New"/>
      <w:color w:val="008080"/>
      <w:lang w:val="en-US" w:eastAsia="zh-CN"/>
    </w:rPr>
  </w:style>
  <w:style w:type="character" w:customStyle="1" w:styleId="423">
    <w:name w:val="标题 1 字符"/>
    <w:autoRedefine/>
    <w:qFormat/>
    <w:uiPriority w:val="9"/>
    <w:rPr>
      <w:rFonts w:ascii="Arial" w:hAnsi="Arial" w:eastAsia="黑体" w:cs="Arial"/>
      <w:b/>
      <w:bCs/>
      <w:snapToGrid w:val="0"/>
      <w:kern w:val="44"/>
      <w:sz w:val="44"/>
      <w:szCs w:val="44"/>
    </w:rPr>
  </w:style>
  <w:style w:type="character" w:customStyle="1" w:styleId="424">
    <w:name w:val="style36"/>
    <w:basedOn w:val="70"/>
    <w:autoRedefine/>
    <w:qFormat/>
    <w:uiPriority w:val="0"/>
    <w:rPr>
      <w:rFonts w:ascii="Arial" w:hAnsi="Arial" w:eastAsia="黑体" w:cs="Arial"/>
      <w:snapToGrid w:val="0"/>
      <w:kern w:val="0"/>
      <w:szCs w:val="21"/>
    </w:rPr>
  </w:style>
  <w:style w:type="character" w:customStyle="1" w:styleId="425">
    <w:name w:val="pt9"/>
    <w:autoRedefine/>
    <w:qFormat/>
    <w:uiPriority w:val="0"/>
    <w:rPr>
      <w:rFonts w:ascii="仿宋_GB2312" w:eastAsia="微软雅黑"/>
      <w:b/>
      <w:kern w:val="2"/>
      <w:sz w:val="32"/>
      <w:szCs w:val="32"/>
      <w:lang w:val="en-US" w:eastAsia="zh-CN" w:bidi="ar-SA"/>
    </w:rPr>
  </w:style>
  <w:style w:type="character" w:customStyle="1" w:styleId="426">
    <w:name w:val="DO_NOT_TRANSLATE"/>
    <w:autoRedefine/>
    <w:qFormat/>
    <w:uiPriority w:val="0"/>
    <w:rPr>
      <w:rFonts w:ascii="Courier New" w:hAnsi="Courier New" w:cs="Courier New"/>
      <w:color w:val="800000"/>
      <w:lang w:val="en-US" w:eastAsia="zh-CN"/>
    </w:rPr>
  </w:style>
  <w:style w:type="character" w:customStyle="1" w:styleId="427">
    <w:name w:val="标书1 Char1"/>
    <w:autoRedefine/>
    <w:qFormat/>
    <w:uiPriority w:val="0"/>
    <w:rPr>
      <w:rFonts w:eastAsia="宋体"/>
      <w:b/>
      <w:bCs/>
      <w:kern w:val="44"/>
      <w:sz w:val="44"/>
      <w:szCs w:val="44"/>
      <w:lang w:val="en-US" w:eastAsia="zh-CN" w:bidi="ar-SA"/>
    </w:rPr>
  </w:style>
  <w:style w:type="character" w:customStyle="1" w:styleId="428">
    <w:name w:val="页脚 字符"/>
    <w:autoRedefine/>
    <w:qFormat/>
    <w:uiPriority w:val="99"/>
    <w:rPr>
      <w:kern w:val="2"/>
      <w:sz w:val="18"/>
      <w:szCs w:val="18"/>
    </w:rPr>
  </w:style>
  <w:style w:type="character" w:customStyle="1" w:styleId="429">
    <w:name w:val="正文2 Char"/>
    <w:autoRedefine/>
    <w:qFormat/>
    <w:uiPriority w:val="0"/>
    <w:rPr>
      <w:rFonts w:eastAsia="宋体"/>
      <w:kern w:val="2"/>
      <w:sz w:val="24"/>
      <w:lang w:val="en-US" w:eastAsia="zh-CN" w:bidi="ar-SA"/>
    </w:rPr>
  </w:style>
  <w:style w:type="character" w:customStyle="1" w:styleId="430">
    <w:name w:val="Char Char21"/>
    <w:autoRedefine/>
    <w:qFormat/>
    <w:uiPriority w:val="6"/>
    <w:rPr>
      <w:rFonts w:ascii="宋体" w:hAnsi="宋体"/>
      <w:kern w:val="1"/>
      <w:sz w:val="24"/>
      <w:szCs w:val="21"/>
      <w:lang w:val="zh-CN"/>
    </w:rPr>
  </w:style>
  <w:style w:type="character" w:customStyle="1" w:styleId="431">
    <w:name w:val="样式 正文缩进 + 首行缩进:  2 字符 Char Char"/>
    <w:link w:val="432"/>
    <w:autoRedefine/>
    <w:qFormat/>
    <w:uiPriority w:val="0"/>
    <w:rPr>
      <w:rFonts w:cs="宋体"/>
      <w:kern w:val="2"/>
      <w:sz w:val="24"/>
    </w:rPr>
  </w:style>
  <w:style w:type="paragraph" w:customStyle="1" w:styleId="432">
    <w:name w:val="样式 正文缩进 + 首行缩进:  2 字符"/>
    <w:basedOn w:val="18"/>
    <w:link w:val="431"/>
    <w:autoRedefine/>
    <w:qFormat/>
    <w:uiPriority w:val="0"/>
    <w:pPr>
      <w:widowControl w:val="0"/>
      <w:adjustRightInd/>
      <w:snapToGrid/>
      <w:spacing w:line="360" w:lineRule="auto"/>
      <w:ind w:firstLine="200" w:firstLineChars="200"/>
    </w:pPr>
    <w:rPr>
      <w:rFonts w:ascii="Calibri"/>
      <w:snapToGrid/>
      <w:color w:val="auto"/>
      <w:kern w:val="2"/>
      <w:sz w:val="24"/>
    </w:rPr>
  </w:style>
  <w:style w:type="character" w:customStyle="1" w:styleId="433">
    <w:name w:val="正文文本 字符"/>
    <w:link w:val="3"/>
    <w:autoRedefine/>
    <w:qFormat/>
    <w:uiPriority w:val="0"/>
    <w:rPr>
      <w:rFonts w:ascii="宋体" w:hAnsi="Arial" w:eastAsia="宋体" w:cs="Arial"/>
      <w:snapToGrid w:val="0"/>
      <w:kern w:val="2"/>
      <w:sz w:val="24"/>
      <w:szCs w:val="21"/>
      <w:lang w:val="zh-CN" w:eastAsia="zh-CN" w:bidi="ar-SA"/>
    </w:rPr>
  </w:style>
  <w:style w:type="character" w:customStyle="1" w:styleId="434">
    <w:name w:val="gray6"/>
    <w:basedOn w:val="70"/>
    <w:autoRedefine/>
    <w:qFormat/>
    <w:uiPriority w:val="0"/>
    <w:rPr>
      <w:rFonts w:ascii="Arial" w:hAnsi="Arial" w:eastAsia="黑体" w:cs="Arial"/>
      <w:snapToGrid w:val="0"/>
      <w:kern w:val="0"/>
      <w:szCs w:val="21"/>
    </w:rPr>
  </w:style>
  <w:style w:type="character" w:customStyle="1" w:styleId="435">
    <w:name w:val="hui"/>
    <w:basedOn w:val="70"/>
    <w:autoRedefine/>
    <w:qFormat/>
    <w:uiPriority w:val="0"/>
    <w:rPr>
      <w:rFonts w:ascii="Arial" w:hAnsi="Arial" w:eastAsia="黑体" w:cs="Arial"/>
      <w:snapToGrid w:val="0"/>
      <w:kern w:val="0"/>
      <w:szCs w:val="21"/>
    </w:rPr>
  </w:style>
  <w:style w:type="character" w:customStyle="1" w:styleId="436">
    <w:name w:val="哈哈正文 Char Char"/>
    <w:autoRedefine/>
    <w:qFormat/>
    <w:uiPriority w:val="0"/>
    <w:rPr>
      <w:rFonts w:ascii="宋体" w:hAnsi="宋体" w:eastAsia="宋体" w:cs="宋体"/>
      <w:kern w:val="2"/>
      <w:sz w:val="24"/>
      <w:lang w:val="en-US" w:eastAsia="zh-CN" w:bidi="ar-SA"/>
    </w:rPr>
  </w:style>
  <w:style w:type="paragraph" w:customStyle="1" w:styleId="437">
    <w:name w:val="样式 正文文本缩进 + 左侧:  2 字符 首行缩进:  2 字符"/>
    <w:basedOn w:val="26"/>
    <w:autoRedefine/>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438">
    <w:name w:val="封面表格文本"/>
    <w:basedOn w:val="1"/>
    <w:autoRedefine/>
    <w:qFormat/>
    <w:uiPriority w:val="0"/>
    <w:pPr>
      <w:autoSpaceDE w:val="0"/>
      <w:autoSpaceDN w:val="0"/>
      <w:ind w:firstLine="200" w:firstLineChars="200"/>
      <w:jc w:val="center"/>
    </w:pPr>
    <w:rPr>
      <w:rFonts w:ascii="Arial" w:hAnsi="Arial"/>
      <w:kern w:val="0"/>
      <w:szCs w:val="21"/>
    </w:rPr>
  </w:style>
  <w:style w:type="paragraph" w:customStyle="1" w:styleId="439">
    <w:name w:val="正文文本 221"/>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440">
    <w:name w:val="表格标题1"/>
    <w:basedOn w:val="1"/>
    <w:autoRedefine/>
    <w:qFormat/>
    <w:uiPriority w:val="0"/>
    <w:pPr>
      <w:adjustRightInd/>
      <w:spacing w:line="360" w:lineRule="auto"/>
      <w:jc w:val="center"/>
    </w:pPr>
    <w:rPr>
      <w:rFonts w:ascii="宋体" w:hAnsi="宋体" w:cs="宋体"/>
      <w:b/>
      <w:bCs/>
      <w:color w:val="000000"/>
      <w:sz w:val="24"/>
      <w:szCs w:val="21"/>
    </w:rPr>
  </w:style>
  <w:style w:type="paragraph" w:customStyle="1" w:styleId="441">
    <w:name w:val="目录标题"/>
    <w:basedOn w:val="1"/>
    <w:autoRedefine/>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42">
    <w:name w:val="subhead"/>
    <w:autoRedefine/>
    <w:qFormat/>
    <w:uiPriority w:val="0"/>
    <w:pPr>
      <w:spacing w:after="120" w:line="300" w:lineRule="exact"/>
    </w:pPr>
    <w:rPr>
      <w:rFonts w:ascii="Arial" w:hAnsi="Arial" w:eastAsia="宋体" w:cs="Times New Roman"/>
      <w:b/>
      <w:sz w:val="26"/>
      <w:lang w:val="en-US" w:eastAsia="en-US" w:bidi="ar-SA"/>
    </w:rPr>
  </w:style>
  <w:style w:type="paragraph" w:customStyle="1" w:styleId="443">
    <w:name w:val="样式 宋体 三号 加粗 居中"/>
    <w:basedOn w:val="1"/>
    <w:autoRedefine/>
    <w:qFormat/>
    <w:uiPriority w:val="0"/>
    <w:pPr>
      <w:adjustRightInd/>
      <w:spacing w:line="360" w:lineRule="auto"/>
      <w:jc w:val="center"/>
    </w:pPr>
    <w:rPr>
      <w:rFonts w:ascii="宋体" w:hAnsi="宋体" w:cs="宋体"/>
      <w:b/>
      <w:bCs/>
      <w:sz w:val="24"/>
      <w:szCs w:val="20"/>
    </w:rPr>
  </w:style>
  <w:style w:type="paragraph" w:customStyle="1" w:styleId="444">
    <w:name w:val="标题4_自定义"/>
    <w:basedOn w:val="8"/>
    <w:autoRedefine/>
    <w:qFormat/>
    <w:uiPriority w:val="0"/>
    <w:pPr>
      <w:adjustRightInd/>
      <w:spacing w:before="0" w:after="0" w:line="360" w:lineRule="auto"/>
    </w:pPr>
    <w:rPr>
      <w:rFonts w:ascii="Verdana" w:eastAsia="Verdana"/>
      <w:sz w:val="21"/>
      <w:lang w:val="en-US"/>
    </w:rPr>
  </w:style>
  <w:style w:type="paragraph" w:customStyle="1" w:styleId="445">
    <w:name w:val="正文 内标 序号标"/>
    <w:basedOn w:val="446"/>
    <w:autoRedefine/>
    <w:qFormat/>
    <w:uiPriority w:val="0"/>
    <w:pPr>
      <w:tabs>
        <w:tab w:val="left" w:pos="0"/>
      </w:tabs>
      <w:adjustRightInd/>
      <w:spacing w:before="0"/>
      <w:ind w:firstLine="482"/>
    </w:pPr>
    <w:rPr>
      <w:rFonts w:ascii="微软雅黑" w:hAnsi="微软雅黑"/>
      <w:sz w:val="24"/>
      <w:szCs w:val="24"/>
    </w:rPr>
  </w:style>
  <w:style w:type="paragraph" w:customStyle="1" w:styleId="446">
    <w:name w:val="My正文"/>
    <w:basedOn w:val="1"/>
    <w:autoRedefine/>
    <w:qFormat/>
    <w:uiPriority w:val="0"/>
    <w:pPr>
      <w:spacing w:before="120" w:line="360" w:lineRule="auto"/>
      <w:ind w:firstLine="567"/>
    </w:pPr>
    <w:rPr>
      <w:rFonts w:ascii="Arial" w:hAnsi="Arial"/>
      <w:sz w:val="20"/>
      <w:szCs w:val="20"/>
    </w:rPr>
  </w:style>
  <w:style w:type="paragraph" w:customStyle="1" w:styleId="447">
    <w:name w:val="彩色底纹 - 强调文字颜色 11"/>
    <w:autoRedefine/>
    <w:qFormat/>
    <w:uiPriority w:val="0"/>
    <w:rPr>
      <w:rFonts w:ascii="Times New Roman" w:hAnsi="Times New Roman" w:eastAsia="宋体" w:cs="Times New Roman"/>
      <w:kern w:val="2"/>
      <w:sz w:val="21"/>
      <w:szCs w:val="24"/>
      <w:lang w:val="en-US" w:eastAsia="zh-CN" w:bidi="ar-SA"/>
    </w:rPr>
  </w:style>
  <w:style w:type="paragraph" w:customStyle="1" w:styleId="448">
    <w:name w:val="正文 小标"/>
    <w:basedOn w:val="1"/>
    <w:autoRedefine/>
    <w:qFormat/>
    <w:uiPriority w:val="0"/>
    <w:pPr>
      <w:tabs>
        <w:tab w:val="left" w:pos="0"/>
      </w:tabs>
      <w:adjustRightInd/>
      <w:spacing w:line="300" w:lineRule="auto"/>
      <w:ind w:left="425"/>
    </w:pPr>
    <w:rPr>
      <w:rFonts w:ascii="仿宋" w:hAnsi="Calibri" w:eastAsia="仿宋"/>
      <w:sz w:val="24"/>
      <w:szCs w:val="20"/>
    </w:rPr>
  </w:style>
  <w:style w:type="paragraph" w:customStyle="1" w:styleId="449">
    <w:name w:val="reader-word-layer"/>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450">
    <w:name w:val="修订2"/>
    <w:autoRedefine/>
    <w:qFormat/>
    <w:uiPriority w:val="0"/>
    <w:rPr>
      <w:rFonts w:ascii="Times New Roman" w:hAnsi="Times New Roman" w:eastAsia="宋体" w:cs="Times New Roman"/>
      <w:kern w:val="2"/>
      <w:sz w:val="21"/>
      <w:lang w:val="en-US" w:eastAsia="zh-CN" w:bidi="ar-SA"/>
    </w:rPr>
  </w:style>
  <w:style w:type="paragraph" w:customStyle="1" w:styleId="451">
    <w:name w:val="Char Char11 Char Char Char Char Char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452">
    <w:name w:val="xl8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53">
    <w:name w:val="文章标题"/>
    <w:next w:val="454"/>
    <w:autoRedefine/>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454">
    <w:name w:val="封面公司名"/>
    <w:autoRedefine/>
    <w:qFormat/>
    <w:uiPriority w:val="0"/>
    <w:pPr>
      <w:jc w:val="center"/>
    </w:pPr>
    <w:rPr>
      <w:rFonts w:ascii="Arial" w:hAnsi="Arial" w:eastAsia="楷体_GB2312" w:cs="宋体"/>
      <w:bCs/>
      <w:kern w:val="2"/>
      <w:sz w:val="28"/>
      <w:lang w:val="en-US" w:eastAsia="zh-CN" w:bidi="ar-SA"/>
    </w:rPr>
  </w:style>
  <w:style w:type="paragraph" w:customStyle="1" w:styleId="455">
    <w:name w:val="Char1 Char Char Char5"/>
    <w:basedOn w:val="1"/>
    <w:autoRedefine/>
    <w:qFormat/>
    <w:uiPriority w:val="0"/>
    <w:pPr>
      <w:adjustRightInd/>
      <w:ind w:firstLine="200" w:firstLineChars="200"/>
    </w:pPr>
    <w:rPr>
      <w:rFonts w:ascii="Tahoma" w:hAnsi="Tahoma"/>
      <w:sz w:val="24"/>
      <w:szCs w:val="20"/>
    </w:rPr>
  </w:style>
  <w:style w:type="paragraph" w:customStyle="1" w:styleId="456">
    <w:name w:val="style82 f9a f9a f9a"/>
    <w:basedOn w:val="1"/>
    <w:autoRedefine/>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457">
    <w:name w:val="正文 编号"/>
    <w:basedOn w:val="1"/>
    <w:autoRedefine/>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458">
    <w:name w:val="Char Char Char Char Char Char Char Char"/>
    <w:basedOn w:val="1"/>
    <w:autoRedefine/>
    <w:qFormat/>
    <w:uiPriority w:val="0"/>
    <w:pPr>
      <w:tabs>
        <w:tab w:val="left" w:pos="360"/>
      </w:tabs>
    </w:pPr>
    <w:rPr>
      <w:sz w:val="24"/>
      <w:szCs w:val="20"/>
    </w:rPr>
  </w:style>
  <w:style w:type="paragraph" w:customStyle="1" w:styleId="459">
    <w:name w:val="Char Char11 Char Char Char"/>
    <w:basedOn w:val="1"/>
    <w:autoRedefine/>
    <w:qFormat/>
    <w:uiPriority w:val="0"/>
    <w:pPr>
      <w:spacing w:line="360" w:lineRule="auto"/>
    </w:pPr>
    <w:rPr>
      <w:szCs w:val="20"/>
    </w:rPr>
  </w:style>
  <w:style w:type="paragraph" w:customStyle="1" w:styleId="460">
    <w:name w:val="gjt_3"/>
    <w:next w:val="1"/>
    <w:autoRedefine/>
    <w:qFormat/>
    <w:uiPriority w:val="0"/>
    <w:pPr>
      <w:keepNext/>
      <w:keepLines/>
      <w:widowControl w:val="0"/>
      <w:spacing w:before="260" w:after="260" w:line="412" w:lineRule="auto"/>
      <w:ind w:left="289" w:hanging="289"/>
      <w:jc w:val="both"/>
      <w:outlineLvl w:val="7"/>
    </w:pPr>
    <w:rPr>
      <w:rFonts w:ascii="Calibri" w:hAnsi="Calibri" w:eastAsia="黑体" w:cs="Times New Roman"/>
      <w:bCs/>
      <w:color w:val="000000"/>
      <w:kern w:val="2"/>
      <w:sz w:val="28"/>
      <w:szCs w:val="28"/>
      <w:u w:color="000000"/>
      <w:lang w:val="en-US" w:eastAsia="zh-CN" w:bidi="ar-SA"/>
    </w:rPr>
  </w:style>
  <w:style w:type="paragraph" w:customStyle="1" w:styleId="461">
    <w:name w:val="金宏发行正文"/>
    <w:basedOn w:val="1"/>
    <w:autoRedefine/>
    <w:qFormat/>
    <w:uiPriority w:val="0"/>
    <w:pPr>
      <w:adjustRightInd/>
      <w:spacing w:line="500" w:lineRule="exact"/>
      <w:ind w:firstLine="560" w:firstLineChars="200"/>
    </w:pPr>
    <w:rPr>
      <w:rFonts w:eastAsia="仿宋_GB2312"/>
      <w:sz w:val="28"/>
      <w:szCs w:val="20"/>
    </w:rPr>
  </w:style>
  <w:style w:type="paragraph" w:customStyle="1" w:styleId="462">
    <w:name w:val="样式3"/>
    <w:basedOn w:val="463"/>
    <w:autoRedefine/>
    <w:qFormat/>
    <w:uiPriority w:val="0"/>
    <w:pPr>
      <w:tabs>
        <w:tab w:val="left" w:pos="2790"/>
        <w:tab w:val="left" w:pos="4230"/>
      </w:tabs>
      <w:spacing w:before="312" w:beforeLines="100"/>
      <w:jc w:val="left"/>
    </w:pPr>
  </w:style>
  <w:style w:type="paragraph" w:customStyle="1" w:styleId="463">
    <w:name w:val="样式2"/>
    <w:basedOn w:val="1"/>
    <w:autoRedefine/>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464">
    <w:name w:val="Char Char1 Char Char1 Char Char1"/>
    <w:basedOn w:val="1"/>
    <w:autoRedefine/>
    <w:qFormat/>
    <w:uiPriority w:val="0"/>
    <w:pPr>
      <w:tabs>
        <w:tab w:val="left" w:pos="840"/>
      </w:tabs>
      <w:ind w:left="840" w:hanging="420"/>
    </w:pPr>
    <w:rPr>
      <w:rFonts w:ascii="Tahoma" w:hAnsi="Tahoma"/>
      <w:sz w:val="24"/>
    </w:rPr>
  </w:style>
  <w:style w:type="paragraph" w:customStyle="1" w:styleId="465">
    <w:name w:val="Z5"/>
    <w:basedOn w:val="1"/>
    <w:next w:val="1"/>
    <w:autoRedefine/>
    <w:qFormat/>
    <w:uiPriority w:val="0"/>
    <w:pPr>
      <w:tabs>
        <w:tab w:val="left" w:pos="2100"/>
      </w:tabs>
      <w:adjustRightInd/>
      <w:spacing w:before="240"/>
      <w:ind w:firstLine="200" w:firstLineChars="200"/>
      <w:outlineLvl w:val="4"/>
    </w:pPr>
    <w:rPr>
      <w:rFonts w:ascii="Tahoma" w:hAnsi="Tahoma" w:eastAsia="幼圆"/>
    </w:rPr>
  </w:style>
  <w:style w:type="paragraph" w:customStyle="1" w:styleId="466">
    <w:name w:val="标书标题2"/>
    <w:basedOn w:val="6"/>
    <w:autoRedefine/>
    <w:qFormat/>
    <w:uiPriority w:val="0"/>
    <w:pPr>
      <w:keepLines w:val="0"/>
      <w:widowControl/>
      <w:tabs>
        <w:tab w:val="left" w:pos="840"/>
        <w:tab w:val="clear" w:pos="432"/>
      </w:tabs>
      <w:adjustRightInd w:val="0"/>
      <w:snapToGrid w:val="0"/>
      <w:spacing w:before="156" w:beforeLines="50" w:after="60" w:line="300" w:lineRule="auto"/>
      <w:ind w:left="840" w:hanging="420"/>
    </w:pPr>
    <w:rPr>
      <w:rFonts w:ascii="Arial Narrow" w:hAnsi="Arial Narrow"/>
      <w:snapToGrid w:val="0"/>
      <w:kern w:val="0"/>
      <w:szCs w:val="20"/>
      <w:lang w:val="en-US"/>
    </w:rPr>
  </w:style>
  <w:style w:type="paragraph" w:customStyle="1" w:styleId="467">
    <w:name w:val="样式 仿宋_GB2312 三号 加粗 黑色 居中 行距: 1.5 倍行距"/>
    <w:basedOn w:val="1"/>
    <w:autoRedefine/>
    <w:qFormat/>
    <w:uiPriority w:val="0"/>
    <w:pPr>
      <w:spacing w:line="360" w:lineRule="auto"/>
      <w:jc w:val="center"/>
    </w:pPr>
    <w:rPr>
      <w:rFonts w:ascii="仿宋_GB2312" w:eastAsia="仿宋_GB2312" w:cs="宋体"/>
      <w:b/>
      <w:bCs/>
      <w:color w:val="000000"/>
      <w:sz w:val="28"/>
      <w:szCs w:val="20"/>
    </w:rPr>
  </w:style>
  <w:style w:type="paragraph" w:customStyle="1" w:styleId="468">
    <w:name w:val="正文21"/>
    <w:basedOn w:val="1"/>
    <w:autoRedefine/>
    <w:qFormat/>
    <w:uiPriority w:val="0"/>
    <w:pPr>
      <w:adjustRightInd/>
      <w:spacing w:before="156" w:line="360" w:lineRule="auto"/>
      <w:ind w:firstLine="510" w:firstLineChars="200"/>
    </w:pPr>
    <w:rPr>
      <w:sz w:val="24"/>
      <w:szCs w:val="20"/>
    </w:rPr>
  </w:style>
  <w:style w:type="paragraph" w:customStyle="1" w:styleId="469">
    <w:name w:val="Test2"/>
    <w:basedOn w:val="6"/>
    <w:autoRedefine/>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470">
    <w:name w:val="xl34"/>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471">
    <w:name w:val="Char1"/>
    <w:basedOn w:val="1"/>
    <w:autoRedefine/>
    <w:qFormat/>
    <w:uiPriority w:val="0"/>
    <w:rPr>
      <w:rFonts w:ascii="仿宋_GB2312" w:eastAsia="仿宋_GB2312"/>
      <w:b/>
      <w:sz w:val="32"/>
      <w:szCs w:val="32"/>
    </w:rPr>
  </w:style>
  <w:style w:type="paragraph" w:customStyle="1" w:styleId="472">
    <w:name w:val="xl8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73">
    <w:name w:val="Char1 Char Char Char Char Char Char Char Char Char Char Char1 Char Char Char Char Char Char Char Char Char Char Char Char Char Char1 Char Char Char Char1"/>
    <w:basedOn w:val="1"/>
    <w:autoRedefine/>
    <w:qFormat/>
    <w:uiPriority w:val="0"/>
    <w:pPr>
      <w:spacing w:line="360" w:lineRule="auto"/>
    </w:pPr>
    <w:rPr>
      <w:kern w:val="0"/>
      <w:sz w:val="24"/>
      <w:szCs w:val="20"/>
    </w:rPr>
  </w:style>
  <w:style w:type="paragraph" w:customStyle="1" w:styleId="474">
    <w:name w:val="样式 宋体 行距: 1.5 倍行距 首行缩进:  2 字符"/>
    <w:basedOn w:val="1"/>
    <w:autoRedefine/>
    <w:qFormat/>
    <w:uiPriority w:val="0"/>
    <w:pPr>
      <w:adjustRightInd/>
      <w:spacing w:line="360" w:lineRule="auto"/>
      <w:ind w:firstLine="420" w:firstLineChars="200"/>
    </w:pPr>
    <w:rPr>
      <w:rFonts w:ascii="宋体" w:hAnsi="宋体"/>
      <w:sz w:val="24"/>
      <w:szCs w:val="20"/>
    </w:rPr>
  </w:style>
  <w:style w:type="paragraph" w:customStyle="1" w:styleId="475">
    <w:name w:val="xl6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476">
    <w:name w:val="6级标题"/>
    <w:basedOn w:val="477"/>
    <w:autoRedefine/>
    <w:qFormat/>
    <w:uiPriority w:val="0"/>
    <w:pPr>
      <w:keepNext/>
      <w:tabs>
        <w:tab w:val="left" w:pos="360"/>
      </w:tabs>
      <w:spacing w:before="0" w:after="0"/>
      <w:outlineLvl w:val="5"/>
    </w:pPr>
  </w:style>
  <w:style w:type="paragraph" w:customStyle="1" w:styleId="477">
    <w:name w:val="5级标题"/>
    <w:basedOn w:val="478"/>
    <w:autoRedefine/>
    <w:qFormat/>
    <w:uiPriority w:val="0"/>
    <w:pPr>
      <w:keepLines w:val="0"/>
      <w:tabs>
        <w:tab w:val="left" w:pos="360"/>
      </w:tabs>
      <w:spacing w:before="10" w:beforeLines="10" w:after="10" w:afterLines="10"/>
      <w:outlineLvl w:val="4"/>
    </w:pPr>
    <w:rPr>
      <w:rFonts w:ascii="Times New Roman" w:hAnsi="Times New Roman" w:eastAsia="仿宋"/>
      <w:b/>
      <w:kern w:val="2"/>
      <w:szCs w:val="20"/>
      <w:lang w:eastAsia="zh-CN" w:bidi="ar-SA"/>
    </w:rPr>
  </w:style>
  <w:style w:type="paragraph" w:customStyle="1" w:styleId="478">
    <w:name w:val="4级标题"/>
    <w:basedOn w:val="260"/>
    <w:autoRedefine/>
    <w:qFormat/>
    <w:uiPriority w:val="0"/>
    <w:pPr>
      <w:keepLines/>
      <w:adjustRightInd/>
      <w:ind w:firstLine="0" w:firstLineChars="0"/>
      <w:jc w:val="left"/>
      <w:outlineLvl w:val="3"/>
    </w:pPr>
    <w:rPr>
      <w:rFonts w:ascii="黑体" w:hAnsi="黑体" w:eastAsia="黑体" w:cs="Times New Roman"/>
      <w:kern w:val="0"/>
      <w:sz w:val="28"/>
      <w:lang w:eastAsia="en-US" w:bidi="en-US"/>
    </w:rPr>
  </w:style>
  <w:style w:type="paragraph" w:customStyle="1" w:styleId="479">
    <w:name w:val="样式 正文文本缩进 + 段前: 2 字符"/>
    <w:basedOn w:val="1"/>
    <w:autoRedefine/>
    <w:qFormat/>
    <w:uiPriority w:val="0"/>
    <w:pPr>
      <w:adjustRightInd/>
      <w:ind w:left="420" w:leftChars="200"/>
      <w:jc w:val="left"/>
    </w:pPr>
    <w:rPr>
      <w:sz w:val="28"/>
      <w:szCs w:val="20"/>
      <w:lang w:eastAsia="zh-TW"/>
    </w:rPr>
  </w:style>
  <w:style w:type="paragraph" w:customStyle="1" w:styleId="480">
    <w:name w:val="Char2 Char Char"/>
    <w:basedOn w:val="1"/>
    <w:autoRedefine/>
    <w:qFormat/>
    <w:uiPriority w:val="0"/>
    <w:pPr>
      <w:adjustRightInd/>
    </w:pPr>
    <w:rPr>
      <w:rFonts w:ascii="Tahoma" w:hAnsi="Tahoma"/>
      <w:sz w:val="24"/>
      <w:szCs w:val="20"/>
    </w:rPr>
  </w:style>
  <w:style w:type="paragraph" w:customStyle="1" w:styleId="481">
    <w:name w:val="_Style 11"/>
    <w:basedOn w:val="1"/>
    <w:autoRedefine/>
    <w:qFormat/>
    <w:uiPriority w:val="34"/>
    <w:pPr>
      <w:adjustRightInd/>
      <w:ind w:firstLine="420" w:firstLineChars="200"/>
    </w:pPr>
    <w:rPr>
      <w:rFonts w:eastAsia="仿宋_GB2312"/>
      <w:sz w:val="28"/>
    </w:rPr>
  </w:style>
  <w:style w:type="paragraph" w:customStyle="1" w:styleId="482">
    <w:name w:val="xl8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483">
    <w:name w:val="Char Char Char"/>
    <w:basedOn w:val="1"/>
    <w:autoRedefine/>
    <w:qFormat/>
    <w:uiPriority w:val="0"/>
    <w:rPr>
      <w:rFonts w:ascii="Tahoma" w:hAnsi="Tahoma"/>
      <w:sz w:val="24"/>
      <w:szCs w:val="20"/>
    </w:rPr>
  </w:style>
  <w:style w:type="paragraph" w:customStyle="1" w:styleId="484">
    <w:name w:val="数字标题6"/>
    <w:basedOn w:val="10"/>
    <w:next w:val="1"/>
    <w:autoRedefine/>
    <w:qFormat/>
    <w:uiPriority w:val="0"/>
    <w:pPr>
      <w:tabs>
        <w:tab w:val="left" w:pos="1080"/>
      </w:tabs>
      <w:ind w:left="1080" w:hanging="1080"/>
    </w:pPr>
    <w:rPr>
      <w:rFonts w:ascii="Times New Roman" w:hAnsi="Times New Roman" w:eastAsia="宋体"/>
      <w:i/>
    </w:rPr>
  </w:style>
  <w:style w:type="paragraph" w:customStyle="1" w:styleId="485">
    <w:name w:val="Table Cell"/>
    <w:autoRedefine/>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486">
    <w:name w:val="无间隔2"/>
    <w:basedOn w:val="1"/>
    <w:link w:val="935"/>
    <w:autoRedefine/>
    <w:qFormat/>
    <w:uiPriority w:val="99"/>
    <w:rPr>
      <w:szCs w:val="22"/>
    </w:rPr>
  </w:style>
  <w:style w:type="paragraph" w:customStyle="1" w:styleId="487">
    <w:name w:val="??"/>
    <w:autoRedefine/>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488">
    <w:name w:val="Char Char Char Char Char Char Char Char Char Char Char Char1 Char1"/>
    <w:basedOn w:val="1"/>
    <w:autoRedefine/>
    <w:qFormat/>
    <w:uiPriority w:val="6"/>
    <w:rPr>
      <w:rFonts w:ascii="Tahoma" w:hAnsi="Tahoma" w:cs="仿宋_GB2312"/>
      <w:sz w:val="24"/>
      <w:szCs w:val="20"/>
    </w:rPr>
  </w:style>
  <w:style w:type="paragraph" w:customStyle="1" w:styleId="489">
    <w:name w:val="xl65"/>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490">
    <w:name w:val="Char Char1 Char1"/>
    <w:basedOn w:val="1"/>
    <w:autoRedefine/>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491">
    <w:name w:val="目录1"/>
    <w:basedOn w:val="1"/>
    <w:autoRedefine/>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492">
    <w:name w:val="MM Topic 2"/>
    <w:basedOn w:val="6"/>
    <w:autoRedefine/>
    <w:qFormat/>
    <w:uiPriority w:val="0"/>
    <w:pPr>
      <w:tabs>
        <w:tab w:val="left" w:pos="1260"/>
      </w:tabs>
      <w:ind w:left="1260" w:hanging="420"/>
    </w:pPr>
    <w:rPr>
      <w:rFonts w:ascii="Arial" w:hAnsi="Arial" w:eastAsia="黑体"/>
      <w:lang w:val="en-US"/>
    </w:rPr>
  </w:style>
  <w:style w:type="paragraph" w:customStyle="1" w:styleId="493">
    <w:name w:val="五级无标题条"/>
    <w:basedOn w:val="1"/>
    <w:autoRedefine/>
    <w:qFormat/>
    <w:uiPriority w:val="0"/>
    <w:pPr>
      <w:adjustRightInd/>
    </w:pPr>
  </w:style>
  <w:style w:type="paragraph" w:customStyle="1" w:styleId="494">
    <w:name w:val="Char5"/>
    <w:basedOn w:val="1"/>
    <w:autoRedefine/>
    <w:qFormat/>
    <w:uiPriority w:val="0"/>
    <w:rPr>
      <w:rFonts w:ascii="仿宋_GB2312" w:eastAsia="仿宋_GB2312"/>
      <w:b/>
      <w:sz w:val="32"/>
      <w:szCs w:val="32"/>
    </w:rPr>
  </w:style>
  <w:style w:type="paragraph" w:customStyle="1" w:styleId="495">
    <w:name w:val="TOC 标题1"/>
    <w:basedOn w:val="5"/>
    <w:next w:val="1"/>
    <w:autoRedefine/>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496">
    <w:name w:val="彩色列表 - 强调文字颜色 12"/>
    <w:basedOn w:val="1"/>
    <w:autoRedefine/>
    <w:qFormat/>
    <w:uiPriority w:val="0"/>
    <w:pPr>
      <w:adjustRightInd/>
      <w:ind w:firstLine="420" w:firstLineChars="200"/>
    </w:pPr>
    <w:rPr>
      <w:rFonts w:ascii="Calibri" w:hAnsi="Calibri"/>
      <w:szCs w:val="22"/>
    </w:rPr>
  </w:style>
  <w:style w:type="paragraph" w:customStyle="1" w:styleId="497">
    <w:name w:val="Char Char11 Char Char Char Char Char Char Char Char Char Char Char11"/>
    <w:basedOn w:val="1"/>
    <w:autoRedefine/>
    <w:qFormat/>
    <w:uiPriority w:val="0"/>
    <w:pPr>
      <w:adjustRightInd/>
      <w:spacing w:line="360" w:lineRule="auto"/>
    </w:pPr>
    <w:rPr>
      <w:rFonts w:ascii="Arial" w:hAnsi="Arial" w:eastAsia="黑体" w:cs="Arial"/>
      <w:snapToGrid w:val="0"/>
      <w:kern w:val="0"/>
      <w:szCs w:val="21"/>
    </w:rPr>
  </w:style>
  <w:style w:type="paragraph" w:customStyle="1" w:styleId="498">
    <w:name w:val="Char2"/>
    <w:basedOn w:val="1"/>
    <w:autoRedefine/>
    <w:qFormat/>
    <w:uiPriority w:val="0"/>
    <w:rPr>
      <w:rFonts w:ascii="仿宋_GB2312" w:eastAsia="仿宋_GB2312"/>
      <w:b/>
      <w:sz w:val="32"/>
      <w:szCs w:val="32"/>
    </w:rPr>
  </w:style>
  <w:style w:type="paragraph" w:customStyle="1" w:styleId="499">
    <w:name w:val="数字标题3"/>
    <w:basedOn w:val="7"/>
    <w:next w:val="1"/>
    <w:autoRedefine/>
    <w:qFormat/>
    <w:uiPriority w:val="0"/>
    <w:pPr>
      <w:spacing w:line="240" w:lineRule="auto"/>
    </w:pPr>
    <w:rPr>
      <w:sz w:val="28"/>
      <w:szCs w:val="28"/>
    </w:rPr>
  </w:style>
  <w:style w:type="paragraph" w:customStyle="1" w:styleId="500">
    <w:name w:val="FA正文"/>
    <w:basedOn w:val="1"/>
    <w:autoRedefine/>
    <w:qFormat/>
    <w:uiPriority w:val="0"/>
    <w:pPr>
      <w:spacing w:line="360" w:lineRule="auto"/>
      <w:ind w:firstLine="480" w:firstLineChars="200"/>
    </w:pPr>
    <w:rPr>
      <w:rFonts w:hAnsi="宋体"/>
      <w:sz w:val="24"/>
      <w:szCs w:val="20"/>
    </w:rPr>
  </w:style>
  <w:style w:type="paragraph" w:customStyle="1" w:styleId="501">
    <w:name w:val="MM Topic 5"/>
    <w:basedOn w:val="9"/>
    <w:autoRedefine/>
    <w:qFormat/>
    <w:uiPriority w:val="0"/>
    <w:pPr>
      <w:tabs>
        <w:tab w:val="left" w:pos="2520"/>
      </w:tabs>
      <w:adjustRightInd/>
      <w:ind w:left="2520" w:hanging="420"/>
    </w:pPr>
  </w:style>
  <w:style w:type="paragraph" w:customStyle="1" w:styleId="502">
    <w:name w:val="Char Char Char Char Char Char Char Char Char Char1"/>
    <w:basedOn w:val="1"/>
    <w:autoRedefine/>
    <w:qFormat/>
    <w:uiPriority w:val="0"/>
    <w:rPr>
      <w:rFonts w:ascii="仿宋_GB2312" w:eastAsia="仿宋_GB2312"/>
      <w:b/>
      <w:sz w:val="32"/>
      <w:szCs w:val="32"/>
    </w:rPr>
  </w:style>
  <w:style w:type="paragraph" w:customStyle="1" w:styleId="503">
    <w:name w:val="xl38"/>
    <w:basedOn w:val="1"/>
    <w:autoRedefine/>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504">
    <w:name w:val="修订1"/>
    <w:autoRedefine/>
    <w:qFormat/>
    <w:uiPriority w:val="3"/>
    <w:rPr>
      <w:rFonts w:ascii="Times New Roman" w:hAnsi="Times New Roman" w:eastAsia="宋体" w:cs="Times New Roman"/>
      <w:color w:val="000000"/>
      <w:kern w:val="1"/>
      <w:sz w:val="21"/>
      <w:lang w:val="en-US" w:eastAsia="zh-CN" w:bidi="ar-SA"/>
    </w:rPr>
  </w:style>
  <w:style w:type="paragraph" w:customStyle="1" w:styleId="505">
    <w:name w:val="Char2 Char Char Char"/>
    <w:basedOn w:val="1"/>
    <w:autoRedefine/>
    <w:qFormat/>
    <w:uiPriority w:val="0"/>
    <w:rPr>
      <w:rFonts w:ascii="仿宋_GB2312" w:eastAsia="仿宋_GB2312"/>
      <w:b/>
      <w:sz w:val="32"/>
      <w:szCs w:val="32"/>
    </w:rPr>
  </w:style>
  <w:style w:type="paragraph" w:customStyle="1" w:styleId="506">
    <w:name w:val="Char2 Char Char Char1"/>
    <w:basedOn w:val="1"/>
    <w:autoRedefine/>
    <w:qFormat/>
    <w:uiPriority w:val="6"/>
    <w:rPr>
      <w:rFonts w:ascii="仿宋_GB2312" w:eastAsia="仿宋_GB2312"/>
      <w:b/>
      <w:sz w:val="32"/>
      <w:szCs w:val="32"/>
    </w:rPr>
  </w:style>
  <w:style w:type="paragraph" w:customStyle="1" w:styleId="507">
    <w:name w:val="默认段落样式"/>
    <w:basedOn w:val="133"/>
    <w:autoRedefine/>
    <w:qFormat/>
    <w:uiPriority w:val="0"/>
    <w:pPr>
      <w:spacing w:before="0"/>
      <w:ind w:firstLine="480"/>
      <w:outlineLvl w:val="2"/>
    </w:pPr>
    <w:rPr>
      <w:rFonts w:ascii="仿宋_GB2312" w:hAnsi="宋体" w:eastAsia="仿宋_GB2312"/>
      <w:color w:val="000000"/>
      <w:szCs w:val="24"/>
    </w:rPr>
  </w:style>
  <w:style w:type="paragraph" w:customStyle="1" w:styleId="508">
    <w:name w:val="图中文字"/>
    <w:basedOn w:val="1"/>
    <w:autoRedefine/>
    <w:qFormat/>
    <w:uiPriority w:val="0"/>
    <w:pPr>
      <w:snapToGrid w:val="0"/>
      <w:spacing w:line="0" w:lineRule="atLeast"/>
      <w:ind w:firstLine="200" w:firstLineChars="200"/>
      <w:jc w:val="center"/>
    </w:pPr>
    <w:rPr>
      <w:sz w:val="24"/>
      <w:szCs w:val="20"/>
    </w:rPr>
  </w:style>
  <w:style w:type="paragraph" w:customStyle="1" w:styleId="509">
    <w:name w:val="xl35"/>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10">
    <w:name w:val="MM Topic 3"/>
    <w:basedOn w:val="7"/>
    <w:autoRedefine/>
    <w:qFormat/>
    <w:uiPriority w:val="0"/>
    <w:pPr>
      <w:tabs>
        <w:tab w:val="left" w:pos="1680"/>
      </w:tabs>
      <w:adjustRightInd/>
      <w:ind w:left="1680" w:hanging="420"/>
    </w:pPr>
  </w:style>
  <w:style w:type="paragraph" w:customStyle="1" w:styleId="511">
    <w:name w:val="标准小四"/>
    <w:basedOn w:val="1"/>
    <w:autoRedefine/>
    <w:qFormat/>
    <w:uiPriority w:val="0"/>
    <w:pPr>
      <w:spacing w:line="360" w:lineRule="auto"/>
      <w:ind w:firstLine="480" w:firstLineChars="200"/>
    </w:pPr>
    <w:rPr>
      <w:rFonts w:ascii="Arial" w:hAnsi="Arial"/>
      <w:sz w:val="24"/>
      <w:szCs w:val="21"/>
    </w:rPr>
  </w:style>
  <w:style w:type="paragraph" w:customStyle="1" w:styleId="512">
    <w:name w:val="样式 标题 2H2h2Underrubrik1prop2l2Chapter Titlesect 1.2DO NO..."/>
    <w:basedOn w:val="6"/>
    <w:autoRedefine/>
    <w:qFormat/>
    <w:uiPriority w:val="0"/>
    <w:pPr>
      <w:spacing w:before="120" w:after="120"/>
      <w:ind w:left="425" w:hanging="425"/>
    </w:pPr>
    <w:rPr>
      <w:rFonts w:ascii="微软雅黑" w:hAnsi="微软雅黑" w:eastAsia="微软雅黑" w:cs="宋体"/>
      <w:szCs w:val="20"/>
      <w:lang w:val="en-US"/>
    </w:rPr>
  </w:style>
  <w:style w:type="paragraph" w:customStyle="1" w:styleId="513">
    <w:name w:val="表格（小）"/>
    <w:basedOn w:val="1"/>
    <w:autoRedefine/>
    <w:qFormat/>
    <w:uiPriority w:val="0"/>
    <w:pPr>
      <w:adjustRightInd/>
      <w:snapToGrid w:val="0"/>
      <w:spacing w:line="300" w:lineRule="auto"/>
    </w:pPr>
    <w:rPr>
      <w:rFonts w:eastAsia="仿宋"/>
      <w:szCs w:val="21"/>
    </w:rPr>
  </w:style>
  <w:style w:type="paragraph" w:customStyle="1" w:styleId="514">
    <w:name w:val="Char Char Char Char Char Char1 Char"/>
    <w:basedOn w:val="1"/>
    <w:autoRedefine/>
    <w:qFormat/>
    <w:uiPriority w:val="0"/>
    <w:pPr>
      <w:widowControl/>
      <w:spacing w:after="160" w:line="240" w:lineRule="exact"/>
      <w:jc w:val="left"/>
    </w:pPr>
    <w:rPr>
      <w:rFonts w:ascii="Verdana" w:hAnsi="Verdana"/>
      <w:kern w:val="0"/>
      <w:szCs w:val="20"/>
      <w:lang w:eastAsia="en-US"/>
    </w:rPr>
  </w:style>
  <w:style w:type="paragraph" w:customStyle="1" w:styleId="515">
    <w:name w:val="Char2 Char Char1"/>
    <w:basedOn w:val="1"/>
    <w:autoRedefine/>
    <w:qFormat/>
    <w:uiPriority w:val="6"/>
    <w:pPr>
      <w:adjustRightInd/>
    </w:pPr>
    <w:rPr>
      <w:rFonts w:ascii="Tahoma" w:hAnsi="Tahoma"/>
      <w:sz w:val="24"/>
      <w:szCs w:val="20"/>
    </w:rPr>
  </w:style>
  <w:style w:type="paragraph" w:customStyle="1" w:styleId="516">
    <w:name w:val="列出段落5"/>
    <w:basedOn w:val="1"/>
    <w:autoRedefine/>
    <w:qFormat/>
    <w:uiPriority w:val="0"/>
    <w:pPr>
      <w:spacing w:line="360" w:lineRule="auto"/>
      <w:ind w:firstLine="200" w:firstLineChars="200"/>
    </w:pPr>
    <w:rPr>
      <w:rFonts w:eastAsia="楷体_GB2312" w:cs="Lucida Sans"/>
      <w:sz w:val="24"/>
    </w:rPr>
  </w:style>
  <w:style w:type="paragraph" w:customStyle="1" w:styleId="517">
    <w:name w:val="font7"/>
    <w:basedOn w:val="1"/>
    <w:autoRedefine/>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518">
    <w:name w:val="表格文字"/>
    <w:basedOn w:val="1"/>
    <w:next w:val="18"/>
    <w:autoRedefine/>
    <w:qFormat/>
    <w:uiPriority w:val="0"/>
    <w:pPr>
      <w:adjustRightInd/>
      <w:ind w:firstLine="200" w:firstLineChars="200"/>
    </w:pPr>
    <w:rPr>
      <w:rFonts w:ascii="Arial" w:hAnsi="Arial"/>
      <w:spacing w:val="-5"/>
      <w:kern w:val="0"/>
      <w:sz w:val="24"/>
      <w:szCs w:val="20"/>
    </w:rPr>
  </w:style>
  <w:style w:type="paragraph" w:customStyle="1" w:styleId="519">
    <w:name w:val="Item Step in Table"/>
    <w:autoRedefine/>
    <w:qFormat/>
    <w:uiPriority w:val="0"/>
    <w:pPr>
      <w:tabs>
        <w:tab w:val="left" w:pos="397"/>
        <w:tab w:val="left" w:pos="840"/>
      </w:tabs>
      <w:spacing w:before="40" w:after="40"/>
      <w:ind w:left="840" w:hanging="420"/>
      <w:jc w:val="both"/>
    </w:pPr>
    <w:rPr>
      <w:rFonts w:ascii="Arial" w:hAnsi="Arial" w:eastAsia="宋体" w:cs="Arial"/>
      <w:sz w:val="18"/>
      <w:szCs w:val="18"/>
      <w:lang w:val="en-US" w:eastAsia="zh-CN" w:bidi="ar-SA"/>
    </w:rPr>
  </w:style>
  <w:style w:type="paragraph" w:customStyle="1" w:styleId="520">
    <w:name w:val="TOC 标题111"/>
    <w:basedOn w:val="5"/>
    <w:next w:val="1"/>
    <w:autoRedefine/>
    <w:unhideWhenUsed/>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521">
    <w:name w:val="xl8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522">
    <w:name w:val="样式 左侧:  0.85 厘米 首行缩进:  0.85 厘米"/>
    <w:basedOn w:val="1"/>
    <w:autoRedefine/>
    <w:qFormat/>
    <w:uiPriority w:val="0"/>
    <w:pPr>
      <w:adjustRightInd/>
      <w:spacing w:line="360" w:lineRule="auto"/>
      <w:ind w:firstLine="482"/>
    </w:pPr>
    <w:rPr>
      <w:rFonts w:cs="宋体"/>
      <w:sz w:val="24"/>
      <w:szCs w:val="20"/>
    </w:rPr>
  </w:style>
  <w:style w:type="paragraph" w:customStyle="1" w:styleId="523">
    <w:name w:val="Char3 Char Char"/>
    <w:basedOn w:val="1"/>
    <w:autoRedefine/>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524">
    <w:name w:val="_Style 3"/>
    <w:basedOn w:val="1"/>
    <w:autoRedefine/>
    <w:qFormat/>
    <w:uiPriority w:val="0"/>
    <w:pPr>
      <w:adjustRightInd/>
      <w:ind w:firstLine="420" w:firstLineChars="200"/>
    </w:pPr>
    <w:rPr>
      <w:rFonts w:eastAsia="仿宋_GB2312"/>
      <w:sz w:val="28"/>
    </w:rPr>
  </w:style>
  <w:style w:type="paragraph" w:customStyle="1" w:styleId="525">
    <w:name w:val="xl39"/>
    <w:basedOn w:val="1"/>
    <w:autoRedefine/>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26">
    <w:name w:val="Bulleting First Indent 1"/>
    <w:basedOn w:val="2"/>
    <w:autoRedefine/>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527">
    <w:name w:val="左对齐表格文字"/>
    <w:basedOn w:val="1"/>
    <w:autoRedefine/>
    <w:qFormat/>
    <w:uiPriority w:val="0"/>
    <w:pPr>
      <w:adjustRightInd/>
      <w:ind w:firstLine="200" w:firstLineChars="200"/>
      <w:jc w:val="right"/>
    </w:pPr>
  </w:style>
  <w:style w:type="paragraph" w:customStyle="1" w:styleId="528">
    <w:name w:val="Char Char11 Char Char Char Char Char Char Char Char Char"/>
    <w:basedOn w:val="1"/>
    <w:autoRedefine/>
    <w:qFormat/>
    <w:uiPriority w:val="0"/>
    <w:pPr>
      <w:spacing w:line="360" w:lineRule="auto"/>
    </w:pPr>
    <w:rPr>
      <w:szCs w:val="20"/>
    </w:rPr>
  </w:style>
  <w:style w:type="paragraph" w:customStyle="1" w:styleId="529">
    <w:name w:val="正文1.25"/>
    <w:basedOn w:val="1"/>
    <w:autoRedefine/>
    <w:qFormat/>
    <w:uiPriority w:val="0"/>
    <w:pPr>
      <w:adjustRightInd/>
      <w:spacing w:line="300" w:lineRule="auto"/>
      <w:ind w:firstLine="480" w:firstLineChars="200"/>
    </w:pPr>
    <w:rPr>
      <w:sz w:val="24"/>
      <w:szCs w:val="20"/>
    </w:rPr>
  </w:style>
  <w:style w:type="paragraph" w:customStyle="1" w:styleId="530">
    <w:name w:val="1正文"/>
    <w:basedOn w:val="1"/>
    <w:autoRedefine/>
    <w:qFormat/>
    <w:uiPriority w:val="0"/>
    <w:pPr>
      <w:adjustRightInd/>
      <w:spacing w:line="360" w:lineRule="auto"/>
      <w:ind w:firstLine="200" w:firstLineChars="200"/>
    </w:pPr>
    <w:rPr>
      <w:rFonts w:ascii="仿宋_GB2312" w:hAnsi="Arial" w:eastAsia="仿宋"/>
      <w:sz w:val="28"/>
      <w:szCs w:val="28"/>
    </w:rPr>
  </w:style>
  <w:style w:type="paragraph" w:customStyle="1" w:styleId="531">
    <w:name w:val="Bul Text 9/14"/>
    <w:autoRedefine/>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532">
    <w:name w:val="xl7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33">
    <w:name w:val="Char Char1 Char Char Char1"/>
    <w:basedOn w:val="1"/>
    <w:autoRedefine/>
    <w:qFormat/>
    <w:uiPriority w:val="6"/>
    <w:rPr>
      <w:rFonts w:ascii="仿宋_GB2312" w:eastAsia="仿宋_GB2312"/>
      <w:b/>
      <w:sz w:val="32"/>
      <w:szCs w:val="20"/>
    </w:rPr>
  </w:style>
  <w:style w:type="paragraph" w:customStyle="1" w:styleId="534">
    <w:name w:val="列出段落2"/>
    <w:basedOn w:val="1"/>
    <w:autoRedefine/>
    <w:qFormat/>
    <w:uiPriority w:val="0"/>
    <w:pPr>
      <w:adjustRightInd/>
      <w:ind w:firstLine="420" w:firstLineChars="200"/>
    </w:pPr>
    <w:rPr>
      <w:rFonts w:ascii="宋体" w:hAnsi="宋体"/>
      <w:sz w:val="24"/>
    </w:rPr>
  </w:style>
  <w:style w:type="paragraph" w:customStyle="1" w:styleId="535">
    <w:name w:val="默认段落字体 Para Char Char Char Char Char Char Char"/>
    <w:basedOn w:val="1"/>
    <w:autoRedefine/>
    <w:qFormat/>
    <w:uiPriority w:val="0"/>
    <w:rPr>
      <w:rFonts w:eastAsia="仿宋_GB2312"/>
      <w:sz w:val="28"/>
      <w:szCs w:val="20"/>
    </w:rPr>
  </w:style>
  <w:style w:type="paragraph" w:customStyle="1" w:styleId="536">
    <w:name w:val="xl74"/>
    <w:basedOn w:val="1"/>
    <w:autoRedefine/>
    <w:qFormat/>
    <w:uiPriority w:val="0"/>
    <w:pPr>
      <w:widowControl/>
      <w:adjustRightInd/>
      <w:spacing w:before="100" w:beforeAutospacing="1" w:after="100" w:afterAutospacing="1"/>
      <w:jc w:val="center"/>
    </w:pPr>
    <w:rPr>
      <w:rFonts w:ascii="微软雅黑" w:hAnsi="微软雅黑" w:eastAsia="微软雅黑" w:cs="宋体"/>
      <w:b/>
      <w:bCs/>
      <w:kern w:val="0"/>
      <w:sz w:val="20"/>
      <w:szCs w:val="20"/>
    </w:rPr>
  </w:style>
  <w:style w:type="paragraph" w:customStyle="1" w:styleId="537">
    <w:name w:val="样式 标题 4PIM 4H4h4bulletblbbH41H42H43H44H45H46H47H48...1"/>
    <w:basedOn w:val="8"/>
    <w:autoRedefine/>
    <w:qFormat/>
    <w:uiPriority w:val="0"/>
    <w:pPr>
      <w:widowControl/>
      <w:jc w:val="left"/>
    </w:pPr>
    <w:rPr>
      <w:rFonts w:cs="宋体"/>
      <w:sz w:val="24"/>
      <w:szCs w:val="20"/>
    </w:rPr>
  </w:style>
  <w:style w:type="paragraph" w:customStyle="1" w:styleId="538">
    <w:name w:val="彩色列表 - 强调文字颜色 11"/>
    <w:basedOn w:val="1"/>
    <w:autoRedefine/>
    <w:qFormat/>
    <w:uiPriority w:val="0"/>
    <w:pPr>
      <w:adjustRightInd/>
      <w:ind w:firstLine="420" w:firstLineChars="200"/>
    </w:pPr>
    <w:rPr>
      <w:rFonts w:ascii="Calibri" w:hAnsi="Calibri"/>
      <w:szCs w:val="22"/>
    </w:rPr>
  </w:style>
  <w:style w:type="paragraph" w:customStyle="1" w:styleId="539">
    <w:name w:val="加粗正文"/>
    <w:basedOn w:val="1"/>
    <w:autoRedefine/>
    <w:qFormat/>
    <w:uiPriority w:val="0"/>
    <w:pPr>
      <w:adjustRightInd/>
      <w:spacing w:before="156" w:beforeLines="50" w:after="156" w:afterLines="50" w:line="360" w:lineRule="auto"/>
      <w:ind w:firstLine="422" w:firstLineChars="200"/>
    </w:pPr>
    <w:rPr>
      <w:b/>
      <w:bCs/>
      <w:szCs w:val="21"/>
    </w:rPr>
  </w:style>
  <w:style w:type="paragraph" w:customStyle="1" w:styleId="540">
    <w:name w:val="xl94"/>
    <w:basedOn w:val="1"/>
    <w:autoRedefine/>
    <w:qFormat/>
    <w:uiPriority w:val="0"/>
    <w:pPr>
      <w:widowControl/>
      <w:adjustRightInd/>
      <w:spacing w:before="100" w:beforeAutospacing="1" w:after="100" w:afterAutospacing="1"/>
      <w:jc w:val="center"/>
    </w:pPr>
    <w:rPr>
      <w:rFonts w:ascii="仿宋" w:hAnsi="仿宋" w:eastAsia="仿宋" w:cs="宋体"/>
      <w:kern w:val="0"/>
      <w:sz w:val="20"/>
      <w:szCs w:val="20"/>
    </w:rPr>
  </w:style>
  <w:style w:type="paragraph" w:customStyle="1" w:styleId="541">
    <w:name w:val="正文6"/>
    <w:basedOn w:val="1"/>
    <w:autoRedefine/>
    <w:qFormat/>
    <w:uiPriority w:val="0"/>
    <w:pPr>
      <w:tabs>
        <w:tab w:val="left" w:pos="0"/>
        <w:tab w:val="left" w:pos="703"/>
      </w:tabs>
      <w:adjustRightInd/>
      <w:spacing w:before="60" w:after="60" w:line="360" w:lineRule="auto"/>
      <w:ind w:left="600" w:leftChars="600"/>
    </w:pPr>
    <w:rPr>
      <w:sz w:val="28"/>
    </w:rPr>
  </w:style>
  <w:style w:type="paragraph" w:customStyle="1" w:styleId="542">
    <w:name w:val="Char Char Char1 Char1"/>
    <w:basedOn w:val="1"/>
    <w:autoRedefine/>
    <w:qFormat/>
    <w:uiPriority w:val="6"/>
    <w:rPr>
      <w:szCs w:val="20"/>
    </w:rPr>
  </w:style>
  <w:style w:type="paragraph" w:customStyle="1" w:styleId="543">
    <w:name w:val="xl2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544">
    <w:name w:val="样式 标题 2 + 宋体 左侧:  1.76 厘米 首行缩进:  0 厘米"/>
    <w:basedOn w:val="6"/>
    <w:autoRedefine/>
    <w:qFormat/>
    <w:uiPriority w:val="0"/>
    <w:pPr>
      <w:tabs>
        <w:tab w:val="left" w:pos="0"/>
        <w:tab w:val="clear" w:pos="432"/>
      </w:tabs>
      <w:spacing w:before="260" w:after="260" w:line="415" w:lineRule="auto"/>
      <w:ind w:left="0" w:firstLine="200" w:firstLineChars="200"/>
      <w:jc w:val="both"/>
    </w:pPr>
    <w:rPr>
      <w:rFonts w:ascii="宋体" w:hAnsi="Cambria" w:eastAsia="宋体" w:cs="宋体"/>
      <w:szCs w:val="20"/>
      <w:lang w:val="en-US"/>
    </w:rPr>
  </w:style>
  <w:style w:type="paragraph" w:customStyle="1" w:styleId="545">
    <w:name w:val="List Paragraph*"/>
    <w:basedOn w:val="1"/>
    <w:autoRedefine/>
    <w:qFormat/>
    <w:uiPriority w:val="7"/>
    <w:pPr>
      <w:adjustRightInd/>
      <w:spacing w:line="360" w:lineRule="auto"/>
      <w:ind w:firstLine="420"/>
    </w:pPr>
    <w:rPr>
      <w:rFonts w:ascii="Calibri" w:hAnsi="Calibri" w:cs="Calibri"/>
      <w:color w:val="000000"/>
      <w:kern w:val="1"/>
      <w:sz w:val="24"/>
      <w:szCs w:val="22"/>
    </w:rPr>
  </w:style>
  <w:style w:type="paragraph" w:customStyle="1" w:styleId="546">
    <w:name w:val="Char Char11 Char Char Char Char Char Char Char Char Char Char Char Char Char11"/>
    <w:basedOn w:val="1"/>
    <w:autoRedefine/>
    <w:qFormat/>
    <w:uiPriority w:val="6"/>
    <w:pPr>
      <w:adjustRightInd/>
      <w:spacing w:line="360" w:lineRule="auto"/>
    </w:pPr>
    <w:rPr>
      <w:rFonts w:ascii="Arial" w:hAnsi="Arial" w:eastAsia="黑体" w:cs="Arial"/>
      <w:snapToGrid w:val="0"/>
      <w:kern w:val="0"/>
      <w:szCs w:val="21"/>
    </w:rPr>
  </w:style>
  <w:style w:type="paragraph" w:customStyle="1" w:styleId="547">
    <w:name w:val="xl3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48">
    <w:name w:val="CM14"/>
    <w:basedOn w:val="237"/>
    <w:next w:val="237"/>
    <w:autoRedefine/>
    <w:qFormat/>
    <w:uiPriority w:val="0"/>
    <w:pPr>
      <w:spacing w:after="68"/>
    </w:pPr>
    <w:rPr>
      <w:rFonts w:ascii="FHLHE E+ Futura Bk" w:eastAsia="FHLHE E+ Futura Bk" w:cs="Times New Roman"/>
      <w:color w:val="auto"/>
    </w:rPr>
  </w:style>
  <w:style w:type="paragraph" w:customStyle="1" w:styleId="549">
    <w:name w:val="xl82"/>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color w:val="000000"/>
      <w:kern w:val="0"/>
      <w:sz w:val="20"/>
      <w:szCs w:val="20"/>
    </w:rPr>
  </w:style>
  <w:style w:type="paragraph" w:customStyle="1" w:styleId="550">
    <w:name w:val="无间隔*"/>
    <w:autoRedefine/>
    <w:qFormat/>
    <w:uiPriority w:val="0"/>
    <w:pPr>
      <w:widowControl w:val="0"/>
      <w:jc w:val="both"/>
    </w:pPr>
    <w:rPr>
      <w:rFonts w:ascii="Times New Roman" w:hAnsi="Times New Roman" w:eastAsia="宋体" w:cs="Calibri"/>
      <w:color w:val="000000"/>
      <w:kern w:val="1"/>
      <w:sz w:val="21"/>
      <w:szCs w:val="22"/>
      <w:lang w:val="en-US" w:eastAsia="zh-CN" w:bidi="ar-SA"/>
    </w:rPr>
  </w:style>
  <w:style w:type="paragraph" w:customStyle="1" w:styleId="551">
    <w:name w:val="Char Char Char Char1"/>
    <w:basedOn w:val="1"/>
    <w:autoRedefine/>
    <w:qFormat/>
    <w:uiPriority w:val="0"/>
    <w:pPr>
      <w:tabs>
        <w:tab w:val="left" w:pos="0"/>
      </w:tabs>
      <w:adjustRightInd/>
      <w:ind w:firstLine="200" w:firstLineChars="200"/>
    </w:pPr>
    <w:rPr>
      <w:rFonts w:ascii="宋体" w:hAnsi="宋体" w:eastAsia="仿宋_GB2312"/>
      <w:sz w:val="28"/>
    </w:rPr>
  </w:style>
  <w:style w:type="paragraph" w:customStyle="1" w:styleId="552">
    <w:name w:val="正文文字 2"/>
    <w:basedOn w:val="237"/>
    <w:next w:val="237"/>
    <w:autoRedefine/>
    <w:qFormat/>
    <w:uiPriority w:val="0"/>
    <w:rPr>
      <w:rFonts w:ascii="宋体" w:eastAsia="宋体" w:cs="Times New Roman"/>
      <w:color w:val="auto"/>
    </w:rPr>
  </w:style>
  <w:style w:type="paragraph" w:customStyle="1" w:styleId="553">
    <w:name w:val="正文首行缩进两字"/>
    <w:autoRedefine/>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554">
    <w:name w:val="Char Char1 Char"/>
    <w:basedOn w:val="1"/>
    <w:autoRedefine/>
    <w:qFormat/>
    <w:uiPriority w:val="0"/>
    <w:rPr>
      <w:rFonts w:ascii="仿宋_GB2312" w:eastAsia="仿宋_GB2312"/>
      <w:b/>
      <w:sz w:val="32"/>
      <w:szCs w:val="32"/>
    </w:rPr>
  </w:style>
  <w:style w:type="paragraph" w:customStyle="1" w:styleId="555">
    <w:name w:val="xl7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56">
    <w:name w:val="Char Char11 Char Char Char Char Char Char Char Char Char Char Char1"/>
    <w:basedOn w:val="1"/>
    <w:autoRedefine/>
    <w:qFormat/>
    <w:uiPriority w:val="6"/>
    <w:pPr>
      <w:adjustRightInd/>
      <w:spacing w:line="360" w:lineRule="auto"/>
    </w:pPr>
    <w:rPr>
      <w:rFonts w:ascii="Arial" w:hAnsi="Arial" w:eastAsia="黑体" w:cs="Arial"/>
      <w:snapToGrid w:val="0"/>
      <w:kern w:val="0"/>
      <w:szCs w:val="21"/>
    </w:rPr>
  </w:style>
  <w:style w:type="paragraph" w:customStyle="1" w:styleId="557">
    <w:name w:val="Char Char111"/>
    <w:basedOn w:val="1"/>
    <w:autoRedefine/>
    <w:qFormat/>
    <w:uiPriority w:val="0"/>
    <w:pPr>
      <w:spacing w:line="360" w:lineRule="auto"/>
    </w:pPr>
    <w:rPr>
      <w:szCs w:val="20"/>
    </w:rPr>
  </w:style>
  <w:style w:type="paragraph" w:customStyle="1" w:styleId="558">
    <w:name w:val="Char"/>
    <w:basedOn w:val="1"/>
    <w:autoRedefine/>
    <w:qFormat/>
    <w:uiPriority w:val="0"/>
    <w:rPr>
      <w:rFonts w:ascii="仿宋_GB2312" w:eastAsia="仿宋_GB2312"/>
      <w:b/>
      <w:sz w:val="32"/>
      <w:szCs w:val="32"/>
    </w:rPr>
  </w:style>
  <w:style w:type="paragraph" w:customStyle="1" w:styleId="559">
    <w:name w:val="RFI Heading 2nd Level"/>
    <w:basedOn w:val="1"/>
    <w:autoRedefine/>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560">
    <w:name w:val="af17cgridlangnp1033langf"/>
    <w:autoRedefine/>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561">
    <w:name w:val="Char Char Char1 Char"/>
    <w:basedOn w:val="1"/>
    <w:autoRedefine/>
    <w:qFormat/>
    <w:uiPriority w:val="0"/>
    <w:rPr>
      <w:szCs w:val="20"/>
    </w:rPr>
  </w:style>
  <w:style w:type="paragraph" w:customStyle="1" w:styleId="562">
    <w:name w:val="正文标准"/>
    <w:basedOn w:val="1"/>
    <w:autoRedefine/>
    <w:qFormat/>
    <w:uiPriority w:val="0"/>
    <w:pPr>
      <w:adjustRightInd/>
      <w:spacing w:line="360" w:lineRule="auto"/>
      <w:ind w:firstLine="200" w:firstLineChars="200"/>
    </w:pPr>
    <w:rPr>
      <w:rFonts w:ascii="宋体" w:hAnsi="Calibri"/>
      <w:sz w:val="24"/>
    </w:rPr>
  </w:style>
  <w:style w:type="paragraph" w:customStyle="1" w:styleId="563">
    <w:name w:val="正文格式"/>
    <w:basedOn w:val="1"/>
    <w:autoRedefine/>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564">
    <w:name w:val="Char Char11 Char Char Char Char Char Char Char Char Char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565">
    <w:name w:val="Th"/>
    <w:autoRedefine/>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566">
    <w:name w:val="规范正文"/>
    <w:basedOn w:val="1"/>
    <w:autoRedefine/>
    <w:qFormat/>
    <w:uiPriority w:val="0"/>
    <w:pPr>
      <w:tabs>
        <w:tab w:val="left" w:pos="840"/>
      </w:tabs>
      <w:spacing w:before="156" w:beforeLines="50" w:line="360" w:lineRule="auto"/>
      <w:ind w:left="840" w:hanging="420"/>
      <w:textAlignment w:val="baseline"/>
    </w:pPr>
    <w:rPr>
      <w:szCs w:val="20"/>
    </w:rPr>
  </w:style>
  <w:style w:type="paragraph" w:customStyle="1" w:styleId="567">
    <w:name w:val="font12"/>
    <w:basedOn w:val="1"/>
    <w:autoRedefine/>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568">
    <w:name w:val="Char Char1 Char2"/>
    <w:basedOn w:val="1"/>
    <w:autoRedefine/>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569">
    <w:name w:val="Char Char Char11"/>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570">
    <w:name w:val="xl42"/>
    <w:basedOn w:val="1"/>
    <w:autoRedefine/>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71">
    <w:name w:val="目录4"/>
    <w:basedOn w:val="1"/>
    <w:autoRedefine/>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572">
    <w:name w:val="xl43"/>
    <w:basedOn w:val="1"/>
    <w:autoRedefine/>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73">
    <w:name w:val="solutionfonts1"/>
    <w:basedOn w:val="1"/>
    <w:autoRedefine/>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574">
    <w:name w:val="标准有序列表（L1）"/>
    <w:basedOn w:val="18"/>
    <w:autoRedefine/>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575">
    <w:name w:val="Char Char Char Char Char Char Char Char Char Char"/>
    <w:basedOn w:val="1"/>
    <w:autoRedefine/>
    <w:qFormat/>
    <w:uiPriority w:val="0"/>
    <w:rPr>
      <w:rFonts w:ascii="仿宋_GB2312" w:eastAsia="仿宋_GB2312"/>
      <w:b/>
      <w:sz w:val="32"/>
      <w:szCs w:val="32"/>
    </w:rPr>
  </w:style>
  <w:style w:type="paragraph" w:customStyle="1" w:styleId="576">
    <w:name w:val="Char1 Char Char Char Char Char Char Char Char Char Char Char1 Char Char Char Char Char Char Char Char Char Char Char Char Char Char1 Char Char Char Char"/>
    <w:basedOn w:val="1"/>
    <w:autoRedefine/>
    <w:qFormat/>
    <w:uiPriority w:val="0"/>
    <w:pPr>
      <w:spacing w:line="360" w:lineRule="auto"/>
    </w:pPr>
    <w:rPr>
      <w:kern w:val="0"/>
      <w:sz w:val="24"/>
      <w:szCs w:val="20"/>
    </w:rPr>
  </w:style>
  <w:style w:type="paragraph" w:customStyle="1" w:styleId="577">
    <w:name w:val="_正文段落"/>
    <w:basedOn w:val="1"/>
    <w:autoRedefine/>
    <w:qFormat/>
    <w:uiPriority w:val="0"/>
    <w:pPr>
      <w:adjustRightInd/>
      <w:ind w:firstLine="560"/>
    </w:pPr>
    <w:rPr>
      <w:rFonts w:ascii="仿宋_GB2312" w:hAnsi="仿宋" w:eastAsia="仿宋_GB2312"/>
      <w:kern w:val="0"/>
      <w:sz w:val="28"/>
      <w:szCs w:val="28"/>
    </w:rPr>
  </w:style>
  <w:style w:type="paragraph" w:customStyle="1" w:styleId="578">
    <w:name w:val="列出段落4"/>
    <w:basedOn w:val="1"/>
    <w:autoRedefine/>
    <w:qFormat/>
    <w:uiPriority w:val="0"/>
    <w:pPr>
      <w:adjustRightInd/>
      <w:spacing w:line="360" w:lineRule="auto"/>
      <w:ind w:firstLine="420" w:firstLineChars="200"/>
    </w:pPr>
    <w:rPr>
      <w:rFonts w:ascii="Calibri" w:hAnsi="Calibri"/>
      <w:sz w:val="24"/>
      <w:szCs w:val="22"/>
    </w:rPr>
  </w:style>
  <w:style w:type="paragraph" w:customStyle="1" w:styleId="579">
    <w:name w:val="前言、引言标题"/>
    <w:next w:val="1"/>
    <w:autoRedefine/>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580">
    <w:name w:val="正文（首行缩进）"/>
    <w:basedOn w:val="26"/>
    <w:autoRedefine/>
    <w:qFormat/>
    <w:uiPriority w:val="0"/>
    <w:pPr>
      <w:widowControl/>
      <w:tabs>
        <w:tab w:val="left" w:pos="840"/>
      </w:tabs>
      <w:overflowPunct w:val="0"/>
      <w:autoSpaceDE w:val="0"/>
      <w:autoSpaceDN w:val="0"/>
      <w:spacing w:before="156"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581">
    <w:name w:val="Char3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582">
    <w:name w:val="font9"/>
    <w:basedOn w:val="1"/>
    <w:autoRedefine/>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583">
    <w:name w:val="方案正文无缩进"/>
    <w:autoRedefine/>
    <w:qFormat/>
    <w:uiPriority w:val="0"/>
    <w:pPr>
      <w:spacing w:line="360" w:lineRule="auto"/>
    </w:pPr>
    <w:rPr>
      <w:rFonts w:ascii="Times New Roman" w:hAnsi="Times New Roman" w:eastAsia="宋体" w:cs="Times New Roman"/>
      <w:kern w:val="2"/>
      <w:sz w:val="24"/>
      <w:szCs w:val="24"/>
      <w:lang w:val="en-US" w:eastAsia="zh-CN" w:bidi="ar-SA"/>
    </w:rPr>
  </w:style>
  <w:style w:type="paragraph" w:customStyle="1" w:styleId="584">
    <w:name w:val="Char Char Char1 Char2"/>
    <w:basedOn w:val="1"/>
    <w:autoRedefine/>
    <w:qFormat/>
    <w:uiPriority w:val="0"/>
    <w:rPr>
      <w:szCs w:val="20"/>
    </w:rPr>
  </w:style>
  <w:style w:type="paragraph" w:customStyle="1" w:styleId="585">
    <w:name w:val="Char Char11 Char Char Char Char Char Char Char Char Char Char Char Char Char1"/>
    <w:basedOn w:val="1"/>
    <w:autoRedefine/>
    <w:qFormat/>
    <w:uiPriority w:val="0"/>
    <w:pPr>
      <w:adjustRightInd/>
      <w:spacing w:line="360" w:lineRule="auto"/>
    </w:pPr>
    <w:rPr>
      <w:rFonts w:ascii="Arial" w:hAnsi="Arial" w:eastAsia="黑体" w:cs="Arial"/>
      <w:snapToGrid w:val="0"/>
      <w:kern w:val="0"/>
      <w:szCs w:val="21"/>
    </w:rPr>
  </w:style>
  <w:style w:type="paragraph" w:customStyle="1" w:styleId="586">
    <w:name w:val="默认段落字体 Para Char"/>
    <w:basedOn w:val="1"/>
    <w:autoRedefine/>
    <w:qFormat/>
    <w:uiPriority w:val="0"/>
    <w:rPr>
      <w:rFonts w:ascii="Tahoma" w:hAnsi="Tahoma"/>
      <w:sz w:val="24"/>
      <w:szCs w:val="20"/>
    </w:rPr>
  </w:style>
  <w:style w:type="paragraph" w:customStyle="1" w:styleId="587">
    <w:name w:val="标题五"/>
    <w:basedOn w:val="1"/>
    <w:autoRedefine/>
    <w:qFormat/>
    <w:uiPriority w:val="0"/>
    <w:pPr>
      <w:adjustRightInd/>
      <w:spacing w:before="156" w:beforeLines="50" w:line="360" w:lineRule="auto"/>
    </w:pPr>
    <w:rPr>
      <w:b/>
      <w:sz w:val="24"/>
    </w:rPr>
  </w:style>
  <w:style w:type="paragraph" w:customStyle="1" w:styleId="588">
    <w:name w:val="Char Char1101"/>
    <w:basedOn w:val="1"/>
    <w:autoRedefine/>
    <w:qFormat/>
    <w:uiPriority w:val="0"/>
    <w:pPr>
      <w:spacing w:line="360" w:lineRule="auto"/>
    </w:pPr>
    <w:rPr>
      <w:rFonts w:ascii="Tahoma" w:hAnsi="Tahoma"/>
      <w:sz w:val="24"/>
      <w:szCs w:val="20"/>
    </w:rPr>
  </w:style>
  <w:style w:type="paragraph" w:customStyle="1" w:styleId="589">
    <w:name w:val="Char Char Char Char Char Char Char Char1"/>
    <w:basedOn w:val="1"/>
    <w:autoRedefine/>
    <w:qFormat/>
    <w:uiPriority w:val="0"/>
    <w:pPr>
      <w:tabs>
        <w:tab w:val="left" w:pos="360"/>
      </w:tabs>
    </w:pPr>
    <w:rPr>
      <w:sz w:val="24"/>
      <w:szCs w:val="20"/>
    </w:rPr>
  </w:style>
  <w:style w:type="paragraph" w:customStyle="1" w:styleId="590">
    <w:name w:val="Char Char Char 字元 字元"/>
    <w:basedOn w:val="1"/>
    <w:autoRedefine/>
    <w:qFormat/>
    <w:uiPriority w:val="0"/>
    <w:pPr>
      <w:adjustRightInd/>
      <w:spacing w:line="360" w:lineRule="auto"/>
      <w:ind w:firstLine="200" w:firstLineChars="200"/>
    </w:pPr>
    <w:rPr>
      <w:szCs w:val="20"/>
    </w:rPr>
  </w:style>
  <w:style w:type="paragraph" w:customStyle="1" w:styleId="591">
    <w:name w:val="xl70"/>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592">
    <w:name w:val="Char Char Char Char Char Char Char"/>
    <w:basedOn w:val="1"/>
    <w:autoRedefine/>
    <w:qFormat/>
    <w:uiPriority w:val="0"/>
    <w:rPr>
      <w:rFonts w:ascii="仿宋_GB2312" w:eastAsia="仿宋_GB2312"/>
      <w:b/>
      <w:sz w:val="32"/>
      <w:szCs w:val="32"/>
    </w:rPr>
  </w:style>
  <w:style w:type="paragraph" w:customStyle="1" w:styleId="593">
    <w:name w:val="文章附标题"/>
    <w:basedOn w:val="1"/>
    <w:autoRedefine/>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594">
    <w:name w:val="a2"/>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595">
    <w:name w:val="样式 标题 22h2L1 Heading 2H2sect 1.2H21sect 1.21H22sect 1.2..."/>
    <w:basedOn w:val="6"/>
    <w:next w:val="1"/>
    <w:autoRedefine/>
    <w:qFormat/>
    <w:uiPriority w:val="0"/>
    <w:pPr>
      <w:tabs>
        <w:tab w:val="left" w:pos="425"/>
        <w:tab w:val="clear" w:pos="432"/>
      </w:tabs>
      <w:spacing w:before="260" w:after="260" w:line="415" w:lineRule="auto"/>
      <w:ind w:left="425" w:hanging="425"/>
    </w:pPr>
    <w:rPr>
      <w:rFonts w:ascii="微软雅黑" w:hAnsi="微软雅黑" w:eastAsia="微软雅黑"/>
      <w:lang w:val="en-US"/>
    </w:rPr>
  </w:style>
  <w:style w:type="paragraph" w:customStyle="1" w:styleId="596">
    <w:name w:val="样式6"/>
    <w:basedOn w:val="35"/>
    <w:autoRedefine/>
    <w:qFormat/>
    <w:uiPriority w:val="0"/>
    <w:pPr>
      <w:spacing w:line="460" w:lineRule="exact"/>
      <w:outlineLvl w:val="2"/>
    </w:pPr>
    <w:rPr>
      <w:rFonts w:ascii="仿宋_GB2312" w:hAnsi="宋体" w:eastAsia="仿宋_GB2312"/>
      <w:b/>
      <w:bCs/>
      <w:sz w:val="24"/>
      <w:szCs w:val="24"/>
    </w:rPr>
  </w:style>
  <w:style w:type="paragraph" w:customStyle="1" w:styleId="597">
    <w:name w:val="批注框文本 Char Char"/>
    <w:basedOn w:val="1"/>
    <w:autoRedefine/>
    <w:qFormat/>
    <w:uiPriority w:val="0"/>
    <w:pPr>
      <w:adjustRightInd/>
    </w:pPr>
    <w:rPr>
      <w:sz w:val="18"/>
      <w:szCs w:val="20"/>
    </w:rPr>
  </w:style>
  <w:style w:type="paragraph" w:customStyle="1" w:styleId="598">
    <w:name w:val="封面华为技术"/>
    <w:basedOn w:val="1"/>
    <w:autoRedefine/>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599">
    <w:name w:val="xl32"/>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00">
    <w:name w:val="Char Char11 Char Char Char Char Char Char Char Char Char Char Char Char Char"/>
    <w:basedOn w:val="1"/>
    <w:autoRedefine/>
    <w:qFormat/>
    <w:uiPriority w:val="0"/>
    <w:pPr>
      <w:adjustRightInd/>
      <w:spacing w:line="360" w:lineRule="auto"/>
    </w:pPr>
    <w:rPr>
      <w:rFonts w:ascii="Arial" w:hAnsi="Arial" w:eastAsia="黑体"/>
      <w:snapToGrid w:val="0"/>
      <w:kern w:val="0"/>
      <w:sz w:val="20"/>
      <w:szCs w:val="21"/>
    </w:rPr>
  </w:style>
  <w:style w:type="paragraph" w:customStyle="1" w:styleId="601">
    <w:name w:val="gjt_2"/>
    <w:next w:val="1"/>
    <w:autoRedefine/>
    <w:qFormat/>
    <w:uiPriority w:val="0"/>
    <w:pPr>
      <w:keepNext/>
      <w:keepLines/>
      <w:widowControl w:val="0"/>
      <w:spacing w:before="260" w:after="260"/>
      <w:jc w:val="both"/>
      <w:outlineLvl w:val="6"/>
    </w:pPr>
    <w:rPr>
      <w:rFonts w:ascii="Arial" w:hAnsi="Arial" w:eastAsia="黑体" w:cs="Arial"/>
      <w:b/>
      <w:bCs/>
      <w:color w:val="000000"/>
      <w:kern w:val="2"/>
      <w:sz w:val="32"/>
      <w:szCs w:val="32"/>
      <w:u w:color="000000"/>
      <w:lang w:val="en-US" w:eastAsia="zh-CN" w:bidi="ar-SA"/>
    </w:rPr>
  </w:style>
  <w:style w:type="paragraph" w:customStyle="1" w:styleId="602">
    <w:name w:val="索引 11"/>
    <w:basedOn w:val="1"/>
    <w:next w:val="1"/>
    <w:autoRedefine/>
    <w:qFormat/>
    <w:uiPriority w:val="99"/>
    <w:pPr>
      <w:adjustRightInd/>
      <w:spacing w:line="360" w:lineRule="auto"/>
    </w:pPr>
    <w:rPr>
      <w:rFonts w:ascii="仿宋_GB2312" w:eastAsia="仿宋_GB2312"/>
      <w:sz w:val="24"/>
      <w:szCs w:val="20"/>
    </w:rPr>
  </w:style>
  <w:style w:type="paragraph" w:customStyle="1" w:styleId="603">
    <w:name w:val="xl6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04">
    <w:name w:val="样式"/>
    <w:basedOn w:val="1"/>
    <w:autoRedefine/>
    <w:qFormat/>
    <w:uiPriority w:val="0"/>
    <w:pPr>
      <w:autoSpaceDE w:val="0"/>
      <w:autoSpaceDN w:val="0"/>
      <w:snapToGrid w:val="0"/>
      <w:spacing w:before="120" w:after="120" w:line="360" w:lineRule="auto"/>
    </w:pPr>
    <w:rPr>
      <w:rFonts w:ascii="宋体"/>
      <w:sz w:val="24"/>
      <w:szCs w:val="20"/>
    </w:rPr>
  </w:style>
  <w:style w:type="paragraph" w:customStyle="1" w:styleId="605">
    <w:name w:val="正文文字缩进项目"/>
    <w:basedOn w:val="26"/>
    <w:autoRedefine/>
    <w:qFormat/>
    <w:uiPriority w:val="0"/>
    <w:pPr>
      <w:tabs>
        <w:tab w:val="left" w:pos="840"/>
      </w:tabs>
      <w:adjustRightInd/>
      <w:spacing w:after="120" w:line="240" w:lineRule="auto"/>
      <w:ind w:hanging="420" w:firstLineChars="0"/>
    </w:pPr>
    <w:rPr>
      <w:rFonts w:ascii="Tahoma" w:hAnsi="Tahoma"/>
      <w:sz w:val="22"/>
      <w:szCs w:val="20"/>
    </w:rPr>
  </w:style>
  <w:style w:type="paragraph" w:customStyle="1" w:styleId="606">
    <w:name w:val="文档正文"/>
    <w:basedOn w:val="1"/>
    <w:autoRedefine/>
    <w:qFormat/>
    <w:uiPriority w:val="0"/>
    <w:pPr>
      <w:spacing w:line="480" w:lineRule="atLeast"/>
      <w:ind w:firstLine="567"/>
      <w:textAlignment w:val="baseline"/>
    </w:pPr>
    <w:rPr>
      <w:kern w:val="0"/>
      <w:sz w:val="24"/>
      <w:szCs w:val="20"/>
    </w:rPr>
  </w:style>
  <w:style w:type="paragraph" w:customStyle="1" w:styleId="607">
    <w:name w:val="正文文字表格居中"/>
    <w:basedOn w:val="1"/>
    <w:next w:val="57"/>
    <w:autoRedefine/>
    <w:qFormat/>
    <w:uiPriority w:val="0"/>
    <w:pPr>
      <w:snapToGrid w:val="0"/>
      <w:spacing w:line="360" w:lineRule="auto"/>
    </w:pPr>
    <w:rPr>
      <w:rFonts w:ascii="宋体"/>
      <w:b/>
      <w:sz w:val="24"/>
      <w:szCs w:val="20"/>
    </w:rPr>
  </w:style>
  <w:style w:type="paragraph" w:customStyle="1" w:styleId="608">
    <w:name w:val="规划正文"/>
    <w:basedOn w:val="1"/>
    <w:autoRedefine/>
    <w:qFormat/>
    <w:uiPriority w:val="0"/>
    <w:pPr>
      <w:adjustRightInd/>
      <w:spacing w:before="312" w:beforeLines="100" w:line="360" w:lineRule="auto"/>
      <w:jc w:val="left"/>
    </w:pPr>
    <w:rPr>
      <w:rFonts w:ascii="Arial" w:hAnsi="Arial" w:eastAsia="仿宋_GB2312"/>
      <w:bCs/>
      <w:sz w:val="28"/>
    </w:rPr>
  </w:style>
  <w:style w:type="paragraph" w:customStyle="1" w:styleId="609">
    <w:name w:val="小节"/>
    <w:basedOn w:val="7"/>
    <w:autoRedefine/>
    <w:qFormat/>
    <w:uiPriority w:val="0"/>
    <w:pPr>
      <w:adjustRightInd/>
      <w:spacing w:before="200" w:after="200" w:line="560" w:lineRule="exact"/>
      <w:jc w:val="left"/>
    </w:pPr>
    <w:rPr>
      <w:rFonts w:ascii="宋体" w:hAnsi="宋体"/>
      <w:bCs w:val="0"/>
      <w:color w:val="000000"/>
      <w:spacing w:val="10"/>
      <w:kern w:val="24"/>
      <w:sz w:val="28"/>
    </w:rPr>
  </w:style>
  <w:style w:type="paragraph" w:customStyle="1" w:styleId="610">
    <w:name w:val="Plain Text1"/>
    <w:basedOn w:val="1"/>
    <w:autoRedefine/>
    <w:qFormat/>
    <w:uiPriority w:val="7"/>
    <w:pPr>
      <w:adjustRightInd/>
    </w:pPr>
    <w:rPr>
      <w:rFonts w:ascii="宋体" w:hAnsi="Courier New"/>
    </w:rPr>
  </w:style>
  <w:style w:type="paragraph" w:customStyle="1" w:styleId="611">
    <w:name w:val="Char3"/>
    <w:basedOn w:val="1"/>
    <w:autoRedefine/>
    <w:qFormat/>
    <w:uiPriority w:val="0"/>
    <w:pPr>
      <w:adjustRightInd/>
    </w:pPr>
    <w:rPr>
      <w:rFonts w:ascii="仿宋_GB2312" w:eastAsia="仿宋_GB2312"/>
      <w:b/>
      <w:sz w:val="32"/>
      <w:szCs w:val="32"/>
    </w:rPr>
  </w:style>
  <w:style w:type="paragraph" w:customStyle="1" w:styleId="612">
    <w:name w:val="xl2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613">
    <w:name w:val="ÕýÎÄÊ×ÐÐËõ½ø"/>
    <w:basedOn w:val="1"/>
    <w:autoRedefine/>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614">
    <w:name w:val="标题2"/>
    <w:basedOn w:val="6"/>
    <w:next w:val="1"/>
    <w:autoRedefine/>
    <w:qFormat/>
    <w:uiPriority w:val="0"/>
    <w:pPr>
      <w:tabs>
        <w:tab w:val="left" w:pos="578"/>
        <w:tab w:val="left" w:pos="900"/>
        <w:tab w:val="left" w:pos="1440"/>
      </w:tabs>
      <w:ind w:left="1440" w:hanging="360"/>
    </w:pPr>
    <w:rPr>
      <w:rFonts w:ascii="仿宋" w:eastAsia="仿宋" w:cs="宋体"/>
      <w:bCs w:val="0"/>
      <w:szCs w:val="28"/>
    </w:rPr>
  </w:style>
  <w:style w:type="paragraph" w:customStyle="1" w:styleId="615">
    <w:name w:val="List Paragraph1"/>
    <w:basedOn w:val="1"/>
    <w:autoRedefine/>
    <w:qFormat/>
    <w:uiPriority w:val="0"/>
    <w:pPr>
      <w:spacing w:line="360" w:lineRule="auto"/>
      <w:ind w:firstLine="200" w:firstLineChars="200"/>
    </w:pPr>
    <w:rPr>
      <w:rFonts w:eastAsia="楷体_GB2312" w:cs="Lucida Sans"/>
      <w:sz w:val="24"/>
    </w:rPr>
  </w:style>
  <w:style w:type="paragraph" w:customStyle="1" w:styleId="616">
    <w:name w:val="样式 标题 3标题 3 Char第二层条h33Bold Headbh章标题1小标题level_3PIM 3..."/>
    <w:basedOn w:val="7"/>
    <w:autoRedefine/>
    <w:qFormat/>
    <w:uiPriority w:val="0"/>
    <w:pPr>
      <w:snapToGrid w:val="0"/>
      <w:spacing w:before="0" w:after="0" w:line="360" w:lineRule="auto"/>
    </w:pPr>
    <w:rPr>
      <w:rFonts w:ascii="黑体" w:hAnsi="宋体" w:eastAsia="黑体" w:cs="宋体"/>
      <w:b w:val="0"/>
      <w:bCs w:val="0"/>
      <w:color w:val="000000"/>
      <w:kern w:val="0"/>
      <w:sz w:val="28"/>
      <w:szCs w:val="20"/>
    </w:rPr>
  </w:style>
  <w:style w:type="paragraph" w:customStyle="1" w:styleId="617">
    <w:name w:val="xl2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18">
    <w:name w:val="样式 小四 首行缩进:  0.74 厘米 行距: 1.5 倍行距"/>
    <w:basedOn w:val="1"/>
    <w:autoRedefine/>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619">
    <w:name w:val="Char3 Char Char Char"/>
    <w:basedOn w:val="1"/>
    <w:autoRedefine/>
    <w:qFormat/>
    <w:uiPriority w:val="0"/>
    <w:pPr>
      <w:widowControl/>
      <w:adjustRightInd/>
      <w:spacing w:after="160" w:line="240" w:lineRule="exact"/>
      <w:jc w:val="left"/>
    </w:pPr>
    <w:rPr>
      <w:szCs w:val="20"/>
    </w:rPr>
  </w:style>
  <w:style w:type="paragraph" w:customStyle="1" w:styleId="620">
    <w:name w:val="表格标题2"/>
    <w:basedOn w:val="621"/>
    <w:autoRedefine/>
    <w:qFormat/>
    <w:uiPriority w:val="0"/>
    <w:rPr>
      <w:b/>
    </w:rPr>
  </w:style>
  <w:style w:type="paragraph" w:customStyle="1" w:styleId="621">
    <w:name w:val="表格内文"/>
    <w:basedOn w:val="1"/>
    <w:autoRedefine/>
    <w:qFormat/>
    <w:uiPriority w:val="0"/>
    <w:pPr>
      <w:adjustRightInd/>
      <w:spacing w:line="360" w:lineRule="auto"/>
    </w:pPr>
    <w:rPr>
      <w:rFonts w:ascii="宋体" w:hAnsi="宋体" w:cs="宋体"/>
      <w:color w:val="000000"/>
      <w:szCs w:val="20"/>
    </w:rPr>
  </w:style>
  <w:style w:type="paragraph" w:customStyle="1" w:styleId="622">
    <w:name w:val="Char Char Char Char Char Char Char Char Char Char2"/>
    <w:basedOn w:val="1"/>
    <w:autoRedefine/>
    <w:qFormat/>
    <w:uiPriority w:val="0"/>
    <w:rPr>
      <w:rFonts w:ascii="仿宋_GB2312" w:eastAsia="仿宋_GB2312"/>
      <w:b/>
      <w:sz w:val="32"/>
      <w:szCs w:val="32"/>
    </w:rPr>
  </w:style>
  <w:style w:type="paragraph" w:customStyle="1" w:styleId="623">
    <w:name w:val="正文，首行缩进:  2 字符"/>
    <w:autoRedefine/>
    <w:qFormat/>
    <w:uiPriority w:val="0"/>
    <w:pPr>
      <w:spacing w:line="360" w:lineRule="auto"/>
      <w:ind w:firstLine="480" w:firstLineChars="200"/>
    </w:pPr>
    <w:rPr>
      <w:rFonts w:ascii="Arial" w:hAnsi="Arial" w:eastAsia="仿宋_GB2312" w:cs="Times New Roman"/>
      <w:kern w:val="2"/>
      <w:sz w:val="24"/>
      <w:szCs w:val="24"/>
      <w:lang w:val="en-US" w:eastAsia="zh-CN" w:bidi="ar-SA"/>
    </w:rPr>
  </w:style>
  <w:style w:type="paragraph" w:customStyle="1" w:styleId="624">
    <w:name w:val="Char3 Char Char1"/>
    <w:basedOn w:val="1"/>
    <w:autoRedefine/>
    <w:qFormat/>
    <w:uiPriority w:val="6"/>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625">
    <w:name w:val="Char Char11 Char Char Char Char Char Char Char Char Char11"/>
    <w:basedOn w:val="1"/>
    <w:autoRedefine/>
    <w:qFormat/>
    <w:uiPriority w:val="0"/>
    <w:pPr>
      <w:spacing w:line="360" w:lineRule="auto"/>
    </w:pPr>
    <w:rPr>
      <w:szCs w:val="20"/>
    </w:rPr>
  </w:style>
  <w:style w:type="paragraph" w:customStyle="1" w:styleId="626">
    <w:name w:val="正文 大标"/>
    <w:basedOn w:val="1"/>
    <w:autoRedefine/>
    <w:qFormat/>
    <w:uiPriority w:val="0"/>
    <w:pPr>
      <w:tabs>
        <w:tab w:val="left" w:pos="0"/>
      </w:tabs>
      <w:adjustRightInd/>
      <w:spacing w:line="300" w:lineRule="auto"/>
      <w:ind w:left="1021"/>
    </w:pPr>
    <w:rPr>
      <w:rFonts w:ascii="仿宋" w:hAnsi="Calibri" w:eastAsia="仿宋"/>
      <w:sz w:val="24"/>
      <w:szCs w:val="20"/>
    </w:rPr>
  </w:style>
  <w:style w:type="paragraph" w:customStyle="1" w:styleId="627">
    <w:name w:val="样式  + 首行缩进:  2 字符"/>
    <w:basedOn w:val="1"/>
    <w:autoRedefine/>
    <w:qFormat/>
    <w:uiPriority w:val="0"/>
    <w:pPr>
      <w:adjustRightInd/>
      <w:spacing w:before="60" w:after="60" w:line="360" w:lineRule="auto"/>
      <w:ind w:firstLine="200" w:firstLineChars="200"/>
    </w:pPr>
    <w:rPr>
      <w:sz w:val="28"/>
      <w:szCs w:val="20"/>
    </w:rPr>
  </w:style>
  <w:style w:type="paragraph" w:customStyle="1" w:styleId="628">
    <w:name w:val="MM Topic 1"/>
    <w:basedOn w:val="5"/>
    <w:autoRedefine/>
    <w:qFormat/>
    <w:uiPriority w:val="0"/>
    <w:pPr>
      <w:tabs>
        <w:tab w:val="left" w:pos="840"/>
      </w:tabs>
      <w:adjustRightInd/>
      <w:ind w:left="840" w:hanging="420"/>
    </w:pPr>
  </w:style>
  <w:style w:type="paragraph" w:customStyle="1" w:styleId="629">
    <w:name w:val="样式 标题 2标题2H2Heading 2 HiddenHeading 2 CCBSheading 22nd lev..."/>
    <w:basedOn w:val="6"/>
    <w:autoRedefine/>
    <w:qFormat/>
    <w:uiPriority w:val="0"/>
    <w:pPr>
      <w:widowControl/>
      <w:spacing w:before="260" w:after="260" w:line="416" w:lineRule="auto"/>
      <w:ind w:left="0" w:firstLine="0"/>
    </w:pPr>
    <w:rPr>
      <w:rFonts w:ascii="Arial" w:hAnsi="Arial" w:eastAsia="黑体"/>
      <w:sz w:val="30"/>
      <w:szCs w:val="21"/>
    </w:rPr>
  </w:style>
  <w:style w:type="paragraph" w:customStyle="1" w:styleId="630">
    <w:name w:val="文本正文 Char"/>
    <w:basedOn w:val="1"/>
    <w:autoRedefine/>
    <w:qFormat/>
    <w:uiPriority w:val="0"/>
    <w:pPr>
      <w:spacing w:line="360" w:lineRule="auto"/>
      <w:ind w:firstLine="200" w:firstLineChars="200"/>
    </w:pPr>
    <w:rPr>
      <w:kern w:val="0"/>
      <w:sz w:val="24"/>
      <w:szCs w:val="20"/>
    </w:rPr>
  </w:style>
  <w:style w:type="paragraph" w:customStyle="1" w:styleId="631">
    <w:name w:val="表格"/>
    <w:basedOn w:val="1"/>
    <w:autoRedefine/>
    <w:qFormat/>
    <w:uiPriority w:val="0"/>
    <w:pPr>
      <w:snapToGrid w:val="0"/>
      <w:ind w:firstLine="42" w:firstLineChars="21"/>
    </w:pPr>
    <w:rPr>
      <w:rFonts w:ascii="宋体" w:hAnsi="宋体"/>
      <w:kern w:val="0"/>
      <w:sz w:val="20"/>
      <w:szCs w:val="20"/>
    </w:rPr>
  </w:style>
  <w:style w:type="paragraph" w:customStyle="1" w:styleId="632">
    <w:name w:val="标书标题4"/>
    <w:basedOn w:val="8"/>
    <w:autoRedefine/>
    <w:qFormat/>
    <w:uiPriority w:val="0"/>
    <w:pPr>
      <w:keepLines w:val="0"/>
      <w:snapToGrid w:val="0"/>
      <w:spacing w:before="0" w:after="0" w:line="300" w:lineRule="auto"/>
    </w:pPr>
    <w:rPr>
      <w:rFonts w:ascii="Arial Narrow" w:hAnsi="Arial Narrow" w:eastAsia="仿宋_GB2312"/>
      <w:bCs w:val="0"/>
      <w:color w:val="000000"/>
      <w:kern w:val="0"/>
      <w:szCs w:val="32"/>
      <w:lang w:val="en-US"/>
    </w:rPr>
  </w:style>
  <w:style w:type="paragraph" w:customStyle="1" w:styleId="633">
    <w:name w:val="插图题注"/>
    <w:next w:val="1"/>
    <w:autoRedefine/>
    <w:qFormat/>
    <w:uiPriority w:val="0"/>
    <w:pPr>
      <w:tabs>
        <w:tab w:val="left" w:pos="3780"/>
      </w:tabs>
      <w:spacing w:after="312" w:afterLines="100"/>
      <w:ind w:left="1089" w:hanging="369"/>
      <w:jc w:val="center"/>
    </w:pPr>
    <w:rPr>
      <w:rFonts w:ascii="Arial" w:hAnsi="Arial" w:eastAsia="宋体" w:cs="Times New Roman"/>
      <w:sz w:val="18"/>
      <w:szCs w:val="18"/>
      <w:lang w:val="en-US" w:eastAsia="zh-CN" w:bidi="ar-SA"/>
    </w:rPr>
  </w:style>
  <w:style w:type="paragraph" w:customStyle="1" w:styleId="634">
    <w:name w:val="xl91"/>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635">
    <w:name w:val="表格项目符号 2"/>
    <w:basedOn w:val="31"/>
    <w:autoRedefine/>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636">
    <w:name w:val="EB_表格"/>
    <w:basedOn w:val="1"/>
    <w:autoRedefine/>
    <w:qFormat/>
    <w:uiPriority w:val="0"/>
    <w:pPr>
      <w:adjustRightInd/>
      <w:spacing w:line="300" w:lineRule="auto"/>
      <w:jc w:val="center"/>
    </w:pPr>
  </w:style>
  <w:style w:type="paragraph" w:customStyle="1" w:styleId="637">
    <w:name w:val="_Style 6"/>
    <w:basedOn w:val="1"/>
    <w:autoRedefine/>
    <w:qFormat/>
    <w:uiPriority w:val="34"/>
    <w:pPr>
      <w:adjustRightInd/>
      <w:ind w:firstLine="420" w:firstLineChars="200"/>
    </w:pPr>
    <w:rPr>
      <w:rFonts w:eastAsia="仿宋_GB2312"/>
      <w:sz w:val="28"/>
    </w:rPr>
  </w:style>
  <w:style w:type="paragraph" w:customStyle="1" w:styleId="638">
    <w:name w:val="zTableCellBody"/>
    <w:basedOn w:val="1"/>
    <w:autoRedefine/>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639">
    <w:name w:val="button"/>
    <w:basedOn w:val="1"/>
    <w:autoRedefine/>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640">
    <w:name w:val="!大节"/>
    <w:basedOn w:val="6"/>
    <w:autoRedefine/>
    <w:qFormat/>
    <w:uiPriority w:val="0"/>
    <w:pPr>
      <w:spacing w:before="260" w:after="260" w:line="415" w:lineRule="auto"/>
      <w:ind w:left="420" w:hanging="420"/>
    </w:pPr>
    <w:rPr>
      <w:rFonts w:ascii="Arial" w:hAnsi="Arial" w:eastAsia="微软雅黑"/>
      <w:lang w:val="en-US"/>
    </w:rPr>
  </w:style>
  <w:style w:type="paragraph" w:customStyle="1" w:styleId="641">
    <w:name w:val="正文文本 22"/>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642">
    <w:name w:val="正文表标题"/>
    <w:next w:val="643"/>
    <w:autoRedefine/>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643">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44">
    <w:name w:val="Char Char Char Char Char Char"/>
    <w:basedOn w:val="1"/>
    <w:autoRedefine/>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645">
    <w:name w:val="trademark"/>
    <w:autoRedefine/>
    <w:qFormat/>
    <w:uiPriority w:val="0"/>
    <w:pPr>
      <w:spacing w:after="60"/>
    </w:pPr>
    <w:rPr>
      <w:rFonts w:ascii="Futura Bk" w:hAnsi="Futura Bk" w:eastAsia="宋体" w:cs="Times New Roman"/>
      <w:sz w:val="15"/>
      <w:lang w:val="en-US" w:eastAsia="en-US" w:bidi="ar-SA"/>
    </w:rPr>
  </w:style>
  <w:style w:type="paragraph" w:customStyle="1" w:styleId="646">
    <w:name w:val="Bullet with text 4"/>
    <w:basedOn w:val="1"/>
    <w:autoRedefine/>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647">
    <w:name w:val="Char Char1 Char Char Char Char Char Char1"/>
    <w:basedOn w:val="1"/>
    <w:autoRedefine/>
    <w:qFormat/>
    <w:uiPriority w:val="0"/>
    <w:rPr>
      <w:rFonts w:ascii="仿宋_GB2312" w:eastAsia="仿宋_GB2312"/>
      <w:b/>
      <w:sz w:val="32"/>
      <w:szCs w:val="20"/>
    </w:rPr>
  </w:style>
  <w:style w:type="paragraph" w:customStyle="1" w:styleId="648">
    <w:name w:val="大汉方案正文"/>
    <w:basedOn w:val="1"/>
    <w:autoRedefine/>
    <w:qFormat/>
    <w:uiPriority w:val="0"/>
    <w:pPr>
      <w:adjustRightInd/>
      <w:spacing w:line="360" w:lineRule="auto"/>
      <w:ind w:firstLine="200" w:firstLineChars="200"/>
    </w:pPr>
    <w:rPr>
      <w:rFonts w:ascii="Arial" w:hAnsi="Arial"/>
      <w:sz w:val="24"/>
      <w:szCs w:val="20"/>
    </w:rPr>
  </w:style>
  <w:style w:type="paragraph" w:customStyle="1" w:styleId="649">
    <w:name w:val="Char1 Char Char Char1"/>
    <w:basedOn w:val="1"/>
    <w:autoRedefine/>
    <w:qFormat/>
    <w:uiPriority w:val="0"/>
    <w:pPr>
      <w:adjustRightInd/>
      <w:ind w:firstLine="200" w:firstLineChars="200"/>
    </w:pPr>
    <w:rPr>
      <w:rFonts w:ascii="Tahoma" w:hAnsi="Tahoma"/>
      <w:sz w:val="24"/>
      <w:szCs w:val="20"/>
    </w:rPr>
  </w:style>
  <w:style w:type="paragraph" w:customStyle="1" w:styleId="650">
    <w:name w:val="a1"/>
    <w:basedOn w:val="1"/>
    <w:autoRedefine/>
    <w:qFormat/>
    <w:uiPriority w:val="0"/>
    <w:pPr>
      <w:widowControl/>
      <w:spacing w:line="300" w:lineRule="atLeast"/>
      <w:jc w:val="left"/>
    </w:pPr>
    <w:rPr>
      <w:rFonts w:ascii="宋体" w:hAnsi="宋体"/>
      <w:kern w:val="0"/>
      <w:sz w:val="18"/>
      <w:szCs w:val="20"/>
    </w:rPr>
  </w:style>
  <w:style w:type="paragraph" w:customStyle="1" w:styleId="651">
    <w:name w:val="样式7"/>
    <w:basedOn w:val="652"/>
    <w:next w:val="1"/>
    <w:autoRedefine/>
    <w:qFormat/>
    <w:uiPriority w:val="0"/>
    <w:pPr>
      <w:spacing w:after="156" w:afterLines="50"/>
      <w:jc w:val="left"/>
      <w:outlineLvl w:val="3"/>
    </w:pPr>
    <w:rPr>
      <w:sz w:val="24"/>
      <w:szCs w:val="24"/>
    </w:rPr>
  </w:style>
  <w:style w:type="paragraph" w:customStyle="1" w:styleId="652">
    <w:name w:val="样式4"/>
    <w:basedOn w:val="1"/>
    <w:autoRedefine/>
    <w:qFormat/>
    <w:uiPriority w:val="0"/>
    <w:pPr>
      <w:spacing w:line="360" w:lineRule="auto"/>
      <w:ind w:firstLine="420"/>
      <w:jc w:val="center"/>
      <w:outlineLvl w:val="2"/>
    </w:pPr>
    <w:rPr>
      <w:rFonts w:ascii="仿宋_GB2312" w:hAnsi="仿宋" w:eastAsia="仿宋_GB2312"/>
      <w:b/>
      <w:sz w:val="32"/>
      <w:szCs w:val="32"/>
    </w:rPr>
  </w:style>
  <w:style w:type="paragraph" w:customStyle="1" w:styleId="653">
    <w:name w:val="Char Char11 Char Char Char Char Char Char Char Char Char Char Char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654">
    <w:name w:val="main"/>
    <w:basedOn w:val="1"/>
    <w:autoRedefine/>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655">
    <w:name w:val="样式 样式2 + 左侧:  1 字符 右侧:  1 字符"/>
    <w:basedOn w:val="463"/>
    <w:autoRedefine/>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656">
    <w:name w:val="Char2 Char Char2"/>
    <w:basedOn w:val="1"/>
    <w:autoRedefine/>
    <w:qFormat/>
    <w:uiPriority w:val="0"/>
    <w:pPr>
      <w:adjustRightInd/>
    </w:pPr>
    <w:rPr>
      <w:rFonts w:ascii="Tahoma" w:hAnsi="Tahoma"/>
      <w:sz w:val="24"/>
      <w:szCs w:val="20"/>
    </w:rPr>
  </w:style>
  <w:style w:type="paragraph" w:customStyle="1" w:styleId="657">
    <w:name w:val="Char1 Char Char Char"/>
    <w:basedOn w:val="1"/>
    <w:autoRedefine/>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658">
    <w:name w:val="三级条标题"/>
    <w:basedOn w:val="659"/>
    <w:next w:val="643"/>
    <w:autoRedefine/>
    <w:qFormat/>
    <w:uiPriority w:val="0"/>
    <w:pPr>
      <w:tabs>
        <w:tab w:val="left" w:pos="1260"/>
        <w:tab w:val="left" w:pos="1680"/>
        <w:tab w:val="left" w:pos="2100"/>
        <w:tab w:val="left" w:pos="2520"/>
      </w:tabs>
      <w:ind w:left="2520"/>
      <w:outlineLvl w:val="4"/>
    </w:pPr>
  </w:style>
  <w:style w:type="paragraph" w:customStyle="1" w:styleId="659">
    <w:name w:val="二级条标题"/>
    <w:basedOn w:val="660"/>
    <w:next w:val="643"/>
    <w:autoRedefine/>
    <w:qFormat/>
    <w:uiPriority w:val="0"/>
    <w:pPr>
      <w:tabs>
        <w:tab w:val="left" w:pos="1260"/>
        <w:tab w:val="left" w:pos="1680"/>
        <w:tab w:val="left" w:pos="2100"/>
      </w:tabs>
      <w:ind w:left="0"/>
      <w:outlineLvl w:val="3"/>
    </w:pPr>
  </w:style>
  <w:style w:type="paragraph" w:customStyle="1" w:styleId="660">
    <w:name w:val="一级条标题"/>
    <w:basedOn w:val="661"/>
    <w:next w:val="643"/>
    <w:autoRedefine/>
    <w:qFormat/>
    <w:uiPriority w:val="0"/>
    <w:pPr>
      <w:tabs>
        <w:tab w:val="left" w:pos="1260"/>
        <w:tab w:val="left" w:pos="1680"/>
      </w:tabs>
      <w:spacing w:before="0" w:beforeLines="0" w:after="0" w:afterLines="0"/>
      <w:ind w:left="1680"/>
      <w:outlineLvl w:val="2"/>
    </w:pPr>
  </w:style>
  <w:style w:type="paragraph" w:customStyle="1" w:styleId="661">
    <w:name w:val="章标题"/>
    <w:next w:val="643"/>
    <w:autoRedefine/>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62">
    <w:name w:val="数字标题2"/>
    <w:basedOn w:val="6"/>
    <w:next w:val="1"/>
    <w:autoRedefine/>
    <w:qFormat/>
    <w:uiPriority w:val="0"/>
    <w:pPr>
      <w:tabs>
        <w:tab w:val="left" w:pos="480"/>
      </w:tabs>
      <w:ind w:left="480" w:hanging="480"/>
    </w:pPr>
    <w:rPr>
      <w:rFonts w:ascii="Times New Roman" w:eastAsia="宋体"/>
      <w:i/>
      <w:sz w:val="36"/>
      <w:szCs w:val="36"/>
      <w:lang w:val="en-US"/>
    </w:rPr>
  </w:style>
  <w:style w:type="paragraph" w:customStyle="1" w:styleId="663">
    <w:name w:val="tabletex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664">
    <w:name w:val="样式 标题 1Level 1 HeadPIM 1Section Headh1l11Heading 0Datash..."/>
    <w:basedOn w:val="5"/>
    <w:autoRedefine/>
    <w:qFormat/>
    <w:uiPriority w:val="0"/>
    <w:pPr>
      <w:keepNext w:val="0"/>
      <w:keepLines w:val="0"/>
      <w:widowControl/>
      <w:overflowPunct w:val="0"/>
      <w:autoSpaceDE w:val="0"/>
      <w:autoSpaceDN w:val="0"/>
      <w:spacing w:before="0" w:after="100" w:line="360" w:lineRule="auto"/>
      <w:ind w:left="0" w:firstLine="0"/>
      <w:jc w:val="left"/>
      <w:textAlignment w:val="baseline"/>
    </w:pPr>
    <w:rPr>
      <w:rFonts w:ascii="宋体" w:hAnsi="宋体"/>
      <w:kern w:val="2"/>
      <w:sz w:val="24"/>
      <w:szCs w:val="20"/>
    </w:rPr>
  </w:style>
  <w:style w:type="paragraph" w:customStyle="1" w:styleId="665">
    <w:name w:val="xl2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66">
    <w:name w:val="样式 标题 1章节第一层h1H"/>
    <w:basedOn w:val="5"/>
    <w:autoRedefine/>
    <w:qFormat/>
    <w:uiPriority w:val="0"/>
    <w:pPr>
      <w:keepNext w:val="0"/>
      <w:keepLines w:val="0"/>
      <w:autoSpaceDE w:val="0"/>
      <w:autoSpaceDN w:val="0"/>
      <w:spacing w:before="0" w:after="0" w:line="240" w:lineRule="auto"/>
      <w:ind w:left="0" w:firstLine="0"/>
      <w:jc w:val="left"/>
      <w:outlineLvl w:val="9"/>
    </w:pPr>
    <w:rPr>
      <w:kern w:val="0"/>
      <w:sz w:val="52"/>
      <w:szCs w:val="52"/>
      <w:lang w:val="zh-CN"/>
    </w:rPr>
  </w:style>
  <w:style w:type="paragraph" w:customStyle="1" w:styleId="667">
    <w:name w:val="xl30"/>
    <w:basedOn w:val="1"/>
    <w:autoRedefine/>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668">
    <w:name w:val="正文 项目2"/>
    <w:basedOn w:val="669"/>
    <w:autoRedefine/>
    <w:qFormat/>
    <w:uiPriority w:val="0"/>
    <w:pPr>
      <w:tabs>
        <w:tab w:val="left" w:pos="840"/>
      </w:tabs>
      <w:spacing w:after="0"/>
      <w:ind w:left="900"/>
    </w:pPr>
  </w:style>
  <w:style w:type="paragraph" w:customStyle="1" w:styleId="669">
    <w:name w:val="正文 项目"/>
    <w:basedOn w:val="1"/>
    <w:autoRedefine/>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670">
    <w:name w:val="Body Text 2*"/>
    <w:basedOn w:val="1"/>
    <w:autoRedefine/>
    <w:qFormat/>
    <w:uiPriority w:val="6"/>
    <w:pPr>
      <w:widowControl/>
      <w:adjustRightInd/>
      <w:ind w:left="720" w:hanging="720"/>
    </w:pPr>
    <w:rPr>
      <w:color w:val="000000"/>
      <w:kern w:val="0"/>
      <w:sz w:val="24"/>
      <w:szCs w:val="20"/>
      <w:lang w:val="en-GB"/>
    </w:rPr>
  </w:style>
  <w:style w:type="paragraph" w:customStyle="1" w:styleId="671">
    <w:name w:val="表1"/>
    <w:basedOn w:val="1"/>
    <w:autoRedefine/>
    <w:qFormat/>
    <w:uiPriority w:val="0"/>
    <w:pPr>
      <w:tabs>
        <w:tab w:val="left" w:pos="703"/>
      </w:tabs>
      <w:adjustRightInd/>
      <w:spacing w:line="360" w:lineRule="auto"/>
      <w:ind w:left="703"/>
      <w:jc w:val="center"/>
    </w:pPr>
  </w:style>
  <w:style w:type="paragraph" w:customStyle="1" w:styleId="672">
    <w:name w:val="_Style 27"/>
    <w:autoRedefine/>
    <w:qFormat/>
    <w:uiPriority w:val="1"/>
    <w:pPr>
      <w:widowControl w:val="0"/>
      <w:tabs>
        <w:tab w:val="left" w:pos="480"/>
      </w:tabs>
      <w:autoSpaceDE w:val="0"/>
      <w:autoSpaceDN w:val="0"/>
      <w:adjustRightInd w:val="0"/>
      <w:snapToGrid w:val="0"/>
    </w:pPr>
    <w:rPr>
      <w:rFonts w:ascii="Calibri" w:hAnsi="Calibri" w:eastAsia="宋体" w:cs="Times New Roman"/>
      <w:szCs w:val="24"/>
      <w:lang w:val="en-US" w:eastAsia="zh-CN" w:bidi="ar-SA"/>
    </w:rPr>
  </w:style>
  <w:style w:type="paragraph" w:customStyle="1" w:styleId="673">
    <w:name w:val="样式 样式 标题 4 + 非加粗 + (中文) 黑体 段前: 0 磅 段后: 0 磅 行距: 固定值 22 磅"/>
    <w:basedOn w:val="1"/>
    <w:autoRedefine/>
    <w:qFormat/>
    <w:uiPriority w:val="0"/>
    <w:pPr>
      <w:keepNext/>
      <w:keepLines/>
      <w:adjustRightInd/>
      <w:spacing w:beforeLines="50" w:afterLines="50" w:line="500" w:lineRule="exact"/>
      <w:outlineLvl w:val="3"/>
    </w:pPr>
    <w:rPr>
      <w:rFonts w:ascii="Arial" w:hAnsi="Arial"/>
      <w:b/>
      <w:bCs/>
      <w:sz w:val="24"/>
    </w:rPr>
  </w:style>
  <w:style w:type="paragraph" w:customStyle="1" w:styleId="674">
    <w:name w:val="章正文"/>
    <w:basedOn w:val="1"/>
    <w:autoRedefine/>
    <w:qFormat/>
    <w:uiPriority w:val="0"/>
    <w:pPr>
      <w:adjustRightInd/>
      <w:spacing w:before="156" w:beforeLines="50" w:after="120" w:line="300" w:lineRule="auto"/>
      <w:ind w:firstLine="480" w:firstLineChars="200"/>
    </w:pPr>
    <w:rPr>
      <w:rFonts w:ascii="Helvetica" w:hAnsi="Helvetica"/>
      <w:kern w:val="0"/>
      <w:sz w:val="24"/>
    </w:rPr>
  </w:style>
  <w:style w:type="paragraph" w:customStyle="1" w:styleId="675">
    <w:name w:val="2级标题"/>
    <w:basedOn w:val="676"/>
    <w:autoRedefine/>
    <w:qFormat/>
    <w:uiPriority w:val="0"/>
    <w:pPr>
      <w:jc w:val="left"/>
      <w:outlineLvl w:val="1"/>
    </w:pPr>
    <w:rPr>
      <w:rFonts w:ascii="Times New Roman" w:hAnsi="Times New Roman" w:eastAsia="仿宋"/>
      <w:sz w:val="30"/>
    </w:rPr>
  </w:style>
  <w:style w:type="paragraph" w:customStyle="1" w:styleId="676">
    <w:name w:val="1级标题"/>
    <w:basedOn w:val="1"/>
    <w:autoRedefine/>
    <w:qFormat/>
    <w:uiPriority w:val="0"/>
    <w:pPr>
      <w:adjustRightInd/>
      <w:spacing w:before="31" w:beforeLines="10" w:after="31" w:afterLines="10" w:line="360" w:lineRule="auto"/>
      <w:jc w:val="center"/>
      <w:outlineLvl w:val="0"/>
    </w:pPr>
    <w:rPr>
      <w:rFonts w:ascii="Calibri" w:hAnsi="Calibri"/>
      <w:b/>
      <w:sz w:val="44"/>
      <w:szCs w:val="22"/>
    </w:rPr>
  </w:style>
  <w:style w:type="paragraph" w:customStyle="1" w:styleId="677">
    <w:name w:val="正文 New New New New"/>
    <w:autoRedefine/>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678">
    <w:name w:val="样式 微软雅黑 行距: 1.5 倍行距"/>
    <w:basedOn w:val="1"/>
    <w:autoRedefine/>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679">
    <w:name w:val="xl3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680">
    <w:name w:val="xl33"/>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681">
    <w:name w:val="bullet"/>
    <w:basedOn w:val="1"/>
    <w:autoRedefine/>
    <w:qFormat/>
    <w:uiPriority w:val="0"/>
    <w:pPr>
      <w:tabs>
        <w:tab w:val="left" w:pos="840"/>
      </w:tabs>
      <w:adjustRightInd/>
      <w:ind w:left="840" w:hanging="420"/>
    </w:pPr>
  </w:style>
  <w:style w:type="paragraph" w:customStyle="1" w:styleId="682">
    <w:name w:val="f9a style88 f9a"/>
    <w:basedOn w:val="1"/>
    <w:autoRedefine/>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683">
    <w:name w:val="普通正文"/>
    <w:basedOn w:val="1"/>
    <w:autoRedefine/>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684">
    <w:name w:val="说明"/>
    <w:basedOn w:val="1"/>
    <w:autoRedefine/>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685">
    <w:name w:val="xl55"/>
    <w:basedOn w:val="1"/>
    <w:autoRedefine/>
    <w:qFormat/>
    <w:uiPriority w:val="0"/>
    <w:pPr>
      <w:widowControl/>
      <w:adjustRightInd/>
      <w:spacing w:before="100" w:beforeAutospacing="1" w:after="100" w:afterAutospacing="1"/>
      <w:jc w:val="center"/>
      <w:textAlignment w:val="center"/>
    </w:pPr>
    <w:rPr>
      <w:rFonts w:ascii="Arial Unicode MS" w:hAnsi="Arial Unicode MS"/>
      <w:kern w:val="0"/>
      <w:sz w:val="24"/>
    </w:rPr>
  </w:style>
  <w:style w:type="paragraph" w:customStyle="1" w:styleId="686">
    <w:name w:val="Preformatted Text"/>
    <w:basedOn w:val="1"/>
    <w:autoRedefine/>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687">
    <w:name w:val="xl25"/>
    <w:basedOn w:val="1"/>
    <w:autoRedefine/>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688">
    <w:name w:val="xl73"/>
    <w:basedOn w:val="1"/>
    <w:autoRedefine/>
    <w:qFormat/>
    <w:uiPriority w:val="0"/>
    <w:pPr>
      <w:widowControl/>
      <w:adjustRightInd/>
      <w:spacing w:before="100" w:beforeAutospacing="1" w:after="100" w:afterAutospacing="1"/>
      <w:jc w:val="left"/>
    </w:pPr>
    <w:rPr>
      <w:rFonts w:ascii="微软雅黑" w:hAnsi="微软雅黑" w:eastAsia="微软雅黑" w:cs="宋体"/>
      <w:kern w:val="0"/>
      <w:sz w:val="20"/>
      <w:szCs w:val="20"/>
    </w:rPr>
  </w:style>
  <w:style w:type="paragraph" w:customStyle="1" w:styleId="689">
    <w:name w:val="MM Topic 4"/>
    <w:basedOn w:val="8"/>
    <w:autoRedefine/>
    <w:qFormat/>
    <w:uiPriority w:val="0"/>
    <w:pPr>
      <w:tabs>
        <w:tab w:val="left" w:pos="2100"/>
      </w:tabs>
      <w:adjustRightInd/>
      <w:ind w:left="2100" w:hanging="420"/>
    </w:pPr>
    <w:rPr>
      <w:lang w:val="en-US"/>
    </w:rPr>
  </w:style>
  <w:style w:type="paragraph" w:customStyle="1" w:styleId="690">
    <w:name w:val="Char11"/>
    <w:basedOn w:val="1"/>
    <w:autoRedefine/>
    <w:qFormat/>
    <w:uiPriority w:val="0"/>
    <w:pPr>
      <w:tabs>
        <w:tab w:val="left" w:pos="432"/>
      </w:tabs>
      <w:adjustRightInd/>
      <w:spacing w:before="156" w:beforeLines="50" w:after="156" w:afterLines="50"/>
      <w:ind w:left="432" w:hanging="432" w:firstLineChars="200"/>
    </w:pPr>
    <w:rPr>
      <w:sz w:val="24"/>
    </w:rPr>
  </w:style>
  <w:style w:type="paragraph" w:customStyle="1" w:styleId="691">
    <w:name w:val="gjt_正文"/>
    <w:autoRedefine/>
    <w:qFormat/>
    <w:uiPriority w:val="0"/>
    <w:pPr>
      <w:widowControl w:val="0"/>
      <w:spacing w:line="360" w:lineRule="auto"/>
      <w:ind w:firstLine="420"/>
      <w:jc w:val="both"/>
    </w:pPr>
    <w:rPr>
      <w:rFonts w:ascii="Calibri" w:hAnsi="Calibri" w:eastAsia="仿宋_GB2312" w:cs="Times New Roman"/>
      <w:color w:val="000000"/>
      <w:kern w:val="2"/>
      <w:sz w:val="24"/>
      <w:szCs w:val="24"/>
      <w:u w:color="000000"/>
      <w:lang w:val="en-US" w:eastAsia="zh-CN" w:bidi="ar-SA"/>
    </w:rPr>
  </w:style>
  <w:style w:type="paragraph" w:customStyle="1" w:styleId="692">
    <w:name w:val="Char Char11 Char Char Char Char Char Char Char Char Char1"/>
    <w:basedOn w:val="1"/>
    <w:autoRedefine/>
    <w:qFormat/>
    <w:uiPriority w:val="6"/>
    <w:pPr>
      <w:spacing w:line="360" w:lineRule="auto"/>
    </w:pPr>
    <w:rPr>
      <w:szCs w:val="20"/>
    </w:rPr>
  </w:style>
  <w:style w:type="paragraph" w:customStyle="1" w:styleId="693">
    <w:name w:val="金宏发行正文 Char"/>
    <w:basedOn w:val="1"/>
    <w:autoRedefine/>
    <w:qFormat/>
    <w:uiPriority w:val="0"/>
    <w:pPr>
      <w:adjustRightInd/>
      <w:spacing w:line="500" w:lineRule="exact"/>
      <w:ind w:firstLine="560" w:firstLineChars="200"/>
    </w:pPr>
    <w:rPr>
      <w:rFonts w:eastAsia="仿宋_GB2312"/>
      <w:sz w:val="28"/>
      <w:szCs w:val="20"/>
    </w:rPr>
  </w:style>
  <w:style w:type="paragraph" w:customStyle="1" w:styleId="694">
    <w:name w:val="批注框文本1"/>
    <w:basedOn w:val="1"/>
    <w:autoRedefine/>
    <w:qFormat/>
    <w:uiPriority w:val="0"/>
    <w:pPr>
      <w:autoSpaceDE w:val="0"/>
      <w:autoSpaceDN w:val="0"/>
      <w:spacing w:line="351" w:lineRule="atLeast"/>
      <w:ind w:firstLine="419" w:firstLineChars="200"/>
    </w:pPr>
    <w:rPr>
      <w:color w:val="000000"/>
      <w:kern w:val="0"/>
      <w:sz w:val="18"/>
      <w:szCs w:val="18"/>
    </w:rPr>
  </w:style>
  <w:style w:type="paragraph" w:customStyle="1" w:styleId="695">
    <w:name w:val="body text bold"/>
    <w:basedOn w:val="3"/>
    <w:autoRedefine/>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696">
    <w:name w:val="部分1"/>
    <w:basedOn w:val="1"/>
    <w:autoRedefine/>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697">
    <w:name w:val="xl6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98">
    <w:name w:val="正文文字格式"/>
    <w:basedOn w:val="1"/>
    <w:autoRedefine/>
    <w:qFormat/>
    <w:uiPriority w:val="0"/>
    <w:pPr>
      <w:adjustRightInd/>
      <w:spacing w:line="460" w:lineRule="exact"/>
      <w:ind w:firstLine="505"/>
      <w:jc w:val="left"/>
    </w:pPr>
    <w:rPr>
      <w:rFonts w:ascii="宋体"/>
      <w:kern w:val="24"/>
      <w:sz w:val="24"/>
      <w:szCs w:val="20"/>
    </w:rPr>
  </w:style>
  <w:style w:type="paragraph" w:customStyle="1" w:styleId="699">
    <w:name w:val="xl31"/>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700">
    <w:name w:val="xl40"/>
    <w:basedOn w:val="1"/>
    <w:autoRedefine/>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701">
    <w:name w:val="style25"/>
    <w:basedOn w:val="1"/>
    <w:autoRedefine/>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702">
    <w:name w:val="单元格居中"/>
    <w:basedOn w:val="1"/>
    <w:autoRedefine/>
    <w:qFormat/>
    <w:uiPriority w:val="0"/>
    <w:pPr>
      <w:adjustRightInd/>
      <w:spacing w:line="360" w:lineRule="auto"/>
      <w:jc w:val="center"/>
    </w:pPr>
    <w:rPr>
      <w:sz w:val="24"/>
    </w:rPr>
  </w:style>
  <w:style w:type="paragraph" w:customStyle="1" w:styleId="703">
    <w:name w:val="正文3"/>
    <w:basedOn w:val="1"/>
    <w:autoRedefine/>
    <w:qFormat/>
    <w:uiPriority w:val="0"/>
    <w:pPr>
      <w:adjustRightInd/>
      <w:spacing w:before="156" w:beforeLines="50" w:after="156" w:afterLines="50" w:line="360" w:lineRule="auto"/>
      <w:outlineLvl w:val="8"/>
    </w:pPr>
    <w:rPr>
      <w:rFonts w:ascii="Segoe UI" w:hAnsi="宋体" w:eastAsia="楷体_GB2312" w:cs="Latha"/>
      <w:sz w:val="24"/>
      <w:szCs w:val="21"/>
    </w:rPr>
  </w:style>
  <w:style w:type="paragraph" w:customStyle="1" w:styleId="704">
    <w:name w:val="Char Char Char Char Char Char Char1"/>
    <w:basedOn w:val="1"/>
    <w:autoRedefine/>
    <w:qFormat/>
    <w:uiPriority w:val="6"/>
    <w:rPr>
      <w:rFonts w:ascii="仿宋_GB2312" w:eastAsia="仿宋_GB2312"/>
      <w:b/>
      <w:sz w:val="32"/>
      <w:szCs w:val="32"/>
    </w:rPr>
  </w:style>
  <w:style w:type="paragraph" w:customStyle="1" w:styleId="705">
    <w:name w:val="正文缩进1"/>
    <w:basedOn w:val="1"/>
    <w:next w:val="26"/>
    <w:autoRedefine/>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706">
    <w:name w:val="Ñù"/>
    <w:autoRedefine/>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707">
    <w:name w:val="Char3 Char Char Char11"/>
    <w:basedOn w:val="1"/>
    <w:autoRedefine/>
    <w:qFormat/>
    <w:uiPriority w:val="0"/>
    <w:pPr>
      <w:widowControl/>
      <w:adjustRightInd/>
      <w:spacing w:after="160" w:line="240" w:lineRule="exact"/>
      <w:jc w:val="left"/>
    </w:pPr>
    <w:rPr>
      <w:szCs w:val="20"/>
    </w:rPr>
  </w:style>
  <w:style w:type="paragraph" w:customStyle="1" w:styleId="708">
    <w:name w:val="Char Char1121"/>
    <w:basedOn w:val="1"/>
    <w:autoRedefine/>
    <w:qFormat/>
    <w:uiPriority w:val="0"/>
    <w:pPr>
      <w:spacing w:line="360" w:lineRule="auto"/>
    </w:pPr>
    <w:rPr>
      <w:szCs w:val="20"/>
    </w:rPr>
  </w:style>
  <w:style w:type="paragraph" w:customStyle="1" w:styleId="709">
    <w:name w:val="小项目标题"/>
    <w:basedOn w:val="1"/>
    <w:autoRedefine/>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710">
    <w:name w:val="gjt_4"/>
    <w:next w:val="1"/>
    <w:autoRedefine/>
    <w:qFormat/>
    <w:uiPriority w:val="0"/>
    <w:pPr>
      <w:keepNext/>
      <w:keepLines/>
      <w:widowControl w:val="0"/>
      <w:spacing w:before="280" w:after="290"/>
      <w:ind w:left="430" w:hanging="430"/>
      <w:jc w:val="both"/>
      <w:outlineLvl w:val="8"/>
    </w:pPr>
    <w:rPr>
      <w:rFonts w:ascii="Calibri" w:hAnsi="Calibri" w:eastAsia="黑体" w:cs="Times New Roman"/>
      <w:bCs/>
      <w:color w:val="000000"/>
      <w:kern w:val="2"/>
      <w:sz w:val="24"/>
      <w:szCs w:val="24"/>
      <w:u w:color="000000"/>
      <w:lang w:val="en-US" w:eastAsia="zh-CN" w:bidi="ar-SA"/>
    </w:rPr>
  </w:style>
  <w:style w:type="paragraph" w:customStyle="1" w:styleId="711">
    <w:name w:val="Normal0"/>
    <w:autoRedefine/>
    <w:qFormat/>
    <w:uiPriority w:val="0"/>
    <w:rPr>
      <w:rFonts w:ascii="Times New Roman" w:hAnsi="Times New Roman" w:eastAsia="宋体" w:cs="Times New Roman"/>
      <w:lang w:val="en-US" w:eastAsia="en-US" w:bidi="ar-SA"/>
    </w:rPr>
  </w:style>
  <w:style w:type="paragraph" w:customStyle="1" w:styleId="712">
    <w:name w:val="带编号样式"/>
    <w:basedOn w:val="630"/>
    <w:autoRedefine/>
    <w:qFormat/>
    <w:uiPriority w:val="0"/>
    <w:pPr>
      <w:tabs>
        <w:tab w:val="left" w:pos="840"/>
      </w:tabs>
      <w:snapToGrid w:val="0"/>
      <w:ind w:left="840" w:hanging="420" w:firstLineChars="0"/>
    </w:pPr>
    <w:rPr>
      <w:rFonts w:ascii="仿宋_GB2312" w:eastAsia="仿宋_GB2312"/>
      <w:color w:val="000000"/>
    </w:rPr>
  </w:style>
  <w:style w:type="paragraph" w:customStyle="1" w:styleId="713">
    <w:name w:val="msonormal"/>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714">
    <w:name w:val="方形箭头"/>
    <w:basedOn w:val="1"/>
    <w:autoRedefine/>
    <w:qFormat/>
    <w:uiPriority w:val="0"/>
    <w:pPr>
      <w:widowControl/>
      <w:tabs>
        <w:tab w:val="left" w:pos="840"/>
      </w:tabs>
      <w:adjustRightInd/>
      <w:spacing w:before="93" w:line="60" w:lineRule="atLeast"/>
      <w:ind w:left="420" w:right="200" w:hanging="420"/>
      <w:jc w:val="left"/>
    </w:pPr>
    <w:rPr>
      <w:rFonts w:ascii="Calibri" w:hAnsi="Calibri" w:cs="Calibri"/>
      <w:color w:val="000000"/>
      <w:kern w:val="0"/>
      <w:sz w:val="16"/>
      <w:szCs w:val="22"/>
    </w:rPr>
  </w:style>
  <w:style w:type="paragraph" w:customStyle="1" w:styleId="715">
    <w:name w:val="封面"/>
    <w:basedOn w:val="1"/>
    <w:autoRedefine/>
    <w:qFormat/>
    <w:uiPriority w:val="0"/>
    <w:pPr>
      <w:spacing w:line="360" w:lineRule="atLeast"/>
      <w:jc w:val="right"/>
      <w:textAlignment w:val="baseline"/>
    </w:pPr>
    <w:rPr>
      <w:rFonts w:ascii="Symbol" w:hAnsi="Symbol"/>
      <w:kern w:val="0"/>
      <w:szCs w:val="20"/>
    </w:rPr>
  </w:style>
  <w:style w:type="paragraph" w:customStyle="1" w:styleId="716">
    <w:name w:val="__正文"/>
    <w:autoRedefine/>
    <w:qFormat/>
    <w:uiPriority w:val="0"/>
    <w:pPr>
      <w:spacing w:line="360" w:lineRule="auto"/>
      <w:ind w:firstLine="200" w:firstLineChars="200"/>
    </w:pPr>
    <w:rPr>
      <w:rFonts w:ascii="Times New Roman" w:hAnsi="Times New Roman" w:eastAsia="等线" w:cs="Times New Roman"/>
      <w:kern w:val="2"/>
      <w:sz w:val="24"/>
      <w:szCs w:val="21"/>
      <w:lang w:val="en-US" w:eastAsia="zh-CN" w:bidi="ar-SA"/>
    </w:rPr>
  </w:style>
  <w:style w:type="paragraph" w:customStyle="1" w:styleId="717">
    <w:name w:val="font5"/>
    <w:basedOn w:val="1"/>
    <w:autoRedefine/>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718">
    <w:name w:val="默认段落字体 Para Char Char Char1 Char"/>
    <w:basedOn w:val="1"/>
    <w:autoRedefine/>
    <w:qFormat/>
    <w:uiPriority w:val="0"/>
    <w:pPr>
      <w:spacing w:line="240" w:lineRule="atLeast"/>
      <w:ind w:left="420" w:firstLine="420"/>
    </w:pPr>
    <w:rPr>
      <w:sz w:val="24"/>
    </w:rPr>
  </w:style>
  <w:style w:type="paragraph" w:customStyle="1" w:styleId="719">
    <w:name w:val="WW-正文文字缩进 2"/>
    <w:basedOn w:val="1"/>
    <w:autoRedefine/>
    <w:qFormat/>
    <w:uiPriority w:val="0"/>
    <w:pPr>
      <w:suppressAutoHyphens/>
      <w:adjustRightInd/>
      <w:ind w:firstLine="420"/>
    </w:pPr>
    <w:rPr>
      <w:kern w:val="1"/>
      <w:szCs w:val="20"/>
    </w:rPr>
  </w:style>
  <w:style w:type="paragraph" w:customStyle="1" w:styleId="720">
    <w:name w:val="xl41"/>
    <w:basedOn w:val="1"/>
    <w:autoRedefine/>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721">
    <w:name w:val="样式 标题 2 + 四号"/>
    <w:basedOn w:val="6"/>
    <w:autoRedefine/>
    <w:qFormat/>
    <w:uiPriority w:val="0"/>
    <w:pPr>
      <w:spacing w:before="120" w:after="120"/>
      <w:ind w:left="0" w:firstLine="0"/>
      <w:jc w:val="both"/>
    </w:pPr>
    <w:rPr>
      <w:rFonts w:ascii="宋体" w:hAnsi="Arial" w:eastAsia="宋体"/>
      <w:sz w:val="28"/>
      <w:lang w:val="en-US"/>
    </w:rPr>
  </w:style>
  <w:style w:type="paragraph" w:customStyle="1" w:styleId="722">
    <w:name w:val="有符号正文"/>
    <w:basedOn w:val="1"/>
    <w:autoRedefine/>
    <w:qFormat/>
    <w:uiPriority w:val="0"/>
    <w:pPr>
      <w:adjustRightInd/>
      <w:spacing w:line="400" w:lineRule="exact"/>
      <w:ind w:firstLine="200" w:firstLineChars="200"/>
    </w:pPr>
    <w:rPr>
      <w:rFonts w:ascii="Arial" w:hAnsi="Arial"/>
    </w:rPr>
  </w:style>
  <w:style w:type="paragraph" w:customStyle="1" w:styleId="723">
    <w:name w:val="font10"/>
    <w:basedOn w:val="1"/>
    <w:autoRedefine/>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724">
    <w:name w:val="样式 样式 正文文本缩进 + 仿宋_GB2312 小四 首行缩进:  0 厘米 行距: 1.5 倍行距 + (中文) 仿宋_GB... Char Char"/>
    <w:basedOn w:val="1"/>
    <w:autoRedefine/>
    <w:qFormat/>
    <w:uiPriority w:val="0"/>
    <w:pPr>
      <w:spacing w:line="360" w:lineRule="auto"/>
      <w:ind w:firstLine="480" w:firstLineChars="200"/>
    </w:pPr>
    <w:rPr>
      <w:rFonts w:ascii="仿宋_GB2312" w:eastAsia="新宋体"/>
      <w:sz w:val="24"/>
      <w:szCs w:val="20"/>
    </w:rPr>
  </w:style>
  <w:style w:type="paragraph" w:customStyle="1" w:styleId="725">
    <w:name w:val="4"/>
    <w:basedOn w:val="1"/>
    <w:next w:val="39"/>
    <w:autoRedefine/>
    <w:qFormat/>
    <w:uiPriority w:val="0"/>
    <w:pPr>
      <w:spacing w:after="120" w:line="480" w:lineRule="auto"/>
      <w:ind w:left="420" w:leftChars="200"/>
    </w:pPr>
    <w:rPr>
      <w:sz w:val="24"/>
      <w:szCs w:val="20"/>
    </w:rPr>
  </w:style>
  <w:style w:type="paragraph" w:customStyle="1" w:styleId="726">
    <w:name w:val="tableheading"/>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727">
    <w:name w:val="样式1"/>
    <w:basedOn w:val="1"/>
    <w:autoRedefine/>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728">
    <w:name w:val="样式 标题 3H3 + 两端对齐"/>
    <w:basedOn w:val="7"/>
    <w:autoRedefine/>
    <w:qFormat/>
    <w:uiPriority w:val="0"/>
    <w:pPr>
      <w:keepLines w:val="0"/>
      <w:spacing w:before="0" w:after="0" w:line="240" w:lineRule="auto"/>
      <w:jc w:val="left"/>
    </w:pPr>
    <w:rPr>
      <w:rFonts w:cs="宋体"/>
      <w:sz w:val="21"/>
      <w:szCs w:val="20"/>
    </w:rPr>
  </w:style>
  <w:style w:type="paragraph" w:customStyle="1" w:styleId="729">
    <w:name w:val="样式 仿宋_GB2312 小三 左侧:  1.06 厘米"/>
    <w:basedOn w:val="1"/>
    <w:autoRedefine/>
    <w:qFormat/>
    <w:uiPriority w:val="0"/>
    <w:pPr>
      <w:spacing w:line="360" w:lineRule="auto"/>
      <w:ind w:left="601"/>
    </w:pPr>
    <w:rPr>
      <w:rFonts w:ascii="仿宋_GB2312" w:eastAsia="仿宋_GB2312"/>
      <w:sz w:val="24"/>
      <w:szCs w:val="20"/>
    </w:rPr>
  </w:style>
  <w:style w:type="paragraph" w:customStyle="1" w:styleId="730">
    <w:name w:val="小标题"/>
    <w:basedOn w:val="1"/>
    <w:autoRedefine/>
    <w:qFormat/>
    <w:uiPriority w:val="0"/>
    <w:pPr>
      <w:spacing w:before="120" w:line="360" w:lineRule="atLeast"/>
      <w:ind w:left="1134"/>
      <w:jc w:val="left"/>
      <w:textAlignment w:val="baseline"/>
    </w:pPr>
    <w:rPr>
      <w:rFonts w:eastAsia="黑体"/>
      <w:kern w:val="0"/>
      <w:szCs w:val="20"/>
    </w:rPr>
  </w:style>
  <w:style w:type="paragraph" w:customStyle="1" w:styleId="731">
    <w:name w:val="节标题"/>
    <w:basedOn w:val="1"/>
    <w:autoRedefine/>
    <w:qFormat/>
    <w:uiPriority w:val="0"/>
    <w:pPr>
      <w:autoSpaceDE w:val="0"/>
      <w:autoSpaceDN w:val="0"/>
      <w:spacing w:line="289" w:lineRule="atLeast"/>
      <w:ind w:firstLine="200" w:firstLineChars="200"/>
      <w:jc w:val="center"/>
    </w:pPr>
    <w:rPr>
      <w:color w:val="000000"/>
      <w:kern w:val="0"/>
      <w:sz w:val="28"/>
      <w:szCs w:val="28"/>
    </w:rPr>
  </w:style>
  <w:style w:type="paragraph" w:customStyle="1" w:styleId="732">
    <w:name w:val="表格 表头"/>
    <w:basedOn w:val="1"/>
    <w:autoRedefine/>
    <w:qFormat/>
    <w:uiPriority w:val="0"/>
    <w:pPr>
      <w:adjustRightInd/>
      <w:spacing w:before="50" w:beforeLines="50" w:after="50" w:afterLines="50" w:line="360" w:lineRule="auto"/>
      <w:jc w:val="center"/>
    </w:pPr>
    <w:rPr>
      <w:rFonts w:ascii="微软雅黑" w:hAnsi="Calibri" w:eastAsia="微软雅黑"/>
      <w:b/>
      <w:sz w:val="28"/>
      <w:szCs w:val="20"/>
    </w:rPr>
  </w:style>
  <w:style w:type="paragraph" w:customStyle="1" w:styleId="733">
    <w:name w:val="xl75"/>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734">
    <w:name w:val="Char Char1 Char Char Char"/>
    <w:basedOn w:val="1"/>
    <w:autoRedefine/>
    <w:qFormat/>
    <w:uiPriority w:val="0"/>
    <w:rPr>
      <w:rFonts w:ascii="仿宋_GB2312" w:eastAsia="仿宋_GB2312"/>
      <w:b/>
      <w:sz w:val="32"/>
      <w:szCs w:val="20"/>
    </w:rPr>
  </w:style>
  <w:style w:type="paragraph" w:customStyle="1" w:styleId="735">
    <w:name w:val="表格题注"/>
    <w:next w:val="1"/>
    <w:autoRedefine/>
    <w:qFormat/>
    <w:uiPriority w:val="0"/>
    <w:pPr>
      <w:keepLines/>
      <w:tabs>
        <w:tab w:val="left" w:pos="4200"/>
      </w:tabs>
      <w:spacing w:before="312" w:beforeLines="100"/>
      <w:ind w:left="1089" w:hanging="369"/>
      <w:jc w:val="center"/>
    </w:pPr>
    <w:rPr>
      <w:rFonts w:ascii="Arial" w:hAnsi="Arial" w:eastAsia="宋体" w:cs="Times New Roman"/>
      <w:sz w:val="18"/>
      <w:szCs w:val="18"/>
      <w:lang w:val="en-US" w:eastAsia="zh-CN" w:bidi="ar-SA"/>
    </w:rPr>
  </w:style>
  <w:style w:type="paragraph" w:customStyle="1" w:styleId="736">
    <w:name w:val="Char Char11 Char Char Char Char Char Char Char Char Char Char Char Char Char Char Char Char Char1"/>
    <w:basedOn w:val="1"/>
    <w:autoRedefine/>
    <w:qFormat/>
    <w:uiPriority w:val="0"/>
    <w:pPr>
      <w:adjustRightInd/>
      <w:spacing w:line="360" w:lineRule="auto"/>
    </w:pPr>
    <w:rPr>
      <w:rFonts w:ascii="Arial" w:hAnsi="Arial" w:eastAsia="黑体" w:cs="Arial"/>
      <w:snapToGrid w:val="0"/>
      <w:kern w:val="0"/>
      <w:szCs w:val="21"/>
    </w:rPr>
  </w:style>
  <w:style w:type="paragraph" w:customStyle="1" w:styleId="737">
    <w:name w:val="Picture"/>
    <w:basedOn w:val="1"/>
    <w:next w:val="19"/>
    <w:autoRedefine/>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738">
    <w:name w:val="Char Char1 Char Char Char2"/>
    <w:basedOn w:val="1"/>
    <w:autoRedefine/>
    <w:qFormat/>
    <w:uiPriority w:val="0"/>
    <w:rPr>
      <w:rFonts w:ascii="仿宋_GB2312" w:eastAsia="仿宋_GB2312"/>
      <w:b/>
      <w:sz w:val="32"/>
      <w:szCs w:val="32"/>
    </w:rPr>
  </w:style>
  <w:style w:type="paragraph" w:customStyle="1" w:styleId="739">
    <w:name w:val="Char3 Char Char Char1"/>
    <w:basedOn w:val="1"/>
    <w:autoRedefine/>
    <w:qFormat/>
    <w:uiPriority w:val="6"/>
    <w:pPr>
      <w:widowControl/>
      <w:adjustRightInd/>
      <w:spacing w:after="160" w:line="240" w:lineRule="exact"/>
      <w:jc w:val="left"/>
    </w:pPr>
    <w:rPr>
      <w:szCs w:val="20"/>
    </w:rPr>
  </w:style>
  <w:style w:type="paragraph" w:customStyle="1" w:styleId="740">
    <w:name w:val="Char1 Char Char Char21"/>
    <w:basedOn w:val="1"/>
    <w:autoRedefine/>
    <w:qFormat/>
    <w:uiPriority w:val="0"/>
    <w:rPr>
      <w:rFonts w:ascii="Tahoma" w:hAnsi="Tahoma"/>
      <w:sz w:val="24"/>
      <w:szCs w:val="20"/>
    </w:rPr>
  </w:style>
  <w:style w:type="paragraph" w:customStyle="1" w:styleId="741">
    <w:name w:val="Char3 Char Char Char Char Char Char11"/>
    <w:basedOn w:val="1"/>
    <w:autoRedefine/>
    <w:qFormat/>
    <w:uiPriority w:val="0"/>
    <w:pPr>
      <w:adjustRightInd/>
      <w:spacing w:line="360" w:lineRule="auto"/>
    </w:pPr>
    <w:rPr>
      <w:rFonts w:ascii="Arial" w:hAnsi="Arial" w:eastAsia="黑体" w:cs="Arial"/>
      <w:snapToGrid w:val="0"/>
      <w:kern w:val="0"/>
      <w:szCs w:val="21"/>
    </w:rPr>
  </w:style>
  <w:style w:type="paragraph" w:customStyle="1" w:styleId="742">
    <w:name w:val="正文（标题三）"/>
    <w:basedOn w:val="1"/>
    <w:autoRedefine/>
    <w:qFormat/>
    <w:uiPriority w:val="0"/>
    <w:pPr>
      <w:spacing w:line="360" w:lineRule="auto"/>
      <w:ind w:firstLine="200" w:firstLineChars="200"/>
    </w:pPr>
    <w:rPr>
      <w:sz w:val="24"/>
    </w:rPr>
  </w:style>
  <w:style w:type="paragraph" w:customStyle="1" w:styleId="743">
    <w:name w:val="样式 正1 + 首行缩进:  2 字符"/>
    <w:basedOn w:val="1"/>
    <w:autoRedefine/>
    <w:qFormat/>
    <w:uiPriority w:val="0"/>
    <w:pPr>
      <w:adjustRightInd/>
      <w:spacing w:line="360" w:lineRule="auto"/>
      <w:ind w:firstLine="480" w:firstLineChars="200"/>
    </w:pPr>
    <w:rPr>
      <w:rFonts w:ascii="仿宋_GB2312" w:eastAsia="仿宋_GB2312"/>
      <w:sz w:val="24"/>
    </w:rPr>
  </w:style>
  <w:style w:type="paragraph" w:customStyle="1" w:styleId="744">
    <w:name w:val="xl66"/>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745">
    <w:name w:val="样式 样式 宋体 小四 段前: 7.8 磅 段后: 7.8 磅 行距: 1.5 倍行距 + 小二 首行缩进:  2 字符"/>
    <w:basedOn w:val="1"/>
    <w:autoRedefine/>
    <w:qFormat/>
    <w:uiPriority w:val="0"/>
    <w:pPr>
      <w:adjustRightInd/>
      <w:spacing w:line="360" w:lineRule="auto"/>
      <w:ind w:firstLine="480" w:firstLineChars="200"/>
    </w:pPr>
    <w:rPr>
      <w:rFonts w:ascii="宋体" w:hAnsi="宋体" w:cs="宋体"/>
      <w:sz w:val="24"/>
      <w:szCs w:val="20"/>
    </w:rPr>
  </w:style>
  <w:style w:type="paragraph" w:customStyle="1" w:styleId="746">
    <w:name w:val="Default Text"/>
    <w:basedOn w:val="1"/>
    <w:autoRedefine/>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747">
    <w:name w:val="小节标题"/>
    <w:basedOn w:val="1"/>
    <w:autoRedefine/>
    <w:qFormat/>
    <w:uiPriority w:val="0"/>
    <w:pPr>
      <w:autoSpaceDE w:val="0"/>
      <w:autoSpaceDN w:val="0"/>
      <w:spacing w:before="175" w:after="102" w:line="351" w:lineRule="atLeast"/>
      <w:ind w:firstLine="200" w:firstLineChars="200"/>
    </w:pPr>
    <w:rPr>
      <w:color w:val="000000"/>
      <w:kern w:val="0"/>
      <w:szCs w:val="21"/>
    </w:rPr>
  </w:style>
  <w:style w:type="paragraph" w:customStyle="1" w:styleId="748">
    <w:name w:val="Char1 Char Char Char4"/>
    <w:basedOn w:val="1"/>
    <w:autoRedefine/>
    <w:qFormat/>
    <w:uiPriority w:val="0"/>
    <w:pPr>
      <w:adjustRightInd/>
      <w:ind w:firstLine="200" w:firstLineChars="200"/>
    </w:pPr>
    <w:rPr>
      <w:rFonts w:ascii="Tahoma" w:hAnsi="Tahoma"/>
      <w:sz w:val="24"/>
      <w:szCs w:val="20"/>
    </w:rPr>
  </w:style>
  <w:style w:type="paragraph" w:customStyle="1" w:styleId="749">
    <w:name w:val="_标题2"/>
    <w:basedOn w:val="716"/>
    <w:next w:val="716"/>
    <w:autoRedefine/>
    <w:qFormat/>
    <w:uiPriority w:val="0"/>
    <w:pPr>
      <w:widowControl w:val="0"/>
      <w:tabs>
        <w:tab w:val="left" w:pos="480"/>
      </w:tabs>
      <w:spacing w:before="50" w:beforeLines="50" w:after="50" w:afterLines="50"/>
      <w:ind w:left="50" w:leftChars="50" w:hanging="420" w:firstLineChars="0"/>
      <w:outlineLvl w:val="1"/>
    </w:pPr>
    <w:rPr>
      <w:b/>
      <w:sz w:val="36"/>
    </w:rPr>
  </w:style>
  <w:style w:type="paragraph" w:customStyle="1" w:styleId="750">
    <w:name w:val="样式1 + (中宋体"/>
    <w:basedOn w:val="727"/>
    <w:autoRedefine/>
    <w:qFormat/>
    <w:uiPriority w:val="0"/>
    <w:pPr>
      <w:widowControl w:val="0"/>
      <w:tabs>
        <w:tab w:val="left" w:pos="1200"/>
        <w:tab w:val="clear" w:pos="1212"/>
        <w:tab w:val="clear" w:pos="3888"/>
      </w:tabs>
      <w:adjustRightInd/>
      <w:snapToGrid/>
      <w:spacing w:line="360" w:lineRule="auto"/>
      <w:ind w:left="1200" w:hanging="360" w:firstLineChars="200"/>
      <w:jc w:val="both"/>
    </w:pPr>
    <w:rPr>
      <w:kern w:val="2"/>
      <w:szCs w:val="24"/>
    </w:rPr>
  </w:style>
  <w:style w:type="paragraph" w:customStyle="1" w:styleId="751">
    <w:name w:val="xl71"/>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752">
    <w:name w:val="La0b"/>
    <w:basedOn w:val="1"/>
    <w:autoRedefine/>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753">
    <w:name w:val="正文 主体"/>
    <w:basedOn w:val="1"/>
    <w:autoRedefine/>
    <w:qFormat/>
    <w:uiPriority w:val="0"/>
    <w:pPr>
      <w:adjustRightInd/>
      <w:spacing w:line="360" w:lineRule="auto"/>
      <w:ind w:firstLine="200" w:firstLineChars="200"/>
      <w:jc w:val="left"/>
    </w:pPr>
    <w:rPr>
      <w:rFonts w:ascii="微软雅黑" w:hAnsi="Calibri" w:eastAsia="微软雅黑"/>
      <w:kern w:val="0"/>
      <w:sz w:val="24"/>
      <w:szCs w:val="20"/>
    </w:rPr>
  </w:style>
  <w:style w:type="paragraph" w:customStyle="1" w:styleId="754">
    <w:name w:val="四号　首行缩进"/>
    <w:basedOn w:val="1"/>
    <w:autoRedefine/>
    <w:qFormat/>
    <w:uiPriority w:val="0"/>
    <w:pPr>
      <w:adjustRightInd/>
      <w:spacing w:line="360" w:lineRule="auto"/>
    </w:pPr>
    <w:rPr>
      <w:rFonts w:ascii="宋体" w:hAnsi="宋体"/>
      <w:szCs w:val="20"/>
    </w:rPr>
  </w:style>
  <w:style w:type="paragraph" w:customStyle="1" w:styleId="755">
    <w:name w:val="深色列表 - 强调文字颜色 51"/>
    <w:basedOn w:val="1"/>
    <w:autoRedefine/>
    <w:qFormat/>
    <w:uiPriority w:val="0"/>
    <w:pPr>
      <w:adjustRightInd/>
      <w:spacing w:line="360" w:lineRule="auto"/>
      <w:ind w:firstLine="200" w:firstLineChars="200"/>
    </w:pPr>
    <w:rPr>
      <w:rFonts w:eastAsia="楷体_GB2312" w:cs="Lucida Sans"/>
      <w:sz w:val="24"/>
    </w:rPr>
  </w:style>
  <w:style w:type="paragraph" w:customStyle="1" w:styleId="756">
    <w:name w:val="Char Char Char Char Char Char Char Char Char Char Char1 Char"/>
    <w:basedOn w:val="1"/>
    <w:autoRedefine/>
    <w:qFormat/>
    <w:uiPriority w:val="0"/>
    <w:pPr>
      <w:adjustRightInd/>
    </w:pPr>
    <w:rPr>
      <w:rFonts w:ascii="Tahoma" w:hAnsi="Tahoma"/>
      <w:sz w:val="24"/>
    </w:rPr>
  </w:style>
  <w:style w:type="paragraph" w:customStyle="1" w:styleId="757">
    <w:name w:val="Char Char Char Char11"/>
    <w:basedOn w:val="1"/>
    <w:autoRedefine/>
    <w:qFormat/>
    <w:uiPriority w:val="0"/>
    <w:rPr>
      <w:rFonts w:ascii="Tahoma" w:hAnsi="Tahoma"/>
      <w:sz w:val="24"/>
      <w:szCs w:val="20"/>
    </w:rPr>
  </w:style>
  <w:style w:type="paragraph" w:customStyle="1" w:styleId="758">
    <w:name w:val="封面文档标题"/>
    <w:basedOn w:val="1"/>
    <w:autoRedefine/>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759">
    <w:name w:val="Char Char Char Char"/>
    <w:basedOn w:val="1"/>
    <w:autoRedefine/>
    <w:qFormat/>
    <w:uiPriority w:val="0"/>
    <w:rPr>
      <w:rFonts w:ascii="Tahoma" w:hAnsi="Tahoma"/>
      <w:sz w:val="24"/>
      <w:szCs w:val="20"/>
    </w:rPr>
  </w:style>
  <w:style w:type="paragraph" w:customStyle="1" w:styleId="760">
    <w:name w:val="标1"/>
    <w:basedOn w:val="1"/>
    <w:autoRedefine/>
    <w:qFormat/>
    <w:uiPriority w:val="0"/>
    <w:pPr>
      <w:widowControl/>
      <w:tabs>
        <w:tab w:val="left" w:pos="1020"/>
      </w:tabs>
      <w:snapToGrid w:val="0"/>
      <w:spacing w:before="312"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761">
    <w:name w:val="Char19"/>
    <w:basedOn w:val="1"/>
    <w:autoRedefine/>
    <w:qFormat/>
    <w:uiPriority w:val="0"/>
    <w:pPr>
      <w:adjustRightInd/>
    </w:pPr>
    <w:rPr>
      <w:szCs w:val="20"/>
    </w:rPr>
  </w:style>
  <w:style w:type="paragraph" w:customStyle="1" w:styleId="762">
    <w:name w:val="标书正文格式"/>
    <w:autoRedefine/>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763">
    <w:name w:val="样式8"/>
    <w:basedOn w:val="1"/>
    <w:autoRedefine/>
    <w:qFormat/>
    <w:uiPriority w:val="0"/>
    <w:pPr>
      <w:spacing w:before="156" w:beforeLines="50" w:after="156" w:afterLines="50"/>
      <w:ind w:firstLine="200" w:firstLineChars="200"/>
      <w:outlineLvl w:val="4"/>
    </w:pPr>
    <w:rPr>
      <w:rFonts w:ascii="仿宋_GB2312" w:hAnsi="宋体" w:eastAsia="仿宋_GB2312"/>
      <w:b/>
      <w:bCs/>
      <w:sz w:val="24"/>
    </w:rPr>
  </w:style>
  <w:style w:type="paragraph" w:customStyle="1" w:styleId="764">
    <w:name w:val="_Style 5"/>
    <w:basedOn w:val="1"/>
    <w:autoRedefine/>
    <w:qFormat/>
    <w:uiPriority w:val="34"/>
    <w:pPr>
      <w:adjustRightInd/>
      <w:ind w:firstLine="420" w:firstLineChars="200"/>
    </w:pPr>
    <w:rPr>
      <w:rFonts w:eastAsia="仿宋_GB2312"/>
      <w:sz w:val="28"/>
    </w:rPr>
  </w:style>
  <w:style w:type="paragraph" w:customStyle="1" w:styleId="765">
    <w:name w:val="正文文字缩进"/>
    <w:basedOn w:val="1"/>
    <w:autoRedefine/>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766">
    <w:name w:val="列出段落*"/>
    <w:basedOn w:val="1"/>
    <w:autoRedefine/>
    <w:qFormat/>
    <w:uiPriority w:val="0"/>
    <w:pPr>
      <w:adjustRightInd/>
      <w:spacing w:line="360" w:lineRule="auto"/>
      <w:ind w:firstLine="200"/>
    </w:pPr>
    <w:rPr>
      <w:rFonts w:eastAsia="楷体_GB2312" w:cs="Lucida Sans Unicode"/>
      <w:color w:val="000000"/>
      <w:kern w:val="1"/>
      <w:sz w:val="24"/>
    </w:rPr>
  </w:style>
  <w:style w:type="paragraph" w:customStyle="1" w:styleId="767">
    <w:name w:val="文章总标题"/>
    <w:basedOn w:val="1"/>
    <w:autoRedefine/>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768">
    <w:name w:val="标书表格字体格式"/>
    <w:next w:val="762"/>
    <w:autoRedefine/>
    <w:qFormat/>
    <w:uiPriority w:val="0"/>
    <w:rPr>
      <w:rFonts w:ascii="Times New Roman" w:hAnsi="Times New Roman" w:eastAsia="宋体" w:cs="Times New Roman"/>
      <w:kern w:val="2"/>
      <w:sz w:val="21"/>
      <w:szCs w:val="24"/>
      <w:lang w:val="en-US" w:eastAsia="zh-CN" w:bidi="ar-SA"/>
    </w:rPr>
  </w:style>
  <w:style w:type="paragraph" w:customStyle="1" w:styleId="769">
    <w:name w:val="Char22"/>
    <w:basedOn w:val="1"/>
    <w:autoRedefine/>
    <w:qFormat/>
    <w:uiPriority w:val="0"/>
    <w:pPr>
      <w:adjustRightInd/>
      <w:spacing w:line="360" w:lineRule="auto"/>
      <w:ind w:firstLine="480" w:firstLineChars="200"/>
    </w:pPr>
    <w:rPr>
      <w:rFonts w:ascii="仿宋_GB2312" w:eastAsia="仿宋_GB2312"/>
      <w:b/>
      <w:sz w:val="32"/>
      <w:szCs w:val="32"/>
    </w:rPr>
  </w:style>
  <w:style w:type="paragraph" w:customStyle="1" w:styleId="770">
    <w:name w:val="Char12"/>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71">
    <w:name w:val="修订3"/>
    <w:autoRedefine/>
    <w:qFormat/>
    <w:uiPriority w:val="0"/>
    <w:rPr>
      <w:rFonts w:ascii="Times New Roman" w:hAnsi="Times New Roman" w:eastAsia="宋体" w:cs="Times New Roman"/>
      <w:kern w:val="2"/>
      <w:sz w:val="21"/>
      <w:lang w:val="en-US" w:eastAsia="zh-CN" w:bidi="ar-SA"/>
    </w:rPr>
  </w:style>
  <w:style w:type="paragraph" w:customStyle="1" w:styleId="772">
    <w:name w:val="CSS1级正文 Char"/>
    <w:basedOn w:val="3"/>
    <w:autoRedefine/>
    <w:qFormat/>
    <w:uiPriority w:val="0"/>
    <w:pPr>
      <w:autoSpaceDE/>
      <w:autoSpaceDN/>
      <w:snapToGrid w:val="0"/>
      <w:ind w:firstLine="480" w:firstLineChars="200"/>
    </w:pPr>
    <w:rPr>
      <w:rFonts w:ascii="Times New Roman"/>
      <w:szCs w:val="24"/>
      <w:lang w:val="en-US"/>
    </w:rPr>
  </w:style>
  <w:style w:type="paragraph" w:customStyle="1" w:styleId="773">
    <w:name w:val="无间隔21"/>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74">
    <w:name w:val="表文字"/>
    <w:autoRedefine/>
    <w:qFormat/>
    <w:uiPriority w:val="0"/>
    <w:rPr>
      <w:rFonts w:ascii="宋体" w:hAnsi="Times New Roman" w:eastAsia="宋体" w:cs="Times New Roman"/>
      <w:kern w:val="2"/>
      <w:lang w:val="en-US" w:eastAsia="zh-CN" w:bidi="ar-SA"/>
    </w:rPr>
  </w:style>
  <w:style w:type="paragraph" w:customStyle="1" w:styleId="775">
    <w:name w:val="MM Title"/>
    <w:basedOn w:val="60"/>
    <w:autoRedefine/>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776">
    <w:name w:val="缺省文本"/>
    <w:basedOn w:val="1"/>
    <w:autoRedefine/>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777">
    <w:name w:val="Char Char Char Char Char Char1 Char1"/>
    <w:basedOn w:val="1"/>
    <w:autoRedefine/>
    <w:qFormat/>
    <w:uiPriority w:val="0"/>
    <w:pPr>
      <w:widowControl/>
      <w:spacing w:after="160" w:line="240" w:lineRule="exact"/>
      <w:jc w:val="left"/>
    </w:pPr>
    <w:rPr>
      <w:rFonts w:ascii="Verdana" w:hAnsi="Verdana"/>
      <w:kern w:val="0"/>
      <w:szCs w:val="20"/>
      <w:lang w:eastAsia="en-US"/>
    </w:rPr>
  </w:style>
  <w:style w:type="paragraph" w:customStyle="1" w:styleId="778">
    <w:name w:val="Char Char Char Char Char Char Char Char2"/>
    <w:basedOn w:val="1"/>
    <w:autoRedefine/>
    <w:qFormat/>
    <w:uiPriority w:val="0"/>
    <w:pPr>
      <w:tabs>
        <w:tab w:val="left" w:pos="360"/>
      </w:tabs>
    </w:pPr>
    <w:rPr>
      <w:sz w:val="24"/>
      <w:szCs w:val="20"/>
    </w:rPr>
  </w:style>
  <w:style w:type="paragraph" w:customStyle="1" w:styleId="779">
    <w:name w:val="表内文字"/>
    <w:basedOn w:val="1"/>
    <w:autoRedefine/>
    <w:qFormat/>
    <w:uiPriority w:val="0"/>
    <w:pPr>
      <w:tabs>
        <w:tab w:val="left" w:pos="1418"/>
      </w:tabs>
      <w:adjustRightInd/>
      <w:spacing w:line="360" w:lineRule="auto"/>
      <w:ind w:firstLine="420" w:firstLineChars="200"/>
      <w:jc w:val="center"/>
    </w:pPr>
    <w:rPr>
      <w:rFonts w:ascii="仿宋_GB2312" w:eastAsia="仿宋_GB2312"/>
      <w:spacing w:val="-20"/>
      <w:kern w:val="0"/>
      <w:sz w:val="24"/>
    </w:rPr>
  </w:style>
  <w:style w:type="paragraph" w:customStyle="1" w:styleId="780">
    <w:name w:val="正文文本 21"/>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781">
    <w:name w:val="中文标题 3"/>
    <w:basedOn w:val="26"/>
    <w:autoRedefine/>
    <w:qFormat/>
    <w:uiPriority w:val="0"/>
    <w:pPr>
      <w:adjustRightInd/>
      <w:spacing w:before="100" w:beforeAutospacing="1" w:after="100" w:afterAutospacing="1" w:line="360" w:lineRule="auto"/>
      <w:ind w:firstLine="482" w:firstLineChars="0"/>
    </w:pPr>
    <w:rPr>
      <w:rFonts w:ascii="Times New Roman" w:hAnsi="Times New Roman" w:eastAsia="楷体_GB2312"/>
      <w:kern w:val="28"/>
    </w:rPr>
  </w:style>
  <w:style w:type="paragraph" w:customStyle="1" w:styleId="782">
    <w:name w:val="bt_content"/>
    <w:basedOn w:val="1"/>
    <w:autoRedefine/>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783">
    <w:name w:val="标准书眉_奇数页"/>
    <w:next w:val="1"/>
    <w:autoRedefine/>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84">
    <w:name w:val="正文－恩普"/>
    <w:basedOn w:val="18"/>
    <w:autoRedefine/>
    <w:qFormat/>
    <w:uiPriority w:val="0"/>
    <w:pPr>
      <w:adjustRightInd/>
      <w:snapToGrid/>
      <w:spacing w:before="100" w:beforeAutospacing="1" w:after="100" w:afterLines="50" w:afterAutospacing="1" w:line="360" w:lineRule="auto"/>
      <w:ind w:firstLine="480" w:firstLineChars="200"/>
      <w:jc w:val="left"/>
    </w:pPr>
    <w:rPr>
      <w:rFonts w:ascii="Times New Roman"/>
      <w:snapToGrid/>
      <w:color w:val="auto"/>
      <w:kern w:val="0"/>
      <w:sz w:val="24"/>
    </w:rPr>
  </w:style>
  <w:style w:type="paragraph" w:customStyle="1" w:styleId="785">
    <w:name w:val="Char Char11 Char Char Char Char Char Char Char Char Char Char Char Char Char12"/>
    <w:basedOn w:val="1"/>
    <w:autoRedefine/>
    <w:qFormat/>
    <w:uiPriority w:val="0"/>
    <w:pPr>
      <w:adjustRightInd/>
      <w:spacing w:line="360" w:lineRule="auto"/>
    </w:pPr>
    <w:rPr>
      <w:rFonts w:ascii="Arial" w:hAnsi="Arial" w:eastAsia="黑体" w:cs="Arial"/>
      <w:snapToGrid w:val="0"/>
      <w:kern w:val="0"/>
      <w:szCs w:val="21"/>
    </w:rPr>
  </w:style>
  <w:style w:type="paragraph" w:customStyle="1" w:styleId="786">
    <w:name w:val="Char4"/>
    <w:basedOn w:val="1"/>
    <w:autoRedefine/>
    <w:qFormat/>
    <w:uiPriority w:val="0"/>
    <w:pPr>
      <w:tabs>
        <w:tab w:val="left" w:pos="432"/>
      </w:tabs>
      <w:adjustRightInd/>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787">
    <w:name w:val="p0"/>
    <w:basedOn w:val="1"/>
    <w:autoRedefine/>
    <w:qFormat/>
    <w:uiPriority w:val="0"/>
    <w:pPr>
      <w:widowControl/>
      <w:adjustRightInd/>
    </w:pPr>
    <w:rPr>
      <w:kern w:val="0"/>
      <w:szCs w:val="21"/>
    </w:rPr>
  </w:style>
  <w:style w:type="paragraph" w:customStyle="1" w:styleId="788">
    <w:name w:val="Char6"/>
    <w:basedOn w:val="1"/>
    <w:autoRedefine/>
    <w:qFormat/>
    <w:uiPriority w:val="0"/>
    <w:rPr>
      <w:rFonts w:ascii="仿宋_GB2312" w:eastAsia="仿宋_GB2312"/>
      <w:b/>
      <w:sz w:val="32"/>
      <w:szCs w:val="32"/>
    </w:rPr>
  </w:style>
  <w:style w:type="paragraph" w:customStyle="1" w:styleId="789">
    <w:name w:val="Char111"/>
    <w:basedOn w:val="1"/>
    <w:autoRedefine/>
    <w:qFormat/>
    <w:uiPriority w:val="0"/>
    <w:rPr>
      <w:rFonts w:ascii="仿宋_GB2312" w:eastAsia="仿宋_GB2312"/>
      <w:b/>
      <w:sz w:val="32"/>
      <w:szCs w:val="32"/>
    </w:rPr>
  </w:style>
  <w:style w:type="paragraph" w:customStyle="1" w:styleId="790">
    <w:name w:val="标题3"/>
    <w:basedOn w:val="7"/>
    <w:next w:val="54"/>
    <w:autoRedefine/>
    <w:qFormat/>
    <w:uiPriority w:val="0"/>
    <w:pPr>
      <w:tabs>
        <w:tab w:val="clear" w:pos="900"/>
      </w:tabs>
      <w:spacing w:after="0" w:line="360" w:lineRule="auto"/>
    </w:pPr>
    <w:rPr>
      <w:rFonts w:ascii="仿宋" w:hAnsi="仿宋" w:eastAsia="仿宋" w:cs="仿宋"/>
    </w:rPr>
  </w:style>
  <w:style w:type="paragraph" w:customStyle="1" w:styleId="791">
    <w:name w:val="xl23"/>
    <w:basedOn w:val="1"/>
    <w:autoRedefine/>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792">
    <w:name w:val="Char Char Char1"/>
    <w:basedOn w:val="1"/>
    <w:autoRedefine/>
    <w:qFormat/>
    <w:uiPriority w:val="6"/>
    <w:pPr>
      <w:widowControl/>
      <w:spacing w:after="160" w:line="240" w:lineRule="exact"/>
      <w:jc w:val="left"/>
    </w:pPr>
    <w:rPr>
      <w:rFonts w:ascii="Verdana" w:hAnsi="Verdana"/>
      <w:kern w:val="0"/>
      <w:sz w:val="20"/>
      <w:szCs w:val="20"/>
      <w:lang w:eastAsia="en-US"/>
    </w:rPr>
  </w:style>
  <w:style w:type="paragraph" w:customStyle="1" w:styleId="793">
    <w:name w:val="Char1 Char Char Char2"/>
    <w:basedOn w:val="1"/>
    <w:autoRedefine/>
    <w:qFormat/>
    <w:uiPriority w:val="0"/>
    <w:pPr>
      <w:adjustRightInd/>
      <w:ind w:firstLine="200" w:firstLineChars="200"/>
    </w:pPr>
    <w:rPr>
      <w:rFonts w:ascii="Tahoma" w:hAnsi="Tahoma"/>
      <w:sz w:val="24"/>
      <w:szCs w:val="20"/>
    </w:rPr>
  </w:style>
  <w:style w:type="paragraph" w:customStyle="1" w:styleId="794">
    <w:name w:val="列出段落11"/>
    <w:basedOn w:val="1"/>
    <w:autoRedefine/>
    <w:qFormat/>
    <w:uiPriority w:val="0"/>
    <w:pPr>
      <w:adjustRightInd/>
      <w:spacing w:line="360" w:lineRule="auto"/>
      <w:ind w:firstLine="420" w:firstLineChars="200"/>
    </w:pPr>
    <w:rPr>
      <w:rFonts w:ascii="Calibri" w:hAnsi="Calibri"/>
      <w:sz w:val="24"/>
      <w:szCs w:val="22"/>
    </w:rPr>
  </w:style>
  <w:style w:type="paragraph" w:customStyle="1" w:styleId="795">
    <w:name w:val="样式 标题 1 + 黑色 段前: 0.5 行 段后: 0.5 行1"/>
    <w:basedOn w:val="5"/>
    <w:autoRedefine/>
    <w:qFormat/>
    <w:uiPriority w:val="0"/>
    <w:pPr>
      <w:keepLines w:val="0"/>
      <w:pageBreakBefore/>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796">
    <w:name w:val="Char Char Char Char Char Char Char2"/>
    <w:basedOn w:val="1"/>
    <w:autoRedefine/>
    <w:qFormat/>
    <w:uiPriority w:val="0"/>
    <w:rPr>
      <w:rFonts w:ascii="仿宋_GB2312" w:eastAsia="仿宋_GB2312"/>
      <w:b/>
      <w:sz w:val="32"/>
      <w:szCs w:val="32"/>
    </w:rPr>
  </w:style>
  <w:style w:type="paragraph" w:customStyle="1" w:styleId="797">
    <w:name w:val="五级条标题"/>
    <w:basedOn w:val="798"/>
    <w:next w:val="643"/>
    <w:autoRedefine/>
    <w:qFormat/>
    <w:uiPriority w:val="0"/>
    <w:pPr>
      <w:tabs>
        <w:tab w:val="left" w:pos="1260"/>
        <w:tab w:val="left" w:pos="1680"/>
        <w:tab w:val="left" w:pos="2100"/>
        <w:tab w:val="left" w:pos="2940"/>
        <w:tab w:val="left" w:pos="3360"/>
      </w:tabs>
      <w:ind w:left="3360"/>
      <w:outlineLvl w:val="6"/>
    </w:pPr>
  </w:style>
  <w:style w:type="paragraph" w:customStyle="1" w:styleId="798">
    <w:name w:val="四级条标题"/>
    <w:basedOn w:val="658"/>
    <w:next w:val="643"/>
    <w:autoRedefine/>
    <w:qFormat/>
    <w:uiPriority w:val="0"/>
    <w:pPr>
      <w:tabs>
        <w:tab w:val="left" w:pos="2940"/>
        <w:tab w:val="clear" w:pos="2520"/>
      </w:tabs>
      <w:ind w:left="2940"/>
      <w:outlineLvl w:val="5"/>
    </w:pPr>
  </w:style>
  <w:style w:type="paragraph" w:customStyle="1" w:styleId="799">
    <w:name w:val="目录3"/>
    <w:basedOn w:val="1"/>
    <w:autoRedefine/>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800">
    <w:name w:val="Char23"/>
    <w:basedOn w:val="1"/>
    <w:autoRedefine/>
    <w:qFormat/>
    <w:uiPriority w:val="0"/>
    <w:rPr>
      <w:rFonts w:ascii="仿宋_GB2312" w:eastAsia="仿宋_GB2312"/>
      <w:b/>
      <w:sz w:val="32"/>
      <w:szCs w:val="32"/>
    </w:rPr>
  </w:style>
  <w:style w:type="paragraph" w:customStyle="1" w:styleId="801">
    <w:name w:val="style3"/>
    <w:basedOn w:val="1"/>
    <w:autoRedefine/>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802">
    <w:name w:val="列出段落3"/>
    <w:basedOn w:val="1"/>
    <w:autoRedefine/>
    <w:qFormat/>
    <w:uiPriority w:val="34"/>
    <w:pPr>
      <w:adjustRightInd/>
      <w:spacing w:line="360" w:lineRule="auto"/>
      <w:ind w:firstLine="420" w:firstLineChars="200"/>
    </w:pPr>
    <w:rPr>
      <w:rFonts w:ascii="Calibri" w:hAnsi="Calibri"/>
      <w:sz w:val="24"/>
      <w:szCs w:val="22"/>
    </w:rPr>
  </w:style>
  <w:style w:type="paragraph" w:customStyle="1" w:styleId="803">
    <w:name w:val="首行缩进"/>
    <w:basedOn w:val="1"/>
    <w:autoRedefine/>
    <w:qFormat/>
    <w:uiPriority w:val="0"/>
    <w:pPr>
      <w:spacing w:line="360" w:lineRule="auto"/>
      <w:ind w:firstLine="480" w:firstLineChars="200"/>
    </w:pPr>
    <w:rPr>
      <w:rFonts w:ascii="宋体"/>
      <w:sz w:val="24"/>
      <w:szCs w:val="20"/>
    </w:rPr>
  </w:style>
  <w:style w:type="paragraph" w:customStyle="1" w:styleId="804">
    <w:name w:val="默认段落字体 Para Char Char Char Char Char Char Char Char Char Char Char Char Char Char Char Char Char Char Char"/>
    <w:basedOn w:val="1"/>
    <w:autoRedefine/>
    <w:qFormat/>
    <w:uiPriority w:val="0"/>
    <w:rPr>
      <w:rFonts w:ascii="Tahoma" w:hAnsi="Tahoma"/>
      <w:sz w:val="24"/>
      <w:szCs w:val="20"/>
    </w:rPr>
  </w:style>
  <w:style w:type="paragraph" w:customStyle="1" w:styleId="805">
    <w:name w:val="单元格左对齐"/>
    <w:basedOn w:val="1"/>
    <w:autoRedefine/>
    <w:qFormat/>
    <w:uiPriority w:val="0"/>
    <w:pPr>
      <w:adjustRightInd/>
      <w:spacing w:line="360" w:lineRule="auto"/>
    </w:pPr>
    <w:rPr>
      <w:sz w:val="24"/>
    </w:rPr>
  </w:style>
  <w:style w:type="paragraph" w:customStyle="1" w:styleId="806">
    <w:name w:val="正文主体"/>
    <w:basedOn w:val="627"/>
    <w:autoRedefine/>
    <w:qFormat/>
    <w:uiPriority w:val="0"/>
  </w:style>
  <w:style w:type="paragraph" w:customStyle="1" w:styleId="807">
    <w:name w:val="font6"/>
    <w:basedOn w:val="1"/>
    <w:autoRedefine/>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808">
    <w:name w:val="Char3 Char Char Char Char Char Char1"/>
    <w:basedOn w:val="1"/>
    <w:autoRedefine/>
    <w:qFormat/>
    <w:uiPriority w:val="6"/>
    <w:pPr>
      <w:adjustRightInd/>
      <w:spacing w:line="360" w:lineRule="auto"/>
    </w:pPr>
    <w:rPr>
      <w:rFonts w:ascii="Arial" w:hAnsi="Arial" w:eastAsia="黑体" w:cs="Arial"/>
      <w:snapToGrid w:val="0"/>
      <w:kern w:val="0"/>
      <w:szCs w:val="21"/>
    </w:rPr>
  </w:style>
  <w:style w:type="paragraph" w:customStyle="1" w:styleId="809">
    <w:name w:val="样式 首行缩进:  2 字符"/>
    <w:basedOn w:val="1"/>
    <w:autoRedefine/>
    <w:qFormat/>
    <w:uiPriority w:val="0"/>
    <w:pPr>
      <w:snapToGrid w:val="0"/>
      <w:spacing w:line="360" w:lineRule="auto"/>
    </w:pPr>
    <w:rPr>
      <w:rFonts w:ascii="仿宋_GB2312" w:hAnsi="宋体" w:eastAsia="仿宋_GB2312" w:cs="宋体"/>
      <w:color w:val="000000"/>
      <w:kern w:val="0"/>
      <w:sz w:val="28"/>
      <w:szCs w:val="21"/>
    </w:rPr>
  </w:style>
  <w:style w:type="paragraph" w:customStyle="1" w:styleId="810">
    <w:name w:val="正文（首行缩进2字符）"/>
    <w:basedOn w:val="1"/>
    <w:autoRedefine/>
    <w:qFormat/>
    <w:uiPriority w:val="0"/>
    <w:pPr>
      <w:adjustRightInd/>
      <w:spacing w:line="360" w:lineRule="auto"/>
      <w:ind w:firstLine="480" w:firstLineChars="200"/>
    </w:pPr>
    <w:rPr>
      <w:sz w:val="24"/>
      <w:szCs w:val="20"/>
    </w:rPr>
  </w:style>
  <w:style w:type="paragraph" w:customStyle="1" w:styleId="811">
    <w:name w:val="P1"/>
    <w:basedOn w:val="1"/>
    <w:autoRedefine/>
    <w:qFormat/>
    <w:uiPriority w:val="0"/>
    <w:pPr>
      <w:adjustRightInd/>
      <w:spacing w:line="288" w:lineRule="auto"/>
      <w:ind w:firstLine="425" w:firstLineChars="200"/>
    </w:pPr>
  </w:style>
  <w:style w:type="paragraph" w:customStyle="1" w:styleId="812">
    <w:name w:val="列表内容"/>
    <w:basedOn w:val="1"/>
    <w:next w:val="1"/>
    <w:autoRedefine/>
    <w:qFormat/>
    <w:uiPriority w:val="0"/>
    <w:pPr>
      <w:widowControl/>
      <w:tabs>
        <w:tab w:val="left" w:pos="840"/>
      </w:tabs>
      <w:ind w:left="840" w:hanging="420"/>
      <w:jc w:val="left"/>
    </w:pPr>
    <w:rPr>
      <w:kern w:val="0"/>
      <w:sz w:val="18"/>
    </w:rPr>
  </w:style>
  <w:style w:type="paragraph" w:customStyle="1" w:styleId="813">
    <w:name w:val="Char Char11 Char Char Char1"/>
    <w:basedOn w:val="1"/>
    <w:autoRedefine/>
    <w:qFormat/>
    <w:uiPriority w:val="6"/>
    <w:pPr>
      <w:spacing w:line="360" w:lineRule="auto"/>
    </w:pPr>
    <w:rPr>
      <w:szCs w:val="20"/>
    </w:rPr>
  </w:style>
  <w:style w:type="paragraph" w:customStyle="1" w:styleId="814">
    <w:name w:val="默认段落字体 Para Char Char Char Char Char Char Char Char Char1 Char Char Char Char"/>
    <w:basedOn w:val="1"/>
    <w:autoRedefine/>
    <w:qFormat/>
    <w:uiPriority w:val="0"/>
    <w:pPr>
      <w:adjustRightInd/>
    </w:pPr>
    <w:rPr>
      <w:rFonts w:ascii="Tahoma" w:hAnsi="Tahoma"/>
      <w:sz w:val="24"/>
      <w:szCs w:val="20"/>
    </w:rPr>
  </w:style>
  <w:style w:type="paragraph" w:customStyle="1" w:styleId="815">
    <w:name w:val="Char Char Char Char Char Char11"/>
    <w:basedOn w:val="1"/>
    <w:autoRedefine/>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816">
    <w:name w:val="标题 41"/>
    <w:basedOn w:val="1"/>
    <w:next w:val="1"/>
    <w:autoRedefine/>
    <w:unhideWhenUsed/>
    <w:qFormat/>
    <w:uiPriority w:val="9"/>
    <w:pPr>
      <w:keepNext/>
      <w:keepLines/>
      <w:adjustRightInd/>
      <w:spacing w:before="280" w:after="290" w:line="376" w:lineRule="auto"/>
      <w:outlineLvl w:val="3"/>
    </w:pPr>
    <w:rPr>
      <w:rFonts w:ascii="Cambria" w:hAnsi="Cambria"/>
      <w:b/>
      <w:bCs/>
      <w:sz w:val="28"/>
      <w:szCs w:val="28"/>
    </w:rPr>
  </w:style>
  <w:style w:type="paragraph" w:customStyle="1" w:styleId="817">
    <w:name w:val="Table Contents"/>
    <w:basedOn w:val="1"/>
    <w:autoRedefine/>
    <w:qFormat/>
    <w:uiPriority w:val="0"/>
    <w:pPr>
      <w:suppressAutoHyphens/>
      <w:autoSpaceDE w:val="0"/>
      <w:spacing w:after="120"/>
      <w:jc w:val="left"/>
    </w:pPr>
    <w:rPr>
      <w:rFonts w:ascii="Helvetica" w:hAnsi="Helvetica"/>
      <w:kern w:val="1"/>
      <w:sz w:val="20"/>
      <w:szCs w:val="20"/>
    </w:rPr>
  </w:style>
  <w:style w:type="paragraph" w:customStyle="1" w:styleId="818">
    <w:name w:val="正文文字缩进2字"/>
    <w:basedOn w:val="3"/>
    <w:autoRedefine/>
    <w:qFormat/>
    <w:uiPriority w:val="0"/>
    <w:pPr>
      <w:autoSpaceDE/>
      <w:autoSpaceDN/>
      <w:adjustRightInd/>
      <w:spacing w:before="60" w:after="60"/>
      <w:ind w:firstLine="200" w:firstLineChars="200"/>
    </w:pPr>
    <w:rPr>
      <w:rFonts w:ascii="Times New Roman"/>
      <w:szCs w:val="20"/>
      <w:lang w:val="en-US"/>
    </w:rPr>
  </w:style>
  <w:style w:type="paragraph" w:customStyle="1" w:styleId="819">
    <w:name w:val="默认段落字体 Para Char Char Char Char"/>
    <w:basedOn w:val="1"/>
    <w:autoRedefine/>
    <w:qFormat/>
    <w:uiPriority w:val="0"/>
    <w:pPr>
      <w:spacing w:line="360" w:lineRule="auto"/>
    </w:pPr>
    <w:rPr>
      <w:szCs w:val="20"/>
    </w:rPr>
  </w:style>
  <w:style w:type="paragraph" w:customStyle="1" w:styleId="820">
    <w:name w:val="正文4"/>
    <w:basedOn w:val="1"/>
    <w:autoRedefine/>
    <w:qFormat/>
    <w:uiPriority w:val="0"/>
    <w:pPr>
      <w:tabs>
        <w:tab w:val="left" w:pos="720"/>
      </w:tabs>
      <w:adjustRightInd/>
      <w:spacing w:before="60" w:after="60" w:line="360" w:lineRule="auto"/>
      <w:ind w:left="575" w:leftChars="400" w:hanging="175" w:hangingChars="175"/>
    </w:pPr>
    <w:rPr>
      <w:sz w:val="24"/>
    </w:rPr>
  </w:style>
  <w:style w:type="paragraph" w:customStyle="1" w:styleId="821">
    <w:name w:val="xl8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22">
    <w:name w:val="Char2 Char Char Char2"/>
    <w:basedOn w:val="1"/>
    <w:autoRedefine/>
    <w:qFormat/>
    <w:uiPriority w:val="0"/>
    <w:rPr>
      <w:rFonts w:ascii="仿宋_GB2312" w:eastAsia="仿宋_GB2312"/>
      <w:b/>
      <w:sz w:val="32"/>
      <w:szCs w:val="32"/>
    </w:rPr>
  </w:style>
  <w:style w:type="paragraph" w:customStyle="1" w:styleId="823">
    <w:name w:val="Char1 Char Char Char Char Char Char Char Char Char"/>
    <w:basedOn w:val="1"/>
    <w:autoRedefine/>
    <w:qFormat/>
    <w:uiPriority w:val="0"/>
    <w:pPr>
      <w:adjustRightInd/>
      <w:spacing w:before="240" w:after="120" w:line="288" w:lineRule="auto"/>
      <w:ind w:firstLine="200" w:firstLineChars="200"/>
      <w:jc w:val="left"/>
    </w:pPr>
    <w:rPr>
      <w:rFonts w:ascii="Tahoma" w:hAnsi="Tahoma"/>
      <w:sz w:val="24"/>
    </w:rPr>
  </w:style>
  <w:style w:type="paragraph" w:customStyle="1" w:styleId="824">
    <w:name w:val="Char Char Char Char2"/>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825">
    <w:name w:val="正文 首行缩进:  2 字符 Char"/>
    <w:basedOn w:val="1"/>
    <w:autoRedefine/>
    <w:qFormat/>
    <w:uiPriority w:val="0"/>
    <w:pPr>
      <w:adjustRightInd/>
      <w:spacing w:line="360" w:lineRule="auto"/>
      <w:ind w:firstLine="480"/>
    </w:pPr>
    <w:rPr>
      <w:rFonts w:cs="宋体"/>
      <w:sz w:val="24"/>
      <w:szCs w:val="20"/>
    </w:rPr>
  </w:style>
  <w:style w:type="paragraph" w:customStyle="1" w:styleId="826">
    <w:name w:val="Char Char4 Char Char"/>
    <w:basedOn w:val="1"/>
    <w:autoRedefine/>
    <w:qFormat/>
    <w:uiPriority w:val="0"/>
    <w:pPr>
      <w:widowControl/>
      <w:adjustRightInd/>
      <w:spacing w:after="160" w:line="240" w:lineRule="exact"/>
      <w:jc w:val="left"/>
    </w:pPr>
  </w:style>
  <w:style w:type="paragraph" w:customStyle="1" w:styleId="827">
    <w:name w:val="目录2"/>
    <w:basedOn w:val="1"/>
    <w:autoRedefine/>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828">
    <w:name w:val="Char Char11 Char Char Char2"/>
    <w:basedOn w:val="1"/>
    <w:autoRedefine/>
    <w:qFormat/>
    <w:uiPriority w:val="0"/>
    <w:pPr>
      <w:spacing w:line="360" w:lineRule="auto"/>
    </w:pPr>
    <w:rPr>
      <w:szCs w:val="20"/>
    </w:rPr>
  </w:style>
  <w:style w:type="paragraph" w:customStyle="1" w:styleId="829">
    <w:name w:val="9"/>
    <w:autoRedefine/>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830">
    <w:name w:val="Char3 Char Char2"/>
    <w:basedOn w:val="1"/>
    <w:autoRedefine/>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831">
    <w:name w:val="数字标题4"/>
    <w:basedOn w:val="8"/>
    <w:autoRedefine/>
    <w:qFormat/>
    <w:uiPriority w:val="0"/>
    <w:pPr>
      <w:tabs>
        <w:tab w:val="left" w:pos="0"/>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832">
    <w:name w:val="表格文字（大）"/>
    <w:basedOn w:val="1"/>
    <w:autoRedefine/>
    <w:qFormat/>
    <w:uiPriority w:val="0"/>
    <w:pPr>
      <w:adjustRightInd/>
      <w:spacing w:before="20" w:after="20"/>
      <w:ind w:firstLine="200" w:firstLineChars="200"/>
    </w:pPr>
    <w:rPr>
      <w:rFonts w:ascii="Century Gothic" w:hAnsi="Century Gothic"/>
      <w:sz w:val="24"/>
      <w:szCs w:val="20"/>
    </w:rPr>
  </w:style>
  <w:style w:type="paragraph" w:customStyle="1" w:styleId="833">
    <w:name w:val="插图说明"/>
    <w:basedOn w:val="1"/>
    <w:autoRedefine/>
    <w:qFormat/>
    <w:uiPriority w:val="0"/>
    <w:pPr>
      <w:spacing w:after="240"/>
      <w:ind w:firstLine="200" w:firstLineChars="200"/>
      <w:jc w:val="center"/>
      <w:textAlignment w:val="baseline"/>
    </w:pPr>
    <w:rPr>
      <w:rFonts w:eastAsia="黑体"/>
      <w:sz w:val="24"/>
      <w:szCs w:val="20"/>
    </w:rPr>
  </w:style>
  <w:style w:type="paragraph" w:customStyle="1" w:styleId="834">
    <w:name w:val="chart text"/>
    <w:basedOn w:val="1"/>
    <w:autoRedefine/>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835">
    <w:name w:val="Char311"/>
    <w:basedOn w:val="1"/>
    <w:autoRedefine/>
    <w:qFormat/>
    <w:uiPriority w:val="0"/>
    <w:pPr>
      <w:adjustRightInd/>
      <w:ind w:firstLine="200" w:firstLineChars="200"/>
    </w:pPr>
    <w:rPr>
      <w:rFonts w:ascii="Tahoma" w:hAnsi="Tahoma"/>
      <w:sz w:val="24"/>
      <w:szCs w:val="20"/>
    </w:rPr>
  </w:style>
  <w:style w:type="paragraph" w:customStyle="1" w:styleId="836">
    <w:name w:val="正文文本 23"/>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837">
    <w:name w:val="dash bullet"/>
    <w:autoRedefine/>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838">
    <w:name w:val="正文 内标"/>
    <w:basedOn w:val="753"/>
    <w:autoRedefine/>
    <w:qFormat/>
    <w:uiPriority w:val="0"/>
    <w:pPr>
      <w:tabs>
        <w:tab w:val="left" w:pos="0"/>
      </w:tabs>
      <w:ind w:left="900" w:firstLine="0" w:firstLineChars="0"/>
    </w:pPr>
  </w:style>
  <w:style w:type="paragraph" w:customStyle="1" w:styleId="839">
    <w:name w:val="Bulleted List"/>
    <w:basedOn w:val="1"/>
    <w:autoRedefine/>
    <w:qFormat/>
    <w:uiPriority w:val="0"/>
    <w:pPr>
      <w:tabs>
        <w:tab w:val="left" w:pos="1260"/>
      </w:tabs>
      <w:adjustRightInd/>
      <w:ind w:left="1260" w:hanging="420"/>
    </w:pPr>
  </w:style>
  <w:style w:type="paragraph" w:customStyle="1" w:styleId="840">
    <w:name w:val="样式 正文文本缩进 2 + 仿宋_GB2312 黑色 行距: 1.5 倍行距"/>
    <w:basedOn w:val="39"/>
    <w:autoRedefine/>
    <w:qFormat/>
    <w:uiPriority w:val="0"/>
    <w:pPr>
      <w:adjustRightInd/>
      <w:ind w:firstLine="560" w:firstLineChars="200"/>
      <w:textAlignment w:val="auto"/>
    </w:pPr>
    <w:rPr>
      <w:rFonts w:hAnsi="宋体" w:cs="宋体"/>
      <w:color w:val="000000"/>
      <w:kern w:val="2"/>
      <w:sz w:val="24"/>
    </w:rPr>
  </w:style>
  <w:style w:type="paragraph" w:customStyle="1" w:styleId="841">
    <w:name w:val="样式 左侧:  0.85 厘米"/>
    <w:basedOn w:val="1"/>
    <w:autoRedefine/>
    <w:qFormat/>
    <w:uiPriority w:val="2"/>
    <w:pPr>
      <w:adjustRightInd/>
      <w:spacing w:line="360" w:lineRule="auto"/>
    </w:pPr>
    <w:rPr>
      <w:rFonts w:cs="宋体"/>
      <w:sz w:val="24"/>
      <w:szCs w:val="20"/>
    </w:rPr>
  </w:style>
  <w:style w:type="paragraph" w:customStyle="1" w:styleId="842">
    <w:name w:val="Char Char Char Char Char Char Char Char Char Char Char Char1 Char"/>
    <w:basedOn w:val="1"/>
    <w:autoRedefine/>
    <w:qFormat/>
    <w:uiPriority w:val="0"/>
    <w:rPr>
      <w:rFonts w:ascii="Tahoma" w:hAnsi="Tahoma" w:cs="仿宋_GB2312"/>
      <w:sz w:val="24"/>
      <w:szCs w:val="20"/>
    </w:rPr>
  </w:style>
  <w:style w:type="paragraph" w:customStyle="1" w:styleId="843">
    <w:name w:val="Char Char11 Char Char Char Char Char Char Char Char Char Char Char Char Char2"/>
    <w:basedOn w:val="1"/>
    <w:autoRedefine/>
    <w:qFormat/>
    <w:uiPriority w:val="0"/>
    <w:pPr>
      <w:adjustRightInd/>
      <w:spacing w:line="360" w:lineRule="auto"/>
    </w:pPr>
    <w:rPr>
      <w:rFonts w:ascii="Arial" w:hAnsi="Arial" w:eastAsia="黑体"/>
      <w:snapToGrid w:val="0"/>
      <w:kern w:val="0"/>
      <w:sz w:val="20"/>
      <w:szCs w:val="21"/>
    </w:rPr>
  </w:style>
  <w:style w:type="paragraph" w:customStyle="1" w:styleId="844">
    <w:name w:val="xl8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45">
    <w:name w:val="模板普通正文"/>
    <w:basedOn w:val="26"/>
    <w:autoRedefine/>
    <w:qFormat/>
    <w:uiPriority w:val="0"/>
    <w:pPr>
      <w:adjustRightInd/>
      <w:spacing w:before="156" w:beforeLines="50" w:after="10" w:line="360" w:lineRule="auto"/>
      <w:ind w:firstLine="175" w:firstLineChars="175"/>
      <w:jc w:val="left"/>
    </w:pPr>
    <w:rPr>
      <w:rFonts w:ascii="Times New Roman" w:hAnsi="Times New Roman"/>
    </w:rPr>
  </w:style>
  <w:style w:type="paragraph" w:customStyle="1" w:styleId="846">
    <w:name w:val="Char Char1 Char Char Char Char Char Char"/>
    <w:basedOn w:val="1"/>
    <w:autoRedefine/>
    <w:qFormat/>
    <w:uiPriority w:val="0"/>
    <w:rPr>
      <w:rFonts w:ascii="仿宋_GB2312" w:eastAsia="仿宋_GB2312"/>
      <w:b/>
      <w:sz w:val="32"/>
      <w:szCs w:val="20"/>
    </w:rPr>
  </w:style>
  <w:style w:type="paragraph" w:customStyle="1" w:styleId="847">
    <w:name w:val="font8"/>
    <w:basedOn w:val="1"/>
    <w:autoRedefine/>
    <w:qFormat/>
    <w:uiPriority w:val="0"/>
    <w:pPr>
      <w:widowControl/>
      <w:adjustRightInd/>
      <w:spacing w:before="100" w:beforeAutospacing="1" w:after="100" w:afterAutospacing="1"/>
      <w:jc w:val="left"/>
    </w:pPr>
    <w:rPr>
      <w:color w:val="000000"/>
      <w:kern w:val="0"/>
      <w:sz w:val="20"/>
      <w:szCs w:val="20"/>
    </w:rPr>
  </w:style>
  <w:style w:type="paragraph" w:customStyle="1" w:styleId="848">
    <w:name w:val="Char Char1 Char Char Char Char Char Char2"/>
    <w:basedOn w:val="1"/>
    <w:autoRedefine/>
    <w:qFormat/>
    <w:uiPriority w:val="0"/>
    <w:rPr>
      <w:rFonts w:ascii="仿宋_GB2312" w:eastAsia="仿宋_GB2312"/>
      <w:b/>
      <w:sz w:val="32"/>
      <w:szCs w:val="20"/>
    </w:rPr>
  </w:style>
  <w:style w:type="paragraph" w:customStyle="1" w:styleId="849">
    <w:name w:val="font13"/>
    <w:basedOn w:val="1"/>
    <w:autoRedefine/>
    <w:qFormat/>
    <w:uiPriority w:val="0"/>
    <w:pPr>
      <w:widowControl/>
      <w:adjustRightInd/>
      <w:spacing w:before="100" w:beforeAutospacing="1" w:after="100" w:afterAutospacing="1"/>
      <w:jc w:val="left"/>
    </w:pPr>
    <w:rPr>
      <w:rFonts w:ascii="宋体" w:hAnsi="宋体" w:cs="宋体"/>
      <w:kern w:val="0"/>
      <w:sz w:val="22"/>
      <w:szCs w:val="22"/>
    </w:rPr>
  </w:style>
  <w:style w:type="paragraph" w:customStyle="1" w:styleId="850">
    <w:name w:val="默认段落字体 Para Char Char Char Char Char Char Char Char Char Char"/>
    <w:basedOn w:val="1"/>
    <w:autoRedefine/>
    <w:qFormat/>
    <w:uiPriority w:val="0"/>
    <w:pPr>
      <w:adjustRightInd/>
    </w:pPr>
    <w:rPr>
      <w:rFonts w:ascii="Tahoma" w:hAnsi="Tahoma"/>
      <w:color w:val="000000"/>
      <w:sz w:val="24"/>
      <w:szCs w:val="20"/>
    </w:rPr>
  </w:style>
  <w:style w:type="paragraph" w:customStyle="1" w:styleId="851">
    <w:name w:val="legal"/>
    <w:basedOn w:val="1"/>
    <w:autoRedefine/>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852">
    <w:name w:val="xl8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853">
    <w:name w:val="Char Char Char Char Char Char1 Char2"/>
    <w:basedOn w:val="1"/>
    <w:autoRedefine/>
    <w:qFormat/>
    <w:uiPriority w:val="0"/>
    <w:pPr>
      <w:widowControl/>
      <w:spacing w:after="160" w:line="240" w:lineRule="exact"/>
      <w:jc w:val="left"/>
    </w:pPr>
    <w:rPr>
      <w:rFonts w:ascii="Verdana" w:hAnsi="Verdana"/>
      <w:kern w:val="0"/>
      <w:szCs w:val="20"/>
      <w:lang w:eastAsia="en-US"/>
    </w:rPr>
  </w:style>
  <w:style w:type="paragraph" w:customStyle="1" w:styleId="854">
    <w:name w:val="样式 首行缩进:  2 字符4"/>
    <w:basedOn w:val="1"/>
    <w:autoRedefine/>
    <w:qFormat/>
    <w:uiPriority w:val="0"/>
    <w:pPr>
      <w:adjustRightInd/>
      <w:spacing w:before="120" w:line="360" w:lineRule="auto"/>
      <w:ind w:firstLine="480" w:firstLineChars="200"/>
    </w:pPr>
    <w:rPr>
      <w:rFonts w:eastAsia="仿宋_GB2312" w:cs="宋体"/>
      <w:sz w:val="28"/>
      <w:szCs w:val="20"/>
    </w:rPr>
  </w:style>
  <w:style w:type="paragraph" w:customStyle="1" w:styleId="855">
    <w:name w:val="中等深浅网格 1 - 强调文字颜色 21"/>
    <w:basedOn w:val="1"/>
    <w:autoRedefine/>
    <w:qFormat/>
    <w:uiPriority w:val="0"/>
    <w:pPr>
      <w:spacing w:line="360" w:lineRule="auto"/>
      <w:ind w:firstLine="200" w:firstLineChars="200"/>
    </w:pPr>
    <w:rPr>
      <w:rFonts w:eastAsia="楷体_GB2312" w:cs="Lucida Sans"/>
      <w:sz w:val="24"/>
    </w:rPr>
  </w:style>
  <w:style w:type="paragraph" w:customStyle="1" w:styleId="856">
    <w:name w:val="xl8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57">
    <w:name w:val="Body Copy"/>
    <w:basedOn w:val="1"/>
    <w:autoRedefine/>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858">
    <w:name w:val="Char31"/>
    <w:basedOn w:val="1"/>
    <w:autoRedefine/>
    <w:qFormat/>
    <w:uiPriority w:val="0"/>
    <w:pPr>
      <w:adjustRightInd/>
    </w:pPr>
    <w:rPr>
      <w:rFonts w:ascii="仿宋_GB2312" w:eastAsia="仿宋_GB2312"/>
      <w:b/>
      <w:sz w:val="32"/>
      <w:szCs w:val="32"/>
    </w:rPr>
  </w:style>
  <w:style w:type="paragraph" w:customStyle="1" w:styleId="859">
    <w:name w:val="样式 标题 3h33rd level3Heading 3 - oldH3l3CTheading 3Headin..."/>
    <w:basedOn w:val="7"/>
    <w:autoRedefine/>
    <w:qFormat/>
    <w:uiPriority w:val="0"/>
    <w:pPr>
      <w:snapToGrid w:val="0"/>
      <w:ind w:left="0" w:firstLine="0"/>
      <w:jc w:val="left"/>
    </w:pPr>
    <w:rPr>
      <w:rFonts w:eastAsia="黑体" w:cs="宋体"/>
      <w:sz w:val="28"/>
      <w:szCs w:val="20"/>
    </w:rPr>
  </w:style>
  <w:style w:type="paragraph" w:customStyle="1" w:styleId="860">
    <w:name w:val="Char Char Char Char Char Char1"/>
    <w:basedOn w:val="1"/>
    <w:autoRedefine/>
    <w:qFormat/>
    <w:uiPriority w:val="6"/>
    <w:pPr>
      <w:widowControl/>
      <w:spacing w:beforeLines="50" w:afterLines="50" w:line="240" w:lineRule="exact"/>
      <w:jc w:val="left"/>
    </w:pPr>
    <w:rPr>
      <w:rFonts w:ascii="Verdana" w:hAnsi="Verdana"/>
      <w:kern w:val="0"/>
      <w:sz w:val="20"/>
      <w:szCs w:val="20"/>
      <w:lang w:eastAsia="en-US"/>
    </w:rPr>
  </w:style>
  <w:style w:type="paragraph" w:customStyle="1" w:styleId="861">
    <w:name w:val="xl9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62">
    <w:name w:val="Char Char1"/>
    <w:basedOn w:val="1"/>
    <w:autoRedefine/>
    <w:qFormat/>
    <w:uiPriority w:val="0"/>
    <w:pPr>
      <w:widowControl/>
      <w:spacing w:after="160" w:line="240" w:lineRule="exact"/>
      <w:jc w:val="left"/>
    </w:pPr>
    <w:rPr>
      <w:rFonts w:eastAsia="仿宋_GB2312"/>
      <w:sz w:val="28"/>
    </w:rPr>
  </w:style>
  <w:style w:type="paragraph" w:customStyle="1" w:styleId="863">
    <w:name w:val="Char21"/>
    <w:basedOn w:val="1"/>
    <w:autoRedefine/>
    <w:qFormat/>
    <w:uiPriority w:val="0"/>
    <w:pPr>
      <w:adjustRightInd/>
      <w:ind w:firstLine="200" w:firstLineChars="200"/>
    </w:pPr>
    <w:rPr>
      <w:rFonts w:ascii="仿宋_GB2312" w:eastAsia="仿宋_GB2312"/>
      <w:b/>
      <w:sz w:val="32"/>
      <w:szCs w:val="32"/>
    </w:rPr>
  </w:style>
  <w:style w:type="paragraph" w:customStyle="1" w:styleId="864">
    <w:name w:val="列表段落1"/>
    <w:basedOn w:val="1"/>
    <w:autoRedefine/>
    <w:qFormat/>
    <w:uiPriority w:val="34"/>
    <w:pPr>
      <w:adjustRightInd/>
      <w:ind w:right="238" w:firstLine="420"/>
    </w:pPr>
    <w:rPr>
      <w:rFonts w:ascii="Calibri" w:hAnsi="Calibri"/>
      <w:sz w:val="24"/>
    </w:rPr>
  </w:style>
  <w:style w:type="paragraph" w:customStyle="1" w:styleId="865">
    <w:name w:val="Char Char110"/>
    <w:basedOn w:val="1"/>
    <w:autoRedefine/>
    <w:qFormat/>
    <w:uiPriority w:val="6"/>
    <w:pPr>
      <w:spacing w:line="360" w:lineRule="auto"/>
    </w:pPr>
    <w:rPr>
      <w:rFonts w:ascii="Tahoma" w:hAnsi="Tahoma"/>
      <w:sz w:val="24"/>
      <w:szCs w:val="20"/>
    </w:rPr>
  </w:style>
  <w:style w:type="paragraph" w:customStyle="1" w:styleId="866">
    <w:name w:val="xl80"/>
    <w:basedOn w:val="1"/>
    <w:autoRedefine/>
    <w:qFormat/>
    <w:uiPriority w:val="0"/>
    <w:pPr>
      <w:widowControl/>
      <w:adjustRightInd/>
      <w:spacing w:before="100" w:beforeAutospacing="1" w:after="100" w:afterAutospacing="1"/>
      <w:jc w:val="left"/>
    </w:pPr>
    <w:rPr>
      <w:rFonts w:ascii="仿宋" w:hAnsi="仿宋" w:eastAsia="仿宋" w:cs="宋体"/>
      <w:kern w:val="0"/>
      <w:sz w:val="20"/>
      <w:szCs w:val="20"/>
    </w:rPr>
  </w:style>
  <w:style w:type="paragraph" w:customStyle="1" w:styleId="867">
    <w:name w:val="Char Char11 Char Char Char Char Char Char Char Char Char Char Char Char Char Char Char1"/>
    <w:basedOn w:val="1"/>
    <w:autoRedefine/>
    <w:qFormat/>
    <w:uiPriority w:val="0"/>
    <w:pPr>
      <w:adjustRightInd/>
      <w:spacing w:line="360" w:lineRule="auto"/>
    </w:pPr>
    <w:rPr>
      <w:rFonts w:ascii="Arial" w:hAnsi="Arial" w:eastAsia="黑体" w:cs="Arial"/>
      <w:snapToGrid w:val="0"/>
      <w:kern w:val="0"/>
      <w:szCs w:val="21"/>
    </w:rPr>
  </w:style>
  <w:style w:type="paragraph" w:customStyle="1" w:styleId="868">
    <w:name w:val="表正文"/>
    <w:autoRedefine/>
    <w:qFormat/>
    <w:uiPriority w:val="0"/>
    <w:pPr>
      <w:snapToGrid w:val="0"/>
      <w:spacing w:line="600" w:lineRule="atLeast"/>
      <w:ind w:firstLine="641"/>
      <w:jc w:val="both"/>
    </w:pPr>
    <w:rPr>
      <w:rFonts w:ascii="Times New Roman" w:hAnsi="Times New Roman" w:eastAsia="仿宋_GB2312" w:cs="Times New Roman"/>
      <w:sz w:val="32"/>
      <w:lang w:val="en-US" w:eastAsia="zh-CN" w:bidi="ar-SA"/>
    </w:rPr>
  </w:style>
  <w:style w:type="paragraph" w:customStyle="1" w:styleId="869">
    <w:name w:val="浅色底纹 - 强调文字颜色 51"/>
    <w:autoRedefine/>
    <w:qFormat/>
    <w:uiPriority w:val="0"/>
    <w:rPr>
      <w:rFonts w:ascii="Times New Roman" w:hAnsi="Times New Roman" w:eastAsia="宋体" w:cs="Times New Roman"/>
      <w:kern w:val="2"/>
      <w:sz w:val="21"/>
      <w:szCs w:val="24"/>
      <w:lang w:val="en-US" w:eastAsia="zh-CN" w:bidi="ar-SA"/>
    </w:rPr>
  </w:style>
  <w:style w:type="paragraph" w:customStyle="1" w:styleId="870">
    <w:name w:val="Char Char Char Char Char Char Char Char Char Char Char Char1 Char2"/>
    <w:basedOn w:val="1"/>
    <w:autoRedefine/>
    <w:qFormat/>
    <w:uiPriority w:val="0"/>
    <w:rPr>
      <w:rFonts w:ascii="Tahoma" w:hAnsi="Tahoma" w:cs="仿宋_GB2312"/>
      <w:sz w:val="24"/>
      <w:szCs w:val="20"/>
    </w:rPr>
  </w:style>
  <w:style w:type="paragraph" w:customStyle="1" w:styleId="871">
    <w:name w:val="样式9"/>
    <w:basedOn w:val="1"/>
    <w:autoRedefine/>
    <w:qFormat/>
    <w:uiPriority w:val="0"/>
    <w:pPr>
      <w:adjustRightInd/>
      <w:spacing w:before="240" w:after="60" w:line="319" w:lineRule="auto"/>
      <w:ind w:firstLine="200" w:firstLineChars="200"/>
      <w:jc w:val="left"/>
      <w:outlineLvl w:val="0"/>
    </w:pPr>
    <w:rPr>
      <w:rFonts w:ascii="仿宋_GB2312" w:hAnsi="Arial" w:eastAsia="仿宋_GB2312" w:cs="Arial"/>
      <w:b/>
      <w:bCs/>
      <w:sz w:val="24"/>
      <w:szCs w:val="32"/>
    </w:rPr>
  </w:style>
  <w:style w:type="paragraph" w:customStyle="1" w:styleId="872">
    <w:name w:val="Char Char281"/>
    <w:basedOn w:val="1"/>
    <w:autoRedefine/>
    <w:qFormat/>
    <w:uiPriority w:val="0"/>
    <w:pPr>
      <w:adjustRightInd/>
      <w:snapToGrid w:val="0"/>
      <w:spacing w:line="360" w:lineRule="auto"/>
    </w:pPr>
    <w:rPr>
      <w:rFonts w:ascii="Arial" w:hAnsi="Arial" w:eastAsia="黑体"/>
      <w:snapToGrid w:val="0"/>
      <w:kern w:val="0"/>
      <w:sz w:val="20"/>
      <w:szCs w:val="21"/>
    </w:rPr>
  </w:style>
  <w:style w:type="paragraph" w:customStyle="1" w:styleId="873">
    <w:name w:val="样式 列表编号 + 段后: 0.5 行"/>
    <w:basedOn w:val="17"/>
    <w:autoRedefine/>
    <w:qFormat/>
    <w:uiPriority w:val="2"/>
    <w:pPr>
      <w:tabs>
        <w:tab w:val="clear" w:pos="390"/>
        <w:tab w:val="clear" w:pos="454"/>
      </w:tabs>
      <w:spacing w:after="0"/>
      <w:ind w:left="840" w:hanging="420"/>
      <w:contextualSpacing/>
    </w:pPr>
    <w:rPr>
      <w:rFonts w:cs="宋体"/>
    </w:rPr>
  </w:style>
  <w:style w:type="paragraph" w:customStyle="1" w:styleId="874">
    <w:name w:val="Char Char Char Char Char Char Char Char Char"/>
    <w:basedOn w:val="1"/>
    <w:autoRedefine/>
    <w:qFormat/>
    <w:uiPriority w:val="0"/>
    <w:pPr>
      <w:adjustRightInd/>
      <w:ind w:firstLine="200" w:firstLineChars="200"/>
    </w:pPr>
    <w:rPr>
      <w:rFonts w:ascii="Tahoma" w:hAnsi="Tahoma"/>
      <w:sz w:val="24"/>
      <w:szCs w:val="20"/>
    </w:rPr>
  </w:style>
  <w:style w:type="paragraph" w:customStyle="1" w:styleId="875">
    <w:name w:val="_Style 12"/>
    <w:basedOn w:val="21"/>
    <w:autoRedefine/>
    <w:qFormat/>
    <w:uiPriority w:val="0"/>
    <w:pPr>
      <w:snapToGrid w:val="0"/>
      <w:spacing w:line="360" w:lineRule="auto"/>
    </w:pPr>
  </w:style>
  <w:style w:type="paragraph" w:customStyle="1" w:styleId="876">
    <w:name w:val="样式 首行缩进:  0 字符"/>
    <w:basedOn w:val="1"/>
    <w:autoRedefine/>
    <w:qFormat/>
    <w:uiPriority w:val="0"/>
    <w:pPr>
      <w:adjustRightInd/>
      <w:spacing w:line="360" w:lineRule="auto"/>
      <w:ind w:firstLine="200" w:firstLineChars="200"/>
    </w:pPr>
    <w:rPr>
      <w:rFonts w:ascii="Arial" w:hAnsi="Arial" w:cs="宋体"/>
      <w:sz w:val="24"/>
      <w:szCs w:val="20"/>
    </w:rPr>
  </w:style>
  <w:style w:type="paragraph" w:customStyle="1" w:styleId="877">
    <w:name w:val="Char1 Char Char Char6"/>
    <w:basedOn w:val="1"/>
    <w:autoRedefine/>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878">
    <w:name w:val="_Style 94"/>
    <w:basedOn w:val="1"/>
    <w:next w:val="260"/>
    <w:autoRedefine/>
    <w:qFormat/>
    <w:uiPriority w:val="34"/>
    <w:pPr>
      <w:adjustRightInd/>
      <w:spacing w:line="360" w:lineRule="auto"/>
      <w:ind w:firstLine="200" w:firstLineChars="200"/>
    </w:pPr>
    <w:rPr>
      <w:rFonts w:ascii="Calibri" w:hAnsi="Calibri"/>
      <w:sz w:val="28"/>
      <w:szCs w:val="20"/>
    </w:rPr>
  </w:style>
  <w:style w:type="paragraph" w:customStyle="1" w:styleId="879">
    <w:name w:val="方案正文"/>
    <w:basedOn w:val="1"/>
    <w:autoRedefine/>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880">
    <w:name w:val="正文 A"/>
    <w:autoRedefine/>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881">
    <w:name w:val="正文 A 主体"/>
    <w:basedOn w:val="1"/>
    <w:autoRedefine/>
    <w:qFormat/>
    <w:uiPriority w:val="0"/>
    <w:pPr>
      <w:widowControl/>
      <w:adjustRightInd/>
      <w:spacing w:line="360" w:lineRule="auto"/>
      <w:ind w:firstLine="200" w:firstLineChars="200"/>
      <w:jc w:val="left"/>
    </w:pPr>
    <w:rPr>
      <w:rFonts w:ascii="仿宋" w:hAnsi="Calibri" w:eastAsia="仿宋"/>
      <w:kern w:val="0"/>
      <w:sz w:val="24"/>
    </w:rPr>
  </w:style>
  <w:style w:type="paragraph" w:customStyle="1" w:styleId="882">
    <w:name w:val="3级标题"/>
    <w:basedOn w:val="675"/>
    <w:autoRedefine/>
    <w:qFormat/>
    <w:uiPriority w:val="0"/>
    <w:pPr>
      <w:outlineLvl w:val="2"/>
    </w:pPr>
  </w:style>
  <w:style w:type="paragraph" w:customStyle="1" w:styleId="883">
    <w:name w:val="xl7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884">
    <w:name w:val="Char1 Char Char Char3"/>
    <w:basedOn w:val="1"/>
    <w:autoRedefine/>
    <w:qFormat/>
    <w:uiPriority w:val="0"/>
    <w:pPr>
      <w:adjustRightInd/>
      <w:ind w:firstLine="200" w:firstLineChars="200"/>
    </w:pPr>
    <w:rPr>
      <w:rFonts w:ascii="Tahoma" w:hAnsi="Tahoma"/>
      <w:sz w:val="24"/>
      <w:szCs w:val="20"/>
    </w:rPr>
  </w:style>
  <w:style w:type="paragraph" w:customStyle="1" w:styleId="885">
    <w:name w:val="GP正文(首行缩进)"/>
    <w:basedOn w:val="1"/>
    <w:autoRedefine/>
    <w:qFormat/>
    <w:uiPriority w:val="0"/>
    <w:pPr>
      <w:adjustRightInd/>
      <w:spacing w:line="360" w:lineRule="auto"/>
      <w:ind w:firstLine="200" w:firstLineChars="200"/>
    </w:pPr>
    <w:rPr>
      <w:rFonts w:eastAsia="仿宋_GB2312"/>
      <w:sz w:val="28"/>
      <w:szCs w:val="21"/>
    </w:rPr>
  </w:style>
  <w:style w:type="paragraph" w:customStyle="1" w:styleId="886">
    <w:name w:val="MM Empty"/>
    <w:basedOn w:val="1"/>
    <w:autoRedefine/>
    <w:qFormat/>
    <w:uiPriority w:val="0"/>
    <w:pPr>
      <w:adjustRightInd/>
    </w:pPr>
  </w:style>
  <w:style w:type="paragraph" w:customStyle="1" w:styleId="887">
    <w:name w:val="Char24"/>
    <w:basedOn w:val="1"/>
    <w:autoRedefine/>
    <w:qFormat/>
    <w:uiPriority w:val="0"/>
    <w:rPr>
      <w:rFonts w:ascii="仿宋_GB2312" w:eastAsia="仿宋_GB2312"/>
      <w:b/>
      <w:sz w:val="32"/>
      <w:szCs w:val="32"/>
    </w:rPr>
  </w:style>
  <w:style w:type="paragraph" w:customStyle="1" w:styleId="888">
    <w:name w:val="正文箭头"/>
    <w:basedOn w:val="541"/>
    <w:autoRedefine/>
    <w:qFormat/>
    <w:uiPriority w:val="0"/>
  </w:style>
  <w:style w:type="paragraph" w:customStyle="1" w:styleId="889">
    <w:name w:val="U_编号2"/>
    <w:basedOn w:val="1"/>
    <w:autoRedefine/>
    <w:qFormat/>
    <w:uiPriority w:val="0"/>
    <w:pPr>
      <w:tabs>
        <w:tab w:val="left" w:pos="785"/>
      </w:tabs>
      <w:adjustRightInd/>
      <w:spacing w:beforeLines="10" w:afterLines="10" w:line="300" w:lineRule="auto"/>
    </w:pPr>
    <w:rPr>
      <w:sz w:val="24"/>
    </w:rPr>
  </w:style>
  <w:style w:type="paragraph" w:customStyle="1" w:styleId="890">
    <w:name w:val="xl72"/>
    <w:basedOn w:val="1"/>
    <w:autoRedefine/>
    <w:qFormat/>
    <w:uiPriority w:val="0"/>
    <w:pPr>
      <w:widowControl/>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891">
    <w:name w:val="trs_editor"/>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892">
    <w:name w:val="标书标题3"/>
    <w:basedOn w:val="7"/>
    <w:autoRedefine/>
    <w:qFormat/>
    <w:uiPriority w:val="0"/>
    <w:pPr>
      <w:keepLines w:val="0"/>
      <w:widowControl/>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893">
    <w:name w:val="TOC 标题11"/>
    <w:basedOn w:val="5"/>
    <w:next w:val="1"/>
    <w:autoRedefine/>
    <w:unhideWhenUsed/>
    <w:qFormat/>
    <w:uiPriority w:val="4"/>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894">
    <w:name w:val="_Style 1"/>
    <w:basedOn w:val="1"/>
    <w:autoRedefine/>
    <w:qFormat/>
    <w:uiPriority w:val="34"/>
    <w:pPr>
      <w:adjustRightInd/>
      <w:ind w:firstLine="420" w:firstLineChars="200"/>
    </w:pPr>
    <w:rPr>
      <w:rFonts w:eastAsia="仿宋_GB2312"/>
      <w:sz w:val="28"/>
    </w:rPr>
  </w:style>
  <w:style w:type="paragraph" w:customStyle="1" w:styleId="895">
    <w:name w:val="表格 内容"/>
    <w:basedOn w:val="732"/>
    <w:autoRedefine/>
    <w:qFormat/>
    <w:uiPriority w:val="0"/>
    <w:rPr>
      <w:b w:val="0"/>
      <w:sz w:val="20"/>
    </w:rPr>
  </w:style>
  <w:style w:type="paragraph" w:customStyle="1" w:styleId="896">
    <w:name w:val="正文首行缩进1"/>
    <w:basedOn w:val="3"/>
    <w:autoRedefine/>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897">
    <w:name w:val="标准正文"/>
    <w:basedOn w:val="1"/>
    <w:autoRedefine/>
    <w:qFormat/>
    <w:uiPriority w:val="0"/>
    <w:pPr>
      <w:tabs>
        <w:tab w:val="left" w:pos="780"/>
      </w:tabs>
      <w:adjustRightInd/>
      <w:spacing w:line="360" w:lineRule="auto"/>
      <w:ind w:left="200" w:leftChars="200" w:firstLine="200" w:firstLineChars="200"/>
    </w:pPr>
    <w:rPr>
      <w:sz w:val="24"/>
    </w:rPr>
  </w:style>
  <w:style w:type="paragraph" w:customStyle="1" w:styleId="898">
    <w:name w:val="数字标题5"/>
    <w:basedOn w:val="9"/>
    <w:next w:val="1"/>
    <w:autoRedefine/>
    <w:qFormat/>
    <w:uiPriority w:val="0"/>
    <w:pPr>
      <w:tabs>
        <w:tab w:val="left" w:pos="1080"/>
      </w:tabs>
      <w:ind w:left="1080" w:hanging="1080"/>
    </w:pPr>
  </w:style>
  <w:style w:type="paragraph" w:customStyle="1" w:styleId="899">
    <w:name w:val="数字标题1"/>
    <w:basedOn w:val="5"/>
    <w:next w:val="1"/>
    <w:autoRedefine/>
    <w:qFormat/>
    <w:uiPriority w:val="0"/>
    <w:pPr>
      <w:tabs>
        <w:tab w:val="left" w:pos="480"/>
      </w:tabs>
      <w:ind w:left="480" w:hanging="480"/>
    </w:pPr>
  </w:style>
  <w:style w:type="paragraph" w:customStyle="1" w:styleId="900">
    <w:name w:val="Char1 Char Char Char Char Char Char Char Char Char Char Char1 Char Char Char Char Char Char Char Char Char Char Char Char Char Char1 Char Char Char Char2"/>
    <w:basedOn w:val="1"/>
    <w:autoRedefine/>
    <w:qFormat/>
    <w:uiPriority w:val="0"/>
    <w:pPr>
      <w:spacing w:line="360" w:lineRule="auto"/>
    </w:pPr>
    <w:rPr>
      <w:kern w:val="0"/>
      <w:sz w:val="24"/>
      <w:szCs w:val="20"/>
    </w:rPr>
  </w:style>
  <w:style w:type="paragraph" w:customStyle="1" w:styleId="901">
    <w:name w:val="aspnumfaautoadjustrightr"/>
    <w:autoRedefine/>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902">
    <w:name w:val="Body"/>
    <w:basedOn w:val="1"/>
    <w:autoRedefine/>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903">
    <w:name w:val="RFI Heading 3rd Level"/>
    <w:basedOn w:val="1"/>
    <w:autoRedefine/>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904">
    <w:name w:val="标准正文格式"/>
    <w:basedOn w:val="1"/>
    <w:autoRedefine/>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905">
    <w:name w:val="Bullet"/>
    <w:basedOn w:val="1"/>
    <w:autoRedefine/>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906">
    <w:name w:val="0"/>
    <w:basedOn w:val="1"/>
    <w:autoRedefine/>
    <w:qFormat/>
    <w:uiPriority w:val="0"/>
    <w:pPr>
      <w:widowControl/>
    </w:pPr>
    <w:rPr>
      <w:kern w:val="0"/>
      <w:sz w:val="24"/>
      <w:szCs w:val="20"/>
    </w:rPr>
  </w:style>
  <w:style w:type="paragraph" w:customStyle="1" w:styleId="907">
    <w:name w:val="Char Char113"/>
    <w:basedOn w:val="1"/>
    <w:autoRedefine/>
    <w:qFormat/>
    <w:uiPriority w:val="0"/>
    <w:pPr>
      <w:widowControl/>
      <w:spacing w:after="160" w:line="240" w:lineRule="exact"/>
      <w:jc w:val="left"/>
    </w:pPr>
    <w:rPr>
      <w:rFonts w:eastAsia="仿宋_GB2312"/>
      <w:sz w:val="28"/>
    </w:rPr>
  </w:style>
  <w:style w:type="paragraph" w:customStyle="1" w:styleId="908">
    <w:name w:val="样式5"/>
    <w:basedOn w:val="1"/>
    <w:autoRedefine/>
    <w:qFormat/>
    <w:uiPriority w:val="0"/>
    <w:pPr>
      <w:spacing w:line="440" w:lineRule="exact"/>
      <w:ind w:left="2" w:firstLine="480" w:firstLineChars="200"/>
    </w:pPr>
    <w:rPr>
      <w:rFonts w:ascii="仿宋_GB2312" w:hAnsi="仿宋" w:eastAsia="仿宋_GB2312"/>
      <w:sz w:val="24"/>
    </w:rPr>
  </w:style>
  <w:style w:type="paragraph" w:customStyle="1" w:styleId="909">
    <w:name w:val="_Style 8"/>
    <w:basedOn w:val="1"/>
    <w:autoRedefine/>
    <w:qFormat/>
    <w:uiPriority w:val="34"/>
    <w:pPr>
      <w:adjustRightInd/>
      <w:ind w:firstLine="420" w:firstLineChars="200"/>
    </w:pPr>
    <w:rPr>
      <w:rFonts w:eastAsia="仿宋_GB2312"/>
      <w:sz w:val="28"/>
    </w:rPr>
  </w:style>
  <w:style w:type="paragraph" w:customStyle="1" w:styleId="910">
    <w:name w:val="xl9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911">
    <w:name w:val="正文样式 首行缩进:  0.74 厘米"/>
    <w:basedOn w:val="1"/>
    <w:autoRedefine/>
    <w:qFormat/>
    <w:uiPriority w:val="0"/>
    <w:pPr>
      <w:adjustRightInd/>
      <w:spacing w:before="156" w:beforeLines="50" w:line="360" w:lineRule="auto"/>
      <w:ind w:firstLine="420"/>
    </w:pPr>
    <w:rPr>
      <w:rFonts w:cs="宋体"/>
      <w:sz w:val="24"/>
      <w:szCs w:val="20"/>
    </w:rPr>
  </w:style>
  <w:style w:type="paragraph" w:customStyle="1" w:styleId="912">
    <w:name w:val="xl24"/>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913">
    <w:name w:val="列出段落31"/>
    <w:basedOn w:val="1"/>
    <w:autoRedefine/>
    <w:qFormat/>
    <w:uiPriority w:val="0"/>
    <w:pPr>
      <w:adjustRightInd/>
      <w:spacing w:line="360" w:lineRule="auto"/>
      <w:ind w:firstLine="420" w:firstLineChars="200"/>
    </w:pPr>
    <w:rPr>
      <w:rFonts w:ascii="Calibri" w:hAnsi="Calibri"/>
      <w:sz w:val="24"/>
      <w:szCs w:val="22"/>
    </w:rPr>
  </w:style>
  <w:style w:type="paragraph" w:customStyle="1" w:styleId="914">
    <w:name w:val="Char Char1 Char Char Char Char Char Char Char Char Char Char Char Char Char Char Char"/>
    <w:basedOn w:val="1"/>
    <w:autoRedefine/>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915">
    <w:name w:val="Char Char112"/>
    <w:basedOn w:val="1"/>
    <w:autoRedefine/>
    <w:qFormat/>
    <w:uiPriority w:val="6"/>
    <w:pPr>
      <w:widowControl/>
      <w:spacing w:after="160" w:line="240" w:lineRule="exact"/>
      <w:jc w:val="left"/>
    </w:pPr>
    <w:rPr>
      <w:rFonts w:eastAsia="仿宋_GB2312"/>
      <w:sz w:val="28"/>
    </w:rPr>
  </w:style>
  <w:style w:type="paragraph" w:customStyle="1" w:styleId="916">
    <w:name w:val="正文 图"/>
    <w:basedOn w:val="446"/>
    <w:autoRedefine/>
    <w:qFormat/>
    <w:uiPriority w:val="0"/>
    <w:pPr>
      <w:adjustRightInd/>
      <w:spacing w:before="0"/>
      <w:ind w:firstLine="0"/>
      <w:jc w:val="center"/>
    </w:pPr>
    <w:rPr>
      <w:rFonts w:ascii="微软雅黑" w:hAnsi="微软雅黑"/>
    </w:rPr>
  </w:style>
  <w:style w:type="paragraph" w:customStyle="1" w:styleId="917">
    <w:name w:val="xl92"/>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918">
    <w:name w:val="±íÑùÊ½"/>
    <w:basedOn w:val="1"/>
    <w:autoRedefine/>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919">
    <w:name w:val="Thf"/>
    <w:basedOn w:val="565"/>
    <w:autoRedefine/>
    <w:qFormat/>
    <w:uiPriority w:val="0"/>
    <w:pPr>
      <w:ind w:left="0"/>
    </w:pPr>
  </w:style>
  <w:style w:type="paragraph" w:customStyle="1" w:styleId="920">
    <w:name w:val="xl7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921">
    <w:name w:val="subhead 2"/>
    <w:autoRedefine/>
    <w:qFormat/>
    <w:uiPriority w:val="0"/>
    <w:pPr>
      <w:spacing w:after="60" w:line="240" w:lineRule="exact"/>
    </w:pPr>
    <w:rPr>
      <w:rFonts w:ascii="Arial" w:hAnsi="Arial" w:eastAsia="宋体" w:cs="Times New Roman"/>
      <w:b/>
      <w:sz w:val="22"/>
      <w:lang w:val="en-US" w:eastAsia="en-US" w:bidi="ar-SA"/>
    </w:rPr>
  </w:style>
  <w:style w:type="paragraph" w:customStyle="1" w:styleId="922">
    <w:name w:val="注释"/>
    <w:basedOn w:val="1"/>
    <w:autoRedefine/>
    <w:qFormat/>
    <w:uiPriority w:val="0"/>
    <w:pPr>
      <w:adjustRightInd/>
      <w:spacing w:line="360" w:lineRule="auto"/>
      <w:ind w:firstLine="480"/>
    </w:pPr>
    <w:rPr>
      <w:sz w:val="24"/>
    </w:rPr>
  </w:style>
  <w:style w:type="table" w:customStyle="1" w:styleId="923">
    <w:name w:val="网格型2"/>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4">
    <w:name w:val="网格型1"/>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5">
    <w:name w:val="网格型6"/>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6">
    <w:name w:val="网格型3"/>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7">
    <w:name w:val="网格型4"/>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8">
    <w:name w:val="网格型5"/>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29">
    <w:name w:val="列出段落111"/>
    <w:basedOn w:val="1"/>
    <w:autoRedefine/>
    <w:qFormat/>
    <w:uiPriority w:val="34"/>
    <w:pPr>
      <w:ind w:firstLine="420" w:firstLineChars="200"/>
    </w:pPr>
  </w:style>
  <w:style w:type="character" w:customStyle="1" w:styleId="930">
    <w:name w:val="交叉引用"/>
    <w:autoRedefine/>
    <w:qFormat/>
    <w:uiPriority w:val="1"/>
    <w:rPr>
      <w:rFonts w:ascii="Arial" w:hAnsi="Arial" w:eastAsia="黑体"/>
      <w:snapToGrid w:val="0"/>
      <w:color w:val="0000FF"/>
      <w:kern w:val="0"/>
      <w:sz w:val="20"/>
      <w:szCs w:val="21"/>
      <w:u w:val="single"/>
      <w:lang w:val="en-US" w:eastAsia="zh-CN"/>
    </w:rPr>
  </w:style>
  <w:style w:type="character" w:customStyle="1" w:styleId="931">
    <w:name w:val="正文缩进 字符1"/>
    <w:autoRedefine/>
    <w:qFormat/>
    <w:uiPriority w:val="0"/>
    <w:rPr>
      <w:rFonts w:ascii="宋体" w:eastAsia="宋体"/>
      <w:snapToGrid w:val="0"/>
      <w:color w:val="000000"/>
      <w:kern w:val="28"/>
      <w:sz w:val="28"/>
      <w:lang w:val="en-US" w:eastAsia="zh-CN" w:bidi="ar-SA"/>
    </w:rPr>
  </w:style>
  <w:style w:type="character" w:customStyle="1" w:styleId="932">
    <w:name w:val="页脚 字符1"/>
    <w:autoRedefine/>
    <w:qFormat/>
    <w:locked/>
    <w:uiPriority w:val="99"/>
    <w:rPr>
      <w:kern w:val="2"/>
      <w:sz w:val="18"/>
      <w:szCs w:val="18"/>
    </w:rPr>
  </w:style>
  <w:style w:type="character" w:customStyle="1" w:styleId="933">
    <w:name w:val="页眉 字符1"/>
    <w:autoRedefine/>
    <w:qFormat/>
    <w:uiPriority w:val="99"/>
    <w:rPr>
      <w:kern w:val="2"/>
      <w:sz w:val="18"/>
      <w:szCs w:val="18"/>
    </w:rPr>
  </w:style>
  <w:style w:type="character" w:customStyle="1" w:styleId="934">
    <w:name w:val="尾注文本 字符"/>
    <w:link w:val="40"/>
    <w:autoRedefine/>
    <w:qFormat/>
    <w:uiPriority w:val="0"/>
    <w:rPr>
      <w:kern w:val="2"/>
      <w:sz w:val="21"/>
      <w:szCs w:val="24"/>
      <w:lang w:val="zh-CN"/>
    </w:rPr>
  </w:style>
  <w:style w:type="character" w:customStyle="1" w:styleId="935">
    <w:name w:val="无间隔 字符"/>
    <w:link w:val="486"/>
    <w:autoRedefine/>
    <w:qFormat/>
    <w:uiPriority w:val="99"/>
    <w:rPr>
      <w:kern w:val="2"/>
      <w:sz w:val="21"/>
      <w:szCs w:val="22"/>
    </w:rPr>
  </w:style>
  <w:style w:type="character" w:customStyle="1" w:styleId="936">
    <w:name w:val="标准文本 Char Char"/>
    <w:link w:val="937"/>
    <w:autoRedefine/>
    <w:qFormat/>
    <w:uiPriority w:val="0"/>
    <w:rPr>
      <w:rFonts w:cs="宋体"/>
      <w:kern w:val="2"/>
      <w:sz w:val="24"/>
    </w:rPr>
  </w:style>
  <w:style w:type="paragraph" w:customStyle="1" w:styleId="937">
    <w:name w:val="标准文本"/>
    <w:basedOn w:val="1"/>
    <w:link w:val="936"/>
    <w:autoRedefine/>
    <w:qFormat/>
    <w:uiPriority w:val="0"/>
    <w:pPr>
      <w:adjustRightInd/>
      <w:spacing w:line="360" w:lineRule="auto"/>
      <w:ind w:firstLine="480" w:firstLineChars="200"/>
    </w:pPr>
    <w:rPr>
      <w:rFonts w:cs="宋体"/>
      <w:sz w:val="24"/>
      <w:szCs w:val="20"/>
    </w:rPr>
  </w:style>
  <w:style w:type="character" w:customStyle="1" w:styleId="938">
    <w:name w:val="Char Char213"/>
    <w:autoRedefine/>
    <w:qFormat/>
    <w:uiPriority w:val="0"/>
    <w:rPr>
      <w:rFonts w:eastAsia="Century Gothic"/>
      <w:b/>
      <w:bCs/>
      <w:kern w:val="44"/>
      <w:sz w:val="32"/>
      <w:szCs w:val="44"/>
      <w:lang w:val="en-US" w:eastAsia="zh-CN" w:bidi="ar-SA"/>
    </w:rPr>
  </w:style>
  <w:style w:type="character" w:customStyle="1" w:styleId="939">
    <w:name w:val="apple-style-span"/>
    <w:autoRedefine/>
    <w:qFormat/>
    <w:uiPriority w:val="0"/>
    <w:rPr>
      <w:rFonts w:ascii="Arial" w:hAnsi="Arial" w:eastAsia="黑体" w:cs="Arial"/>
      <w:snapToGrid w:val="0"/>
      <w:kern w:val="0"/>
      <w:szCs w:val="21"/>
    </w:rPr>
  </w:style>
  <w:style w:type="character" w:customStyle="1" w:styleId="940">
    <w:name w:val="15"/>
    <w:autoRedefine/>
    <w:qFormat/>
    <w:uiPriority w:val="0"/>
    <w:rPr>
      <w:rFonts w:hint="default" w:ascii="Calibri" w:hAnsi="Calibri"/>
      <w:color w:val="0000FF"/>
      <w:u w:val="single"/>
    </w:rPr>
  </w:style>
  <w:style w:type="character" w:customStyle="1" w:styleId="941">
    <w:name w:val="16"/>
    <w:autoRedefine/>
    <w:qFormat/>
    <w:uiPriority w:val="0"/>
    <w:rPr>
      <w:rFonts w:hint="eastAsia" w:ascii="宋体" w:hAnsi="宋体" w:eastAsia="宋体"/>
      <w:color w:val="000000"/>
      <w:sz w:val="20"/>
      <w:szCs w:val="20"/>
    </w:rPr>
  </w:style>
  <w:style w:type="character" w:customStyle="1" w:styleId="942">
    <w:name w:val="edui-unclickable"/>
    <w:autoRedefine/>
    <w:qFormat/>
    <w:uiPriority w:val="0"/>
    <w:rPr>
      <w:color w:val="808080"/>
    </w:rPr>
  </w:style>
  <w:style w:type="character" w:customStyle="1" w:styleId="943">
    <w:name w:val="tpc_content1"/>
    <w:autoRedefine/>
    <w:qFormat/>
    <w:uiPriority w:val="0"/>
    <w:rPr>
      <w:sz w:val="20"/>
      <w:szCs w:val="20"/>
    </w:rPr>
  </w:style>
  <w:style w:type="character" w:customStyle="1" w:styleId="944">
    <w:name w:val="正文文本缩进 字符"/>
    <w:autoRedefine/>
    <w:qFormat/>
    <w:uiPriority w:val="0"/>
    <w:rPr>
      <w:rFonts w:ascii="Century Gothic" w:hAnsi="Century Gothic" w:eastAsia="Century Gothic"/>
      <w:kern w:val="2"/>
      <w:sz w:val="24"/>
      <w:lang w:val="en-US" w:eastAsia="zh-CN" w:bidi="ar-SA"/>
    </w:rPr>
  </w:style>
  <w:style w:type="character" w:customStyle="1" w:styleId="945">
    <w:name w:val="正文文本 2 字符"/>
    <w:autoRedefine/>
    <w:qFormat/>
    <w:uiPriority w:val="0"/>
    <w:rPr>
      <w:rFonts w:ascii="Arial" w:hAnsi="Arial" w:eastAsia="宋体"/>
      <w:kern w:val="2"/>
      <w:sz w:val="24"/>
      <w:szCs w:val="24"/>
      <w:lang w:val="en-US" w:eastAsia="zh-CN" w:bidi="ar-SA"/>
    </w:rPr>
  </w:style>
  <w:style w:type="character" w:customStyle="1" w:styleId="946">
    <w:name w:val="edui-clickable2"/>
    <w:autoRedefine/>
    <w:qFormat/>
    <w:uiPriority w:val="0"/>
    <w:rPr>
      <w:color w:val="0000FF"/>
      <w:u w:val="single"/>
    </w:rPr>
  </w:style>
  <w:style w:type="character" w:customStyle="1" w:styleId="947">
    <w:name w:val="style1"/>
    <w:autoRedefine/>
    <w:qFormat/>
    <w:uiPriority w:val="0"/>
    <w:rPr>
      <w:rFonts w:ascii="Arial" w:hAnsi="Arial" w:eastAsia="黑体" w:cs="Arial"/>
      <w:snapToGrid w:val="0"/>
      <w:kern w:val="0"/>
      <w:szCs w:val="21"/>
    </w:rPr>
  </w:style>
  <w:style w:type="character" w:customStyle="1" w:styleId="948">
    <w:name w:val="zbggtop11 style5"/>
    <w:autoRedefine/>
    <w:qFormat/>
    <w:uiPriority w:val="0"/>
    <w:rPr>
      <w:rFonts w:ascii="Arial" w:hAnsi="Arial" w:eastAsia="黑体" w:cs="Arial"/>
      <w:snapToGrid w:val="0"/>
      <w:kern w:val="0"/>
      <w:szCs w:val="21"/>
    </w:rPr>
  </w:style>
  <w:style w:type="character" w:customStyle="1" w:styleId="949">
    <w:name w:val="纯文本 Char Char Char Char Char Char Char Char Char Char Char Char Char Char Char"/>
    <w:autoRedefine/>
    <w:qFormat/>
    <w:uiPriority w:val="0"/>
    <w:rPr>
      <w:rFonts w:ascii="宋体" w:hAnsi="Courier New" w:eastAsia="宋体" w:cs="Courier New"/>
      <w:snapToGrid w:val="0"/>
      <w:sz w:val="18"/>
      <w:szCs w:val="21"/>
      <w:lang w:val="en-US" w:eastAsia="zh-CN" w:bidi="ar-SA"/>
    </w:rPr>
  </w:style>
  <w:style w:type="character" w:customStyle="1" w:styleId="950">
    <w:name w:val="bulletintext1"/>
    <w:autoRedefine/>
    <w:qFormat/>
    <w:uiPriority w:val="0"/>
    <w:rPr>
      <w:color w:val="000000"/>
      <w:sz w:val="18"/>
    </w:rPr>
  </w:style>
  <w:style w:type="paragraph" w:customStyle="1" w:styleId="951">
    <w:name w:val="_Style 947"/>
    <w:basedOn w:val="1"/>
    <w:next w:val="260"/>
    <w:autoRedefine/>
    <w:qFormat/>
    <w:uiPriority w:val="34"/>
    <w:pPr>
      <w:adjustRightInd/>
      <w:ind w:firstLine="420" w:firstLineChars="200"/>
    </w:pPr>
  </w:style>
  <w:style w:type="paragraph" w:customStyle="1" w:styleId="952">
    <w:name w:val="正文5"/>
    <w:autoRedefine/>
    <w:qFormat/>
    <w:uiPriority w:val="0"/>
    <w:pPr>
      <w:jc w:val="both"/>
    </w:pPr>
    <w:rPr>
      <w:rFonts w:ascii="Times New Roman" w:hAnsi="Times New Roman" w:eastAsia="宋体" w:cs="宋体"/>
      <w:kern w:val="2"/>
      <w:sz w:val="21"/>
      <w:szCs w:val="21"/>
      <w:lang w:val="en-US" w:eastAsia="zh-CN" w:bidi="ar-SA"/>
    </w:rPr>
  </w:style>
  <w:style w:type="paragraph" w:customStyle="1" w:styleId="953">
    <w:name w:val="纯文本2"/>
    <w:basedOn w:val="1"/>
    <w:autoRedefine/>
    <w:qFormat/>
    <w:uiPriority w:val="0"/>
    <w:pPr>
      <w:adjustRightInd/>
      <w:snapToGrid w:val="0"/>
      <w:jc w:val="left"/>
    </w:pPr>
    <w:rPr>
      <w:rFonts w:ascii="Century Gothic" w:hAnsi="楷体_GB2312" w:eastAsia="Century Gothic"/>
      <w:szCs w:val="20"/>
    </w:rPr>
  </w:style>
  <w:style w:type="paragraph" w:customStyle="1" w:styleId="954">
    <w:name w:val="*Body 1"/>
    <w:autoRedefine/>
    <w:qFormat/>
    <w:uiPriority w:val="0"/>
    <w:pPr>
      <w:spacing w:after="240" w:line="360" w:lineRule="auto"/>
      <w:ind w:left="-1276" w:firstLine="454"/>
    </w:pPr>
    <w:rPr>
      <w:rFonts w:ascii="Times New Roman" w:hAnsi="Times New Roman" w:eastAsia="宋体" w:cs="Times New Roman"/>
      <w:sz w:val="22"/>
      <w:lang w:val="en-US" w:eastAsia="en-US" w:bidi="ar-SA"/>
    </w:rPr>
  </w:style>
  <w:style w:type="paragraph" w:customStyle="1" w:styleId="955">
    <w:name w:val="font1"/>
    <w:basedOn w:val="1"/>
    <w:autoRedefine/>
    <w:qFormat/>
    <w:uiPriority w:val="0"/>
    <w:pPr>
      <w:widowControl/>
      <w:adjustRightInd/>
      <w:spacing w:before="100" w:beforeAutospacing="1" w:after="100" w:afterAutospacing="1"/>
      <w:jc w:val="left"/>
    </w:pPr>
    <w:rPr>
      <w:rFonts w:ascii="Century Gothic" w:hAnsi="Century Gothic"/>
      <w:kern w:val="0"/>
      <w:sz w:val="24"/>
      <w:szCs w:val="20"/>
    </w:rPr>
  </w:style>
  <w:style w:type="paragraph" w:customStyle="1" w:styleId="956">
    <w:name w:val="节"/>
    <w:basedOn w:val="6"/>
    <w:autoRedefine/>
    <w:qFormat/>
    <w:uiPriority w:val="0"/>
    <w:pPr>
      <w:tabs>
        <w:tab w:val="clear" w:pos="432"/>
      </w:tabs>
      <w:spacing w:before="160" w:after="160" w:line="720" w:lineRule="exact"/>
      <w:ind w:left="0" w:firstLine="0"/>
      <w:jc w:val="center"/>
    </w:pPr>
    <w:rPr>
      <w:rFonts w:ascii="Arial" w:hAnsi="Arial" w:eastAsia="楷体"/>
      <w:b w:val="0"/>
      <w:color w:val="000000"/>
      <w:spacing w:val="14"/>
      <w:kern w:val="24"/>
      <w:sz w:val="28"/>
      <w:szCs w:val="20"/>
      <w:lang w:val="en-US"/>
    </w:rPr>
  </w:style>
  <w:style w:type="paragraph" w:customStyle="1" w:styleId="957">
    <w:name w:val="Blockquote"/>
    <w:basedOn w:val="1"/>
    <w:autoRedefine/>
    <w:qFormat/>
    <w:uiPriority w:val="0"/>
    <w:pPr>
      <w:autoSpaceDE w:val="0"/>
      <w:autoSpaceDN w:val="0"/>
      <w:spacing w:before="100" w:after="100"/>
      <w:ind w:left="360" w:right="360"/>
      <w:jc w:val="left"/>
    </w:pPr>
    <w:rPr>
      <w:kern w:val="0"/>
      <w:sz w:val="24"/>
      <w:szCs w:val="20"/>
    </w:rPr>
  </w:style>
  <w:style w:type="paragraph" w:customStyle="1" w:styleId="958">
    <w:name w:val="p1"/>
    <w:basedOn w:val="1"/>
    <w:autoRedefine/>
    <w:qFormat/>
    <w:uiPriority w:val="0"/>
    <w:pPr>
      <w:widowControl/>
      <w:adjustRightInd/>
      <w:jc w:val="left"/>
    </w:pPr>
    <w:rPr>
      <w:rFonts w:ascii=".PingFang SC" w:eastAsia=".PingFang SC"/>
      <w:color w:val="454545"/>
      <w:kern w:val="0"/>
      <w:sz w:val="18"/>
      <w:szCs w:val="18"/>
    </w:rPr>
  </w:style>
  <w:style w:type="paragraph" w:customStyle="1" w:styleId="959">
    <w:name w:val="Table Paragraph"/>
    <w:basedOn w:val="1"/>
    <w:autoRedefine/>
    <w:qFormat/>
    <w:uiPriority w:val="0"/>
    <w:pPr>
      <w:adjustRightInd/>
      <w:jc w:val="left"/>
    </w:pPr>
    <w:rPr>
      <w:rFonts w:ascii="Calibri" w:hAnsi="Calibri"/>
      <w:kern w:val="0"/>
      <w:sz w:val="22"/>
      <w:szCs w:val="22"/>
      <w:lang w:eastAsia="en-US"/>
    </w:rPr>
  </w:style>
  <w:style w:type="paragraph" w:customStyle="1" w:styleId="960">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jc w:val="left"/>
    </w:pPr>
    <w:rPr>
      <w:rFonts w:ascii="楷体_GB2312" w:hAnsi="楷体_GB2312"/>
      <w:kern w:val="0"/>
      <w:sz w:val="20"/>
      <w:szCs w:val="20"/>
    </w:rPr>
  </w:style>
  <w:style w:type="paragraph" w:customStyle="1" w:styleId="961">
    <w:name w:val="xl22"/>
    <w:basedOn w:val="1"/>
    <w:autoRedefine/>
    <w:qFormat/>
    <w:uiPriority w:val="0"/>
    <w:pPr>
      <w:widowControl/>
      <w:pBdr>
        <w:left w:val="single" w:color="auto" w:sz="4" w:space="0"/>
        <w:bottom w:val="single" w:color="auto" w:sz="4" w:space="0"/>
        <w:right w:val="single" w:color="auto" w:sz="4" w:space="0"/>
      </w:pBdr>
      <w:adjustRightInd/>
      <w:spacing w:before="100" w:beforeAutospacing="1" w:after="100" w:afterAutospacing="1"/>
      <w:jc w:val="center"/>
    </w:pPr>
    <w:rPr>
      <w:rFonts w:hint="eastAsia" w:ascii="Arial Unicode MS" w:hAnsi="Arial Unicode MS" w:eastAsia="Arial Unicode MS"/>
      <w:kern w:val="0"/>
      <w:sz w:val="24"/>
      <w:szCs w:val="20"/>
    </w:rPr>
  </w:style>
  <w:style w:type="paragraph" w:customStyle="1" w:styleId="962">
    <w:name w:val="text-tag"/>
    <w:basedOn w:val="1"/>
    <w:autoRedefine/>
    <w:semiHidden/>
    <w:qFormat/>
    <w:uiPriority w:val="99"/>
    <w:pPr>
      <w:widowControl/>
      <w:adjustRightInd/>
      <w:spacing w:before="100" w:beforeAutospacing="1" w:after="100" w:afterAutospacing="1"/>
      <w:jc w:val="left"/>
    </w:pPr>
    <w:rPr>
      <w:rFonts w:ascii="宋体" w:hAnsi="宋体" w:cs="宋体"/>
      <w:kern w:val="0"/>
      <w:sz w:val="24"/>
    </w:rPr>
  </w:style>
  <w:style w:type="character" w:customStyle="1" w:styleId="963">
    <w:name w:val="ksfind_class_select1"/>
    <w:basedOn w:val="70"/>
    <w:autoRedefine/>
    <w:qFormat/>
    <w:uiPriority w:val="0"/>
    <w:rPr>
      <w:color w:val="000000"/>
      <w:shd w:val="clear" w:color="auto" w:fill="EFD200"/>
    </w:rPr>
  </w:style>
  <w:style w:type="character" w:customStyle="1" w:styleId="964">
    <w:name w:val="font71"/>
    <w:autoRedefine/>
    <w:qFormat/>
    <w:uiPriority w:val="0"/>
    <w:rPr>
      <w:rFonts w:hint="eastAsia" w:ascii="宋体" w:hAnsi="宋体" w:eastAsia="宋体" w:cs="宋体"/>
      <w:color w:val="000000"/>
      <w:sz w:val="22"/>
      <w:szCs w:val="22"/>
      <w:u w:val="none"/>
    </w:rPr>
  </w:style>
  <w:style w:type="character" w:customStyle="1" w:styleId="965">
    <w:name w:val="font91"/>
    <w:autoRedefine/>
    <w:qFormat/>
    <w:uiPriority w:val="0"/>
    <w:rPr>
      <w:rFonts w:hint="eastAsia" w:ascii="仿宋" w:hAnsi="仿宋" w:eastAsia="仿宋" w:cs="仿宋"/>
      <w:color w:val="000000"/>
      <w:sz w:val="22"/>
      <w:szCs w:val="22"/>
      <w:u w:val="none"/>
    </w:rPr>
  </w:style>
  <w:style w:type="paragraph" w:customStyle="1" w:styleId="966">
    <w:name w:val="样式 标题 2 + Times New Roman 四号 非加粗 段前: 5 磅 段后: 0 磅 行距: 固定值 20..."/>
    <w:basedOn w:val="6"/>
    <w:autoRedefine/>
    <w:qFormat/>
    <w:uiPriority w:val="0"/>
    <w:pPr>
      <w:tabs>
        <w:tab w:val="left" w:pos="1080"/>
        <w:tab w:val="clear" w:pos="432"/>
      </w:tabs>
      <w:spacing w:before="100" w:line="400" w:lineRule="exact"/>
    </w:pPr>
    <w:rPr>
      <w:rFonts w:ascii="Times New Roman" w:hAnsi="Times New Roman" w:eastAsia="黑体" w:cs="宋体"/>
      <w:b w:val="0"/>
      <w:sz w:val="28"/>
      <w:szCs w:val="20"/>
    </w:rPr>
  </w:style>
  <w:style w:type="paragraph" w:customStyle="1" w:styleId="967">
    <w:name w:val="p16"/>
    <w:basedOn w:val="1"/>
    <w:autoRedefine/>
    <w:qFormat/>
    <w:uiPriority w:val="0"/>
    <w:pPr>
      <w:widowControl/>
      <w:spacing w:before="100" w:after="100"/>
      <w:jc w:val="left"/>
    </w:pPr>
    <w:rPr>
      <w:rFonts w:ascii="宋体" w:hAnsi="宋体" w:cs="宋体"/>
      <w:color w:val="000000"/>
      <w:kern w:val="0"/>
      <w:sz w:val="24"/>
    </w:rPr>
  </w:style>
  <w:style w:type="paragraph" w:customStyle="1" w:styleId="968">
    <w:name w:val="修订4"/>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969">
    <w:name w:val="列表段落2"/>
    <w:basedOn w:val="1"/>
    <w:autoRedefine/>
    <w:qFormat/>
    <w:uiPriority w:val="34"/>
    <w:pPr>
      <w:spacing w:line="360" w:lineRule="auto"/>
      <w:ind w:firstLine="200" w:firstLineChars="200"/>
    </w:pPr>
    <w:rPr>
      <w:rFonts w:eastAsia="楷体_GB2312" w:cs="Lucida Sans"/>
      <w:sz w:val="24"/>
    </w:rPr>
  </w:style>
  <w:style w:type="paragraph" w:customStyle="1" w:styleId="970">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971">
    <w:name w:val="列表段落3"/>
    <w:basedOn w:val="1"/>
    <w:autoRedefine/>
    <w:qFormat/>
    <w:uiPriority w:val="34"/>
    <w:pPr>
      <w:spacing w:line="360" w:lineRule="auto"/>
      <w:ind w:firstLine="200" w:firstLineChars="200"/>
    </w:pPr>
    <w:rPr>
      <w:rFonts w:eastAsia="楷体_GB2312" w:cs="Lucida Sans"/>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0" Type="http://schemas.microsoft.com/office/2011/relationships/people" Target="people.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png"/><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15.xml"/><Relationship Id="rId22" Type="http://schemas.openxmlformats.org/officeDocument/2006/relationships/footer" Target="footer14.xml"/><Relationship Id="rId21" Type="http://schemas.openxmlformats.org/officeDocument/2006/relationships/footer" Target="footer13.xml"/><Relationship Id="rId20" Type="http://schemas.openxmlformats.org/officeDocument/2006/relationships/header" Target="header6.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header" Target="header5.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108</Pages>
  <Words>28566</Words>
  <Characters>30803</Characters>
  <Lines>2173</Lines>
  <Paragraphs>1743</Paragraphs>
  <TotalTime>1</TotalTime>
  <ScaleCrop>false</ScaleCrop>
  <LinksUpToDate>false</LinksUpToDate>
  <CharactersWithSpaces>31979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2025-06-27T06:21:00Z</dcterms:created>
  <dc:creator>administrator1</dc:creator>
  <cp:lastModifiedBy>谢</cp:lastModifiedBy>
  <cp:lastPrinted>2021-12-27T11:06:00Z</cp:lastPrinted>
  <dcterms:modified xsi:type="dcterms:W3CDTF">2025-06-30T06:00:40Z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GSEDS_HWMT_d46a6755">
    <vt:lpwstr>f2457d6f_mFV3wj85ICk2PcpOlXv8qsw06JI=_8QYrr2VhfDcyPdtMkXn/ruCF9SbXjqsuRT1EWYdN+PaXKs34pWlbGrclnUJln8EcEDduLncMnr6reYXMNrvy9pkjJg==_920deeff</vt:lpwstr>
  </property>
  <property fmtid="{D5CDD505-2E9C-101B-9397-08002B2CF9AE}" pid="4" name="ICV">
    <vt:lpwstr>24F30F963ED5453AB652731F57952C76_13</vt:lpwstr>
  </property>
  <property fmtid="{D5CDD505-2E9C-101B-9397-08002B2CF9AE}" pid="5" name="commondata">
    <vt:lpwstr>eyJoZGlkIjoiNGNlMmFkMDQ1NDY0ZmRiM2Q0NjY4NTFjN2IwMTllYjMifQ==</vt:lpwstr>
  </property>
  <property fmtid="{D5CDD505-2E9C-101B-9397-08002B2CF9AE}" pid="6" name="KSOTemplateDocerSaveRecord">
    <vt:lpwstr>eyJoZGlkIjoiZWVlMWZmYTIyY2Q4N2ExNTBiM2JlOGI5NWMwYWM2NDIiLCJ1c2VySWQiOiI2NjUzNTQ5ODgifQ==</vt:lpwstr>
  </property>
</Properties>
</file>