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8DA9">
      <w:pPr>
        <w:spacing w:line="360" w:lineRule="auto"/>
        <w:jc w:val="center"/>
        <w:rPr>
          <w:rFonts w:ascii="仿宋" w:hAnsi="仿宋" w:eastAsia="仿宋" w:cs="仿宋"/>
          <w:b/>
          <w:color w:val="000000"/>
          <w:sz w:val="52"/>
          <w:szCs w:val="52"/>
        </w:rPr>
      </w:pPr>
    </w:p>
    <w:p w14:paraId="5513778B">
      <w:pPr>
        <w:adjustRightInd/>
        <w:spacing w:line="360" w:lineRule="auto"/>
        <w:jc w:val="center"/>
        <w:rPr>
          <w:rFonts w:ascii="仿宋" w:hAnsi="仿宋" w:eastAsia="仿宋" w:cs="仿宋"/>
          <w:b/>
          <w:bCs/>
          <w:sz w:val="52"/>
          <w:szCs w:val="52"/>
        </w:rPr>
      </w:pPr>
      <w:r>
        <w:rPr>
          <w:rFonts w:hint="eastAsia" w:ascii="仿宋" w:hAnsi="仿宋" w:eastAsia="仿宋" w:cs="仿宋"/>
          <w:b/>
          <w:bCs/>
          <w:sz w:val="52"/>
          <w:szCs w:val="52"/>
          <w:lang w:eastAsia="zh-CN"/>
        </w:rPr>
        <w:t>杭政储出【2024】22号地块住宅兼容商业服务业项目</w:t>
      </w:r>
      <w:r>
        <w:rPr>
          <w:rFonts w:hint="eastAsia" w:ascii="仿宋" w:hAnsi="仿宋" w:eastAsia="仿宋" w:cs="仿宋"/>
          <w:b/>
          <w:bCs/>
          <w:sz w:val="52"/>
          <w:szCs w:val="52"/>
        </w:rPr>
        <w:t>设计、管理咨询及销售服务</w:t>
      </w:r>
    </w:p>
    <w:p w14:paraId="66DDDF98">
      <w:pPr>
        <w:adjustRightInd/>
        <w:spacing w:line="360" w:lineRule="auto"/>
        <w:jc w:val="center"/>
        <w:rPr>
          <w:rFonts w:ascii="仿宋" w:hAnsi="仿宋" w:eastAsia="仿宋" w:cs="仿宋"/>
          <w:b/>
          <w:bCs/>
          <w:sz w:val="52"/>
          <w:szCs w:val="52"/>
        </w:rPr>
      </w:pPr>
      <w:r>
        <w:rPr>
          <w:rFonts w:hint="eastAsia" w:ascii="仿宋" w:hAnsi="仿宋" w:eastAsia="仿宋" w:cs="仿宋"/>
          <w:b/>
          <w:bCs/>
          <w:sz w:val="52"/>
          <w:szCs w:val="52"/>
        </w:rPr>
        <w:t>招标文件</w:t>
      </w:r>
    </w:p>
    <w:p w14:paraId="68D7AAB9">
      <w:pPr>
        <w:pStyle w:val="2"/>
      </w:pPr>
    </w:p>
    <w:p w14:paraId="34BD799D">
      <w:pPr>
        <w:snapToGrid w:val="0"/>
        <w:spacing w:line="360" w:lineRule="auto"/>
        <w:jc w:val="center"/>
        <w:rPr>
          <w:rFonts w:ascii="仿宋" w:hAnsi="仿宋" w:eastAsia="仿宋" w:cs="仿宋"/>
          <w:sz w:val="32"/>
          <w:szCs w:val="32"/>
        </w:rPr>
      </w:pPr>
      <w:r>
        <w:rPr>
          <w:rFonts w:hint="eastAsia" w:ascii="仿宋" w:hAnsi="仿宋" w:eastAsia="仿宋" w:cs="仿宋"/>
          <w:sz w:val="30"/>
          <w:szCs w:val="30"/>
        </w:rPr>
        <w:t>招标编号: ZJXS-AJJT-002</w:t>
      </w:r>
    </w:p>
    <w:p w14:paraId="63EF3FEB">
      <w:pPr>
        <w:pStyle w:val="2"/>
        <w:jc w:val="both"/>
        <w:rPr>
          <w:rFonts w:cs="仿宋"/>
          <w:color w:val="auto"/>
          <w:sz w:val="32"/>
          <w:szCs w:val="32"/>
        </w:rPr>
      </w:pPr>
    </w:p>
    <w:p w14:paraId="6C7409F0">
      <w:pPr>
        <w:rPr>
          <w:rFonts w:ascii="仿宋" w:hAnsi="仿宋" w:eastAsia="仿宋" w:cs="仿宋"/>
          <w:sz w:val="32"/>
          <w:szCs w:val="32"/>
        </w:rPr>
      </w:pPr>
    </w:p>
    <w:p w14:paraId="3AAE27C9">
      <w:pPr>
        <w:pStyle w:val="59"/>
        <w:ind w:firstLine="640"/>
        <w:rPr>
          <w:rFonts w:ascii="仿宋" w:hAnsi="仿宋" w:eastAsia="仿宋" w:cs="仿宋"/>
          <w:sz w:val="32"/>
          <w:szCs w:val="32"/>
        </w:rPr>
      </w:pPr>
    </w:p>
    <w:p w14:paraId="46391D91">
      <w:pPr>
        <w:pStyle w:val="59"/>
        <w:ind w:firstLine="640"/>
        <w:rPr>
          <w:rFonts w:ascii="仿宋" w:hAnsi="仿宋" w:eastAsia="仿宋" w:cs="仿宋"/>
          <w:sz w:val="32"/>
          <w:szCs w:val="32"/>
        </w:rPr>
      </w:pPr>
    </w:p>
    <w:p w14:paraId="18300B76">
      <w:pPr>
        <w:pStyle w:val="59"/>
        <w:ind w:firstLine="640"/>
        <w:rPr>
          <w:rFonts w:ascii="仿宋" w:hAnsi="仿宋" w:eastAsia="仿宋" w:cs="仿宋"/>
          <w:sz w:val="32"/>
          <w:szCs w:val="32"/>
        </w:rPr>
      </w:pPr>
    </w:p>
    <w:p w14:paraId="063461CC">
      <w:pPr>
        <w:pStyle w:val="59"/>
        <w:ind w:firstLine="640"/>
        <w:rPr>
          <w:rFonts w:ascii="仿宋" w:hAnsi="仿宋" w:eastAsia="仿宋" w:cs="仿宋"/>
          <w:sz w:val="32"/>
          <w:szCs w:val="32"/>
        </w:rPr>
      </w:pPr>
    </w:p>
    <w:p w14:paraId="22987DDE">
      <w:pPr>
        <w:spacing w:line="600" w:lineRule="auto"/>
        <w:rPr>
          <w:rFonts w:ascii="仿宋" w:hAnsi="仿宋" w:eastAsia="仿宋" w:cs="仿宋"/>
          <w:b/>
          <w:sz w:val="28"/>
          <w:szCs w:val="28"/>
        </w:rPr>
      </w:pPr>
    </w:p>
    <w:p w14:paraId="4F216E50">
      <w:pPr>
        <w:spacing w:line="360" w:lineRule="auto"/>
        <w:ind w:firstLine="723" w:firstLineChars="200"/>
        <w:jc w:val="center"/>
        <w:rPr>
          <w:rFonts w:ascii="仿宋" w:hAnsi="仿宋" w:eastAsia="仿宋" w:cs="仿宋"/>
          <w:b/>
          <w:sz w:val="36"/>
          <w:szCs w:val="36"/>
        </w:rPr>
      </w:pPr>
      <w:r>
        <w:rPr>
          <w:rFonts w:hint="eastAsia" w:ascii="仿宋" w:hAnsi="仿宋" w:eastAsia="仿宋" w:cs="仿宋"/>
          <w:b/>
          <w:sz w:val="36"/>
          <w:szCs w:val="36"/>
        </w:rPr>
        <w:t>杭州萧山鸿安置业开发有限公司</w:t>
      </w:r>
    </w:p>
    <w:p w14:paraId="5091C389">
      <w:pPr>
        <w:spacing w:line="360" w:lineRule="auto"/>
        <w:ind w:firstLine="723" w:firstLineChars="200"/>
        <w:jc w:val="center"/>
        <w:rPr>
          <w:rFonts w:ascii="仿宋" w:hAnsi="仿宋" w:eastAsia="仿宋" w:cs="仿宋"/>
          <w:b/>
          <w:sz w:val="36"/>
          <w:szCs w:val="36"/>
        </w:rPr>
      </w:pPr>
      <w:r>
        <w:rPr>
          <w:rFonts w:hint="eastAsia" w:ascii="仿宋" w:hAnsi="仿宋" w:eastAsia="仿宋" w:cs="仿宋"/>
          <w:b/>
          <w:sz w:val="36"/>
          <w:szCs w:val="36"/>
        </w:rPr>
        <w:t>浙江翔实建设项目管理有限公司</w:t>
      </w:r>
    </w:p>
    <w:p w14:paraId="03073BC2">
      <w:pPr>
        <w:snapToGrid w:val="0"/>
        <w:spacing w:line="360" w:lineRule="auto"/>
        <w:jc w:val="center"/>
        <w:rPr>
          <w:rFonts w:ascii="仿宋" w:hAnsi="仿宋" w:eastAsia="仿宋" w:cs="仿宋"/>
          <w:bCs/>
          <w:color w:val="FF0000"/>
          <w:sz w:val="36"/>
          <w:szCs w:val="36"/>
        </w:rPr>
      </w:pPr>
      <w:r>
        <w:rPr>
          <w:rFonts w:hint="eastAsia" w:ascii="仿宋" w:hAnsi="仿宋" w:eastAsia="仿宋" w:cs="仿宋"/>
          <w:bCs/>
          <w:sz w:val="36"/>
          <w:szCs w:val="36"/>
        </w:rPr>
        <w:t xml:space="preserve"> </w:t>
      </w:r>
      <w:r>
        <w:rPr>
          <w:rFonts w:hint="eastAsia" w:ascii="仿宋" w:hAnsi="仿宋" w:eastAsia="仿宋" w:cs="仿宋"/>
          <w:bCs/>
          <w:color w:val="000000" w:themeColor="text1"/>
          <w:sz w:val="36"/>
          <w:szCs w:val="36"/>
          <w14:textFill>
            <w14:solidFill>
              <w14:schemeClr w14:val="tx1"/>
            </w14:solidFill>
          </w14:textFill>
        </w:rPr>
        <w:t xml:space="preserve"> 2025年7月1日</w:t>
      </w:r>
    </w:p>
    <w:p w14:paraId="478C44E9">
      <w:pPr>
        <w:spacing w:line="360" w:lineRule="auto"/>
        <w:jc w:val="center"/>
        <w:rPr>
          <w:rFonts w:ascii="仿宋" w:hAnsi="仿宋" w:eastAsia="仿宋" w:cs="仿宋"/>
          <w:bCs/>
          <w:color w:val="FF0000"/>
          <w:sz w:val="32"/>
          <w:szCs w:val="32"/>
        </w:rPr>
      </w:pPr>
    </w:p>
    <w:p w14:paraId="6B3C8AC4">
      <w:pPr>
        <w:pStyle w:val="73"/>
        <w:spacing w:before="120"/>
        <w:ind w:firstLine="640"/>
        <w:rPr>
          <w:rFonts w:ascii="仿宋" w:hAnsi="仿宋" w:eastAsia="仿宋" w:cs="仿宋"/>
          <w:bCs/>
          <w:color w:val="000000"/>
          <w:sz w:val="32"/>
          <w:szCs w:val="32"/>
        </w:rPr>
      </w:pPr>
    </w:p>
    <w:p w14:paraId="0CA4762B">
      <w:pPr>
        <w:pStyle w:val="73"/>
        <w:spacing w:before="120"/>
        <w:ind w:firstLine="640"/>
        <w:rPr>
          <w:rFonts w:ascii="仿宋" w:hAnsi="仿宋" w:eastAsia="仿宋" w:cs="仿宋"/>
          <w:bCs/>
          <w:color w:val="000000"/>
          <w:sz w:val="32"/>
          <w:szCs w:val="32"/>
        </w:rPr>
      </w:pPr>
    </w:p>
    <w:p w14:paraId="1C5617EE">
      <w:pPr>
        <w:spacing w:line="360" w:lineRule="auto"/>
        <w:jc w:val="center"/>
        <w:rPr>
          <w:rFonts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2DE0C3CD">
      <w:pPr>
        <w:spacing w:line="360" w:lineRule="auto"/>
        <w:jc w:val="center"/>
        <w:rPr>
          <w:rFonts w:ascii="仿宋" w:hAnsi="仿宋" w:eastAsia="仿宋" w:cs="仿宋"/>
          <w:color w:val="000000"/>
          <w:sz w:val="32"/>
          <w:szCs w:val="32"/>
        </w:rPr>
      </w:pPr>
    </w:p>
    <w:p w14:paraId="22C46E1C">
      <w:pPr>
        <w:spacing w:line="360" w:lineRule="auto"/>
        <w:rPr>
          <w:rFonts w:ascii="仿宋" w:hAnsi="仿宋" w:eastAsia="仿宋" w:cs="仿宋"/>
          <w:color w:val="000000"/>
          <w:sz w:val="32"/>
          <w:szCs w:val="32"/>
        </w:rPr>
      </w:pPr>
    </w:p>
    <w:p w14:paraId="64C0EB75">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第一部分      招标公告</w:t>
      </w:r>
    </w:p>
    <w:p w14:paraId="5815C5B0">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第二部分      响应人须知</w:t>
      </w:r>
    </w:p>
    <w:p w14:paraId="564DD723">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第三部分      招标需求</w:t>
      </w:r>
    </w:p>
    <w:p w14:paraId="034350A1">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4878EE14">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62525AF2">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0C77D30E">
      <w:pPr>
        <w:spacing w:line="360" w:lineRule="auto"/>
        <w:ind w:firstLine="549" w:firstLineChars="229"/>
        <w:rPr>
          <w:rFonts w:ascii="仿宋" w:hAnsi="仿宋" w:eastAsia="仿宋" w:cs="仿宋"/>
          <w:color w:val="000000"/>
          <w:sz w:val="24"/>
        </w:rPr>
      </w:pPr>
      <w:bookmarkStart w:id="1" w:name="_Hlt91233176"/>
      <w:bookmarkEnd w:id="1"/>
      <w:bookmarkStart w:id="2" w:name="_Toc91899869"/>
    </w:p>
    <w:p w14:paraId="6BE86B18">
      <w:pPr>
        <w:spacing w:line="360" w:lineRule="auto"/>
        <w:ind w:firstLine="549" w:firstLineChars="229"/>
        <w:rPr>
          <w:rFonts w:ascii="仿宋" w:hAnsi="仿宋" w:eastAsia="仿宋" w:cs="仿宋"/>
          <w:color w:val="000000"/>
          <w:sz w:val="24"/>
        </w:rPr>
      </w:pPr>
    </w:p>
    <w:p w14:paraId="4E615B99">
      <w:pPr>
        <w:spacing w:line="360" w:lineRule="auto"/>
        <w:ind w:firstLine="549" w:firstLineChars="229"/>
        <w:rPr>
          <w:rFonts w:ascii="仿宋" w:hAnsi="仿宋" w:eastAsia="仿宋" w:cs="仿宋"/>
          <w:color w:val="000000"/>
          <w:sz w:val="24"/>
        </w:rPr>
      </w:pPr>
    </w:p>
    <w:p w14:paraId="0803DB5F">
      <w:pPr>
        <w:spacing w:line="360" w:lineRule="auto"/>
        <w:ind w:firstLine="549" w:firstLineChars="229"/>
        <w:rPr>
          <w:rFonts w:ascii="仿宋" w:hAnsi="仿宋" w:eastAsia="仿宋" w:cs="仿宋"/>
          <w:color w:val="000000"/>
          <w:sz w:val="24"/>
        </w:rPr>
      </w:pPr>
    </w:p>
    <w:p w14:paraId="17037660">
      <w:pPr>
        <w:spacing w:line="360" w:lineRule="auto"/>
        <w:ind w:firstLine="549" w:firstLineChars="229"/>
        <w:rPr>
          <w:rFonts w:ascii="仿宋" w:hAnsi="仿宋" w:eastAsia="仿宋" w:cs="仿宋"/>
          <w:color w:val="000000"/>
          <w:sz w:val="24"/>
        </w:rPr>
      </w:pPr>
    </w:p>
    <w:p w14:paraId="7AE0F074">
      <w:pPr>
        <w:spacing w:line="360" w:lineRule="auto"/>
        <w:ind w:firstLine="549" w:firstLineChars="229"/>
        <w:rPr>
          <w:rFonts w:ascii="仿宋" w:hAnsi="仿宋" w:eastAsia="仿宋" w:cs="仿宋"/>
          <w:color w:val="000000"/>
          <w:sz w:val="24"/>
        </w:rPr>
      </w:pPr>
    </w:p>
    <w:p w14:paraId="22757918">
      <w:pPr>
        <w:spacing w:line="360" w:lineRule="auto"/>
        <w:ind w:firstLine="549" w:firstLineChars="229"/>
        <w:rPr>
          <w:rFonts w:ascii="仿宋" w:hAnsi="仿宋" w:eastAsia="仿宋" w:cs="仿宋"/>
          <w:color w:val="000000"/>
          <w:sz w:val="24"/>
        </w:rPr>
      </w:pPr>
    </w:p>
    <w:p w14:paraId="0FB35760">
      <w:pPr>
        <w:spacing w:line="360" w:lineRule="auto"/>
        <w:ind w:firstLine="549" w:firstLineChars="229"/>
        <w:rPr>
          <w:rFonts w:ascii="仿宋" w:hAnsi="仿宋" w:eastAsia="仿宋" w:cs="仿宋"/>
          <w:color w:val="000000"/>
          <w:sz w:val="24"/>
        </w:rPr>
      </w:pPr>
    </w:p>
    <w:p w14:paraId="6E2BC68E">
      <w:pPr>
        <w:spacing w:line="360" w:lineRule="auto"/>
        <w:ind w:firstLine="549" w:firstLineChars="229"/>
        <w:rPr>
          <w:rFonts w:ascii="仿宋" w:hAnsi="仿宋" w:eastAsia="仿宋" w:cs="仿宋"/>
          <w:color w:val="000000"/>
          <w:sz w:val="24"/>
        </w:rPr>
      </w:pPr>
    </w:p>
    <w:p w14:paraId="206D16C5">
      <w:pPr>
        <w:pStyle w:val="2"/>
        <w:rPr>
          <w:rFonts w:cs="仿宋"/>
        </w:rPr>
      </w:pPr>
      <w:bookmarkStart w:id="3" w:name="第一部分"/>
      <w:r>
        <w:rPr>
          <w:rFonts w:hint="eastAsia" w:cs="仿宋"/>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
        </w:rPr>
        <w:t>第一部分 招标公告</w:t>
      </w:r>
    </w:p>
    <w:p w14:paraId="140F4DAC">
      <w:pPr>
        <w:pBdr>
          <w:top w:val="single" w:color="auto" w:sz="4" w:space="1"/>
          <w:left w:val="single" w:color="auto" w:sz="4" w:space="4"/>
          <w:bottom w:val="single" w:color="auto" w:sz="4" w:space="1"/>
          <w:right w:val="single" w:color="auto" w:sz="4" w:space="4"/>
        </w:pBdr>
        <w:rPr>
          <w:rFonts w:ascii="仿宋" w:hAnsi="仿宋" w:eastAsia="仿宋" w:cs="仿宋"/>
          <w:sz w:val="24"/>
          <w:szCs w:val="28"/>
        </w:rPr>
      </w:pPr>
      <w:r>
        <w:rPr>
          <w:rFonts w:hint="eastAsia" w:ascii="仿宋" w:hAnsi="仿宋" w:eastAsia="仿宋" w:cs="仿宋"/>
          <w:sz w:val="24"/>
          <w:szCs w:val="28"/>
        </w:rPr>
        <w:t>项目概况：</w:t>
      </w:r>
    </w:p>
    <w:p w14:paraId="2A238B9D">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sz w:val="24"/>
          <w:szCs w:val="28"/>
        </w:rPr>
      </w:pPr>
      <w:r>
        <w:rPr>
          <w:rFonts w:hint="eastAsia" w:ascii="仿宋" w:hAnsi="仿宋" w:eastAsia="仿宋" w:cs="仿宋"/>
          <w:sz w:val="24"/>
          <w:szCs w:val="28"/>
          <w:u w:val="single"/>
          <w:lang w:eastAsia="zh-CN"/>
        </w:rPr>
        <w:t>杭政储出【2024】22号地块住宅兼容商业服务业项目</w:t>
      </w:r>
      <w:r>
        <w:rPr>
          <w:rFonts w:hint="eastAsia" w:ascii="仿宋" w:hAnsi="仿宋" w:eastAsia="仿宋" w:cs="仿宋"/>
          <w:sz w:val="24"/>
          <w:szCs w:val="28"/>
          <w:u w:val="single"/>
        </w:rPr>
        <w:t>设计、管理咨询及销售服务</w:t>
      </w:r>
      <w:r>
        <w:rPr>
          <w:rFonts w:hint="eastAsia" w:ascii="仿宋" w:hAnsi="仿宋" w:eastAsia="仿宋" w:cs="仿宋"/>
          <w:sz w:val="24"/>
        </w:rPr>
        <w:t>的潜在响应人应在乐采云（萧采云）平台（</w:t>
      </w:r>
      <w:r>
        <w:fldChar w:fldCharType="begin"/>
      </w:r>
      <w:r>
        <w:instrText xml:space="preserve"> HYPERLINK "https://www.zcygov.cn/）获取（下载）招标文件，并于2021年" </w:instrText>
      </w:r>
      <w:r>
        <w:fldChar w:fldCharType="separate"/>
      </w:r>
      <w:r>
        <w:rPr>
          <w:rFonts w:hint="eastAsia" w:ascii="仿宋" w:hAnsi="仿宋" w:eastAsia="仿宋" w:cs="仿宋"/>
          <w:sz w:val="24"/>
        </w:rPr>
        <w:t>https://www.lecaiyun.com</w:t>
      </w:r>
      <w:r>
        <w:rPr>
          <w:rStyle w:val="68"/>
          <w:rFonts w:hint="eastAsia" w:ascii="仿宋" w:hAnsi="仿宋" w:eastAsia="仿宋" w:cs="仿宋"/>
          <w:sz w:val="24"/>
          <w:szCs w:val="24"/>
        </w:rPr>
        <w:t>）获取（下载）招标文件，并于</w:t>
      </w:r>
      <w:r>
        <w:rPr>
          <w:rStyle w:val="68"/>
          <w:rFonts w:hint="eastAsia" w:ascii="仿宋" w:hAnsi="仿宋" w:eastAsia="仿宋" w:cs="仿宋"/>
          <w:sz w:val="24"/>
          <w:szCs w:val="24"/>
          <w:u w:val="single"/>
        </w:rPr>
        <w:t>2025年</w:t>
      </w:r>
      <w:r>
        <w:rPr>
          <w:rStyle w:val="68"/>
          <w:rFonts w:hint="eastAsia" w:ascii="仿宋" w:hAnsi="仿宋" w:eastAsia="仿宋" w:cs="仿宋"/>
          <w:sz w:val="24"/>
          <w:szCs w:val="24"/>
          <w:u w:val="single"/>
        </w:rPr>
        <w:fldChar w:fldCharType="end"/>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6</w:t>
      </w:r>
      <w:r>
        <w:rPr>
          <w:rFonts w:hint="eastAsia" w:ascii="仿宋" w:hAnsi="仿宋" w:eastAsia="仿宋" w:cs="仿宋"/>
          <w:sz w:val="24"/>
          <w:u w:val="single"/>
        </w:rPr>
        <w:t>日09</w:t>
      </w:r>
      <w:r>
        <w:rPr>
          <w:rFonts w:hint="eastAsia" w:ascii="仿宋" w:hAnsi="仿宋" w:eastAsia="仿宋" w:cs="仿宋"/>
          <w:bCs/>
          <w:sz w:val="24"/>
          <w:u w:val="single"/>
        </w:rPr>
        <w:t>点30分00秒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30AFCE7E">
      <w:pPr>
        <w:pStyle w:val="3"/>
        <w:numPr>
          <w:ilvl w:val="0"/>
          <w:numId w:val="0"/>
        </w:numPr>
        <w:rPr>
          <w:rFonts w:ascii="仿宋" w:eastAsia="仿宋" w:cs="仿宋"/>
          <w:sz w:val="24"/>
          <w:szCs w:val="28"/>
        </w:rPr>
      </w:pPr>
      <w:bookmarkStart w:id="11" w:name="_Toc35393621"/>
      <w:bookmarkStart w:id="12" w:name="_Toc28359002"/>
      <w:bookmarkStart w:id="13" w:name="_Toc35393790"/>
      <w:bookmarkStart w:id="14" w:name="_Toc28359079"/>
      <w:bookmarkStart w:id="15" w:name="_Hlk24379207"/>
      <w:r>
        <w:rPr>
          <w:rFonts w:hint="eastAsia" w:ascii="仿宋" w:eastAsia="仿宋" w:cs="仿宋"/>
          <w:sz w:val="24"/>
          <w:szCs w:val="28"/>
        </w:rPr>
        <w:t>一、项目基本情况</w:t>
      </w:r>
      <w:bookmarkEnd w:id="11"/>
      <w:bookmarkEnd w:id="12"/>
      <w:bookmarkEnd w:id="13"/>
      <w:bookmarkEnd w:id="14"/>
    </w:p>
    <w:p w14:paraId="6391840C">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项目编号： ZJXS-AJJT-002</w:t>
      </w:r>
    </w:p>
    <w:p w14:paraId="6083BD1D">
      <w:pPr>
        <w:adjustRightInd/>
        <w:spacing w:line="360" w:lineRule="auto"/>
        <w:ind w:firstLine="480" w:firstLineChars="200"/>
        <w:rPr>
          <w:rFonts w:ascii="仿宋" w:hAnsi="仿宋" w:eastAsia="仿宋" w:cs="仿宋"/>
          <w:sz w:val="24"/>
        </w:rPr>
      </w:pPr>
      <w:r>
        <w:rPr>
          <w:rFonts w:hint="eastAsia" w:ascii="仿宋" w:hAnsi="仿宋" w:eastAsia="仿宋" w:cs="仿宋"/>
          <w:sz w:val="24"/>
          <w:szCs w:val="28"/>
        </w:rPr>
        <w:t>项目名称：</w:t>
      </w:r>
      <w:bookmarkEnd w:id="15"/>
      <w:r>
        <w:rPr>
          <w:rFonts w:hint="eastAsia" w:ascii="仿宋" w:hAnsi="仿宋" w:eastAsia="仿宋" w:cs="仿宋"/>
          <w:sz w:val="24"/>
          <w:szCs w:val="28"/>
          <w:lang w:eastAsia="zh-CN"/>
        </w:rPr>
        <w:t>杭政储出【2024】22号地块住宅兼容商业服务业项目</w:t>
      </w:r>
      <w:r>
        <w:rPr>
          <w:rFonts w:hint="eastAsia" w:ascii="仿宋" w:hAnsi="仿宋" w:eastAsia="仿宋" w:cs="仿宋"/>
          <w:sz w:val="24"/>
          <w:szCs w:val="28"/>
        </w:rPr>
        <w:t>设计、管理咨询及销售服务</w:t>
      </w:r>
      <w:bookmarkStart w:id="409" w:name="_GoBack"/>
      <w:bookmarkEnd w:id="409"/>
    </w:p>
    <w:p w14:paraId="385ED50A">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最高限价：3774.5346万元</w:t>
      </w:r>
    </w:p>
    <w:p w14:paraId="38FAEBEF">
      <w:pPr>
        <w:spacing w:line="360" w:lineRule="auto"/>
        <w:ind w:firstLine="480" w:firstLineChars="200"/>
        <w:jc w:val="left"/>
        <w:rPr>
          <w:rFonts w:ascii="仿宋" w:hAnsi="仿宋" w:eastAsia="仿宋" w:cs="仿宋"/>
          <w:sz w:val="24"/>
          <w:szCs w:val="28"/>
          <w:u w:val="single"/>
        </w:rPr>
      </w:pPr>
      <w:r>
        <w:rPr>
          <w:rFonts w:hint="eastAsia" w:ascii="仿宋" w:hAnsi="仿宋" w:eastAsia="仿宋" w:cs="仿宋"/>
          <w:sz w:val="24"/>
          <w:szCs w:val="28"/>
        </w:rPr>
        <w:t>招标需求：详见招标文件</w:t>
      </w:r>
    </w:p>
    <w:p w14:paraId="0D3A06F8">
      <w:pPr>
        <w:spacing w:line="360" w:lineRule="auto"/>
        <w:ind w:firstLine="480"/>
        <w:rPr>
          <w:rFonts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szCs w:val="28"/>
        </w:rPr>
        <w:t>按招标文件要求</w:t>
      </w:r>
    </w:p>
    <w:p w14:paraId="062A1517">
      <w:pPr>
        <w:spacing w:line="360" w:lineRule="auto"/>
        <w:ind w:firstLine="480"/>
        <w:rPr>
          <w:rFonts w:ascii="仿宋" w:hAnsi="仿宋" w:eastAsia="仿宋" w:cs="仿宋"/>
          <w:b/>
          <w:sz w:val="24"/>
        </w:rPr>
      </w:pPr>
      <w:r>
        <w:rPr>
          <w:rFonts w:hint="eastAsia" w:ascii="仿宋" w:hAnsi="仿宋" w:eastAsia="仿宋" w:cs="仿宋"/>
          <w:b/>
          <w:sz w:val="24"/>
        </w:rPr>
        <w:t>本项目是否接受联合体招标：</w:t>
      </w:r>
      <w:sdt>
        <w:sdtPr>
          <w:rPr>
            <w:rFonts w:hint="eastAsia" w:ascii="仿宋" w:hAnsi="仿宋" w:eastAsia="仿宋" w:cs="仿宋"/>
            <w:kern w:val="0"/>
            <w:sz w:val="24"/>
          </w:rPr>
          <w:id w:val="203545383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b/>
          <w:sz w:val="24"/>
        </w:rPr>
        <w:t>是，</w:t>
      </w:r>
      <w:sdt>
        <w:sdtPr>
          <w:rPr>
            <w:rFonts w:hint="eastAsia" w:ascii="仿宋" w:hAnsi="仿宋" w:eastAsia="仿宋" w:cs="仿宋"/>
            <w:kern w:val="0"/>
            <w:sz w:val="24"/>
          </w:rPr>
          <w:id w:val="-176552672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b/>
          <w:sz w:val="24"/>
        </w:rPr>
        <w:t>否</w:t>
      </w:r>
      <w:r>
        <w:rPr>
          <w:rFonts w:hint="eastAsia" w:ascii="仿宋" w:hAnsi="仿宋" w:eastAsia="仿宋" w:cs="仿宋"/>
          <w:kern w:val="0"/>
          <w:sz w:val="24"/>
        </w:rPr>
        <w:t>。</w:t>
      </w:r>
    </w:p>
    <w:p w14:paraId="1777C14A">
      <w:pPr>
        <w:pStyle w:val="2"/>
        <w:ind w:firstLine="482" w:firstLineChars="200"/>
        <w:jc w:val="both"/>
        <w:rPr>
          <w:rFonts w:cs="仿宋"/>
          <w:color w:val="auto"/>
          <w:sz w:val="24"/>
          <w:szCs w:val="28"/>
        </w:rPr>
      </w:pPr>
      <w:r>
        <w:rPr>
          <w:rFonts w:hint="eastAsia" w:cs="仿宋"/>
          <w:color w:val="auto"/>
          <w:sz w:val="24"/>
          <w:szCs w:val="28"/>
        </w:rPr>
        <w:t>招标方式：公开招标</w:t>
      </w:r>
      <w:bookmarkStart w:id="16" w:name="_Toc28359081"/>
      <w:bookmarkStart w:id="17" w:name="_Toc35393623"/>
      <w:bookmarkStart w:id="18" w:name="_Toc28359004"/>
      <w:bookmarkStart w:id="19" w:name="_Toc35393792"/>
    </w:p>
    <w:p w14:paraId="683EF49E">
      <w:pPr>
        <w:pStyle w:val="2"/>
        <w:jc w:val="both"/>
        <w:rPr>
          <w:rFonts w:cs="仿宋"/>
          <w:bCs/>
          <w:sz w:val="24"/>
          <w:szCs w:val="28"/>
          <w:lang w:val="zh-CN"/>
        </w:rPr>
      </w:pPr>
      <w:r>
        <w:rPr>
          <w:rFonts w:hint="eastAsia" w:cs="仿宋"/>
          <w:bCs/>
          <w:sz w:val="24"/>
          <w:szCs w:val="28"/>
          <w:lang w:val="zh-CN"/>
        </w:rPr>
        <w:t>二、申请人的资格要求：</w:t>
      </w:r>
    </w:p>
    <w:p w14:paraId="523B4F34">
      <w:pPr>
        <w:pStyle w:val="633"/>
        <w:rPr>
          <w:rFonts w:ascii="仿宋" w:hAnsi="仿宋" w:eastAsia="仿宋" w:cs="仿宋"/>
          <w:szCs w:val="28"/>
        </w:rPr>
      </w:pPr>
      <w:r>
        <w:rPr>
          <w:rFonts w:hint="eastAsia" w:ascii="仿宋" w:hAnsi="仿宋" w:eastAsia="仿宋" w:cs="仿宋"/>
          <w:szCs w:val="28"/>
        </w:rPr>
        <w:t>1.具有独立承担民事责任的能力；</w:t>
      </w:r>
    </w:p>
    <w:p w14:paraId="485A56C1">
      <w:pPr>
        <w:pStyle w:val="633"/>
        <w:rPr>
          <w:rFonts w:ascii="仿宋" w:hAnsi="仿宋" w:eastAsia="仿宋" w:cs="仿宋"/>
          <w:szCs w:val="28"/>
        </w:rPr>
      </w:pPr>
      <w:r>
        <w:rPr>
          <w:rFonts w:hint="eastAsia" w:ascii="仿宋" w:hAnsi="仿宋" w:eastAsia="仿宋" w:cs="仿宋"/>
          <w:szCs w:val="28"/>
        </w:rPr>
        <w:t>2.具有良好的商业信誉和健全的财务会计制度；</w:t>
      </w:r>
    </w:p>
    <w:p w14:paraId="4CBF1449">
      <w:pPr>
        <w:pStyle w:val="633"/>
        <w:rPr>
          <w:rFonts w:ascii="仿宋" w:hAnsi="仿宋" w:eastAsia="仿宋" w:cs="仿宋"/>
          <w:szCs w:val="28"/>
        </w:rPr>
      </w:pPr>
      <w:r>
        <w:rPr>
          <w:rFonts w:hint="eastAsia" w:ascii="仿宋" w:hAnsi="仿宋" w:eastAsia="仿宋" w:cs="仿宋"/>
          <w:szCs w:val="28"/>
        </w:rPr>
        <w:t>3.具有履行合同所必需的设备和专业技术能力；</w:t>
      </w:r>
    </w:p>
    <w:p w14:paraId="597A1D1E">
      <w:pPr>
        <w:pStyle w:val="633"/>
        <w:rPr>
          <w:rFonts w:ascii="仿宋" w:hAnsi="仿宋" w:eastAsia="仿宋" w:cs="仿宋"/>
          <w:szCs w:val="28"/>
        </w:rPr>
      </w:pPr>
      <w:r>
        <w:rPr>
          <w:rFonts w:hint="eastAsia" w:ascii="仿宋" w:hAnsi="仿宋" w:eastAsia="仿宋" w:cs="仿宋"/>
          <w:szCs w:val="28"/>
        </w:rPr>
        <w:t>4.有依法缴纳税收和社会保障资金的良好记录；</w:t>
      </w:r>
    </w:p>
    <w:p w14:paraId="3CBBF79E">
      <w:pPr>
        <w:pStyle w:val="633"/>
        <w:rPr>
          <w:rFonts w:ascii="仿宋" w:hAnsi="仿宋" w:eastAsia="仿宋" w:cs="仿宋"/>
          <w:szCs w:val="28"/>
        </w:rPr>
      </w:pPr>
      <w:r>
        <w:rPr>
          <w:rFonts w:hint="eastAsia" w:ascii="仿宋" w:hAnsi="仿宋" w:eastAsia="仿宋" w:cs="仿宋"/>
          <w:szCs w:val="28"/>
        </w:rPr>
        <w:t>5.参加交易活动前三年内，在经营活动中没有重大违法记录；</w:t>
      </w:r>
    </w:p>
    <w:p w14:paraId="12173B92">
      <w:pPr>
        <w:pStyle w:val="633"/>
        <w:rPr>
          <w:rFonts w:ascii="仿宋" w:hAnsi="仿宋" w:eastAsia="仿宋" w:cs="仿宋"/>
          <w:szCs w:val="28"/>
        </w:rPr>
      </w:pPr>
      <w:r>
        <w:rPr>
          <w:rFonts w:hint="eastAsia" w:ascii="仿宋" w:hAnsi="仿宋" w:eastAsia="仿宋" w:cs="仿宋"/>
          <w:szCs w:val="28"/>
        </w:rPr>
        <w:t>6.法律、行政法规规定的其他条件；</w:t>
      </w:r>
    </w:p>
    <w:p w14:paraId="20551B58">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7.未被“信用中国”（www.creditchina.gov.cn)、中国政府采购网（www.ccgp.gov.cn）列入失信被执行人、重大税收违法案件当事人名单、政府采购严重违法失信行为记录名单；</w:t>
      </w:r>
    </w:p>
    <w:p w14:paraId="7C06C77F">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8.工程设计：专业和等级设计专业类建筑行业建筑工程甲级 或 设计专业类建筑行业甲级 或 设计综合类甲级资质。【有效证明材料：有效期内的营业执照及资质证书复制件】;</w:t>
      </w:r>
    </w:p>
    <w:p w14:paraId="2B204CBF">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9.管理咨询及销售服务：具备房地产开发企业</w:t>
      </w:r>
      <w:bookmarkStart w:id="20" w:name="OLE_LINK28"/>
      <w:bookmarkStart w:id="21" w:name="OLE_LINK29"/>
      <w:r>
        <w:rPr>
          <w:rFonts w:hint="eastAsia" w:ascii="仿宋" w:hAnsi="仿宋" w:eastAsia="仿宋" w:cs="仿宋"/>
          <w:sz w:val="24"/>
          <w:szCs w:val="28"/>
        </w:rPr>
        <w:t>贰</w:t>
      </w:r>
      <w:bookmarkEnd w:id="20"/>
      <w:bookmarkEnd w:id="21"/>
      <w:r>
        <w:rPr>
          <w:rFonts w:hint="eastAsia" w:ascii="仿宋" w:hAnsi="仿宋" w:eastAsia="仿宋" w:cs="仿宋"/>
          <w:sz w:val="24"/>
          <w:szCs w:val="28"/>
        </w:rPr>
        <w:t>级资质，须具有独立法人资格。【有效证明材料：有效期内的营业执照及资质证书复制件】;</w:t>
      </w:r>
    </w:p>
    <w:p w14:paraId="112D0DBC">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10.本项目接受联合体投标，联合体牵头人须具有房地产开发二级及以上资质且联合体成员总数（含牵头单位）不超过2家，联合体投标的，必须在联合体协议书中明确联合体牵头人、约定各方拟承担的工作责任。</w:t>
      </w:r>
    </w:p>
    <w:p w14:paraId="0874B0AE">
      <w:pPr>
        <w:pStyle w:val="633"/>
        <w:rPr>
          <w:rFonts w:ascii="仿宋" w:hAnsi="仿宋" w:eastAsia="仿宋" w:cs="仿宋"/>
          <w:szCs w:val="28"/>
        </w:rPr>
      </w:pPr>
    </w:p>
    <w:p w14:paraId="7FAAAC58">
      <w:pPr>
        <w:pStyle w:val="633"/>
        <w:rPr>
          <w:rFonts w:ascii="仿宋" w:hAnsi="仿宋" w:eastAsia="仿宋" w:cs="仿宋"/>
          <w:szCs w:val="28"/>
        </w:rPr>
      </w:pPr>
      <w:r>
        <w:rPr>
          <w:rFonts w:hint="eastAsia" w:ascii="仿宋" w:hAnsi="仿宋" w:eastAsia="仿宋" w:cs="仿宋"/>
          <w:szCs w:val="28"/>
        </w:rPr>
        <w:t>11.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1A2A175">
      <w:pPr>
        <w:pStyle w:val="3"/>
        <w:numPr>
          <w:ilvl w:val="0"/>
          <w:numId w:val="0"/>
        </w:numPr>
        <w:rPr>
          <w:rFonts w:ascii="仿宋" w:eastAsia="仿宋" w:cs="仿宋"/>
          <w:sz w:val="24"/>
          <w:szCs w:val="28"/>
        </w:rPr>
      </w:pPr>
      <w:r>
        <w:rPr>
          <w:rFonts w:hint="eastAsia" w:ascii="仿宋" w:eastAsia="仿宋" w:cs="仿宋"/>
          <w:sz w:val="24"/>
          <w:szCs w:val="28"/>
        </w:rPr>
        <w:t>三、获取</w:t>
      </w:r>
      <w:bookmarkEnd w:id="16"/>
      <w:bookmarkEnd w:id="17"/>
      <w:bookmarkEnd w:id="18"/>
      <w:bookmarkEnd w:id="19"/>
      <w:r>
        <w:rPr>
          <w:rFonts w:hint="eastAsia" w:ascii="仿宋" w:eastAsia="仿宋" w:cs="仿宋"/>
          <w:sz w:val="24"/>
          <w:szCs w:val="28"/>
        </w:rPr>
        <w:t>招标文件</w:t>
      </w:r>
    </w:p>
    <w:p w14:paraId="6718D826">
      <w:pPr>
        <w:spacing w:line="360" w:lineRule="auto"/>
        <w:ind w:firstLine="482" w:firstLineChars="200"/>
        <w:rPr>
          <w:rFonts w:ascii="仿宋" w:hAnsi="仿宋" w:eastAsia="仿宋" w:cs="仿宋"/>
          <w:color w:val="000000" w:themeColor="text1"/>
          <w:sz w:val="24"/>
          <w14:textFill>
            <w14:solidFill>
              <w14:schemeClr w14:val="tx1"/>
            </w14:solidFill>
          </w14:textFill>
        </w:rPr>
      </w:pPr>
      <w:bookmarkStart w:id="22" w:name="_Toc28359005"/>
      <w:bookmarkStart w:id="23" w:name="_Toc28359082"/>
      <w:bookmarkStart w:id="24" w:name="_Toc35393793"/>
      <w:bookmarkStart w:id="25" w:name="_Toc35393624"/>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u w:val="single"/>
          <w14:textFill>
            <w14:solidFill>
              <w14:schemeClr w14:val="tx1"/>
            </w14:solidFill>
          </w14:textFill>
        </w:rPr>
        <w:t xml:space="preserve"> 2025年</w:t>
      </w:r>
      <w:r>
        <w:rPr>
          <w:rFonts w:hint="eastAsia" w:ascii="仿宋" w:hAnsi="仿宋" w:eastAsia="仿宋" w:cs="仿宋"/>
          <w:color w:val="000000" w:themeColor="text1"/>
          <w:sz w:val="24"/>
          <w:u w:val="single"/>
          <w:lang w:val="en-US" w:eastAsia="zh-CN"/>
          <w14:textFill>
            <w14:solidFill>
              <w14:schemeClr w14:val="tx1"/>
            </w14:solidFill>
          </w14:textFill>
        </w:rPr>
        <w:t>8</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6</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，每天上午00:00至12:00 ，下午12:00至23:59（北京时间，线上获取法定节假日均可，线下获取文件法定节假日除外）</w:t>
      </w:r>
    </w:p>
    <w:p w14:paraId="3F29110E">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乐采云（萧采云）平台（https://www.lecaiyun.com） </w:t>
      </w:r>
    </w:p>
    <w:p w14:paraId="25802B77">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供应商登录乐采云（萧采云）平台https://www.lecaiyun.com在线申请获取招标文件（进入“项目招标”应用，在获取招标文件菜单中选择项目，申请获取招标文件）。 </w:t>
      </w:r>
    </w:p>
    <w:p w14:paraId="411044DB">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82E4A1F">
      <w:pPr>
        <w:pStyle w:val="3"/>
        <w:numPr>
          <w:ilvl w:val="0"/>
          <w:numId w:val="0"/>
        </w:numPr>
        <w:rPr>
          <w:rFonts w:ascii="仿宋" w:eastAsia="仿宋" w:cs="仿宋"/>
          <w:sz w:val="24"/>
          <w:szCs w:val="28"/>
        </w:rPr>
      </w:pPr>
      <w:r>
        <w:rPr>
          <w:rFonts w:hint="eastAsia" w:ascii="仿宋" w:eastAsia="仿宋" w:cs="仿宋"/>
          <w:sz w:val="24"/>
          <w:szCs w:val="28"/>
        </w:rPr>
        <w:t>四、提交</w:t>
      </w:r>
      <w:bookmarkEnd w:id="22"/>
      <w:bookmarkEnd w:id="23"/>
      <w:r>
        <w:rPr>
          <w:rFonts w:hint="eastAsia" w:ascii="仿宋" w:eastAsia="仿宋" w:cs="仿宋"/>
          <w:sz w:val="24"/>
          <w:szCs w:val="28"/>
        </w:rPr>
        <w:t>响应文件截止时间、招标时间和地点</w:t>
      </w:r>
      <w:bookmarkEnd w:id="24"/>
      <w:bookmarkEnd w:id="25"/>
    </w:p>
    <w:p w14:paraId="12DE4275">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提交响应文件截止时间：</w:t>
      </w:r>
      <w:r>
        <w:rPr>
          <w:rFonts w:hint="eastAsia" w:ascii="仿宋" w:hAnsi="仿宋" w:eastAsia="仿宋" w:cs="仿宋"/>
          <w:color w:val="000000" w:themeColor="text1"/>
          <w:sz w:val="24"/>
          <w:u w:val="single"/>
          <w14:textFill>
            <w14:solidFill>
              <w14:schemeClr w14:val="tx1"/>
            </w14:solidFill>
          </w14:textFill>
        </w:rPr>
        <w:t>2025年</w:t>
      </w:r>
      <w:r>
        <w:rPr>
          <w:rFonts w:hint="eastAsia" w:ascii="仿宋" w:hAnsi="仿宋" w:eastAsia="仿宋" w:cs="仿宋"/>
          <w:color w:val="000000" w:themeColor="text1"/>
          <w:sz w:val="24"/>
          <w:u w:val="single"/>
          <w:lang w:val="en-US" w:eastAsia="zh-CN"/>
          <w14:textFill>
            <w14:solidFill>
              <w14:schemeClr w14:val="tx1"/>
            </w14:solidFill>
          </w14:textFill>
        </w:rPr>
        <w:t>8</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6</w:t>
      </w:r>
      <w:r>
        <w:rPr>
          <w:rFonts w:hint="eastAsia" w:ascii="仿宋" w:hAnsi="仿宋" w:eastAsia="仿宋" w:cs="仿宋"/>
          <w:color w:val="000000" w:themeColor="text1"/>
          <w:sz w:val="24"/>
          <w:u w:val="single"/>
          <w14:textFill>
            <w14:solidFill>
              <w14:schemeClr w14:val="tx1"/>
            </w14:solidFill>
          </w14:textFill>
        </w:rPr>
        <w:t>日09点 30分00秒</w:t>
      </w:r>
      <w:r>
        <w:rPr>
          <w:rFonts w:hint="eastAsia" w:ascii="仿宋" w:hAnsi="仿宋" w:eastAsia="仿宋" w:cs="仿宋"/>
          <w:color w:val="000000" w:themeColor="text1"/>
          <w:sz w:val="24"/>
          <w14:textFill>
            <w14:solidFill>
              <w14:schemeClr w14:val="tx1"/>
            </w14:solidFill>
          </w14:textFill>
        </w:rPr>
        <w:t>（北京时间）</w:t>
      </w:r>
    </w:p>
    <w:p w14:paraId="73A84902">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招标时间：</w:t>
      </w:r>
      <w:r>
        <w:rPr>
          <w:rFonts w:hint="eastAsia" w:ascii="仿宋" w:hAnsi="仿宋" w:eastAsia="仿宋" w:cs="仿宋"/>
          <w:color w:val="000000" w:themeColor="text1"/>
          <w:sz w:val="24"/>
          <w:u w:val="single"/>
          <w14:textFill>
            <w14:solidFill>
              <w14:schemeClr w14:val="tx1"/>
            </w14:solidFill>
          </w14:textFill>
        </w:rPr>
        <w:t>2025年</w:t>
      </w:r>
      <w:r>
        <w:rPr>
          <w:rFonts w:hint="eastAsia" w:ascii="仿宋" w:hAnsi="仿宋" w:eastAsia="仿宋" w:cs="仿宋"/>
          <w:color w:val="000000" w:themeColor="text1"/>
          <w:sz w:val="24"/>
          <w:u w:val="single"/>
          <w:lang w:val="en-US" w:eastAsia="zh-CN"/>
          <w14:textFill>
            <w14:solidFill>
              <w14:schemeClr w14:val="tx1"/>
            </w14:solidFill>
          </w14:textFill>
        </w:rPr>
        <w:t>8</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6</w:t>
      </w:r>
      <w:r>
        <w:rPr>
          <w:rFonts w:hint="eastAsia" w:ascii="仿宋" w:hAnsi="仿宋" w:eastAsia="仿宋" w:cs="仿宋"/>
          <w:color w:val="000000" w:themeColor="text1"/>
          <w:sz w:val="24"/>
          <w:u w:val="single"/>
          <w14:textFill>
            <w14:solidFill>
              <w14:schemeClr w14:val="tx1"/>
            </w14:solidFill>
          </w14:textFill>
        </w:rPr>
        <w:t>日09点30分00秒</w:t>
      </w:r>
    </w:p>
    <w:p w14:paraId="1A05CF02">
      <w:pPr>
        <w:spacing w:line="360" w:lineRule="auto"/>
        <w:ind w:firstLine="482" w:firstLineChars="200"/>
        <w:rPr>
          <w:rFonts w:ascii="仿宋" w:hAnsi="仿宋" w:eastAsia="仿宋" w:cs="仿宋"/>
          <w:sz w:val="24"/>
        </w:rPr>
      </w:pPr>
      <w:r>
        <w:rPr>
          <w:rFonts w:hint="eastAsia" w:ascii="仿宋" w:hAnsi="仿宋" w:eastAsia="仿宋" w:cs="仿宋"/>
          <w:b/>
          <w:sz w:val="24"/>
        </w:rPr>
        <w:t>招标地点：</w:t>
      </w:r>
      <w:r>
        <w:rPr>
          <w:rFonts w:hint="eastAsia" w:ascii="仿宋" w:hAnsi="仿宋" w:eastAsia="仿宋" w:cs="仿宋"/>
          <w:sz w:val="24"/>
        </w:rPr>
        <w:t xml:space="preserve">乐采云（萧采云）平台（https://www.lecaiyun.com）（戴村镇人民政府附楼103议标室）   </w:t>
      </w:r>
    </w:p>
    <w:p w14:paraId="6BE34E2D">
      <w:pPr>
        <w:pStyle w:val="3"/>
        <w:numPr>
          <w:ilvl w:val="0"/>
          <w:numId w:val="0"/>
        </w:numPr>
        <w:rPr>
          <w:rFonts w:ascii="仿宋" w:eastAsia="仿宋" w:cs="仿宋"/>
          <w:sz w:val="24"/>
        </w:rPr>
      </w:pPr>
      <w:bookmarkStart w:id="26" w:name="_Toc35393626"/>
      <w:bookmarkStart w:id="27" w:name="_Toc35393795"/>
      <w:r>
        <w:rPr>
          <w:rFonts w:hint="eastAsia" w:ascii="仿宋" w:eastAsia="仿宋" w:cs="仿宋"/>
          <w:sz w:val="24"/>
          <w:szCs w:val="28"/>
        </w:rPr>
        <w:t>五、其他补充事宜</w:t>
      </w:r>
      <w:bookmarkEnd w:id="26"/>
      <w:bookmarkEnd w:id="27"/>
      <w:bookmarkStart w:id="28" w:name="_Toc28359085"/>
      <w:bookmarkStart w:id="29" w:name="_Toc35393796"/>
      <w:bookmarkStart w:id="30" w:name="_Toc28359008"/>
      <w:bookmarkStart w:id="31" w:name="_Toc35393627"/>
    </w:p>
    <w:p w14:paraId="0A3AF502">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1.供应商认为招标文件使自己的权益受到损害的，可以自获取招标文件之日起3个工作日内，以书面形式向采购人和采购代理机构提出质疑。</w:t>
      </w:r>
    </w:p>
    <w:p w14:paraId="12D60D7E">
      <w:pPr>
        <w:spacing w:line="360" w:lineRule="auto"/>
        <w:ind w:firstLine="480" w:firstLineChars="200"/>
        <w:rPr>
          <w:rFonts w:ascii="仿宋" w:hAnsi="仿宋" w:eastAsia="仿宋" w:cs="仿宋"/>
          <w:sz w:val="24"/>
        </w:rPr>
      </w:pPr>
      <w:r>
        <w:rPr>
          <w:rFonts w:hint="eastAsia" w:ascii="仿宋" w:hAnsi="仿宋" w:eastAsia="仿宋" w:cs="仿宋"/>
          <w:sz w:val="24"/>
        </w:rPr>
        <w:t>2.电子招标的说明： 1）电子招标：本项目以数据电文形式，依托“乐采云（萧采云）平台（https://www.lecaiyun.com）”进行招标活动，不接受纸质响应文件。2）响应准备：注册账号--点击“商家入驻”，进行乐采云供应商资料填写；申领CA数字证书---申领流程详见“浙江政府采购网-下载专区-电子招标客户端-CA驱动和申领流程”；安装“乐采云电子招标客户端”----前往“浙江政府采购网-下载专区-电子招标客户端”进行下载并安装。3）招标文件的获取：使用账号登录或者使用CA登录乐采云平台；进入“项目采购”应用，在获取招标文件菜单中选择项目，获取招标文件。4）投标文件的制作：在“乐采云电子招标客户端”中完成“填写基本信息”、“导入投标文件”、“标书关联”、“标书检查”、“公章”、“生成电子标书”等操作。5）采购人、采购机构将依托乐采云平台完成本项目的电子招标活动，平台不接受未按上述方式获取招标文件的供应商进行投标活动； 6）对未按上述方式获取招标文件的供应商对该文件提出的质疑，招标发起人或采购代理机构将不予处理；7）不提供招标文件纸质版。8）响应文件的传输递交：供应商在响应截止时间前将加密的响应文件上传至乐采云平台，还可以在响应截止时间前直接提交或者以邮政快递方式递交备份响应文件1份。备份响应文件的制作、存储、密封详见招标文件第二部分第15点—“备份响应文件”。9）响应文件的解密：供应商按照平台提示和招标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没有在电子招标平台传输递交响应文件的，响应无效。10）具体操作指南：详见乐采云平台“服务中心-帮助文档-项目采购-操作流程-电子招投标-乐采云采购项目电子招标管理操作指南-供应商”。</w:t>
      </w:r>
    </w:p>
    <w:p w14:paraId="38D0645B">
      <w:pPr>
        <w:pStyle w:val="3"/>
        <w:numPr>
          <w:ilvl w:val="0"/>
          <w:numId w:val="0"/>
        </w:numPr>
        <w:rPr>
          <w:rFonts w:ascii="仿宋" w:eastAsia="仿宋" w:cs="仿宋"/>
          <w:sz w:val="24"/>
          <w:szCs w:val="28"/>
        </w:rPr>
      </w:pPr>
      <w:r>
        <w:rPr>
          <w:rFonts w:hint="eastAsia" w:ascii="仿宋" w:eastAsia="仿宋" w:cs="仿宋"/>
          <w:sz w:val="24"/>
          <w:szCs w:val="28"/>
        </w:rPr>
        <w:t>六、对本次招标提出询问，请按以下方式联系。</w:t>
      </w:r>
      <w:bookmarkEnd w:id="28"/>
      <w:bookmarkEnd w:id="29"/>
      <w:bookmarkEnd w:id="30"/>
      <w:bookmarkEnd w:id="31"/>
    </w:p>
    <w:p w14:paraId="2DA6B8C6">
      <w:pPr>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700B42DE">
      <w:pPr>
        <w:spacing w:line="360" w:lineRule="auto"/>
        <w:jc w:val="left"/>
        <w:rPr>
          <w:rFonts w:ascii="仿宋" w:hAnsi="仿宋" w:eastAsia="仿宋" w:cs="仿宋"/>
          <w:sz w:val="24"/>
          <w:szCs w:val="28"/>
        </w:rPr>
      </w:pPr>
      <w:r>
        <w:rPr>
          <w:rFonts w:hint="eastAsia" w:ascii="仿宋" w:hAnsi="仿宋" w:eastAsia="仿宋" w:cs="仿宋"/>
          <w:sz w:val="24"/>
          <w:szCs w:val="28"/>
        </w:rPr>
        <w:t>名 称：杭州萧山鸿安置业开发有限公司</w:t>
      </w:r>
    </w:p>
    <w:p w14:paraId="7B112EAA">
      <w:pPr>
        <w:spacing w:line="360" w:lineRule="auto"/>
        <w:jc w:val="left"/>
        <w:rPr>
          <w:rFonts w:ascii="仿宋" w:hAnsi="仿宋" w:eastAsia="仿宋" w:cs="仿宋"/>
          <w:sz w:val="24"/>
          <w:szCs w:val="28"/>
        </w:rPr>
      </w:pPr>
      <w:r>
        <w:rPr>
          <w:rFonts w:hint="eastAsia" w:ascii="仿宋" w:hAnsi="仿宋" w:eastAsia="仿宋" w:cs="仿宋"/>
          <w:sz w:val="24"/>
          <w:szCs w:val="28"/>
        </w:rPr>
        <w:t>地址：萧山区工人路59号</w:t>
      </w:r>
    </w:p>
    <w:p w14:paraId="5D381EE0">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项目联系人（询问）：叶先生</w:t>
      </w:r>
    </w:p>
    <w:p w14:paraId="4D055F9A">
      <w:pPr>
        <w:spacing w:line="360" w:lineRule="auto"/>
        <w:jc w:val="left"/>
        <w:rPr>
          <w:rFonts w:ascii="仿宋" w:hAnsi="仿宋" w:eastAsia="仿宋" w:cs="仿宋"/>
          <w:sz w:val="24"/>
          <w:szCs w:val="28"/>
        </w:rPr>
      </w:pPr>
      <w:r>
        <w:rPr>
          <w:rFonts w:hint="eastAsia" w:ascii="仿宋" w:hAnsi="仿宋" w:eastAsia="仿宋" w:cs="仿宋"/>
          <w:sz w:val="24"/>
          <w:szCs w:val="28"/>
        </w:rPr>
        <w:t>项目联系方式（询问）：0571-82678079</w:t>
      </w:r>
    </w:p>
    <w:p w14:paraId="623163D2">
      <w:pPr>
        <w:widowControl/>
        <w:spacing w:line="360" w:lineRule="auto"/>
        <w:jc w:val="left"/>
        <w:rPr>
          <w:rFonts w:ascii="仿宋" w:hAnsi="仿宋" w:eastAsia="仿宋" w:cs="仿宋"/>
          <w:sz w:val="24"/>
          <w:szCs w:val="28"/>
        </w:rPr>
      </w:pPr>
      <w:bookmarkStart w:id="32" w:name="_Toc28359009"/>
      <w:bookmarkStart w:id="33" w:name="_Toc28359086"/>
      <w:r>
        <w:rPr>
          <w:rFonts w:hint="eastAsia" w:ascii="仿宋" w:hAnsi="仿宋" w:eastAsia="仿宋" w:cs="仿宋"/>
          <w:sz w:val="24"/>
          <w:szCs w:val="28"/>
        </w:rPr>
        <w:t>2.招标代理机构信息</w:t>
      </w:r>
      <w:bookmarkEnd w:id="32"/>
      <w:bookmarkEnd w:id="33"/>
    </w:p>
    <w:p w14:paraId="1BCF5711">
      <w:pPr>
        <w:widowControl/>
        <w:spacing w:line="360" w:lineRule="auto"/>
        <w:jc w:val="left"/>
        <w:rPr>
          <w:rFonts w:ascii="仿宋" w:hAnsi="仿宋" w:eastAsia="仿宋" w:cs="仿宋"/>
          <w:sz w:val="24"/>
          <w:szCs w:val="28"/>
        </w:rPr>
      </w:pPr>
      <w:r>
        <w:rPr>
          <w:rFonts w:hint="eastAsia" w:ascii="仿宋" w:hAnsi="仿宋" w:eastAsia="仿宋" w:cs="仿宋"/>
          <w:sz w:val="24"/>
          <w:szCs w:val="28"/>
        </w:rPr>
        <w:t>名 称：浙江翔实建设项目管理有限公司</w:t>
      </w:r>
    </w:p>
    <w:p w14:paraId="7C4BF09A">
      <w:pPr>
        <w:widowControl/>
        <w:spacing w:line="360" w:lineRule="auto"/>
        <w:jc w:val="left"/>
        <w:rPr>
          <w:rFonts w:ascii="仿宋" w:hAnsi="仿宋" w:eastAsia="仿宋" w:cs="仿宋"/>
          <w:sz w:val="24"/>
          <w:szCs w:val="28"/>
        </w:rPr>
      </w:pPr>
      <w:r>
        <w:rPr>
          <w:rFonts w:hint="eastAsia" w:ascii="仿宋" w:hAnsi="仿宋" w:eastAsia="仿宋" w:cs="仿宋"/>
          <w:sz w:val="24"/>
          <w:szCs w:val="28"/>
        </w:rPr>
        <w:t>地址：杭州市萧山区北干街道金惠路358号汇通大厦4幢6楼</w:t>
      </w:r>
    </w:p>
    <w:p w14:paraId="085A4473">
      <w:pPr>
        <w:widowControl/>
        <w:spacing w:line="360" w:lineRule="auto"/>
        <w:jc w:val="left"/>
        <w:rPr>
          <w:rFonts w:ascii="仿宋" w:hAnsi="仿宋" w:eastAsia="仿宋" w:cs="仿宋"/>
          <w:sz w:val="24"/>
          <w:szCs w:val="28"/>
        </w:rPr>
      </w:pPr>
      <w:r>
        <w:rPr>
          <w:rFonts w:hint="eastAsia" w:ascii="仿宋" w:hAnsi="仿宋" w:eastAsia="仿宋" w:cs="仿宋"/>
          <w:sz w:val="24"/>
          <w:szCs w:val="28"/>
        </w:rPr>
        <w:t>项目联系人（询问）：汪先生</w:t>
      </w:r>
    </w:p>
    <w:p w14:paraId="0A00B70A">
      <w:pPr>
        <w:widowControl/>
        <w:spacing w:line="360" w:lineRule="auto"/>
        <w:jc w:val="left"/>
        <w:rPr>
          <w:rFonts w:ascii="仿宋" w:hAnsi="仿宋" w:eastAsia="仿宋" w:cs="仿宋"/>
          <w:sz w:val="24"/>
          <w:szCs w:val="28"/>
        </w:rPr>
      </w:pPr>
      <w:r>
        <w:rPr>
          <w:rFonts w:hint="eastAsia" w:ascii="仿宋" w:hAnsi="仿宋" w:eastAsia="仿宋" w:cs="仿宋"/>
          <w:sz w:val="24"/>
          <w:szCs w:val="28"/>
        </w:rPr>
        <w:t>项目联系方式（询问）：0571-82858325</w:t>
      </w:r>
    </w:p>
    <w:p w14:paraId="587AA424">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若对项目招标电子招标系统操作有疑问，可登录乐采云（https://www.lecaiyun.com），点击右侧咨询小采，获取采小蜜智能服务管家帮助，或拨打乐采云服务热线400-881-7190获取热线服务帮助。           </w:t>
      </w:r>
    </w:p>
    <w:p w14:paraId="73F7EB0B">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900E967">
      <w:pPr>
        <w:pStyle w:val="57"/>
        <w:jc w:val="both"/>
        <w:rPr>
          <w:rFonts w:ascii="仿宋" w:hAnsi="仿宋" w:eastAsia="仿宋" w:cs="仿宋"/>
          <w:lang w:val="en-US"/>
        </w:rPr>
      </w:pPr>
    </w:p>
    <w:p w14:paraId="0306D72F">
      <w:pPr>
        <w:pStyle w:val="2"/>
        <w:rPr>
          <w:rFonts w:cs="仿宋"/>
        </w:rPr>
      </w:pPr>
      <w:r>
        <w:rPr>
          <w:rFonts w:hint="eastAsia" w:cs="仿宋"/>
        </w:rPr>
        <w:br w:type="page"/>
      </w:r>
      <w:r>
        <w:rPr>
          <w:rFonts w:hint="eastAsia" w:cs="仿宋"/>
        </w:rPr>
        <w:t>第二部分</w:t>
      </w:r>
      <w:bookmarkEnd w:id="8"/>
      <w:r>
        <w:rPr>
          <w:rFonts w:hint="eastAsia" w:cs="仿宋"/>
        </w:rPr>
        <w:t xml:space="preserve"> 响应人须知</w:t>
      </w:r>
      <w:bookmarkEnd w:id="9"/>
    </w:p>
    <w:p w14:paraId="3879D37B">
      <w:pPr>
        <w:snapToGrid w:val="0"/>
        <w:spacing w:line="360" w:lineRule="auto"/>
        <w:jc w:val="center"/>
        <w:rPr>
          <w:rFonts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1803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4B2F260">
            <w:pPr>
              <w:snapToGrid w:val="0"/>
              <w:spacing w:line="360" w:lineRule="auto"/>
              <w:jc w:val="center"/>
              <w:rPr>
                <w:rFonts w:ascii="仿宋" w:hAnsi="仿宋" w:eastAsia="仿宋" w:cs="仿宋_GB2312"/>
                <w:b/>
                <w:color w:val="000000"/>
                <w:sz w:val="24"/>
              </w:rPr>
            </w:pPr>
            <w:bookmarkStart w:id="34" w:name="_Toc164416483"/>
            <w:bookmarkStart w:id="35"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0090B71">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608BB3B">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52D9A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8ECEB5E">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140E50CA">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043E0E7B">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《响应（招标）一览表》是报价的唯一载体</w:t>
            </w:r>
            <w:r>
              <w:rPr>
                <w:rFonts w:hint="eastAsia" w:ascii="仿宋" w:hAnsi="仿宋" w:eastAsia="仿宋" w:cs="仿宋_GB2312"/>
                <w:color w:val="000000"/>
                <w:kern w:val="0"/>
                <w:sz w:val="24"/>
                <w:lang w:val="zh-CN"/>
              </w:rPr>
              <w:t>。响应文件中价格全部采用人民币报价。招标文件未列明，而响应人认为必需的费用也需列入报价。</w:t>
            </w:r>
          </w:p>
          <w:p w14:paraId="5BBE47E5">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w:t>
            </w:r>
            <w:r>
              <w:rPr>
                <w:rFonts w:hint="eastAsia" w:ascii="仿宋" w:hAnsi="仿宋" w:eastAsia="仿宋" w:cs="仿宋_GB2312"/>
                <w:b/>
                <w:color w:val="000000"/>
                <w:kern w:val="0"/>
                <w:sz w:val="24"/>
              </w:rPr>
              <w:t>响应</w:t>
            </w:r>
            <w:r>
              <w:rPr>
                <w:rFonts w:hint="eastAsia" w:ascii="仿宋" w:hAnsi="仿宋" w:eastAsia="仿宋" w:cs="仿宋_GB2312"/>
                <w:b/>
                <w:color w:val="000000"/>
                <w:kern w:val="0"/>
                <w:sz w:val="24"/>
                <w:lang w:val="zh-CN"/>
              </w:rPr>
              <w:t>无效：</w:t>
            </w:r>
          </w:p>
          <w:p w14:paraId="2DD8F369">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76FEC71A">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响应报价高于本项目采购预算或者最高限价的;</w:t>
            </w:r>
          </w:p>
          <w:p w14:paraId="272926FC">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70C952CF">
            <w:pPr>
              <w:spacing w:line="360" w:lineRule="auto"/>
              <w:rPr>
                <w:rFonts w:ascii="仿宋" w:hAnsi="仿宋" w:eastAsia="仿宋" w:cs="仿宋_GB2312"/>
                <w:color w:val="000000"/>
                <w:sz w:val="24"/>
                <w:szCs w:val="21"/>
              </w:rPr>
            </w:pPr>
            <w:r>
              <w:rPr>
                <w:rFonts w:hint="eastAsia" w:ascii="仿宋" w:hAnsi="仿宋" w:eastAsia="仿宋"/>
                <w:b/>
                <w:color w:val="000000"/>
                <w:sz w:val="24"/>
              </w:rPr>
              <w:t>▲《响应（招标）一览表》填写不完整或字迹不能辨认或有漏项的；</w:t>
            </w:r>
          </w:p>
          <w:p w14:paraId="767AB10D">
            <w:pPr>
              <w:spacing w:line="360" w:lineRule="auto"/>
              <w:rPr>
                <w:rFonts w:ascii="仿宋" w:hAnsi="仿宋" w:eastAsia="仿宋"/>
                <w:b/>
                <w:color w:val="000000"/>
                <w:sz w:val="24"/>
              </w:rPr>
            </w:pPr>
            <w:r>
              <w:rPr>
                <w:rFonts w:hint="eastAsia" w:ascii="仿宋" w:hAnsi="仿宋" w:eastAsia="仿宋" w:cs="Arial"/>
                <w:b/>
                <w:color w:val="000000"/>
                <w:kern w:val="0"/>
                <w:sz w:val="24"/>
              </w:rPr>
              <w:t>▲响应人对根据修正原则修正后的报价不确认的</w:t>
            </w:r>
            <w:r>
              <w:rPr>
                <w:rFonts w:hint="eastAsia" w:ascii="仿宋" w:hAnsi="仿宋" w:eastAsia="仿宋"/>
                <w:b/>
                <w:color w:val="000000"/>
                <w:sz w:val="24"/>
              </w:rPr>
              <w:t>。</w:t>
            </w:r>
          </w:p>
          <w:p w14:paraId="5BE7489E">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3A715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559226">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4D464A5">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6325C131">
            <w:pPr>
              <w:snapToGrid w:val="0"/>
              <w:spacing w:line="360" w:lineRule="auto"/>
              <w:rPr>
                <w:rFonts w:ascii="仿宋" w:hAnsi="仿宋" w:eastAsia="仿宋" w:cs="仿宋_GB2312"/>
                <w:color w:val="000000"/>
                <w:sz w:val="24"/>
              </w:rPr>
            </w:pPr>
            <w:r>
              <w:rPr>
                <w:rFonts w:hint="eastAsia" w:ascii="仿宋" w:hAnsi="仿宋" w:eastAsia="仿宋" w:cs="Arial"/>
                <w:b/>
                <w:color w:val="000000"/>
                <w:kern w:val="0"/>
                <w:sz w:val="24"/>
              </w:rPr>
              <w:t>（√）B不同意分包。</w:t>
            </w:r>
          </w:p>
        </w:tc>
      </w:tr>
      <w:tr w14:paraId="1A0A0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9472B37">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A51AA15">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19F6BDF3">
            <w:pPr>
              <w:numPr>
                <w:ilvl w:val="0"/>
                <w:numId w:val="7"/>
              </w:numPr>
              <w:spacing w:line="360" w:lineRule="auto"/>
              <w:jc w:val="left"/>
              <w:rPr>
                <w:rFonts w:ascii="仿宋" w:hAnsi="仿宋" w:eastAsia="仿宋"/>
                <w:color w:val="000000"/>
                <w:sz w:val="24"/>
              </w:rPr>
            </w:pPr>
            <w:r>
              <w:rPr>
                <w:rFonts w:hint="eastAsia" w:ascii="仿宋" w:hAnsi="仿宋" w:eastAsia="仿宋"/>
                <w:color w:val="000000"/>
                <w:sz w:val="24"/>
              </w:rPr>
              <w:t>资格证明文件：见招标文件第二部分11.1。</w:t>
            </w:r>
          </w:p>
          <w:p w14:paraId="29E1D058">
            <w:pPr>
              <w:numPr>
                <w:ilvl w:val="0"/>
                <w:numId w:val="7"/>
              </w:numPr>
              <w:spacing w:line="360" w:lineRule="auto"/>
              <w:jc w:val="left"/>
              <w:rPr>
                <w:rFonts w:ascii="仿宋" w:hAnsi="仿宋" w:eastAsia="仿宋"/>
                <w:color w:val="0000FF"/>
                <w:sz w:val="24"/>
              </w:rPr>
            </w:pPr>
            <w:r>
              <w:rPr>
                <w:rFonts w:hint="eastAsia" w:ascii="仿宋" w:hAnsi="仿宋" w:eastAsia="仿宋"/>
                <w:color w:val="000000"/>
                <w:sz w:val="24"/>
              </w:rPr>
              <w:t>资信证明文件：根据招标文件第四部分评标标准提供。</w:t>
            </w:r>
          </w:p>
          <w:p w14:paraId="57029B3B">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响应人未提供（1）的有效的资格证明文件的，视为响应人不具备招标文件中规定的资格要求，响应无效。</w:t>
            </w:r>
          </w:p>
        </w:tc>
      </w:tr>
      <w:tr w14:paraId="4D015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E17FF54">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9AAE87F">
            <w:pPr>
              <w:spacing w:line="360" w:lineRule="auto"/>
              <w:rPr>
                <w:rFonts w:ascii="仿宋" w:hAnsi="仿宋" w:eastAsia="仿宋" w:cs="仿宋_GB2312"/>
                <w:b/>
                <w:color w:val="000000"/>
                <w:sz w:val="24"/>
              </w:rPr>
            </w:pPr>
            <w:r>
              <w:rPr>
                <w:rFonts w:hint="eastAsia" w:ascii="仿宋" w:hAnsi="仿宋" w:eastAsia="仿宋"/>
                <w:b/>
                <w:sz w:val="24"/>
              </w:rPr>
              <w:t>招标前答疑会或现场考察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3CA625B5">
            <w:pPr>
              <w:spacing w:line="360" w:lineRule="auto"/>
              <w:rPr>
                <w:rFonts w:ascii="仿宋_GB2312" w:hAnsi="仿宋" w:eastAsia="仿宋_GB2312"/>
                <w:sz w:val="24"/>
              </w:rPr>
            </w:pPr>
            <w:r>
              <w:rPr>
                <w:rFonts w:hint="eastAsia" w:ascii="仿宋" w:hAnsi="仿宋" w:eastAsia="仿宋" w:cs="仿宋_GB2312"/>
                <w:b/>
                <w:color w:val="000000"/>
                <w:sz w:val="24"/>
              </w:rPr>
              <w:t>（√）A不组织。</w:t>
            </w:r>
          </w:p>
        </w:tc>
      </w:tr>
      <w:tr w14:paraId="6D2B8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218065">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B4781EC">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315035C5">
            <w:pPr>
              <w:spacing w:line="360" w:lineRule="auto"/>
              <w:rPr>
                <w:rFonts w:ascii="仿宋" w:hAnsi="仿宋" w:eastAsia="仿宋"/>
                <w:sz w:val="24"/>
              </w:rPr>
            </w:pPr>
            <w:r>
              <w:rPr>
                <w:rFonts w:hint="eastAsia" w:ascii="仿宋" w:hAnsi="仿宋" w:eastAsia="仿宋"/>
                <w:snapToGrid w:val="0"/>
                <w:kern w:val="28"/>
                <w:sz w:val="24"/>
              </w:rPr>
              <w:t>无</w:t>
            </w:r>
          </w:p>
        </w:tc>
      </w:tr>
      <w:tr w14:paraId="2658C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9713899">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4795183A">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w:t>
            </w:r>
          </w:p>
          <w:p w14:paraId="3DCF5052">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55493F2B">
            <w:pPr>
              <w:pStyle w:val="32"/>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电子招标。</w:t>
            </w:r>
          </w:p>
          <w:p w14:paraId="7609253E">
            <w:pPr>
              <w:pStyle w:val="32"/>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供应商应准备电子响应文件参与招标：</w:t>
            </w:r>
          </w:p>
          <w:p w14:paraId="57E6A672">
            <w:pPr>
              <w:pStyle w:val="32"/>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电子响应文件，按政采云平台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及本招标文件要求递交</w:t>
            </w:r>
            <w:r>
              <w:rPr>
                <w:rFonts w:ascii="仿宋" w:hAnsi="仿宋" w:eastAsia="仿宋"/>
                <w:color w:val="000000" w:themeColor="text1"/>
                <w:sz w:val="24"/>
                <w14:textFill>
                  <w14:solidFill>
                    <w14:schemeClr w14:val="tx1"/>
                  </w14:solidFill>
                </w14:textFill>
              </w:rPr>
              <w:t>。</w:t>
            </w:r>
          </w:p>
          <w:p w14:paraId="468C450C">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▲未传输递交电子响应文件的，响应无效。</w:t>
            </w:r>
          </w:p>
          <w:p w14:paraId="0E41AAD7">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▲未在系统解密时间内完成解密的，视为响应人自行放弃投标响应无效。</w:t>
            </w:r>
          </w:p>
          <w:p w14:paraId="0843A68B">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本项目备份响应文件：不提供</w:t>
            </w:r>
          </w:p>
        </w:tc>
      </w:tr>
      <w:tr w14:paraId="72368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6EF624">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36E59473">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207CE3A9">
            <w:pPr>
              <w:spacing w:line="360" w:lineRule="auto"/>
              <w:rPr>
                <w:rFonts w:ascii="仿宋" w:hAnsi="仿宋" w:eastAsia="仿宋"/>
                <w:sz w:val="24"/>
              </w:rPr>
            </w:pPr>
            <w:r>
              <w:rPr>
                <w:rFonts w:hint="eastAsia" w:ascii="仿宋" w:hAnsi="仿宋" w:eastAsia="仿宋"/>
                <w:sz w:val="24"/>
              </w:rPr>
              <w:t>（√）A不组织。</w:t>
            </w:r>
          </w:p>
        </w:tc>
      </w:tr>
      <w:tr w14:paraId="3013A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0427D47">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01CCE6F0">
            <w:pPr>
              <w:spacing w:line="360" w:lineRule="auto"/>
              <w:jc w:val="center"/>
              <w:rPr>
                <w:rFonts w:ascii="仿宋" w:hAnsi="仿宋" w:eastAsia="仿宋"/>
                <w:b/>
                <w:sz w:val="24"/>
              </w:rPr>
            </w:pPr>
            <w:r>
              <w:rPr>
                <w:rFonts w:hint="eastAsia" w:ascii="仿宋" w:hAnsi="仿宋" w:eastAsia="仿宋"/>
                <w:b/>
                <w:sz w:val="24"/>
              </w:rPr>
              <w:t>采购机构</w:t>
            </w:r>
          </w:p>
          <w:p w14:paraId="2CC42602">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7BF2E3A1">
            <w:pPr>
              <w:pStyle w:val="15"/>
              <w:spacing w:line="360" w:lineRule="auto"/>
              <w:ind w:firstLine="0"/>
              <w:rPr>
                <w:rFonts w:hAnsi="宋体" w:cs="宋体"/>
                <w:b/>
                <w:bCs/>
                <w:sz w:val="24"/>
              </w:rPr>
            </w:pPr>
            <w:r>
              <w:rPr>
                <w:rFonts w:hint="eastAsia" w:ascii="仿宋" w:hAnsi="仿宋" w:eastAsia="仿宋" w:cs="仿宋_GB2312"/>
                <w:color w:val="auto"/>
                <w:sz w:val="24"/>
              </w:rPr>
              <w:t>代理服务费和专家评审费由采购人支付。</w:t>
            </w:r>
          </w:p>
        </w:tc>
      </w:tr>
      <w:tr w14:paraId="24E1A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9D9CCD">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59558E9">
            <w:pPr>
              <w:spacing w:line="360" w:lineRule="auto"/>
              <w:jc w:val="center"/>
              <w:rPr>
                <w:rFonts w:ascii="仿宋" w:hAnsi="仿宋" w:eastAsia="仿宋"/>
                <w:b/>
                <w:sz w:val="24"/>
              </w:rPr>
            </w:pPr>
            <w:r>
              <w:rPr>
                <w:rFonts w:hint="eastAsia" w:ascii="仿宋" w:hAnsi="仿宋" w:eastAsia="仿宋"/>
                <w:b/>
                <w:sz w:val="24"/>
              </w:rPr>
              <w:t>响应保证金</w:t>
            </w:r>
          </w:p>
          <w:p w14:paraId="0D80C6FA">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205E209E">
            <w:pPr>
              <w:pStyle w:val="15"/>
              <w:spacing w:line="360" w:lineRule="auto"/>
              <w:ind w:firstLine="0"/>
              <w:jc w:val="left"/>
              <w:rPr>
                <w:rFonts w:ascii="仿宋" w:hAnsi="仿宋" w:eastAsia="仿宋" w:cs="仿宋_GB2312"/>
                <w:color w:val="auto"/>
                <w:sz w:val="24"/>
              </w:rPr>
            </w:pPr>
            <w:r>
              <w:rPr>
                <w:rFonts w:hint="eastAsia" w:ascii="仿宋" w:hAnsi="仿宋" w:eastAsia="仿宋" w:cs="仿宋_GB2312"/>
                <w:color w:val="auto"/>
                <w:sz w:val="24"/>
              </w:rPr>
              <w:t>响应保证金：不收取。</w:t>
            </w:r>
          </w:p>
          <w:p w14:paraId="5615FEED">
            <w:pPr>
              <w:pStyle w:val="15"/>
              <w:spacing w:line="360" w:lineRule="auto"/>
              <w:ind w:firstLine="0"/>
              <w:jc w:val="left"/>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：履约保证金为暂定合同价*10%（约300万元），其中暂定合同价*3.5%为管理咨询费的履约保证金，可以以银行出具保函的形式提交，至集中交付后3个月后无息退还；其中暂定合</w:t>
            </w:r>
            <w:r>
              <w:rPr>
                <w:rFonts w:hint="eastAsia" w:ascii="仿宋" w:hAnsi="仿宋" w:eastAsia="仿宋" w:cs="仿宋_GB2312"/>
                <w:color w:val="auto"/>
                <w:sz w:val="24"/>
                <w:highlight w:val="yellow"/>
              </w:rPr>
              <w:t>同价*6.5%的部分作为销售履约保证金，以现金形式缴纳，至去化率达到50%及以上后在1个月后无息退还。</w:t>
            </w:r>
          </w:p>
        </w:tc>
      </w:tr>
      <w:tr w14:paraId="56423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FB9DB97">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182A1AB5">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224F4622">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457B8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5806DE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6B04702F">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2450A94C">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3DA59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E739CB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24509537">
            <w:pPr>
              <w:spacing w:line="360" w:lineRule="auto"/>
              <w:jc w:val="center"/>
              <w:rPr>
                <w:rFonts w:ascii="仿宋" w:hAnsi="仿宋" w:eastAsia="仿宋"/>
                <w:b/>
                <w:sz w:val="24"/>
              </w:rPr>
            </w:pPr>
            <w:r>
              <w:rPr>
                <w:rFonts w:hint="eastAsia" w:ascii="仿宋" w:hAnsi="仿宋" w:eastAsia="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42792C4F">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综合评估法</w:t>
            </w:r>
            <w:r>
              <w:rPr>
                <w:rFonts w:hint="eastAsia" w:ascii="仿宋" w:hAnsi="仿宋" w:eastAsia="仿宋"/>
                <w:sz w:val="24"/>
              </w:rPr>
              <w:t>采购项目</w:t>
            </w:r>
          </w:p>
        </w:tc>
      </w:tr>
    </w:tbl>
    <w:p w14:paraId="14B42005">
      <w:pPr>
        <w:rPr>
          <w:rFonts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5D3D15D7">
      <w:pPr>
        <w:rPr>
          <w:rFonts w:ascii="仿宋" w:hAnsi="仿宋" w:eastAsia="仿宋" w:cs="仿宋"/>
        </w:rPr>
      </w:pPr>
    </w:p>
    <w:p w14:paraId="0B7BB186">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2356220C">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bookmarkEnd w:id="34"/>
    <w:bookmarkEnd w:id="35"/>
    <w:p w14:paraId="3A64DAF6">
      <w:pPr>
        <w:pStyle w:val="2"/>
        <w:jc w:val="both"/>
        <w:rPr>
          <w:rFonts w:cs="仿宋"/>
        </w:rPr>
      </w:pPr>
      <w:bookmarkStart w:id="36" w:name="第四部分"/>
    </w:p>
    <w:p w14:paraId="4A30D679">
      <w:pPr>
        <w:pStyle w:val="59"/>
        <w:ind w:left="0" w:leftChars="0" w:firstLine="0" w:firstLineChars="0"/>
        <w:rPr>
          <w:rFonts w:ascii="仿宋" w:hAnsi="仿宋" w:eastAsia="仿宋" w:cs="仿宋"/>
        </w:rPr>
      </w:pPr>
    </w:p>
    <w:p w14:paraId="4EA0C842">
      <w:pPr>
        <w:pStyle w:val="59"/>
        <w:ind w:firstLine="420"/>
        <w:rPr>
          <w:rFonts w:ascii="仿宋" w:hAnsi="仿宋" w:eastAsia="仿宋" w:cs="仿宋"/>
        </w:rPr>
      </w:pPr>
    </w:p>
    <w:p w14:paraId="092F5FD3">
      <w:pPr>
        <w:pStyle w:val="59"/>
        <w:ind w:firstLine="420"/>
        <w:rPr>
          <w:rFonts w:ascii="仿宋" w:hAnsi="仿宋" w:eastAsia="仿宋" w:cs="仿宋"/>
        </w:rPr>
      </w:pPr>
    </w:p>
    <w:p w14:paraId="797BDEF1">
      <w:pPr>
        <w:pStyle w:val="59"/>
        <w:ind w:left="0" w:leftChars="0" w:firstLine="0" w:firstLineChars="0"/>
        <w:rPr>
          <w:rFonts w:ascii="仿宋" w:hAnsi="仿宋" w:eastAsia="仿宋" w:cs="仿宋"/>
        </w:rPr>
      </w:pPr>
    </w:p>
    <w:p w14:paraId="2024B3B9">
      <w:pPr>
        <w:pStyle w:val="2"/>
        <w:rPr>
          <w:rFonts w:cs="仿宋"/>
        </w:rPr>
      </w:pPr>
      <w:r>
        <w:rPr>
          <w:rFonts w:hint="eastAsia" w:cs="仿宋"/>
        </w:rPr>
        <w:t>第三部分   招标需求</w:t>
      </w:r>
    </w:p>
    <w:p w14:paraId="3B0F7089">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5A5D17AD">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“★”系产品招标项目中单一产品或核心产品。</w:t>
      </w:r>
    </w:p>
    <w:p w14:paraId="406234DE">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一、招标一览表</w:t>
      </w:r>
    </w:p>
    <w:p w14:paraId="12930D81">
      <w:pPr>
        <w:spacing w:after="120"/>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标项：1</w:t>
      </w:r>
    </w:p>
    <w:tbl>
      <w:tblPr>
        <w:tblStyle w:val="60"/>
        <w:tblW w:w="9554" w:type="dxa"/>
        <w:jc w:val="center"/>
        <w:tblLayout w:type="fixed"/>
        <w:tblCellMar>
          <w:top w:w="0" w:type="dxa"/>
          <w:left w:w="0" w:type="dxa"/>
          <w:bottom w:w="0" w:type="dxa"/>
          <w:right w:w="0" w:type="dxa"/>
        </w:tblCellMar>
      </w:tblPr>
      <w:tblGrid>
        <w:gridCol w:w="546"/>
        <w:gridCol w:w="4249"/>
        <w:gridCol w:w="2342"/>
        <w:gridCol w:w="888"/>
        <w:gridCol w:w="819"/>
        <w:gridCol w:w="710"/>
      </w:tblGrid>
      <w:tr w14:paraId="1B44405C">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79D41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C997F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3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D6FDD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具体规格要求</w:t>
            </w:r>
          </w:p>
        </w:tc>
        <w:tc>
          <w:tcPr>
            <w:tcW w:w="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D54CF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F779F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710" w:type="dxa"/>
            <w:tcBorders>
              <w:top w:val="single" w:color="auto" w:sz="4" w:space="0"/>
              <w:left w:val="nil"/>
              <w:bottom w:val="single" w:color="auto" w:sz="4" w:space="0"/>
              <w:right w:val="single" w:color="auto" w:sz="4" w:space="0"/>
            </w:tcBorders>
            <w:vAlign w:val="center"/>
          </w:tcPr>
          <w:p w14:paraId="020F2D2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0272474E">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65C15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B6449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szCs w:val="28"/>
                <w:lang w:eastAsia="zh-CN"/>
              </w:rPr>
              <w:t>杭政储出【2024】22号地块住宅兼容商业服务业项目</w:t>
            </w:r>
            <w:r>
              <w:rPr>
                <w:rFonts w:hint="eastAsia" w:ascii="仿宋" w:hAnsi="仿宋" w:eastAsia="仿宋" w:cs="仿宋"/>
                <w:sz w:val="24"/>
                <w:szCs w:val="28"/>
              </w:rPr>
              <w:t>设计、管理咨询及销售服务</w:t>
            </w:r>
          </w:p>
        </w:tc>
        <w:tc>
          <w:tcPr>
            <w:tcW w:w="23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728B4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详见招标需求</w:t>
            </w:r>
          </w:p>
        </w:tc>
        <w:tc>
          <w:tcPr>
            <w:tcW w:w="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571491">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w:t>
            </w:r>
          </w:p>
        </w:tc>
        <w:tc>
          <w:tcPr>
            <w:tcW w:w="8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BCC15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10" w:type="dxa"/>
            <w:tcBorders>
              <w:top w:val="single" w:color="auto" w:sz="4" w:space="0"/>
              <w:left w:val="nil"/>
              <w:bottom w:val="single" w:color="auto" w:sz="4" w:space="0"/>
              <w:right w:val="single" w:color="auto" w:sz="4" w:space="0"/>
            </w:tcBorders>
            <w:vAlign w:val="center"/>
          </w:tcPr>
          <w:p w14:paraId="2152D997">
            <w:pPr>
              <w:spacing w:line="440" w:lineRule="exact"/>
              <w:ind w:firstLine="480" w:firstLineChars="200"/>
              <w:rPr>
                <w:rFonts w:ascii="仿宋" w:hAnsi="仿宋" w:eastAsia="仿宋" w:cs="仿宋"/>
                <w:color w:val="000000" w:themeColor="text1"/>
                <w:sz w:val="24"/>
                <w14:textFill>
                  <w14:solidFill>
                    <w14:schemeClr w14:val="tx1"/>
                  </w14:solidFill>
                </w14:textFill>
              </w:rPr>
            </w:pPr>
          </w:p>
        </w:tc>
      </w:tr>
    </w:tbl>
    <w:p w14:paraId="75263FD1">
      <w:pPr>
        <w:spacing w:line="360" w:lineRule="auto"/>
        <w:rPr>
          <w:rFonts w:ascii="仿宋" w:hAnsi="仿宋" w:eastAsia="仿宋" w:cs="仿宋"/>
          <w:b/>
          <w:color w:val="000000" w:themeColor="text1"/>
          <w:sz w:val="24"/>
          <w14:textFill>
            <w14:solidFill>
              <w14:schemeClr w14:val="tx1"/>
            </w14:solidFill>
          </w14:textFill>
        </w:rPr>
      </w:pPr>
    </w:p>
    <w:p w14:paraId="576B35E1">
      <w:pPr>
        <w:numPr>
          <w:ilvl w:val="0"/>
          <w:numId w:val="9"/>
        </w:numPr>
        <w:spacing w:line="360" w:lineRule="auto"/>
        <w:jc w:val="center"/>
        <w:rPr>
          <w:rFonts w:ascii="仿宋" w:hAnsi="仿宋" w:eastAsia="仿宋" w:cs="仿宋"/>
        </w:rPr>
      </w:pPr>
      <w:r>
        <w:rPr>
          <w:rFonts w:hint="eastAsia" w:ascii="仿宋" w:hAnsi="仿宋" w:eastAsia="仿宋" w:cs="仿宋"/>
          <w:b/>
          <w:color w:val="000000" w:themeColor="text1"/>
          <w:sz w:val="28"/>
          <w:szCs w:val="28"/>
          <w14:textFill>
            <w14:solidFill>
              <w14:schemeClr w14:val="tx1"/>
            </w14:solidFill>
          </w14:textFill>
        </w:rPr>
        <w:t>招标需求</w:t>
      </w:r>
    </w:p>
    <w:p w14:paraId="46FEDA5F">
      <w:pPr>
        <w:pStyle w:val="32"/>
        <w:adjustRightInd/>
        <w:spacing w:line="500" w:lineRule="exact"/>
        <w:ind w:firstLine="480" w:firstLineChars="200"/>
        <w:rPr>
          <w:rFonts w:ascii="仿宋" w:hAnsi="仿宋" w:eastAsia="仿宋" w:cs="仿宋"/>
          <w:color w:val="000000"/>
          <w:sz w:val="24"/>
          <w:szCs w:val="24"/>
        </w:rPr>
      </w:pPr>
      <w:bookmarkStart w:id="37" w:name="_二期网络工程项目改造需求"/>
      <w:bookmarkEnd w:id="37"/>
      <w:r>
        <w:rPr>
          <w:rFonts w:hint="eastAsia" w:ascii="仿宋" w:hAnsi="仿宋" w:eastAsia="仿宋" w:cs="仿宋"/>
          <w:color w:val="000000"/>
          <w:sz w:val="24"/>
          <w:szCs w:val="24"/>
        </w:rPr>
        <w:t xml:space="preserve">一、项目概况  </w:t>
      </w:r>
    </w:p>
    <w:p w14:paraId="3A0C3BF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1、项目名称：</w:t>
      </w:r>
      <w:r>
        <w:rPr>
          <w:rFonts w:hint="eastAsia" w:ascii="仿宋" w:hAnsi="仿宋" w:eastAsia="仿宋" w:cs="仿宋"/>
          <w:color w:val="000000"/>
          <w:sz w:val="24"/>
          <w:szCs w:val="24"/>
          <w:lang w:eastAsia="zh-CN"/>
        </w:rPr>
        <w:t>杭政储出【2024】22号地块住宅兼容商业服务业项目</w:t>
      </w:r>
      <w:r>
        <w:rPr>
          <w:rFonts w:hint="eastAsia" w:ascii="仿宋" w:hAnsi="仿宋" w:eastAsia="仿宋" w:cs="仿宋"/>
          <w:color w:val="000000"/>
          <w:sz w:val="24"/>
          <w:szCs w:val="24"/>
        </w:rPr>
        <w:t>设计、管理咨询及销售服务</w:t>
      </w:r>
    </w:p>
    <w:p w14:paraId="02662BB6">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2、项目位置：东至蜀山路，南至崇化路，西至湖山春晓，北至贺知章幼儿园湖山分园</w:t>
      </w:r>
    </w:p>
    <w:p w14:paraId="24A78D9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规划条件：蜀山单元(XS15)(蜀山西片区)XS150107-07地块为住宅兼容商业服务业用地（商业占比20%），规划总用地面积13147平方米，容积率不大于3.0不低于1.0，建筑密度不大于30%，绿地率按《杭州市城市绿化管理条例》执行且不小于30%，建筑高度不大于100米且商业商务用地建筑高度不低于15米。项目最终指标以项目规划条件为准。</w:t>
      </w:r>
    </w:p>
    <w:p w14:paraId="4AEF43E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4、主要建设指标（暂定）：</w:t>
      </w:r>
    </w:p>
    <w:p w14:paraId="580CDD4B">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总建筑面积：55641㎡；</w:t>
      </w:r>
    </w:p>
    <w:p w14:paraId="0092611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住宅：29254.8㎡；商业：7711㎡；配套用房：2298㎡、商业177㎡</w:t>
      </w:r>
    </w:p>
    <w:p w14:paraId="0AA25BF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地库：16200㎡</w:t>
      </w:r>
    </w:p>
    <w:p w14:paraId="11AF9CBB">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住宅套数：247套</w:t>
      </w:r>
    </w:p>
    <w:p w14:paraId="191C6A2C">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住宅可售车位：289个（1</w:t>
      </w:r>
      <w:r>
        <w:rPr>
          <w:rFonts w:ascii="仿宋" w:hAnsi="仿宋" w:eastAsia="仿宋" w:cs="仿宋"/>
          <w:color w:val="000000"/>
          <w:sz w:val="24"/>
          <w:szCs w:val="24"/>
        </w:rPr>
        <w:t>.3*0.9=1.17</w:t>
      </w:r>
      <w:r>
        <w:rPr>
          <w:rFonts w:hint="eastAsia" w:ascii="仿宋" w:hAnsi="仿宋" w:eastAsia="仿宋" w:cs="仿宋"/>
          <w:color w:val="000000"/>
          <w:sz w:val="24"/>
          <w:szCs w:val="24"/>
        </w:rPr>
        <w:t>）</w:t>
      </w:r>
    </w:p>
    <w:p w14:paraId="7221C69A">
      <w:pPr>
        <w:pStyle w:val="32"/>
        <w:adjustRightInd/>
        <w:spacing w:line="500" w:lineRule="exact"/>
        <w:ind w:firstLine="480" w:firstLineChars="200"/>
        <w:rPr>
          <w:rFonts w:ascii="仿宋" w:hAnsi="仿宋" w:eastAsia="仿宋" w:cs="仿宋"/>
          <w:color w:val="000000"/>
          <w:sz w:val="24"/>
          <w:szCs w:val="24"/>
        </w:rPr>
      </w:pPr>
    </w:p>
    <w:p w14:paraId="14CCF56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二、服务范围</w:t>
      </w:r>
    </w:p>
    <w:p w14:paraId="15EE23A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的服务范围包括设计工作、建设阶段管理咨询服务（设计相关评估咨询工作、前期咨询服务、设计管理及统筹协调、协助相关证照办理）、房产销售服务(含项目案名登记、客户服务、车位、住宅等可售物业的销售等内容）。</w:t>
      </w:r>
    </w:p>
    <w:p w14:paraId="6BDA1428">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具体内容如下：</w:t>
      </w:r>
    </w:p>
    <w:p w14:paraId="28442A9C">
      <w:pPr>
        <w:pStyle w:val="32"/>
        <w:adjustRightInd/>
        <w:spacing w:line="50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1、工程设计、管理咨询及销售服务：</w:t>
      </w:r>
    </w:p>
    <w:p w14:paraId="5A2361A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（1）工程设计工作：</w:t>
      </w:r>
    </w:p>
    <w:p w14:paraId="1A676D9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完成该项目方案设计(含方案优化和估算编制)、初步设计(含初步设计优化和设计概算编制)等设计内容。具体包括：</w:t>
      </w:r>
    </w:p>
    <w:p w14:paraId="0CE2F1E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总图设计、建筑设计、结构设计、基坑围护设计（含基坑围护方案经济性比选和基坑围护专家论证）、给排水设计、暖通设计、电气设计、设备、室内外弱电及智能化设计（语音、数据需按三网融合设计，包含市政预留弱电井到小区三网合一机房内）、幕墙及门窗深化设计、景观设计、精装修设计（含地上地下门厅、电梯厅、公共走道、公厕等公共区域的精装修设计）、光伏、泛光照明设计（若有）、标识系统和标志标线设计、绿建节能设计（含节能评估报告）、交通组织专项设计（含交评报告）、日照专项设计（含日照分析报告）、装配式工业化设计（若有）、结构超限审查报告（若有）、人防设计、消防设计、海绵城市设计、围墙设计、管线综合设计（含生化池和化粪池设计）、估算编制、概算编制及调整（概算表）、工程规划公示图、全专业工程做法、精装修工程做法、系统图等相关的计算或出图及后续施工图配合、大市政设计配合工作。设计人需对上述设计成果进行复核确保符合国家地方现行相关法律法规和相关职能部门要求，出图（或文本）配合相关报批。</w:t>
      </w:r>
    </w:p>
    <w:p w14:paraId="7965D99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（2）设计相关评估咨询：</w:t>
      </w:r>
    </w:p>
    <w:p w14:paraId="53587C8C">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包括节能评估、交通组织分析、日照分析等评估咨询工作以及项目示范区、样板间、售楼处的设计工作。</w:t>
      </w:r>
    </w:p>
    <w:p w14:paraId="04AEDDDB">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（3）前期咨询：</w:t>
      </w:r>
    </w:p>
    <w:p w14:paraId="4381C99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对项目的整体定位（包含住宅及商业）、 商业策划运营思路和方案进行统筹规划。通过对市场调研、客户调研提供产品建议和专业策划方案建议等（提交规划、建筑、园林景观、配套等方面的调查报告和设计建议)，结合营销市场定位对项目方案设计及初步设计把控优化。</w:t>
      </w:r>
    </w:p>
    <w:p w14:paraId="6520689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（4）设计管理：</w:t>
      </w:r>
    </w:p>
    <w:p w14:paraId="27588F6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项目整体（包含商业部分）全专业设计进行全过程管理，并确保设计满足项目整体实施、验收要求。包括但不限于负责设计任务书编制、设计计划管理、项目所有设计全阶段管控（含施工图设计阶段的设计管控）、设计变更审核、设计资料管理、最终设计效果呈现，并确保设计成果满足品质质量要求、限额设计要求和项目全景计划要求。</w:t>
      </w:r>
    </w:p>
    <w:p w14:paraId="0B81CDD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（5）工程（品控）统筹协调：</w:t>
      </w:r>
    </w:p>
    <w:p w14:paraId="0DC1804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为满足销售要求，须确保设计效果落地、符合示范区开放及住宅预售形象进度要求，协助甲方进行统筹协调。根据甲方要求，协助编制年度资金计划，每月用款计划。</w:t>
      </w:r>
    </w:p>
    <w:p w14:paraId="5362E3DB">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（6）住宅及车位销售服务：</w:t>
      </w:r>
    </w:p>
    <w:p w14:paraId="13CC2E0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包含但不仅限于项目案名登记、客户服务、住宅及对应住宅部分的车位销售等。对项目房产市场定位进行规划并制订产品定位报告（含示范区营造、售楼部、样板房软装及电器）、销售目标和销售计划等，选择各类销售专业服务单位并进行统筹管理（包括案场物业），协助前期物业选聘，对项目的定位（含客户研究）、策划、推广、销售过程、网签买卖合同等销售工作进行全面管理，实现项目销售目标（初始产权办理、移交等相关手续）。负责设置或聘任客户服务组织，有效处理客户投诉，提供商品房销售合同法务咨询，提升客户满意度等。（注：业主方负责项目案场财务管理工作）</w:t>
      </w:r>
    </w:p>
    <w:p w14:paraId="1B0E00A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三、委托管理目标</w:t>
      </w:r>
    </w:p>
    <w:p w14:paraId="033CFA0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（1）设计工作：</w:t>
      </w:r>
    </w:p>
    <w:p w14:paraId="5550270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①设计工作周期：从中标通知书发出之日起60日历天（包括设计文件编制并完成相关审批：其中方案设计20日历天，初步设计文件编制20日历天，60日历天内需完成初步设计）。</w:t>
      </w:r>
    </w:p>
    <w:p w14:paraId="7EF5D42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②质量要求：按国家技术规范、标准及规程，达到国家相关规范需求的深度。</w:t>
      </w:r>
    </w:p>
    <w:p w14:paraId="37D94EF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（2）委托管理服务期限：</w:t>
      </w:r>
    </w:p>
    <w:p w14:paraId="26B6147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①本项目总体开发建设周期以确定EPC单位中标公示结束之日起开始计算至本项目最后分期完成竣工验收备案，具备交付条件为止。</w:t>
      </w:r>
    </w:p>
    <w:p w14:paraId="323B294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②在本项目中标后【7】日内将项目全景开发计划提交甲方确认，项目全景开发计划（包括合同履行过程中双方共同确认的调整方案）作为双方正式确定的项目开发时间目标。</w:t>
      </w:r>
    </w:p>
    <w:p w14:paraId="22ABC77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③在本项目中标后【30】日内将项目完整的前期咨询报告（含整体定位、运营思路和方案）提交甲方审核确认。</w:t>
      </w:r>
    </w:p>
    <w:p w14:paraId="3310C47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④在本项目中标后【30】日内将项目投资测算提交甲方审核确认。</w:t>
      </w:r>
    </w:p>
    <w:p w14:paraId="254D58E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（3）销售目标</w:t>
      </w:r>
    </w:p>
    <w:p w14:paraId="235869B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①售价目标：</w:t>
      </w:r>
    </w:p>
    <w:p w14:paraId="11DB61A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基准价：住宅精装销售均价28500元/㎡；车位销售均价10万/个。</w:t>
      </w:r>
    </w:p>
    <w:p w14:paraId="283D050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开发、销售，乙方在项目全景开发计划经甲方确认后【60】日内向甲方提交项目整体销售策略，并根据项目情况在取得施工许可证后【30】日内向甲方提交销售计划，经甲方确认后予以执行。其中住宅销售均价不得低于销售基准价。</w:t>
      </w:r>
    </w:p>
    <w:p w14:paraId="47F799F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②销售周期：</w:t>
      </w:r>
    </w:p>
    <w:p w14:paraId="00DA753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取得项目首本住宅预售许可证之日起12个月。</w:t>
      </w:r>
    </w:p>
    <w:p w14:paraId="57CEB82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③去化率目标：</w:t>
      </w:r>
    </w:p>
    <w:p w14:paraId="307CC5A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项目取得首批次预售证后12个月内，住宅已销售套数达到地上住宅可销售套数的【90】%，视为完成项目销售考核目标。</w:t>
      </w:r>
    </w:p>
    <w:p w14:paraId="3DB88B03">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四、本项目管理团队人员要求</w:t>
      </w:r>
    </w:p>
    <w:p w14:paraId="6BB9D40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highlight w:val="yellow"/>
        </w:rPr>
        <w:t>投标时投标人需提供项目管理人员总数</w:t>
      </w:r>
      <w:r>
        <w:rPr>
          <w:rFonts w:hint="eastAsia" w:ascii="仿宋" w:hAnsi="仿宋" w:eastAsia="仿宋" w:cs="仿宋"/>
          <w:color w:val="000000"/>
          <w:sz w:val="24"/>
          <w:szCs w:val="24"/>
        </w:rPr>
        <w:t>，其他人员在</w:t>
      </w:r>
      <w:r>
        <w:rPr>
          <w:rFonts w:hint="eastAsia" w:ascii="仿宋" w:hAnsi="仿宋" w:eastAsia="仿宋" w:cs="仿宋"/>
          <w:color w:val="000000"/>
          <w:sz w:val="24"/>
          <w:szCs w:val="24"/>
          <w:highlight w:val="yellow"/>
        </w:rPr>
        <w:t>中标后需向招标人提供团队人员过往履历业绩，</w:t>
      </w:r>
      <w:r>
        <w:rPr>
          <w:rFonts w:hint="eastAsia" w:ascii="仿宋" w:hAnsi="仿宋" w:eastAsia="仿宋" w:cs="仿宋"/>
          <w:color w:val="000000"/>
          <w:sz w:val="24"/>
          <w:szCs w:val="24"/>
        </w:rPr>
        <w:t>并由招标人审核通过后予以组建项目团队。进场后若乙方有人员更换，需甲乙双方协商一致，经甲方书面同意后予以更换。项目管理人员按项目实际进度派驻。</w:t>
      </w:r>
    </w:p>
    <w:p w14:paraId="5307AD2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项目管理团队（非营销）人员基本配置要求表</w:t>
      </w:r>
    </w:p>
    <w:tbl>
      <w:tblPr>
        <w:tblStyle w:val="61"/>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68"/>
        <w:gridCol w:w="1852"/>
        <w:gridCol w:w="3360"/>
      </w:tblGrid>
      <w:tr w14:paraId="3B52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14:paraId="688B0D15">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2268" w:type="dxa"/>
            <w:vAlign w:val="center"/>
          </w:tcPr>
          <w:p w14:paraId="3981BCE4">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部门</w:t>
            </w:r>
          </w:p>
        </w:tc>
        <w:tc>
          <w:tcPr>
            <w:tcW w:w="1852" w:type="dxa"/>
            <w:vAlign w:val="center"/>
          </w:tcPr>
          <w:p w14:paraId="41383DA3">
            <w:pPr>
              <w:pStyle w:val="32"/>
              <w:adjustRightInd/>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编制人数（人）</w:t>
            </w:r>
          </w:p>
        </w:tc>
        <w:tc>
          <w:tcPr>
            <w:tcW w:w="3360" w:type="dxa"/>
            <w:vAlign w:val="center"/>
          </w:tcPr>
          <w:p w14:paraId="25A162A5">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职称或其他要求</w:t>
            </w:r>
          </w:p>
        </w:tc>
      </w:tr>
      <w:tr w14:paraId="5365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5685D370">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268" w:type="dxa"/>
            <w:vAlign w:val="center"/>
          </w:tcPr>
          <w:p w14:paraId="670D479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项目负责人</w:t>
            </w:r>
          </w:p>
        </w:tc>
        <w:tc>
          <w:tcPr>
            <w:tcW w:w="1852" w:type="dxa"/>
            <w:vAlign w:val="center"/>
          </w:tcPr>
          <w:p w14:paraId="037FD51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60" w:type="dxa"/>
            <w:noWrap/>
            <w:vAlign w:val="center"/>
          </w:tcPr>
          <w:p w14:paraId="5A1E31B6">
            <w:pPr>
              <w:pStyle w:val="32"/>
              <w:adjustRightInd/>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高级工程师或一级建造师（提供职称证书或执业资格证书）</w:t>
            </w:r>
          </w:p>
        </w:tc>
      </w:tr>
      <w:tr w14:paraId="62F2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0ACCC753">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268" w:type="dxa"/>
            <w:vAlign w:val="center"/>
          </w:tcPr>
          <w:p w14:paraId="6D075F6A">
            <w:pPr>
              <w:pStyle w:val="32"/>
              <w:adjustRightInd/>
              <w:spacing w:line="500" w:lineRule="exact"/>
              <w:rPr>
                <w:rFonts w:ascii="仿宋" w:hAnsi="仿宋" w:eastAsia="仿宋" w:cs="仿宋"/>
                <w:color w:val="000000"/>
                <w:sz w:val="24"/>
                <w:szCs w:val="24"/>
              </w:rPr>
            </w:pPr>
            <w:r>
              <w:rPr>
                <w:rFonts w:hint="eastAsia" w:ascii="仿宋" w:hAnsi="仿宋" w:eastAsia="仿宋" w:cs="仿宋"/>
                <w:color w:val="000000"/>
                <w:sz w:val="24"/>
                <w:szCs w:val="24"/>
              </w:rPr>
              <w:t>设计管理部</w:t>
            </w:r>
          </w:p>
        </w:tc>
        <w:tc>
          <w:tcPr>
            <w:tcW w:w="1852" w:type="dxa"/>
            <w:vAlign w:val="center"/>
          </w:tcPr>
          <w:p w14:paraId="4EE4626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360" w:type="dxa"/>
            <w:noWrap/>
            <w:vAlign w:val="center"/>
          </w:tcPr>
          <w:p w14:paraId="2AA04E8E">
            <w:pPr>
              <w:pStyle w:val="32"/>
              <w:adjustRightInd/>
              <w:spacing w:line="500" w:lineRule="exact"/>
              <w:rPr>
                <w:rFonts w:ascii="仿宋" w:hAnsi="仿宋" w:eastAsia="仿宋" w:cs="仿宋"/>
                <w:color w:val="000000"/>
                <w:sz w:val="24"/>
                <w:szCs w:val="24"/>
              </w:rPr>
            </w:pPr>
            <w:r>
              <w:rPr>
                <w:rFonts w:hint="eastAsia" w:ascii="仿宋" w:hAnsi="仿宋" w:eastAsia="仿宋" w:cs="仿宋"/>
                <w:color w:val="000000"/>
                <w:sz w:val="24"/>
                <w:szCs w:val="24"/>
              </w:rPr>
              <w:t>根据施工进度安排相应专业设计人员</w:t>
            </w:r>
          </w:p>
        </w:tc>
      </w:tr>
      <w:tr w14:paraId="6375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0A440921">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268" w:type="dxa"/>
            <w:vAlign w:val="center"/>
          </w:tcPr>
          <w:p w14:paraId="6F1EDE4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工程管理部</w:t>
            </w:r>
          </w:p>
        </w:tc>
        <w:tc>
          <w:tcPr>
            <w:tcW w:w="1852" w:type="dxa"/>
            <w:vAlign w:val="center"/>
          </w:tcPr>
          <w:p w14:paraId="0E411DFC">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60" w:type="dxa"/>
            <w:vAlign w:val="center"/>
          </w:tcPr>
          <w:p w14:paraId="73281334">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w:t>
            </w:r>
          </w:p>
        </w:tc>
      </w:tr>
      <w:tr w14:paraId="57E2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3124E3BF">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268" w:type="dxa"/>
            <w:vAlign w:val="center"/>
          </w:tcPr>
          <w:p w14:paraId="6F41DF5D">
            <w:pPr>
              <w:pStyle w:val="32"/>
              <w:adjustRightInd/>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报建专员兼资料员</w:t>
            </w:r>
          </w:p>
        </w:tc>
        <w:tc>
          <w:tcPr>
            <w:tcW w:w="1852" w:type="dxa"/>
            <w:vAlign w:val="center"/>
          </w:tcPr>
          <w:p w14:paraId="4D22EFD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60" w:type="dxa"/>
            <w:vAlign w:val="center"/>
          </w:tcPr>
          <w:p w14:paraId="5057EB17">
            <w:pPr>
              <w:pStyle w:val="32"/>
              <w:adjustRightInd/>
              <w:spacing w:line="50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w:t>
            </w:r>
          </w:p>
        </w:tc>
      </w:tr>
    </w:tbl>
    <w:p w14:paraId="2BF9E3EB">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2、项目营销团队人员不得少于10人，在</w:t>
      </w:r>
      <w:r>
        <w:rPr>
          <w:rFonts w:hint="eastAsia" w:ascii="仿宋" w:hAnsi="仿宋" w:eastAsia="仿宋" w:cs="仿宋"/>
          <w:color w:val="000000"/>
          <w:sz w:val="24"/>
          <w:szCs w:val="24"/>
          <w:highlight w:val="yellow"/>
        </w:rPr>
        <w:t>中标后需向招标人提供营销团队各条线人员过往履历业绩</w:t>
      </w:r>
      <w:r>
        <w:rPr>
          <w:rFonts w:hint="eastAsia" w:ascii="仿宋" w:hAnsi="仿宋" w:eastAsia="仿宋" w:cs="仿宋"/>
          <w:color w:val="000000"/>
          <w:sz w:val="24"/>
          <w:szCs w:val="24"/>
        </w:rPr>
        <w:t>，并由招标人审核通过后予以组建项目营销团队</w:t>
      </w:r>
    </w:p>
    <w:p w14:paraId="2CA974F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营销团队人员基本配置要求表</w:t>
      </w:r>
    </w:p>
    <w:tbl>
      <w:tblPr>
        <w:tblStyle w:val="6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1560"/>
        <w:gridCol w:w="2976"/>
      </w:tblGrid>
      <w:tr w14:paraId="0A1A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0" w:type="dxa"/>
            <w:gridSpan w:val="4"/>
            <w:vAlign w:val="center"/>
          </w:tcPr>
          <w:p w14:paraId="7BF89286">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营销人员要求</w:t>
            </w:r>
          </w:p>
        </w:tc>
      </w:tr>
      <w:tr w14:paraId="3B24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24CC908C">
            <w:pPr>
              <w:pStyle w:val="32"/>
              <w:adjustRightInd/>
              <w:spacing w:line="500" w:lineRule="exact"/>
              <w:ind w:firstLine="480" w:firstLineChars="200"/>
              <w:rPr>
                <w:rFonts w:ascii="仿宋" w:hAnsi="仿宋" w:eastAsia="仿宋" w:cs="仿宋"/>
                <w:color w:val="000000"/>
                <w:sz w:val="24"/>
                <w:szCs w:val="24"/>
              </w:rPr>
            </w:pPr>
            <w:bookmarkStart w:id="38" w:name="_Hlk201242281"/>
            <w:r>
              <w:rPr>
                <w:rFonts w:hint="eastAsia" w:ascii="仿宋" w:hAnsi="仿宋" w:eastAsia="仿宋" w:cs="仿宋"/>
                <w:color w:val="000000"/>
                <w:sz w:val="24"/>
                <w:szCs w:val="24"/>
              </w:rPr>
              <w:t>1</w:t>
            </w:r>
          </w:p>
        </w:tc>
        <w:tc>
          <w:tcPr>
            <w:tcW w:w="2409" w:type="dxa"/>
            <w:vAlign w:val="center"/>
          </w:tcPr>
          <w:p w14:paraId="56D206F3">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营销负责人</w:t>
            </w:r>
          </w:p>
        </w:tc>
        <w:tc>
          <w:tcPr>
            <w:tcW w:w="1560" w:type="dxa"/>
            <w:vAlign w:val="center"/>
          </w:tcPr>
          <w:p w14:paraId="52618C0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976" w:type="dxa"/>
            <w:noWrap/>
            <w:vAlign w:val="center"/>
          </w:tcPr>
          <w:p w14:paraId="03464DD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驻场</w:t>
            </w:r>
          </w:p>
        </w:tc>
      </w:tr>
      <w:bookmarkEnd w:id="38"/>
      <w:tr w14:paraId="72D9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7F1A4C58">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409" w:type="dxa"/>
            <w:vAlign w:val="center"/>
          </w:tcPr>
          <w:p w14:paraId="2EEFB7DE">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销售经理</w:t>
            </w:r>
          </w:p>
        </w:tc>
        <w:tc>
          <w:tcPr>
            <w:tcW w:w="1560" w:type="dxa"/>
            <w:vAlign w:val="center"/>
          </w:tcPr>
          <w:p w14:paraId="3D6D88B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976" w:type="dxa"/>
            <w:noWrap/>
          </w:tcPr>
          <w:p w14:paraId="2E223F0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驻场</w:t>
            </w:r>
          </w:p>
        </w:tc>
      </w:tr>
      <w:tr w14:paraId="4C14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247BB5A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409" w:type="dxa"/>
            <w:vAlign w:val="center"/>
          </w:tcPr>
          <w:p w14:paraId="38F37618">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策划经理</w:t>
            </w:r>
          </w:p>
        </w:tc>
        <w:tc>
          <w:tcPr>
            <w:tcW w:w="1560" w:type="dxa"/>
            <w:vAlign w:val="center"/>
          </w:tcPr>
          <w:p w14:paraId="6F064EA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976" w:type="dxa"/>
          </w:tcPr>
          <w:p w14:paraId="600572D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驻场</w:t>
            </w:r>
          </w:p>
        </w:tc>
      </w:tr>
      <w:tr w14:paraId="0AAF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37A8913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409" w:type="dxa"/>
            <w:vAlign w:val="center"/>
          </w:tcPr>
          <w:p w14:paraId="58D6FE1C">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渠道经理</w:t>
            </w:r>
          </w:p>
        </w:tc>
        <w:tc>
          <w:tcPr>
            <w:tcW w:w="1560" w:type="dxa"/>
            <w:vAlign w:val="center"/>
          </w:tcPr>
          <w:p w14:paraId="4ADF54E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976" w:type="dxa"/>
          </w:tcPr>
          <w:p w14:paraId="74CA29B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驻场</w:t>
            </w:r>
          </w:p>
        </w:tc>
      </w:tr>
      <w:tr w14:paraId="57E6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55" w:type="dxa"/>
            <w:vAlign w:val="center"/>
          </w:tcPr>
          <w:p w14:paraId="01B5659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2409" w:type="dxa"/>
            <w:vAlign w:val="center"/>
          </w:tcPr>
          <w:p w14:paraId="2706478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销售人员</w:t>
            </w:r>
          </w:p>
        </w:tc>
        <w:tc>
          <w:tcPr>
            <w:tcW w:w="1560" w:type="dxa"/>
            <w:vAlign w:val="center"/>
          </w:tcPr>
          <w:p w14:paraId="36F34723">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976" w:type="dxa"/>
          </w:tcPr>
          <w:p w14:paraId="2DFCD79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驻场</w:t>
            </w:r>
          </w:p>
        </w:tc>
      </w:tr>
    </w:tbl>
    <w:p w14:paraId="4652DEDC">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3、中标人委派的项目管理团队应具备相应岗位要求的工作经验和专业技能，能够按本合同约定行使职责。</w:t>
      </w:r>
    </w:p>
    <w:p w14:paraId="743C7CEE">
      <w:pPr>
        <w:pStyle w:val="32"/>
        <w:adjustRightInd/>
        <w:spacing w:line="500" w:lineRule="exact"/>
        <w:ind w:firstLine="480" w:firstLineChars="200"/>
        <w:rPr>
          <w:rFonts w:ascii="仿宋" w:hAnsi="仿宋" w:eastAsia="仿宋" w:cs="仿宋"/>
          <w:color w:val="000000"/>
          <w:spacing w:val="-6"/>
          <w:sz w:val="24"/>
          <w:szCs w:val="24"/>
        </w:rPr>
      </w:pPr>
      <w:r>
        <w:rPr>
          <w:rFonts w:hint="eastAsia" w:ascii="仿宋" w:hAnsi="仿宋" w:eastAsia="仿宋" w:cs="仿宋"/>
          <w:color w:val="000000"/>
          <w:sz w:val="24"/>
        </w:rPr>
        <w:t>▲</w:t>
      </w:r>
      <w:r>
        <w:rPr>
          <w:rFonts w:hint="eastAsia" w:ascii="仿宋" w:hAnsi="仿宋" w:eastAsia="仿宋" w:cs="仿宋"/>
          <w:color w:val="000000"/>
          <w:sz w:val="24"/>
          <w:szCs w:val="24"/>
        </w:rPr>
        <w:t>五、费用构成</w:t>
      </w:r>
    </w:p>
    <w:p w14:paraId="4F919C96">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1、采购人设有管理咨询及销售服务费的最高投标限价，管理咨询及销售服务费最高费率为【4.45%】，最低费率为【3.85%】，投标人的投标报价不得高于最高费率且不得低于最低费率。</w:t>
      </w:r>
    </w:p>
    <w:p w14:paraId="20311683">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本项目管理咨询及营销服务费暂定合同金额=（住宅可售货值+车位可售货值50%）*管理咨询及销售服务费率。（包含工程设计费，最高限价为950000元，由投标人在费率报价中单独体现）</w:t>
      </w:r>
    </w:p>
    <w:p w14:paraId="16396846">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2、管理咨询及销售服务费：</w:t>
      </w:r>
    </w:p>
    <w:p w14:paraId="3362004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其中35%为管理咨询费；包含工程设计费用、设计咨询报告费用、前期咨询、设计管理、工程协调费用、组织交付活动产生的费用及项目营销人员（含营销、策划、销售、内务等）的薪酬福利、配合业主完成相关招标工作产生的费用，以及用于项目示范区、样板间、售楼处的设计费用等。不包括售楼处土建、硬装等费用，不含示范区/售楼处/样板房的软装费用，上述费用由甲方据实承担。</w:t>
      </w:r>
    </w:p>
    <w:p w14:paraId="51B0614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其中65%为销售服务费，包含管理品牌输出及使用、销售佣金、销售全程策划、案场水电物业费、办公费、广告策划服务费、展会费用、户外广告费、媒体传播广告费、销售渠道费、中介费、沙盘制作、购房客户合同签订及备案等销售过程中产生的所有费用。</w:t>
      </w:r>
    </w:p>
    <w:p w14:paraId="7690CC5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销售服务费结算口径：</w:t>
      </w:r>
    </w:p>
    <w:p w14:paraId="2BFB0C0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以项目实际达成总销售额（含税）为基数，按中标价对应的销售服务费率计算销售服务费。以取得项目首本预售许可证之日起12个月作为考核期，在考核期满时，达成去化率考核目标，按中标费率对应的销售服务费率结算；去化率每低5%，销售服务费结算费率相应折减。具体详见下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75A7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14:paraId="59084E6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12个月的整盘住宅销售率</w:t>
            </w:r>
          </w:p>
        </w:tc>
        <w:tc>
          <w:tcPr>
            <w:tcW w:w="4148" w:type="dxa"/>
            <w:vAlign w:val="center"/>
          </w:tcPr>
          <w:p w14:paraId="2EB5205C">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销售服务费结算费率</w:t>
            </w:r>
          </w:p>
        </w:tc>
      </w:tr>
      <w:tr w14:paraId="43A7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8" w:type="dxa"/>
            <w:vAlign w:val="center"/>
          </w:tcPr>
          <w:p w14:paraId="2B62034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去化90%及以上</w:t>
            </w:r>
          </w:p>
        </w:tc>
        <w:tc>
          <w:tcPr>
            <w:tcW w:w="4148" w:type="dxa"/>
            <w:vAlign w:val="center"/>
          </w:tcPr>
          <w:p w14:paraId="6A25B54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w:t>
            </w:r>
          </w:p>
        </w:tc>
      </w:tr>
      <w:tr w14:paraId="516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08A82CE8">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去化85%（含）-90%</w:t>
            </w:r>
          </w:p>
        </w:tc>
        <w:tc>
          <w:tcPr>
            <w:tcW w:w="4148" w:type="dxa"/>
            <w:vAlign w:val="center"/>
          </w:tcPr>
          <w:p w14:paraId="36CF7FD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中标费率*65%*（1-4%）</w:t>
            </w:r>
          </w:p>
        </w:tc>
      </w:tr>
      <w:tr w14:paraId="0BAC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09334298">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去化80%（含）-85%</w:t>
            </w:r>
          </w:p>
        </w:tc>
        <w:tc>
          <w:tcPr>
            <w:tcW w:w="4148" w:type="dxa"/>
            <w:vAlign w:val="center"/>
          </w:tcPr>
          <w:p w14:paraId="0E8E7F0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中标费率*65%*（1-8%）</w:t>
            </w:r>
          </w:p>
        </w:tc>
      </w:tr>
      <w:tr w14:paraId="0589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6C98AB8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去化75%（含）-80%</w:t>
            </w:r>
          </w:p>
        </w:tc>
        <w:tc>
          <w:tcPr>
            <w:tcW w:w="4148" w:type="dxa"/>
            <w:vAlign w:val="center"/>
          </w:tcPr>
          <w:p w14:paraId="37F9CF0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中标费率*65%*（1-12%）</w:t>
            </w:r>
          </w:p>
        </w:tc>
      </w:tr>
      <w:tr w14:paraId="59AE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7F12869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去化70%（含）-75%</w:t>
            </w:r>
          </w:p>
        </w:tc>
        <w:tc>
          <w:tcPr>
            <w:tcW w:w="4148" w:type="dxa"/>
            <w:vAlign w:val="center"/>
          </w:tcPr>
          <w:p w14:paraId="04C376BB">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中标费率*65%*（1-16%）</w:t>
            </w:r>
          </w:p>
        </w:tc>
      </w:tr>
      <w:tr w14:paraId="30A9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1752C71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去化65%（含）-70%</w:t>
            </w:r>
          </w:p>
        </w:tc>
        <w:tc>
          <w:tcPr>
            <w:tcW w:w="4148" w:type="dxa"/>
            <w:vAlign w:val="center"/>
          </w:tcPr>
          <w:p w14:paraId="5DAC28E6">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中标费率*65%*（1-20%）</w:t>
            </w:r>
          </w:p>
        </w:tc>
      </w:tr>
      <w:tr w14:paraId="1D7A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01644E1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去化60%（含）-65%</w:t>
            </w:r>
          </w:p>
        </w:tc>
        <w:tc>
          <w:tcPr>
            <w:tcW w:w="4148" w:type="dxa"/>
            <w:vAlign w:val="center"/>
          </w:tcPr>
          <w:p w14:paraId="0014151C">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中标费率*65%*（1-24%）</w:t>
            </w:r>
          </w:p>
        </w:tc>
      </w:tr>
      <w:tr w14:paraId="68B8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7F27FB8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去化55%（含）-60%</w:t>
            </w:r>
          </w:p>
        </w:tc>
        <w:tc>
          <w:tcPr>
            <w:tcW w:w="4148" w:type="dxa"/>
            <w:vAlign w:val="center"/>
          </w:tcPr>
          <w:p w14:paraId="3BE8B016">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中标费率*65%*（1-28%）</w:t>
            </w:r>
          </w:p>
        </w:tc>
      </w:tr>
      <w:tr w14:paraId="33FB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79301DC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去化50%（含）-55%</w:t>
            </w:r>
          </w:p>
        </w:tc>
        <w:tc>
          <w:tcPr>
            <w:tcW w:w="4148" w:type="dxa"/>
            <w:vAlign w:val="center"/>
          </w:tcPr>
          <w:p w14:paraId="45F3C5E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中标费率*65%*（1-32%）</w:t>
            </w:r>
          </w:p>
        </w:tc>
      </w:tr>
      <w:tr w14:paraId="04A9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59CB6333">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去化＜50%</w:t>
            </w:r>
          </w:p>
        </w:tc>
        <w:tc>
          <w:tcPr>
            <w:tcW w:w="4148" w:type="dxa"/>
            <w:vAlign w:val="center"/>
          </w:tcPr>
          <w:p w14:paraId="6AA986E6">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中标费率*65%*（1-40%）</w:t>
            </w:r>
          </w:p>
        </w:tc>
      </w:tr>
    </w:tbl>
    <w:p w14:paraId="6406E418">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整盘住宅销售率=（住宅签约货值+住宅车位签约货值）/整盘住宅货值；</w:t>
      </w:r>
    </w:p>
    <w:p w14:paraId="776945E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整盘住宅货值=整盘住宅可售货值+整盘住宅车位可售货值*50%=84821万（暂定）</w:t>
      </w:r>
    </w:p>
    <w:p w14:paraId="1CAACEC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管理咨询费支付：</w:t>
      </w:r>
    </w:p>
    <w:p w14:paraId="5FCBCD3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①合同签订后7日内支付管理咨询费的20%；</w:t>
      </w:r>
    </w:p>
    <w:p w14:paraId="288C627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②规划方案公示完成后7日内支付至管理咨询费的40%</w:t>
      </w:r>
    </w:p>
    <w:p w14:paraId="2CA94A0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③取得施工许可证后7日内支付至管理咨询费的50%；</w:t>
      </w:r>
    </w:p>
    <w:p w14:paraId="7589416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④住宅主体全部结顶后7日内支付至管理咨询费的70%；</w:t>
      </w:r>
    </w:p>
    <w:p w14:paraId="2DA0323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⑤项目完成竣工验收备案后7日内支付至管理咨询费的80%；</w:t>
      </w:r>
    </w:p>
    <w:p w14:paraId="75B246C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⑥项目完成最后一批次集中交付后7日内支付至管理咨询费的95%；</w:t>
      </w:r>
    </w:p>
    <w:p w14:paraId="5353583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⑦项目交付之日起满6个月后的7日内，结清剩余费用。</w:t>
      </w:r>
    </w:p>
    <w:p w14:paraId="3F6B9709">
      <w:pPr>
        <w:pStyle w:val="32"/>
        <w:adjustRightInd/>
        <w:spacing w:line="500" w:lineRule="exact"/>
        <w:ind w:firstLine="480" w:firstLineChars="200"/>
        <w:rPr>
          <w:rFonts w:ascii="仿宋" w:hAnsi="仿宋" w:eastAsia="仿宋" w:cs="仿宋"/>
          <w:color w:val="000000"/>
          <w:sz w:val="24"/>
          <w:szCs w:val="24"/>
        </w:rPr>
      </w:pPr>
    </w:p>
    <w:p w14:paraId="1D8E0D70">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销售服务费支付：</w:t>
      </w:r>
    </w:p>
    <w:p w14:paraId="6DA63B01">
      <w:pPr>
        <w:pStyle w:val="32"/>
        <w:adjustRightInd/>
        <w:spacing w:line="50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①合同签订后1个月内支付300万元预付款，作为前期营销策划及营销推广费用并在之后应付销售服务费进度款中分12个月扣回（若本月不足抵扣则累计至下月扣除，直至全部预付款扣回）</w:t>
      </w:r>
      <w:r>
        <w:rPr>
          <w:rFonts w:hint="eastAsia" w:ascii="仿宋" w:hAnsi="仿宋" w:eastAsia="仿宋" w:cs="仿宋"/>
          <w:color w:val="000000"/>
          <w:sz w:val="24"/>
          <w:szCs w:val="24"/>
          <w:lang w:eastAsia="zh-CN"/>
        </w:rPr>
        <w:t>；</w:t>
      </w:r>
    </w:p>
    <w:p w14:paraId="1D3293D8">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②每月支付销售服务费为签约销售额*销售服务费率*60%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含预付应抵扣部分)；</w:t>
      </w:r>
    </w:p>
    <w:p w14:paraId="385E9053">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③按上述考核机制，支付剩余销售服务费。</w:t>
      </w:r>
    </w:p>
    <w:p w14:paraId="1ED3853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6、考核条款：</w:t>
      </w:r>
    </w:p>
    <w:p w14:paraId="33AB3AC5">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①委派管理团队人员到位率每月现场出勤不得少于本月施工时间的80%。若达不到则委托人有权按500元/天计取违约金。</w:t>
      </w:r>
    </w:p>
    <w:p w14:paraId="4AFA679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②须严格做好限额设计管理，保证品控。若结算成本超过初步设计概算，则委托人有权处以管理咨询费的5%作为违约金处罚。</w:t>
      </w:r>
    </w:p>
    <w:p w14:paraId="0364E566">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③项目营销人员在销售过程中发生虚假宣传、虚假销售等情形的，委托人有权按照每次5万/次计取违约金，最高不超过管理咨询费的5%。</w:t>
      </w:r>
    </w:p>
    <w:p w14:paraId="50C12FD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highlight w:val="yellow"/>
        </w:rPr>
        <w:t>④在未经业主同意的情况下，不得低于基准价销售，否则采购人有权解约且销售部分履约保证金不予退回；同时自本项目取得首批次预售许可证起三个月内，该批次住宅销售率不足50%的，采购人有权解除合同，且销售部分履约保证金不退。（销售率以完成网签数据为准，根据首期预售证载明的楼幢、取证时间作为核算依据）</w:t>
      </w:r>
      <w:r>
        <w:rPr>
          <w:rFonts w:hint="eastAsia" w:ascii="仿宋" w:hAnsi="仿宋" w:eastAsia="仿宋" w:cs="仿宋"/>
          <w:color w:val="000000"/>
          <w:sz w:val="24"/>
          <w:szCs w:val="24"/>
        </w:rPr>
        <w:t>。</w:t>
      </w:r>
    </w:p>
    <w:p w14:paraId="1E55A81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7、奖励机制（溢价分成）</w:t>
      </w:r>
    </w:p>
    <w:p w14:paraId="571D874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若中标人以高于住宅基准价销售，在考核期结束时，全盘住宅单方销售价格不低于基准价且整盘住宅销售率高于90%，按下述规则享受溢价激励。</w:t>
      </w:r>
    </w:p>
    <w:tbl>
      <w:tblPr>
        <w:tblStyle w:val="6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7"/>
        <w:gridCol w:w="3279"/>
      </w:tblGrid>
      <w:tr w14:paraId="3C75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7" w:type="dxa"/>
            <w:vAlign w:val="center"/>
          </w:tcPr>
          <w:p w14:paraId="22DB158B">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溢价差值A（元）=实际售价－基准价</w:t>
            </w:r>
          </w:p>
        </w:tc>
        <w:tc>
          <w:tcPr>
            <w:tcW w:w="3279" w:type="dxa"/>
            <w:vAlign w:val="center"/>
          </w:tcPr>
          <w:p w14:paraId="49D6472B">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溢价激励</w:t>
            </w:r>
          </w:p>
        </w:tc>
      </w:tr>
      <w:tr w14:paraId="0704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7" w:type="dxa"/>
            <w:vAlign w:val="center"/>
          </w:tcPr>
          <w:p w14:paraId="1D00F3DB">
            <w:pPr>
              <w:pStyle w:val="32"/>
              <w:adjustRightInd/>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0</w:t>
            </w:r>
            <w:r>
              <w:rPr>
                <w:rFonts w:hint="eastAsia" w:ascii="仿宋" w:hAnsi="仿宋" w:eastAsia="仿宋" w:cs="仿宋"/>
                <w:color w:val="000000"/>
                <w:sz w:val="24"/>
                <w:szCs w:val="24"/>
              </w:rPr>
              <w:t>&lt;A&lt;</w:t>
            </w:r>
            <w:r>
              <w:rPr>
                <w:rFonts w:ascii="仿宋" w:hAnsi="仿宋" w:eastAsia="仿宋" w:cs="仿宋"/>
                <w:color w:val="000000"/>
                <w:sz w:val="24"/>
                <w:szCs w:val="24"/>
              </w:rPr>
              <w:t>5</w:t>
            </w:r>
            <w:r>
              <w:rPr>
                <w:rFonts w:hint="eastAsia" w:ascii="仿宋" w:hAnsi="仿宋" w:eastAsia="仿宋" w:cs="仿宋"/>
                <w:color w:val="000000"/>
                <w:sz w:val="24"/>
                <w:szCs w:val="24"/>
              </w:rPr>
              <w:t>00</w:t>
            </w:r>
          </w:p>
        </w:tc>
        <w:tc>
          <w:tcPr>
            <w:tcW w:w="3279" w:type="dxa"/>
            <w:vAlign w:val="center"/>
          </w:tcPr>
          <w:p w14:paraId="4897EA4E">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溢价货值部分的1</w:t>
            </w:r>
            <w:r>
              <w:rPr>
                <w:rFonts w:ascii="仿宋" w:hAnsi="仿宋" w:eastAsia="仿宋" w:cs="仿宋"/>
                <w:color w:val="000000"/>
                <w:sz w:val="24"/>
                <w:szCs w:val="24"/>
              </w:rPr>
              <w:t>0</w:t>
            </w:r>
            <w:r>
              <w:rPr>
                <w:rFonts w:hint="eastAsia" w:ascii="仿宋" w:hAnsi="仿宋" w:eastAsia="仿宋" w:cs="仿宋"/>
                <w:color w:val="000000"/>
                <w:sz w:val="24"/>
                <w:szCs w:val="24"/>
              </w:rPr>
              <w:t>%</w:t>
            </w:r>
          </w:p>
        </w:tc>
      </w:tr>
      <w:tr w14:paraId="757A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7" w:type="dxa"/>
            <w:vAlign w:val="center"/>
          </w:tcPr>
          <w:p w14:paraId="72DA3F50">
            <w:pPr>
              <w:pStyle w:val="32"/>
              <w:adjustRightInd/>
              <w:spacing w:line="5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500</w:t>
            </w:r>
            <w:r>
              <w:rPr>
                <w:rFonts w:hint="eastAsia" w:ascii="仿宋" w:hAnsi="仿宋" w:eastAsia="仿宋" w:cs="仿宋"/>
                <w:color w:val="000000"/>
                <w:sz w:val="24"/>
                <w:szCs w:val="24"/>
              </w:rPr>
              <w:t>≤A&lt;1000</w:t>
            </w:r>
          </w:p>
        </w:tc>
        <w:tc>
          <w:tcPr>
            <w:tcW w:w="3279" w:type="dxa"/>
            <w:vAlign w:val="center"/>
          </w:tcPr>
          <w:p w14:paraId="39BBD22E">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溢价货值部分的20%</w:t>
            </w:r>
          </w:p>
        </w:tc>
      </w:tr>
      <w:tr w14:paraId="09A5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7" w:type="dxa"/>
            <w:vAlign w:val="center"/>
          </w:tcPr>
          <w:p w14:paraId="09F2F2B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1000≤A&lt;1500</w:t>
            </w:r>
          </w:p>
        </w:tc>
        <w:tc>
          <w:tcPr>
            <w:tcW w:w="3279" w:type="dxa"/>
            <w:vAlign w:val="center"/>
          </w:tcPr>
          <w:p w14:paraId="485540D9">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溢价货值部分的30%</w:t>
            </w:r>
          </w:p>
        </w:tc>
      </w:tr>
      <w:tr w14:paraId="7F62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7" w:type="dxa"/>
            <w:vAlign w:val="center"/>
          </w:tcPr>
          <w:p w14:paraId="33490CB3">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1500≤A&lt;2000</w:t>
            </w:r>
          </w:p>
        </w:tc>
        <w:tc>
          <w:tcPr>
            <w:tcW w:w="3279" w:type="dxa"/>
            <w:vAlign w:val="center"/>
          </w:tcPr>
          <w:p w14:paraId="1478F52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溢价货值部分的40%</w:t>
            </w:r>
          </w:p>
        </w:tc>
      </w:tr>
      <w:tr w14:paraId="153E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7" w:type="dxa"/>
            <w:vAlign w:val="center"/>
          </w:tcPr>
          <w:p w14:paraId="6DB39FEF">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A≥2000</w:t>
            </w:r>
          </w:p>
        </w:tc>
        <w:tc>
          <w:tcPr>
            <w:tcW w:w="3279" w:type="dxa"/>
            <w:vAlign w:val="center"/>
          </w:tcPr>
          <w:p w14:paraId="1F0B72C3">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溢价货值部分的50%</w:t>
            </w:r>
          </w:p>
        </w:tc>
      </w:tr>
    </w:tbl>
    <w:p w14:paraId="145129CA">
      <w:pPr>
        <w:pStyle w:val="32"/>
        <w:adjustRightInd/>
        <w:spacing w:line="500" w:lineRule="exact"/>
        <w:ind w:firstLine="480" w:firstLineChars="200"/>
        <w:rPr>
          <w:rFonts w:ascii="仿宋" w:hAnsi="仿宋" w:eastAsia="仿宋" w:cs="仿宋"/>
          <w:color w:val="000000"/>
          <w:sz w:val="24"/>
          <w:szCs w:val="24"/>
        </w:rPr>
      </w:pPr>
    </w:p>
    <w:p w14:paraId="08BCE79A">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六、报价要求：</w:t>
      </w:r>
    </w:p>
    <w:p w14:paraId="520DC1C8">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本项目仅对工程设计费、管理咨询及销售服务费进行投标报价。</w:t>
      </w:r>
    </w:p>
    <w:p w14:paraId="74CFF064">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1、工程设计费按固定总价投报，不作竞争性报价。</w:t>
      </w:r>
    </w:p>
    <w:p w14:paraId="68462B41">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2、管理咨询及销售服务费按费率报价，根据暂定货值计算出管理咨询及销售服务费总价。</w:t>
      </w:r>
    </w:p>
    <w:p w14:paraId="66F6516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管理咨询及销售服务费最高费率为【4.45%】，最低费率为【3.85%)。</w:t>
      </w:r>
    </w:p>
    <w:p w14:paraId="129EA342">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注：</w:t>
      </w:r>
    </w:p>
    <w:p w14:paraId="6AE9DA97">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1.公开竞争文件中打</w:t>
      </w:r>
      <w:r>
        <w:rPr>
          <w:rFonts w:hint="eastAsia" w:ascii="仿宋" w:hAnsi="仿宋" w:eastAsia="仿宋" w:cs="仿宋"/>
          <w:color w:val="000000"/>
          <w:sz w:val="24"/>
        </w:rPr>
        <w:t>▲</w:t>
      </w:r>
      <w:r>
        <w:rPr>
          <w:rFonts w:hint="eastAsia" w:ascii="仿宋" w:hAnsi="仿宋" w:eastAsia="仿宋" w:cs="仿宋"/>
          <w:color w:val="000000"/>
          <w:sz w:val="24"/>
          <w:szCs w:val="24"/>
        </w:rPr>
        <w:t>内容为实质性要求，不允许有负偏离，否则将以涉及无效响应条款作无效响应。</w:t>
      </w:r>
    </w:p>
    <w:p w14:paraId="2873B4DD">
      <w:pPr>
        <w:pStyle w:val="32"/>
        <w:adjustRightInd/>
        <w:spacing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2、质疑受理电话：0571-82858325</w:t>
      </w:r>
    </w:p>
    <w:p w14:paraId="79EE4C3C">
      <w:pPr>
        <w:spacing w:line="500" w:lineRule="exact"/>
        <w:ind w:firstLine="482" w:firstLineChars="200"/>
        <w:rPr>
          <w:rFonts w:ascii="仿宋" w:hAnsi="仿宋" w:eastAsia="仿宋" w:cs="仿宋"/>
          <w:b/>
          <w:kern w:val="0"/>
          <w:sz w:val="24"/>
        </w:rPr>
      </w:pPr>
      <w:r>
        <w:rPr>
          <w:rFonts w:hint="eastAsia" w:ascii="仿宋" w:hAnsi="仿宋" w:eastAsia="仿宋" w:cs="仿宋"/>
          <w:b/>
          <w:sz w:val="24"/>
        </w:rPr>
        <w:t>注：</w:t>
      </w:r>
      <w:r>
        <w:rPr>
          <w:rFonts w:hint="eastAsia" w:ascii="仿宋" w:hAnsi="仿宋" w:eastAsia="仿宋" w:cs="仿宋"/>
          <w:b/>
          <w:kern w:val="0"/>
          <w:sz w:val="24"/>
        </w:rPr>
        <w:t>1.招标文件中打</w:t>
      </w:r>
      <w:r>
        <w:rPr>
          <w:rFonts w:hint="eastAsia" w:ascii="仿宋" w:hAnsi="仿宋" w:eastAsia="仿宋" w:cs="仿宋"/>
          <w:color w:val="000000"/>
          <w:sz w:val="24"/>
        </w:rPr>
        <w:t>▲</w:t>
      </w:r>
      <w:r>
        <w:rPr>
          <w:rFonts w:hint="eastAsia" w:ascii="仿宋" w:hAnsi="仿宋" w:eastAsia="仿宋" w:cs="仿宋"/>
          <w:b/>
          <w:kern w:val="0"/>
          <w:sz w:val="24"/>
        </w:rPr>
        <w:t>内容为实质性要求，不允许有负偏离，否则将以涉及无效响应条款作无效响应。</w:t>
      </w:r>
    </w:p>
    <w:p w14:paraId="45EFA4B7">
      <w:pPr>
        <w:pStyle w:val="23"/>
        <w:ind w:firstLine="0"/>
      </w:pPr>
    </w:p>
    <w:p w14:paraId="158ED155">
      <w:pPr>
        <w:snapToGrid w:val="0"/>
        <w:spacing w:line="360" w:lineRule="auto"/>
        <w:jc w:val="center"/>
        <w:rPr>
          <w:rFonts w:ascii="仿宋" w:hAnsi="仿宋" w:eastAsia="仿宋" w:cs="仿宋"/>
          <w:b/>
          <w:color w:val="000000" w:themeColor="text1"/>
          <w:sz w:val="36"/>
          <w:szCs w:val="36"/>
          <w14:textFill>
            <w14:solidFill>
              <w14:schemeClr w14:val="tx1"/>
            </w14:solidFill>
          </w14:textFill>
        </w:rPr>
      </w:pPr>
    </w:p>
    <w:p w14:paraId="23015CFB">
      <w:pPr>
        <w:snapToGrid w:val="0"/>
        <w:spacing w:line="360" w:lineRule="auto"/>
        <w:rPr>
          <w:rFonts w:ascii="仿宋" w:hAnsi="仿宋" w:eastAsia="仿宋" w:cs="仿宋"/>
          <w:b/>
          <w:color w:val="000000" w:themeColor="text1"/>
          <w:sz w:val="36"/>
          <w:szCs w:val="36"/>
          <w14:textFill>
            <w14:solidFill>
              <w14:schemeClr w14:val="tx1"/>
            </w14:solidFill>
          </w14:textFill>
        </w:rPr>
      </w:pPr>
    </w:p>
    <w:p w14:paraId="59C42910">
      <w:pPr>
        <w:snapToGrid w:val="0"/>
        <w:spacing w:line="360" w:lineRule="auto"/>
        <w:jc w:val="center"/>
        <w:rPr>
          <w:rFonts w:ascii="仿宋" w:hAnsi="仿宋" w:eastAsia="仿宋" w:cs="仿宋"/>
          <w:b/>
          <w:color w:val="000000" w:themeColor="text1"/>
          <w:sz w:val="36"/>
          <w:szCs w:val="36"/>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658DE62">
      <w:pPr>
        <w:snapToGrid w:val="0"/>
        <w:spacing w:line="360" w:lineRule="auto"/>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39" w:name="_Toc184308067"/>
      <w:bookmarkEnd w:id="39"/>
      <w:bookmarkStart w:id="40" w:name="_Toc184313273"/>
      <w:bookmarkEnd w:id="40"/>
      <w:bookmarkStart w:id="41" w:name="_Toc184308039"/>
      <w:bookmarkEnd w:id="41"/>
      <w:bookmarkStart w:id="42" w:name="_Toc184313272"/>
      <w:bookmarkEnd w:id="42"/>
      <w:bookmarkStart w:id="43" w:name="_Toc184310301"/>
      <w:bookmarkEnd w:id="43"/>
      <w:bookmarkStart w:id="44" w:name="_Toc184308088"/>
      <w:bookmarkEnd w:id="44"/>
      <w:bookmarkStart w:id="45" w:name="_Toc184310291"/>
      <w:bookmarkEnd w:id="45"/>
      <w:bookmarkStart w:id="46" w:name="_Toc184308040"/>
      <w:bookmarkEnd w:id="46"/>
      <w:bookmarkStart w:id="47" w:name="_Toc184313294"/>
      <w:bookmarkEnd w:id="47"/>
      <w:bookmarkStart w:id="48" w:name="_Toc184313257"/>
      <w:bookmarkEnd w:id="48"/>
      <w:bookmarkStart w:id="49" w:name="_Toc184310327"/>
      <w:bookmarkEnd w:id="49"/>
      <w:bookmarkStart w:id="50" w:name="_Toc184312099"/>
      <w:bookmarkEnd w:id="50"/>
      <w:bookmarkStart w:id="51" w:name="_Toc184314460"/>
      <w:bookmarkEnd w:id="51"/>
      <w:bookmarkStart w:id="52" w:name="_Toc184310316"/>
      <w:bookmarkEnd w:id="52"/>
      <w:bookmarkStart w:id="53" w:name="_Toc184313259"/>
      <w:bookmarkEnd w:id="53"/>
      <w:bookmarkStart w:id="54" w:name="_Toc184314430"/>
      <w:bookmarkEnd w:id="54"/>
      <w:bookmarkStart w:id="55" w:name="_Toc184308072"/>
      <w:bookmarkEnd w:id="55"/>
      <w:bookmarkStart w:id="56" w:name="_Toc184313275"/>
      <w:bookmarkEnd w:id="56"/>
      <w:bookmarkStart w:id="57" w:name="_Toc184314470"/>
      <w:bookmarkEnd w:id="57"/>
      <w:bookmarkStart w:id="58" w:name="_Toc184312100"/>
      <w:bookmarkEnd w:id="58"/>
      <w:bookmarkStart w:id="59" w:name="_Toc184308061"/>
      <w:bookmarkEnd w:id="59"/>
      <w:bookmarkStart w:id="60" w:name="_Toc184312071"/>
      <w:bookmarkEnd w:id="60"/>
      <w:bookmarkStart w:id="61" w:name="_Toc184310290"/>
      <w:bookmarkEnd w:id="61"/>
      <w:bookmarkStart w:id="62" w:name="_Toc184310305"/>
      <w:bookmarkEnd w:id="62"/>
      <w:bookmarkStart w:id="63" w:name="_Toc184312093"/>
      <w:bookmarkEnd w:id="63"/>
      <w:bookmarkStart w:id="64" w:name="_Toc184310284"/>
      <w:bookmarkEnd w:id="64"/>
      <w:bookmarkStart w:id="65" w:name="_Toc184314443"/>
      <w:bookmarkEnd w:id="65"/>
      <w:bookmarkStart w:id="66" w:name="_Toc184313270"/>
      <w:bookmarkEnd w:id="66"/>
      <w:bookmarkStart w:id="67" w:name="_Toc184310300"/>
      <w:bookmarkEnd w:id="67"/>
      <w:bookmarkStart w:id="68" w:name="_Toc184313247"/>
      <w:bookmarkEnd w:id="68"/>
      <w:bookmarkStart w:id="69" w:name="_Toc184308048"/>
      <w:bookmarkEnd w:id="69"/>
      <w:bookmarkStart w:id="70" w:name="_Toc184314426"/>
      <w:bookmarkEnd w:id="70"/>
      <w:bookmarkStart w:id="71" w:name="_Toc184313286"/>
      <w:bookmarkEnd w:id="71"/>
      <w:bookmarkStart w:id="72" w:name="_Toc184308108"/>
      <w:bookmarkEnd w:id="72"/>
      <w:bookmarkStart w:id="73" w:name="_Toc184308070"/>
      <w:bookmarkEnd w:id="73"/>
      <w:bookmarkStart w:id="74" w:name="_Toc184312134"/>
      <w:bookmarkEnd w:id="74"/>
      <w:bookmarkStart w:id="75" w:name="_Toc184312097"/>
      <w:bookmarkEnd w:id="75"/>
      <w:bookmarkStart w:id="76" w:name="_Toc184308068"/>
      <w:bookmarkEnd w:id="76"/>
      <w:bookmarkStart w:id="77" w:name="_Toc184313287"/>
      <w:bookmarkEnd w:id="77"/>
      <w:bookmarkStart w:id="78" w:name="_Toc184308060"/>
      <w:bookmarkEnd w:id="78"/>
      <w:bookmarkStart w:id="79" w:name="_Toc184314459"/>
      <w:bookmarkEnd w:id="79"/>
      <w:bookmarkStart w:id="80" w:name="_Toc184310338"/>
      <w:bookmarkEnd w:id="80"/>
      <w:bookmarkStart w:id="81" w:name="_Toc184314446"/>
      <w:bookmarkEnd w:id="81"/>
      <w:bookmarkStart w:id="82" w:name="_Toc184308064"/>
      <w:bookmarkEnd w:id="82"/>
      <w:bookmarkStart w:id="83" w:name="_Toc184313253"/>
      <w:bookmarkEnd w:id="83"/>
      <w:bookmarkStart w:id="84" w:name="_Toc184308089"/>
      <w:bookmarkEnd w:id="84"/>
      <w:bookmarkStart w:id="85" w:name="_Toc184314456"/>
      <w:bookmarkEnd w:id="85"/>
      <w:bookmarkStart w:id="86" w:name="_Toc184314435"/>
      <w:bookmarkEnd w:id="86"/>
      <w:bookmarkStart w:id="87" w:name="_Toc184310342"/>
      <w:bookmarkEnd w:id="87"/>
      <w:bookmarkStart w:id="88" w:name="_Toc184312131"/>
      <w:bookmarkEnd w:id="88"/>
      <w:bookmarkStart w:id="89" w:name="_Toc184313269"/>
      <w:bookmarkEnd w:id="89"/>
      <w:bookmarkStart w:id="90" w:name="_Toc184314428"/>
      <w:bookmarkEnd w:id="90"/>
      <w:bookmarkStart w:id="91" w:name="_Toc184308101"/>
      <w:bookmarkEnd w:id="91"/>
      <w:bookmarkStart w:id="92" w:name="_Toc184312127"/>
      <w:bookmarkEnd w:id="92"/>
      <w:bookmarkStart w:id="93" w:name="_Toc184314469"/>
      <w:bookmarkEnd w:id="93"/>
      <w:bookmarkStart w:id="94" w:name="_Toc184310335"/>
      <w:bookmarkEnd w:id="94"/>
      <w:bookmarkStart w:id="95" w:name="_Toc184313308"/>
      <w:bookmarkEnd w:id="95"/>
      <w:bookmarkStart w:id="96" w:name="_Toc184313291"/>
      <w:bookmarkEnd w:id="96"/>
      <w:bookmarkStart w:id="97" w:name="_Toc184312128"/>
      <w:bookmarkEnd w:id="97"/>
      <w:bookmarkStart w:id="98" w:name="_Toc184312072"/>
      <w:bookmarkEnd w:id="98"/>
      <w:bookmarkStart w:id="99" w:name="_Toc184313292"/>
      <w:bookmarkEnd w:id="99"/>
      <w:bookmarkStart w:id="100" w:name="_Toc184310287"/>
      <w:bookmarkEnd w:id="100"/>
      <w:bookmarkStart w:id="101" w:name="_Toc184310298"/>
      <w:bookmarkEnd w:id="101"/>
      <w:bookmarkStart w:id="102" w:name="_Toc184314425"/>
      <w:bookmarkEnd w:id="102"/>
      <w:bookmarkStart w:id="103" w:name="_Toc184313244"/>
      <w:bookmarkEnd w:id="103"/>
      <w:bookmarkStart w:id="104" w:name="_Toc184312129"/>
      <w:bookmarkEnd w:id="104"/>
      <w:bookmarkStart w:id="105" w:name="_Toc184314429"/>
      <w:bookmarkEnd w:id="105"/>
      <w:bookmarkStart w:id="106" w:name="_Toc184314479"/>
      <w:bookmarkEnd w:id="106"/>
      <w:bookmarkStart w:id="107" w:name="_Toc184313295"/>
      <w:bookmarkEnd w:id="107"/>
      <w:bookmarkStart w:id="108" w:name="_Toc184313255"/>
      <w:bookmarkEnd w:id="108"/>
      <w:bookmarkStart w:id="109" w:name="_Toc184314467"/>
      <w:bookmarkEnd w:id="109"/>
      <w:bookmarkStart w:id="110" w:name="_Toc184310307"/>
      <w:bookmarkEnd w:id="110"/>
      <w:bookmarkStart w:id="111" w:name="_Toc184310330"/>
      <w:bookmarkEnd w:id="111"/>
      <w:bookmarkStart w:id="112" w:name="_Toc184310326"/>
      <w:bookmarkEnd w:id="112"/>
      <w:bookmarkStart w:id="113" w:name="_Toc184310310"/>
      <w:bookmarkEnd w:id="113"/>
      <w:bookmarkStart w:id="114" w:name="_Toc184312101"/>
      <w:bookmarkEnd w:id="114"/>
      <w:bookmarkStart w:id="115" w:name="_Toc184308085"/>
      <w:bookmarkEnd w:id="115"/>
      <w:bookmarkStart w:id="116" w:name="_Toc184312133"/>
      <w:bookmarkEnd w:id="116"/>
      <w:bookmarkStart w:id="117" w:name="_Toc184310319"/>
      <w:bookmarkEnd w:id="117"/>
      <w:bookmarkStart w:id="118" w:name="_Toc184308057"/>
      <w:bookmarkEnd w:id="118"/>
      <w:bookmarkStart w:id="119" w:name="_Toc184308104"/>
      <w:bookmarkEnd w:id="119"/>
      <w:bookmarkStart w:id="120" w:name="_Toc184312079"/>
      <w:bookmarkEnd w:id="120"/>
      <w:bookmarkStart w:id="121" w:name="_Toc184313240"/>
      <w:bookmarkEnd w:id="121"/>
      <w:bookmarkStart w:id="122" w:name="_Toc184310278"/>
      <w:bookmarkEnd w:id="122"/>
      <w:bookmarkStart w:id="123" w:name="_Toc184313267"/>
      <w:bookmarkEnd w:id="123"/>
      <w:bookmarkStart w:id="124" w:name="_Toc184308099"/>
      <w:bookmarkEnd w:id="124"/>
      <w:bookmarkStart w:id="125" w:name="_Toc184313241"/>
      <w:bookmarkEnd w:id="125"/>
      <w:bookmarkStart w:id="126" w:name="_Toc184310308"/>
      <w:bookmarkEnd w:id="126"/>
      <w:bookmarkStart w:id="127" w:name="_Toc184314439"/>
      <w:bookmarkEnd w:id="127"/>
      <w:bookmarkStart w:id="128" w:name="_Toc184314422"/>
      <w:bookmarkEnd w:id="128"/>
      <w:bookmarkStart w:id="129" w:name="_Toc184310328"/>
      <w:bookmarkEnd w:id="129"/>
      <w:bookmarkStart w:id="130" w:name="_Toc184313300"/>
      <w:bookmarkEnd w:id="130"/>
      <w:bookmarkStart w:id="131" w:name="_Toc184312135"/>
      <w:bookmarkEnd w:id="131"/>
      <w:bookmarkStart w:id="132" w:name="_Toc184314472"/>
      <w:bookmarkEnd w:id="132"/>
      <w:bookmarkStart w:id="133" w:name="_Toc184313260"/>
      <w:bookmarkEnd w:id="133"/>
      <w:bookmarkStart w:id="134" w:name="_Toc184310281"/>
      <w:bookmarkEnd w:id="134"/>
      <w:bookmarkStart w:id="135" w:name="_Toc184313285"/>
      <w:bookmarkEnd w:id="135"/>
      <w:bookmarkStart w:id="136" w:name="_Toc184310334"/>
      <w:bookmarkEnd w:id="136"/>
      <w:bookmarkStart w:id="137" w:name="_Toc184313238"/>
      <w:bookmarkEnd w:id="137"/>
      <w:bookmarkStart w:id="138" w:name="_Toc184308043"/>
      <w:bookmarkEnd w:id="138"/>
      <w:bookmarkStart w:id="139" w:name="_Toc184312074"/>
      <w:bookmarkEnd w:id="139"/>
      <w:bookmarkStart w:id="140" w:name="_Toc184310272"/>
      <w:bookmarkEnd w:id="140"/>
      <w:bookmarkStart w:id="141" w:name="_Toc184310273"/>
      <w:bookmarkEnd w:id="141"/>
      <w:bookmarkStart w:id="142" w:name="_Toc184314461"/>
      <w:bookmarkEnd w:id="142"/>
      <w:bookmarkStart w:id="143" w:name="_Toc184313276"/>
      <w:bookmarkEnd w:id="143"/>
      <w:bookmarkStart w:id="144" w:name="_Toc184312110"/>
      <w:bookmarkEnd w:id="144"/>
      <w:bookmarkStart w:id="145" w:name="_Toc184313278"/>
      <w:bookmarkEnd w:id="145"/>
      <w:bookmarkStart w:id="146" w:name="_Toc184310297"/>
      <w:bookmarkEnd w:id="146"/>
      <w:bookmarkStart w:id="147" w:name="_Toc184308036"/>
      <w:bookmarkEnd w:id="147"/>
      <w:bookmarkStart w:id="148" w:name="_Toc184314449"/>
      <w:bookmarkEnd w:id="148"/>
      <w:bookmarkStart w:id="149" w:name="_Toc184308074"/>
      <w:bookmarkEnd w:id="149"/>
      <w:bookmarkStart w:id="150" w:name="_Toc184314454"/>
      <w:bookmarkEnd w:id="150"/>
      <w:bookmarkStart w:id="151" w:name="_Toc184314480"/>
      <w:bookmarkEnd w:id="151"/>
      <w:bookmarkStart w:id="152" w:name="_Toc184308086"/>
      <w:bookmarkEnd w:id="152"/>
      <w:bookmarkStart w:id="153" w:name="_Toc184314476"/>
      <w:bookmarkEnd w:id="153"/>
      <w:bookmarkStart w:id="154" w:name="_Toc184314457"/>
      <w:bookmarkEnd w:id="154"/>
      <w:bookmarkStart w:id="155" w:name="_Toc184308075"/>
      <w:bookmarkEnd w:id="155"/>
      <w:bookmarkStart w:id="156" w:name="_Toc184308080"/>
      <w:bookmarkEnd w:id="156"/>
      <w:bookmarkStart w:id="157" w:name="_Toc184313268"/>
      <w:bookmarkEnd w:id="157"/>
      <w:bookmarkStart w:id="158" w:name="_Toc184310295"/>
      <w:bookmarkEnd w:id="158"/>
      <w:bookmarkStart w:id="159" w:name="_Toc184308093"/>
      <w:bookmarkEnd w:id="159"/>
      <w:bookmarkStart w:id="160" w:name="_Toc184313305"/>
      <w:bookmarkEnd w:id="160"/>
      <w:bookmarkStart w:id="161" w:name="_Toc184314411"/>
      <w:bookmarkEnd w:id="161"/>
      <w:bookmarkStart w:id="162" w:name="_Toc184313279"/>
      <w:bookmarkEnd w:id="162"/>
      <w:bookmarkStart w:id="163" w:name="_Toc184313296"/>
      <w:bookmarkEnd w:id="163"/>
      <w:bookmarkStart w:id="164" w:name="_Toc184312086"/>
      <w:bookmarkEnd w:id="164"/>
      <w:bookmarkStart w:id="165" w:name="_Toc184313282"/>
      <w:bookmarkEnd w:id="165"/>
      <w:bookmarkStart w:id="166" w:name="_Toc184314417"/>
      <w:bookmarkEnd w:id="166"/>
      <w:bookmarkStart w:id="167" w:name="_Toc184310329"/>
      <w:bookmarkEnd w:id="167"/>
      <w:bookmarkStart w:id="168" w:name="_Toc184312107"/>
      <w:bookmarkEnd w:id="168"/>
      <w:bookmarkStart w:id="169" w:name="_Toc184310302"/>
      <w:bookmarkEnd w:id="169"/>
      <w:bookmarkStart w:id="170" w:name="_Toc184308058"/>
      <w:bookmarkEnd w:id="170"/>
      <w:bookmarkStart w:id="171" w:name="_Toc184308065"/>
      <w:bookmarkEnd w:id="171"/>
      <w:bookmarkStart w:id="172" w:name="_Toc184312139"/>
      <w:bookmarkEnd w:id="172"/>
      <w:bookmarkStart w:id="173" w:name="_Toc184308052"/>
      <w:bookmarkEnd w:id="173"/>
      <w:bookmarkStart w:id="174" w:name="_Toc184312102"/>
      <w:bookmarkEnd w:id="174"/>
      <w:bookmarkStart w:id="175" w:name="_Toc184308098"/>
      <w:bookmarkEnd w:id="175"/>
      <w:bookmarkStart w:id="176" w:name="_Toc184313264"/>
      <w:bookmarkEnd w:id="176"/>
      <w:bookmarkStart w:id="177" w:name="_Toc184310339"/>
      <w:bookmarkEnd w:id="177"/>
      <w:bookmarkStart w:id="178" w:name="_Toc184310294"/>
      <w:bookmarkEnd w:id="178"/>
      <w:bookmarkStart w:id="179" w:name="_Toc184310275"/>
      <w:bookmarkEnd w:id="179"/>
      <w:bookmarkStart w:id="180" w:name="_Toc184314438"/>
      <w:bookmarkEnd w:id="180"/>
      <w:bookmarkStart w:id="181" w:name="_Toc184310333"/>
      <w:bookmarkEnd w:id="181"/>
      <w:bookmarkStart w:id="182" w:name="_Toc184310280"/>
      <w:bookmarkEnd w:id="182"/>
      <w:bookmarkStart w:id="183" w:name="_Toc184310325"/>
      <w:bookmarkEnd w:id="183"/>
      <w:bookmarkStart w:id="184" w:name="_Toc184308059"/>
      <w:bookmarkEnd w:id="184"/>
      <w:bookmarkStart w:id="185" w:name="_Toc184308094"/>
      <w:bookmarkEnd w:id="185"/>
      <w:bookmarkStart w:id="186" w:name="_Toc184313290"/>
      <w:bookmarkEnd w:id="186"/>
      <w:bookmarkStart w:id="187" w:name="_Toc184313288"/>
      <w:bookmarkEnd w:id="187"/>
      <w:bookmarkStart w:id="188" w:name="_Toc184314437"/>
      <w:bookmarkEnd w:id="188"/>
      <w:bookmarkStart w:id="189" w:name="_Toc184312070"/>
      <w:bookmarkEnd w:id="189"/>
      <w:bookmarkStart w:id="190" w:name="_Toc184312104"/>
      <w:bookmarkEnd w:id="190"/>
      <w:bookmarkStart w:id="191" w:name="_Toc184308100"/>
      <w:bookmarkEnd w:id="191"/>
      <w:bookmarkStart w:id="192" w:name="_Toc184313248"/>
      <w:bookmarkEnd w:id="192"/>
      <w:bookmarkStart w:id="193" w:name="_Toc184312082"/>
      <w:bookmarkEnd w:id="193"/>
      <w:bookmarkStart w:id="194" w:name="_Toc184313306"/>
      <w:bookmarkEnd w:id="194"/>
      <w:bookmarkStart w:id="195" w:name="_Toc184312087"/>
      <w:bookmarkEnd w:id="195"/>
      <w:bookmarkStart w:id="196" w:name="_Toc184310312"/>
      <w:bookmarkEnd w:id="196"/>
      <w:bookmarkStart w:id="197" w:name="_Toc184313297"/>
      <w:bookmarkEnd w:id="197"/>
      <w:bookmarkStart w:id="198" w:name="_Toc184313261"/>
      <w:bookmarkEnd w:id="198"/>
      <w:bookmarkStart w:id="199" w:name="_Toc184314410"/>
      <w:bookmarkEnd w:id="199"/>
      <w:bookmarkStart w:id="200" w:name="_Toc184312095"/>
      <w:bookmarkEnd w:id="200"/>
      <w:bookmarkStart w:id="201" w:name="_Toc184313265"/>
      <w:bookmarkEnd w:id="201"/>
      <w:bookmarkStart w:id="202" w:name="_Toc184314463"/>
      <w:bookmarkEnd w:id="202"/>
      <w:bookmarkStart w:id="203" w:name="_Toc184312121"/>
      <w:bookmarkEnd w:id="203"/>
      <w:bookmarkStart w:id="204" w:name="_Toc184308084"/>
      <w:bookmarkEnd w:id="204"/>
      <w:bookmarkStart w:id="205" w:name="_Toc184308073"/>
      <w:bookmarkEnd w:id="205"/>
      <w:bookmarkStart w:id="206" w:name="_Toc184308071"/>
      <w:bookmarkEnd w:id="206"/>
      <w:bookmarkStart w:id="207" w:name="_Toc184310282"/>
      <w:bookmarkEnd w:id="207"/>
      <w:bookmarkStart w:id="208" w:name="_Toc184313256"/>
      <w:bookmarkEnd w:id="208"/>
      <w:bookmarkStart w:id="209" w:name="_Toc184308106"/>
      <w:bookmarkEnd w:id="209"/>
      <w:bookmarkStart w:id="210" w:name="_Toc184314478"/>
      <w:bookmarkEnd w:id="210"/>
      <w:bookmarkStart w:id="211" w:name="_Toc184314433"/>
      <w:bookmarkEnd w:id="211"/>
      <w:bookmarkStart w:id="212" w:name="_Toc184308107"/>
      <w:bookmarkEnd w:id="212"/>
      <w:bookmarkStart w:id="213" w:name="_Toc184312112"/>
      <w:bookmarkEnd w:id="213"/>
      <w:bookmarkStart w:id="214" w:name="_Toc184312090"/>
      <w:bookmarkEnd w:id="214"/>
      <w:bookmarkStart w:id="215" w:name="_Toc184308077"/>
      <w:bookmarkEnd w:id="215"/>
      <w:bookmarkStart w:id="216" w:name="_Toc184313289"/>
      <w:bookmarkEnd w:id="216"/>
      <w:bookmarkStart w:id="217" w:name="_Toc184308081"/>
      <w:bookmarkEnd w:id="217"/>
      <w:bookmarkStart w:id="218" w:name="_Toc184314436"/>
      <w:bookmarkEnd w:id="218"/>
      <w:bookmarkStart w:id="219" w:name="_Toc184314450"/>
      <w:bookmarkEnd w:id="219"/>
      <w:bookmarkStart w:id="220" w:name="_Toc184312081"/>
      <w:bookmarkEnd w:id="220"/>
      <w:bookmarkStart w:id="221" w:name="_Toc184310332"/>
      <w:bookmarkEnd w:id="221"/>
      <w:bookmarkStart w:id="222" w:name="_Toc184312088"/>
      <w:bookmarkEnd w:id="222"/>
      <w:bookmarkStart w:id="223" w:name="_Toc184312091"/>
      <w:bookmarkEnd w:id="223"/>
      <w:bookmarkStart w:id="224" w:name="_Toc184313263"/>
      <w:bookmarkEnd w:id="224"/>
      <w:bookmarkStart w:id="225" w:name="_Toc184313258"/>
      <w:bookmarkEnd w:id="225"/>
      <w:bookmarkStart w:id="226" w:name="_Toc184314423"/>
      <w:bookmarkEnd w:id="226"/>
      <w:bookmarkStart w:id="227" w:name="_Toc184313280"/>
      <w:bookmarkEnd w:id="227"/>
      <w:bookmarkStart w:id="228" w:name="_Toc184312094"/>
      <w:bookmarkEnd w:id="228"/>
      <w:bookmarkStart w:id="229" w:name="_Toc184308049"/>
      <w:bookmarkEnd w:id="229"/>
      <w:bookmarkStart w:id="230" w:name="_Toc184312077"/>
      <w:bookmarkEnd w:id="230"/>
      <w:bookmarkStart w:id="231" w:name="_Toc184313302"/>
      <w:bookmarkEnd w:id="231"/>
      <w:bookmarkStart w:id="232" w:name="_Toc184312119"/>
      <w:bookmarkEnd w:id="232"/>
      <w:bookmarkStart w:id="233" w:name="_Toc184308090"/>
      <w:bookmarkEnd w:id="233"/>
      <w:bookmarkStart w:id="234" w:name="_Toc184310341"/>
      <w:bookmarkEnd w:id="234"/>
      <w:bookmarkStart w:id="235" w:name="_Toc184310344"/>
      <w:bookmarkEnd w:id="235"/>
      <w:bookmarkStart w:id="236" w:name="_Toc184313299"/>
      <w:bookmarkEnd w:id="236"/>
      <w:bookmarkStart w:id="237" w:name="_Toc184308066"/>
      <w:bookmarkEnd w:id="237"/>
      <w:bookmarkStart w:id="238" w:name="_Toc184314421"/>
      <w:bookmarkEnd w:id="238"/>
      <w:bookmarkStart w:id="239" w:name="_Toc184310289"/>
      <w:bookmarkEnd w:id="239"/>
      <w:bookmarkStart w:id="240" w:name="_Toc184310323"/>
      <w:bookmarkEnd w:id="240"/>
      <w:bookmarkStart w:id="241" w:name="_Toc184308083"/>
      <w:bookmarkEnd w:id="241"/>
      <w:bookmarkStart w:id="242" w:name="_Toc184312089"/>
      <w:bookmarkEnd w:id="242"/>
      <w:bookmarkStart w:id="243" w:name="_Toc184314414"/>
      <w:bookmarkEnd w:id="243"/>
      <w:bookmarkStart w:id="244" w:name="_Toc184308038"/>
      <w:bookmarkEnd w:id="244"/>
      <w:bookmarkStart w:id="245" w:name="_Toc184313266"/>
      <w:bookmarkEnd w:id="245"/>
      <w:bookmarkStart w:id="246" w:name="_Toc184310292"/>
      <w:bookmarkEnd w:id="246"/>
      <w:bookmarkStart w:id="247" w:name="_Toc184310320"/>
      <w:bookmarkEnd w:id="247"/>
      <w:bookmarkStart w:id="248" w:name="_Toc184313242"/>
      <w:bookmarkEnd w:id="248"/>
      <w:bookmarkStart w:id="249" w:name="_Toc184310274"/>
      <w:bookmarkEnd w:id="249"/>
      <w:bookmarkStart w:id="250" w:name="_Toc184308103"/>
      <w:bookmarkEnd w:id="250"/>
      <w:bookmarkStart w:id="251" w:name="_Toc184312106"/>
      <w:bookmarkEnd w:id="251"/>
      <w:bookmarkStart w:id="252" w:name="_Toc184314474"/>
      <w:bookmarkEnd w:id="252"/>
      <w:bookmarkStart w:id="253" w:name="_Toc184310286"/>
      <w:bookmarkEnd w:id="253"/>
      <w:bookmarkStart w:id="254" w:name="_Toc184314462"/>
      <w:bookmarkEnd w:id="254"/>
      <w:bookmarkStart w:id="255" w:name="_Toc184310279"/>
      <w:bookmarkEnd w:id="255"/>
      <w:bookmarkStart w:id="256" w:name="_Toc184313271"/>
      <w:bookmarkEnd w:id="256"/>
      <w:bookmarkStart w:id="257" w:name="_Toc184310322"/>
      <w:bookmarkEnd w:id="257"/>
      <w:bookmarkStart w:id="258" w:name="_Toc184310321"/>
      <w:bookmarkEnd w:id="258"/>
      <w:bookmarkStart w:id="259" w:name="_Toc184314452"/>
      <w:bookmarkEnd w:id="259"/>
      <w:bookmarkStart w:id="260" w:name="_Toc184310314"/>
      <w:bookmarkEnd w:id="260"/>
      <w:bookmarkStart w:id="261" w:name="_Toc184314431"/>
      <w:bookmarkEnd w:id="261"/>
      <w:bookmarkStart w:id="262" w:name="_Toc184314458"/>
      <w:bookmarkEnd w:id="262"/>
      <w:bookmarkStart w:id="263" w:name="_Toc184308046"/>
      <w:bookmarkEnd w:id="263"/>
      <w:bookmarkStart w:id="264" w:name="_Toc184310296"/>
      <w:bookmarkEnd w:id="264"/>
      <w:bookmarkStart w:id="265" w:name="_Toc184313277"/>
      <w:bookmarkEnd w:id="265"/>
      <w:bookmarkStart w:id="266" w:name="_Toc184314420"/>
      <w:bookmarkEnd w:id="266"/>
      <w:bookmarkStart w:id="267" w:name="_Toc184310315"/>
      <w:bookmarkEnd w:id="267"/>
      <w:bookmarkStart w:id="268" w:name="_Toc184313262"/>
      <w:bookmarkEnd w:id="268"/>
      <w:bookmarkStart w:id="269" w:name="_Toc184314416"/>
      <w:bookmarkEnd w:id="269"/>
      <w:bookmarkStart w:id="270" w:name="_Toc184312076"/>
      <w:bookmarkEnd w:id="270"/>
      <w:bookmarkStart w:id="271" w:name="_Toc184308087"/>
      <w:bookmarkEnd w:id="271"/>
      <w:bookmarkStart w:id="272" w:name="_Toc184308091"/>
      <w:bookmarkEnd w:id="272"/>
      <w:bookmarkStart w:id="273" w:name="_Toc184314412"/>
      <w:bookmarkEnd w:id="273"/>
      <w:bookmarkStart w:id="274" w:name="_Toc184313243"/>
      <w:bookmarkEnd w:id="274"/>
      <w:bookmarkStart w:id="275" w:name="_Toc184312138"/>
      <w:bookmarkEnd w:id="275"/>
      <w:bookmarkStart w:id="276" w:name="_Toc184310288"/>
      <w:bookmarkEnd w:id="276"/>
      <w:bookmarkStart w:id="277" w:name="_Toc184312123"/>
      <w:bookmarkEnd w:id="277"/>
      <w:bookmarkStart w:id="278" w:name="_Toc184312109"/>
      <w:bookmarkEnd w:id="278"/>
      <w:bookmarkStart w:id="279" w:name="_Toc184308056"/>
      <w:bookmarkEnd w:id="279"/>
      <w:bookmarkStart w:id="280" w:name="_Toc184312122"/>
      <w:bookmarkEnd w:id="280"/>
      <w:bookmarkStart w:id="281" w:name="_Toc184308079"/>
      <w:bookmarkEnd w:id="281"/>
      <w:bookmarkStart w:id="282" w:name="_Toc184308092"/>
      <w:bookmarkEnd w:id="282"/>
      <w:bookmarkStart w:id="283" w:name="_Toc184314418"/>
      <w:bookmarkEnd w:id="283"/>
      <w:bookmarkStart w:id="284" w:name="_Toc184312067"/>
      <w:bookmarkEnd w:id="284"/>
      <w:bookmarkStart w:id="285" w:name="_Toc184310285"/>
      <w:bookmarkEnd w:id="285"/>
      <w:bookmarkStart w:id="286" w:name="_Toc184313250"/>
      <w:bookmarkEnd w:id="286"/>
      <w:bookmarkStart w:id="287" w:name="_Toc184310318"/>
      <w:bookmarkEnd w:id="287"/>
      <w:bookmarkStart w:id="288" w:name="_Toc184314447"/>
      <w:bookmarkEnd w:id="288"/>
      <w:bookmarkStart w:id="289" w:name="_Toc184308044"/>
      <w:bookmarkEnd w:id="289"/>
      <w:bookmarkStart w:id="290" w:name="_Toc184308063"/>
      <w:bookmarkEnd w:id="290"/>
      <w:bookmarkStart w:id="291" w:name="_Toc184310340"/>
      <w:bookmarkEnd w:id="291"/>
      <w:bookmarkStart w:id="292" w:name="_Toc184308042"/>
      <w:bookmarkEnd w:id="292"/>
      <w:bookmarkStart w:id="293" w:name="_Toc184312068"/>
      <w:bookmarkEnd w:id="293"/>
      <w:bookmarkStart w:id="294" w:name="_Toc184312116"/>
      <w:bookmarkEnd w:id="294"/>
      <w:bookmarkStart w:id="295" w:name="_Toc184310317"/>
      <w:bookmarkEnd w:id="295"/>
      <w:bookmarkStart w:id="296" w:name="_Toc184314413"/>
      <w:bookmarkEnd w:id="296"/>
      <w:bookmarkStart w:id="297" w:name="_Toc184313251"/>
      <w:bookmarkEnd w:id="297"/>
      <w:bookmarkStart w:id="298" w:name="_Toc184312103"/>
      <w:bookmarkEnd w:id="298"/>
      <w:bookmarkStart w:id="299" w:name="_Toc184312083"/>
      <w:bookmarkEnd w:id="299"/>
      <w:bookmarkStart w:id="300" w:name="_Toc184313245"/>
      <w:bookmarkEnd w:id="300"/>
      <w:bookmarkStart w:id="301" w:name="_Toc184313254"/>
      <w:bookmarkEnd w:id="301"/>
      <w:bookmarkStart w:id="302" w:name="_Toc184308076"/>
      <w:bookmarkEnd w:id="302"/>
      <w:bookmarkStart w:id="303" w:name="_Toc184314477"/>
      <w:bookmarkEnd w:id="303"/>
      <w:bookmarkStart w:id="304" w:name="_Toc184308069"/>
      <w:bookmarkEnd w:id="304"/>
      <w:bookmarkStart w:id="305" w:name="_Toc184313281"/>
      <w:bookmarkEnd w:id="305"/>
      <w:bookmarkStart w:id="306" w:name="_Toc184308096"/>
      <w:bookmarkEnd w:id="306"/>
      <w:bookmarkStart w:id="307" w:name="_Toc184312137"/>
      <w:bookmarkEnd w:id="307"/>
      <w:bookmarkStart w:id="308" w:name="_Toc184314444"/>
      <w:bookmarkEnd w:id="308"/>
      <w:bookmarkStart w:id="309" w:name="_Toc184308051"/>
      <w:bookmarkEnd w:id="309"/>
      <w:bookmarkStart w:id="310" w:name="_Toc184310303"/>
      <w:bookmarkEnd w:id="310"/>
      <w:bookmarkStart w:id="311" w:name="_Toc184313252"/>
      <w:bookmarkEnd w:id="311"/>
      <w:bookmarkStart w:id="312" w:name="_Toc184308095"/>
      <w:bookmarkEnd w:id="312"/>
      <w:bookmarkStart w:id="313" w:name="_Toc184313301"/>
      <w:bookmarkEnd w:id="313"/>
      <w:bookmarkStart w:id="314" w:name="_Toc184310306"/>
      <w:bookmarkEnd w:id="314"/>
      <w:bookmarkStart w:id="315" w:name="_Toc184310331"/>
      <w:bookmarkEnd w:id="315"/>
      <w:bookmarkStart w:id="316" w:name="_Toc184312108"/>
      <w:bookmarkEnd w:id="316"/>
      <w:bookmarkStart w:id="317" w:name="_Toc184312098"/>
      <w:bookmarkEnd w:id="317"/>
      <w:bookmarkStart w:id="318" w:name="_Toc184313284"/>
      <w:bookmarkEnd w:id="318"/>
      <w:bookmarkStart w:id="319" w:name="_Toc184312085"/>
      <w:bookmarkEnd w:id="319"/>
      <w:bookmarkStart w:id="320" w:name="_Toc184312075"/>
      <w:bookmarkEnd w:id="320"/>
      <w:bookmarkStart w:id="321" w:name="_Toc184310309"/>
      <w:bookmarkEnd w:id="321"/>
      <w:bookmarkStart w:id="322" w:name="_Toc184312078"/>
      <w:bookmarkEnd w:id="322"/>
      <w:bookmarkStart w:id="323" w:name="_Toc184312130"/>
      <w:bookmarkEnd w:id="323"/>
      <w:bookmarkStart w:id="324" w:name="_Toc184314434"/>
      <w:bookmarkEnd w:id="324"/>
      <w:bookmarkStart w:id="325" w:name="_Toc184308082"/>
      <w:bookmarkEnd w:id="325"/>
      <w:bookmarkStart w:id="326" w:name="_Toc184308105"/>
      <w:bookmarkEnd w:id="326"/>
      <w:bookmarkStart w:id="327" w:name="_Toc184308053"/>
      <w:bookmarkEnd w:id="327"/>
      <w:bookmarkStart w:id="328" w:name="_Toc184314471"/>
      <w:bookmarkEnd w:id="328"/>
      <w:bookmarkStart w:id="329" w:name="_Toc184314468"/>
      <w:bookmarkEnd w:id="329"/>
      <w:bookmarkStart w:id="330" w:name="_Toc184312126"/>
      <w:bookmarkEnd w:id="330"/>
      <w:bookmarkStart w:id="331" w:name="_Toc184313283"/>
      <w:bookmarkEnd w:id="331"/>
      <w:bookmarkStart w:id="332" w:name="_Toc184314427"/>
      <w:bookmarkEnd w:id="332"/>
      <w:bookmarkStart w:id="333" w:name="_Toc184314466"/>
      <w:bookmarkEnd w:id="333"/>
      <w:bookmarkStart w:id="334" w:name="_Toc184312069"/>
      <w:bookmarkEnd w:id="334"/>
      <w:bookmarkStart w:id="335" w:name="_Toc184314448"/>
      <w:bookmarkEnd w:id="335"/>
      <w:bookmarkStart w:id="336" w:name="_Toc184312114"/>
      <w:bookmarkEnd w:id="336"/>
      <w:bookmarkStart w:id="337" w:name="_Toc184312124"/>
      <w:bookmarkEnd w:id="337"/>
      <w:bookmarkStart w:id="338" w:name="_Toc184312096"/>
      <w:bookmarkEnd w:id="338"/>
      <w:bookmarkStart w:id="339" w:name="_Toc184312092"/>
      <w:bookmarkEnd w:id="339"/>
      <w:bookmarkStart w:id="340" w:name="_Toc184308054"/>
      <w:bookmarkEnd w:id="340"/>
      <w:bookmarkStart w:id="341" w:name="_Toc184310313"/>
      <w:bookmarkEnd w:id="341"/>
      <w:bookmarkStart w:id="342" w:name="_Toc184312120"/>
      <w:bookmarkEnd w:id="342"/>
      <w:bookmarkStart w:id="343" w:name="_Toc184308055"/>
      <w:bookmarkEnd w:id="343"/>
      <w:bookmarkStart w:id="344" w:name="_Toc184312105"/>
      <w:bookmarkEnd w:id="344"/>
      <w:bookmarkStart w:id="345" w:name="_Toc184308041"/>
      <w:bookmarkEnd w:id="345"/>
      <w:bookmarkStart w:id="346" w:name="_Toc184314464"/>
      <w:bookmarkEnd w:id="346"/>
      <w:bookmarkStart w:id="347" w:name="_Toc184313304"/>
      <w:bookmarkEnd w:id="347"/>
      <w:bookmarkStart w:id="348" w:name="_Toc184310304"/>
      <w:bookmarkEnd w:id="348"/>
      <w:bookmarkStart w:id="349" w:name="_Toc184308047"/>
      <w:bookmarkEnd w:id="349"/>
      <w:bookmarkStart w:id="350" w:name="_Toc184314415"/>
      <w:bookmarkEnd w:id="350"/>
      <w:bookmarkStart w:id="351" w:name="_Toc184308062"/>
      <w:bookmarkEnd w:id="351"/>
      <w:bookmarkStart w:id="352" w:name="_Toc184308102"/>
      <w:bookmarkEnd w:id="352"/>
      <w:bookmarkStart w:id="353" w:name="_Toc184312084"/>
      <w:bookmarkEnd w:id="353"/>
      <w:bookmarkStart w:id="354" w:name="_Toc184310337"/>
      <w:bookmarkEnd w:id="354"/>
      <w:bookmarkStart w:id="355" w:name="_Toc184314453"/>
      <w:bookmarkEnd w:id="355"/>
      <w:bookmarkStart w:id="356" w:name="_Toc184314482"/>
      <w:bookmarkEnd w:id="356"/>
      <w:bookmarkStart w:id="357" w:name="_Toc184308045"/>
      <w:bookmarkEnd w:id="357"/>
      <w:bookmarkStart w:id="358" w:name="_Toc184313293"/>
      <w:bookmarkEnd w:id="358"/>
      <w:bookmarkStart w:id="359" w:name="_Toc184314473"/>
      <w:bookmarkEnd w:id="359"/>
      <w:bookmarkStart w:id="360" w:name="_Toc184310293"/>
      <w:bookmarkEnd w:id="360"/>
      <w:bookmarkStart w:id="361" w:name="_Toc184308037"/>
      <w:bookmarkEnd w:id="361"/>
      <w:bookmarkStart w:id="362" w:name="_Toc184313239"/>
      <w:bookmarkEnd w:id="362"/>
      <w:bookmarkStart w:id="363" w:name="_Toc184314442"/>
      <w:bookmarkEnd w:id="363"/>
      <w:bookmarkStart w:id="364" w:name="_Toc184310343"/>
      <w:bookmarkEnd w:id="364"/>
      <w:bookmarkStart w:id="365" w:name="_Toc184308078"/>
      <w:bookmarkEnd w:id="365"/>
      <w:bookmarkStart w:id="366" w:name="_Toc184310311"/>
      <w:bookmarkEnd w:id="366"/>
      <w:bookmarkStart w:id="367" w:name="_Toc184313298"/>
      <w:bookmarkEnd w:id="367"/>
      <w:bookmarkStart w:id="368" w:name="_Toc184314451"/>
      <w:bookmarkEnd w:id="368"/>
      <w:bookmarkStart w:id="369" w:name="_Toc184310276"/>
      <w:bookmarkEnd w:id="369"/>
      <w:bookmarkStart w:id="370" w:name="_Toc184312073"/>
      <w:bookmarkEnd w:id="370"/>
      <w:bookmarkStart w:id="371" w:name="_Toc184314419"/>
      <w:bookmarkEnd w:id="371"/>
      <w:bookmarkStart w:id="372" w:name="_Toc184312111"/>
      <w:bookmarkEnd w:id="372"/>
      <w:bookmarkStart w:id="373" w:name="_Toc184310283"/>
      <w:bookmarkEnd w:id="373"/>
      <w:bookmarkStart w:id="374" w:name="_Toc184312132"/>
      <w:bookmarkEnd w:id="374"/>
      <w:bookmarkStart w:id="375" w:name="_Toc184310299"/>
      <w:bookmarkEnd w:id="375"/>
      <w:bookmarkStart w:id="376" w:name="_Toc184313310"/>
      <w:bookmarkEnd w:id="376"/>
      <w:bookmarkStart w:id="377" w:name="_Toc184310324"/>
      <w:bookmarkEnd w:id="377"/>
      <w:bookmarkStart w:id="378" w:name="_Toc184308097"/>
      <w:bookmarkEnd w:id="378"/>
      <w:bookmarkStart w:id="379" w:name="_Toc184314445"/>
      <w:bookmarkEnd w:id="379"/>
      <w:bookmarkStart w:id="380" w:name="_Toc184312113"/>
      <w:bookmarkEnd w:id="380"/>
      <w:bookmarkStart w:id="381" w:name="_Toc184314475"/>
      <w:bookmarkEnd w:id="381"/>
      <w:bookmarkStart w:id="382" w:name="_Toc184313303"/>
      <w:bookmarkEnd w:id="382"/>
      <w:bookmarkStart w:id="383" w:name="_Toc184312118"/>
      <w:bookmarkEnd w:id="383"/>
      <w:bookmarkStart w:id="384" w:name="_Toc184313309"/>
      <w:bookmarkEnd w:id="384"/>
      <w:bookmarkStart w:id="385" w:name="_Toc184314481"/>
      <w:bookmarkEnd w:id="385"/>
      <w:bookmarkStart w:id="386" w:name="_Toc184308050"/>
      <w:bookmarkEnd w:id="386"/>
      <w:bookmarkStart w:id="387" w:name="_Toc184314441"/>
      <w:bookmarkEnd w:id="387"/>
      <w:bookmarkStart w:id="388" w:name="_Toc184314455"/>
      <w:bookmarkEnd w:id="388"/>
      <w:bookmarkStart w:id="389" w:name="_Toc184312136"/>
      <w:bookmarkEnd w:id="389"/>
      <w:bookmarkStart w:id="390" w:name="_Toc184314465"/>
      <w:bookmarkEnd w:id="390"/>
      <w:bookmarkStart w:id="391" w:name="_Toc184314432"/>
      <w:bookmarkEnd w:id="391"/>
      <w:bookmarkStart w:id="392" w:name="_Toc184314440"/>
      <w:bookmarkEnd w:id="392"/>
      <w:bookmarkStart w:id="393" w:name="_Toc184312125"/>
      <w:bookmarkEnd w:id="393"/>
      <w:bookmarkStart w:id="394" w:name="_Toc184312080"/>
      <w:bookmarkEnd w:id="394"/>
      <w:bookmarkStart w:id="395" w:name="_Toc184312117"/>
      <w:bookmarkEnd w:id="395"/>
      <w:bookmarkStart w:id="396" w:name="_Toc184313246"/>
      <w:bookmarkEnd w:id="396"/>
      <w:bookmarkStart w:id="397" w:name="_Toc184310336"/>
      <w:bookmarkEnd w:id="397"/>
      <w:bookmarkStart w:id="398" w:name="_Toc184313249"/>
      <w:bookmarkEnd w:id="398"/>
      <w:bookmarkStart w:id="399" w:name="_Toc184310277"/>
      <w:bookmarkEnd w:id="399"/>
      <w:bookmarkStart w:id="400" w:name="_Toc184312115"/>
      <w:bookmarkEnd w:id="400"/>
      <w:bookmarkStart w:id="401" w:name="_Toc184314424"/>
      <w:bookmarkEnd w:id="401"/>
      <w:bookmarkStart w:id="402" w:name="_Toc184313307"/>
      <w:bookmarkEnd w:id="402"/>
      <w:bookmarkStart w:id="403" w:name="_Toc184313274"/>
      <w:bookmarkEnd w:id="403"/>
      <w:r>
        <w:rPr>
          <w:rFonts w:hint="eastAsia" w:ascii="仿宋" w:hAnsi="仿宋" w:eastAsia="仿宋" w:cs="仿宋"/>
          <w:b/>
          <w:color w:val="000000" w:themeColor="text1"/>
          <w:sz w:val="36"/>
          <w:szCs w:val="36"/>
          <w14:textFill>
            <w14:solidFill>
              <w14:schemeClr w14:val="tx1"/>
            </w14:solidFill>
          </w14:textFill>
        </w:rPr>
        <w:t>招标办法</w:t>
      </w:r>
    </w:p>
    <w:p w14:paraId="1A57F6DF">
      <w:pPr>
        <w:snapToGrid w:val="0"/>
        <w:spacing w:line="360" w:lineRule="auto"/>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招标办法前附表</w:t>
      </w:r>
    </w:p>
    <w:p w14:paraId="3BA6955D">
      <w:pPr>
        <w:spacing w:line="360" w:lineRule="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z w:val="28"/>
          <w:szCs w:val="28"/>
        </w:rPr>
        <w:t>（一）资信条件（12分）</w:t>
      </w:r>
    </w:p>
    <w:tbl>
      <w:tblPr>
        <w:tblStyle w:val="61"/>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82"/>
        <w:gridCol w:w="6094"/>
        <w:gridCol w:w="1184"/>
      </w:tblGrid>
      <w:tr w14:paraId="1A38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tcPr>
          <w:p w14:paraId="00BCEE26">
            <w:pPr>
              <w:pStyle w:val="22"/>
              <w:jc w:val="center"/>
              <w:rPr>
                <w:rFonts w:ascii="仿宋" w:hAnsi="仿宋" w:eastAsia="仿宋" w:cs="仿宋"/>
                <w:szCs w:val="24"/>
                <w:lang w:val="en-US"/>
              </w:rPr>
            </w:pPr>
            <w:r>
              <w:rPr>
                <w:rFonts w:hint="eastAsia" w:ascii="仿宋" w:hAnsi="仿宋" w:eastAsia="仿宋" w:cs="仿宋"/>
                <w:szCs w:val="24"/>
                <w:lang w:val="en-US"/>
              </w:rPr>
              <w:t>序号</w:t>
            </w:r>
          </w:p>
        </w:tc>
        <w:tc>
          <w:tcPr>
            <w:tcW w:w="1482" w:type="dxa"/>
          </w:tcPr>
          <w:p w14:paraId="6B08E7B7">
            <w:pPr>
              <w:pStyle w:val="22"/>
              <w:jc w:val="center"/>
              <w:rPr>
                <w:rFonts w:ascii="仿宋" w:hAnsi="仿宋" w:eastAsia="仿宋" w:cs="仿宋"/>
                <w:szCs w:val="24"/>
                <w:lang w:val="en-US"/>
              </w:rPr>
            </w:pPr>
            <w:r>
              <w:rPr>
                <w:rFonts w:hint="eastAsia" w:ascii="仿宋" w:hAnsi="仿宋" w:eastAsia="仿宋" w:cs="仿宋"/>
                <w:szCs w:val="24"/>
                <w:lang w:val="en-US"/>
              </w:rPr>
              <w:t>评分项目</w:t>
            </w:r>
          </w:p>
        </w:tc>
        <w:tc>
          <w:tcPr>
            <w:tcW w:w="6094" w:type="dxa"/>
          </w:tcPr>
          <w:p w14:paraId="4FAE555C">
            <w:pPr>
              <w:pStyle w:val="22"/>
              <w:jc w:val="center"/>
              <w:rPr>
                <w:rFonts w:ascii="仿宋" w:hAnsi="仿宋" w:eastAsia="仿宋" w:cs="仿宋"/>
                <w:szCs w:val="24"/>
                <w:lang w:val="en-US"/>
              </w:rPr>
            </w:pPr>
            <w:r>
              <w:rPr>
                <w:rFonts w:hint="eastAsia" w:ascii="仿宋" w:hAnsi="仿宋" w:eastAsia="仿宋" w:cs="仿宋"/>
                <w:szCs w:val="24"/>
                <w:lang w:val="en-US"/>
              </w:rPr>
              <w:t>评分标准</w:t>
            </w:r>
          </w:p>
        </w:tc>
        <w:tc>
          <w:tcPr>
            <w:tcW w:w="1184" w:type="dxa"/>
          </w:tcPr>
          <w:p w14:paraId="6E0D95CB">
            <w:pPr>
              <w:pStyle w:val="22"/>
              <w:jc w:val="center"/>
              <w:rPr>
                <w:rFonts w:ascii="仿宋" w:hAnsi="仿宋" w:eastAsia="仿宋" w:cs="仿宋"/>
                <w:szCs w:val="24"/>
                <w:lang w:val="en-US"/>
              </w:rPr>
            </w:pPr>
            <w:r>
              <w:rPr>
                <w:rFonts w:hint="eastAsia" w:ascii="仿宋" w:hAnsi="仿宋" w:eastAsia="仿宋" w:cs="仿宋"/>
                <w:szCs w:val="24"/>
                <w:lang w:val="en-US"/>
              </w:rPr>
              <w:t>分数</w:t>
            </w:r>
          </w:p>
        </w:tc>
      </w:tr>
      <w:tr w14:paraId="4421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18" w:type="dxa"/>
            <w:vAlign w:val="center"/>
          </w:tcPr>
          <w:p w14:paraId="0270A6E6">
            <w:pPr>
              <w:pStyle w:val="22"/>
              <w:jc w:val="center"/>
              <w:rPr>
                <w:rFonts w:ascii="仿宋" w:hAnsi="仿宋" w:eastAsia="仿宋" w:cs="仿宋"/>
                <w:szCs w:val="24"/>
                <w:lang w:val="en-US"/>
              </w:rPr>
            </w:pPr>
            <w:r>
              <w:rPr>
                <w:rFonts w:hint="eastAsia" w:ascii="仿宋" w:hAnsi="仿宋" w:eastAsia="仿宋" w:cs="仿宋"/>
                <w:szCs w:val="24"/>
                <w:lang w:val="en-US"/>
              </w:rPr>
              <w:t>1</w:t>
            </w:r>
          </w:p>
        </w:tc>
        <w:tc>
          <w:tcPr>
            <w:tcW w:w="1482" w:type="dxa"/>
            <w:vAlign w:val="center"/>
          </w:tcPr>
          <w:p w14:paraId="36BF785B">
            <w:pPr>
              <w:pStyle w:val="22"/>
              <w:jc w:val="center"/>
              <w:rPr>
                <w:rFonts w:ascii="仿宋" w:hAnsi="仿宋" w:eastAsia="仿宋" w:cs="仿宋"/>
                <w:szCs w:val="24"/>
                <w:lang w:val="en-US"/>
              </w:rPr>
            </w:pPr>
            <w:r>
              <w:rPr>
                <w:rFonts w:hint="eastAsia" w:ascii="仿宋" w:hAnsi="仿宋" w:eastAsia="仿宋" w:cs="仿宋"/>
                <w:szCs w:val="24"/>
                <w:lang w:val="en-US"/>
              </w:rPr>
              <w:t>品牌荣誉</w:t>
            </w:r>
          </w:p>
        </w:tc>
        <w:tc>
          <w:tcPr>
            <w:tcW w:w="6094" w:type="dxa"/>
          </w:tcPr>
          <w:p w14:paraId="7F0ED680">
            <w:pPr>
              <w:pStyle w:val="22"/>
              <w:jc w:val="left"/>
              <w:rPr>
                <w:highlight w:val="yellow"/>
                <w:lang w:val="en-US"/>
              </w:rPr>
            </w:pPr>
            <w:r>
              <w:rPr>
                <w:rFonts w:hint="eastAsia" w:ascii="仿宋" w:hAnsi="仿宋" w:eastAsia="仿宋" w:cs="仿宋"/>
                <w:szCs w:val="24"/>
                <w:highlight w:val="yellow"/>
                <w:lang w:val="en-US"/>
              </w:rPr>
              <w:t>投标人（或其控股母公司）获得中指研究院颁发的2024年“房地产行业领导公司品牌”或2024年“2</w:t>
            </w:r>
            <w:r>
              <w:rPr>
                <w:rFonts w:ascii="仿宋" w:hAnsi="仿宋" w:eastAsia="仿宋" w:cs="仿宋"/>
                <w:szCs w:val="24"/>
                <w:highlight w:val="yellow"/>
                <w:lang w:val="en-US"/>
              </w:rPr>
              <w:t>024</w:t>
            </w:r>
            <w:r>
              <w:rPr>
                <w:rFonts w:hint="eastAsia" w:ascii="仿宋" w:hAnsi="仿宋" w:eastAsia="仿宋" w:cs="仿宋"/>
                <w:szCs w:val="24"/>
                <w:highlight w:val="yellow"/>
                <w:lang w:val="en-US"/>
              </w:rPr>
              <w:t>房地产政府代建领先品牌”或的得3分，其余不得分。</w:t>
            </w:r>
          </w:p>
          <w:p w14:paraId="4303DA24">
            <w:pPr>
              <w:pStyle w:val="22"/>
              <w:jc w:val="left"/>
              <w:rPr>
                <w:rFonts w:ascii="仿宋" w:hAnsi="仿宋" w:eastAsia="仿宋" w:cs="仿宋"/>
                <w:szCs w:val="24"/>
                <w:highlight w:val="yellow"/>
                <w:lang w:val="en-US"/>
              </w:rPr>
            </w:pPr>
            <w:r>
              <w:rPr>
                <w:rFonts w:hint="eastAsia" w:ascii="仿宋" w:hAnsi="仿宋" w:eastAsia="仿宋" w:cs="仿宋"/>
                <w:szCs w:val="24"/>
                <w:highlight w:val="yellow"/>
                <w:lang w:val="en-US"/>
              </w:rPr>
              <w:t>证明材料：荣誉文件或网页截图扫描件加盖公章。</w:t>
            </w:r>
          </w:p>
        </w:tc>
        <w:tc>
          <w:tcPr>
            <w:tcW w:w="1184" w:type="dxa"/>
            <w:vAlign w:val="center"/>
          </w:tcPr>
          <w:p w14:paraId="05D47F3B">
            <w:pPr>
              <w:pStyle w:val="22"/>
              <w:jc w:val="center"/>
              <w:rPr>
                <w:rFonts w:ascii="仿宋" w:hAnsi="仿宋" w:eastAsia="仿宋" w:cs="仿宋"/>
                <w:szCs w:val="24"/>
                <w:lang w:val="en-US"/>
              </w:rPr>
            </w:pPr>
            <w:r>
              <w:rPr>
                <w:rFonts w:hint="eastAsia" w:ascii="仿宋" w:hAnsi="仿宋" w:eastAsia="仿宋" w:cs="仿宋"/>
                <w:szCs w:val="24"/>
                <w:lang w:val="en-US"/>
              </w:rPr>
              <w:t>0-</w:t>
            </w:r>
            <w:r>
              <w:rPr>
                <w:rFonts w:ascii="仿宋" w:hAnsi="仿宋" w:eastAsia="仿宋" w:cs="仿宋"/>
                <w:szCs w:val="24"/>
                <w:lang w:val="en-US"/>
              </w:rPr>
              <w:t>3</w:t>
            </w:r>
            <w:r>
              <w:rPr>
                <w:rFonts w:hint="eastAsia" w:ascii="仿宋" w:hAnsi="仿宋" w:eastAsia="仿宋" w:cs="仿宋"/>
                <w:szCs w:val="24"/>
                <w:lang w:val="en-US"/>
              </w:rPr>
              <w:t>分</w:t>
            </w:r>
          </w:p>
        </w:tc>
      </w:tr>
      <w:tr w14:paraId="58F4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818" w:type="dxa"/>
            <w:vAlign w:val="center"/>
          </w:tcPr>
          <w:p w14:paraId="5DDCB580">
            <w:pPr>
              <w:pStyle w:val="22"/>
              <w:jc w:val="center"/>
              <w:rPr>
                <w:rFonts w:ascii="仿宋" w:hAnsi="仿宋" w:eastAsia="仿宋" w:cs="仿宋"/>
                <w:szCs w:val="24"/>
                <w:lang w:val="en-US"/>
              </w:rPr>
            </w:pPr>
            <w:r>
              <w:rPr>
                <w:rFonts w:hint="eastAsia" w:ascii="仿宋" w:hAnsi="仿宋" w:eastAsia="仿宋" w:cs="仿宋"/>
                <w:szCs w:val="24"/>
                <w:lang w:val="en-US"/>
              </w:rPr>
              <w:t>2</w:t>
            </w:r>
          </w:p>
        </w:tc>
        <w:tc>
          <w:tcPr>
            <w:tcW w:w="1482" w:type="dxa"/>
            <w:vMerge w:val="restart"/>
            <w:vAlign w:val="center"/>
          </w:tcPr>
          <w:p w14:paraId="772BDEEA">
            <w:pPr>
              <w:pStyle w:val="22"/>
              <w:jc w:val="center"/>
              <w:rPr>
                <w:rFonts w:ascii="仿宋" w:hAnsi="仿宋" w:eastAsia="仿宋" w:cs="仿宋"/>
                <w:szCs w:val="24"/>
                <w:lang w:val="en-US"/>
              </w:rPr>
            </w:pPr>
            <w:r>
              <w:rPr>
                <w:rFonts w:hint="eastAsia" w:ascii="仿宋" w:hAnsi="仿宋" w:eastAsia="仿宋" w:cs="仿宋"/>
                <w:szCs w:val="24"/>
                <w:lang w:val="en-US"/>
              </w:rPr>
              <w:t>企业实力</w:t>
            </w:r>
          </w:p>
        </w:tc>
        <w:tc>
          <w:tcPr>
            <w:tcW w:w="6094" w:type="dxa"/>
          </w:tcPr>
          <w:p w14:paraId="6913BB07">
            <w:pPr>
              <w:pStyle w:val="22"/>
              <w:jc w:val="left"/>
              <w:rPr>
                <w:rFonts w:ascii="仿宋" w:hAnsi="仿宋" w:eastAsia="仿宋" w:cs="仿宋"/>
                <w:szCs w:val="24"/>
                <w:highlight w:val="yellow"/>
                <w:lang w:val="en-US"/>
              </w:rPr>
            </w:pPr>
            <w:r>
              <w:rPr>
                <w:rFonts w:hint="eastAsia" w:ascii="仿宋" w:hAnsi="仿宋" w:eastAsia="仿宋" w:cs="仿宋"/>
                <w:szCs w:val="24"/>
                <w:highlight w:val="yellow"/>
                <w:lang w:val="en-US"/>
              </w:rPr>
              <w:t>投标人（或其控股母公司）获得中国房地产 TOP10 研究组颁发的2024年“中国房地产代建运营优秀企业”的得3分，其余不得分。</w:t>
            </w:r>
          </w:p>
          <w:p w14:paraId="34FAFDD8">
            <w:pPr>
              <w:pStyle w:val="22"/>
              <w:jc w:val="left"/>
              <w:rPr>
                <w:rFonts w:ascii="仿宋" w:hAnsi="仿宋" w:eastAsia="仿宋" w:cs="仿宋"/>
                <w:szCs w:val="24"/>
                <w:highlight w:val="yellow"/>
                <w:lang w:val="en-US"/>
              </w:rPr>
            </w:pPr>
            <w:r>
              <w:rPr>
                <w:rFonts w:hint="eastAsia" w:ascii="仿宋" w:hAnsi="仿宋" w:eastAsia="仿宋" w:cs="仿宋"/>
                <w:szCs w:val="24"/>
                <w:highlight w:val="yellow"/>
                <w:lang w:val="en-US"/>
              </w:rPr>
              <w:t>证明材料：荣誉文件或网页截图扫描件加盖公章。</w:t>
            </w:r>
          </w:p>
        </w:tc>
        <w:tc>
          <w:tcPr>
            <w:tcW w:w="1184" w:type="dxa"/>
            <w:vAlign w:val="center"/>
          </w:tcPr>
          <w:p w14:paraId="1BE91C71">
            <w:pPr>
              <w:pStyle w:val="22"/>
              <w:jc w:val="center"/>
              <w:rPr>
                <w:rFonts w:ascii="仿宋" w:hAnsi="仿宋" w:eastAsia="仿宋" w:cs="仿宋"/>
                <w:szCs w:val="24"/>
                <w:lang w:val="en-US"/>
              </w:rPr>
            </w:pPr>
            <w:r>
              <w:rPr>
                <w:rFonts w:hint="eastAsia" w:ascii="仿宋" w:hAnsi="仿宋" w:eastAsia="仿宋" w:cs="仿宋"/>
                <w:szCs w:val="24"/>
                <w:lang w:val="en-US"/>
              </w:rPr>
              <w:t>0-</w:t>
            </w:r>
            <w:r>
              <w:rPr>
                <w:rFonts w:ascii="仿宋" w:hAnsi="仿宋" w:eastAsia="仿宋" w:cs="仿宋"/>
                <w:szCs w:val="24"/>
                <w:lang w:val="en-US"/>
              </w:rPr>
              <w:t>3</w:t>
            </w:r>
            <w:r>
              <w:rPr>
                <w:rFonts w:hint="eastAsia" w:ascii="仿宋" w:hAnsi="仿宋" w:eastAsia="仿宋" w:cs="仿宋"/>
                <w:szCs w:val="24"/>
                <w:lang w:val="en-US"/>
              </w:rPr>
              <w:t>分</w:t>
            </w:r>
          </w:p>
        </w:tc>
      </w:tr>
      <w:tr w14:paraId="54DC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818" w:type="dxa"/>
            <w:vAlign w:val="center"/>
          </w:tcPr>
          <w:p w14:paraId="42872402">
            <w:pPr>
              <w:pStyle w:val="22"/>
              <w:jc w:val="center"/>
              <w:rPr>
                <w:rFonts w:ascii="仿宋" w:hAnsi="仿宋" w:eastAsia="仿宋" w:cs="仿宋"/>
                <w:szCs w:val="24"/>
                <w:lang w:val="en-US"/>
              </w:rPr>
            </w:pPr>
            <w:r>
              <w:rPr>
                <w:rFonts w:hint="eastAsia" w:ascii="仿宋" w:hAnsi="仿宋" w:eastAsia="仿宋" w:cs="仿宋"/>
                <w:szCs w:val="24"/>
                <w:lang w:val="en-US"/>
              </w:rPr>
              <w:t>3</w:t>
            </w:r>
          </w:p>
        </w:tc>
        <w:tc>
          <w:tcPr>
            <w:tcW w:w="1482" w:type="dxa"/>
            <w:vMerge w:val="continue"/>
            <w:vAlign w:val="center"/>
          </w:tcPr>
          <w:p w14:paraId="557D3CF6">
            <w:pPr>
              <w:pStyle w:val="22"/>
              <w:jc w:val="center"/>
              <w:rPr>
                <w:rFonts w:ascii="仿宋" w:hAnsi="仿宋" w:eastAsia="仿宋" w:cs="仿宋"/>
                <w:szCs w:val="24"/>
                <w:lang w:val="en-US"/>
              </w:rPr>
            </w:pPr>
          </w:p>
        </w:tc>
        <w:tc>
          <w:tcPr>
            <w:tcW w:w="6094" w:type="dxa"/>
          </w:tcPr>
          <w:p w14:paraId="2AAB949C">
            <w:pPr>
              <w:pStyle w:val="22"/>
              <w:jc w:val="left"/>
              <w:rPr>
                <w:rFonts w:ascii="仿宋" w:hAnsi="仿宋" w:eastAsia="仿宋" w:cs="仿宋"/>
                <w:szCs w:val="24"/>
                <w:highlight w:val="yellow"/>
                <w:lang w:val="en-US"/>
              </w:rPr>
            </w:pPr>
            <w:r>
              <w:rPr>
                <w:rFonts w:hint="eastAsia" w:ascii="仿宋" w:hAnsi="仿宋" w:eastAsia="仿宋" w:cs="仿宋"/>
                <w:szCs w:val="24"/>
                <w:highlight w:val="yellow"/>
                <w:lang w:val="en-US"/>
              </w:rPr>
              <w:t>投标人（或其控股母公司）获得克而瑞研究中心发布的2024年1</w:t>
            </w:r>
            <w:r>
              <w:rPr>
                <w:rFonts w:ascii="仿宋" w:hAnsi="仿宋" w:eastAsia="仿宋" w:cs="仿宋"/>
                <w:szCs w:val="24"/>
                <w:highlight w:val="yellow"/>
                <w:lang w:val="en-US"/>
              </w:rPr>
              <w:t>-12</w:t>
            </w:r>
            <w:r>
              <w:rPr>
                <w:rFonts w:hint="eastAsia" w:ascii="仿宋" w:hAnsi="仿宋" w:eastAsia="仿宋" w:cs="仿宋"/>
                <w:szCs w:val="24"/>
                <w:highlight w:val="yellow"/>
                <w:lang w:val="en-US"/>
              </w:rPr>
              <w:t>月“中国房地产企业代建新增规模TOP</w:t>
            </w:r>
            <w:r>
              <w:rPr>
                <w:rFonts w:ascii="仿宋" w:hAnsi="仿宋" w:eastAsia="仿宋" w:cs="仿宋"/>
                <w:szCs w:val="24"/>
                <w:highlight w:val="yellow"/>
                <w:lang w:val="en-US"/>
              </w:rPr>
              <w:t>30</w:t>
            </w:r>
            <w:r>
              <w:rPr>
                <w:rFonts w:hint="eastAsia" w:ascii="仿宋" w:hAnsi="仿宋" w:eastAsia="仿宋" w:cs="仿宋"/>
                <w:szCs w:val="24"/>
                <w:highlight w:val="yellow"/>
                <w:lang w:val="en-US"/>
              </w:rPr>
              <w:t>”的，排名1-</w:t>
            </w:r>
            <w:r>
              <w:rPr>
                <w:rFonts w:ascii="仿宋" w:hAnsi="仿宋" w:eastAsia="仿宋" w:cs="仿宋"/>
                <w:szCs w:val="24"/>
                <w:highlight w:val="yellow"/>
                <w:lang w:val="en-US"/>
              </w:rPr>
              <w:t>5</w:t>
            </w:r>
            <w:r>
              <w:rPr>
                <w:rFonts w:hint="eastAsia" w:ascii="仿宋" w:hAnsi="仿宋" w:eastAsia="仿宋" w:cs="仿宋"/>
                <w:szCs w:val="24"/>
                <w:highlight w:val="yellow"/>
                <w:lang w:val="en-US"/>
              </w:rPr>
              <w:t>名得</w:t>
            </w:r>
            <w:r>
              <w:rPr>
                <w:rFonts w:ascii="仿宋" w:hAnsi="仿宋" w:eastAsia="仿宋" w:cs="仿宋"/>
                <w:szCs w:val="24"/>
                <w:highlight w:val="yellow"/>
                <w:lang w:val="en-US"/>
              </w:rPr>
              <w:t>3</w:t>
            </w:r>
            <w:r>
              <w:rPr>
                <w:rFonts w:hint="eastAsia" w:ascii="仿宋" w:hAnsi="仿宋" w:eastAsia="仿宋" w:cs="仿宋"/>
                <w:szCs w:val="24"/>
                <w:highlight w:val="yellow"/>
                <w:lang w:val="en-US"/>
              </w:rPr>
              <w:t>分，排名</w:t>
            </w:r>
            <w:r>
              <w:rPr>
                <w:rFonts w:ascii="仿宋" w:hAnsi="仿宋" w:eastAsia="仿宋" w:cs="仿宋"/>
                <w:szCs w:val="24"/>
                <w:highlight w:val="yellow"/>
                <w:lang w:val="en-US"/>
              </w:rPr>
              <w:t>6</w:t>
            </w:r>
            <w:r>
              <w:rPr>
                <w:rFonts w:hint="eastAsia" w:ascii="仿宋" w:hAnsi="仿宋" w:eastAsia="仿宋" w:cs="仿宋"/>
                <w:szCs w:val="24"/>
                <w:highlight w:val="yellow"/>
                <w:lang w:val="en-US"/>
              </w:rPr>
              <w:t>-</w:t>
            </w:r>
            <w:r>
              <w:rPr>
                <w:rFonts w:ascii="仿宋" w:hAnsi="仿宋" w:eastAsia="仿宋" w:cs="仿宋"/>
                <w:szCs w:val="24"/>
                <w:highlight w:val="yellow"/>
                <w:lang w:val="en-US"/>
              </w:rPr>
              <w:t>10</w:t>
            </w:r>
            <w:r>
              <w:rPr>
                <w:rFonts w:hint="eastAsia" w:ascii="仿宋" w:hAnsi="仿宋" w:eastAsia="仿宋" w:cs="仿宋"/>
                <w:szCs w:val="24"/>
                <w:highlight w:val="yellow"/>
                <w:lang w:val="en-US"/>
              </w:rPr>
              <w:t>得</w:t>
            </w:r>
            <w:r>
              <w:rPr>
                <w:rFonts w:ascii="仿宋" w:hAnsi="仿宋" w:eastAsia="仿宋" w:cs="仿宋"/>
                <w:szCs w:val="24"/>
                <w:highlight w:val="yellow"/>
                <w:lang w:val="en-US"/>
              </w:rPr>
              <w:t>2</w:t>
            </w:r>
            <w:r>
              <w:rPr>
                <w:rFonts w:hint="eastAsia" w:ascii="仿宋" w:hAnsi="仿宋" w:eastAsia="仿宋" w:cs="仿宋"/>
                <w:szCs w:val="24"/>
                <w:highlight w:val="yellow"/>
                <w:lang w:val="en-US"/>
              </w:rPr>
              <w:t>分，排名</w:t>
            </w:r>
            <w:r>
              <w:rPr>
                <w:rFonts w:ascii="仿宋" w:hAnsi="仿宋" w:eastAsia="仿宋" w:cs="仿宋"/>
                <w:szCs w:val="24"/>
                <w:highlight w:val="yellow"/>
                <w:lang w:val="en-US"/>
              </w:rPr>
              <w:t>1</w:t>
            </w:r>
            <w:r>
              <w:rPr>
                <w:rFonts w:hint="eastAsia" w:ascii="仿宋" w:hAnsi="仿宋" w:eastAsia="仿宋" w:cs="仿宋"/>
                <w:szCs w:val="24"/>
                <w:highlight w:val="yellow"/>
                <w:lang w:val="en-US"/>
              </w:rPr>
              <w:t>1-</w:t>
            </w:r>
            <w:r>
              <w:rPr>
                <w:rFonts w:ascii="仿宋" w:hAnsi="仿宋" w:eastAsia="仿宋" w:cs="仿宋"/>
                <w:szCs w:val="24"/>
                <w:highlight w:val="yellow"/>
                <w:lang w:val="en-US"/>
              </w:rPr>
              <w:t>2</w:t>
            </w:r>
            <w:r>
              <w:rPr>
                <w:rFonts w:hint="eastAsia" w:ascii="仿宋" w:hAnsi="仿宋" w:eastAsia="仿宋" w:cs="仿宋"/>
                <w:szCs w:val="24"/>
                <w:highlight w:val="yellow"/>
                <w:lang w:val="en-US"/>
              </w:rPr>
              <w:t>0得1分，其余不得分。</w:t>
            </w:r>
          </w:p>
          <w:p w14:paraId="3960D239">
            <w:pPr>
              <w:pStyle w:val="22"/>
              <w:jc w:val="left"/>
              <w:rPr>
                <w:rFonts w:ascii="仿宋" w:hAnsi="仿宋" w:eastAsia="仿宋" w:cs="仿宋"/>
                <w:szCs w:val="24"/>
                <w:highlight w:val="yellow"/>
                <w:lang w:val="en-US"/>
              </w:rPr>
            </w:pPr>
            <w:r>
              <w:rPr>
                <w:rFonts w:hint="eastAsia" w:ascii="仿宋" w:hAnsi="仿宋" w:eastAsia="仿宋" w:cs="仿宋"/>
                <w:szCs w:val="24"/>
                <w:highlight w:val="yellow"/>
                <w:lang w:val="en-US"/>
              </w:rPr>
              <w:t>证明材料：荣誉文件或网页截图扫描件加盖公章。</w:t>
            </w:r>
          </w:p>
        </w:tc>
        <w:tc>
          <w:tcPr>
            <w:tcW w:w="1184" w:type="dxa"/>
            <w:vAlign w:val="center"/>
          </w:tcPr>
          <w:p w14:paraId="526DAEEB">
            <w:pPr>
              <w:pStyle w:val="22"/>
              <w:jc w:val="center"/>
              <w:rPr>
                <w:rFonts w:ascii="仿宋" w:hAnsi="仿宋" w:eastAsia="仿宋" w:cs="仿宋"/>
                <w:szCs w:val="24"/>
                <w:lang w:val="en-US"/>
              </w:rPr>
            </w:pPr>
            <w:r>
              <w:rPr>
                <w:rFonts w:hint="eastAsia" w:ascii="仿宋" w:hAnsi="仿宋" w:eastAsia="仿宋" w:cs="仿宋"/>
                <w:szCs w:val="24"/>
                <w:lang w:val="en-US"/>
              </w:rPr>
              <w:t>0-</w:t>
            </w:r>
            <w:r>
              <w:rPr>
                <w:rFonts w:ascii="仿宋" w:hAnsi="仿宋" w:eastAsia="仿宋" w:cs="仿宋"/>
                <w:szCs w:val="24"/>
                <w:lang w:val="en-US"/>
              </w:rPr>
              <w:t>3</w:t>
            </w:r>
            <w:r>
              <w:rPr>
                <w:rFonts w:hint="eastAsia" w:ascii="仿宋" w:hAnsi="仿宋" w:eastAsia="仿宋" w:cs="仿宋"/>
                <w:szCs w:val="24"/>
                <w:lang w:val="en-US"/>
              </w:rPr>
              <w:t>分</w:t>
            </w:r>
          </w:p>
        </w:tc>
      </w:tr>
      <w:tr w14:paraId="31B5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18" w:type="dxa"/>
            <w:vAlign w:val="center"/>
          </w:tcPr>
          <w:p w14:paraId="25A40640">
            <w:pPr>
              <w:pStyle w:val="22"/>
              <w:jc w:val="center"/>
              <w:rPr>
                <w:rFonts w:ascii="仿宋" w:hAnsi="仿宋" w:eastAsia="仿宋" w:cs="仿宋"/>
                <w:szCs w:val="24"/>
                <w:lang w:val="en-US"/>
              </w:rPr>
            </w:pPr>
            <w:r>
              <w:rPr>
                <w:rFonts w:hint="eastAsia" w:ascii="仿宋" w:hAnsi="仿宋" w:eastAsia="仿宋" w:cs="仿宋"/>
                <w:szCs w:val="24"/>
                <w:lang w:val="en-US"/>
              </w:rPr>
              <w:t>4</w:t>
            </w:r>
          </w:p>
        </w:tc>
        <w:tc>
          <w:tcPr>
            <w:tcW w:w="1482" w:type="dxa"/>
            <w:vAlign w:val="center"/>
          </w:tcPr>
          <w:p w14:paraId="2090955A">
            <w:pPr>
              <w:pStyle w:val="22"/>
              <w:jc w:val="center"/>
              <w:rPr>
                <w:rFonts w:ascii="仿宋" w:hAnsi="仿宋" w:eastAsia="仿宋" w:cs="仿宋"/>
                <w:szCs w:val="24"/>
                <w:lang w:val="en-US"/>
              </w:rPr>
            </w:pPr>
            <w:r>
              <w:rPr>
                <w:rFonts w:hint="eastAsia" w:ascii="仿宋" w:hAnsi="仿宋" w:eastAsia="仿宋" w:cs="仿宋"/>
                <w:szCs w:val="24"/>
                <w:lang w:val="en-US"/>
              </w:rPr>
              <w:t>类似业绩</w:t>
            </w:r>
          </w:p>
        </w:tc>
        <w:tc>
          <w:tcPr>
            <w:tcW w:w="6094" w:type="dxa"/>
          </w:tcPr>
          <w:p w14:paraId="65BE57D6">
            <w:pPr>
              <w:pStyle w:val="22"/>
              <w:jc w:val="left"/>
              <w:rPr>
                <w:rFonts w:ascii="仿宋" w:hAnsi="仿宋" w:eastAsia="仿宋" w:cs="仿宋"/>
                <w:szCs w:val="24"/>
                <w:lang w:val="en-US"/>
              </w:rPr>
            </w:pPr>
            <w:r>
              <w:rPr>
                <w:rFonts w:hint="eastAsia" w:ascii="仿宋" w:hAnsi="仿宋" w:eastAsia="仿宋" w:cs="仿宋"/>
                <w:szCs w:val="24"/>
                <w:lang w:val="en-US"/>
              </w:rPr>
              <w:t>自开标之日起上推5年内，具有单个合同总建筑面积不小于6万㎡的房屋建筑工程项目全过程代建代销管理业绩的，每提供一个得1.5分，满分3分。</w:t>
            </w:r>
          </w:p>
          <w:p w14:paraId="523CAB25">
            <w:pPr>
              <w:pStyle w:val="22"/>
              <w:jc w:val="left"/>
              <w:rPr>
                <w:rFonts w:ascii="仿宋" w:hAnsi="仿宋" w:eastAsia="仿宋" w:cs="仿宋"/>
                <w:szCs w:val="24"/>
                <w:lang w:val="en-US"/>
              </w:rPr>
            </w:pPr>
            <w:r>
              <w:rPr>
                <w:rFonts w:hint="eastAsia" w:ascii="仿宋" w:hAnsi="仿宋" w:eastAsia="仿宋" w:cs="仿宋"/>
                <w:szCs w:val="24"/>
                <w:lang w:val="en-US"/>
              </w:rPr>
              <w:t>业绩内容必须包含项目设计管理、工程管理、营销管理等内容，缺少其中任一项不予认可。</w:t>
            </w:r>
          </w:p>
          <w:p w14:paraId="7C7E94B0">
            <w:pPr>
              <w:pStyle w:val="22"/>
              <w:jc w:val="left"/>
              <w:rPr>
                <w:rFonts w:ascii="仿宋" w:hAnsi="仿宋" w:eastAsia="仿宋" w:cs="仿宋"/>
                <w:szCs w:val="24"/>
                <w:lang w:val="en-US"/>
              </w:rPr>
            </w:pPr>
            <w:r>
              <w:rPr>
                <w:rFonts w:hint="eastAsia" w:ascii="仿宋" w:hAnsi="仿宋" w:eastAsia="仿宋" w:cs="仿宋"/>
                <w:szCs w:val="24"/>
                <w:lang w:val="en-US"/>
              </w:rPr>
              <w:t>业绩证明材料：提供中标通知书或委托合同等有效资料。</w:t>
            </w:r>
          </w:p>
          <w:p w14:paraId="1F1B1382">
            <w:pPr>
              <w:pStyle w:val="22"/>
              <w:jc w:val="left"/>
              <w:rPr>
                <w:rFonts w:ascii="仿宋" w:hAnsi="仿宋" w:eastAsia="仿宋" w:cs="仿宋"/>
                <w:szCs w:val="24"/>
                <w:lang w:val="en-US"/>
              </w:rPr>
            </w:pPr>
            <w:r>
              <w:rPr>
                <w:rFonts w:hint="eastAsia" w:ascii="仿宋" w:hAnsi="仿宋" w:eastAsia="仿宋" w:cs="仿宋"/>
                <w:szCs w:val="24"/>
                <w:lang w:val="en-US"/>
              </w:rPr>
              <w:t>注：1.中标通知书必须体现在项目所在地主管部门或业主组织招标的项目，否则视为无效证明。</w:t>
            </w:r>
          </w:p>
          <w:p w14:paraId="6CC82788">
            <w:pPr>
              <w:pStyle w:val="22"/>
              <w:jc w:val="left"/>
              <w:rPr>
                <w:rFonts w:ascii="仿宋" w:hAnsi="仿宋" w:eastAsia="仿宋" w:cs="仿宋"/>
                <w:szCs w:val="24"/>
                <w:lang w:val="en-US"/>
              </w:rPr>
            </w:pPr>
            <w:r>
              <w:rPr>
                <w:rFonts w:hint="eastAsia" w:ascii="仿宋" w:hAnsi="仿宋" w:eastAsia="仿宋" w:cs="仿宋"/>
                <w:szCs w:val="24"/>
                <w:lang w:val="en-US"/>
              </w:rPr>
              <w:t>2.上涉及到的证明资料信息应完整或能充分反映评审因素（如建筑面积、建筑类型等），如上述证明资料不能反映评审因素，须提供发包人（或合同甲方）出具的证明。</w:t>
            </w:r>
          </w:p>
        </w:tc>
        <w:tc>
          <w:tcPr>
            <w:tcW w:w="1184" w:type="dxa"/>
            <w:vAlign w:val="center"/>
          </w:tcPr>
          <w:p w14:paraId="55A18D48">
            <w:pPr>
              <w:pStyle w:val="22"/>
              <w:jc w:val="center"/>
              <w:rPr>
                <w:rFonts w:ascii="仿宋" w:hAnsi="仿宋" w:eastAsia="仿宋" w:cs="仿宋"/>
                <w:szCs w:val="24"/>
                <w:lang w:val="en-US"/>
              </w:rPr>
            </w:pPr>
            <w:r>
              <w:rPr>
                <w:rFonts w:hint="eastAsia" w:ascii="仿宋" w:hAnsi="仿宋" w:eastAsia="仿宋" w:cs="仿宋"/>
                <w:szCs w:val="24"/>
                <w:lang w:val="en-US"/>
              </w:rPr>
              <w:t>0-3分</w:t>
            </w:r>
          </w:p>
        </w:tc>
      </w:tr>
    </w:tbl>
    <w:p w14:paraId="2B58D860">
      <w:pPr>
        <w:widowControl/>
        <w:jc w:val="left"/>
        <w:rPr>
          <w:rFonts w:ascii="仿宋" w:hAnsi="仿宋" w:eastAsia="仿宋" w:cs="仿宋"/>
          <w:color w:val="000000"/>
          <w:kern w:val="0"/>
          <w:sz w:val="22"/>
        </w:rPr>
      </w:pPr>
      <w:r>
        <w:rPr>
          <w:rFonts w:hint="eastAsia" w:ascii="仿宋" w:hAnsi="仿宋" w:eastAsia="仿宋" w:cs="仿宋"/>
          <w:color w:val="000000"/>
          <w:kern w:val="0"/>
          <w:sz w:val="22"/>
        </w:rPr>
        <w:t>注：</w:t>
      </w:r>
    </w:p>
    <w:p w14:paraId="0A71AC7A">
      <w:pPr>
        <w:widowControl/>
        <w:jc w:val="left"/>
        <w:rPr>
          <w:rFonts w:ascii="仿宋" w:hAnsi="仿宋" w:eastAsia="仿宋" w:cs="仿宋"/>
          <w:color w:val="000000"/>
          <w:kern w:val="0"/>
          <w:sz w:val="22"/>
        </w:rPr>
      </w:pPr>
      <w:r>
        <w:rPr>
          <w:rFonts w:hint="eastAsia" w:ascii="仿宋" w:hAnsi="仿宋" w:eastAsia="仿宋" w:cs="仿宋"/>
          <w:color w:val="000000"/>
          <w:kern w:val="0"/>
          <w:sz w:val="22"/>
        </w:rPr>
        <w:t>1、投标人（或其控股母公司）是指投标人、投标人的控股母公司的所有表彰荣誉都可以计入，投标人与其计入相应表彰荣誉的控股母公司之间的关联关系可以是多层次的，但每层次关系均须符合上一级公司对下一级公司的股权比例超过50%，投标人应出具天眼查、企查查等网站查询的《股权穿透图》截图并加盖投标人公章以证明其与控股母公司的关系。</w:t>
      </w:r>
    </w:p>
    <w:p w14:paraId="45F27061">
      <w:pPr>
        <w:widowControl/>
        <w:jc w:val="left"/>
        <w:rPr>
          <w:rFonts w:ascii="仿宋" w:hAnsi="仿宋" w:eastAsia="仿宋" w:cs="仿宋"/>
          <w:color w:val="000000"/>
          <w:kern w:val="0"/>
          <w:sz w:val="22"/>
        </w:rPr>
      </w:pPr>
      <w:r>
        <w:rPr>
          <w:rFonts w:hint="eastAsia" w:ascii="仿宋" w:hAnsi="仿宋" w:eastAsia="仿宋" w:cs="仿宋"/>
          <w:color w:val="000000"/>
          <w:kern w:val="0"/>
          <w:sz w:val="22"/>
        </w:rPr>
        <w:t>2、技术标总页数需控制在300页以内。</w:t>
      </w:r>
    </w:p>
    <w:p w14:paraId="00CE0B97">
      <w:pPr>
        <w:widowControl/>
        <w:jc w:val="left"/>
        <w:rPr>
          <w:rFonts w:ascii="仿宋" w:hAnsi="仿宋" w:eastAsia="仿宋" w:cs="仿宋"/>
          <w:color w:val="000000"/>
          <w:kern w:val="0"/>
          <w:sz w:val="28"/>
          <w:szCs w:val="28"/>
        </w:rPr>
      </w:pPr>
    </w:p>
    <w:p w14:paraId="7B9F44DE">
      <w:pPr>
        <w:spacing w:line="360" w:lineRule="auto"/>
        <w:rPr>
          <w:rFonts w:ascii="仿宋" w:hAnsi="仿宋" w:eastAsia="仿宋" w:cs="仿宋"/>
          <w:b/>
          <w:sz w:val="28"/>
          <w:szCs w:val="28"/>
        </w:rPr>
      </w:pPr>
    </w:p>
    <w:p w14:paraId="2821EE83">
      <w:pPr>
        <w:spacing w:line="360" w:lineRule="auto"/>
        <w:rPr>
          <w:rFonts w:ascii="仿宋" w:hAnsi="仿宋" w:eastAsia="仿宋" w:cs="仿宋"/>
          <w:b/>
          <w:sz w:val="28"/>
          <w:szCs w:val="28"/>
        </w:rPr>
      </w:pPr>
    </w:p>
    <w:p w14:paraId="38C7F254">
      <w:pPr>
        <w:spacing w:line="360" w:lineRule="auto"/>
        <w:rPr>
          <w:rFonts w:ascii="仿宋" w:hAnsi="仿宋" w:eastAsia="仿宋" w:cs="仿宋"/>
          <w:b/>
          <w:sz w:val="28"/>
          <w:szCs w:val="28"/>
        </w:rPr>
      </w:pPr>
    </w:p>
    <w:p w14:paraId="69A85914">
      <w:pPr>
        <w:spacing w:line="360" w:lineRule="auto"/>
        <w:rPr>
          <w:rFonts w:ascii="仿宋" w:hAnsi="仿宋" w:eastAsia="仿宋" w:cs="仿宋"/>
          <w:b/>
          <w:sz w:val="28"/>
          <w:szCs w:val="28"/>
        </w:rPr>
      </w:pPr>
    </w:p>
    <w:p w14:paraId="7A6E48ED">
      <w:pPr>
        <w:spacing w:line="360" w:lineRule="auto"/>
        <w:rPr>
          <w:rFonts w:ascii="仿宋" w:hAnsi="仿宋" w:eastAsia="仿宋" w:cs="仿宋"/>
          <w:b/>
          <w:sz w:val="28"/>
          <w:szCs w:val="28"/>
        </w:rPr>
      </w:pPr>
      <w:r>
        <w:rPr>
          <w:rFonts w:hint="eastAsia" w:ascii="仿宋" w:hAnsi="仿宋" w:eastAsia="仿宋" w:cs="仿宋"/>
          <w:b/>
          <w:sz w:val="28"/>
          <w:szCs w:val="28"/>
        </w:rPr>
        <w:t>（二）技术标（58分）</w:t>
      </w:r>
    </w:p>
    <w:tbl>
      <w:tblPr>
        <w:tblStyle w:val="640"/>
        <w:tblpPr w:leftFromText="180" w:rightFromText="180" w:vertAnchor="text" w:horzAnchor="page" w:tblpX="1430" w:tblpY="126"/>
        <w:tblOverlap w:val="never"/>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973"/>
        <w:gridCol w:w="578"/>
        <w:gridCol w:w="6959"/>
      </w:tblGrid>
      <w:tr w14:paraId="478D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7" w:hRule="atLeast"/>
        </w:trPr>
        <w:tc>
          <w:tcPr>
            <w:tcW w:w="1068" w:type="dxa"/>
            <w:vMerge w:val="restart"/>
            <w:vAlign w:val="center"/>
          </w:tcPr>
          <w:p w14:paraId="73F0A52E">
            <w:pPr>
              <w:pStyle w:val="22"/>
              <w:rPr>
                <w:rFonts w:ascii="仿宋" w:hAnsi="仿宋" w:eastAsia="仿宋" w:cs="仿宋"/>
                <w:szCs w:val="24"/>
                <w:lang w:val="en-US"/>
              </w:rPr>
            </w:pPr>
            <w:r>
              <w:rPr>
                <w:rFonts w:hint="eastAsia" w:ascii="仿宋" w:hAnsi="仿宋" w:eastAsia="仿宋" w:cs="仿宋"/>
                <w:szCs w:val="24"/>
                <w:lang w:val="en-US"/>
              </w:rPr>
              <w:t>技术</w:t>
            </w:r>
          </w:p>
          <w:p w14:paraId="71FDC3EE">
            <w:pPr>
              <w:pStyle w:val="22"/>
              <w:rPr>
                <w:rFonts w:ascii="仿宋" w:hAnsi="仿宋" w:eastAsia="仿宋" w:cs="仿宋"/>
                <w:szCs w:val="24"/>
                <w:lang w:val="en-US"/>
              </w:rPr>
            </w:pPr>
            <w:r>
              <w:rPr>
                <w:rFonts w:hint="eastAsia" w:ascii="仿宋" w:hAnsi="仿宋" w:eastAsia="仿宋" w:cs="仿宋"/>
                <w:szCs w:val="24"/>
                <w:lang w:val="en-US"/>
              </w:rPr>
              <w:t>（58分）</w:t>
            </w:r>
          </w:p>
        </w:tc>
        <w:tc>
          <w:tcPr>
            <w:tcW w:w="973" w:type="dxa"/>
            <w:vAlign w:val="center"/>
          </w:tcPr>
          <w:p w14:paraId="2F5262CB">
            <w:pPr>
              <w:pStyle w:val="22"/>
              <w:rPr>
                <w:rFonts w:ascii="仿宋" w:hAnsi="仿宋" w:eastAsia="仿宋" w:cs="仿宋"/>
                <w:szCs w:val="24"/>
                <w:lang w:val="en-US"/>
              </w:rPr>
            </w:pPr>
            <w:r>
              <w:rPr>
                <w:rFonts w:hint="eastAsia" w:ascii="仿宋" w:hAnsi="仿宋" w:eastAsia="仿宋" w:cs="仿宋"/>
                <w:szCs w:val="24"/>
                <w:lang w:val="en-US"/>
              </w:rPr>
              <w:t>项目管理咨询、销售管理总体思路</w:t>
            </w:r>
          </w:p>
        </w:tc>
        <w:tc>
          <w:tcPr>
            <w:tcW w:w="578" w:type="dxa"/>
            <w:vAlign w:val="center"/>
          </w:tcPr>
          <w:p w14:paraId="06A4DDCA">
            <w:pPr>
              <w:pStyle w:val="22"/>
              <w:rPr>
                <w:rFonts w:ascii="仿宋" w:hAnsi="仿宋" w:eastAsia="仿宋" w:cs="仿宋"/>
                <w:szCs w:val="24"/>
                <w:lang w:val="en-US"/>
              </w:rPr>
            </w:pPr>
            <w:r>
              <w:rPr>
                <w:rFonts w:hint="eastAsia" w:ascii="仿宋" w:hAnsi="仿宋" w:eastAsia="仿宋" w:cs="仿宋"/>
                <w:szCs w:val="24"/>
                <w:lang w:val="en-US"/>
              </w:rPr>
              <w:t>0-6</w:t>
            </w:r>
          </w:p>
        </w:tc>
        <w:tc>
          <w:tcPr>
            <w:tcW w:w="6959" w:type="dxa"/>
            <w:vAlign w:val="center"/>
          </w:tcPr>
          <w:p w14:paraId="7DDD5244">
            <w:pPr>
              <w:pStyle w:val="22"/>
              <w:rPr>
                <w:rFonts w:ascii="仿宋" w:hAnsi="仿宋" w:eastAsia="仿宋" w:cs="仿宋"/>
                <w:szCs w:val="24"/>
                <w:lang w:val="en-US"/>
              </w:rPr>
            </w:pPr>
            <w:r>
              <w:rPr>
                <w:rFonts w:hint="eastAsia" w:ascii="仿宋" w:hAnsi="仿宋" w:eastAsia="仿宋" w:cs="仿宋"/>
                <w:szCs w:val="24"/>
                <w:lang w:val="en-US"/>
              </w:rPr>
              <w:t>本项目工程概况、项目服务范围、管理依据、项目管理目标、项目服务工作思路、项目现状及管理中难点特点的分析。</w:t>
            </w:r>
          </w:p>
          <w:p w14:paraId="2EA9EA46">
            <w:pPr>
              <w:pStyle w:val="22"/>
              <w:rPr>
                <w:rFonts w:ascii="仿宋" w:hAnsi="仿宋" w:eastAsia="仿宋" w:cs="仿宋"/>
                <w:szCs w:val="24"/>
                <w:lang w:val="en-US"/>
              </w:rPr>
            </w:pPr>
            <w:r>
              <w:rPr>
                <w:rFonts w:hint="eastAsia" w:ascii="仿宋" w:hAnsi="仿宋" w:eastAsia="仿宋" w:cs="仿宋"/>
                <w:szCs w:val="24"/>
                <w:lang w:val="en-US"/>
              </w:rPr>
              <w:t>满足采购需求的得6分;较满足的得4分;基本满足采购需求、基本合理的得2分;不满足的得0分。</w:t>
            </w:r>
          </w:p>
        </w:tc>
      </w:tr>
      <w:tr w14:paraId="21CF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8" w:hRule="atLeast"/>
        </w:trPr>
        <w:tc>
          <w:tcPr>
            <w:tcW w:w="1068" w:type="dxa"/>
            <w:vMerge w:val="continue"/>
            <w:vAlign w:val="center"/>
          </w:tcPr>
          <w:p w14:paraId="1192E12D">
            <w:pPr>
              <w:pStyle w:val="22"/>
              <w:rPr>
                <w:rFonts w:ascii="仿宋" w:hAnsi="仿宋" w:eastAsia="仿宋" w:cs="仿宋"/>
                <w:szCs w:val="24"/>
                <w:lang w:val="en-US"/>
              </w:rPr>
            </w:pPr>
          </w:p>
        </w:tc>
        <w:tc>
          <w:tcPr>
            <w:tcW w:w="973" w:type="dxa"/>
            <w:vAlign w:val="center"/>
          </w:tcPr>
          <w:p w14:paraId="4AD53F02">
            <w:pPr>
              <w:pStyle w:val="22"/>
              <w:rPr>
                <w:rFonts w:ascii="仿宋" w:hAnsi="仿宋" w:eastAsia="仿宋" w:cs="仿宋"/>
                <w:szCs w:val="24"/>
                <w:lang w:val="en-US"/>
              </w:rPr>
            </w:pPr>
            <w:r>
              <w:rPr>
                <w:rFonts w:hint="eastAsia" w:ascii="仿宋" w:hAnsi="仿宋" w:eastAsia="仿宋" w:cs="仿宋"/>
                <w:szCs w:val="24"/>
                <w:lang w:val="en-US"/>
              </w:rPr>
              <w:t>市场定位及产品分析</w:t>
            </w:r>
          </w:p>
        </w:tc>
        <w:tc>
          <w:tcPr>
            <w:tcW w:w="578" w:type="dxa"/>
            <w:vAlign w:val="center"/>
          </w:tcPr>
          <w:p w14:paraId="71DF0A63">
            <w:pPr>
              <w:pStyle w:val="22"/>
              <w:rPr>
                <w:rFonts w:ascii="仿宋" w:hAnsi="仿宋" w:eastAsia="仿宋" w:cs="仿宋"/>
                <w:szCs w:val="24"/>
                <w:lang w:val="en-US"/>
              </w:rPr>
            </w:pPr>
            <w:r>
              <w:rPr>
                <w:rFonts w:hint="eastAsia" w:ascii="仿宋" w:hAnsi="仿宋" w:eastAsia="仿宋" w:cs="仿宋"/>
                <w:szCs w:val="24"/>
                <w:lang w:val="en-US"/>
              </w:rPr>
              <w:t>0-15</w:t>
            </w:r>
          </w:p>
        </w:tc>
        <w:tc>
          <w:tcPr>
            <w:tcW w:w="6959" w:type="dxa"/>
            <w:vAlign w:val="center"/>
          </w:tcPr>
          <w:p w14:paraId="149E6FEE">
            <w:pPr>
              <w:pStyle w:val="22"/>
              <w:rPr>
                <w:rFonts w:ascii="仿宋" w:hAnsi="仿宋" w:eastAsia="仿宋" w:cs="仿宋"/>
                <w:szCs w:val="24"/>
                <w:lang w:val="en-US"/>
              </w:rPr>
            </w:pPr>
            <w:r>
              <w:rPr>
                <w:rFonts w:hint="eastAsia" w:ascii="仿宋" w:hAnsi="仿宋" w:eastAsia="仿宋" w:cs="仿宋"/>
                <w:szCs w:val="24"/>
                <w:lang w:val="en-US"/>
              </w:rPr>
              <w:t>市场定位及产品分析至少应包括：（1）项目市场及客户的综合评定，市场定位及目标消费群体购买心理及行为分析；（2）结合项目市场定位及目标客户特征，对市场竞争及客户需求做进一步分析，对项目产品形态提出指导性意见；（3）输出项目整体定位及户型配比、客户定位。满足采购需求的得8-10分;较满足的得6-8分;基本满足采购需求、基本合理的得1-5分;不满足的得0分。</w:t>
            </w:r>
          </w:p>
          <w:p w14:paraId="1D38A999">
            <w:pPr>
              <w:pStyle w:val="22"/>
              <w:rPr>
                <w:rFonts w:ascii="仿宋" w:hAnsi="仿宋" w:eastAsia="仿宋" w:cs="仿宋"/>
                <w:szCs w:val="24"/>
                <w:lang w:val="en-US"/>
              </w:rPr>
            </w:pPr>
            <w:r>
              <w:rPr>
                <w:rFonts w:hint="eastAsia" w:ascii="仿宋" w:hAnsi="仿宋" w:eastAsia="仿宋" w:cs="仿宋"/>
                <w:szCs w:val="24"/>
                <w:lang w:val="en-US"/>
              </w:rPr>
              <w:t>满足采购需求的得12-15分;较满足的得9-11.9分;基本满足采购需求、基本合理的得1-9分;不满足的得0分。</w:t>
            </w:r>
          </w:p>
        </w:tc>
      </w:tr>
      <w:tr w14:paraId="6A30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1" w:hRule="atLeast"/>
        </w:trPr>
        <w:tc>
          <w:tcPr>
            <w:tcW w:w="1068" w:type="dxa"/>
            <w:vMerge w:val="continue"/>
            <w:vAlign w:val="center"/>
          </w:tcPr>
          <w:p w14:paraId="1E142007">
            <w:pPr>
              <w:pStyle w:val="22"/>
              <w:rPr>
                <w:rFonts w:ascii="仿宋" w:hAnsi="仿宋" w:eastAsia="仿宋" w:cs="仿宋"/>
                <w:szCs w:val="24"/>
                <w:lang w:val="en-US"/>
              </w:rPr>
            </w:pPr>
          </w:p>
        </w:tc>
        <w:tc>
          <w:tcPr>
            <w:tcW w:w="973" w:type="dxa"/>
            <w:vAlign w:val="center"/>
          </w:tcPr>
          <w:p w14:paraId="051D7C6C">
            <w:pPr>
              <w:pStyle w:val="22"/>
              <w:rPr>
                <w:rFonts w:ascii="仿宋" w:hAnsi="仿宋" w:eastAsia="仿宋" w:cs="仿宋"/>
                <w:szCs w:val="24"/>
                <w:lang w:val="en-US"/>
              </w:rPr>
            </w:pPr>
            <w:r>
              <w:rPr>
                <w:rFonts w:hint="eastAsia" w:ascii="仿宋" w:hAnsi="仿宋" w:eastAsia="仿宋" w:cs="仿宋"/>
                <w:szCs w:val="24"/>
                <w:lang w:val="en-US"/>
              </w:rPr>
              <w:t>项目营销策略、销售计划及客户服务方案</w:t>
            </w:r>
          </w:p>
        </w:tc>
        <w:tc>
          <w:tcPr>
            <w:tcW w:w="578" w:type="dxa"/>
            <w:vAlign w:val="center"/>
          </w:tcPr>
          <w:p w14:paraId="573AE079">
            <w:pPr>
              <w:pStyle w:val="22"/>
              <w:rPr>
                <w:rFonts w:ascii="仿宋" w:hAnsi="仿宋" w:eastAsia="仿宋" w:cs="仿宋"/>
                <w:szCs w:val="24"/>
                <w:lang w:val="en-US"/>
              </w:rPr>
            </w:pPr>
            <w:r>
              <w:rPr>
                <w:rFonts w:hint="eastAsia" w:ascii="仿宋" w:hAnsi="仿宋" w:eastAsia="仿宋" w:cs="仿宋"/>
                <w:szCs w:val="24"/>
                <w:lang w:val="en-US"/>
              </w:rPr>
              <w:t>0-15</w:t>
            </w:r>
          </w:p>
        </w:tc>
        <w:tc>
          <w:tcPr>
            <w:tcW w:w="6959" w:type="dxa"/>
            <w:vAlign w:val="center"/>
          </w:tcPr>
          <w:p w14:paraId="08C2665D">
            <w:pPr>
              <w:pStyle w:val="22"/>
              <w:rPr>
                <w:rFonts w:ascii="仿宋" w:hAnsi="仿宋" w:eastAsia="仿宋" w:cs="仿宋"/>
                <w:szCs w:val="24"/>
                <w:lang w:val="en-US"/>
              </w:rPr>
            </w:pPr>
            <w:r>
              <w:rPr>
                <w:rFonts w:hint="eastAsia" w:ascii="仿宋" w:hAnsi="仿宋" w:eastAsia="仿宋" w:cs="仿宋"/>
                <w:szCs w:val="24"/>
                <w:lang w:val="en-US"/>
              </w:rPr>
              <w:t>项目营销策划方案至少应包括：（1）市场调研、竞品研究和竞争策略分析；（2）营销营销核心问题和解题策略分析；（3）对本项目价值体系梳理和置业逻辑分析；（4）营销动作和计划铺排。</w:t>
            </w:r>
          </w:p>
          <w:p w14:paraId="24DDC08C">
            <w:pPr>
              <w:pStyle w:val="22"/>
              <w:rPr>
                <w:rFonts w:ascii="仿宋" w:hAnsi="仿宋" w:eastAsia="仿宋" w:cs="仿宋"/>
                <w:szCs w:val="24"/>
                <w:lang w:val="en-US"/>
              </w:rPr>
            </w:pPr>
            <w:r>
              <w:rPr>
                <w:rFonts w:hint="eastAsia" w:ascii="仿宋" w:hAnsi="仿宋" w:eastAsia="仿宋" w:cs="仿宋"/>
                <w:szCs w:val="24"/>
                <w:lang w:val="en-US"/>
              </w:rPr>
              <w:t>满足采购需求的得12-15分;较满足的得9-11.9分;基本满足采购需求、基本合理的得1-9分;不满足的得0分。</w:t>
            </w:r>
          </w:p>
        </w:tc>
      </w:tr>
      <w:tr w14:paraId="76D1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068" w:type="dxa"/>
            <w:vMerge w:val="continue"/>
            <w:vAlign w:val="center"/>
          </w:tcPr>
          <w:p w14:paraId="63DC932C">
            <w:pPr>
              <w:pStyle w:val="22"/>
              <w:rPr>
                <w:rFonts w:ascii="仿宋" w:hAnsi="仿宋" w:eastAsia="仿宋" w:cs="仿宋"/>
                <w:szCs w:val="24"/>
                <w:lang w:val="en-US"/>
              </w:rPr>
            </w:pPr>
          </w:p>
        </w:tc>
        <w:tc>
          <w:tcPr>
            <w:tcW w:w="973" w:type="dxa"/>
            <w:vAlign w:val="center"/>
          </w:tcPr>
          <w:p w14:paraId="2006F346">
            <w:pPr>
              <w:pStyle w:val="22"/>
              <w:rPr>
                <w:rFonts w:ascii="仿宋" w:hAnsi="仿宋" w:eastAsia="仿宋" w:cs="仿宋"/>
                <w:szCs w:val="24"/>
                <w:lang w:val="en-US"/>
              </w:rPr>
            </w:pPr>
            <w:r>
              <w:rPr>
                <w:rFonts w:hint="eastAsia" w:ascii="仿宋" w:hAnsi="仿宋" w:eastAsia="仿宋" w:cs="仿宋"/>
                <w:szCs w:val="24"/>
                <w:lang w:val="en-US"/>
              </w:rPr>
              <w:t>设计方案</w:t>
            </w:r>
          </w:p>
        </w:tc>
        <w:tc>
          <w:tcPr>
            <w:tcW w:w="578" w:type="dxa"/>
            <w:vAlign w:val="center"/>
          </w:tcPr>
          <w:p w14:paraId="45AF9AAC">
            <w:pPr>
              <w:pStyle w:val="22"/>
              <w:rPr>
                <w:rFonts w:ascii="仿宋" w:hAnsi="仿宋" w:eastAsia="仿宋" w:cs="仿宋"/>
                <w:szCs w:val="24"/>
                <w:lang w:val="en-US"/>
              </w:rPr>
            </w:pPr>
            <w:r>
              <w:rPr>
                <w:rFonts w:hint="eastAsia" w:ascii="仿宋" w:hAnsi="仿宋" w:eastAsia="仿宋" w:cs="仿宋"/>
                <w:szCs w:val="24"/>
                <w:lang w:val="en-US"/>
              </w:rPr>
              <w:t>0-20</w:t>
            </w:r>
          </w:p>
        </w:tc>
        <w:tc>
          <w:tcPr>
            <w:tcW w:w="6959" w:type="dxa"/>
            <w:vAlign w:val="center"/>
          </w:tcPr>
          <w:p w14:paraId="7CCD94F1">
            <w:pPr>
              <w:pStyle w:val="22"/>
              <w:rPr>
                <w:rFonts w:ascii="仿宋" w:hAnsi="仿宋" w:eastAsia="仿宋" w:cs="仿宋"/>
                <w:szCs w:val="24"/>
                <w:lang w:val="en-US"/>
              </w:rPr>
            </w:pPr>
            <w:r>
              <w:rPr>
                <w:rFonts w:hint="eastAsia" w:ascii="仿宋" w:hAnsi="仿宋" w:eastAsia="仿宋" w:cs="仿宋"/>
                <w:szCs w:val="24"/>
                <w:lang w:val="en-US"/>
              </w:rPr>
              <w:t>提供设计方案的合理性、方案深度、方案可落地性等进行综合评价。包括但不限于对项目整体规划、立面效果、楼栋布置、户型设计、景观概念方案、售楼处样板房规划方案、项目精装概念方案、场地竖向设计、地库方案等内容。</w:t>
            </w:r>
          </w:p>
          <w:p w14:paraId="75D7E74B">
            <w:pPr>
              <w:pStyle w:val="22"/>
              <w:rPr>
                <w:rFonts w:ascii="仿宋" w:hAnsi="仿宋" w:eastAsia="仿宋" w:cs="仿宋"/>
                <w:szCs w:val="24"/>
                <w:lang w:val="en-US"/>
              </w:rPr>
            </w:pPr>
            <w:r>
              <w:rPr>
                <w:rFonts w:hint="eastAsia" w:ascii="仿宋" w:hAnsi="仿宋" w:eastAsia="仿宋" w:cs="仿宋"/>
                <w:szCs w:val="24"/>
                <w:lang w:val="en-US"/>
              </w:rPr>
              <w:t>满足采购需求的得16-20分;较满足的得12-15.9分;基本满足采购需求、基本合理的得1-11.9分;不满足的得0分。</w:t>
            </w:r>
          </w:p>
        </w:tc>
      </w:tr>
      <w:tr w14:paraId="6974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7" w:hRule="atLeast"/>
        </w:trPr>
        <w:tc>
          <w:tcPr>
            <w:tcW w:w="1068" w:type="dxa"/>
            <w:vMerge w:val="continue"/>
            <w:vAlign w:val="center"/>
          </w:tcPr>
          <w:p w14:paraId="525CC643">
            <w:pPr>
              <w:pStyle w:val="22"/>
              <w:rPr>
                <w:rFonts w:ascii="仿宋" w:hAnsi="仿宋" w:eastAsia="仿宋" w:cs="仿宋"/>
                <w:szCs w:val="24"/>
                <w:lang w:val="en-US"/>
              </w:rPr>
            </w:pPr>
          </w:p>
        </w:tc>
        <w:tc>
          <w:tcPr>
            <w:tcW w:w="973" w:type="dxa"/>
            <w:vAlign w:val="center"/>
          </w:tcPr>
          <w:p w14:paraId="4C2EE536">
            <w:pPr>
              <w:pStyle w:val="22"/>
              <w:rPr>
                <w:rFonts w:ascii="仿宋" w:hAnsi="仿宋" w:eastAsia="仿宋" w:cs="仿宋"/>
                <w:szCs w:val="24"/>
                <w:lang w:val="en-US"/>
              </w:rPr>
            </w:pPr>
            <w:r>
              <w:rPr>
                <w:rFonts w:hint="eastAsia" w:ascii="仿宋" w:hAnsi="仿宋" w:eastAsia="仿宋" w:cs="仿宋"/>
                <w:szCs w:val="24"/>
                <w:lang w:val="en-US"/>
              </w:rPr>
              <w:t>项目组织协调</w:t>
            </w:r>
          </w:p>
        </w:tc>
        <w:tc>
          <w:tcPr>
            <w:tcW w:w="578" w:type="dxa"/>
            <w:vAlign w:val="center"/>
          </w:tcPr>
          <w:p w14:paraId="3E1C1F89">
            <w:pPr>
              <w:pStyle w:val="22"/>
              <w:rPr>
                <w:rFonts w:ascii="仿宋" w:hAnsi="仿宋" w:eastAsia="仿宋" w:cs="仿宋"/>
                <w:szCs w:val="24"/>
                <w:lang w:val="en-US"/>
              </w:rPr>
            </w:pPr>
            <w:r>
              <w:rPr>
                <w:rFonts w:hint="eastAsia" w:ascii="仿宋" w:hAnsi="仿宋" w:eastAsia="仿宋" w:cs="仿宋"/>
                <w:szCs w:val="24"/>
                <w:lang w:val="en-US"/>
              </w:rPr>
              <w:t>0-2</w:t>
            </w:r>
          </w:p>
        </w:tc>
        <w:tc>
          <w:tcPr>
            <w:tcW w:w="6959" w:type="dxa"/>
            <w:vAlign w:val="center"/>
          </w:tcPr>
          <w:p w14:paraId="57F29938">
            <w:pPr>
              <w:pStyle w:val="22"/>
              <w:rPr>
                <w:rFonts w:ascii="仿宋" w:hAnsi="仿宋" w:eastAsia="仿宋" w:cs="仿宋"/>
                <w:szCs w:val="24"/>
                <w:lang w:val="en-US"/>
              </w:rPr>
            </w:pPr>
            <w:r>
              <w:rPr>
                <w:rFonts w:hint="eastAsia" w:ascii="仿宋" w:hAnsi="仿宋" w:eastAsia="仿宋" w:cs="仿宋"/>
                <w:szCs w:val="24"/>
                <w:lang w:val="en-US"/>
              </w:rPr>
              <w:t>组织协调方案（内部协调、外部协调、现场管理协调等）；组织机构（项目管理各主要岗位及部门职责）；项目管理制度（主要内外部管理制度、项目管理人员工作守则）。</w:t>
            </w:r>
          </w:p>
          <w:p w14:paraId="10ECDA01">
            <w:pPr>
              <w:pStyle w:val="22"/>
              <w:rPr>
                <w:rFonts w:ascii="仿宋" w:hAnsi="仿宋" w:eastAsia="仿宋" w:cs="仿宋"/>
                <w:szCs w:val="24"/>
                <w:lang w:val="en-US"/>
              </w:rPr>
            </w:pPr>
            <w:r>
              <w:rPr>
                <w:rFonts w:hint="eastAsia" w:ascii="仿宋" w:hAnsi="仿宋" w:eastAsia="仿宋" w:cs="仿宋"/>
                <w:szCs w:val="24"/>
                <w:lang w:val="en-US"/>
              </w:rPr>
              <w:t>满足采购需求的得2分;较满足的得1分;基本满足采购需求、基本合理的得0.5分;不满足的得0分。</w:t>
            </w:r>
          </w:p>
        </w:tc>
      </w:tr>
    </w:tbl>
    <w:p w14:paraId="25C8B3D4">
      <w:pPr>
        <w:pStyle w:val="22"/>
        <w:rPr>
          <w:rFonts w:ascii="仿宋" w:hAnsi="仿宋" w:eastAsia="仿宋" w:cs="仿宋"/>
          <w:szCs w:val="24"/>
          <w:lang w:val="en-US"/>
        </w:rPr>
      </w:pPr>
    </w:p>
    <w:p w14:paraId="1FA795F9">
      <w:pPr>
        <w:widowControl/>
        <w:jc w:val="left"/>
        <w:rPr>
          <w:rFonts w:ascii="仿宋" w:hAnsi="仿宋" w:eastAsia="仿宋" w:cs="仿宋"/>
        </w:rPr>
      </w:pPr>
    </w:p>
    <w:p w14:paraId="7B312FA5">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注：1）若招标发起人对供应商提供的证明资料要求为原件的，另行提出。</w:t>
      </w:r>
    </w:p>
    <w:p w14:paraId="28FDC401">
      <w:pPr>
        <w:spacing w:line="440" w:lineRule="exact"/>
        <w:ind w:firstLine="482" w:firstLineChars="200"/>
      </w:pPr>
      <w:r>
        <w:rPr>
          <w:rFonts w:hint="eastAsia" w:ascii="仿宋" w:hAnsi="仿宋" w:eastAsia="仿宋" w:cs="仿宋"/>
          <w:b/>
          <w:color w:val="000000" w:themeColor="text1"/>
          <w:sz w:val="24"/>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2A5525F8">
      <w:pPr>
        <w:spacing w:line="440" w:lineRule="exact"/>
        <w:rPr>
          <w:rFonts w:ascii="仿宋" w:hAnsi="仿宋" w:eastAsia="仿宋" w:cs="仿宋"/>
          <w:b/>
          <w:bCs/>
          <w:color w:val="000000" w:themeColor="text1"/>
          <w:sz w:val="28"/>
          <w:szCs w:val="28"/>
          <w14:textFill>
            <w14:solidFill>
              <w14:schemeClr w14:val="tx1"/>
            </w14:solidFill>
          </w14:textFill>
        </w:rPr>
      </w:pPr>
    </w:p>
    <w:p w14:paraId="1F9E5923">
      <w:pPr>
        <w:spacing w:line="440" w:lineRule="exact"/>
        <w:rPr>
          <w:rFonts w:ascii="仿宋" w:hAnsi="仿宋" w:eastAsia="仿宋" w:cs="仿宋"/>
          <w:b/>
          <w:bCs/>
          <w:color w:val="000000" w:themeColor="text1"/>
          <w:sz w:val="28"/>
          <w:szCs w:val="28"/>
          <w14:textFill>
            <w14:solidFill>
              <w14:schemeClr w14:val="tx1"/>
            </w14:solidFill>
          </w14:textFill>
        </w:rPr>
      </w:pPr>
    </w:p>
    <w:p w14:paraId="18CE567B">
      <w:pPr>
        <w:spacing w:line="440" w:lineRule="exact"/>
        <w:rPr>
          <w:rFonts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（三）价格部分评分方法（30分）：</w:t>
      </w:r>
      <w:r>
        <w:rPr>
          <w:rFonts w:hint="eastAsia" w:ascii="仿宋" w:hAnsi="仿宋" w:eastAsia="仿宋" w:cs="仿宋"/>
          <w:b/>
          <w:bCs/>
          <w:sz w:val="28"/>
          <w:szCs w:val="28"/>
        </w:rPr>
        <w:t xml:space="preserve"> </w:t>
      </w:r>
    </w:p>
    <w:p w14:paraId="3ED85A17">
      <w:pPr>
        <w:rPr>
          <w:rFonts w:ascii="仿宋" w:hAnsi="仿宋" w:eastAsia="仿宋" w:cs="仿宋"/>
          <w:sz w:val="24"/>
        </w:rPr>
      </w:pPr>
      <w:r>
        <w:rPr>
          <w:rFonts w:hint="eastAsia" w:ascii="仿宋" w:hAnsi="仿宋" w:eastAsia="仿宋" w:cs="仿宋"/>
          <w:sz w:val="24"/>
        </w:rPr>
        <w:t>投标费率最低3.85%，最高为4.45%，超出投标费率限制的投标无效。</w:t>
      </w:r>
    </w:p>
    <w:p w14:paraId="0D05010C">
      <w:pPr>
        <w:rPr>
          <w:rFonts w:ascii="仿宋" w:hAnsi="仿宋" w:eastAsia="仿宋" w:cs="仿宋"/>
          <w:sz w:val="24"/>
        </w:rPr>
      </w:pPr>
      <w:r>
        <w:rPr>
          <w:rFonts w:hint="eastAsia" w:ascii="仿宋" w:hAnsi="仿宋" w:eastAsia="仿宋" w:cs="仿宋"/>
          <w:sz w:val="24"/>
        </w:rPr>
        <w:t>按照投标费率下限3.85%作为评标基准价，相较于评标基准价，投标费率每高0.05%扣2.5分，计算公式：投标报价得分=30分-（投标费率-3.85%）/0.05%*2.5分。</w:t>
      </w:r>
    </w:p>
    <w:p w14:paraId="1405D0ED">
      <w:pPr>
        <w:rPr>
          <w:rFonts w:ascii="仿宋" w:hAnsi="仿宋" w:eastAsia="仿宋" w:cs="仿宋"/>
          <w:sz w:val="24"/>
        </w:rPr>
      </w:pPr>
      <w:r>
        <w:rPr>
          <w:rFonts w:hint="eastAsia" w:ascii="仿宋" w:hAnsi="仿宋" w:eastAsia="仿宋" w:cs="仿宋"/>
          <w:sz w:val="24"/>
        </w:rPr>
        <w:t>得分示例如下：</w:t>
      </w:r>
    </w:p>
    <w:tbl>
      <w:tblPr>
        <w:tblStyle w:val="61"/>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18"/>
        <w:gridCol w:w="719"/>
        <w:gridCol w:w="718"/>
        <w:gridCol w:w="719"/>
        <w:gridCol w:w="719"/>
        <w:gridCol w:w="718"/>
        <w:gridCol w:w="719"/>
        <w:gridCol w:w="719"/>
        <w:gridCol w:w="718"/>
        <w:gridCol w:w="719"/>
        <w:gridCol w:w="719"/>
        <w:gridCol w:w="719"/>
        <w:gridCol w:w="719"/>
      </w:tblGrid>
      <w:tr w14:paraId="5D30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26" w:type="dxa"/>
            <w:shd w:val="clear" w:color="auto" w:fill="BEBEBE" w:themeFill="background1" w:themeFillShade="BF"/>
            <w:noWrap/>
            <w:vAlign w:val="center"/>
          </w:tcPr>
          <w:p w14:paraId="3E2CC3FA">
            <w:pPr>
              <w:jc w:val="center"/>
              <w:rPr>
                <w:rFonts w:ascii="仿宋" w:hAnsi="仿宋" w:eastAsia="仿宋" w:cs="仿宋"/>
                <w:sz w:val="24"/>
              </w:rPr>
            </w:pPr>
            <w:r>
              <w:rPr>
                <w:rFonts w:hint="eastAsia" w:ascii="仿宋" w:hAnsi="仿宋" w:eastAsia="仿宋" w:cs="仿宋"/>
                <w:sz w:val="24"/>
              </w:rPr>
              <w:t>投标费率</w:t>
            </w:r>
          </w:p>
        </w:tc>
        <w:tc>
          <w:tcPr>
            <w:tcW w:w="718" w:type="dxa"/>
            <w:noWrap/>
            <w:vAlign w:val="center"/>
          </w:tcPr>
          <w:p w14:paraId="56672A48">
            <w:pPr>
              <w:jc w:val="center"/>
              <w:rPr>
                <w:rFonts w:ascii="仿宋" w:hAnsi="仿宋" w:eastAsia="仿宋" w:cs="仿宋"/>
                <w:sz w:val="24"/>
              </w:rPr>
            </w:pPr>
            <w:r>
              <w:rPr>
                <w:rFonts w:hint="eastAsia" w:ascii="仿宋" w:hAnsi="仿宋" w:eastAsia="仿宋" w:cs="仿宋"/>
                <w:sz w:val="24"/>
              </w:rPr>
              <w:t>3.85%</w:t>
            </w:r>
          </w:p>
        </w:tc>
        <w:tc>
          <w:tcPr>
            <w:tcW w:w="719" w:type="dxa"/>
            <w:noWrap/>
            <w:vAlign w:val="center"/>
          </w:tcPr>
          <w:p w14:paraId="4ECDEB8A">
            <w:pPr>
              <w:jc w:val="center"/>
              <w:rPr>
                <w:rFonts w:ascii="仿宋" w:hAnsi="仿宋" w:eastAsia="仿宋" w:cs="仿宋"/>
                <w:sz w:val="24"/>
              </w:rPr>
            </w:pPr>
            <w:r>
              <w:rPr>
                <w:rFonts w:hint="eastAsia" w:ascii="仿宋" w:hAnsi="仿宋" w:eastAsia="仿宋" w:cs="仿宋"/>
                <w:sz w:val="24"/>
              </w:rPr>
              <w:t>3.90%</w:t>
            </w:r>
          </w:p>
        </w:tc>
        <w:tc>
          <w:tcPr>
            <w:tcW w:w="718" w:type="dxa"/>
            <w:noWrap/>
            <w:vAlign w:val="center"/>
          </w:tcPr>
          <w:p w14:paraId="4CD1EFBD">
            <w:pPr>
              <w:jc w:val="center"/>
              <w:rPr>
                <w:rFonts w:ascii="仿宋" w:hAnsi="仿宋" w:eastAsia="仿宋" w:cs="仿宋"/>
                <w:sz w:val="24"/>
              </w:rPr>
            </w:pPr>
            <w:r>
              <w:rPr>
                <w:rFonts w:hint="eastAsia" w:ascii="仿宋" w:hAnsi="仿宋" w:eastAsia="仿宋" w:cs="仿宋"/>
                <w:sz w:val="24"/>
              </w:rPr>
              <w:t>3.95%</w:t>
            </w:r>
          </w:p>
        </w:tc>
        <w:tc>
          <w:tcPr>
            <w:tcW w:w="719" w:type="dxa"/>
            <w:noWrap/>
            <w:vAlign w:val="center"/>
          </w:tcPr>
          <w:p w14:paraId="2CE70100">
            <w:pPr>
              <w:jc w:val="center"/>
              <w:rPr>
                <w:rFonts w:ascii="仿宋" w:hAnsi="仿宋" w:eastAsia="仿宋" w:cs="仿宋"/>
                <w:sz w:val="24"/>
              </w:rPr>
            </w:pPr>
            <w:r>
              <w:rPr>
                <w:rFonts w:hint="eastAsia" w:ascii="仿宋" w:hAnsi="仿宋" w:eastAsia="仿宋" w:cs="仿宋"/>
                <w:sz w:val="24"/>
              </w:rPr>
              <w:t>4.00%</w:t>
            </w:r>
          </w:p>
        </w:tc>
        <w:tc>
          <w:tcPr>
            <w:tcW w:w="719" w:type="dxa"/>
            <w:noWrap/>
            <w:vAlign w:val="center"/>
          </w:tcPr>
          <w:p w14:paraId="351E2096">
            <w:pPr>
              <w:jc w:val="center"/>
              <w:rPr>
                <w:rFonts w:ascii="仿宋" w:hAnsi="仿宋" w:eastAsia="仿宋" w:cs="仿宋"/>
                <w:sz w:val="24"/>
              </w:rPr>
            </w:pPr>
            <w:r>
              <w:rPr>
                <w:rFonts w:hint="eastAsia" w:ascii="仿宋" w:hAnsi="仿宋" w:eastAsia="仿宋" w:cs="仿宋"/>
                <w:sz w:val="24"/>
              </w:rPr>
              <w:t>4.05%</w:t>
            </w:r>
          </w:p>
        </w:tc>
        <w:tc>
          <w:tcPr>
            <w:tcW w:w="718" w:type="dxa"/>
            <w:noWrap/>
            <w:vAlign w:val="center"/>
          </w:tcPr>
          <w:p w14:paraId="5FD4EE2F">
            <w:pPr>
              <w:jc w:val="center"/>
              <w:rPr>
                <w:rFonts w:ascii="仿宋" w:hAnsi="仿宋" w:eastAsia="仿宋" w:cs="仿宋"/>
                <w:sz w:val="24"/>
              </w:rPr>
            </w:pPr>
            <w:r>
              <w:rPr>
                <w:rFonts w:hint="eastAsia" w:ascii="仿宋" w:hAnsi="仿宋" w:eastAsia="仿宋" w:cs="仿宋"/>
                <w:sz w:val="24"/>
              </w:rPr>
              <w:t>4.10%</w:t>
            </w:r>
          </w:p>
        </w:tc>
        <w:tc>
          <w:tcPr>
            <w:tcW w:w="719" w:type="dxa"/>
            <w:shd w:val="clear" w:color="auto" w:fill="auto"/>
            <w:noWrap/>
            <w:vAlign w:val="center"/>
          </w:tcPr>
          <w:p w14:paraId="06C27D29">
            <w:pPr>
              <w:jc w:val="center"/>
              <w:rPr>
                <w:rFonts w:ascii="仿宋" w:hAnsi="仿宋" w:eastAsia="仿宋" w:cs="仿宋"/>
                <w:sz w:val="24"/>
              </w:rPr>
            </w:pPr>
            <w:r>
              <w:rPr>
                <w:rFonts w:hint="eastAsia" w:ascii="仿宋" w:hAnsi="仿宋" w:eastAsia="仿宋" w:cs="仿宋"/>
                <w:sz w:val="24"/>
              </w:rPr>
              <w:t>4.15%</w:t>
            </w:r>
          </w:p>
        </w:tc>
        <w:tc>
          <w:tcPr>
            <w:tcW w:w="719" w:type="dxa"/>
            <w:shd w:val="clear" w:color="auto" w:fill="auto"/>
            <w:noWrap/>
            <w:vAlign w:val="center"/>
          </w:tcPr>
          <w:p w14:paraId="6E483993">
            <w:pPr>
              <w:jc w:val="center"/>
              <w:rPr>
                <w:rFonts w:ascii="仿宋" w:hAnsi="仿宋" w:eastAsia="仿宋" w:cs="仿宋"/>
                <w:sz w:val="24"/>
              </w:rPr>
            </w:pPr>
            <w:r>
              <w:rPr>
                <w:rFonts w:hint="eastAsia" w:ascii="仿宋" w:hAnsi="仿宋" w:eastAsia="仿宋" w:cs="仿宋"/>
                <w:sz w:val="24"/>
              </w:rPr>
              <w:t>4.20%</w:t>
            </w:r>
          </w:p>
        </w:tc>
        <w:tc>
          <w:tcPr>
            <w:tcW w:w="718" w:type="dxa"/>
            <w:shd w:val="clear" w:color="auto" w:fill="auto"/>
            <w:noWrap/>
            <w:vAlign w:val="center"/>
          </w:tcPr>
          <w:p w14:paraId="63D5B8A2">
            <w:pPr>
              <w:jc w:val="center"/>
              <w:rPr>
                <w:rFonts w:ascii="仿宋" w:hAnsi="仿宋" w:eastAsia="仿宋" w:cs="仿宋"/>
                <w:sz w:val="24"/>
              </w:rPr>
            </w:pPr>
            <w:r>
              <w:rPr>
                <w:rFonts w:hint="eastAsia" w:ascii="仿宋" w:hAnsi="仿宋" w:eastAsia="仿宋" w:cs="仿宋"/>
                <w:sz w:val="24"/>
              </w:rPr>
              <w:t>4.25%</w:t>
            </w:r>
          </w:p>
        </w:tc>
        <w:tc>
          <w:tcPr>
            <w:tcW w:w="719" w:type="dxa"/>
            <w:shd w:val="clear" w:color="auto" w:fill="auto"/>
            <w:noWrap/>
            <w:vAlign w:val="center"/>
          </w:tcPr>
          <w:p w14:paraId="1918FEFD">
            <w:pPr>
              <w:jc w:val="center"/>
              <w:rPr>
                <w:rFonts w:ascii="仿宋" w:hAnsi="仿宋" w:eastAsia="仿宋" w:cs="仿宋"/>
                <w:sz w:val="24"/>
              </w:rPr>
            </w:pPr>
            <w:r>
              <w:rPr>
                <w:rFonts w:hint="eastAsia" w:ascii="仿宋" w:hAnsi="仿宋" w:eastAsia="仿宋" w:cs="仿宋"/>
                <w:sz w:val="24"/>
              </w:rPr>
              <w:t>4.30%</w:t>
            </w:r>
          </w:p>
        </w:tc>
        <w:tc>
          <w:tcPr>
            <w:tcW w:w="719" w:type="dxa"/>
            <w:shd w:val="clear" w:color="auto" w:fill="auto"/>
            <w:noWrap/>
            <w:vAlign w:val="center"/>
          </w:tcPr>
          <w:p w14:paraId="6EFAE51B">
            <w:pPr>
              <w:jc w:val="center"/>
              <w:rPr>
                <w:rFonts w:ascii="仿宋" w:hAnsi="仿宋" w:eastAsia="仿宋" w:cs="仿宋"/>
                <w:sz w:val="24"/>
              </w:rPr>
            </w:pPr>
            <w:r>
              <w:rPr>
                <w:rFonts w:hint="eastAsia" w:ascii="仿宋" w:hAnsi="仿宋" w:eastAsia="仿宋" w:cs="仿宋"/>
                <w:sz w:val="24"/>
              </w:rPr>
              <w:t>4.35%</w:t>
            </w:r>
          </w:p>
        </w:tc>
        <w:tc>
          <w:tcPr>
            <w:tcW w:w="719" w:type="dxa"/>
            <w:noWrap/>
            <w:vAlign w:val="center"/>
          </w:tcPr>
          <w:p w14:paraId="2A343BAA">
            <w:pPr>
              <w:jc w:val="center"/>
              <w:rPr>
                <w:rFonts w:ascii="仿宋" w:hAnsi="仿宋" w:eastAsia="仿宋" w:cs="仿宋"/>
                <w:sz w:val="24"/>
              </w:rPr>
            </w:pPr>
            <w:r>
              <w:rPr>
                <w:rFonts w:hint="eastAsia" w:ascii="仿宋" w:hAnsi="仿宋" w:eastAsia="仿宋" w:cs="仿宋"/>
                <w:sz w:val="24"/>
              </w:rPr>
              <w:t>4.40%</w:t>
            </w:r>
          </w:p>
        </w:tc>
        <w:tc>
          <w:tcPr>
            <w:tcW w:w="719" w:type="dxa"/>
            <w:noWrap/>
            <w:vAlign w:val="center"/>
          </w:tcPr>
          <w:p w14:paraId="30E1B02A">
            <w:pPr>
              <w:jc w:val="center"/>
              <w:rPr>
                <w:rFonts w:ascii="仿宋" w:hAnsi="仿宋" w:eastAsia="仿宋" w:cs="仿宋"/>
                <w:sz w:val="24"/>
              </w:rPr>
            </w:pPr>
            <w:r>
              <w:rPr>
                <w:rFonts w:hint="eastAsia" w:ascii="仿宋" w:hAnsi="仿宋" w:eastAsia="仿宋" w:cs="仿宋"/>
                <w:sz w:val="24"/>
              </w:rPr>
              <w:t>4.45%</w:t>
            </w:r>
          </w:p>
        </w:tc>
      </w:tr>
      <w:tr w14:paraId="5594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6" w:type="dxa"/>
            <w:shd w:val="clear" w:color="auto" w:fill="BEBEBE" w:themeFill="background1" w:themeFillShade="BF"/>
            <w:noWrap/>
            <w:vAlign w:val="center"/>
          </w:tcPr>
          <w:p w14:paraId="193E8AE7">
            <w:pPr>
              <w:jc w:val="center"/>
              <w:rPr>
                <w:rFonts w:ascii="仿宋" w:hAnsi="仿宋" w:eastAsia="仿宋" w:cs="仿宋"/>
                <w:sz w:val="24"/>
              </w:rPr>
            </w:pPr>
            <w:r>
              <w:rPr>
                <w:rFonts w:hint="eastAsia" w:ascii="仿宋" w:hAnsi="仿宋" w:eastAsia="仿宋" w:cs="仿宋"/>
                <w:sz w:val="24"/>
              </w:rPr>
              <w:t>得分</w:t>
            </w:r>
          </w:p>
        </w:tc>
        <w:tc>
          <w:tcPr>
            <w:tcW w:w="718" w:type="dxa"/>
            <w:noWrap/>
            <w:vAlign w:val="center"/>
          </w:tcPr>
          <w:p w14:paraId="0F637EB6">
            <w:pPr>
              <w:jc w:val="center"/>
              <w:rPr>
                <w:rFonts w:ascii="仿宋" w:hAnsi="仿宋" w:eastAsia="仿宋" w:cs="仿宋"/>
                <w:sz w:val="24"/>
              </w:rPr>
            </w:pPr>
            <w:r>
              <w:rPr>
                <w:rFonts w:hint="eastAsia" w:ascii="仿宋" w:hAnsi="仿宋" w:eastAsia="仿宋" w:cs="仿宋"/>
                <w:sz w:val="24"/>
              </w:rPr>
              <w:t>30</w:t>
            </w:r>
          </w:p>
        </w:tc>
        <w:tc>
          <w:tcPr>
            <w:tcW w:w="719" w:type="dxa"/>
            <w:noWrap/>
            <w:vAlign w:val="center"/>
          </w:tcPr>
          <w:p w14:paraId="7700C7D5">
            <w:pPr>
              <w:jc w:val="center"/>
              <w:rPr>
                <w:rFonts w:ascii="仿宋" w:hAnsi="仿宋" w:eastAsia="仿宋" w:cs="仿宋"/>
                <w:sz w:val="24"/>
              </w:rPr>
            </w:pPr>
            <w:r>
              <w:rPr>
                <w:rFonts w:hint="eastAsia" w:ascii="仿宋" w:hAnsi="仿宋" w:eastAsia="仿宋" w:cs="仿宋"/>
                <w:sz w:val="24"/>
              </w:rPr>
              <w:t>27.5</w:t>
            </w:r>
          </w:p>
        </w:tc>
        <w:tc>
          <w:tcPr>
            <w:tcW w:w="718" w:type="dxa"/>
            <w:noWrap/>
            <w:vAlign w:val="center"/>
          </w:tcPr>
          <w:p w14:paraId="73FF2DA9">
            <w:pPr>
              <w:jc w:val="center"/>
              <w:rPr>
                <w:rFonts w:ascii="仿宋" w:hAnsi="仿宋" w:eastAsia="仿宋" w:cs="仿宋"/>
                <w:sz w:val="24"/>
              </w:rPr>
            </w:pPr>
            <w:r>
              <w:rPr>
                <w:rFonts w:hint="eastAsia" w:ascii="仿宋" w:hAnsi="仿宋" w:eastAsia="仿宋" w:cs="仿宋"/>
                <w:sz w:val="24"/>
              </w:rPr>
              <w:t>25</w:t>
            </w:r>
          </w:p>
        </w:tc>
        <w:tc>
          <w:tcPr>
            <w:tcW w:w="719" w:type="dxa"/>
            <w:noWrap/>
            <w:vAlign w:val="center"/>
          </w:tcPr>
          <w:p w14:paraId="1F87B331">
            <w:pPr>
              <w:jc w:val="center"/>
              <w:rPr>
                <w:rFonts w:ascii="仿宋" w:hAnsi="仿宋" w:eastAsia="仿宋" w:cs="仿宋"/>
                <w:sz w:val="24"/>
              </w:rPr>
            </w:pPr>
            <w:r>
              <w:rPr>
                <w:rFonts w:hint="eastAsia" w:ascii="仿宋" w:hAnsi="仿宋" w:eastAsia="仿宋" w:cs="仿宋"/>
                <w:sz w:val="24"/>
              </w:rPr>
              <w:t>22.5</w:t>
            </w:r>
          </w:p>
        </w:tc>
        <w:tc>
          <w:tcPr>
            <w:tcW w:w="719" w:type="dxa"/>
            <w:noWrap/>
            <w:vAlign w:val="center"/>
          </w:tcPr>
          <w:p w14:paraId="33F22FF3">
            <w:pPr>
              <w:jc w:val="center"/>
              <w:rPr>
                <w:rFonts w:ascii="仿宋" w:hAnsi="仿宋" w:eastAsia="仿宋" w:cs="仿宋"/>
                <w:sz w:val="24"/>
              </w:rPr>
            </w:pPr>
            <w:r>
              <w:rPr>
                <w:rFonts w:hint="eastAsia" w:ascii="仿宋" w:hAnsi="仿宋" w:eastAsia="仿宋" w:cs="仿宋"/>
                <w:sz w:val="24"/>
              </w:rPr>
              <w:t>20</w:t>
            </w:r>
          </w:p>
        </w:tc>
        <w:tc>
          <w:tcPr>
            <w:tcW w:w="718" w:type="dxa"/>
            <w:noWrap/>
            <w:vAlign w:val="center"/>
          </w:tcPr>
          <w:p w14:paraId="6D264C40">
            <w:pPr>
              <w:jc w:val="center"/>
              <w:rPr>
                <w:rFonts w:ascii="仿宋" w:hAnsi="仿宋" w:eastAsia="仿宋" w:cs="仿宋"/>
                <w:sz w:val="24"/>
              </w:rPr>
            </w:pPr>
            <w:r>
              <w:rPr>
                <w:rFonts w:hint="eastAsia" w:ascii="仿宋" w:hAnsi="仿宋" w:eastAsia="仿宋" w:cs="仿宋"/>
                <w:sz w:val="24"/>
              </w:rPr>
              <w:t>17.5</w:t>
            </w:r>
          </w:p>
        </w:tc>
        <w:tc>
          <w:tcPr>
            <w:tcW w:w="719" w:type="dxa"/>
            <w:noWrap/>
            <w:vAlign w:val="center"/>
          </w:tcPr>
          <w:p w14:paraId="71481E52">
            <w:pPr>
              <w:jc w:val="center"/>
              <w:rPr>
                <w:rFonts w:ascii="仿宋" w:hAnsi="仿宋" w:eastAsia="仿宋" w:cs="仿宋"/>
                <w:sz w:val="24"/>
              </w:rPr>
            </w:pPr>
            <w:r>
              <w:rPr>
                <w:rFonts w:hint="eastAsia" w:ascii="仿宋" w:hAnsi="仿宋" w:eastAsia="仿宋" w:cs="仿宋"/>
                <w:sz w:val="24"/>
              </w:rPr>
              <w:t>15</w:t>
            </w:r>
          </w:p>
        </w:tc>
        <w:tc>
          <w:tcPr>
            <w:tcW w:w="719" w:type="dxa"/>
            <w:noWrap/>
            <w:vAlign w:val="center"/>
          </w:tcPr>
          <w:p w14:paraId="76C01F5B">
            <w:pPr>
              <w:jc w:val="center"/>
              <w:rPr>
                <w:rFonts w:ascii="仿宋" w:hAnsi="仿宋" w:eastAsia="仿宋" w:cs="仿宋"/>
                <w:sz w:val="24"/>
              </w:rPr>
            </w:pPr>
            <w:r>
              <w:rPr>
                <w:rFonts w:hint="eastAsia" w:ascii="仿宋" w:hAnsi="仿宋" w:eastAsia="仿宋" w:cs="仿宋"/>
                <w:sz w:val="24"/>
              </w:rPr>
              <w:t>12.5</w:t>
            </w:r>
          </w:p>
        </w:tc>
        <w:tc>
          <w:tcPr>
            <w:tcW w:w="718" w:type="dxa"/>
            <w:noWrap/>
            <w:vAlign w:val="center"/>
          </w:tcPr>
          <w:p w14:paraId="437FD1BB">
            <w:pPr>
              <w:jc w:val="center"/>
              <w:rPr>
                <w:rFonts w:ascii="仿宋" w:hAnsi="仿宋" w:eastAsia="仿宋" w:cs="仿宋"/>
                <w:sz w:val="24"/>
              </w:rPr>
            </w:pPr>
            <w:r>
              <w:rPr>
                <w:rFonts w:hint="eastAsia" w:ascii="仿宋" w:hAnsi="仿宋" w:eastAsia="仿宋" w:cs="仿宋"/>
                <w:sz w:val="24"/>
              </w:rPr>
              <w:t>10</w:t>
            </w:r>
          </w:p>
        </w:tc>
        <w:tc>
          <w:tcPr>
            <w:tcW w:w="719" w:type="dxa"/>
            <w:noWrap/>
            <w:vAlign w:val="center"/>
          </w:tcPr>
          <w:p w14:paraId="199DCD86">
            <w:pPr>
              <w:jc w:val="center"/>
              <w:rPr>
                <w:rFonts w:ascii="仿宋" w:hAnsi="仿宋" w:eastAsia="仿宋" w:cs="仿宋"/>
                <w:sz w:val="24"/>
              </w:rPr>
            </w:pPr>
            <w:r>
              <w:rPr>
                <w:rFonts w:hint="eastAsia" w:ascii="仿宋" w:hAnsi="仿宋" w:eastAsia="仿宋" w:cs="仿宋"/>
                <w:sz w:val="24"/>
              </w:rPr>
              <w:t>7.5</w:t>
            </w:r>
          </w:p>
        </w:tc>
        <w:tc>
          <w:tcPr>
            <w:tcW w:w="719" w:type="dxa"/>
            <w:noWrap/>
            <w:vAlign w:val="center"/>
          </w:tcPr>
          <w:p w14:paraId="55E2584F">
            <w:pPr>
              <w:jc w:val="center"/>
              <w:rPr>
                <w:rFonts w:ascii="仿宋" w:hAnsi="仿宋" w:eastAsia="仿宋" w:cs="仿宋"/>
                <w:sz w:val="24"/>
              </w:rPr>
            </w:pPr>
            <w:r>
              <w:rPr>
                <w:rFonts w:hint="eastAsia" w:ascii="仿宋" w:hAnsi="仿宋" w:eastAsia="仿宋" w:cs="仿宋"/>
                <w:sz w:val="24"/>
              </w:rPr>
              <w:t>5</w:t>
            </w:r>
          </w:p>
        </w:tc>
        <w:tc>
          <w:tcPr>
            <w:tcW w:w="719" w:type="dxa"/>
            <w:noWrap/>
            <w:vAlign w:val="center"/>
          </w:tcPr>
          <w:p w14:paraId="6762A53D">
            <w:pPr>
              <w:jc w:val="center"/>
              <w:rPr>
                <w:rFonts w:ascii="仿宋" w:hAnsi="仿宋" w:eastAsia="仿宋" w:cs="仿宋"/>
                <w:sz w:val="24"/>
              </w:rPr>
            </w:pPr>
            <w:r>
              <w:rPr>
                <w:rFonts w:hint="eastAsia" w:ascii="仿宋" w:hAnsi="仿宋" w:eastAsia="仿宋" w:cs="仿宋"/>
                <w:sz w:val="24"/>
              </w:rPr>
              <w:t>2.5</w:t>
            </w:r>
          </w:p>
        </w:tc>
        <w:tc>
          <w:tcPr>
            <w:tcW w:w="719" w:type="dxa"/>
            <w:noWrap/>
            <w:vAlign w:val="center"/>
          </w:tcPr>
          <w:p w14:paraId="4E6A0D7F">
            <w:pPr>
              <w:jc w:val="center"/>
              <w:rPr>
                <w:rFonts w:ascii="仿宋" w:hAnsi="仿宋" w:eastAsia="仿宋" w:cs="仿宋"/>
                <w:sz w:val="24"/>
              </w:rPr>
            </w:pPr>
            <w:r>
              <w:rPr>
                <w:rFonts w:hint="eastAsia" w:ascii="仿宋" w:hAnsi="仿宋" w:eastAsia="仿宋" w:cs="仿宋"/>
                <w:sz w:val="24"/>
              </w:rPr>
              <w:t>0</w:t>
            </w:r>
          </w:p>
        </w:tc>
      </w:tr>
    </w:tbl>
    <w:p w14:paraId="3F668D60">
      <w:pPr>
        <w:rPr>
          <w:sz w:val="24"/>
        </w:rPr>
      </w:pPr>
    </w:p>
    <w:p w14:paraId="5C4A6920">
      <w:pPr>
        <w:rPr>
          <w:sz w:val="24"/>
        </w:rPr>
      </w:pPr>
    </w:p>
    <w:p w14:paraId="2DAFD4E1">
      <w:pPr>
        <w:snapToGrid w:val="0"/>
        <w:spacing w:line="570" w:lineRule="exact"/>
        <w:rPr>
          <w:rFonts w:ascii="仿宋" w:hAnsi="仿宋" w:eastAsia="仿宋" w:cs="仿宋"/>
          <w:b/>
          <w:color w:val="000000" w:themeColor="text1"/>
          <w:sz w:val="32"/>
          <w14:textFill>
            <w14:solidFill>
              <w14:schemeClr w14:val="tx1"/>
            </w14:solidFill>
          </w14:textFill>
        </w:rPr>
      </w:pPr>
    </w:p>
    <w:p w14:paraId="4D8696ED">
      <w:pPr>
        <w:snapToGrid w:val="0"/>
        <w:spacing w:line="570" w:lineRule="exact"/>
        <w:rPr>
          <w:rFonts w:ascii="仿宋" w:hAnsi="仿宋" w:eastAsia="仿宋" w:cs="仿宋"/>
          <w:b/>
          <w:color w:val="000000" w:themeColor="text1"/>
          <w:sz w:val="32"/>
          <w14:textFill>
            <w14:solidFill>
              <w14:schemeClr w14:val="tx1"/>
            </w14:solidFill>
          </w14:textFill>
        </w:rPr>
      </w:pPr>
    </w:p>
    <w:p w14:paraId="3F58DE1C">
      <w:pPr>
        <w:snapToGrid w:val="0"/>
        <w:spacing w:line="57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一、招标方法</w:t>
      </w:r>
    </w:p>
    <w:p w14:paraId="4F4DB41C">
      <w:pPr>
        <w:adjustRightInd/>
        <w:spacing w:line="57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1.本项目采用综合评估法。</w:t>
      </w:r>
      <w:r>
        <w:rPr>
          <w:rFonts w:hint="eastAsia" w:ascii="仿宋" w:hAnsi="仿宋" w:eastAsia="仿宋" w:cs="仿宋"/>
          <w:color w:val="000000" w:themeColor="text1"/>
          <w:kern w:val="0"/>
          <w:sz w:val="24"/>
          <w14:textFill>
            <w14:solidFill>
              <w14:schemeClr w14:val="tx1"/>
            </w14:solidFill>
          </w14:textFill>
        </w:rPr>
        <w:t>综合评估法，是指响应文件满足招标文件全部实质性要求，且按照评审因素的评审得分最高的供应商为成交候选人的评审方法。</w:t>
      </w:r>
    </w:p>
    <w:p w14:paraId="73036B23">
      <w:pPr>
        <w:adjustRightInd/>
        <w:spacing w:line="57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二、招标标准</w:t>
      </w:r>
    </w:p>
    <w:p w14:paraId="65321D2A">
      <w:pPr>
        <w:spacing w:line="570" w:lineRule="exact"/>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评审标准：</w:t>
      </w:r>
      <w:r>
        <w:rPr>
          <w:rFonts w:hint="eastAsia" w:ascii="仿宋" w:hAnsi="仿宋" w:eastAsia="仿宋" w:cs="仿宋"/>
          <w:color w:val="000000" w:themeColor="text1"/>
          <w:kern w:val="0"/>
          <w:sz w:val="24"/>
          <w14:textFill>
            <w14:solidFill>
              <w14:schemeClr w14:val="tx1"/>
            </w14:solidFill>
          </w14:textFill>
        </w:rPr>
        <w:t>见招标办法前附表。</w:t>
      </w:r>
    </w:p>
    <w:p w14:paraId="4E95D369">
      <w:pPr>
        <w:spacing w:line="570" w:lineRule="exact"/>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三、</w:t>
      </w:r>
      <w:r>
        <w:rPr>
          <w:rFonts w:hint="eastAsia" w:ascii="仿宋" w:hAnsi="仿宋" w:eastAsia="仿宋" w:cs="仿宋"/>
          <w:b/>
          <w:color w:val="000000" w:themeColor="text1"/>
          <w:sz w:val="32"/>
          <w14:textFill>
            <w14:solidFill>
              <w14:schemeClr w14:val="tx1"/>
            </w14:solidFill>
          </w14:textFill>
        </w:rPr>
        <w:t>招标程序</w:t>
      </w:r>
    </w:p>
    <w:p w14:paraId="64DC4659">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评标委员会应当对符合资格的供应商的响应文件进行符合性审查，以确定其是否满足招标文件的实质性要求。不满足招标文件的实质性要求的，招标无效。</w:t>
      </w:r>
    </w:p>
    <w:p w14:paraId="7183B10D">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评标委员会应当按照招标文件中规定的评标方法和标准，对符合性审查合格的响应文件进行商务和技术评估，综合比较与评价。</w:t>
      </w:r>
    </w:p>
    <w:p w14:paraId="642C2F10">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0E167605">
      <w:pPr>
        <w:spacing w:line="570" w:lineRule="exact"/>
        <w:ind w:firstLine="472" w:firstLineChars="196"/>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0EBA654D">
      <w:pPr>
        <w:pStyle w:val="219"/>
        <w:spacing w:before="0" w:line="570" w:lineRule="exact"/>
        <w:ind w:firstLine="508" w:firstLineChars="212"/>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3.4.1响应文件报价出现前后不一致的，按照下列规定修正：</w:t>
      </w:r>
    </w:p>
    <w:p w14:paraId="1FCCF964">
      <w:pPr>
        <w:pStyle w:val="219"/>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3.4.1.1响应文件中招标一览表(报价表)内容与响应文件中相应内容不一致的，以招标一览表(报价表)为准；</w:t>
      </w:r>
    </w:p>
    <w:p w14:paraId="15883092">
      <w:pPr>
        <w:pStyle w:val="219"/>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24BC1035">
      <w:pPr>
        <w:pStyle w:val="219"/>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3.4.1.3单价金额小数点或者百分比有明显错位的，以招标一览表的总价为准，并修改单价;</w:t>
      </w:r>
    </w:p>
    <w:p w14:paraId="5DC67973">
      <w:pPr>
        <w:pStyle w:val="219"/>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222E1376">
      <w:pPr>
        <w:pStyle w:val="219"/>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5CAD51CF">
      <w:pPr>
        <w:snapToGrid w:val="0"/>
        <w:spacing w:line="57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3.4.2响应文件出现不是唯一的、有选择性招标报价的，招标无效。</w:t>
      </w:r>
    </w:p>
    <w:p w14:paraId="00285808">
      <w:pPr>
        <w:snapToGrid w:val="0"/>
        <w:spacing w:line="57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3.4.3招标报价超过招标文件中规定的预算金额或者最高限价的，招标无效。</w:t>
      </w:r>
    </w:p>
    <w:p w14:paraId="26C5D89D">
      <w:pPr>
        <w:pStyle w:val="219"/>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0F13D13C">
      <w:pPr>
        <w:spacing w:line="57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估法的，评标结果按评审后得分由高到低顺序排列。得分相同的，按招标报价由低到高顺序排列。得分且招标报价相同的并列。响应文件满足招标文件全部实质性要求，且按照评审因素的指标评审得分最高的供应商为排名第一的成交候选人。</w:t>
      </w:r>
    </w:p>
    <w:p w14:paraId="064EB6A1">
      <w:pPr>
        <w:spacing w:line="570" w:lineRule="exac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14C0EB13">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06EE4D">
      <w:pPr>
        <w:widowControl/>
        <w:shd w:val="clear" w:color="auto" w:fill="FFFFFF"/>
        <w:adjustRightInd/>
        <w:spacing w:after="225" w:line="570" w:lineRule="exact"/>
        <w:jc w:val="left"/>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4CF0D4DE">
      <w:pPr>
        <w:pStyle w:val="219"/>
        <w:spacing w:before="0" w:line="570" w:lineRule="exact"/>
        <w:ind w:firstLine="472" w:firstLineChars="196"/>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4.1供应商澄清、说明或者补正。</w:t>
      </w:r>
      <w:r>
        <w:rPr>
          <w:rFonts w:hint="eastAsia" w:ascii="仿宋" w:hAnsi="仿宋" w:eastAsia="仿宋" w:cs="仿宋"/>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招标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E231AC5">
      <w:pPr>
        <w:pStyle w:val="24"/>
        <w:spacing w:line="570" w:lineRule="exact"/>
        <w:ind w:left="954" w:leftChars="226" w:hanging="479" w:firstLineChars="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4.2招标无效。</w:t>
      </w:r>
      <w:r>
        <w:rPr>
          <w:rFonts w:hint="eastAsia" w:ascii="仿宋" w:hAnsi="仿宋" w:eastAsia="仿宋" w:cs="仿宋"/>
          <w:color w:val="000000" w:themeColor="text1"/>
          <w:szCs w:val="21"/>
          <w14:textFill>
            <w14:solidFill>
              <w14:schemeClr w14:val="tx1"/>
            </w14:solidFill>
          </w14:textFill>
        </w:rPr>
        <w:t>有下列情形之一的，招标无效：</w:t>
      </w:r>
    </w:p>
    <w:p w14:paraId="33C6D467">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4.2.1供应商不具备招标文件中规定的资格要求的（供应商未提供有效的资格文件的，视为供应商不具备招标文件中规定的资格要求）；</w:t>
      </w:r>
    </w:p>
    <w:p w14:paraId="6DCF4F47">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4.2.2响应文件未按照招标文件要求签署、盖章的；</w:t>
      </w:r>
    </w:p>
    <w:p w14:paraId="45214B28">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4.2.3招标发起人拟采购的产品属于政府强制采购的节能产品品目清单范围的，供应商未按招标文件要求提供国家确定的认证机构出具的、处于有效期之内的节能产品认证证书的；</w:t>
      </w:r>
    </w:p>
    <w:p w14:paraId="294D1AD2">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4.2.4响应文件含有招标发起人不能接受的附加条件的；</w:t>
      </w:r>
    </w:p>
    <w:p w14:paraId="0E0AA33D">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4.2.5响应文件中承诺的招标有效期少于招标文件中载明的招标有效期的；</w:t>
      </w:r>
    </w:p>
    <w:p w14:paraId="4925106F">
      <w:pPr>
        <w:snapToGrid w:val="0"/>
        <w:spacing w:line="570" w:lineRule="exact"/>
        <w:ind w:firstLine="120" w:firstLineChars="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4.2.6响应文件出现不是唯一的、有选择性招标报价的;</w:t>
      </w:r>
    </w:p>
    <w:p w14:paraId="2DF451C9">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4.2.7招标报价超过招标文件中规定的预算金额或者最高限价的;</w:t>
      </w:r>
    </w:p>
    <w:p w14:paraId="10F24F3C">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3AD661A7">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4.2.9供应商对根据修正原则修正后的报价不确认的；</w:t>
      </w:r>
    </w:p>
    <w:p w14:paraId="4D6D07A1">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4.2.10供应商提供虚假材料投标的；</w:t>
      </w:r>
    </w:p>
    <w:p w14:paraId="6ACA7BA9">
      <w:pPr>
        <w:spacing w:line="570" w:lineRule="exact"/>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4.2.11供应商有恶意串通、妨碍其他供应商的竞争行为、损害招标发起人或者其他供应商的合法权益情形的；</w:t>
      </w:r>
    </w:p>
    <w:p w14:paraId="74F6E9DE">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4.2.12供应商仅提交备份响应文件，未在电子招标平台传输递交响应文件的，招标无效；</w:t>
      </w:r>
    </w:p>
    <w:p w14:paraId="3F76E402">
      <w:pPr>
        <w:pStyle w:val="3"/>
        <w:spacing w:line="570" w:lineRule="exact"/>
        <w:ind w:left="430" w:leftChars="205"/>
        <w:rPr>
          <w:rFonts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4.2.13 响应文件不满足招标文件的其它实质性要求的；</w:t>
      </w:r>
    </w:p>
    <w:p w14:paraId="4F15EC07">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4.2.14法律、法规、规章（适用本市的）及省级以上规范性文件（适用本市的）规定的其他无效情形。</w:t>
      </w:r>
    </w:p>
    <w:p w14:paraId="170CB771">
      <w:pPr>
        <w:pStyle w:val="24"/>
        <w:snapToGrid w:val="0"/>
        <w:spacing w:line="570" w:lineRule="exact"/>
        <w:ind w:firstLine="472"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5DE616EE">
      <w:pPr>
        <w:pStyle w:val="24"/>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5F0AA118">
      <w:pPr>
        <w:pStyle w:val="24"/>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35D3007E">
      <w:pPr>
        <w:pStyle w:val="24"/>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5.3供应商的报价均超过了采购预算，招标发起人不能支付的；</w:t>
      </w:r>
    </w:p>
    <w:p w14:paraId="7AC6B564">
      <w:pPr>
        <w:pStyle w:val="24"/>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3429B271">
      <w:pPr>
        <w:pStyle w:val="24"/>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废标后，采购机构应当将废标理由通知所有供应商。</w:t>
      </w:r>
    </w:p>
    <w:p w14:paraId="3EAF6F4B">
      <w:pPr>
        <w:pStyle w:val="24"/>
        <w:snapToGrid w:val="0"/>
        <w:spacing w:line="570" w:lineRule="exact"/>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招标发起人、采购机构沟通并作书面记录。招标发起人、采购机构确认后，将修改招标文件，重新组织采购活动。</w:t>
      </w:r>
    </w:p>
    <w:p w14:paraId="6B4D6CB5">
      <w:pPr>
        <w:pStyle w:val="24"/>
        <w:snapToGrid w:val="0"/>
        <w:spacing w:line="570" w:lineRule="exact"/>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14503B24">
      <w:pPr>
        <w:pStyle w:val="24"/>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7.1未确定成交或者成交人的，终止本次政府采购活动，重新开展政府采购活动。</w:t>
      </w:r>
    </w:p>
    <w:p w14:paraId="64F99065">
      <w:pPr>
        <w:pStyle w:val="24"/>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552554FF">
      <w:pPr>
        <w:pStyle w:val="24"/>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143AA078">
      <w:pPr>
        <w:pStyle w:val="24"/>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7.4采购合同已经履行，给招标发起人、供应商造成损失的，由责任人承担赔偿责任。</w:t>
      </w:r>
    </w:p>
    <w:p w14:paraId="282AC94D">
      <w:pPr>
        <w:pStyle w:val="24"/>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7.5采购当事人有其他违反政府采购法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的行为，经改正后仍然影响或者可能影响成交、成交结果或者依法被认定为成交、成交无效的，依照7.1-7.4规定处理。</w:t>
      </w:r>
    </w:p>
    <w:p w14:paraId="0C79612C">
      <w:pPr>
        <w:widowControl/>
        <w:spacing w:line="360" w:lineRule="auto"/>
        <w:rPr>
          <w:rFonts w:ascii="仿宋" w:hAnsi="仿宋" w:eastAsia="仿宋" w:cs="仿宋"/>
          <w:color w:val="1F4E79"/>
          <w:sz w:val="24"/>
        </w:rPr>
      </w:pPr>
    </w:p>
    <w:bookmarkEnd w:id="36"/>
    <w:p w14:paraId="2791926D">
      <w:pPr>
        <w:spacing w:line="360" w:lineRule="auto"/>
        <w:outlineLvl w:val="0"/>
        <w:rPr>
          <w:rFonts w:ascii="仿宋" w:hAnsi="仿宋" w:eastAsia="仿宋" w:cs="仿宋"/>
          <w:b/>
          <w:color w:val="000000" w:themeColor="text1"/>
          <w:sz w:val="36"/>
          <w:szCs w:val="36"/>
          <w14:textFill>
            <w14:solidFill>
              <w14:schemeClr w14:val="tx1"/>
            </w14:solidFill>
          </w14:textFill>
        </w:rPr>
      </w:pPr>
    </w:p>
    <w:p w14:paraId="16AB3757">
      <w:pPr>
        <w:spacing w:line="360" w:lineRule="auto"/>
        <w:ind w:left="720" w:leftChars="343" w:firstLine="1084" w:firstLineChars="300"/>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176D2FB">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（服务类样本）</w:t>
      </w:r>
    </w:p>
    <w:p w14:paraId="0688C0E0">
      <w:pPr>
        <w:spacing w:line="440" w:lineRule="exact"/>
        <w:ind w:firstLine="480" w:firstLineChars="200"/>
        <w:rPr>
          <w:rFonts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75C151C">
      <w:pPr>
        <w:spacing w:line="440" w:lineRule="exact"/>
        <w:ind w:firstLine="480" w:firstLineChars="200"/>
        <w:rPr>
          <w:rFonts w:ascii="仿宋" w:hAnsi="仿宋" w:eastAsia="仿宋" w:cs="仿宋"/>
          <w:sz w:val="24"/>
        </w:rPr>
      </w:pPr>
      <w:r>
        <w:rPr>
          <w:rFonts w:hint="eastAsia" w:ascii="仿宋" w:hAnsi="仿宋" w:eastAsia="仿宋" w:cs="仿宋"/>
          <w:sz w:val="24"/>
        </w:rPr>
        <w:t>项目名称：</w:t>
      </w:r>
    </w:p>
    <w:p w14:paraId="32A2B4CE">
      <w:pPr>
        <w:spacing w:line="440" w:lineRule="exact"/>
        <w:rPr>
          <w:rFonts w:ascii="仿宋" w:hAnsi="仿宋" w:eastAsia="仿宋" w:cs="仿宋"/>
          <w:sz w:val="24"/>
        </w:rPr>
      </w:pPr>
      <w:r>
        <w:rPr>
          <w:rFonts w:hint="eastAsia" w:ascii="仿宋" w:hAnsi="仿宋" w:eastAsia="仿宋" w:cs="仿宋"/>
          <w:sz w:val="24"/>
        </w:rPr>
        <w:t xml:space="preserve">甲方（需方）：                                     </w:t>
      </w:r>
    </w:p>
    <w:p w14:paraId="26FF1050">
      <w:pPr>
        <w:spacing w:line="440" w:lineRule="exact"/>
        <w:rPr>
          <w:rFonts w:ascii="仿宋" w:hAnsi="仿宋" w:eastAsia="仿宋" w:cs="仿宋"/>
          <w:sz w:val="24"/>
        </w:rPr>
      </w:pPr>
      <w:r>
        <w:rPr>
          <w:rFonts w:hint="eastAsia" w:ascii="仿宋" w:hAnsi="仿宋" w:eastAsia="仿宋" w:cs="仿宋"/>
          <w:sz w:val="24"/>
        </w:rPr>
        <w:t xml:space="preserve">乙方（供方）：                                     </w:t>
      </w:r>
    </w:p>
    <w:p w14:paraId="22219FDC">
      <w:pPr>
        <w:spacing w:line="440" w:lineRule="exact"/>
        <w:ind w:firstLine="480" w:firstLineChars="200"/>
        <w:rPr>
          <w:rFonts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）招标结果和公开竞争文件的要求，并经双方协调一致，订立本采购合同。</w:t>
      </w:r>
    </w:p>
    <w:p w14:paraId="7EFE89BE">
      <w:pPr>
        <w:spacing w:line="440" w:lineRule="exact"/>
        <w:ind w:firstLine="480" w:firstLineChars="200"/>
        <w:rPr>
          <w:rFonts w:ascii="仿宋" w:hAnsi="仿宋" w:eastAsia="仿宋" w:cs="仿宋"/>
          <w:sz w:val="24"/>
        </w:rPr>
      </w:pPr>
      <w:r>
        <w:rPr>
          <w:rFonts w:hint="eastAsia" w:ascii="仿宋" w:hAnsi="仿宋" w:eastAsia="仿宋" w:cs="仿宋"/>
          <w:sz w:val="24"/>
        </w:rPr>
        <w:t>一、合同文件：</w:t>
      </w:r>
    </w:p>
    <w:p w14:paraId="05F74187">
      <w:pPr>
        <w:spacing w:line="440" w:lineRule="exact"/>
        <w:ind w:firstLine="480" w:firstLineChars="200"/>
        <w:rPr>
          <w:rFonts w:ascii="仿宋" w:hAnsi="仿宋" w:eastAsia="仿宋" w:cs="仿宋"/>
          <w:sz w:val="24"/>
        </w:rPr>
      </w:pPr>
      <w:r>
        <w:rPr>
          <w:rFonts w:hint="eastAsia" w:ascii="仿宋" w:hAnsi="仿宋" w:eastAsia="仿宋" w:cs="仿宋"/>
          <w:sz w:val="24"/>
        </w:rPr>
        <w:t>1、合同条款。</w:t>
      </w:r>
    </w:p>
    <w:p w14:paraId="79998320">
      <w:pPr>
        <w:spacing w:line="440" w:lineRule="exact"/>
        <w:ind w:firstLine="480" w:firstLineChars="200"/>
        <w:rPr>
          <w:rFonts w:ascii="仿宋" w:hAnsi="仿宋" w:eastAsia="仿宋" w:cs="仿宋"/>
          <w:sz w:val="24"/>
        </w:rPr>
      </w:pPr>
      <w:r>
        <w:rPr>
          <w:rFonts w:hint="eastAsia" w:ascii="仿宋" w:hAnsi="仿宋" w:eastAsia="仿宋" w:cs="仿宋"/>
          <w:sz w:val="24"/>
        </w:rPr>
        <w:t>2、成交通知书。</w:t>
      </w:r>
    </w:p>
    <w:p w14:paraId="11484D7A">
      <w:pPr>
        <w:spacing w:line="440" w:lineRule="exact"/>
        <w:ind w:firstLine="480" w:firstLineChars="200"/>
        <w:rPr>
          <w:rFonts w:ascii="仿宋" w:hAnsi="仿宋" w:eastAsia="仿宋" w:cs="仿宋"/>
          <w:sz w:val="24"/>
        </w:rPr>
      </w:pPr>
      <w:r>
        <w:rPr>
          <w:rFonts w:hint="eastAsia" w:ascii="仿宋" w:hAnsi="仿宋" w:eastAsia="仿宋" w:cs="仿宋"/>
          <w:sz w:val="24"/>
        </w:rPr>
        <w:t>3、公开竞争文件。</w:t>
      </w:r>
    </w:p>
    <w:p w14:paraId="1DD0F5B3">
      <w:pPr>
        <w:spacing w:line="440" w:lineRule="exact"/>
        <w:ind w:firstLine="480" w:firstLineChars="200"/>
        <w:rPr>
          <w:rFonts w:ascii="仿宋" w:hAnsi="仿宋" w:eastAsia="仿宋" w:cs="仿宋"/>
          <w:sz w:val="24"/>
        </w:rPr>
      </w:pPr>
      <w:r>
        <w:rPr>
          <w:rFonts w:hint="eastAsia" w:ascii="仿宋" w:hAnsi="仿宋" w:eastAsia="仿宋" w:cs="仿宋"/>
          <w:sz w:val="24"/>
        </w:rPr>
        <w:t>4、更正公告。</w:t>
      </w:r>
    </w:p>
    <w:p w14:paraId="746E863A">
      <w:pPr>
        <w:spacing w:line="440" w:lineRule="exact"/>
        <w:ind w:firstLine="480" w:firstLineChars="200"/>
        <w:rPr>
          <w:rFonts w:ascii="仿宋" w:hAnsi="仿宋" w:eastAsia="仿宋" w:cs="仿宋"/>
          <w:sz w:val="24"/>
        </w:rPr>
      </w:pPr>
      <w:r>
        <w:rPr>
          <w:rFonts w:hint="eastAsia" w:ascii="仿宋" w:hAnsi="仿宋" w:eastAsia="仿宋" w:cs="仿宋"/>
          <w:sz w:val="24"/>
        </w:rPr>
        <w:t>5、成交单位成交文件。</w:t>
      </w:r>
    </w:p>
    <w:p w14:paraId="4F2053BC">
      <w:pPr>
        <w:spacing w:line="440" w:lineRule="exact"/>
        <w:ind w:firstLine="480" w:firstLineChars="200"/>
        <w:rPr>
          <w:rFonts w:ascii="仿宋" w:hAnsi="仿宋" w:eastAsia="仿宋" w:cs="仿宋"/>
          <w:sz w:val="24"/>
        </w:rPr>
      </w:pPr>
      <w:r>
        <w:rPr>
          <w:rFonts w:hint="eastAsia" w:ascii="仿宋" w:hAnsi="仿宋" w:eastAsia="仿宋" w:cs="仿宋"/>
          <w:sz w:val="24"/>
        </w:rPr>
        <w:t>6、其他。</w:t>
      </w:r>
    </w:p>
    <w:p w14:paraId="26392618">
      <w:pPr>
        <w:spacing w:line="440" w:lineRule="exact"/>
        <w:ind w:firstLine="480" w:firstLineChars="200"/>
        <w:rPr>
          <w:rFonts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7977358A">
      <w:pPr>
        <w:spacing w:line="440" w:lineRule="exact"/>
        <w:jc w:val="center"/>
        <w:rPr>
          <w:rFonts w:ascii="仿宋" w:hAnsi="仿宋" w:eastAsia="仿宋" w:cs="仿宋"/>
          <w:sz w:val="24"/>
        </w:rPr>
      </w:pPr>
      <w:r>
        <w:rPr>
          <w:rFonts w:hint="eastAsia" w:ascii="仿宋" w:hAnsi="仿宋" w:eastAsia="仿宋" w:cs="仿宋"/>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12B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D4DF2A1">
            <w:pPr>
              <w:spacing w:line="440" w:lineRule="exact"/>
              <w:jc w:val="center"/>
              <w:rPr>
                <w:rFonts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6262024C">
            <w:pPr>
              <w:spacing w:line="440" w:lineRule="exact"/>
              <w:jc w:val="center"/>
              <w:rPr>
                <w:rFonts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64FF0888">
            <w:pPr>
              <w:spacing w:line="440" w:lineRule="exact"/>
              <w:jc w:val="center"/>
              <w:rPr>
                <w:rFonts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26F72AF7">
            <w:pPr>
              <w:spacing w:line="440" w:lineRule="exact"/>
              <w:jc w:val="center"/>
              <w:rPr>
                <w:rFonts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73380C3C">
            <w:pPr>
              <w:spacing w:line="440" w:lineRule="exact"/>
              <w:jc w:val="center"/>
              <w:rPr>
                <w:rFonts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483A5714">
            <w:pPr>
              <w:spacing w:line="440" w:lineRule="exact"/>
              <w:jc w:val="center"/>
              <w:rPr>
                <w:rFonts w:ascii="仿宋" w:hAnsi="仿宋" w:eastAsia="仿宋" w:cs="仿宋"/>
                <w:sz w:val="24"/>
              </w:rPr>
            </w:pPr>
            <w:r>
              <w:rPr>
                <w:rFonts w:hint="eastAsia" w:ascii="仿宋" w:hAnsi="仿宋" w:eastAsia="仿宋" w:cs="仿宋"/>
                <w:sz w:val="24"/>
              </w:rPr>
              <w:t>成交总价（元）</w:t>
            </w:r>
          </w:p>
        </w:tc>
      </w:tr>
      <w:tr w14:paraId="6C59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95D1523">
            <w:pPr>
              <w:spacing w:line="440" w:lineRule="exact"/>
              <w:jc w:val="center"/>
              <w:rPr>
                <w:rFonts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0300C5B3">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FAD04EC">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3BA2A19C">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691EC046">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BC33F21">
            <w:pPr>
              <w:spacing w:line="440" w:lineRule="exact"/>
              <w:jc w:val="center"/>
              <w:rPr>
                <w:rFonts w:ascii="仿宋" w:hAnsi="仿宋" w:eastAsia="仿宋" w:cs="仿宋"/>
                <w:sz w:val="24"/>
              </w:rPr>
            </w:pPr>
          </w:p>
        </w:tc>
      </w:tr>
      <w:tr w14:paraId="1ACF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9FED0E2">
            <w:pPr>
              <w:spacing w:line="440" w:lineRule="exact"/>
              <w:jc w:val="center"/>
              <w:rPr>
                <w:rFonts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4FA043E5">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52598135">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EBEA000">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020D005D">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47D39387">
            <w:pPr>
              <w:spacing w:line="440" w:lineRule="exact"/>
              <w:jc w:val="center"/>
              <w:rPr>
                <w:rFonts w:ascii="仿宋" w:hAnsi="仿宋" w:eastAsia="仿宋" w:cs="仿宋"/>
                <w:sz w:val="24"/>
              </w:rPr>
            </w:pPr>
          </w:p>
        </w:tc>
      </w:tr>
    </w:tbl>
    <w:p w14:paraId="22C26D72">
      <w:pPr>
        <w:spacing w:line="440" w:lineRule="exact"/>
        <w:ind w:firstLine="480" w:firstLineChars="200"/>
        <w:rPr>
          <w:rFonts w:ascii="仿宋" w:hAnsi="仿宋" w:eastAsia="仿宋" w:cs="仿宋"/>
          <w:sz w:val="24"/>
        </w:rPr>
      </w:pPr>
      <w:r>
        <w:rPr>
          <w:rFonts w:hint="eastAsia" w:ascii="仿宋" w:hAnsi="仿宋" w:eastAsia="仿宋" w:cs="仿宋"/>
          <w:sz w:val="24"/>
        </w:rPr>
        <w:t>三、技术资料</w:t>
      </w:r>
    </w:p>
    <w:p w14:paraId="17ED71A1">
      <w:pPr>
        <w:spacing w:line="440" w:lineRule="exact"/>
        <w:ind w:firstLine="480" w:firstLineChars="200"/>
        <w:rPr>
          <w:rFonts w:ascii="仿宋" w:hAnsi="仿宋" w:eastAsia="仿宋" w:cs="仿宋"/>
          <w:sz w:val="24"/>
        </w:rPr>
      </w:pPr>
      <w:r>
        <w:rPr>
          <w:rFonts w:hint="eastAsia" w:ascii="仿宋" w:hAnsi="仿宋" w:eastAsia="仿宋" w:cs="仿宋"/>
          <w:sz w:val="24"/>
        </w:rPr>
        <w:t>1.乙方应按公开竞争文件规定的时间向甲方提供有关技术资料。</w:t>
      </w:r>
    </w:p>
    <w:p w14:paraId="0B2CDE58">
      <w:pPr>
        <w:spacing w:line="440" w:lineRule="exact"/>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5A99EE">
      <w:pPr>
        <w:spacing w:line="440" w:lineRule="exact"/>
        <w:ind w:firstLine="480" w:firstLineChars="200"/>
        <w:rPr>
          <w:rFonts w:ascii="仿宋" w:hAnsi="仿宋" w:eastAsia="仿宋" w:cs="仿宋"/>
          <w:sz w:val="24"/>
        </w:rPr>
      </w:pPr>
      <w:r>
        <w:rPr>
          <w:rFonts w:hint="eastAsia" w:ascii="仿宋" w:hAnsi="仿宋" w:eastAsia="仿宋" w:cs="仿宋"/>
          <w:sz w:val="24"/>
        </w:rPr>
        <w:t>四、知识产权</w:t>
      </w:r>
    </w:p>
    <w:p w14:paraId="55D00FA2">
      <w:pPr>
        <w:spacing w:line="44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w:t>
      </w:r>
    </w:p>
    <w:p w14:paraId="29F4A154">
      <w:pPr>
        <w:spacing w:line="440" w:lineRule="exact"/>
        <w:ind w:firstLine="480" w:firstLineChars="200"/>
        <w:rPr>
          <w:rFonts w:ascii="仿宋" w:hAnsi="仿宋" w:eastAsia="仿宋" w:cs="仿宋"/>
          <w:sz w:val="24"/>
        </w:rPr>
      </w:pPr>
      <w:r>
        <w:rPr>
          <w:rFonts w:hint="eastAsia" w:ascii="仿宋" w:hAnsi="仿宋" w:eastAsia="仿宋" w:cs="仿宋"/>
          <w:sz w:val="24"/>
        </w:rPr>
        <w:t>五、履约保证金</w:t>
      </w:r>
    </w:p>
    <w:p w14:paraId="28DDE770">
      <w:pPr>
        <w:spacing w:line="440" w:lineRule="exact"/>
        <w:ind w:firstLine="480" w:firstLineChars="200"/>
        <w:rPr>
          <w:rFonts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640477F2">
      <w:pPr>
        <w:spacing w:line="440" w:lineRule="exact"/>
        <w:ind w:firstLine="480" w:firstLineChars="200"/>
        <w:rPr>
          <w:rFonts w:ascii="仿宋" w:hAnsi="仿宋" w:eastAsia="仿宋" w:cs="仿宋"/>
          <w:sz w:val="24"/>
        </w:rPr>
      </w:pPr>
      <w:r>
        <w:rPr>
          <w:rFonts w:hint="eastAsia" w:ascii="仿宋" w:hAnsi="仿宋" w:eastAsia="仿宋" w:cs="仿宋"/>
          <w:sz w:val="24"/>
        </w:rPr>
        <w:t>六、转包或分包</w:t>
      </w:r>
    </w:p>
    <w:p w14:paraId="1A7A6AF7">
      <w:pPr>
        <w:spacing w:line="44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6566365B">
      <w:pPr>
        <w:spacing w:line="440" w:lineRule="exact"/>
        <w:ind w:firstLine="480" w:firstLineChars="200"/>
        <w:rPr>
          <w:rFonts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1D403CD8">
      <w:pPr>
        <w:spacing w:line="44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446AE0A4">
      <w:pPr>
        <w:spacing w:line="440" w:lineRule="exact"/>
        <w:ind w:firstLine="480" w:firstLineChars="200"/>
        <w:rPr>
          <w:rFonts w:ascii="仿宋" w:hAnsi="仿宋" w:eastAsia="仿宋" w:cs="仿宋"/>
          <w:sz w:val="24"/>
        </w:rPr>
      </w:pPr>
      <w:r>
        <w:rPr>
          <w:rFonts w:hint="eastAsia" w:ascii="仿宋" w:hAnsi="仿宋" w:eastAsia="仿宋" w:cs="仿宋"/>
          <w:sz w:val="24"/>
        </w:rPr>
        <w:t>七、合同履行时间、履行方式及履行地点</w:t>
      </w:r>
    </w:p>
    <w:p w14:paraId="5338D9EE">
      <w:pPr>
        <w:spacing w:line="440" w:lineRule="exact"/>
        <w:ind w:firstLine="480" w:firstLineChars="200"/>
        <w:rPr>
          <w:rFonts w:ascii="仿宋" w:hAnsi="仿宋" w:eastAsia="仿宋" w:cs="仿宋"/>
          <w:sz w:val="24"/>
        </w:rPr>
      </w:pPr>
      <w:r>
        <w:rPr>
          <w:rFonts w:hint="eastAsia" w:ascii="仿宋" w:hAnsi="仿宋" w:eastAsia="仿宋" w:cs="仿宋"/>
          <w:sz w:val="24"/>
        </w:rPr>
        <w:t>1. 履行时间：</w:t>
      </w:r>
    </w:p>
    <w:p w14:paraId="470D5DF2">
      <w:pPr>
        <w:spacing w:line="440" w:lineRule="exact"/>
        <w:ind w:firstLine="480" w:firstLineChars="200"/>
        <w:rPr>
          <w:rFonts w:ascii="仿宋" w:hAnsi="仿宋" w:eastAsia="仿宋" w:cs="仿宋"/>
          <w:sz w:val="24"/>
        </w:rPr>
      </w:pPr>
      <w:r>
        <w:rPr>
          <w:rFonts w:hint="eastAsia" w:ascii="仿宋" w:hAnsi="仿宋" w:eastAsia="仿宋" w:cs="仿宋"/>
          <w:sz w:val="24"/>
        </w:rPr>
        <w:t>2. 履行方式：</w:t>
      </w:r>
    </w:p>
    <w:p w14:paraId="66D9E8A0">
      <w:pPr>
        <w:spacing w:line="440" w:lineRule="exact"/>
        <w:ind w:firstLine="480" w:firstLineChars="200"/>
        <w:rPr>
          <w:rFonts w:ascii="仿宋" w:hAnsi="仿宋" w:eastAsia="仿宋" w:cs="仿宋"/>
          <w:sz w:val="24"/>
        </w:rPr>
      </w:pPr>
      <w:r>
        <w:rPr>
          <w:rFonts w:hint="eastAsia" w:ascii="仿宋" w:hAnsi="仿宋" w:eastAsia="仿宋" w:cs="仿宋"/>
          <w:sz w:val="24"/>
        </w:rPr>
        <w:t>3. 履行地点：</w:t>
      </w:r>
    </w:p>
    <w:p w14:paraId="50BE288D">
      <w:pPr>
        <w:spacing w:line="440" w:lineRule="exact"/>
        <w:ind w:firstLine="480" w:firstLineChars="200"/>
        <w:rPr>
          <w:rFonts w:ascii="仿宋" w:hAnsi="仿宋" w:eastAsia="仿宋" w:cs="仿宋"/>
          <w:sz w:val="24"/>
        </w:rPr>
      </w:pPr>
      <w:r>
        <w:rPr>
          <w:rFonts w:hint="eastAsia" w:ascii="仿宋" w:hAnsi="仿宋" w:eastAsia="仿宋" w:cs="仿宋"/>
          <w:sz w:val="24"/>
        </w:rPr>
        <w:t>八、款项支付</w:t>
      </w:r>
    </w:p>
    <w:p w14:paraId="2A268EAD">
      <w:pPr>
        <w:spacing w:line="440" w:lineRule="exact"/>
        <w:ind w:firstLine="480" w:firstLineChars="200"/>
        <w:rPr>
          <w:rFonts w:ascii="仿宋" w:hAnsi="仿宋" w:eastAsia="仿宋" w:cs="仿宋"/>
          <w:sz w:val="24"/>
        </w:rPr>
      </w:pPr>
      <w:r>
        <w:rPr>
          <w:rFonts w:hint="eastAsia" w:ascii="仿宋" w:hAnsi="仿宋" w:eastAsia="仿宋" w:cs="仿宋"/>
          <w:sz w:val="24"/>
        </w:rPr>
        <w:t>1.付款方式：</w:t>
      </w:r>
    </w:p>
    <w:p w14:paraId="243C5A71">
      <w:pPr>
        <w:spacing w:line="440" w:lineRule="exact"/>
        <w:ind w:firstLine="480" w:firstLineChars="200"/>
        <w:rPr>
          <w:rFonts w:ascii="仿宋" w:hAnsi="仿宋" w:eastAsia="仿宋" w:cs="仿宋"/>
          <w:sz w:val="24"/>
        </w:rPr>
      </w:pPr>
      <w:r>
        <w:rPr>
          <w:rFonts w:hint="eastAsia" w:ascii="仿宋" w:hAnsi="仿宋" w:eastAsia="仿宋" w:cs="仿宋"/>
          <w:sz w:val="24"/>
        </w:rPr>
        <w:t>2. 合同履行完毕，需方根据合同进行验收，验收合格后供应商按业主结算要求办理结算手续。</w:t>
      </w:r>
    </w:p>
    <w:p w14:paraId="3A66617D">
      <w:pPr>
        <w:spacing w:line="440" w:lineRule="exact"/>
        <w:ind w:firstLine="480" w:firstLineChars="200"/>
        <w:rPr>
          <w:rFonts w:ascii="仿宋" w:hAnsi="仿宋" w:eastAsia="仿宋" w:cs="仿宋"/>
          <w:sz w:val="24"/>
        </w:rPr>
      </w:pPr>
      <w:r>
        <w:rPr>
          <w:rFonts w:hint="eastAsia" w:ascii="仿宋" w:hAnsi="仿宋" w:eastAsia="仿宋" w:cs="仿宋"/>
          <w:sz w:val="24"/>
        </w:rPr>
        <w:t>九、税费</w:t>
      </w:r>
    </w:p>
    <w:p w14:paraId="04B6DA58">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75E324F4">
      <w:pPr>
        <w:spacing w:line="440" w:lineRule="exact"/>
        <w:ind w:firstLine="480" w:firstLineChars="200"/>
        <w:rPr>
          <w:rFonts w:ascii="仿宋" w:hAnsi="仿宋" w:eastAsia="仿宋" w:cs="仿宋"/>
          <w:sz w:val="24"/>
        </w:rPr>
      </w:pPr>
      <w:r>
        <w:rPr>
          <w:rFonts w:hint="eastAsia" w:ascii="仿宋" w:hAnsi="仿宋" w:eastAsia="仿宋" w:cs="仿宋"/>
          <w:sz w:val="24"/>
        </w:rPr>
        <w:t>十、质量保证及后续服务</w:t>
      </w:r>
    </w:p>
    <w:p w14:paraId="260D8D51">
      <w:pPr>
        <w:spacing w:line="440" w:lineRule="exact"/>
        <w:ind w:firstLine="480" w:firstLineChars="200"/>
        <w:rPr>
          <w:rFonts w:ascii="仿宋" w:hAnsi="仿宋" w:eastAsia="仿宋" w:cs="仿宋"/>
          <w:sz w:val="24"/>
        </w:rPr>
      </w:pPr>
      <w:r>
        <w:rPr>
          <w:rFonts w:hint="eastAsia" w:ascii="仿宋" w:hAnsi="仿宋" w:eastAsia="仿宋" w:cs="仿宋"/>
          <w:sz w:val="24"/>
        </w:rPr>
        <w:t>1. 乙方应按公开竞争文件规定向甲方提供服务。</w:t>
      </w:r>
    </w:p>
    <w:p w14:paraId="70F32CD2">
      <w:pPr>
        <w:spacing w:line="440" w:lineRule="exact"/>
        <w:ind w:firstLine="480" w:firstLineChars="200"/>
        <w:rPr>
          <w:rFonts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3C0B70AC">
      <w:pPr>
        <w:spacing w:line="44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14:paraId="1DEE3E0B">
      <w:pPr>
        <w:spacing w:line="44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14:paraId="57CEF161">
      <w:pPr>
        <w:spacing w:line="440" w:lineRule="exact"/>
        <w:ind w:firstLine="480" w:firstLineChars="200"/>
        <w:rPr>
          <w:rFonts w:ascii="仿宋" w:hAnsi="仿宋" w:eastAsia="仿宋" w:cs="仿宋"/>
          <w:sz w:val="24"/>
        </w:rPr>
      </w:pPr>
      <w:r>
        <w:rPr>
          <w:rFonts w:hint="eastAsia" w:ascii="仿宋" w:hAnsi="仿宋" w:eastAsia="仿宋" w:cs="仿宋"/>
          <w:sz w:val="24"/>
        </w:rPr>
        <w:t>⑶解除合同。</w:t>
      </w:r>
    </w:p>
    <w:p w14:paraId="390EF7B9">
      <w:pPr>
        <w:spacing w:line="440" w:lineRule="exact"/>
        <w:ind w:firstLine="480" w:firstLineChars="200"/>
        <w:rPr>
          <w:rFonts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0E4233C0">
      <w:pPr>
        <w:spacing w:line="440" w:lineRule="exact"/>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1CC8016D">
      <w:pPr>
        <w:spacing w:line="440" w:lineRule="exact"/>
        <w:ind w:firstLine="480" w:firstLineChars="200"/>
        <w:rPr>
          <w:rFonts w:ascii="仿宋" w:hAnsi="仿宋" w:eastAsia="仿宋" w:cs="仿宋"/>
          <w:sz w:val="24"/>
        </w:rPr>
      </w:pPr>
      <w:r>
        <w:rPr>
          <w:rFonts w:hint="eastAsia" w:ascii="仿宋" w:hAnsi="仿宋" w:eastAsia="仿宋" w:cs="仿宋"/>
          <w:sz w:val="24"/>
        </w:rPr>
        <w:t>十一、违约责任</w:t>
      </w:r>
    </w:p>
    <w:p w14:paraId="3FEB80AC">
      <w:pPr>
        <w:spacing w:line="440" w:lineRule="exact"/>
        <w:ind w:firstLine="480" w:firstLineChars="200"/>
        <w:rPr>
          <w:rFonts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48B42AAA">
      <w:pPr>
        <w:spacing w:line="440" w:lineRule="exact"/>
        <w:ind w:firstLine="480" w:firstLineChars="200"/>
        <w:rPr>
          <w:rFonts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42D58FFA">
      <w:pPr>
        <w:spacing w:line="440" w:lineRule="exact"/>
        <w:ind w:firstLine="480" w:firstLineChars="200"/>
        <w:rPr>
          <w:rFonts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160149F5">
      <w:pPr>
        <w:spacing w:line="440" w:lineRule="exact"/>
        <w:ind w:firstLine="480" w:firstLineChars="200"/>
        <w:rPr>
          <w:rFonts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14:paraId="4A7EF134">
      <w:pPr>
        <w:spacing w:line="440" w:lineRule="exact"/>
        <w:ind w:firstLine="480" w:firstLineChars="200"/>
        <w:rPr>
          <w:rFonts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02F83063">
      <w:pPr>
        <w:spacing w:line="440" w:lineRule="exact"/>
        <w:ind w:firstLine="480" w:firstLineChars="200"/>
        <w:rPr>
          <w:rFonts w:ascii="仿宋" w:hAnsi="仿宋" w:eastAsia="仿宋" w:cs="仿宋"/>
          <w:sz w:val="24"/>
        </w:rPr>
      </w:pPr>
      <w:r>
        <w:rPr>
          <w:rFonts w:hint="eastAsia" w:ascii="仿宋" w:hAnsi="仿宋" w:eastAsia="仿宋" w:cs="仿宋"/>
          <w:sz w:val="24"/>
        </w:rPr>
        <w:t>十二、争议的解决</w:t>
      </w:r>
    </w:p>
    <w:p w14:paraId="0664E6F0">
      <w:pPr>
        <w:spacing w:line="440" w:lineRule="exact"/>
        <w:ind w:firstLine="480" w:firstLineChars="200"/>
        <w:rPr>
          <w:rFonts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67FC35AB">
      <w:pPr>
        <w:spacing w:line="440" w:lineRule="exact"/>
        <w:ind w:firstLine="480" w:firstLineChars="200"/>
        <w:rPr>
          <w:rFonts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51A3BF98">
      <w:pPr>
        <w:spacing w:line="440" w:lineRule="exact"/>
        <w:ind w:firstLine="480" w:firstLineChars="200"/>
        <w:rPr>
          <w:rFonts w:ascii="仿宋" w:hAnsi="仿宋" w:eastAsia="仿宋" w:cs="仿宋"/>
          <w:sz w:val="24"/>
        </w:rPr>
      </w:pPr>
      <w:r>
        <w:rPr>
          <w:rFonts w:hint="eastAsia" w:ascii="仿宋" w:hAnsi="仿宋" w:eastAsia="仿宋" w:cs="仿宋"/>
          <w:sz w:val="24"/>
        </w:rPr>
        <w:t>（2）向有管辖权的人民法院提起诉讼。</w:t>
      </w:r>
    </w:p>
    <w:p w14:paraId="11FA1D03">
      <w:pPr>
        <w:spacing w:line="440" w:lineRule="exact"/>
        <w:ind w:firstLine="480" w:firstLineChars="200"/>
        <w:rPr>
          <w:rFonts w:ascii="仿宋" w:hAnsi="仿宋" w:eastAsia="仿宋" w:cs="仿宋"/>
          <w:sz w:val="24"/>
        </w:rPr>
      </w:pPr>
      <w:r>
        <w:rPr>
          <w:rFonts w:hint="eastAsia" w:ascii="仿宋" w:hAnsi="仿宋" w:eastAsia="仿宋" w:cs="仿宋"/>
          <w:sz w:val="24"/>
        </w:rPr>
        <w:t>十三、合同生效</w:t>
      </w:r>
    </w:p>
    <w:p w14:paraId="4337BA0E">
      <w:pPr>
        <w:spacing w:line="440" w:lineRule="exact"/>
        <w:ind w:firstLine="480" w:firstLineChars="200"/>
        <w:rPr>
          <w:rFonts w:ascii="仿宋" w:hAnsi="仿宋" w:eastAsia="仿宋" w:cs="仿宋"/>
          <w:sz w:val="24"/>
        </w:rPr>
      </w:pPr>
      <w:r>
        <w:rPr>
          <w:rFonts w:hint="eastAsia" w:ascii="仿宋" w:hAnsi="仿宋" w:eastAsia="仿宋" w:cs="仿宋"/>
          <w:sz w:val="24"/>
        </w:rPr>
        <w:t>1.成交方持成交通知书作为与需方签订合同的凭证。</w:t>
      </w:r>
    </w:p>
    <w:p w14:paraId="4BE98D3E">
      <w:pPr>
        <w:spacing w:line="440" w:lineRule="exact"/>
        <w:ind w:firstLine="480" w:firstLineChars="200"/>
        <w:rPr>
          <w:rFonts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59DC5B6A">
      <w:pPr>
        <w:spacing w:line="440" w:lineRule="exact"/>
        <w:ind w:firstLine="480" w:firstLineChars="200"/>
        <w:rPr>
          <w:rFonts w:ascii="仿宋" w:hAnsi="仿宋" w:eastAsia="仿宋" w:cs="仿宋"/>
          <w:sz w:val="24"/>
        </w:rPr>
      </w:pPr>
      <w:r>
        <w:rPr>
          <w:rFonts w:hint="eastAsia" w:ascii="仿宋" w:hAnsi="仿宋" w:eastAsia="仿宋" w:cs="仿宋"/>
          <w:sz w:val="24"/>
        </w:rPr>
        <w:t>3.本合同一式四份，需、供双方各执二份。</w:t>
      </w:r>
    </w:p>
    <w:p w14:paraId="75ABCDD1">
      <w:pPr>
        <w:spacing w:line="440" w:lineRule="exact"/>
        <w:ind w:firstLine="480" w:firstLineChars="200"/>
        <w:rPr>
          <w:rFonts w:ascii="仿宋" w:hAnsi="仿宋" w:eastAsia="仿宋" w:cs="仿宋"/>
          <w:sz w:val="24"/>
        </w:rPr>
      </w:pPr>
      <w:r>
        <w:rPr>
          <w:rFonts w:hint="eastAsia" w:ascii="仿宋" w:hAnsi="仿宋" w:eastAsia="仿宋" w:cs="仿宋"/>
          <w:sz w:val="24"/>
        </w:rPr>
        <w:t>需方（盖章）：                      供方（盖章）：</w:t>
      </w:r>
    </w:p>
    <w:p w14:paraId="5B03C2BC">
      <w:pPr>
        <w:spacing w:line="440" w:lineRule="exact"/>
        <w:ind w:firstLine="480" w:firstLineChars="200"/>
        <w:rPr>
          <w:rFonts w:ascii="仿宋" w:hAnsi="仿宋" w:eastAsia="仿宋" w:cs="仿宋"/>
          <w:sz w:val="24"/>
        </w:rPr>
      </w:pPr>
      <w:r>
        <w:rPr>
          <w:rFonts w:hint="eastAsia" w:ascii="仿宋" w:hAnsi="仿宋" w:eastAsia="仿宋" w:cs="仿宋"/>
          <w:sz w:val="24"/>
        </w:rPr>
        <w:t>地址：                             地址：</w:t>
      </w:r>
    </w:p>
    <w:p w14:paraId="3A529138">
      <w:pPr>
        <w:spacing w:line="440" w:lineRule="exact"/>
        <w:ind w:firstLine="480" w:firstLineChars="200"/>
        <w:rPr>
          <w:rFonts w:ascii="仿宋" w:hAnsi="仿宋" w:eastAsia="仿宋" w:cs="仿宋"/>
          <w:sz w:val="24"/>
        </w:rPr>
      </w:pPr>
      <w:r>
        <w:rPr>
          <w:rFonts w:hint="eastAsia" w:ascii="仿宋" w:hAnsi="仿宋" w:eastAsia="仿宋" w:cs="仿宋"/>
          <w:sz w:val="24"/>
        </w:rPr>
        <w:t>法定代表人：                       法定代表人：</w:t>
      </w:r>
    </w:p>
    <w:p w14:paraId="0C99F2E7">
      <w:pPr>
        <w:spacing w:line="440" w:lineRule="exact"/>
        <w:ind w:firstLine="480" w:firstLineChars="200"/>
        <w:rPr>
          <w:rFonts w:ascii="仿宋" w:hAnsi="仿宋" w:eastAsia="仿宋" w:cs="仿宋"/>
          <w:sz w:val="24"/>
        </w:rPr>
      </w:pPr>
      <w:r>
        <w:rPr>
          <w:rFonts w:hint="eastAsia" w:ascii="仿宋" w:hAnsi="仿宋" w:eastAsia="仿宋" w:cs="仿宋"/>
          <w:sz w:val="24"/>
        </w:rPr>
        <w:t>委托代理人：                       委托代理人：</w:t>
      </w:r>
    </w:p>
    <w:p w14:paraId="09084E6E">
      <w:pPr>
        <w:spacing w:line="440" w:lineRule="exact"/>
        <w:ind w:firstLine="480" w:firstLineChars="200"/>
        <w:rPr>
          <w:rFonts w:ascii="仿宋" w:hAnsi="仿宋" w:eastAsia="仿宋" w:cs="仿宋"/>
          <w:sz w:val="24"/>
        </w:rPr>
      </w:pPr>
      <w:r>
        <w:rPr>
          <w:rFonts w:hint="eastAsia" w:ascii="仿宋" w:hAnsi="仿宋" w:eastAsia="仿宋" w:cs="仿宋"/>
          <w:sz w:val="24"/>
        </w:rPr>
        <w:t>电话：                             电话：</w:t>
      </w:r>
    </w:p>
    <w:p w14:paraId="1EB58284">
      <w:pPr>
        <w:spacing w:line="440" w:lineRule="exact"/>
        <w:ind w:firstLine="480" w:firstLineChars="200"/>
        <w:rPr>
          <w:rFonts w:ascii="仿宋" w:hAnsi="仿宋" w:eastAsia="仿宋" w:cs="仿宋"/>
          <w:sz w:val="24"/>
        </w:rPr>
      </w:pPr>
      <w:r>
        <w:rPr>
          <w:rFonts w:hint="eastAsia" w:ascii="仿宋" w:hAnsi="仿宋" w:eastAsia="仿宋" w:cs="仿宋"/>
          <w:sz w:val="24"/>
        </w:rPr>
        <w:t>邮政编码：                         邮政编码：</w:t>
      </w:r>
    </w:p>
    <w:p w14:paraId="345CD067">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14:paraId="67B3E013">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帐号：                             帐号：</w:t>
      </w:r>
    </w:p>
    <w:p w14:paraId="7AA81EE0">
      <w:pPr>
        <w:rPr>
          <w:rFonts w:ascii="仿宋" w:hAnsi="仿宋" w:eastAsia="仿宋" w:cs="仿宋"/>
        </w:rPr>
      </w:pPr>
    </w:p>
    <w:p w14:paraId="1EB57FBF">
      <w:pPr>
        <w:rPr>
          <w:rFonts w:ascii="仿宋" w:hAnsi="仿宋" w:eastAsia="仿宋" w:cs="仿宋"/>
        </w:rPr>
      </w:pPr>
    </w:p>
    <w:p w14:paraId="33F28C58">
      <w:pPr>
        <w:rPr>
          <w:rFonts w:ascii="仿宋" w:hAnsi="仿宋" w:eastAsia="仿宋" w:cs="仿宋"/>
        </w:rPr>
      </w:pPr>
    </w:p>
    <w:p w14:paraId="7AFECA28">
      <w:pPr>
        <w:rPr>
          <w:rFonts w:ascii="仿宋" w:hAnsi="仿宋" w:eastAsia="仿宋" w:cs="仿宋"/>
        </w:rPr>
      </w:pPr>
    </w:p>
    <w:p w14:paraId="1B9E5798">
      <w:pPr>
        <w:rPr>
          <w:rFonts w:ascii="仿宋" w:hAnsi="仿宋" w:eastAsia="仿宋" w:cs="仿宋"/>
        </w:rPr>
      </w:pPr>
    </w:p>
    <w:p w14:paraId="24932DD3">
      <w:pPr>
        <w:rPr>
          <w:rFonts w:ascii="仿宋" w:hAnsi="仿宋" w:eastAsia="仿宋" w:cs="仿宋"/>
        </w:rPr>
      </w:pPr>
    </w:p>
    <w:p w14:paraId="3D51B5B2">
      <w:pPr>
        <w:rPr>
          <w:rFonts w:ascii="仿宋" w:hAnsi="仿宋" w:eastAsia="仿宋" w:cs="仿宋"/>
        </w:rPr>
      </w:pPr>
    </w:p>
    <w:p w14:paraId="02B4306E">
      <w:pPr>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p>
    <w:p w14:paraId="55B2995E">
      <w:pPr>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 应提交的有关格式范例</w:t>
      </w:r>
    </w:p>
    <w:p w14:paraId="3FB287D6">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3F1201AC">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30D6F0A9">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0DB60A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3B18D285">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（1）符合参加采购活动应当具备的一般条件的承诺函……………（页码）</w:t>
      </w:r>
    </w:p>
    <w:p w14:paraId="425113F4">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（2）本项目的特定资格要求………………………………………………（页码）</w:t>
      </w:r>
    </w:p>
    <w:p w14:paraId="3B77571A">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6C5543A7">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1E115B4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符合参加采购活动应当具备的一般条件的承诺函</w:t>
      </w:r>
    </w:p>
    <w:p w14:paraId="1AE66A36">
      <w:pPr>
        <w:snapToGrid w:val="0"/>
        <w:spacing w:line="360" w:lineRule="auto"/>
        <w:rPr>
          <w:rFonts w:ascii="仿宋" w:hAnsi="仿宋" w:eastAsia="仿宋" w:cs="仿宋"/>
          <w:color w:val="000000" w:themeColor="text1"/>
          <w:sz w:val="24"/>
          <w14:textFill>
            <w14:solidFill>
              <w14:schemeClr w14:val="tx1"/>
            </w14:solidFill>
          </w14:textFill>
        </w:rPr>
      </w:pPr>
    </w:p>
    <w:p w14:paraId="148569CB">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（招标发起人）、（采购代理机构）：</w:t>
      </w:r>
    </w:p>
    <w:p w14:paraId="5D3851DB">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（项目名称）【招标编号：】</w:t>
      </w:r>
      <w:r>
        <w:rPr>
          <w:rFonts w:hint="eastAsia" w:ascii="仿宋" w:hAnsi="仿宋" w:eastAsia="仿宋" w:cs="仿宋"/>
          <w:color w:val="000000" w:themeColor="text1"/>
          <w:sz w:val="24"/>
          <w14:textFill>
            <w14:solidFill>
              <w14:schemeClr w14:val="tx1"/>
            </w14:solidFill>
          </w14:textFill>
        </w:rPr>
        <w:t>采购活动，郑重承诺：</w:t>
      </w:r>
    </w:p>
    <w:p w14:paraId="54A938D7">
      <w:pPr>
        <w:snapToGrid w:val="0"/>
        <w:spacing w:line="360"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（一）具备以下条件：</w:t>
      </w:r>
    </w:p>
    <w:p w14:paraId="7AF67ABA">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5CCF1D9E">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10B00D8B">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D044A7D">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38AA71B5">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5、参加采购活动前三年内，在经营活动中没有重大违法记录；</w:t>
      </w:r>
    </w:p>
    <w:p w14:paraId="7DD8ED7D">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061BD238">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745C60EB">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16FF0884">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50F66E38">
      <w:pPr>
        <w:snapToGrid w:val="0"/>
        <w:spacing w:line="360" w:lineRule="auto"/>
        <w:ind w:firstLine="5520" w:firstLineChars="23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14:paraId="18EF3203">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2B5E648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F4239F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AB5E2A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EC46C5D">
      <w:pPr>
        <w:rPr>
          <w:rFonts w:ascii="仿宋" w:hAnsi="仿宋" w:eastAsia="仿宋" w:cs="仿宋"/>
          <w:color w:val="000000" w:themeColor="text1"/>
          <w14:textFill>
            <w14:solidFill>
              <w14:schemeClr w14:val="tx1"/>
            </w14:solidFill>
          </w14:textFill>
        </w:rPr>
      </w:pPr>
    </w:p>
    <w:p w14:paraId="507E343B">
      <w:pPr>
        <w:rPr>
          <w:rFonts w:ascii="仿宋" w:hAnsi="仿宋" w:eastAsia="仿宋" w:cs="仿宋"/>
          <w:b/>
          <w:color w:val="000000" w:themeColor="text1"/>
          <w:kern w:val="0"/>
          <w:sz w:val="32"/>
          <w:szCs w:val="32"/>
          <w14:textFill>
            <w14:solidFill>
              <w14:schemeClr w14:val="tx1"/>
            </w14:solidFill>
          </w14:textFill>
        </w:rPr>
      </w:pPr>
    </w:p>
    <w:p w14:paraId="14A68C6F">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54663F5C">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71999FBC">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2D91DE0B">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50001174">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2DAA7798">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7FBABDA2">
      <w:pPr>
        <w:widowControl/>
        <w:spacing w:line="360"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二、本项目的特定资格要求</w:t>
      </w:r>
    </w:p>
    <w:p w14:paraId="3A09F1A1">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2A87780B">
      <w:pPr>
        <w:spacing w:line="360" w:lineRule="auto"/>
        <w:jc w:val="center"/>
        <w:rPr>
          <w:rFonts w:ascii="仿宋" w:hAnsi="仿宋" w:eastAsia="仿宋" w:cs="仿宋"/>
          <w:color w:val="000000" w:themeColor="text1"/>
          <w:kern w:val="0"/>
          <w:sz w:val="24"/>
          <w:lang w:val="zh-CN"/>
          <w14:textFill>
            <w14:solidFill>
              <w14:schemeClr w14:val="tx1"/>
            </w14:solidFill>
          </w14:textFill>
        </w:rPr>
      </w:pPr>
    </w:p>
    <w:p w14:paraId="2A150D92">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04B67023">
      <w:pPr>
        <w:rPr>
          <w:rFonts w:ascii="仿宋" w:hAnsi="仿宋" w:eastAsia="仿宋" w:cs="仿宋"/>
          <w:color w:val="000000" w:themeColor="text1"/>
          <w14:textFill>
            <w14:solidFill>
              <w14:schemeClr w14:val="tx1"/>
            </w14:solidFill>
          </w14:textFill>
        </w:rPr>
      </w:pPr>
    </w:p>
    <w:p w14:paraId="65F896E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CC0F70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1D09CD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B1E5FF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75366F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5A2A17F">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B1A57C8">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1CA67AE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9C5FBA9">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7B54530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D01AB60">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74186381">
      <w:pP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66AE3FC6">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45D18F22">
      <w:pPr>
        <w:spacing w:line="360" w:lineRule="auto"/>
        <w:jc w:val="center"/>
        <w:outlineLvl w:val="0"/>
        <w:rPr>
          <w:rFonts w:ascii="仿宋" w:hAnsi="仿宋" w:eastAsia="仿宋" w:cs="仿宋"/>
          <w:b/>
          <w:color w:val="000000" w:themeColor="text1"/>
          <w:kern w:val="0"/>
          <w:sz w:val="24"/>
          <w14:textFill>
            <w14:solidFill>
              <w14:schemeClr w14:val="tx1"/>
            </w14:solidFill>
          </w14:textFill>
        </w:rPr>
      </w:pPr>
    </w:p>
    <w:p w14:paraId="136CDD07">
      <w:pPr>
        <w:spacing w:line="360" w:lineRule="auto"/>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52680891">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（1）招标函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7C1D9743">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1640D775">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50966F8E">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（5）响应标的清单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36428270">
      <w:pPr>
        <w:snapToGrid w:val="0"/>
        <w:spacing w:line="360" w:lineRule="auto"/>
        <w:ind w:left="479" w:leftChars="2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r>
        <w:rPr>
          <w:rFonts w:hint="eastAsia" w:ascii="仿宋" w:hAnsi="仿宋" w:eastAsia="仿宋" w:cs="仿宋"/>
          <w:color w:val="000000" w:themeColor="text1"/>
          <w14:textFill>
            <w14:solidFill>
              <w14:schemeClr w14:val="tx1"/>
            </w14:solidFill>
          </w14:textFill>
        </w:rPr>
        <w:t>………………………………………………………………………（页码）</w:t>
      </w:r>
    </w:p>
    <w:p w14:paraId="3092D316">
      <w:pPr>
        <w:snapToGrid w:val="0"/>
        <w:spacing w:line="360" w:lineRule="auto"/>
        <w:ind w:left="479" w:leftChars="2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采购供应商廉洁自律承诺书</w:t>
      </w:r>
      <w:r>
        <w:rPr>
          <w:rFonts w:hint="eastAsia" w:ascii="仿宋" w:hAnsi="仿宋" w:eastAsia="仿宋" w:cs="仿宋"/>
          <w:color w:val="000000" w:themeColor="text1"/>
          <w14:textFill>
            <w14:solidFill>
              <w14:schemeClr w14:val="tx1"/>
            </w14:solidFill>
          </w14:textFill>
        </w:rPr>
        <w:t>…………………………………………………（页码）</w:t>
      </w:r>
    </w:p>
    <w:p w14:paraId="0BB8C903">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B043FA5">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D0A88AF">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82AA96C">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37B253D9">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F478DD6">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p>
    <w:p w14:paraId="07193B10">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p>
    <w:p w14:paraId="6DFB9300">
      <w:pPr>
        <w:rPr>
          <w:rFonts w:ascii="仿宋" w:hAnsi="仿宋" w:eastAsia="仿宋" w:cs="仿宋"/>
          <w:color w:val="000000" w:themeColor="text1"/>
          <w14:textFill>
            <w14:solidFill>
              <w14:schemeClr w14:val="tx1"/>
            </w14:solidFill>
          </w14:textFill>
        </w:rPr>
      </w:pPr>
    </w:p>
    <w:p w14:paraId="67435E0F">
      <w:pPr>
        <w:snapToGrid w:val="0"/>
        <w:spacing w:line="360" w:lineRule="auto"/>
        <w:outlineLvl w:val="0"/>
        <w:rPr>
          <w:rFonts w:ascii="仿宋" w:hAnsi="仿宋" w:eastAsia="仿宋" w:cs="仿宋"/>
          <w:b/>
          <w:color w:val="000000" w:themeColor="text1"/>
          <w:kern w:val="0"/>
          <w:sz w:val="32"/>
          <w:szCs w:val="32"/>
          <w14:textFill>
            <w14:solidFill>
              <w14:schemeClr w14:val="tx1"/>
            </w14:solidFill>
          </w14:textFill>
        </w:rPr>
      </w:pPr>
    </w:p>
    <w:p w14:paraId="1E7C576B">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33261EA">
      <w:pPr>
        <w:snapToGrid w:val="0"/>
        <w:spacing w:line="360" w:lineRule="auto"/>
        <w:jc w:val="center"/>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一、招标函</w:t>
      </w:r>
    </w:p>
    <w:p w14:paraId="5EE310C4">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（招标发起人）、（采购代理机构）：</w:t>
      </w:r>
    </w:p>
    <w:p w14:paraId="48072956">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（项目名称）【招标编号：】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14:paraId="55C9A4ED">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1、我方承诺招标有效期从提交响应文件的截止之日起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本响应文件在招标有效期满之前均具有约束力。</w:t>
      </w:r>
    </w:p>
    <w:p w14:paraId="33C90C63">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42ED0835">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1A60B5B8">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0B280CDE">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2.1.2本项目的特定资格要求（如果有）。</w:t>
      </w:r>
    </w:p>
    <w:p w14:paraId="1A825CE5">
      <w:pPr>
        <w:snapToGrid w:val="0"/>
        <w:spacing w:line="440" w:lineRule="exact"/>
        <w:ind w:left="210" w:leftChars="1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1632722B">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2.2.1招标函；</w:t>
      </w:r>
      <w:r>
        <w:rPr>
          <w:rFonts w:hint="eastAsia" w:ascii="仿宋" w:hAnsi="仿宋" w:eastAsia="仿宋" w:cs="仿宋"/>
          <w:color w:val="000000" w:themeColor="text1"/>
          <w:sz w:val="24"/>
          <w:lang w:val="zh-CN"/>
          <w14:textFill>
            <w14:solidFill>
              <w14:schemeClr w14:val="tx1"/>
            </w14:solidFill>
          </w14:textFill>
        </w:rPr>
        <w:t xml:space="preserve"> </w:t>
      </w:r>
    </w:p>
    <w:p w14:paraId="28529F35">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04B287F4">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50164AFF">
      <w:pPr>
        <w:snapToGrid w:val="0"/>
        <w:spacing w:line="440" w:lineRule="exact"/>
        <w:ind w:left="420" w:leftChars="20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0247EAB0">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2.2.5响应标的清单；</w:t>
      </w:r>
    </w:p>
    <w:p w14:paraId="1C031172">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14:paraId="3CC0FC09">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5291C9E6">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3DFB5439">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2.3.1招标一览表（报价表）；</w:t>
      </w:r>
    </w:p>
    <w:p w14:paraId="6DDAD61C">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7F54F458">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792EBDB0">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11301488">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7C90682A">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4.3按照招标文件要求提交履约保证金； </w:t>
      </w:r>
    </w:p>
    <w:p w14:paraId="4AF90D64">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4F83922A">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058B3120">
      <w:pPr>
        <w:spacing w:line="440" w:lineRule="exact"/>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14:paraId="47E84043">
      <w:pPr>
        <w:spacing w:line="440" w:lineRule="exact"/>
        <w:jc w:val="center"/>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33F6278D">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5582491">
      <w:pPr>
        <w:jc w:val="center"/>
        <w:rPr>
          <w:rFonts w:ascii="仿宋" w:hAnsi="仿宋" w:eastAsia="仿宋" w:cs="仿宋"/>
          <w:b/>
          <w:color w:val="000000" w:themeColor="text1"/>
          <w:kern w:val="0"/>
          <w:sz w:val="32"/>
          <w:szCs w:val="32"/>
          <w14:textFill>
            <w14:solidFill>
              <w14:schemeClr w14:val="tx1"/>
            </w14:solidFill>
          </w14:textFill>
        </w:rPr>
      </w:pPr>
    </w:p>
    <w:p w14:paraId="217F8813">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3493F9A0">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BDC35DC">
      <w:pPr>
        <w:snapToGrid w:val="0"/>
        <w:spacing w:line="360" w:lineRule="auto"/>
        <w:ind w:firstLine="2872" w:firstLineChars="894"/>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w:t>
      </w:r>
      <w:r>
        <w:rPr>
          <w:rFonts w:hint="eastAsia" w:ascii="仿宋" w:hAnsi="仿宋" w:eastAsia="仿宋" w:cs="仿宋"/>
          <w:color w:val="000000" w:themeColor="text1"/>
          <w14:textFill>
            <w14:solidFill>
              <w14:schemeClr w14:val="tx1"/>
            </w14:solidFill>
          </w14:textFill>
        </w:rPr>
        <w:t xml:space="preserve">                               </w:t>
      </w:r>
    </w:p>
    <w:p w14:paraId="3A0AFE62">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（招标发起人）、（采购代理机构）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2CDB7B0">
      <w:pPr>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采购投标的一切事项，其法律后果由我方承担。</w:t>
      </w:r>
    </w:p>
    <w:p w14:paraId="390CBCB8">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38B0BA42">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6EE64087">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14:paraId="124670FC">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369236D">
      <w:pPr>
        <w:snapToGrid w:val="0"/>
        <w:spacing w:line="360" w:lineRule="auto"/>
        <w:rPr>
          <w:rFonts w:ascii="仿宋" w:hAnsi="仿宋" w:eastAsia="仿宋" w:cs="仿宋"/>
          <w:color w:val="000000" w:themeColor="text1"/>
          <w:sz w:val="24"/>
          <w14:textFill>
            <w14:solidFill>
              <w14:schemeClr w14:val="tx1"/>
            </w14:solidFill>
          </w14:textFill>
        </w:rPr>
      </w:pPr>
    </w:p>
    <w:p w14:paraId="6380E90F">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p>
    <w:p w14:paraId="6379C3D5">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15AA4FC">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D7832E3">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744F20D">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B06B06C">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AAACE96">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35C448E7">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62D9BC9">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EBE4E00">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5C349FD">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FFA4FA4">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0CE3385">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319B79B7">
      <w:pPr>
        <w:autoSpaceDE w:val="0"/>
        <w:autoSpaceDN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的身份证明（适用于法定代表人、单位负责人或者自然人本人代表供应商参加投标）</w:t>
      </w:r>
    </w:p>
    <w:p w14:paraId="349939D2">
      <w:pPr>
        <w:pStyle w:val="618"/>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23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54C0D0B">
            <w:pPr>
              <w:pStyle w:val="618"/>
              <w:adjustRightIn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019D6473">
            <w:pPr>
              <w:pStyle w:val="618"/>
              <w:adjustRightInd w:val="0"/>
              <w:spacing w:line="360" w:lineRule="auto"/>
              <w:rPr>
                <w:rFonts w:ascii="仿宋" w:hAnsi="仿宋" w:eastAsia="仿宋" w:cs="仿宋"/>
                <w:bCs/>
                <w:color w:val="000000" w:themeColor="text1"/>
                <w:sz w:val="24"/>
                <w14:textFill>
                  <w14:solidFill>
                    <w14:schemeClr w14:val="tx1"/>
                  </w14:solidFill>
                </w14:textFill>
              </w:rPr>
            </w:pPr>
          </w:p>
        </w:tc>
      </w:tr>
    </w:tbl>
    <w:p w14:paraId="76FDC722">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00CD5330">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14:paraId="5FFCFCA0">
      <w:pPr>
        <w:spacing w:line="360" w:lineRule="auto"/>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7747C11">
      <w:pPr>
        <w:jc w:val="center"/>
        <w:rPr>
          <w:rFonts w:ascii="仿宋" w:hAnsi="仿宋" w:eastAsia="仿宋" w:cs="仿宋"/>
          <w:b/>
          <w:color w:val="000000" w:themeColor="text1"/>
          <w:kern w:val="0"/>
          <w:sz w:val="32"/>
          <w:szCs w:val="32"/>
          <w14:textFill>
            <w14:solidFill>
              <w14:schemeClr w14:val="tx1"/>
            </w14:solidFill>
          </w14:textFill>
        </w:rPr>
      </w:pPr>
    </w:p>
    <w:p w14:paraId="1AC8535F">
      <w:pPr>
        <w:jc w:val="center"/>
        <w:rPr>
          <w:rFonts w:ascii="仿宋" w:hAnsi="仿宋" w:eastAsia="仿宋" w:cs="仿宋"/>
          <w:b/>
          <w:color w:val="000000" w:themeColor="text1"/>
          <w:kern w:val="0"/>
          <w:sz w:val="32"/>
          <w:szCs w:val="32"/>
          <w14:textFill>
            <w14:solidFill>
              <w14:schemeClr w14:val="tx1"/>
            </w14:solidFill>
          </w14:textFill>
        </w:rPr>
      </w:pPr>
    </w:p>
    <w:p w14:paraId="12332A06">
      <w:pPr>
        <w:jc w:val="center"/>
        <w:rPr>
          <w:rFonts w:ascii="仿宋" w:hAnsi="仿宋" w:eastAsia="仿宋" w:cs="仿宋"/>
          <w:b/>
          <w:color w:val="000000" w:themeColor="text1"/>
          <w:kern w:val="0"/>
          <w:sz w:val="32"/>
          <w:szCs w:val="32"/>
          <w14:textFill>
            <w14:solidFill>
              <w14:schemeClr w14:val="tx1"/>
            </w14:solidFill>
          </w14:textFill>
        </w:rPr>
      </w:pPr>
    </w:p>
    <w:p w14:paraId="4FDFD8BC">
      <w:pPr>
        <w:jc w:val="center"/>
        <w:rPr>
          <w:rFonts w:ascii="仿宋" w:hAnsi="仿宋" w:eastAsia="仿宋" w:cs="仿宋"/>
          <w:b/>
          <w:color w:val="000000" w:themeColor="text1"/>
          <w:kern w:val="0"/>
          <w:sz w:val="32"/>
          <w:szCs w:val="32"/>
          <w14:textFill>
            <w14:solidFill>
              <w14:schemeClr w14:val="tx1"/>
            </w14:solidFill>
          </w14:textFill>
        </w:rPr>
      </w:pPr>
    </w:p>
    <w:p w14:paraId="598A72BF">
      <w:pPr>
        <w:jc w:val="center"/>
        <w:rPr>
          <w:rFonts w:ascii="仿宋" w:hAnsi="仿宋" w:eastAsia="仿宋" w:cs="仿宋"/>
          <w:b/>
          <w:color w:val="000000" w:themeColor="text1"/>
          <w:kern w:val="0"/>
          <w:sz w:val="32"/>
          <w:szCs w:val="32"/>
          <w14:textFill>
            <w14:solidFill>
              <w14:schemeClr w14:val="tx1"/>
            </w14:solidFill>
          </w14:textFill>
        </w:rPr>
      </w:pPr>
    </w:p>
    <w:p w14:paraId="2F60EA0C">
      <w:pPr>
        <w:jc w:val="center"/>
        <w:rPr>
          <w:rFonts w:ascii="仿宋" w:hAnsi="仿宋" w:eastAsia="仿宋" w:cs="仿宋"/>
          <w:b/>
          <w:color w:val="000000" w:themeColor="text1"/>
          <w:kern w:val="0"/>
          <w:sz w:val="32"/>
          <w:szCs w:val="32"/>
          <w14:textFill>
            <w14:solidFill>
              <w14:schemeClr w14:val="tx1"/>
            </w14:solidFill>
          </w14:textFill>
        </w:rPr>
      </w:pPr>
    </w:p>
    <w:p w14:paraId="33FF8DF9">
      <w:pPr>
        <w:jc w:val="center"/>
        <w:rPr>
          <w:rFonts w:ascii="仿宋" w:hAnsi="仿宋" w:eastAsia="仿宋" w:cs="仿宋"/>
          <w:b/>
          <w:color w:val="000000" w:themeColor="text1"/>
          <w:kern w:val="0"/>
          <w:sz w:val="32"/>
          <w:szCs w:val="32"/>
          <w14:textFill>
            <w14:solidFill>
              <w14:schemeClr w14:val="tx1"/>
            </w14:solidFill>
          </w14:textFill>
        </w:rPr>
      </w:pPr>
    </w:p>
    <w:p w14:paraId="6DF66B76">
      <w:pPr>
        <w:jc w:val="center"/>
        <w:rPr>
          <w:rFonts w:ascii="仿宋" w:hAnsi="仿宋" w:eastAsia="仿宋" w:cs="仿宋"/>
          <w:b/>
          <w:color w:val="000000" w:themeColor="text1"/>
          <w:kern w:val="0"/>
          <w:sz w:val="32"/>
          <w:szCs w:val="32"/>
          <w14:textFill>
            <w14:solidFill>
              <w14:schemeClr w14:val="tx1"/>
            </w14:solidFill>
          </w14:textFill>
        </w:rPr>
      </w:pPr>
    </w:p>
    <w:p w14:paraId="21857E30">
      <w:pPr>
        <w:jc w:val="center"/>
        <w:rPr>
          <w:rFonts w:ascii="仿宋" w:hAnsi="仿宋" w:eastAsia="仿宋" w:cs="仿宋"/>
          <w:b/>
          <w:color w:val="000000" w:themeColor="text1"/>
          <w:kern w:val="0"/>
          <w:sz w:val="32"/>
          <w:szCs w:val="32"/>
          <w14:textFill>
            <w14:solidFill>
              <w14:schemeClr w14:val="tx1"/>
            </w14:solidFill>
          </w14:textFill>
        </w:rPr>
      </w:pPr>
    </w:p>
    <w:p w14:paraId="1946B5B5">
      <w:pPr>
        <w:jc w:val="center"/>
        <w:rPr>
          <w:rFonts w:ascii="仿宋" w:hAnsi="仿宋" w:eastAsia="仿宋" w:cs="仿宋"/>
          <w:b/>
          <w:color w:val="000000" w:themeColor="text1"/>
          <w:kern w:val="0"/>
          <w:sz w:val="32"/>
          <w:szCs w:val="32"/>
          <w14:textFill>
            <w14:solidFill>
              <w14:schemeClr w14:val="tx1"/>
            </w14:solidFill>
          </w14:textFill>
        </w:rPr>
      </w:pPr>
    </w:p>
    <w:p w14:paraId="48B5920E">
      <w:pPr>
        <w:jc w:val="center"/>
        <w:rPr>
          <w:rFonts w:ascii="仿宋" w:hAnsi="仿宋" w:eastAsia="仿宋" w:cs="仿宋"/>
          <w:b/>
          <w:color w:val="000000" w:themeColor="text1"/>
          <w:kern w:val="0"/>
          <w:sz w:val="32"/>
          <w:szCs w:val="32"/>
          <w14:textFill>
            <w14:solidFill>
              <w14:schemeClr w14:val="tx1"/>
            </w14:solidFill>
          </w14:textFill>
        </w:rPr>
      </w:pPr>
    </w:p>
    <w:p w14:paraId="78B110DA">
      <w:pPr>
        <w:jc w:val="center"/>
        <w:rPr>
          <w:rFonts w:ascii="仿宋" w:hAnsi="仿宋" w:eastAsia="仿宋" w:cs="仿宋"/>
          <w:b/>
          <w:color w:val="000000" w:themeColor="text1"/>
          <w:kern w:val="0"/>
          <w:sz w:val="32"/>
          <w:szCs w:val="32"/>
          <w14:textFill>
            <w14:solidFill>
              <w14:schemeClr w14:val="tx1"/>
            </w14:solidFill>
          </w14:textFill>
        </w:rPr>
      </w:pPr>
    </w:p>
    <w:p w14:paraId="3BE07F5F">
      <w:pPr>
        <w:jc w:val="center"/>
        <w:rPr>
          <w:rFonts w:ascii="仿宋" w:hAnsi="仿宋" w:eastAsia="仿宋" w:cs="仿宋"/>
          <w:b/>
          <w:color w:val="000000" w:themeColor="text1"/>
          <w:kern w:val="0"/>
          <w:sz w:val="32"/>
          <w:szCs w:val="32"/>
          <w14:textFill>
            <w14:solidFill>
              <w14:schemeClr w14:val="tx1"/>
            </w14:solidFill>
          </w14:textFill>
        </w:rPr>
      </w:pPr>
    </w:p>
    <w:p w14:paraId="2E8322E0">
      <w:pPr>
        <w:jc w:val="center"/>
        <w:rPr>
          <w:rFonts w:ascii="仿宋" w:hAnsi="仿宋" w:eastAsia="仿宋" w:cs="仿宋"/>
          <w:b/>
          <w:color w:val="000000" w:themeColor="text1"/>
          <w:kern w:val="0"/>
          <w:sz w:val="32"/>
          <w:szCs w:val="32"/>
          <w14:textFill>
            <w14:solidFill>
              <w14:schemeClr w14:val="tx1"/>
            </w14:solidFill>
          </w14:textFill>
        </w:rPr>
      </w:pPr>
    </w:p>
    <w:p w14:paraId="77DDAA29">
      <w:pPr>
        <w:jc w:val="center"/>
        <w:rPr>
          <w:rFonts w:ascii="仿宋" w:hAnsi="仿宋" w:eastAsia="仿宋" w:cs="仿宋"/>
          <w:b/>
          <w:color w:val="000000" w:themeColor="text1"/>
          <w:kern w:val="0"/>
          <w:sz w:val="32"/>
          <w:szCs w:val="32"/>
          <w14:textFill>
            <w14:solidFill>
              <w14:schemeClr w14:val="tx1"/>
            </w14:solidFill>
          </w14:textFill>
        </w:rPr>
      </w:pPr>
    </w:p>
    <w:p w14:paraId="0DD5EF58">
      <w:pPr>
        <w:jc w:val="center"/>
        <w:rPr>
          <w:rFonts w:ascii="仿宋" w:hAnsi="仿宋" w:eastAsia="仿宋" w:cs="仿宋"/>
          <w:b/>
          <w:color w:val="000000" w:themeColor="text1"/>
          <w:kern w:val="0"/>
          <w:sz w:val="32"/>
          <w:szCs w:val="32"/>
          <w14:textFill>
            <w14:solidFill>
              <w14:schemeClr w14:val="tx1"/>
            </w14:solidFill>
          </w14:textFill>
        </w:rPr>
      </w:pPr>
    </w:p>
    <w:p w14:paraId="634BAD9A">
      <w:pPr>
        <w:jc w:val="center"/>
        <w:rPr>
          <w:rFonts w:ascii="仿宋" w:hAnsi="仿宋" w:eastAsia="仿宋" w:cs="仿宋"/>
          <w:b/>
          <w:color w:val="000000" w:themeColor="text1"/>
          <w:kern w:val="0"/>
          <w:sz w:val="32"/>
          <w:szCs w:val="32"/>
          <w14:textFill>
            <w14:solidFill>
              <w14:schemeClr w14:val="tx1"/>
            </w14:solidFill>
          </w14:textFill>
        </w:rPr>
      </w:pPr>
    </w:p>
    <w:p w14:paraId="694FD458">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36922749">
      <w:pPr>
        <w:jc w:val="center"/>
        <w:rPr>
          <w:rFonts w:ascii="仿宋" w:hAnsi="仿宋" w:eastAsia="仿宋" w:cs="仿宋"/>
          <w:b/>
          <w:color w:val="000000" w:themeColor="text1"/>
          <w:kern w:val="0"/>
          <w:sz w:val="32"/>
          <w:szCs w:val="32"/>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36B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F9E3E7">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976" w:type="dxa"/>
            <w:vAlign w:val="center"/>
          </w:tcPr>
          <w:p w14:paraId="50A8DA3A">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566" w:type="dxa"/>
            <w:vAlign w:val="center"/>
          </w:tcPr>
          <w:p w14:paraId="78C8BD95">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481DE727">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14:paraId="3E399DE8">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24CC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C64423">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76" w:type="dxa"/>
            <w:vAlign w:val="center"/>
          </w:tcPr>
          <w:p w14:paraId="38309F13">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响应文件按照招标文件要求签署、盖章。</w:t>
            </w:r>
          </w:p>
        </w:tc>
        <w:tc>
          <w:tcPr>
            <w:tcW w:w="3566" w:type="dxa"/>
            <w:vAlign w:val="center"/>
          </w:tcPr>
          <w:p w14:paraId="3C5363C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6626EABB">
            <w:pPr>
              <w:jc w:val="center"/>
              <w:rPr>
                <w:rFonts w:ascii="仿宋" w:hAnsi="仿宋" w:eastAsia="仿宋" w:cs="仿宋"/>
                <w:color w:val="000000" w:themeColor="text1"/>
                <w:sz w:val="24"/>
                <w14:textFill>
                  <w14:solidFill>
                    <w14:schemeClr w14:val="tx1"/>
                  </w14:solidFill>
                </w14:textFill>
              </w:rPr>
            </w:pPr>
          </w:p>
          <w:p w14:paraId="7E07FF4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14:paraId="13D9C7A6">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3E61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5CC45B">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76" w:type="dxa"/>
            <w:vAlign w:val="center"/>
          </w:tcPr>
          <w:p w14:paraId="0FE5C2BC">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响应文件中承诺的招标有效期不少于招标文件中载明的招标有效期。</w:t>
            </w:r>
          </w:p>
        </w:tc>
        <w:tc>
          <w:tcPr>
            <w:tcW w:w="3566" w:type="dxa"/>
            <w:vAlign w:val="center"/>
          </w:tcPr>
          <w:p w14:paraId="7C6C5A7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招标函</w:t>
            </w:r>
          </w:p>
        </w:tc>
        <w:tc>
          <w:tcPr>
            <w:tcW w:w="1418" w:type="dxa"/>
            <w:vAlign w:val="center"/>
          </w:tcPr>
          <w:p w14:paraId="63D6B170">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037A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15E2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76" w:type="dxa"/>
            <w:vAlign w:val="center"/>
          </w:tcPr>
          <w:p w14:paraId="22963F8F">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响应文件满足招标文件的其它实质性要求。</w:t>
            </w:r>
          </w:p>
        </w:tc>
        <w:tc>
          <w:tcPr>
            <w:tcW w:w="3566" w:type="dxa"/>
            <w:vAlign w:val="center"/>
          </w:tcPr>
          <w:p w14:paraId="791123AB">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14:paraId="21924558">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14:paraId="201FFE28">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6660174">
      <w:pPr>
        <w:jc w:val="center"/>
        <w:rPr>
          <w:rFonts w:ascii="仿宋" w:hAnsi="仿宋" w:eastAsia="仿宋" w:cs="仿宋"/>
          <w:b/>
          <w:color w:val="000000" w:themeColor="text1"/>
          <w:kern w:val="0"/>
          <w:sz w:val="32"/>
          <w:szCs w:val="32"/>
          <w14:textFill>
            <w14:solidFill>
              <w14:schemeClr w14:val="tx1"/>
            </w14:solidFill>
          </w14:textFill>
        </w:rPr>
      </w:pPr>
    </w:p>
    <w:p w14:paraId="1252661B">
      <w:pPr>
        <w:jc w:val="center"/>
        <w:rPr>
          <w:rFonts w:ascii="仿宋" w:hAnsi="仿宋" w:eastAsia="仿宋" w:cs="仿宋"/>
          <w:b/>
          <w:color w:val="000000" w:themeColor="text1"/>
          <w:kern w:val="0"/>
          <w:sz w:val="32"/>
          <w:szCs w:val="32"/>
          <w14:textFill>
            <w14:solidFill>
              <w14:schemeClr w14:val="tx1"/>
            </w14:solidFill>
          </w14:textFill>
        </w:rPr>
      </w:pPr>
    </w:p>
    <w:p w14:paraId="7E23DEAA">
      <w:pPr>
        <w:jc w:val="center"/>
        <w:rPr>
          <w:rFonts w:ascii="仿宋" w:hAnsi="仿宋" w:eastAsia="仿宋" w:cs="仿宋"/>
          <w:b/>
          <w:color w:val="000000" w:themeColor="text1"/>
          <w:kern w:val="0"/>
          <w:sz w:val="32"/>
          <w:szCs w:val="32"/>
          <w14:textFill>
            <w14:solidFill>
              <w14:schemeClr w14:val="tx1"/>
            </w14:solidFill>
          </w14:textFill>
        </w:rPr>
      </w:pPr>
    </w:p>
    <w:p w14:paraId="41221D30">
      <w:pPr>
        <w:jc w:val="center"/>
        <w:rPr>
          <w:rFonts w:ascii="仿宋" w:hAnsi="仿宋" w:eastAsia="仿宋" w:cs="仿宋"/>
          <w:b/>
          <w:color w:val="000000" w:themeColor="text1"/>
          <w:kern w:val="0"/>
          <w:sz w:val="32"/>
          <w:szCs w:val="32"/>
          <w14:textFill>
            <w14:solidFill>
              <w14:schemeClr w14:val="tx1"/>
            </w14:solidFill>
          </w14:textFill>
        </w:rPr>
      </w:pPr>
    </w:p>
    <w:p w14:paraId="54C696F9">
      <w:pPr>
        <w:jc w:val="center"/>
        <w:rPr>
          <w:rFonts w:ascii="仿宋" w:hAnsi="仿宋" w:eastAsia="仿宋" w:cs="仿宋"/>
          <w:b/>
          <w:color w:val="000000" w:themeColor="text1"/>
          <w:kern w:val="0"/>
          <w:sz w:val="32"/>
          <w:szCs w:val="32"/>
          <w14:textFill>
            <w14:solidFill>
              <w14:schemeClr w14:val="tx1"/>
            </w14:solidFill>
          </w14:textFill>
        </w:rPr>
      </w:pPr>
    </w:p>
    <w:p w14:paraId="619AB4CF">
      <w:pPr>
        <w:jc w:val="center"/>
        <w:rPr>
          <w:rFonts w:ascii="仿宋" w:hAnsi="仿宋" w:eastAsia="仿宋" w:cs="仿宋"/>
          <w:b/>
          <w:color w:val="000000" w:themeColor="text1"/>
          <w:kern w:val="0"/>
          <w:sz w:val="32"/>
          <w:szCs w:val="32"/>
          <w14:textFill>
            <w14:solidFill>
              <w14:schemeClr w14:val="tx1"/>
            </w14:solidFill>
          </w14:textFill>
        </w:rPr>
      </w:pPr>
    </w:p>
    <w:p w14:paraId="071747B0">
      <w:pPr>
        <w:rPr>
          <w:rFonts w:ascii="仿宋" w:hAnsi="仿宋" w:eastAsia="仿宋" w:cs="仿宋"/>
          <w:b/>
          <w:color w:val="000000" w:themeColor="text1"/>
          <w:kern w:val="0"/>
          <w:sz w:val="32"/>
          <w:szCs w:val="32"/>
          <w14:textFill>
            <w14:solidFill>
              <w14:schemeClr w14:val="tx1"/>
            </w14:solidFill>
          </w14:textFill>
        </w:rPr>
      </w:pPr>
    </w:p>
    <w:p w14:paraId="2325E04A">
      <w:pPr>
        <w:rPr>
          <w:rFonts w:ascii="仿宋" w:hAnsi="仿宋" w:eastAsia="仿宋" w:cs="仿宋"/>
          <w:b/>
          <w:color w:val="000000" w:themeColor="text1"/>
          <w:kern w:val="0"/>
          <w:sz w:val="32"/>
          <w:szCs w:val="32"/>
          <w14:textFill>
            <w14:solidFill>
              <w14:schemeClr w14:val="tx1"/>
            </w14:solidFill>
          </w14:textFill>
        </w:rPr>
      </w:pPr>
    </w:p>
    <w:p w14:paraId="7F1A36F1">
      <w:pPr>
        <w:jc w:val="center"/>
        <w:rPr>
          <w:rFonts w:ascii="仿宋" w:hAnsi="仿宋" w:eastAsia="仿宋" w:cs="仿宋"/>
          <w:b/>
          <w:color w:val="000000" w:themeColor="text1"/>
          <w:kern w:val="0"/>
          <w:sz w:val="32"/>
          <w:szCs w:val="32"/>
          <w14:textFill>
            <w14:solidFill>
              <w14:schemeClr w14:val="tx1"/>
            </w14:solidFill>
          </w14:textFill>
        </w:rPr>
      </w:pPr>
    </w:p>
    <w:p w14:paraId="2BBAC75E">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377F38E4">
      <w:pPr>
        <w:snapToGrid w:val="0"/>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（按招标文件第四部分招标办法前附表中“响应文件中评标标准相应的商务技术资料目录”提供资料。）</w:t>
      </w:r>
    </w:p>
    <w:p w14:paraId="26B65134">
      <w:pPr>
        <w:jc w:val="center"/>
        <w:rPr>
          <w:rFonts w:ascii="仿宋" w:hAnsi="仿宋" w:eastAsia="仿宋" w:cs="仿宋"/>
          <w:b/>
          <w:color w:val="000000" w:themeColor="text1"/>
          <w:kern w:val="0"/>
          <w:sz w:val="32"/>
          <w:szCs w:val="32"/>
          <w14:textFill>
            <w14:solidFill>
              <w14:schemeClr w14:val="tx1"/>
            </w14:solidFill>
          </w14:textFill>
        </w:rPr>
      </w:pPr>
    </w:p>
    <w:p w14:paraId="3B561195">
      <w:pPr>
        <w:jc w:val="center"/>
        <w:rPr>
          <w:rFonts w:ascii="仿宋" w:hAnsi="仿宋" w:eastAsia="仿宋" w:cs="仿宋"/>
          <w:b/>
          <w:color w:val="000000" w:themeColor="text1"/>
          <w:kern w:val="0"/>
          <w:sz w:val="32"/>
          <w:szCs w:val="32"/>
          <w14:textFill>
            <w14:solidFill>
              <w14:schemeClr w14:val="tx1"/>
            </w14:solidFill>
          </w14:textFill>
        </w:rPr>
      </w:pPr>
    </w:p>
    <w:p w14:paraId="6FED44DD">
      <w:pPr>
        <w:jc w:val="center"/>
        <w:rPr>
          <w:rFonts w:ascii="仿宋" w:hAnsi="仿宋" w:eastAsia="仿宋" w:cs="仿宋"/>
          <w:b/>
          <w:color w:val="000000" w:themeColor="text1"/>
          <w:kern w:val="0"/>
          <w:sz w:val="32"/>
          <w:szCs w:val="32"/>
          <w14:textFill>
            <w14:solidFill>
              <w14:schemeClr w14:val="tx1"/>
            </w14:solidFill>
          </w14:textFill>
        </w:rPr>
      </w:pPr>
    </w:p>
    <w:p w14:paraId="7C77B3EA">
      <w:pPr>
        <w:pStyle w:val="71"/>
      </w:pPr>
    </w:p>
    <w:p w14:paraId="173E0BED">
      <w:pPr>
        <w:jc w:val="center"/>
        <w:rPr>
          <w:rFonts w:ascii="仿宋" w:hAnsi="仿宋" w:eastAsia="仿宋" w:cs="仿宋"/>
          <w:b/>
          <w:color w:val="000000" w:themeColor="text1"/>
          <w:kern w:val="0"/>
          <w:sz w:val="32"/>
          <w:szCs w:val="32"/>
          <w14:textFill>
            <w14:solidFill>
              <w14:schemeClr w14:val="tx1"/>
            </w14:solidFill>
          </w14:textFill>
        </w:rPr>
      </w:pPr>
    </w:p>
    <w:p w14:paraId="425C3693">
      <w:pPr>
        <w:rPr>
          <w:rFonts w:ascii="仿宋" w:hAnsi="仿宋" w:eastAsia="仿宋" w:cs="仿宋"/>
          <w:b/>
          <w:color w:val="000000" w:themeColor="text1"/>
          <w:kern w:val="0"/>
          <w:sz w:val="32"/>
          <w:szCs w:val="32"/>
          <w14:textFill>
            <w14:solidFill>
              <w14:schemeClr w14:val="tx1"/>
            </w14:solidFill>
          </w14:textFill>
        </w:rPr>
      </w:pPr>
    </w:p>
    <w:p w14:paraId="66A67712">
      <w:pPr>
        <w:ind w:firstLine="2891" w:firstLineChars="900"/>
        <w:rPr>
          <w:rFonts w:ascii="仿宋" w:hAnsi="仿宋" w:eastAsia="仿宋" w:cs="仿宋"/>
          <w:b/>
          <w:color w:val="000000" w:themeColor="text1"/>
          <w:kern w:val="0"/>
          <w:sz w:val="32"/>
          <w:szCs w:val="32"/>
          <w14:textFill>
            <w14:solidFill>
              <w14:schemeClr w14:val="tx1"/>
            </w14:solidFill>
          </w14:textFill>
        </w:rPr>
      </w:pPr>
    </w:p>
    <w:p w14:paraId="1B32ED4B">
      <w:pPr>
        <w:ind w:firstLine="2891" w:firstLineChars="900"/>
        <w:rPr>
          <w:rFonts w:ascii="仿宋" w:hAnsi="仿宋" w:eastAsia="仿宋" w:cs="仿宋"/>
          <w:b/>
          <w:color w:val="000000" w:themeColor="text1"/>
          <w:kern w:val="0"/>
          <w:sz w:val="32"/>
          <w:szCs w:val="32"/>
          <w14:textFill>
            <w14:solidFill>
              <w14:schemeClr w14:val="tx1"/>
            </w14:solidFill>
          </w14:textFill>
        </w:rPr>
      </w:pPr>
    </w:p>
    <w:p w14:paraId="0BC6247A">
      <w:pPr>
        <w:widowControl/>
        <w:spacing w:line="360" w:lineRule="auto"/>
        <w:ind w:left="141" w:firstLine="617"/>
        <w:jc w:val="center"/>
        <w:rPr>
          <w:rFonts w:ascii="仿宋" w:hAnsi="仿宋" w:eastAsia="仿宋" w:cs="仿宋"/>
          <w:b/>
          <w:kern w:val="0"/>
          <w:sz w:val="32"/>
          <w:szCs w:val="32"/>
        </w:rPr>
      </w:pPr>
      <w:r>
        <w:rPr>
          <w:rFonts w:hint="eastAsia" w:ascii="仿宋" w:hAnsi="仿宋" w:eastAsia="仿宋" w:cs="仿宋"/>
          <w:b/>
          <w:kern w:val="0"/>
          <w:sz w:val="32"/>
          <w:szCs w:val="32"/>
        </w:rPr>
        <w:t>五、联合协议</w:t>
      </w:r>
    </w:p>
    <w:p w14:paraId="4B7201B6">
      <w:pPr>
        <w:spacing w:line="360" w:lineRule="auto"/>
        <w:ind w:firstLine="461"/>
        <w:jc w:val="center"/>
        <w:rPr>
          <w:rFonts w:ascii="仿宋" w:hAnsi="仿宋" w:eastAsia="仿宋" w:cs="仿宋"/>
          <w:b/>
          <w:kern w:val="0"/>
          <w:sz w:val="36"/>
          <w:szCs w:val="36"/>
        </w:rPr>
      </w:pPr>
      <w:r>
        <w:rPr>
          <w:rFonts w:hint="eastAsia" w:ascii="仿宋" w:hAnsi="仿宋" w:eastAsia="仿宋" w:cs="仿宋"/>
          <w:sz w:val="24"/>
        </w:rPr>
        <w:t>（以联合体形式投标的，提供联合协议；本项目不接受联合体投标或者供应商不以联合体形式投标的，则不需要提供））</w:t>
      </w:r>
    </w:p>
    <w:p w14:paraId="6FB86F18">
      <w:pPr>
        <w:autoSpaceDE w:val="0"/>
        <w:autoSpaceDN w:val="0"/>
        <w:ind w:firstLine="617"/>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118ACC9B">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w:t>
      </w:r>
      <w:r>
        <w:rPr>
          <w:rFonts w:hint="eastAsia" w:ascii="仿宋" w:hAnsi="仿宋" w:eastAsia="仿宋" w:cs="仿宋"/>
          <w:kern w:val="0"/>
          <w:sz w:val="24"/>
        </w:rPr>
        <w:t>响应人</w:t>
      </w:r>
      <w:r>
        <w:rPr>
          <w:rFonts w:hint="eastAsia" w:ascii="仿宋" w:hAnsi="仿宋" w:eastAsia="仿宋" w:cs="仿宋"/>
          <w:kern w:val="0"/>
          <w:sz w:val="24"/>
          <w:lang w:val="zh-CN"/>
        </w:rPr>
        <w:t>的身份</w:t>
      </w:r>
      <w:r>
        <w:rPr>
          <w:rFonts w:hint="eastAsia" w:ascii="仿宋" w:hAnsi="仿宋" w:eastAsia="仿宋" w:cs="仿宋"/>
          <w:kern w:val="0"/>
          <w:sz w:val="24"/>
        </w:rPr>
        <w:t>参加</w:t>
      </w:r>
      <w:r>
        <w:rPr>
          <w:rFonts w:hint="eastAsia" w:ascii="仿宋" w:hAnsi="仿宋" w:eastAsia="仿宋" w:cs="仿宋"/>
          <w:sz w:val="24"/>
        </w:rPr>
        <w:t>（交易名称）【交易编号】</w:t>
      </w:r>
      <w:r>
        <w:rPr>
          <w:rFonts w:hint="eastAsia" w:ascii="仿宋" w:hAnsi="仿宋" w:eastAsia="仿宋" w:cs="仿宋"/>
          <w:kern w:val="0"/>
          <w:sz w:val="24"/>
          <w:lang w:val="zh-CN"/>
        </w:rPr>
        <w:t xml:space="preserve">投标。 </w:t>
      </w:r>
    </w:p>
    <w:p w14:paraId="14D8048B">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E32FEBF">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授权代表根据公开竞争文件规定及</w:t>
      </w:r>
      <w:r>
        <w:rPr>
          <w:rFonts w:hint="eastAsia" w:ascii="仿宋" w:hAnsi="仿宋" w:eastAsia="仿宋" w:cs="仿宋"/>
          <w:kern w:val="0"/>
          <w:sz w:val="24"/>
        </w:rPr>
        <w:t>交易</w:t>
      </w:r>
      <w:r>
        <w:rPr>
          <w:rFonts w:hint="eastAsia" w:ascii="仿宋" w:hAnsi="仿宋" w:eastAsia="仿宋" w:cs="仿宋"/>
          <w:kern w:val="0"/>
          <w:sz w:val="24"/>
          <w:lang w:val="zh-CN"/>
        </w:rPr>
        <w:t>内容而对交易发起人、代理机构所作的任何合法承诺，包括书面澄清及相应等均对联合</w:t>
      </w:r>
      <w:r>
        <w:rPr>
          <w:rFonts w:hint="eastAsia" w:ascii="仿宋" w:hAnsi="仿宋" w:eastAsia="仿宋" w:cs="仿宋"/>
          <w:kern w:val="0"/>
          <w:sz w:val="24"/>
        </w:rPr>
        <w:t>响应</w:t>
      </w:r>
      <w:r>
        <w:rPr>
          <w:rFonts w:hint="eastAsia" w:ascii="仿宋" w:hAnsi="仿宋" w:eastAsia="仿宋" w:cs="仿宋"/>
          <w:kern w:val="0"/>
          <w:sz w:val="24"/>
          <w:lang w:val="zh-CN"/>
        </w:rPr>
        <w:t>各方产生约束力。</w:t>
      </w:r>
    </w:p>
    <w:p w14:paraId="4563AC58">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1BD78656">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64946F7">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43454A3">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w:t>
      </w:r>
    </w:p>
    <w:p w14:paraId="569FC210">
      <w:pPr>
        <w:snapToGrid w:val="0"/>
        <w:spacing w:line="360" w:lineRule="auto"/>
        <w:ind w:firstLine="461"/>
        <w:rPr>
          <w:rFonts w:ascii="仿宋" w:hAnsi="仿宋" w:eastAsia="仿宋" w:cs="仿宋"/>
          <w:b/>
          <w:bCs/>
          <w:kern w:val="0"/>
          <w:sz w:val="24"/>
          <w:lang w:val="zh-CN"/>
        </w:rPr>
      </w:pPr>
      <w:r>
        <w:rPr>
          <w:rFonts w:hint="eastAsia" w:ascii="仿宋" w:hAnsi="仿宋" w:eastAsia="仿宋" w:cs="仿宋"/>
          <w:kern w:val="0"/>
          <w:sz w:val="24"/>
          <w:lang w:val="zh-CN"/>
        </w:rPr>
        <w:t>四、联合体成员中小企业合同份额：</w:t>
      </w:r>
      <w:r>
        <w:rPr>
          <w:rFonts w:hint="eastAsia" w:ascii="仿宋" w:hAnsi="仿宋" w:eastAsia="仿宋" w:cs="仿宋"/>
          <w:kern w:val="0"/>
          <w:sz w:val="24"/>
        </w:rPr>
        <w:t>/。</w:t>
      </w:r>
    </w:p>
    <w:p w14:paraId="49E4B947">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五、如果</w:t>
      </w:r>
      <w:r>
        <w:rPr>
          <w:rFonts w:hint="eastAsia" w:ascii="仿宋" w:hAnsi="仿宋" w:eastAsia="仿宋" w:cs="仿宋"/>
          <w:kern w:val="0"/>
          <w:sz w:val="24"/>
        </w:rPr>
        <w:t>成交</w:t>
      </w:r>
      <w:r>
        <w:rPr>
          <w:rFonts w:hint="eastAsia" w:ascii="仿宋" w:hAnsi="仿宋" w:eastAsia="仿宋" w:cs="仿宋"/>
          <w:kern w:val="0"/>
          <w:sz w:val="24"/>
          <w:lang w:val="zh-CN"/>
        </w:rPr>
        <w:t>，</w:t>
      </w:r>
      <w:r>
        <w:rPr>
          <w:rFonts w:hint="eastAsia" w:ascii="仿宋" w:hAnsi="仿宋" w:eastAsia="仿宋" w:cs="仿宋"/>
          <w:sz w:val="24"/>
        </w:rPr>
        <w:t>联合体各成员方共同与交易发起人签订合同，并就采购合同约定的事项对交易发起人承担连带责任。</w:t>
      </w:r>
    </w:p>
    <w:p w14:paraId="66A4ADFC">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6B38A8A">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0D6C2D9">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9FDDC32">
      <w:pPr>
        <w:snapToGrid w:val="0"/>
        <w:spacing w:line="360" w:lineRule="auto"/>
        <w:ind w:firstLine="461"/>
        <w:rPr>
          <w:rFonts w:ascii="仿宋" w:hAnsi="仿宋" w:eastAsia="仿宋" w:cs="仿宋"/>
          <w:kern w:val="0"/>
          <w:sz w:val="24"/>
          <w:lang w:val="zh-CN"/>
        </w:rPr>
      </w:pPr>
      <w:r>
        <w:rPr>
          <w:rFonts w:hint="eastAsia" w:ascii="仿宋" w:hAnsi="仿宋" w:eastAsia="仿宋" w:cs="仿宋"/>
          <w:kern w:val="0"/>
          <w:sz w:val="24"/>
          <w:lang w:val="zh-CN"/>
        </w:rPr>
        <w:t>3、本协议提交交易发起人、代理机构后，联合体各方不得以任何形式对上述内容进行修改或撤销。</w:t>
      </w:r>
    </w:p>
    <w:p w14:paraId="6AF52A13">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5C18C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A2F907E">
      <w:pPr>
        <w:snapToGrid w:val="0"/>
        <w:spacing w:line="360" w:lineRule="auto"/>
        <w:ind w:right="960" w:firstLine="461"/>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DC6F177">
      <w:pPr>
        <w:snapToGrid w:val="0"/>
        <w:spacing w:line="360" w:lineRule="auto"/>
        <w:ind w:firstLine="461"/>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442A24D7">
      <w:pPr>
        <w:snapToGrid w:val="0"/>
        <w:spacing w:line="360" w:lineRule="auto"/>
        <w:ind w:firstLine="461"/>
        <w:rPr>
          <w:rFonts w:ascii="仿宋" w:hAnsi="仿宋" w:eastAsia="仿宋" w:cs="仿宋"/>
          <w:b/>
          <w:kern w:val="0"/>
          <w:sz w:val="32"/>
          <w:szCs w:val="32"/>
        </w:rPr>
      </w:pPr>
      <w:r>
        <w:rPr>
          <w:rFonts w:hint="eastAsia" w:ascii="仿宋" w:hAnsi="仿宋" w:eastAsia="仿宋" w:cs="仿宋"/>
          <w:sz w:val="24"/>
        </w:rPr>
        <w:t>注：按本格式和要求提供。</w:t>
      </w:r>
    </w:p>
    <w:p w14:paraId="1FD4384E">
      <w:pPr>
        <w:ind w:firstLine="2891" w:firstLineChars="9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4284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80C6E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5B591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975CB00">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36F9C4A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26FAD620">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7FF542B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7F0D766A">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14:paraId="4C67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801C42">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C9095C">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578F227">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7BEE92F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0A87FA0D">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D9077C0">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A4ECEFA">
            <w:pPr>
              <w:spacing w:line="360" w:lineRule="auto"/>
              <w:jc w:val="center"/>
              <w:rPr>
                <w:rFonts w:ascii="仿宋" w:hAnsi="仿宋" w:eastAsia="仿宋" w:cs="仿宋"/>
                <w:color w:val="000000" w:themeColor="text1"/>
                <w:sz w:val="24"/>
                <w14:textFill>
                  <w14:solidFill>
                    <w14:schemeClr w14:val="tx1"/>
                  </w14:solidFill>
                </w14:textFill>
              </w:rPr>
            </w:pPr>
          </w:p>
        </w:tc>
      </w:tr>
      <w:tr w14:paraId="0710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268B62">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BDE91F">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7A51EC8">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249AB44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5E03B90D">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FDF01B6">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95182BA">
            <w:pPr>
              <w:spacing w:line="360" w:lineRule="auto"/>
              <w:jc w:val="center"/>
              <w:rPr>
                <w:rFonts w:ascii="仿宋" w:hAnsi="仿宋" w:eastAsia="仿宋" w:cs="仿宋"/>
                <w:color w:val="000000" w:themeColor="text1"/>
                <w:sz w:val="24"/>
                <w14:textFill>
                  <w14:solidFill>
                    <w14:schemeClr w14:val="tx1"/>
                  </w14:solidFill>
                </w14:textFill>
              </w:rPr>
            </w:pPr>
          </w:p>
        </w:tc>
      </w:tr>
      <w:tr w14:paraId="797D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0963D2">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647340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4A2AD21">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2FD8AF9E">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26D61811">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E660B94">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BD730F1">
            <w:pPr>
              <w:spacing w:line="360" w:lineRule="auto"/>
              <w:jc w:val="center"/>
              <w:rPr>
                <w:rFonts w:ascii="仿宋" w:hAnsi="仿宋" w:eastAsia="仿宋" w:cs="仿宋"/>
                <w:color w:val="000000" w:themeColor="text1"/>
                <w:sz w:val="24"/>
                <w14:textFill>
                  <w14:solidFill>
                    <w14:schemeClr w14:val="tx1"/>
                  </w14:solidFill>
                </w14:textFill>
              </w:rPr>
            </w:pPr>
          </w:p>
        </w:tc>
      </w:tr>
    </w:tbl>
    <w:p w14:paraId="5795DFCC">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2BB77758">
      <w:pPr>
        <w:jc w:val="center"/>
        <w:rPr>
          <w:rFonts w:ascii="仿宋" w:hAnsi="仿宋" w:eastAsia="仿宋" w:cs="仿宋"/>
          <w:b/>
          <w:color w:val="000000" w:themeColor="text1"/>
          <w:kern w:val="0"/>
          <w:sz w:val="32"/>
          <w:szCs w:val="32"/>
          <w14:textFill>
            <w14:solidFill>
              <w14:schemeClr w14:val="tx1"/>
            </w14:solidFill>
          </w14:textFill>
        </w:rPr>
      </w:pPr>
    </w:p>
    <w:p w14:paraId="386A2377">
      <w:pPr>
        <w:jc w:val="center"/>
        <w:rPr>
          <w:rFonts w:ascii="仿宋" w:hAnsi="仿宋" w:eastAsia="仿宋" w:cs="仿宋"/>
          <w:b/>
          <w:color w:val="000000" w:themeColor="text1"/>
          <w:kern w:val="0"/>
          <w:sz w:val="32"/>
          <w:szCs w:val="32"/>
          <w14:textFill>
            <w14:solidFill>
              <w14:schemeClr w14:val="tx1"/>
            </w14:solidFill>
          </w14:textFill>
        </w:rPr>
      </w:pPr>
    </w:p>
    <w:p w14:paraId="5ADF646B">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七、商务技术偏离表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694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1C550E">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24F7E16A">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招标文件章节及具体内容</w:t>
            </w:r>
          </w:p>
        </w:tc>
        <w:tc>
          <w:tcPr>
            <w:tcW w:w="3546" w:type="dxa"/>
          </w:tcPr>
          <w:p w14:paraId="548F657D">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6" w:type="dxa"/>
          </w:tcPr>
          <w:p w14:paraId="1C355F47">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4A6D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241C9B">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366A3E93">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24EF6632">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0F304902">
            <w:pPr>
              <w:jc w:val="center"/>
              <w:rPr>
                <w:rFonts w:ascii="仿宋" w:hAnsi="仿宋" w:eastAsia="仿宋" w:cs="仿宋"/>
                <w:b/>
                <w:color w:val="000000" w:themeColor="text1"/>
                <w:kern w:val="0"/>
                <w:sz w:val="32"/>
                <w:szCs w:val="32"/>
                <w14:textFill>
                  <w14:solidFill>
                    <w14:schemeClr w14:val="tx1"/>
                  </w14:solidFill>
                </w14:textFill>
              </w:rPr>
            </w:pPr>
          </w:p>
        </w:tc>
      </w:tr>
      <w:tr w14:paraId="3494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704CF8">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1445C327">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535C68B6">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1B29FB24">
            <w:pPr>
              <w:jc w:val="center"/>
              <w:rPr>
                <w:rFonts w:ascii="仿宋" w:hAnsi="仿宋" w:eastAsia="仿宋" w:cs="仿宋"/>
                <w:b/>
                <w:color w:val="000000" w:themeColor="text1"/>
                <w:kern w:val="0"/>
                <w:sz w:val="32"/>
                <w:szCs w:val="32"/>
                <w14:textFill>
                  <w14:solidFill>
                    <w14:schemeClr w14:val="tx1"/>
                  </w14:solidFill>
                </w14:textFill>
              </w:rPr>
            </w:pPr>
          </w:p>
        </w:tc>
      </w:tr>
      <w:tr w14:paraId="326A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30713F">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12755F4C">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3BD59F2E">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0D4886E0">
            <w:pPr>
              <w:jc w:val="center"/>
              <w:rPr>
                <w:rFonts w:ascii="仿宋" w:hAnsi="仿宋" w:eastAsia="仿宋" w:cs="仿宋"/>
                <w:b/>
                <w:color w:val="000000" w:themeColor="text1"/>
                <w:kern w:val="0"/>
                <w:sz w:val="32"/>
                <w:szCs w:val="32"/>
                <w14:textFill>
                  <w14:solidFill>
                    <w14:schemeClr w14:val="tx1"/>
                  </w14:solidFill>
                </w14:textFill>
              </w:rPr>
            </w:pPr>
          </w:p>
        </w:tc>
      </w:tr>
    </w:tbl>
    <w:p w14:paraId="4A21BBD1">
      <w:pPr>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供应商保证：除商务技术偏离表列出的偏离外，供应商响应招标文件的全部要求</w:t>
      </w:r>
    </w:p>
    <w:p w14:paraId="0B2F29C1">
      <w:pPr>
        <w:jc w:val="center"/>
        <w:rPr>
          <w:rFonts w:ascii="仿宋" w:hAnsi="仿宋" w:eastAsia="仿宋" w:cs="仿宋"/>
          <w:b/>
          <w:color w:val="000000" w:themeColor="text1"/>
          <w:kern w:val="0"/>
          <w:sz w:val="32"/>
          <w:szCs w:val="32"/>
          <w14:textFill>
            <w14:solidFill>
              <w14:schemeClr w14:val="tx1"/>
            </w14:solidFill>
          </w14:textFill>
        </w:rPr>
      </w:pPr>
    </w:p>
    <w:p w14:paraId="2B618903">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57D1FEE5">
      <w:pPr>
        <w:jc w:val="center"/>
        <w:rPr>
          <w:rFonts w:ascii="仿宋" w:hAnsi="仿宋" w:eastAsia="仿宋" w:cs="仿宋"/>
          <w:b/>
          <w:color w:val="000000" w:themeColor="text1"/>
          <w:kern w:val="0"/>
          <w:sz w:val="32"/>
          <w:szCs w:val="32"/>
          <w14:textFill>
            <w14:solidFill>
              <w14:schemeClr w14:val="tx1"/>
            </w14:solidFill>
          </w14:textFill>
        </w:rPr>
      </w:pPr>
    </w:p>
    <w:p w14:paraId="2E2C89FC">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7DB64682">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54BBF1BF">
      <w:pPr>
        <w:snapToGrid w:val="0"/>
        <w:spacing w:line="360" w:lineRule="auto"/>
        <w:rPr>
          <w:rFonts w:ascii="仿宋" w:hAnsi="仿宋" w:eastAsia="仿宋" w:cs="仿宋"/>
          <w:color w:val="000000" w:themeColor="text1"/>
          <w:sz w:val="24"/>
          <w14:textFill>
            <w14:solidFill>
              <w14:schemeClr w14:val="tx1"/>
            </w14:solidFill>
          </w14:textFill>
        </w:rPr>
      </w:pPr>
    </w:p>
    <w:p w14:paraId="4936046D">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（招标发起人）、（采购代理机构）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3854B3D9">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项目招标要求参加投标。在这次投标过程中和成交后，我们将严格遵守国家法律法规要求，并郑重承诺：</w:t>
      </w:r>
    </w:p>
    <w:p w14:paraId="2484550A">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3BF25DF">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571C8931">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7CC80AF1">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2158C034">
      <w:pPr>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64D26015">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75BCF39F">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6CDB0D79">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2AA0DEC2">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p>
    <w:p w14:paraId="788E7F6E">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0DBB9FB1">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71E9FF2C">
      <w:pPr>
        <w:spacing w:line="360" w:lineRule="auto"/>
        <w:ind w:left="4620" w:leftChars="2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38EF2BD4">
      <w:pPr>
        <w:spacing w:line="360" w:lineRule="auto"/>
        <w:jc w:val="center"/>
        <w:rPr>
          <w:rFonts w:ascii="仿宋" w:hAnsi="仿宋" w:eastAsia="仿宋" w:cs="仿宋"/>
          <w:b/>
          <w:bCs/>
          <w:color w:val="000000" w:themeColor="text1"/>
          <w:sz w:val="24"/>
          <w14:textFill>
            <w14:solidFill>
              <w14:schemeClr w14:val="tx1"/>
            </w14:solidFill>
          </w14:textFill>
        </w:rPr>
      </w:pPr>
    </w:p>
    <w:p w14:paraId="4A712CC5">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72CF69B7">
      <w:pPr>
        <w:spacing w:line="360" w:lineRule="auto"/>
        <w:jc w:val="center"/>
        <w:rPr>
          <w:rFonts w:ascii="仿宋" w:hAnsi="仿宋" w:eastAsia="仿宋" w:cs="仿宋"/>
          <w:b/>
          <w:bCs/>
          <w:color w:val="000000" w:themeColor="text1"/>
          <w:sz w:val="24"/>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1A177DC1">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12401ABA">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04DFB3B">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0AABDFFA">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（1）招标一览表（报价表）………………………………………………………（页码）</w:t>
      </w:r>
    </w:p>
    <w:p w14:paraId="7EBC2F9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47BAA46">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7400C3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F22143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96F5C1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02C1EA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7A150F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2AC4BE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6E8C90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B75629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154498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995472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ED7D39F">
      <w:pPr>
        <w:snapToGrid w:val="0"/>
        <w:spacing w:line="360" w:lineRule="auto"/>
        <w:ind w:right="480"/>
        <w:rPr>
          <w:rFonts w:ascii="仿宋" w:hAnsi="仿宋" w:eastAsia="仿宋" w:cs="仿宋"/>
          <w:b/>
          <w:color w:val="000000" w:themeColor="text1"/>
          <w:kern w:val="0"/>
          <w:sz w:val="32"/>
          <w:szCs w:val="32"/>
          <w14:textFill>
            <w14:solidFill>
              <w14:schemeClr w14:val="tx1"/>
            </w14:solidFill>
          </w14:textFill>
        </w:rPr>
      </w:pPr>
    </w:p>
    <w:p w14:paraId="38DE71E6">
      <w:pPr>
        <w:pStyle w:val="597"/>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8C45733">
      <w:pPr>
        <w:pStyle w:val="597"/>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一、招标一览表（报价表）</w:t>
      </w:r>
    </w:p>
    <w:p w14:paraId="2F5226C8">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（招标发起人）、（采购代理机构）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7DA685AB">
      <w:pPr>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按你方招标文件要求，我们，本响应文件签字方，谨此向你方发出要约如下：如你方接受本投标，我方承诺按照如下响应一览表（报价表）的价格完成</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kern w:val="0"/>
          <w:sz w:val="24"/>
          <w:u w:val="single"/>
          <w:lang w:val="zh-CN"/>
          <w14:textFill>
            <w14:solidFill>
              <w14:schemeClr w14:val="tx1"/>
            </w14:solidFill>
          </w14:textFill>
        </w:rPr>
        <w:t>【招标编号：</w:t>
      </w:r>
      <w:r>
        <w:rPr>
          <w:rFonts w:hint="eastAsia" w:ascii="仿宋" w:hAnsi="仿宋" w:eastAsia="仿宋" w:cs="仿宋"/>
          <w:color w:val="000000" w:themeColor="text1"/>
          <w:sz w:val="24"/>
          <w:u w:val="single"/>
          <w14:textFill>
            <w14:solidFill>
              <w14:schemeClr w14:val="tx1"/>
            </w14:solidFill>
          </w14:textFill>
        </w:rPr>
        <w:t>（采购编号）】</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7862E81B">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响应(招标)一览表</w:t>
      </w:r>
    </w:p>
    <w:tbl>
      <w:tblPr>
        <w:tblStyle w:val="60"/>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3876"/>
        <w:gridCol w:w="1999"/>
        <w:gridCol w:w="2890"/>
        <w:gridCol w:w="4083"/>
      </w:tblGrid>
      <w:tr w14:paraId="3957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29" w:type="dxa"/>
            <w:vAlign w:val="center"/>
          </w:tcPr>
          <w:p w14:paraId="056F3EBC">
            <w:pPr>
              <w:snapToGrid w:val="0"/>
              <w:spacing w:line="360" w:lineRule="auto"/>
              <w:ind w:firstLine="241" w:firstLineChars="100"/>
              <w:rPr>
                <w:rFonts w:ascii="仿宋" w:hAnsi="仿宋" w:eastAsia="仿宋" w:cs="仿宋"/>
                <w:b/>
                <w:kern w:val="0"/>
                <w:sz w:val="24"/>
                <w:lang w:val="zh-CN"/>
              </w:rPr>
            </w:pPr>
            <w:bookmarkStart w:id="404" w:name="_Hlk130936821"/>
            <w:r>
              <w:rPr>
                <w:rFonts w:hint="eastAsia" w:ascii="仿宋" w:hAnsi="仿宋" w:eastAsia="仿宋" w:cs="仿宋"/>
                <w:b/>
                <w:kern w:val="0"/>
                <w:sz w:val="24"/>
                <w:lang w:val="zh-CN"/>
              </w:rPr>
              <w:t>序号</w:t>
            </w:r>
          </w:p>
        </w:tc>
        <w:tc>
          <w:tcPr>
            <w:tcW w:w="3876" w:type="dxa"/>
            <w:vAlign w:val="center"/>
          </w:tcPr>
          <w:p w14:paraId="17C66D91">
            <w:pPr>
              <w:snapToGrid w:val="0"/>
              <w:spacing w:line="360" w:lineRule="auto"/>
              <w:ind w:left="480" w:firstLine="964" w:firstLineChars="400"/>
              <w:rPr>
                <w:rFonts w:ascii="仿宋" w:hAnsi="仿宋" w:eastAsia="仿宋" w:cs="仿宋"/>
                <w:b/>
                <w:kern w:val="0"/>
                <w:sz w:val="24"/>
                <w:lang w:val="zh-CN"/>
              </w:rPr>
            </w:pPr>
            <w:r>
              <w:rPr>
                <w:rFonts w:hint="eastAsia" w:ascii="仿宋" w:hAnsi="仿宋" w:eastAsia="仿宋" w:cs="仿宋"/>
                <w:b/>
                <w:kern w:val="0"/>
                <w:sz w:val="24"/>
                <w:lang w:val="zh-CN"/>
              </w:rPr>
              <w:t>内容</w:t>
            </w:r>
          </w:p>
        </w:tc>
        <w:tc>
          <w:tcPr>
            <w:tcW w:w="1999" w:type="dxa"/>
            <w:vAlign w:val="center"/>
          </w:tcPr>
          <w:p w14:paraId="32662127">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投报费率</w:t>
            </w:r>
          </w:p>
        </w:tc>
        <w:tc>
          <w:tcPr>
            <w:tcW w:w="2890" w:type="dxa"/>
            <w:vAlign w:val="center"/>
          </w:tcPr>
          <w:p w14:paraId="1312A7F8">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投报总价（元）</w:t>
            </w:r>
          </w:p>
        </w:tc>
        <w:tc>
          <w:tcPr>
            <w:tcW w:w="4083" w:type="dxa"/>
            <w:vAlign w:val="center"/>
          </w:tcPr>
          <w:p w14:paraId="4DC27D8E">
            <w:pPr>
              <w:snapToGrid w:val="0"/>
              <w:spacing w:line="360" w:lineRule="auto"/>
              <w:ind w:left="480" w:firstLine="1205" w:firstLineChars="500"/>
              <w:rPr>
                <w:rFonts w:ascii="仿宋" w:hAnsi="仿宋" w:eastAsia="仿宋" w:cs="仿宋"/>
                <w:b/>
                <w:kern w:val="0"/>
                <w:sz w:val="24"/>
                <w:lang w:val="zh-CN"/>
              </w:rPr>
            </w:pPr>
            <w:r>
              <w:rPr>
                <w:rFonts w:hint="eastAsia" w:ascii="仿宋" w:hAnsi="仿宋" w:eastAsia="仿宋" w:cs="仿宋"/>
                <w:b/>
                <w:kern w:val="0"/>
                <w:sz w:val="24"/>
                <w:lang w:val="zh-CN"/>
              </w:rPr>
              <w:t>备注</w:t>
            </w:r>
          </w:p>
        </w:tc>
      </w:tr>
      <w:bookmarkEnd w:id="404"/>
      <w:tr w14:paraId="2AA8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29" w:type="dxa"/>
            <w:vAlign w:val="center"/>
          </w:tcPr>
          <w:p w14:paraId="6EE4C394">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1</w:t>
            </w:r>
          </w:p>
        </w:tc>
        <w:tc>
          <w:tcPr>
            <w:tcW w:w="3876" w:type="dxa"/>
            <w:vAlign w:val="center"/>
          </w:tcPr>
          <w:p w14:paraId="592FE8A5">
            <w:pPr>
              <w:snapToGrid w:val="0"/>
              <w:spacing w:line="360" w:lineRule="auto"/>
              <w:ind w:left="480"/>
              <w:jc w:val="center"/>
              <w:rPr>
                <w:rFonts w:ascii="仿宋" w:hAnsi="仿宋" w:eastAsia="仿宋" w:cs="仿宋"/>
                <w:b/>
                <w:kern w:val="0"/>
                <w:sz w:val="24"/>
                <w:lang w:val="zh-CN"/>
              </w:rPr>
            </w:pPr>
            <w:r>
              <w:rPr>
                <w:rFonts w:hint="eastAsia" w:ascii="仿宋" w:hAnsi="仿宋" w:eastAsia="仿宋" w:cs="仿宋"/>
                <w:b/>
                <w:kern w:val="0"/>
                <w:sz w:val="24"/>
                <w:lang w:val="zh-CN"/>
              </w:rPr>
              <w:t>管理咨询及销售服务费</w:t>
            </w:r>
          </w:p>
        </w:tc>
        <w:tc>
          <w:tcPr>
            <w:tcW w:w="1999" w:type="dxa"/>
            <w:vAlign w:val="center"/>
          </w:tcPr>
          <w:p w14:paraId="1DFCE0BA">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 xml:space="preserve">  %</w:t>
            </w:r>
          </w:p>
        </w:tc>
        <w:tc>
          <w:tcPr>
            <w:tcW w:w="2890" w:type="dxa"/>
            <w:vAlign w:val="center"/>
          </w:tcPr>
          <w:p w14:paraId="094610CC">
            <w:pPr>
              <w:snapToGrid w:val="0"/>
              <w:spacing w:line="360" w:lineRule="auto"/>
              <w:ind w:left="480"/>
              <w:rPr>
                <w:rFonts w:ascii="仿宋" w:hAnsi="仿宋" w:eastAsia="仿宋" w:cs="仿宋"/>
                <w:b/>
                <w:kern w:val="0"/>
                <w:sz w:val="24"/>
              </w:rPr>
            </w:pPr>
            <w:r>
              <w:rPr>
                <w:rFonts w:hint="eastAsia" w:ascii="仿宋" w:hAnsi="仿宋" w:eastAsia="仿宋" w:cs="仿宋"/>
                <w:b/>
                <w:kern w:val="0"/>
                <w:sz w:val="24"/>
                <w:u w:val="thick"/>
              </w:rPr>
              <w:t xml:space="preserve">        元（其中工程设计费为：    元）</w:t>
            </w:r>
          </w:p>
        </w:tc>
        <w:tc>
          <w:tcPr>
            <w:tcW w:w="4083" w:type="dxa"/>
            <w:vAlign w:val="center"/>
          </w:tcPr>
          <w:p w14:paraId="5FFF11B0">
            <w:pPr>
              <w:snapToGrid w:val="0"/>
              <w:spacing w:line="360" w:lineRule="auto"/>
              <w:ind w:firstLine="241" w:firstLineChars="100"/>
              <w:rPr>
                <w:rFonts w:ascii="仿宋" w:hAnsi="仿宋" w:eastAsia="仿宋" w:cs="仿宋"/>
                <w:b/>
                <w:kern w:val="0"/>
                <w:sz w:val="24"/>
              </w:rPr>
            </w:pPr>
            <w:r>
              <w:rPr>
                <w:rFonts w:hint="eastAsia" w:ascii="仿宋" w:hAnsi="仿宋" w:eastAsia="仿宋" w:cs="仿宋"/>
                <w:b/>
                <w:kern w:val="0"/>
                <w:sz w:val="24"/>
              </w:rPr>
              <w:t>工程设计费最高限价为95万元</w:t>
            </w:r>
          </w:p>
          <w:p w14:paraId="575673E3">
            <w:pPr>
              <w:snapToGrid w:val="0"/>
              <w:spacing w:line="360" w:lineRule="auto"/>
              <w:ind w:firstLine="482" w:firstLineChars="200"/>
              <w:rPr>
                <w:rFonts w:ascii="仿宋" w:hAnsi="仿宋" w:eastAsia="仿宋" w:cs="仿宋"/>
                <w:b/>
                <w:kern w:val="0"/>
                <w:sz w:val="24"/>
                <w:lang w:val="zh-CN"/>
              </w:rPr>
            </w:pPr>
            <w:r>
              <w:rPr>
                <w:rFonts w:hint="eastAsia" w:ascii="仿宋" w:hAnsi="仿宋" w:eastAsia="仿宋" w:cs="仿宋"/>
                <w:b/>
                <w:kern w:val="0"/>
                <w:sz w:val="24"/>
                <w:lang w:val="zh-CN"/>
              </w:rPr>
              <w:t>住宅货值暂定：</w:t>
            </w:r>
            <w:r>
              <w:rPr>
                <w:rFonts w:hint="eastAsia" w:ascii="仿宋" w:hAnsi="仿宋" w:eastAsia="仿宋" w:cs="仿宋"/>
                <w:b/>
                <w:kern w:val="0"/>
                <w:sz w:val="24"/>
              </w:rPr>
              <w:t>84821</w:t>
            </w:r>
            <w:r>
              <w:rPr>
                <w:rFonts w:hint="eastAsia" w:ascii="仿宋" w:hAnsi="仿宋" w:eastAsia="仿宋" w:cs="仿宋"/>
                <w:b/>
                <w:kern w:val="0"/>
                <w:sz w:val="24"/>
                <w:lang w:val="zh-CN"/>
              </w:rPr>
              <w:t>万元</w:t>
            </w:r>
          </w:p>
        </w:tc>
      </w:tr>
      <w:tr w14:paraId="0357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29" w:type="dxa"/>
            <w:vAlign w:val="center"/>
          </w:tcPr>
          <w:p w14:paraId="26278CFD">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rPr>
              <w:t>2</w:t>
            </w:r>
          </w:p>
        </w:tc>
        <w:tc>
          <w:tcPr>
            <w:tcW w:w="5875" w:type="dxa"/>
            <w:gridSpan w:val="2"/>
            <w:vAlign w:val="center"/>
          </w:tcPr>
          <w:p w14:paraId="565888F8">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投</w:t>
            </w:r>
            <w:r>
              <w:rPr>
                <w:rFonts w:hint="eastAsia" w:ascii="仿宋" w:hAnsi="仿宋" w:eastAsia="仿宋" w:cs="仿宋"/>
                <w:b/>
                <w:kern w:val="0"/>
                <w:sz w:val="24"/>
              </w:rPr>
              <w:t>标</w:t>
            </w:r>
            <w:r>
              <w:rPr>
                <w:rFonts w:hint="eastAsia" w:ascii="仿宋" w:hAnsi="仿宋" w:eastAsia="仿宋" w:cs="仿宋"/>
                <w:b/>
                <w:kern w:val="0"/>
                <w:sz w:val="24"/>
                <w:lang w:val="zh-CN"/>
              </w:rPr>
              <w:t>总价</w:t>
            </w:r>
          </w:p>
        </w:tc>
        <w:tc>
          <w:tcPr>
            <w:tcW w:w="2890" w:type="dxa"/>
            <w:vAlign w:val="center"/>
          </w:tcPr>
          <w:p w14:paraId="1D8B81BD">
            <w:pPr>
              <w:snapToGrid w:val="0"/>
              <w:spacing w:line="360" w:lineRule="auto"/>
              <w:ind w:left="480"/>
              <w:rPr>
                <w:rFonts w:ascii="仿宋" w:hAnsi="仿宋" w:eastAsia="仿宋" w:cs="仿宋"/>
                <w:b/>
                <w:kern w:val="0"/>
                <w:sz w:val="24"/>
                <w:lang w:val="zh-CN"/>
              </w:rPr>
            </w:pPr>
          </w:p>
        </w:tc>
        <w:tc>
          <w:tcPr>
            <w:tcW w:w="4083" w:type="dxa"/>
            <w:vAlign w:val="center"/>
          </w:tcPr>
          <w:p w14:paraId="0BFCFBDE">
            <w:pPr>
              <w:snapToGrid w:val="0"/>
              <w:spacing w:line="360" w:lineRule="auto"/>
              <w:ind w:left="480"/>
              <w:rPr>
                <w:rFonts w:ascii="仿宋" w:hAnsi="仿宋" w:eastAsia="仿宋" w:cs="仿宋"/>
                <w:b/>
                <w:kern w:val="0"/>
                <w:sz w:val="24"/>
                <w:lang w:val="zh-CN"/>
              </w:rPr>
            </w:pPr>
          </w:p>
        </w:tc>
      </w:tr>
    </w:tbl>
    <w:p w14:paraId="3FF53A46">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3DC96632">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1、响应人需按本表格式填写，不得自行更改。</w:t>
      </w:r>
    </w:p>
    <w:p w14:paraId="7262730A">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2、有关本项目实施所涉及的一切费用均计入报价。</w:t>
      </w:r>
    </w:p>
    <w:p w14:paraId="45E42F88">
      <w:pPr>
        <w:spacing w:line="360" w:lineRule="auto"/>
        <w:ind w:firstLine="480" w:firstLineChars="200"/>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供应商名称（电子签名）：                                                                               </w:t>
      </w:r>
    </w:p>
    <w:p w14:paraId="5E0059A2">
      <w:pPr>
        <w:spacing w:line="360" w:lineRule="auto"/>
        <w:ind w:firstLine="480" w:firstLineChars="200"/>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  年   月   日</w:t>
      </w:r>
    </w:p>
    <w:sectPr>
      <w:headerReference r:id="rId12" w:type="first"/>
      <w:footerReference r:id="rId14" w:type="first"/>
      <w:headerReference r:id="rId11" w:type="default"/>
      <w:footerReference r:id="rId13" w:type="default"/>
      <w:pgSz w:w="16838" w:h="11906" w:orient="landscape"/>
      <w:pgMar w:top="1418" w:right="1247" w:bottom="1418"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8AF2">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4C21C">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CC4C21C">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1D4B4D7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56F1">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30DD9">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2F30DD9">
                    <w:pPr>
                      <w:pStyle w:val="38"/>
                    </w:pPr>
                    <w:r>
                      <w:fldChar w:fldCharType="begin"/>
                    </w:r>
                    <w:r>
                      <w:instrText xml:space="preserve"> PAGE  \* MERGEFORMAT </w:instrText>
                    </w:r>
                    <w:r>
                      <w:fldChar w:fldCharType="separate"/>
                    </w:r>
                    <w:r>
                      <w:t>27</w:t>
                    </w:r>
                    <w:r>
                      <w:fldChar w:fldCharType="end"/>
                    </w:r>
                  </w:p>
                </w:txbxContent>
              </v:textbox>
            </v:shape>
          </w:pict>
        </mc:Fallback>
      </mc:AlternateContent>
    </w:r>
  </w:p>
  <w:p w14:paraId="3FEE0D1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C168">
    <w:pPr>
      <w:pStyle w:val="3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358B">
                          <w:pPr>
                            <w:pStyle w:val="3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D96358B">
                    <w:pPr>
                      <w:pStyle w:val="38"/>
                    </w:pPr>
                    <w:r>
                      <w:fldChar w:fldCharType="begin"/>
                    </w:r>
                    <w:r>
                      <w:instrText xml:space="preserve"> PAGE  \* MERGEFORMAT </w:instrText>
                    </w:r>
                    <w:r>
                      <w:fldChar w:fldCharType="separate"/>
                    </w:r>
                    <w:r>
                      <w:t>52</w:t>
                    </w:r>
                    <w:r>
                      <w:fldChar w:fldCharType="end"/>
                    </w:r>
                  </w:p>
                </w:txbxContent>
              </v:textbox>
            </v:shape>
          </w:pict>
        </mc:Fallback>
      </mc:AlternateContent>
    </w:r>
  </w:p>
  <w:p w14:paraId="23FCA41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6802">
    <w:pPr>
      <w:pStyle w:val="3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6D065">
                          <w:pPr>
                            <w:pStyle w:val="3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DB6D065">
                    <w:pPr>
                      <w:pStyle w:val="38"/>
                    </w:pPr>
                    <w:r>
                      <w:fldChar w:fldCharType="begin"/>
                    </w:r>
                    <w:r>
                      <w:instrText xml:space="preserve"> PAGE  \* MERGEFORMAT </w:instrText>
                    </w:r>
                    <w:r>
                      <w:fldChar w:fldCharType="separate"/>
                    </w:r>
                    <w:r>
                      <w:t>50</w:t>
                    </w:r>
                    <w:r>
                      <w:fldChar w:fldCharType="end"/>
                    </w:r>
                  </w:p>
                </w:txbxContent>
              </v:textbox>
            </v:shape>
          </w:pict>
        </mc:Fallback>
      </mc:AlternateContent>
    </w:r>
  </w:p>
  <w:p w14:paraId="1D88B5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F671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3A1B">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131845147"/>
    <w:bookmarkStart w:id="406" w:name="_Toc3611018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749E">
    <w:pPr>
      <w:pStyle w:val="39"/>
    </w:pPr>
    <w:r>
      <w:rPr>
        <w:rFonts w:hint="eastAsia"/>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8A25">
    <w:pPr>
      <w:pStyle w:val="39"/>
    </w:pPr>
    <w:r>
      <w:rPr>
        <w:rFonts w:hint="eastAsia"/>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DF7F">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D07D">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3461">
    <w:pPr>
      <w:pStyle w:val="39"/>
      <w:rPr>
        <w:rFonts w:ascii="仿宋_GB2312" w:eastAsia="仿宋_GB2312"/>
        <w:b/>
        <w:i/>
        <w:iCs/>
        <w:u w:val="single"/>
      </w:rPr>
    </w:pPr>
    <w:r>
      <w:rPr>
        <w:rFonts w:hint="eastAsia"/>
      </w:rPr>
      <w:t xml:space="preserve">                                                                          萧山区政府招标公开招标文件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AFC9">
    <w:pPr>
      <w:pStyle w:val="39"/>
    </w:pP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AA7A05C"/>
    <w:multiLevelType w:val="singleLevel"/>
    <w:tmpl w:val="2AA7A05C"/>
    <w:lvl w:ilvl="0" w:tentative="0">
      <w:start w:val="2"/>
      <w:numFmt w:val="chineseCounting"/>
      <w:suff w:val="nothing"/>
      <w:lvlText w:val="%1、"/>
      <w:lvlJc w:val="left"/>
      <w:rPr>
        <w:rFonts w:hint="eastAsia"/>
      </w:r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6"/>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Y2JjYTBlNGRiYWEwNmJhODQwNjU5NDJmYjU3YmM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675F"/>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29EA"/>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1B85"/>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F7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37DEA"/>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364"/>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38"/>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2EE4"/>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B90"/>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56E"/>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A6B"/>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59D"/>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CD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4A8"/>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6AB"/>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830"/>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7719F"/>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3CEF"/>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730"/>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5DD"/>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17E"/>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4DE8"/>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3E3D"/>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0A3B"/>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316"/>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1789"/>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79546C"/>
    <w:rsid w:val="018E7169"/>
    <w:rsid w:val="01F62F61"/>
    <w:rsid w:val="0250441F"/>
    <w:rsid w:val="02695FC0"/>
    <w:rsid w:val="02ED0C86"/>
    <w:rsid w:val="030F42DA"/>
    <w:rsid w:val="035C5045"/>
    <w:rsid w:val="03B94246"/>
    <w:rsid w:val="03C2134C"/>
    <w:rsid w:val="03DD35E4"/>
    <w:rsid w:val="03F5147C"/>
    <w:rsid w:val="03FF434E"/>
    <w:rsid w:val="04243DB5"/>
    <w:rsid w:val="043D4E77"/>
    <w:rsid w:val="04473600"/>
    <w:rsid w:val="047F2D99"/>
    <w:rsid w:val="04F96FF0"/>
    <w:rsid w:val="05467D5B"/>
    <w:rsid w:val="05720B50"/>
    <w:rsid w:val="05946ADF"/>
    <w:rsid w:val="05FD496D"/>
    <w:rsid w:val="061C73B9"/>
    <w:rsid w:val="06502EDA"/>
    <w:rsid w:val="065A6178"/>
    <w:rsid w:val="06712BB6"/>
    <w:rsid w:val="07990616"/>
    <w:rsid w:val="08017F69"/>
    <w:rsid w:val="081050AA"/>
    <w:rsid w:val="082029DB"/>
    <w:rsid w:val="09006631"/>
    <w:rsid w:val="09061CDB"/>
    <w:rsid w:val="0985290C"/>
    <w:rsid w:val="0A5B7E63"/>
    <w:rsid w:val="0AAF287E"/>
    <w:rsid w:val="0ABB6AF5"/>
    <w:rsid w:val="0AEE0C79"/>
    <w:rsid w:val="0B0C10FF"/>
    <w:rsid w:val="0B401CA5"/>
    <w:rsid w:val="0B535F9D"/>
    <w:rsid w:val="0BE502CE"/>
    <w:rsid w:val="0C2F5DB7"/>
    <w:rsid w:val="0C87121B"/>
    <w:rsid w:val="0C992E66"/>
    <w:rsid w:val="0CC53C5B"/>
    <w:rsid w:val="0CCA1272"/>
    <w:rsid w:val="0D352B8F"/>
    <w:rsid w:val="0D86163D"/>
    <w:rsid w:val="0D991370"/>
    <w:rsid w:val="0DA45004"/>
    <w:rsid w:val="0DF702FE"/>
    <w:rsid w:val="0E251284"/>
    <w:rsid w:val="0E711482"/>
    <w:rsid w:val="0E990980"/>
    <w:rsid w:val="0E990EFC"/>
    <w:rsid w:val="0F6167BF"/>
    <w:rsid w:val="0F6B0AEA"/>
    <w:rsid w:val="0F816ACD"/>
    <w:rsid w:val="0FB35FED"/>
    <w:rsid w:val="0FF705D0"/>
    <w:rsid w:val="104233D7"/>
    <w:rsid w:val="1045758D"/>
    <w:rsid w:val="10DE709A"/>
    <w:rsid w:val="10F42D61"/>
    <w:rsid w:val="10F90651"/>
    <w:rsid w:val="10FC16EA"/>
    <w:rsid w:val="11160F29"/>
    <w:rsid w:val="1134315E"/>
    <w:rsid w:val="118963A1"/>
    <w:rsid w:val="11987B90"/>
    <w:rsid w:val="126859AB"/>
    <w:rsid w:val="127723A9"/>
    <w:rsid w:val="12F157AA"/>
    <w:rsid w:val="13072A44"/>
    <w:rsid w:val="13426006"/>
    <w:rsid w:val="142A23DE"/>
    <w:rsid w:val="14354189"/>
    <w:rsid w:val="147A532B"/>
    <w:rsid w:val="14830684"/>
    <w:rsid w:val="14F275B8"/>
    <w:rsid w:val="153E0A4F"/>
    <w:rsid w:val="15F35395"/>
    <w:rsid w:val="166444E5"/>
    <w:rsid w:val="16AA639C"/>
    <w:rsid w:val="16EC3427"/>
    <w:rsid w:val="1752433D"/>
    <w:rsid w:val="176C18A3"/>
    <w:rsid w:val="18023FB5"/>
    <w:rsid w:val="18371EB1"/>
    <w:rsid w:val="18912E67"/>
    <w:rsid w:val="18A40BC9"/>
    <w:rsid w:val="19597C05"/>
    <w:rsid w:val="1A5167CA"/>
    <w:rsid w:val="1A564531"/>
    <w:rsid w:val="1AF20BEF"/>
    <w:rsid w:val="1B0D6144"/>
    <w:rsid w:val="1B2A271F"/>
    <w:rsid w:val="1B59213E"/>
    <w:rsid w:val="1B900ADB"/>
    <w:rsid w:val="1BC37910"/>
    <w:rsid w:val="1BCA303C"/>
    <w:rsid w:val="1BE7599C"/>
    <w:rsid w:val="1BED2887"/>
    <w:rsid w:val="1C561E8C"/>
    <w:rsid w:val="1C631F5D"/>
    <w:rsid w:val="1C6963B1"/>
    <w:rsid w:val="1C8F393E"/>
    <w:rsid w:val="1CBD66FD"/>
    <w:rsid w:val="1D266CE1"/>
    <w:rsid w:val="1D3963AF"/>
    <w:rsid w:val="1E5B7150"/>
    <w:rsid w:val="1E714A66"/>
    <w:rsid w:val="1E85324A"/>
    <w:rsid w:val="1EF34658"/>
    <w:rsid w:val="1F1F369F"/>
    <w:rsid w:val="1F6317DE"/>
    <w:rsid w:val="1F9D27DB"/>
    <w:rsid w:val="1FE868A9"/>
    <w:rsid w:val="1FF468DA"/>
    <w:rsid w:val="20436F19"/>
    <w:rsid w:val="20983709"/>
    <w:rsid w:val="20E701EC"/>
    <w:rsid w:val="21182154"/>
    <w:rsid w:val="212705E9"/>
    <w:rsid w:val="213276BA"/>
    <w:rsid w:val="21F961C3"/>
    <w:rsid w:val="22A53EBB"/>
    <w:rsid w:val="23983A20"/>
    <w:rsid w:val="2403533D"/>
    <w:rsid w:val="243F3E9B"/>
    <w:rsid w:val="24EB7A61"/>
    <w:rsid w:val="25111243"/>
    <w:rsid w:val="2536529E"/>
    <w:rsid w:val="25707998"/>
    <w:rsid w:val="25932478"/>
    <w:rsid w:val="25C45D31"/>
    <w:rsid w:val="25CB3688"/>
    <w:rsid w:val="26723B93"/>
    <w:rsid w:val="279F712B"/>
    <w:rsid w:val="281A2C55"/>
    <w:rsid w:val="288307FB"/>
    <w:rsid w:val="28EA3250"/>
    <w:rsid w:val="28F72F97"/>
    <w:rsid w:val="292A511A"/>
    <w:rsid w:val="29583A35"/>
    <w:rsid w:val="2988280B"/>
    <w:rsid w:val="29E67293"/>
    <w:rsid w:val="29F008B0"/>
    <w:rsid w:val="2A1D6A2D"/>
    <w:rsid w:val="2A6576FA"/>
    <w:rsid w:val="2A7F3244"/>
    <w:rsid w:val="2AAA4765"/>
    <w:rsid w:val="2AC1385C"/>
    <w:rsid w:val="2AC60E73"/>
    <w:rsid w:val="2AD03A9F"/>
    <w:rsid w:val="2AE01F34"/>
    <w:rsid w:val="2B397896"/>
    <w:rsid w:val="2B3E30FF"/>
    <w:rsid w:val="2B762899"/>
    <w:rsid w:val="2C0C6D59"/>
    <w:rsid w:val="2C0E2AD1"/>
    <w:rsid w:val="2C4A7CF2"/>
    <w:rsid w:val="2D457B2F"/>
    <w:rsid w:val="2D7E5A35"/>
    <w:rsid w:val="2DAC25A2"/>
    <w:rsid w:val="2DD15014"/>
    <w:rsid w:val="2E1909AE"/>
    <w:rsid w:val="2E3B3926"/>
    <w:rsid w:val="2E400F3C"/>
    <w:rsid w:val="2E8F473D"/>
    <w:rsid w:val="2EC61441"/>
    <w:rsid w:val="2F4B1946"/>
    <w:rsid w:val="2F876821"/>
    <w:rsid w:val="2F8F3F29"/>
    <w:rsid w:val="2F9061DA"/>
    <w:rsid w:val="2F983071"/>
    <w:rsid w:val="2F996B56"/>
    <w:rsid w:val="2FD25781"/>
    <w:rsid w:val="2FD47E62"/>
    <w:rsid w:val="2FF65D56"/>
    <w:rsid w:val="30085A89"/>
    <w:rsid w:val="30091934"/>
    <w:rsid w:val="300B4451"/>
    <w:rsid w:val="3026317E"/>
    <w:rsid w:val="302A3B86"/>
    <w:rsid w:val="30466CDD"/>
    <w:rsid w:val="307B6842"/>
    <w:rsid w:val="30E107B4"/>
    <w:rsid w:val="319C6071"/>
    <w:rsid w:val="31B41A25"/>
    <w:rsid w:val="32786EF6"/>
    <w:rsid w:val="32C77BC8"/>
    <w:rsid w:val="32CB5278"/>
    <w:rsid w:val="32FF13C6"/>
    <w:rsid w:val="3307027A"/>
    <w:rsid w:val="332C3998"/>
    <w:rsid w:val="334B0167"/>
    <w:rsid w:val="33596D28"/>
    <w:rsid w:val="33613E2E"/>
    <w:rsid w:val="33DC5263"/>
    <w:rsid w:val="342E63AB"/>
    <w:rsid w:val="343D21A6"/>
    <w:rsid w:val="346E05B1"/>
    <w:rsid w:val="34757B91"/>
    <w:rsid w:val="3518676F"/>
    <w:rsid w:val="351A4295"/>
    <w:rsid w:val="357C6CFE"/>
    <w:rsid w:val="35B50859"/>
    <w:rsid w:val="36015455"/>
    <w:rsid w:val="360B0081"/>
    <w:rsid w:val="363B0967"/>
    <w:rsid w:val="364F3BB1"/>
    <w:rsid w:val="364F4412"/>
    <w:rsid w:val="365302AE"/>
    <w:rsid w:val="36581519"/>
    <w:rsid w:val="36B204FD"/>
    <w:rsid w:val="36DA1F2E"/>
    <w:rsid w:val="36FA437E"/>
    <w:rsid w:val="37307DA0"/>
    <w:rsid w:val="37FA215C"/>
    <w:rsid w:val="38074E65"/>
    <w:rsid w:val="382B0567"/>
    <w:rsid w:val="388A34EE"/>
    <w:rsid w:val="38C00A50"/>
    <w:rsid w:val="390F7E89"/>
    <w:rsid w:val="3A175247"/>
    <w:rsid w:val="3A561EB2"/>
    <w:rsid w:val="3B225C51"/>
    <w:rsid w:val="3B59188D"/>
    <w:rsid w:val="3B7D557D"/>
    <w:rsid w:val="3B871F58"/>
    <w:rsid w:val="3BF13876"/>
    <w:rsid w:val="3C0E1DB7"/>
    <w:rsid w:val="3C5F759A"/>
    <w:rsid w:val="3CAA05F4"/>
    <w:rsid w:val="3CB13731"/>
    <w:rsid w:val="3CD13DD3"/>
    <w:rsid w:val="3CDC4526"/>
    <w:rsid w:val="3CE60F00"/>
    <w:rsid w:val="3D7824A0"/>
    <w:rsid w:val="3D874491"/>
    <w:rsid w:val="3DBC05DF"/>
    <w:rsid w:val="3E0F28DF"/>
    <w:rsid w:val="3E524A9F"/>
    <w:rsid w:val="3E6F2E20"/>
    <w:rsid w:val="3EA64DEB"/>
    <w:rsid w:val="3F340649"/>
    <w:rsid w:val="3F52287D"/>
    <w:rsid w:val="3FE80680"/>
    <w:rsid w:val="40D55D8C"/>
    <w:rsid w:val="410150B4"/>
    <w:rsid w:val="41771E1A"/>
    <w:rsid w:val="41C757A4"/>
    <w:rsid w:val="41F61BE6"/>
    <w:rsid w:val="4282199D"/>
    <w:rsid w:val="42CA69EF"/>
    <w:rsid w:val="42D11E98"/>
    <w:rsid w:val="42E1381E"/>
    <w:rsid w:val="43665590"/>
    <w:rsid w:val="43917E18"/>
    <w:rsid w:val="439416B6"/>
    <w:rsid w:val="44DC50C3"/>
    <w:rsid w:val="44F01485"/>
    <w:rsid w:val="45392515"/>
    <w:rsid w:val="45870282"/>
    <w:rsid w:val="45A02594"/>
    <w:rsid w:val="45A33AF3"/>
    <w:rsid w:val="45D65FB6"/>
    <w:rsid w:val="464253F9"/>
    <w:rsid w:val="4646138E"/>
    <w:rsid w:val="4682613E"/>
    <w:rsid w:val="46873754"/>
    <w:rsid w:val="46F96400"/>
    <w:rsid w:val="471274C2"/>
    <w:rsid w:val="47973F6B"/>
    <w:rsid w:val="48895BD3"/>
    <w:rsid w:val="491C52F5"/>
    <w:rsid w:val="49415E3C"/>
    <w:rsid w:val="49F66C27"/>
    <w:rsid w:val="4A9F5C76"/>
    <w:rsid w:val="4AC40AD3"/>
    <w:rsid w:val="4AD056CA"/>
    <w:rsid w:val="4B26353C"/>
    <w:rsid w:val="4B5C5B40"/>
    <w:rsid w:val="4BA6467C"/>
    <w:rsid w:val="4BBB5CCD"/>
    <w:rsid w:val="4C06511B"/>
    <w:rsid w:val="4C417F01"/>
    <w:rsid w:val="4C5E6D05"/>
    <w:rsid w:val="4C7B78B7"/>
    <w:rsid w:val="4CDB0356"/>
    <w:rsid w:val="4CF82CB6"/>
    <w:rsid w:val="4D4B1038"/>
    <w:rsid w:val="4DB7491F"/>
    <w:rsid w:val="4DC82688"/>
    <w:rsid w:val="4E612ADD"/>
    <w:rsid w:val="4E65437B"/>
    <w:rsid w:val="4E6C4202"/>
    <w:rsid w:val="4ECF3EEA"/>
    <w:rsid w:val="4ED84B4D"/>
    <w:rsid w:val="4F204746"/>
    <w:rsid w:val="4FD531A2"/>
    <w:rsid w:val="50586B5C"/>
    <w:rsid w:val="505A5A36"/>
    <w:rsid w:val="51A0432A"/>
    <w:rsid w:val="52A96B6F"/>
    <w:rsid w:val="52E8557B"/>
    <w:rsid w:val="534F55FA"/>
    <w:rsid w:val="535844AE"/>
    <w:rsid w:val="538A6632"/>
    <w:rsid w:val="53E977FC"/>
    <w:rsid w:val="542E3461"/>
    <w:rsid w:val="54977258"/>
    <w:rsid w:val="54C3004D"/>
    <w:rsid w:val="54EA55DA"/>
    <w:rsid w:val="54EF0E42"/>
    <w:rsid w:val="550764A4"/>
    <w:rsid w:val="55AD2460"/>
    <w:rsid w:val="562B5EAA"/>
    <w:rsid w:val="56A71A30"/>
    <w:rsid w:val="56BC6B02"/>
    <w:rsid w:val="5721105B"/>
    <w:rsid w:val="579D76DE"/>
    <w:rsid w:val="57C245EC"/>
    <w:rsid w:val="57DD0A03"/>
    <w:rsid w:val="57F131C4"/>
    <w:rsid w:val="57FF0B90"/>
    <w:rsid w:val="58727DC0"/>
    <w:rsid w:val="58AE4F0C"/>
    <w:rsid w:val="58E45D8D"/>
    <w:rsid w:val="58EC179A"/>
    <w:rsid w:val="59D16D68"/>
    <w:rsid w:val="5A0F3C8E"/>
    <w:rsid w:val="5A2A7C7B"/>
    <w:rsid w:val="5A4B6B1B"/>
    <w:rsid w:val="5A4C35AF"/>
    <w:rsid w:val="5A4E03B9"/>
    <w:rsid w:val="5A56726E"/>
    <w:rsid w:val="5AF531B6"/>
    <w:rsid w:val="5B1647AE"/>
    <w:rsid w:val="5B231846"/>
    <w:rsid w:val="5B41386F"/>
    <w:rsid w:val="5B70610D"/>
    <w:rsid w:val="5B7C71A8"/>
    <w:rsid w:val="5BA42D19"/>
    <w:rsid w:val="5BF55428"/>
    <w:rsid w:val="5BFE5E0F"/>
    <w:rsid w:val="5C16437E"/>
    <w:rsid w:val="5C80234E"/>
    <w:rsid w:val="5C82259C"/>
    <w:rsid w:val="5CA249EC"/>
    <w:rsid w:val="5D0B07E3"/>
    <w:rsid w:val="5DC80482"/>
    <w:rsid w:val="5E261785"/>
    <w:rsid w:val="5E6957C1"/>
    <w:rsid w:val="5EBF1885"/>
    <w:rsid w:val="5EDF01CA"/>
    <w:rsid w:val="5EE75B9A"/>
    <w:rsid w:val="5F011E9E"/>
    <w:rsid w:val="5F1529A6"/>
    <w:rsid w:val="5F284B8C"/>
    <w:rsid w:val="5F7D2E14"/>
    <w:rsid w:val="5F9C5723"/>
    <w:rsid w:val="5FCC5339"/>
    <w:rsid w:val="60600E46"/>
    <w:rsid w:val="6062071A"/>
    <w:rsid w:val="608C1C3B"/>
    <w:rsid w:val="60AD62AA"/>
    <w:rsid w:val="61054A27"/>
    <w:rsid w:val="611D2366"/>
    <w:rsid w:val="6162299C"/>
    <w:rsid w:val="61646714"/>
    <w:rsid w:val="616D55C9"/>
    <w:rsid w:val="61FF01EB"/>
    <w:rsid w:val="62885958"/>
    <w:rsid w:val="631101D6"/>
    <w:rsid w:val="635A7840"/>
    <w:rsid w:val="637B1AF3"/>
    <w:rsid w:val="63E61662"/>
    <w:rsid w:val="63EF78CE"/>
    <w:rsid w:val="646627A3"/>
    <w:rsid w:val="64A21A7A"/>
    <w:rsid w:val="64CE2EAA"/>
    <w:rsid w:val="652F7047"/>
    <w:rsid w:val="654C11BD"/>
    <w:rsid w:val="662E75B1"/>
    <w:rsid w:val="66342C2E"/>
    <w:rsid w:val="663E784C"/>
    <w:rsid w:val="66977CD4"/>
    <w:rsid w:val="66B477F6"/>
    <w:rsid w:val="67D21F73"/>
    <w:rsid w:val="67FA392E"/>
    <w:rsid w:val="680B78E9"/>
    <w:rsid w:val="68DC79DF"/>
    <w:rsid w:val="69456BF2"/>
    <w:rsid w:val="6958521B"/>
    <w:rsid w:val="69652C93"/>
    <w:rsid w:val="69684F4F"/>
    <w:rsid w:val="699F0DBB"/>
    <w:rsid w:val="69B86FDF"/>
    <w:rsid w:val="6A7E25F5"/>
    <w:rsid w:val="6A99742E"/>
    <w:rsid w:val="6AA06A0F"/>
    <w:rsid w:val="6ADA17F5"/>
    <w:rsid w:val="6B517D09"/>
    <w:rsid w:val="6BE26BB3"/>
    <w:rsid w:val="6BED1D9C"/>
    <w:rsid w:val="6C1C0317"/>
    <w:rsid w:val="6C3C4515"/>
    <w:rsid w:val="6D082649"/>
    <w:rsid w:val="6D75048C"/>
    <w:rsid w:val="6D9E4D5C"/>
    <w:rsid w:val="6DF818E5"/>
    <w:rsid w:val="6E5F273D"/>
    <w:rsid w:val="6E6E55BC"/>
    <w:rsid w:val="6E8E12EF"/>
    <w:rsid w:val="6F2B0871"/>
    <w:rsid w:val="6F4436E1"/>
    <w:rsid w:val="6FCA008A"/>
    <w:rsid w:val="703B2D36"/>
    <w:rsid w:val="704E619F"/>
    <w:rsid w:val="70D016D0"/>
    <w:rsid w:val="71002FDC"/>
    <w:rsid w:val="711310A5"/>
    <w:rsid w:val="7120378C"/>
    <w:rsid w:val="71B21F4E"/>
    <w:rsid w:val="71D43752"/>
    <w:rsid w:val="71D477F5"/>
    <w:rsid w:val="71E116BB"/>
    <w:rsid w:val="7203728B"/>
    <w:rsid w:val="72097D64"/>
    <w:rsid w:val="72F24B59"/>
    <w:rsid w:val="730B69EF"/>
    <w:rsid w:val="732F7275"/>
    <w:rsid w:val="73505C42"/>
    <w:rsid w:val="73E86D31"/>
    <w:rsid w:val="73F12089"/>
    <w:rsid w:val="74393A30"/>
    <w:rsid w:val="746815A4"/>
    <w:rsid w:val="746E713D"/>
    <w:rsid w:val="749C4185"/>
    <w:rsid w:val="74C23A26"/>
    <w:rsid w:val="755B0A82"/>
    <w:rsid w:val="757E71D5"/>
    <w:rsid w:val="75BC66C7"/>
    <w:rsid w:val="75DA2C18"/>
    <w:rsid w:val="75DC28C5"/>
    <w:rsid w:val="75F84C65"/>
    <w:rsid w:val="762F6E99"/>
    <w:rsid w:val="769767EC"/>
    <w:rsid w:val="770B16B4"/>
    <w:rsid w:val="77705F3A"/>
    <w:rsid w:val="78055562"/>
    <w:rsid w:val="78893B97"/>
    <w:rsid w:val="78B638A1"/>
    <w:rsid w:val="78B95140"/>
    <w:rsid w:val="79A96F62"/>
    <w:rsid w:val="79DA35C0"/>
    <w:rsid w:val="7A0B340F"/>
    <w:rsid w:val="7A3F3423"/>
    <w:rsid w:val="7A4D5B40"/>
    <w:rsid w:val="7A67303B"/>
    <w:rsid w:val="7A8F31CB"/>
    <w:rsid w:val="7AAB1D04"/>
    <w:rsid w:val="7AB931D5"/>
    <w:rsid w:val="7ABA4368"/>
    <w:rsid w:val="7AC322A6"/>
    <w:rsid w:val="7B1228E5"/>
    <w:rsid w:val="7B257FFD"/>
    <w:rsid w:val="7B933A26"/>
    <w:rsid w:val="7CB73744"/>
    <w:rsid w:val="7CBE7304"/>
    <w:rsid w:val="7CD868E1"/>
    <w:rsid w:val="7CEC7892"/>
    <w:rsid w:val="7D9A5540"/>
    <w:rsid w:val="7DC446F0"/>
    <w:rsid w:val="7DF10ED8"/>
    <w:rsid w:val="7DFC2BC5"/>
    <w:rsid w:val="7DFC3B04"/>
    <w:rsid w:val="7EB7283E"/>
    <w:rsid w:val="7EF7251E"/>
    <w:rsid w:val="7F0A2251"/>
    <w:rsid w:val="7F3E014D"/>
    <w:rsid w:val="7FA04963"/>
    <w:rsid w:val="7FC00B62"/>
    <w:rsid w:val="7FCB2137"/>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7"/>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2"/>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8"/>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2"/>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5"/>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48"/>
    <w:autoRedefine/>
    <w:qFormat/>
    <w:uiPriority w:val="99"/>
    <w:pPr>
      <w:jc w:val="left"/>
    </w:pPr>
  </w:style>
  <w:style w:type="paragraph" w:styleId="20">
    <w:name w:val="Salutation"/>
    <w:basedOn w:val="1"/>
    <w:next w:val="1"/>
    <w:link w:val="213"/>
    <w:autoRedefine/>
    <w:qFormat/>
    <w:uiPriority w:val="0"/>
    <w:rPr>
      <w:rFonts w:ascii="仿宋_GB2312" w:eastAsia="仿宋_GB2312"/>
      <w:sz w:val="28"/>
      <w:szCs w:val="20"/>
    </w:rPr>
  </w:style>
  <w:style w:type="paragraph" w:styleId="21">
    <w:name w:val="Body Text 3"/>
    <w:basedOn w:val="1"/>
    <w:link w:val="186"/>
    <w:autoRedefine/>
    <w:qFormat/>
    <w:uiPriority w:val="0"/>
    <w:pPr>
      <w:jc w:val="center"/>
    </w:pPr>
    <w:rPr>
      <w:szCs w:val="20"/>
    </w:rPr>
  </w:style>
  <w:style w:type="paragraph" w:styleId="22">
    <w:name w:val="Body Text"/>
    <w:basedOn w:val="1"/>
    <w:next w:val="23"/>
    <w:link w:val="122"/>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link w:val="135"/>
    <w:autoRedefine/>
    <w:qFormat/>
    <w:uiPriority w:val="0"/>
    <w:pPr>
      <w:ind w:firstLine="420"/>
    </w:pPr>
    <w:rPr>
      <w:szCs w:val="20"/>
    </w:rPr>
  </w:style>
  <w:style w:type="paragraph" w:styleId="24">
    <w:name w:val="Body Text Indent"/>
    <w:basedOn w:val="1"/>
    <w:next w:val="1"/>
    <w:link w:val="10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4"/>
    <w:autoRedefine/>
    <w:qFormat/>
    <w:uiPriority w:val="0"/>
    <w:rPr>
      <w:rFonts w:ascii="宋体" w:hAnsi="Courier New"/>
      <w:szCs w:val="20"/>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211"/>
    <w:autoRedefine/>
    <w:qFormat/>
    <w:uiPriority w:val="0"/>
    <w:pPr>
      <w:ind w:left="100" w:leftChars="2500"/>
    </w:pPr>
    <w:rPr>
      <w:rFonts w:ascii="宋体"/>
      <w:sz w:val="24"/>
      <w:szCs w:val="21"/>
      <w:lang w:val="zh-CN"/>
    </w:rPr>
  </w:style>
  <w:style w:type="paragraph" w:styleId="36">
    <w:name w:val="Body Text Indent 2"/>
    <w:basedOn w:val="1"/>
    <w:link w:val="83"/>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249"/>
    <w:autoRedefine/>
    <w:semiHidden/>
    <w:qFormat/>
    <w:uiPriority w:val="0"/>
    <w:rPr>
      <w:sz w:val="18"/>
      <w:szCs w:val="18"/>
    </w:rPr>
  </w:style>
  <w:style w:type="paragraph" w:styleId="38">
    <w:name w:val="footer"/>
    <w:basedOn w:val="1"/>
    <w:link w:val="630"/>
    <w:autoRedefine/>
    <w:qFormat/>
    <w:uiPriority w:val="99"/>
    <w:pPr>
      <w:tabs>
        <w:tab w:val="center" w:pos="4153"/>
        <w:tab w:val="right" w:pos="8306"/>
      </w:tabs>
      <w:snapToGrid w:val="0"/>
      <w:jc w:val="left"/>
    </w:pPr>
    <w:rPr>
      <w:sz w:val="18"/>
      <w:szCs w:val="18"/>
    </w:rPr>
  </w:style>
  <w:style w:type="paragraph" w:styleId="39">
    <w:name w:val="header"/>
    <w:basedOn w:val="1"/>
    <w:link w:val="631"/>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9"/>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10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238"/>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5"/>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link w:val="246"/>
    <w:autoRedefine/>
    <w:qFormat/>
    <w:uiPriority w:val="0"/>
    <w:pPr>
      <w:adjustRightInd/>
      <w:spacing w:after="120" w:line="240" w:lineRule="auto"/>
      <w:ind w:left="420" w:leftChars="200" w:firstLine="210"/>
    </w:pPr>
    <w:rPr>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rPr>
      <w:rFonts w:ascii="Arial" w:hAnsi="Arial" w:eastAsia="黑体" w:cs="Arial"/>
      <w:snapToGrid w:val="0"/>
      <w:kern w:val="0"/>
      <w:szCs w:val="21"/>
    </w:rPr>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rPr>
      <w:rFonts w:ascii="Arial" w:hAnsi="Arial" w:eastAsia="黑体" w:cs="Arial"/>
      <w:snapToGrid w:val="0"/>
      <w:kern w:val="0"/>
      <w:szCs w:val="21"/>
    </w:rPr>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Default"/>
    <w:next w:val="7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4">
    <w:name w:val="solutionfonts"/>
    <w:autoRedefine/>
    <w:qFormat/>
    <w:uiPriority w:val="0"/>
  </w:style>
  <w:style w:type="character" w:customStyle="1" w:styleId="75">
    <w:name w:val="Font Style82"/>
    <w:autoRedefine/>
    <w:qFormat/>
    <w:uiPriority w:val="99"/>
    <w:rPr>
      <w:rFonts w:ascii="宋体" w:eastAsia="宋体" w:cs="宋体"/>
      <w:color w:val="000000"/>
      <w:sz w:val="14"/>
      <w:szCs w:val="14"/>
    </w:rPr>
  </w:style>
  <w:style w:type="character" w:customStyle="1" w:styleId="76">
    <w:name w:val="此正文 Char"/>
    <w:link w:val="77"/>
    <w:autoRedefine/>
    <w:qFormat/>
    <w:uiPriority w:val="0"/>
    <w:rPr>
      <w:kern w:val="2"/>
      <w:sz w:val="24"/>
      <w:szCs w:val="24"/>
    </w:rPr>
  </w:style>
  <w:style w:type="paragraph" w:customStyle="1" w:styleId="77">
    <w:name w:val="此正文"/>
    <w:basedOn w:val="1"/>
    <w:link w:val="76"/>
    <w:autoRedefine/>
    <w:qFormat/>
    <w:uiPriority w:val="0"/>
    <w:pPr>
      <w:adjustRightInd/>
      <w:spacing w:line="360" w:lineRule="auto"/>
      <w:ind w:firstLine="200" w:firstLineChars="200"/>
    </w:pPr>
    <w:rPr>
      <w:sz w:val="24"/>
    </w:rPr>
  </w:style>
  <w:style w:type="character" w:customStyle="1" w:styleId="78">
    <w:name w:val="Char Char10"/>
    <w:autoRedefine/>
    <w:semiHidden/>
    <w:qFormat/>
    <w:uiPriority w:val="0"/>
    <w:rPr>
      <w:rFonts w:ascii="宋体" w:hAnsi="宋体"/>
      <w:kern w:val="2"/>
      <w:sz w:val="21"/>
      <w:szCs w:val="24"/>
      <w:lang w:val="en-US" w:eastAsia="zh-CN"/>
    </w:rPr>
  </w:style>
  <w:style w:type="character" w:customStyle="1" w:styleId="79">
    <w:name w:val="h Char Char"/>
    <w:autoRedefine/>
    <w:qFormat/>
    <w:uiPriority w:val="0"/>
    <w:rPr>
      <w:rFonts w:eastAsia="宋体"/>
      <w:kern w:val="2"/>
      <w:sz w:val="18"/>
      <w:lang w:val="en-US" w:eastAsia="zh-CN" w:bidi="ar-SA"/>
    </w:rPr>
  </w:style>
  <w:style w:type="character" w:customStyle="1" w:styleId="80">
    <w:name w:val="Bold"/>
    <w:autoRedefine/>
    <w:qFormat/>
    <w:uiPriority w:val="0"/>
    <w:rPr>
      <w:rFonts w:ascii="Arial" w:hAnsi="Arial" w:eastAsia="黑体" w:cs="Times New Roman"/>
      <w:b/>
      <w:kern w:val="2"/>
      <w:sz w:val="32"/>
      <w:szCs w:val="32"/>
      <w:lang w:val="en-US" w:eastAsia="zh-CN" w:bidi="ar-SA"/>
    </w:rPr>
  </w:style>
  <w:style w:type="character" w:customStyle="1" w:styleId="81">
    <w:name w:val="Ò³Ã¼ Char Char"/>
    <w:autoRedefine/>
    <w:qFormat/>
    <w:uiPriority w:val="0"/>
    <w:rPr>
      <w:rFonts w:eastAsia="宋体"/>
      <w:kern w:val="2"/>
      <w:sz w:val="18"/>
      <w:lang w:val="en-US" w:eastAsia="zh-CN" w:bidi="ar-SA"/>
    </w:rPr>
  </w:style>
  <w:style w:type="character" w:customStyle="1" w:styleId="82">
    <w:name w:val="标准正文格式 Char"/>
    <w:autoRedefine/>
    <w:qFormat/>
    <w:uiPriority w:val="0"/>
    <w:rPr>
      <w:rFonts w:ascii="宋体" w:eastAsia="仿宋_GB2312" w:cs="宋体"/>
      <w:color w:val="000000"/>
      <w:sz w:val="24"/>
      <w:lang w:val="en-US" w:eastAsia="zh-CN" w:bidi="ar-SA"/>
    </w:rPr>
  </w:style>
  <w:style w:type="character" w:customStyle="1" w:styleId="83">
    <w:name w:val="正文文本缩进 2 字符"/>
    <w:link w:val="36"/>
    <w:autoRedefine/>
    <w:qFormat/>
    <w:uiPriority w:val="0"/>
    <w:rPr>
      <w:rFonts w:ascii="宋体"/>
      <w:sz w:val="28"/>
    </w:rPr>
  </w:style>
  <w:style w:type="character" w:customStyle="1" w:styleId="84">
    <w:name w:val="Char Char8"/>
    <w:autoRedefine/>
    <w:qFormat/>
    <w:uiPriority w:val="0"/>
    <w:rPr>
      <w:rFonts w:eastAsia="宋体"/>
      <w:b/>
      <w:sz w:val="24"/>
      <w:lang w:val="en-GB" w:eastAsia="zh-CN"/>
    </w:rPr>
  </w:style>
  <w:style w:type="character" w:customStyle="1" w:styleId="85">
    <w:name w:val="No Spacing Char"/>
    <w:link w:val="86"/>
    <w:autoRedefine/>
    <w:qFormat/>
    <w:uiPriority w:val="1"/>
    <w:rPr>
      <w:rFonts w:ascii="Calibri" w:hAnsi="Calibri"/>
      <w:sz w:val="22"/>
      <w:szCs w:val="22"/>
      <w:lang w:val="en-US" w:eastAsia="zh-CN" w:bidi="ar-SA"/>
    </w:rPr>
  </w:style>
  <w:style w:type="paragraph" w:customStyle="1" w:styleId="86">
    <w:name w:val="无间隔1"/>
    <w:link w:val="85"/>
    <w:autoRedefine/>
    <w:qFormat/>
    <w:uiPriority w:val="1"/>
    <w:rPr>
      <w:rFonts w:ascii="Calibri" w:hAnsi="Calibri" w:eastAsia="宋体" w:cs="Times New Roman"/>
      <w:sz w:val="22"/>
      <w:szCs w:val="22"/>
      <w:lang w:val="en-US" w:eastAsia="zh-CN" w:bidi="ar-SA"/>
    </w:rPr>
  </w:style>
  <w:style w:type="character" w:customStyle="1" w:styleId="87">
    <w:name w:val="blue1"/>
    <w:basedOn w:val="62"/>
    <w:autoRedefine/>
    <w:qFormat/>
    <w:uiPriority w:val="0"/>
    <w:rPr>
      <w:rFonts w:ascii="Arial" w:hAnsi="Arial" w:eastAsia="黑体" w:cs="Arial"/>
      <w:snapToGrid w:val="0"/>
      <w:kern w:val="0"/>
      <w:szCs w:val="21"/>
    </w:rPr>
  </w:style>
  <w:style w:type="character" w:customStyle="1" w:styleId="88">
    <w:name w:val="highlight1"/>
    <w:autoRedefine/>
    <w:qFormat/>
    <w:uiPriority w:val="0"/>
    <w:rPr>
      <w:rFonts w:ascii="仿宋_GB2312" w:eastAsia="微软雅黑"/>
      <w:b/>
      <w:kern w:val="2"/>
      <w:sz w:val="23"/>
      <w:szCs w:val="23"/>
      <w:lang w:val="en-US" w:eastAsia="zh-CN" w:bidi="ar-SA"/>
    </w:rPr>
  </w:style>
  <w:style w:type="character" w:customStyle="1" w:styleId="89">
    <w:name w:val="ca-131"/>
    <w:autoRedefine/>
    <w:qFormat/>
    <w:uiPriority w:val="0"/>
    <w:rPr>
      <w:rFonts w:hint="eastAsia" w:ascii="仿宋_GB2312" w:eastAsia="仿宋_GB2312"/>
      <w:b/>
      <w:bCs/>
      <w:color w:val="000000"/>
      <w:spacing w:val="-20"/>
      <w:sz w:val="24"/>
      <w:szCs w:val="24"/>
    </w:rPr>
  </w:style>
  <w:style w:type="character" w:customStyle="1" w:styleId="90">
    <w:name w:val="h3 Char"/>
    <w:autoRedefine/>
    <w:qFormat/>
    <w:uiPriority w:val="0"/>
    <w:rPr>
      <w:rFonts w:eastAsia="宋体"/>
      <w:b/>
      <w:kern w:val="2"/>
      <w:sz w:val="32"/>
      <w:lang w:val="en-US" w:eastAsia="zh-CN" w:bidi="ar-SA"/>
    </w:rPr>
  </w:style>
  <w:style w:type="character" w:customStyle="1" w:styleId="91">
    <w:name w:val="Char Char12"/>
    <w:autoRedefine/>
    <w:qFormat/>
    <w:uiPriority w:val="0"/>
    <w:rPr>
      <w:rFonts w:ascii="仿宋_GB2312" w:eastAsia="仿宋_GB2312"/>
      <w:b/>
      <w:bCs/>
      <w:kern w:val="2"/>
      <w:sz w:val="24"/>
      <w:szCs w:val="24"/>
      <w:lang w:val="zh-CN" w:eastAsia="zh-CN" w:bidi="ar-SA"/>
    </w:rPr>
  </w:style>
  <w:style w:type="character" w:customStyle="1" w:styleId="92">
    <w:name w:val="Comment Text Char"/>
    <w:autoRedefine/>
    <w:semiHidden/>
    <w:qFormat/>
    <w:locked/>
    <w:uiPriority w:val="0"/>
    <w:rPr>
      <w:rFonts w:ascii="宋体" w:hAnsi="宋体" w:eastAsia="宋体"/>
      <w:kern w:val="2"/>
      <w:sz w:val="24"/>
      <w:lang w:val="en-US" w:eastAsia="zh-CN" w:bidi="ar-SA"/>
    </w:rPr>
  </w:style>
  <w:style w:type="character" w:customStyle="1" w:styleId="93">
    <w:name w:val="批注文字 Char"/>
    <w:autoRedefine/>
    <w:qFormat/>
    <w:uiPriority w:val="99"/>
    <w:rPr>
      <w:kern w:val="2"/>
      <w:sz w:val="21"/>
      <w:szCs w:val="24"/>
    </w:rPr>
  </w:style>
  <w:style w:type="character" w:customStyle="1" w:styleId="94">
    <w:name w:val="仿宋正文 Char"/>
    <w:link w:val="95"/>
    <w:autoRedefine/>
    <w:qFormat/>
    <w:uiPriority w:val="0"/>
    <w:rPr>
      <w:rFonts w:ascii="仿宋_GB2312" w:eastAsia="仿宋_GB2312"/>
      <w:kern w:val="2"/>
      <w:sz w:val="24"/>
      <w:lang w:val="en-US" w:eastAsia="zh-CN" w:bidi="ar-SA"/>
    </w:rPr>
  </w:style>
  <w:style w:type="paragraph" w:customStyle="1" w:styleId="95">
    <w:name w:val="仿宋正文"/>
    <w:basedOn w:val="1"/>
    <w:link w:val="94"/>
    <w:autoRedefine/>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autoRedefine/>
    <w:qFormat/>
    <w:uiPriority w:val="0"/>
    <w:rPr>
      <w:color w:val="333333"/>
    </w:rPr>
  </w:style>
  <w:style w:type="character" w:customStyle="1" w:styleId="97">
    <w:name w:val="Char Char4"/>
    <w:autoRedefine/>
    <w:qFormat/>
    <w:uiPriority w:val="0"/>
    <w:rPr>
      <w:rFonts w:eastAsia="宋体"/>
      <w:b/>
      <w:sz w:val="24"/>
      <w:lang w:val="en-GB" w:eastAsia="zh-CN" w:bidi="ar-SA"/>
    </w:rPr>
  </w:style>
  <w:style w:type="character" w:customStyle="1" w:styleId="98">
    <w:name w:val="Char Char2"/>
    <w:autoRedefine/>
    <w:qFormat/>
    <w:uiPriority w:val="0"/>
    <w:rPr>
      <w:rFonts w:eastAsia="宋体"/>
      <w:b/>
      <w:bCs/>
      <w:kern w:val="2"/>
      <w:sz w:val="21"/>
      <w:szCs w:val="24"/>
      <w:lang w:val="en-US" w:eastAsia="zh-CN" w:bidi="ar-SA"/>
    </w:rPr>
  </w:style>
  <w:style w:type="character" w:customStyle="1" w:styleId="99">
    <w:name w:val="正文 项目2 Char"/>
    <w:basedOn w:val="100"/>
    <w:autoRedefine/>
    <w:qFormat/>
    <w:uiPriority w:val="0"/>
    <w:rPr>
      <w:rFonts w:ascii="仿宋_GB2312" w:hAnsi="仿宋_GB2312" w:eastAsia="仿宋_GB2312"/>
      <w:kern w:val="2"/>
      <w:sz w:val="24"/>
      <w:lang w:bidi="ar-SA"/>
    </w:rPr>
  </w:style>
  <w:style w:type="character" w:customStyle="1" w:styleId="100">
    <w:name w:val="正文 项目 Char"/>
    <w:autoRedefine/>
    <w:qFormat/>
    <w:uiPriority w:val="0"/>
    <w:rPr>
      <w:rFonts w:ascii="仿宋_GB2312" w:hAnsi="仿宋_GB2312" w:eastAsia="仿宋_GB2312"/>
      <w:kern w:val="2"/>
      <w:sz w:val="24"/>
      <w:lang w:bidi="ar-SA"/>
    </w:rPr>
  </w:style>
  <w:style w:type="character" w:customStyle="1" w:styleId="101">
    <w:name w:val="页眉 Char1"/>
    <w:autoRedefine/>
    <w:qFormat/>
    <w:uiPriority w:val="0"/>
    <w:rPr>
      <w:rFonts w:eastAsia="宋体"/>
      <w:kern w:val="2"/>
      <w:sz w:val="18"/>
      <w:szCs w:val="18"/>
      <w:lang w:val="en-US" w:eastAsia="zh-CN" w:bidi="ar-SA"/>
    </w:rPr>
  </w:style>
  <w:style w:type="character" w:customStyle="1" w:styleId="102">
    <w:name w:val="副标题 字符"/>
    <w:link w:val="45"/>
    <w:autoRedefine/>
    <w:qFormat/>
    <w:uiPriority w:val="0"/>
    <w:rPr>
      <w:rFonts w:ascii="Arial" w:hAnsi="Arial" w:eastAsia="隶书"/>
      <w:b/>
      <w:bCs/>
      <w:kern w:val="28"/>
      <w:sz w:val="44"/>
      <w:szCs w:val="32"/>
      <w:lang w:val="en-US" w:eastAsia="zh-CN" w:bidi="ar-SA"/>
    </w:rPr>
  </w:style>
  <w:style w:type="character" w:customStyle="1" w:styleId="103">
    <w:name w:val="正文文本缩进 字符1"/>
    <w:link w:val="24"/>
    <w:autoRedefine/>
    <w:qFormat/>
    <w:uiPriority w:val="0"/>
    <w:rPr>
      <w:rFonts w:ascii="宋体" w:hAnsi="宋体"/>
      <w:kern w:val="2"/>
      <w:sz w:val="24"/>
      <w:szCs w:val="24"/>
    </w:rPr>
  </w:style>
  <w:style w:type="character" w:customStyle="1" w:styleId="104">
    <w:name w:val="big1"/>
    <w:autoRedefine/>
    <w:qFormat/>
    <w:uiPriority w:val="0"/>
    <w:rPr>
      <w:rFonts w:hint="eastAsia" w:ascii="宋体" w:hAnsi="宋体" w:eastAsia="宋体"/>
      <w:color w:val="333333"/>
      <w:sz w:val="22"/>
      <w:szCs w:val="22"/>
    </w:rPr>
  </w:style>
  <w:style w:type="character" w:customStyle="1" w:styleId="105">
    <w:name w:val="h Char Char1"/>
    <w:autoRedefine/>
    <w:qFormat/>
    <w:uiPriority w:val="0"/>
    <w:rPr>
      <w:rFonts w:eastAsia="宋体"/>
      <w:kern w:val="2"/>
      <w:sz w:val="18"/>
      <w:szCs w:val="18"/>
      <w:lang w:val="en-US" w:eastAsia="zh-CN" w:bidi="ar-SA"/>
    </w:rPr>
  </w:style>
  <w:style w:type="character" w:customStyle="1" w:styleId="106">
    <w:name w:val="样式8 Char"/>
    <w:autoRedefine/>
    <w:qFormat/>
    <w:uiPriority w:val="0"/>
    <w:rPr>
      <w:rFonts w:ascii="仿宋_GB2312" w:hAnsi="宋体" w:eastAsia="仿宋_GB2312"/>
      <w:b/>
      <w:bCs/>
      <w:kern w:val="2"/>
      <w:sz w:val="24"/>
      <w:szCs w:val="24"/>
    </w:rPr>
  </w:style>
  <w:style w:type="character" w:customStyle="1" w:styleId="107">
    <w:name w:val="HTML 预设格式 字符"/>
    <w:link w:val="55"/>
    <w:autoRedefine/>
    <w:qFormat/>
    <w:uiPriority w:val="0"/>
    <w:rPr>
      <w:rFonts w:ascii="黑体" w:hAnsi="Courier New" w:eastAsia="黑体"/>
    </w:rPr>
  </w:style>
  <w:style w:type="character" w:customStyle="1" w:styleId="108">
    <w:name w:val="页脚 Char1"/>
    <w:autoRedefine/>
    <w:qFormat/>
    <w:uiPriority w:val="0"/>
    <w:rPr>
      <w:rFonts w:eastAsia="宋体"/>
      <w:kern w:val="2"/>
      <w:sz w:val="18"/>
      <w:szCs w:val="18"/>
      <w:lang w:val="en-US" w:eastAsia="zh-CN" w:bidi="ar-SA"/>
    </w:rPr>
  </w:style>
  <w:style w:type="character" w:customStyle="1" w:styleId="109">
    <w:name w:val="myp11"/>
    <w:autoRedefine/>
    <w:qFormat/>
    <w:uiPriority w:val="0"/>
    <w:rPr>
      <w:rFonts w:ascii="仿宋_GB2312" w:eastAsia="微软雅黑"/>
      <w:b/>
      <w:kern w:val="2"/>
      <w:sz w:val="32"/>
      <w:szCs w:val="32"/>
      <w:lang w:val="en-US" w:eastAsia="zh-CN" w:bidi="ar-SA"/>
    </w:rPr>
  </w:style>
  <w:style w:type="character" w:customStyle="1" w:styleId="110">
    <w:name w:val="正文文本 2 Char"/>
    <w:autoRedefine/>
    <w:qFormat/>
    <w:uiPriority w:val="0"/>
    <w:rPr>
      <w:rFonts w:eastAsia="宋体"/>
      <w:kern w:val="2"/>
      <w:sz w:val="21"/>
      <w:szCs w:val="24"/>
      <w:lang w:val="en-US" w:eastAsia="zh-CN" w:bidi="ar-SA"/>
    </w:rPr>
  </w:style>
  <w:style w:type="character" w:customStyle="1" w:styleId="111">
    <w:name w:val="tw4winTerm"/>
    <w:autoRedefine/>
    <w:qFormat/>
    <w:uiPriority w:val="0"/>
    <w:rPr>
      <w:color w:val="0000FF"/>
    </w:rPr>
  </w:style>
  <w:style w:type="character" w:customStyle="1" w:styleId="112">
    <w:name w:val="标题 8 字符"/>
    <w:link w:val="9"/>
    <w:autoRedefine/>
    <w:qFormat/>
    <w:uiPriority w:val="0"/>
    <w:rPr>
      <w:rFonts w:ascii="Arial" w:hAnsi="Arial" w:eastAsia="黑体"/>
      <w:kern w:val="2"/>
      <w:sz w:val="24"/>
      <w:szCs w:val="24"/>
    </w:rPr>
  </w:style>
  <w:style w:type="character" w:customStyle="1" w:styleId="1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4">
    <w:name w:val="hei16b1"/>
    <w:autoRedefine/>
    <w:qFormat/>
    <w:uiPriority w:val="0"/>
    <w:rPr>
      <w:rFonts w:hint="default" w:ascii="Arial" w:hAnsi="Arial" w:cs="Arial"/>
      <w:b/>
      <w:bCs/>
      <w:color w:val="000000"/>
      <w:sz w:val="24"/>
      <w:szCs w:val="24"/>
    </w:rPr>
  </w:style>
  <w:style w:type="character" w:customStyle="1" w:styleId="115">
    <w:name w:val="Heading 7 Char"/>
    <w:autoRedefine/>
    <w:qFormat/>
    <w:locked/>
    <w:uiPriority w:val="0"/>
    <w:rPr>
      <w:rFonts w:ascii="宋体" w:hAnsi="宋体" w:eastAsia="宋体"/>
      <w:b/>
      <w:bCs/>
      <w:kern w:val="2"/>
      <w:sz w:val="24"/>
      <w:szCs w:val="24"/>
      <w:lang w:val="en-US" w:eastAsia="zh-CN" w:bidi="ar-SA"/>
    </w:rPr>
  </w:style>
  <w:style w:type="character" w:customStyle="1" w:styleId="116">
    <w:name w:val="Char Char6"/>
    <w:autoRedefine/>
    <w:qFormat/>
    <w:uiPriority w:val="0"/>
    <w:rPr>
      <w:rFonts w:eastAsia="宋体"/>
      <w:kern w:val="2"/>
      <w:sz w:val="21"/>
      <w:szCs w:val="24"/>
      <w:lang w:val="en-US" w:eastAsia="zh-CN" w:bidi="ar-SA"/>
    </w:rPr>
  </w:style>
  <w:style w:type="character" w:customStyle="1" w:styleId="117">
    <w:name w:val="哈哈正文 Char"/>
    <w:link w:val="118"/>
    <w:autoRedefine/>
    <w:qFormat/>
    <w:uiPriority w:val="0"/>
    <w:rPr>
      <w:rFonts w:ascii="宋体" w:hAnsi="宋体" w:eastAsia="宋体"/>
      <w:kern w:val="2"/>
      <w:sz w:val="24"/>
      <w:lang w:bidi="ar-SA"/>
    </w:rPr>
  </w:style>
  <w:style w:type="paragraph" w:customStyle="1" w:styleId="118">
    <w:name w:val="哈哈正文"/>
    <w:basedOn w:val="1"/>
    <w:link w:val="117"/>
    <w:autoRedefine/>
    <w:qFormat/>
    <w:uiPriority w:val="0"/>
    <w:pPr>
      <w:adjustRightInd/>
      <w:spacing w:line="360" w:lineRule="auto"/>
      <w:ind w:firstLine="200" w:firstLineChars="200"/>
    </w:pPr>
    <w:rPr>
      <w:rFonts w:ascii="宋体" w:hAnsi="宋体"/>
      <w:sz w:val="24"/>
      <w:szCs w:val="20"/>
    </w:rPr>
  </w:style>
  <w:style w:type="character" w:customStyle="1" w:styleId="119">
    <w:name w:val="pt141"/>
    <w:autoRedefine/>
    <w:qFormat/>
    <w:uiPriority w:val="0"/>
    <w:rPr>
      <w:color w:val="330066"/>
      <w:sz w:val="22"/>
      <w:szCs w:val="22"/>
    </w:rPr>
  </w:style>
  <w:style w:type="character" w:customStyle="1" w:styleId="120">
    <w:name w:val="普通文字 Char3"/>
    <w:autoRedefine/>
    <w:qFormat/>
    <w:uiPriority w:val="0"/>
    <w:rPr>
      <w:rFonts w:ascii="宋体" w:hAnsi="Courier New" w:eastAsia="宋体"/>
      <w:kern w:val="2"/>
      <w:sz w:val="21"/>
      <w:lang w:val="en-US" w:eastAsia="zh-CN" w:bidi="ar-SA"/>
    </w:rPr>
  </w:style>
  <w:style w:type="character" w:customStyle="1" w:styleId="12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字符"/>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autoRedefine/>
    <w:qFormat/>
    <w:uiPriority w:val="0"/>
    <w:rPr>
      <w:rFonts w:eastAsia="宋体"/>
      <w:kern w:val="2"/>
      <w:sz w:val="24"/>
      <w:lang w:val="en-US" w:eastAsia="zh-CN" w:bidi="ar-SA"/>
    </w:rPr>
  </w:style>
  <w:style w:type="character" w:customStyle="1" w:styleId="124">
    <w:name w:val="普通文字 Char1"/>
    <w:autoRedefine/>
    <w:qFormat/>
    <w:uiPriority w:val="0"/>
    <w:rPr>
      <w:rFonts w:ascii="宋体" w:hAnsi="Courier New" w:eastAsia="宋体"/>
      <w:kern w:val="2"/>
      <w:sz w:val="21"/>
      <w:lang w:val="en-US" w:eastAsia="zh-CN"/>
    </w:rPr>
  </w:style>
  <w:style w:type="character" w:customStyle="1" w:styleId="125">
    <w:name w:val="标题 9 字符"/>
    <w:link w:val="10"/>
    <w:autoRedefine/>
    <w:qFormat/>
    <w:uiPriority w:val="0"/>
    <w:rPr>
      <w:rFonts w:ascii="Arial" w:hAnsi="Arial" w:eastAsia="黑体"/>
      <w:kern w:val="2"/>
      <w:sz w:val="21"/>
      <w:szCs w:val="21"/>
    </w:rPr>
  </w:style>
  <w:style w:type="character" w:customStyle="1" w:styleId="126">
    <w:name w:val="Header Char"/>
    <w:autoRedefine/>
    <w:semiHidden/>
    <w:qFormat/>
    <w:locked/>
    <w:uiPriority w:val="0"/>
    <w:rPr>
      <w:rFonts w:eastAsia="宋体"/>
      <w:kern w:val="2"/>
      <w:sz w:val="18"/>
      <w:szCs w:val="18"/>
      <w:lang w:val="en-US" w:eastAsia="zh-CN" w:bidi="ar-SA"/>
    </w:rPr>
  </w:style>
  <w:style w:type="character" w:customStyle="1" w:styleId="127">
    <w:name w:val="Footer-Even Char1"/>
    <w:autoRedefine/>
    <w:qFormat/>
    <w:uiPriority w:val="0"/>
    <w:rPr>
      <w:rFonts w:eastAsia="宋体"/>
      <w:kern w:val="2"/>
      <w:sz w:val="18"/>
      <w:szCs w:val="18"/>
      <w:lang w:val="en-US" w:eastAsia="zh-CN" w:bidi="ar-SA"/>
    </w:rPr>
  </w:style>
  <w:style w:type="character" w:customStyle="1" w:styleId="128">
    <w:name w:val="unnamed31"/>
    <w:autoRedefine/>
    <w:qFormat/>
    <w:uiPriority w:val="0"/>
    <w:rPr>
      <w:rFonts w:ascii="Tahoma" w:hAnsi="Tahoma" w:eastAsia="宋体"/>
      <w:b/>
      <w:kern w:val="2"/>
      <w:sz w:val="24"/>
      <w:szCs w:val="32"/>
      <w:u w:val="none"/>
      <w:lang w:val="en-US" w:eastAsia="zh-CN" w:bidi="ar-SA"/>
    </w:rPr>
  </w:style>
  <w:style w:type="character" w:customStyle="1" w:styleId="129">
    <w:name w:val="纯文本 Char Char Char"/>
    <w:autoRedefine/>
    <w:qFormat/>
    <w:uiPriority w:val="0"/>
    <w:rPr>
      <w:rFonts w:ascii="宋体" w:hAnsi="Courier New" w:eastAsia="宋体"/>
      <w:kern w:val="2"/>
      <w:sz w:val="21"/>
      <w:lang w:val="en-US" w:eastAsia="zh-CN" w:bidi="ar-SA"/>
    </w:rPr>
  </w:style>
  <w:style w:type="character" w:customStyle="1" w:styleId="130">
    <w:name w:val="Body Text(ch) Char Char"/>
    <w:autoRedefine/>
    <w:qFormat/>
    <w:uiPriority w:val="0"/>
    <w:rPr>
      <w:rFonts w:ascii="宋体"/>
      <w:kern w:val="2"/>
      <w:sz w:val="24"/>
      <w:szCs w:val="21"/>
      <w:lang w:val="zh-CN"/>
    </w:rPr>
  </w:style>
  <w:style w:type="character" w:customStyle="1" w:styleId="131">
    <w:name w:val="插图说明 Char"/>
    <w:autoRedefine/>
    <w:qFormat/>
    <w:uiPriority w:val="0"/>
    <w:rPr>
      <w:rFonts w:eastAsia="黑体"/>
      <w:sz w:val="24"/>
      <w:lang w:val="en-US" w:eastAsia="zh-CN"/>
    </w:rPr>
  </w:style>
  <w:style w:type="character" w:customStyle="1" w:styleId="132">
    <w:name w:val="tw4winExternal"/>
    <w:autoRedefine/>
    <w:qFormat/>
    <w:uiPriority w:val="0"/>
    <w:rPr>
      <w:rFonts w:ascii="Courier New" w:hAnsi="Courier New" w:cs="Courier New"/>
      <w:color w:val="808080"/>
      <w:lang w:val="en-US" w:eastAsia="zh-CN"/>
    </w:rPr>
  </w:style>
  <w:style w:type="character" w:customStyle="1" w:styleId="133">
    <w:name w:val="font21"/>
    <w:autoRedefine/>
    <w:qFormat/>
    <w:uiPriority w:val="0"/>
    <w:rPr>
      <w:rFonts w:hint="eastAsia" w:ascii="宋体" w:hAnsi="宋体" w:eastAsia="宋体"/>
      <w:kern w:val="2"/>
      <w:sz w:val="28"/>
      <w:szCs w:val="28"/>
      <w:lang w:val="en-US" w:eastAsia="zh-CN" w:bidi="ar-SA"/>
    </w:rPr>
  </w:style>
  <w:style w:type="character" w:customStyle="1" w:styleId="134">
    <w:name w:val="标书正文格式 Char"/>
    <w:autoRedefine/>
    <w:qFormat/>
    <w:uiPriority w:val="0"/>
    <w:rPr>
      <w:rFonts w:eastAsia="楷体_GB2312"/>
      <w:kern w:val="2"/>
      <w:sz w:val="24"/>
      <w:szCs w:val="24"/>
      <w:lang w:bidi="ar-SA"/>
    </w:rPr>
  </w:style>
  <w:style w:type="character" w:customStyle="1" w:styleId="135">
    <w:name w:val="正文文本首行缩进 字符"/>
    <w:link w:val="23"/>
    <w:autoRedefine/>
    <w:qFormat/>
    <w:uiPriority w:val="0"/>
    <w:rPr>
      <w:rFonts w:ascii="宋体"/>
      <w:kern w:val="2"/>
      <w:sz w:val="24"/>
      <w:lang w:val="zh-CN"/>
    </w:rPr>
  </w:style>
  <w:style w:type="character" w:customStyle="1" w:styleId="136">
    <w:name w:val="javascript"/>
    <w:autoRedefine/>
    <w:qFormat/>
    <w:uiPriority w:val="0"/>
  </w:style>
  <w:style w:type="character" w:customStyle="1" w:styleId="137">
    <w:name w:val="Balloon Text Char"/>
    <w:autoRedefine/>
    <w:semiHidden/>
    <w:qFormat/>
    <w:locked/>
    <w:uiPriority w:val="0"/>
    <w:rPr>
      <w:rFonts w:eastAsia="宋体"/>
      <w:kern w:val="2"/>
      <w:sz w:val="18"/>
      <w:szCs w:val="18"/>
      <w:lang w:val="en-US" w:eastAsia="zh-CN" w:bidi="ar-SA"/>
    </w:rPr>
  </w:style>
  <w:style w:type="character" w:customStyle="1" w:styleId="138">
    <w:name w:val="Char Char5"/>
    <w:autoRedefine/>
    <w:qFormat/>
    <w:uiPriority w:val="0"/>
    <w:rPr>
      <w:rFonts w:ascii="宋体" w:hAnsi="Courier New" w:eastAsia="宋体"/>
      <w:kern w:val="2"/>
      <w:sz w:val="21"/>
      <w:lang w:val="en-US" w:eastAsia="zh-CN"/>
    </w:rPr>
  </w:style>
  <w:style w:type="character" w:customStyle="1" w:styleId="139">
    <w:name w:val="Char Char"/>
    <w:autoRedefine/>
    <w:qFormat/>
    <w:uiPriority w:val="0"/>
    <w:rPr>
      <w:rFonts w:ascii="宋体" w:hAnsi="Courier New" w:eastAsia="宋体"/>
      <w:kern w:val="2"/>
      <w:sz w:val="21"/>
      <w:lang w:val="en-US" w:eastAsia="zh-CN" w:bidi="ar-SA"/>
    </w:rPr>
  </w:style>
  <w:style w:type="character" w:customStyle="1" w:styleId="140">
    <w:name w:val="mdeck"/>
    <w:autoRedefine/>
    <w:qFormat/>
    <w:uiPriority w:val="0"/>
    <w:rPr>
      <w:rFonts w:ascii="仿宋_GB2312" w:eastAsia="微软雅黑"/>
      <w:b/>
      <w:kern w:val="2"/>
      <w:sz w:val="32"/>
      <w:szCs w:val="32"/>
      <w:lang w:val="en-US" w:eastAsia="zh-CN" w:bidi="ar-SA"/>
    </w:rPr>
  </w:style>
  <w:style w:type="character" w:customStyle="1" w:styleId="141">
    <w:name w:val="content"/>
    <w:autoRedefine/>
    <w:qFormat/>
    <w:uiPriority w:val="0"/>
  </w:style>
  <w:style w:type="character" w:customStyle="1" w:styleId="142">
    <w:name w:val="Char Char3"/>
    <w:autoRedefine/>
    <w:qFormat/>
    <w:uiPriority w:val="0"/>
    <w:rPr>
      <w:rFonts w:eastAsia="宋体"/>
      <w:kern w:val="2"/>
      <w:sz w:val="21"/>
      <w:szCs w:val="24"/>
      <w:lang w:val="en-US" w:eastAsia="zh-CN" w:bidi="ar-SA"/>
    </w:rPr>
  </w:style>
  <w:style w:type="character" w:customStyle="1" w:styleId="143">
    <w:name w:val="Char Char81"/>
    <w:autoRedefine/>
    <w:qFormat/>
    <w:uiPriority w:val="6"/>
    <w:rPr>
      <w:rFonts w:eastAsia="宋体"/>
      <w:b/>
      <w:sz w:val="24"/>
      <w:lang w:val="en-GB" w:eastAsia="zh-CN"/>
    </w:rPr>
  </w:style>
  <w:style w:type="character" w:customStyle="1" w:styleId="144">
    <w:name w:val="标题 1 字符"/>
    <w:link w:val="2"/>
    <w:autoRedefine/>
    <w:qFormat/>
    <w:uiPriority w:val="0"/>
    <w:rPr>
      <w:rFonts w:ascii="仿宋" w:hAnsi="仿宋" w:eastAsia="仿宋" w:cs="仿宋_GB2312"/>
      <w:b/>
      <w:color w:val="000000"/>
      <w:kern w:val="2"/>
      <w:sz w:val="36"/>
      <w:szCs w:val="36"/>
    </w:rPr>
  </w:style>
  <w:style w:type="character" w:customStyle="1" w:styleId="145">
    <w:name w:val="页眉 Char"/>
    <w:autoRedefine/>
    <w:qFormat/>
    <w:uiPriority w:val="99"/>
    <w:rPr>
      <w:rFonts w:eastAsia="仿宋_GB2312"/>
      <w:kern w:val="2"/>
      <w:sz w:val="18"/>
      <w:lang w:val="en-US" w:eastAsia="zh-CN"/>
    </w:rPr>
  </w:style>
  <w:style w:type="character" w:customStyle="1" w:styleId="146">
    <w:name w:val="b11_01b Char"/>
    <w:link w:val="147"/>
    <w:autoRedefine/>
    <w:qFormat/>
    <w:uiPriority w:val="0"/>
    <w:rPr>
      <w:rFonts w:ascii="Verdana" w:hAnsi="Verdana"/>
      <w:b/>
      <w:bCs/>
      <w:color w:val="4A82CA"/>
      <w:sz w:val="17"/>
      <w:szCs w:val="17"/>
    </w:rPr>
  </w:style>
  <w:style w:type="paragraph" w:customStyle="1" w:styleId="147">
    <w:name w:val="b11_01b"/>
    <w:basedOn w:val="1"/>
    <w:next w:val="1"/>
    <w:link w:val="14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autoRedefine/>
    <w:qFormat/>
    <w:uiPriority w:val="0"/>
    <w:rPr>
      <w:rFonts w:ascii="Cambria" w:hAnsi="Cambria"/>
      <w:b/>
      <w:bCs/>
      <w:color w:val="000000"/>
      <w:kern w:val="2"/>
      <w:sz w:val="21"/>
      <w:szCs w:val="21"/>
    </w:rPr>
  </w:style>
  <w:style w:type="paragraph" w:customStyle="1" w:styleId="149">
    <w:name w:val="标题4-dyf"/>
    <w:basedOn w:val="5"/>
    <w:link w:val="148"/>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0">
    <w:name w:val="批注主题 Char"/>
    <w:autoRedefine/>
    <w:qFormat/>
    <w:uiPriority w:val="0"/>
    <w:rPr>
      <w:rFonts w:eastAsia="宋体"/>
      <w:b/>
      <w:bCs/>
      <w:kern w:val="2"/>
      <w:sz w:val="21"/>
      <w:szCs w:val="24"/>
      <w:lang w:val="en-US" w:eastAsia="zh-CN" w:bidi="ar-SA"/>
    </w:rPr>
  </w:style>
  <w:style w:type="character" w:customStyle="1" w:styleId="15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autoRedefine/>
    <w:qFormat/>
    <w:uiPriority w:val="0"/>
    <w:rPr>
      <w:rFonts w:eastAsia="宋体"/>
      <w:b/>
      <w:bCs/>
      <w:kern w:val="2"/>
      <w:sz w:val="32"/>
      <w:szCs w:val="32"/>
      <w:lang w:val="en-US" w:eastAsia="zh-CN" w:bidi="ar-SA"/>
    </w:rPr>
  </w:style>
  <w:style w:type="character" w:customStyle="1" w:styleId="153">
    <w:name w:val="gray6"/>
    <w:basedOn w:val="62"/>
    <w:autoRedefine/>
    <w:qFormat/>
    <w:uiPriority w:val="0"/>
    <w:rPr>
      <w:rFonts w:ascii="Arial" w:hAnsi="Arial" w:eastAsia="黑体" w:cs="Arial"/>
      <w:snapToGrid w:val="0"/>
      <w:kern w:val="0"/>
      <w:szCs w:val="21"/>
    </w:rPr>
  </w:style>
  <w:style w:type="character" w:customStyle="1" w:styleId="154">
    <w:name w:val="正文首行缩进两字 Char"/>
    <w:autoRedefine/>
    <w:qFormat/>
    <w:uiPriority w:val="0"/>
    <w:rPr>
      <w:sz w:val="24"/>
      <w:szCs w:val="24"/>
      <w:lang w:val="en-US" w:eastAsia="zh-CN" w:bidi="ar-SA"/>
    </w:rPr>
  </w:style>
  <w:style w:type="character" w:customStyle="1" w:styleId="155">
    <w:name w:val="Char Char51"/>
    <w:autoRedefine/>
    <w:qFormat/>
    <w:uiPriority w:val="0"/>
    <w:rPr>
      <w:rFonts w:ascii="宋体" w:hAnsi="Courier New" w:eastAsia="宋体"/>
      <w:kern w:val="2"/>
      <w:sz w:val="21"/>
      <w:lang w:val="en-US" w:eastAsia="zh-CN"/>
    </w:rPr>
  </w:style>
  <w:style w:type="character" w:customStyle="1" w:styleId="156">
    <w:name w:val="带编号样式 Char"/>
    <w:autoRedefine/>
    <w:qFormat/>
    <w:uiPriority w:val="0"/>
    <w:rPr>
      <w:rFonts w:ascii="仿宋_GB2312" w:eastAsia="仿宋_GB2312"/>
      <w:color w:val="000000"/>
      <w:sz w:val="24"/>
      <w:lang w:bidi="ar-SA"/>
    </w:rPr>
  </w:style>
  <w:style w:type="character" w:customStyle="1" w:styleId="157">
    <w:name w:val="Footer-Even Char"/>
    <w:autoRedefine/>
    <w:qFormat/>
    <w:uiPriority w:val="0"/>
    <w:rPr>
      <w:rFonts w:eastAsia="宋体"/>
      <w:kern w:val="2"/>
      <w:sz w:val="18"/>
      <w:lang w:val="en-US" w:eastAsia="zh-CN" w:bidi="ar-SA"/>
    </w:rPr>
  </w:style>
  <w:style w:type="character" w:customStyle="1" w:styleId="158">
    <w:name w:val="样式4 Char"/>
    <w:autoRedefine/>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autoRedefine/>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5"/>
    <w:link w:val="159"/>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autoRedefine/>
    <w:qFormat/>
    <w:uiPriority w:val="0"/>
    <w:rPr>
      <w:b/>
      <w:bCs/>
      <w:color w:val="FF6633"/>
      <w:sz w:val="18"/>
      <w:szCs w:val="18"/>
    </w:rPr>
  </w:style>
  <w:style w:type="character" w:customStyle="1" w:styleId="162">
    <w:name w:val="普通文字 Char Char1"/>
    <w:autoRedefine/>
    <w:qFormat/>
    <w:uiPriority w:val="0"/>
    <w:rPr>
      <w:rFonts w:ascii="宋体" w:hAnsi="Courier New"/>
      <w:kern w:val="2"/>
      <w:sz w:val="21"/>
    </w:rPr>
  </w:style>
  <w:style w:type="character" w:customStyle="1" w:styleId="163">
    <w:name w:val="PI Char"/>
    <w:autoRedefine/>
    <w:qFormat/>
    <w:uiPriority w:val="0"/>
    <w:rPr>
      <w:rFonts w:ascii="宋体" w:hAnsi="宋体" w:eastAsia="宋体"/>
      <w:kern w:val="2"/>
      <w:sz w:val="24"/>
      <w:szCs w:val="24"/>
      <w:lang w:val="en-US" w:eastAsia="zh-CN" w:bidi="ar-SA"/>
    </w:rPr>
  </w:style>
  <w:style w:type="character" w:customStyle="1" w:styleId="164">
    <w:name w:val="Char Char11"/>
    <w:autoRedefine/>
    <w:qFormat/>
    <w:locked/>
    <w:uiPriority w:val="0"/>
    <w:rPr>
      <w:rFonts w:ascii="宋体" w:hAnsi="宋体" w:eastAsia="宋体"/>
      <w:b/>
      <w:kern w:val="2"/>
      <w:sz w:val="24"/>
      <w:szCs w:val="24"/>
      <w:lang w:val="en-US" w:eastAsia="zh-CN" w:bidi="ar-SA"/>
    </w:rPr>
  </w:style>
  <w:style w:type="character" w:customStyle="1" w:styleId="16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autoRedefine/>
    <w:semiHidden/>
    <w:qFormat/>
    <w:locked/>
    <w:uiPriority w:val="0"/>
    <w:rPr>
      <w:rFonts w:eastAsia="宋体"/>
      <w:kern w:val="2"/>
      <w:sz w:val="21"/>
      <w:szCs w:val="24"/>
      <w:lang w:val="en-US" w:eastAsia="zh-CN" w:bidi="ar-SA"/>
    </w:rPr>
  </w:style>
  <w:style w:type="character" w:customStyle="1" w:styleId="167">
    <w:name w:val="正文文本缩进 Char"/>
    <w:autoRedefine/>
    <w:qFormat/>
    <w:uiPriority w:val="0"/>
    <w:rPr>
      <w:rFonts w:ascii="宋体" w:hAnsi="宋体"/>
      <w:kern w:val="2"/>
      <w:sz w:val="24"/>
      <w:szCs w:val="24"/>
    </w:rPr>
  </w:style>
  <w:style w:type="character" w:customStyle="1" w:styleId="168">
    <w:name w:val="文本正文 Char Char"/>
    <w:autoRedefine/>
    <w:qFormat/>
    <w:locked/>
    <w:uiPriority w:val="0"/>
    <w:rPr>
      <w:sz w:val="24"/>
      <w:lang w:bidi="ar-SA"/>
    </w:rPr>
  </w:style>
  <w:style w:type="character" w:customStyle="1" w:styleId="169">
    <w:name w:val="样式7 Char"/>
    <w:autoRedefine/>
    <w:qFormat/>
    <w:uiPriority w:val="0"/>
    <w:rPr>
      <w:rFonts w:ascii="仿宋_GB2312" w:hAnsi="仿宋" w:eastAsia="仿宋_GB2312"/>
      <w:b/>
      <w:kern w:val="2"/>
      <w:sz w:val="24"/>
      <w:szCs w:val="24"/>
    </w:rPr>
  </w:style>
  <w:style w:type="character" w:customStyle="1" w:styleId="170">
    <w:name w:val="样式3 Char"/>
    <w:basedOn w:val="171"/>
    <w:autoRedefine/>
    <w:qFormat/>
    <w:uiPriority w:val="0"/>
    <w:rPr>
      <w:rFonts w:ascii="仿宋_GB2312" w:hAnsi="仿宋" w:eastAsia="仿宋_GB2312" w:cs="仿宋_GB2312"/>
      <w:sz w:val="32"/>
      <w:szCs w:val="30"/>
      <w:lang w:val="zh-CN"/>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3">
    <w:name w:val="Table Text Char1"/>
    <w:autoRedefine/>
    <w:qFormat/>
    <w:uiPriority w:val="0"/>
    <w:rPr>
      <w:rFonts w:eastAsia="宋体"/>
      <w:sz w:val="24"/>
      <w:szCs w:val="24"/>
      <w:lang w:val="en-US" w:eastAsia="zh-CN" w:bidi="ar-SA"/>
    </w:rPr>
  </w:style>
  <w:style w:type="character" w:customStyle="1" w:styleId="174">
    <w:name w:val="shadow11"/>
    <w:autoRedefine/>
    <w:qFormat/>
    <w:uiPriority w:val="0"/>
    <w:rPr>
      <w:color w:val="000000"/>
      <w:sz w:val="21"/>
    </w:rPr>
  </w:style>
  <w:style w:type="character" w:customStyle="1" w:styleId="175">
    <w:name w:val="HTML 地址 字符"/>
    <w:link w:val="29"/>
    <w:autoRedefine/>
    <w:qFormat/>
    <w:uiPriority w:val="0"/>
    <w:rPr>
      <w:rFonts w:ascii="宋体" w:hAnsi="宋体"/>
      <w:i/>
      <w:iCs/>
      <w:sz w:val="24"/>
      <w:szCs w:val="24"/>
    </w:rPr>
  </w:style>
  <w:style w:type="character" w:customStyle="1" w:styleId="176">
    <w:name w:val="Char Char21"/>
    <w:autoRedefine/>
    <w:qFormat/>
    <w:uiPriority w:val="0"/>
    <w:rPr>
      <w:rFonts w:eastAsia="宋体"/>
      <w:b/>
      <w:bCs/>
      <w:kern w:val="2"/>
      <w:sz w:val="21"/>
      <w:szCs w:val="24"/>
      <w:lang w:val="en-US" w:eastAsia="zh-CN" w:bidi="ar-SA"/>
    </w:rPr>
  </w:style>
  <w:style w:type="character" w:customStyle="1" w:styleId="177">
    <w:name w:val="标题 5 字符"/>
    <w:link w:val="6"/>
    <w:autoRedefine/>
    <w:qFormat/>
    <w:uiPriority w:val="0"/>
    <w:rPr>
      <w:b/>
      <w:bCs/>
      <w:kern w:val="2"/>
      <w:sz w:val="28"/>
      <w:szCs w:val="28"/>
    </w:rPr>
  </w:style>
  <w:style w:type="character" w:customStyle="1" w:styleId="178">
    <w:name w:val="h3 Char1"/>
    <w:autoRedefine/>
    <w:qFormat/>
    <w:uiPriority w:val="0"/>
    <w:rPr>
      <w:rFonts w:eastAsia="宋体"/>
      <w:b/>
      <w:bCs/>
      <w:kern w:val="2"/>
      <w:sz w:val="32"/>
      <w:szCs w:val="32"/>
      <w:lang w:bidi="ar-SA"/>
    </w:rPr>
  </w:style>
  <w:style w:type="character" w:customStyle="1" w:styleId="179">
    <w:name w:val="FA正文 Char Char"/>
    <w:autoRedefine/>
    <w:qFormat/>
    <w:uiPriority w:val="0"/>
    <w:rPr>
      <w:rFonts w:hAnsi="宋体"/>
      <w:kern w:val="2"/>
      <w:sz w:val="24"/>
      <w:lang w:bidi="ar-SA"/>
    </w:rPr>
  </w:style>
  <w:style w:type="character" w:customStyle="1" w:styleId="180">
    <w:name w:val="首行缩进 Char"/>
    <w:autoRedefine/>
    <w:qFormat/>
    <w:uiPriority w:val="0"/>
    <w:rPr>
      <w:rFonts w:ascii="宋体" w:eastAsia="宋体"/>
      <w:kern w:val="2"/>
      <w:sz w:val="24"/>
      <w:lang w:val="en-US" w:eastAsia="zh-CN" w:bidi="ar-SA"/>
    </w:rPr>
  </w:style>
  <w:style w:type="character" w:customStyle="1" w:styleId="181">
    <w:name w:val="Char Char7"/>
    <w:autoRedefine/>
    <w:semiHidden/>
    <w:qFormat/>
    <w:uiPriority w:val="0"/>
    <w:rPr>
      <w:rFonts w:eastAsia="宋体"/>
      <w:kern w:val="2"/>
      <w:sz w:val="21"/>
      <w:szCs w:val="24"/>
      <w:lang w:val="en-US" w:eastAsia="zh-CN" w:bidi="ar-SA"/>
    </w:rPr>
  </w:style>
  <w:style w:type="character" w:customStyle="1" w:styleId="182">
    <w:name w:val="hui"/>
    <w:basedOn w:val="62"/>
    <w:autoRedefine/>
    <w:qFormat/>
    <w:uiPriority w:val="0"/>
    <w:rPr>
      <w:rFonts w:ascii="Arial" w:hAnsi="Arial" w:eastAsia="黑体" w:cs="Arial"/>
      <w:snapToGrid w:val="0"/>
      <w:kern w:val="0"/>
      <w:szCs w:val="21"/>
    </w:rPr>
  </w:style>
  <w:style w:type="character" w:customStyle="1" w:styleId="183">
    <w:name w:val="正文缩进 Char"/>
    <w:autoRedefine/>
    <w:qFormat/>
    <w:uiPriority w:val="0"/>
    <w:rPr>
      <w:rFonts w:eastAsia="宋体"/>
      <w:kern w:val="2"/>
      <w:sz w:val="21"/>
      <w:lang w:val="en-US" w:eastAsia="zh-CN"/>
    </w:rPr>
  </w:style>
  <w:style w:type="character" w:customStyle="1" w:styleId="184">
    <w:name w:val="正文1 Char"/>
    <w:autoRedefine/>
    <w:qFormat/>
    <w:uiPriority w:val="0"/>
    <w:rPr>
      <w:rFonts w:ascii="宋体" w:eastAsia="宋体"/>
      <w:snapToGrid w:val="0"/>
      <w:color w:val="000000"/>
      <w:kern w:val="28"/>
      <w:sz w:val="28"/>
      <w:lang w:val="en-US" w:eastAsia="zh-CN" w:bidi="ar-SA"/>
    </w:rPr>
  </w:style>
  <w:style w:type="character" w:customStyle="1" w:styleId="185">
    <w:name w:val="Char Char61"/>
    <w:autoRedefine/>
    <w:qFormat/>
    <w:uiPriority w:val="0"/>
    <w:rPr>
      <w:rFonts w:eastAsia="宋体"/>
      <w:kern w:val="2"/>
      <w:sz w:val="21"/>
      <w:szCs w:val="24"/>
      <w:lang w:val="en-US" w:eastAsia="zh-CN" w:bidi="ar-SA"/>
    </w:rPr>
  </w:style>
  <w:style w:type="character" w:customStyle="1" w:styleId="186">
    <w:name w:val="正文文本 3 字符"/>
    <w:link w:val="21"/>
    <w:autoRedefine/>
    <w:qFormat/>
    <w:uiPriority w:val="0"/>
    <w:rPr>
      <w:kern w:val="2"/>
      <w:sz w:val="21"/>
    </w:rPr>
  </w:style>
  <w:style w:type="character" w:customStyle="1" w:styleId="187">
    <w:name w:val="message1"/>
    <w:autoRedefine/>
    <w:qFormat/>
    <w:uiPriority w:val="0"/>
    <w:rPr>
      <w:rFonts w:hint="default" w:ascii="Tahoma" w:hAnsi="Tahoma" w:cs="Tahoma"/>
      <w:sz w:val="18"/>
      <w:szCs w:val="18"/>
    </w:rPr>
  </w:style>
  <w:style w:type="character" w:customStyle="1" w:styleId="188">
    <w:name w:val="Heading 2 Hidden Char"/>
    <w:autoRedefine/>
    <w:qFormat/>
    <w:uiPriority w:val="0"/>
    <w:rPr>
      <w:rFonts w:ascii="仿宋_GB2312" w:eastAsia="仿宋_GB2312"/>
      <w:b/>
      <w:bCs/>
      <w:kern w:val="2"/>
      <w:sz w:val="24"/>
      <w:szCs w:val="24"/>
      <w:lang w:val="zh-CN" w:eastAsia="zh-CN" w:bidi="ar-SA"/>
    </w:rPr>
  </w:style>
  <w:style w:type="character" w:customStyle="1" w:styleId="189">
    <w:name w:val="DO_NOT_TRANSLATE"/>
    <w:autoRedefine/>
    <w:qFormat/>
    <w:uiPriority w:val="0"/>
    <w:rPr>
      <w:rFonts w:ascii="Courier New" w:hAnsi="Courier New" w:cs="Courier New"/>
      <w:color w:val="800000"/>
      <w:lang w:val="en-US" w:eastAsia="zh-CN"/>
    </w:rPr>
  </w:style>
  <w:style w:type="character" w:customStyle="1" w:styleId="190">
    <w:name w:val="unnamed11"/>
    <w:autoRedefine/>
    <w:qFormat/>
    <w:uiPriority w:val="0"/>
    <w:rPr>
      <w:sz w:val="20"/>
      <w:szCs w:val="20"/>
    </w:rPr>
  </w:style>
  <w:style w:type="character" w:customStyle="1" w:styleId="191">
    <w:name w:val="tw4winInternal"/>
    <w:autoRedefine/>
    <w:qFormat/>
    <w:uiPriority w:val="0"/>
    <w:rPr>
      <w:rFonts w:ascii="Courier New" w:hAnsi="Courier New" w:cs="Courier New"/>
      <w:color w:val="FF0000"/>
      <w:lang w:val="en-US" w:eastAsia="zh-CN"/>
    </w:rPr>
  </w:style>
  <w:style w:type="character" w:customStyle="1" w:styleId="192">
    <w:name w:val="正文（缩进2汉字） Char"/>
    <w:link w:val="193"/>
    <w:autoRedefine/>
    <w:qFormat/>
    <w:uiPriority w:val="0"/>
    <w:rPr>
      <w:rFonts w:ascii="宋体"/>
    </w:rPr>
  </w:style>
  <w:style w:type="paragraph" w:customStyle="1" w:styleId="193">
    <w:name w:val="正文（缩进2汉字）"/>
    <w:basedOn w:val="1"/>
    <w:link w:val="19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正文文本缩进 3 字符"/>
    <w:link w:val="51"/>
    <w:autoRedefine/>
    <w:qFormat/>
    <w:uiPriority w:val="0"/>
    <w:rPr>
      <w:kern w:val="2"/>
      <w:sz w:val="24"/>
    </w:rPr>
  </w:style>
  <w:style w:type="character" w:customStyle="1" w:styleId="196">
    <w:name w:val="正文缩进 Char1"/>
    <w:autoRedefine/>
    <w:qFormat/>
    <w:uiPriority w:val="0"/>
    <w:rPr>
      <w:rFonts w:ascii="宋体" w:eastAsia="宋体"/>
      <w:snapToGrid w:val="0"/>
      <w:color w:val="000000"/>
      <w:kern w:val="28"/>
      <w:sz w:val="28"/>
      <w:lang w:val="en-US" w:eastAsia="zh-CN" w:bidi="ar-SA"/>
    </w:rPr>
  </w:style>
  <w:style w:type="character" w:customStyle="1" w:styleId="197">
    <w:name w:val="正文文本 Char"/>
    <w:autoRedefine/>
    <w:qFormat/>
    <w:uiPriority w:val="0"/>
    <w:rPr>
      <w:rFonts w:eastAsia="宋体"/>
      <w:kern w:val="2"/>
      <w:sz w:val="24"/>
      <w:szCs w:val="24"/>
      <w:lang w:val="en-US" w:eastAsia="zh-CN" w:bidi="ar-SA"/>
    </w:rPr>
  </w:style>
  <w:style w:type="character" w:customStyle="1" w:styleId="198">
    <w:name w:val="style36"/>
    <w:basedOn w:val="62"/>
    <w:autoRedefine/>
    <w:qFormat/>
    <w:uiPriority w:val="0"/>
    <w:rPr>
      <w:rFonts w:ascii="Arial" w:hAnsi="Arial" w:eastAsia="黑体" w:cs="Arial"/>
      <w:snapToGrid w:val="0"/>
      <w:kern w:val="0"/>
      <w:szCs w:val="21"/>
    </w:rPr>
  </w:style>
  <w:style w:type="character" w:customStyle="1" w:styleId="199">
    <w:name w:val="hui3"/>
    <w:autoRedefine/>
    <w:qFormat/>
    <w:uiPriority w:val="0"/>
    <w:rPr>
      <w:color w:val="333333"/>
    </w:rPr>
  </w:style>
  <w:style w:type="character" w:customStyle="1" w:styleId="200">
    <w:name w:val="方案正文 Char"/>
    <w:autoRedefine/>
    <w:qFormat/>
    <w:uiPriority w:val="0"/>
    <w:rPr>
      <w:rFonts w:ascii="仿宋_GB2312" w:eastAsia="仿宋_GB2312"/>
      <w:b/>
      <w:color w:val="000000"/>
      <w:kern w:val="2"/>
      <w:sz w:val="24"/>
      <w:lang w:val="en-US" w:eastAsia="zh-CN" w:bidi="ar-SA"/>
    </w:rPr>
  </w:style>
  <w:style w:type="character" w:customStyle="1" w:styleId="201">
    <w:name w:val="apple-converted-space"/>
    <w:autoRedefine/>
    <w:qFormat/>
    <w:uiPriority w:val="0"/>
  </w:style>
  <w:style w:type="character" w:customStyle="1" w:styleId="202">
    <w:name w:val="文档结构图 Char"/>
    <w:autoRedefine/>
    <w:qFormat/>
    <w:uiPriority w:val="0"/>
    <w:rPr>
      <w:rFonts w:eastAsia="宋体"/>
      <w:kern w:val="2"/>
      <w:sz w:val="21"/>
      <w:szCs w:val="24"/>
      <w:lang w:val="en-US" w:eastAsia="zh-CN" w:bidi="ar-SA"/>
    </w:rPr>
  </w:style>
  <w:style w:type="character" w:customStyle="1" w:styleId="203">
    <w:name w:val="正文非缩进 Char3"/>
    <w:autoRedefine/>
    <w:qFormat/>
    <w:uiPriority w:val="0"/>
    <w:rPr>
      <w:rFonts w:ascii="宋体" w:eastAsia="宋体"/>
      <w:snapToGrid w:val="0"/>
      <w:color w:val="000000"/>
      <w:kern w:val="28"/>
      <w:sz w:val="28"/>
      <w:lang w:val="en-US" w:eastAsia="zh-CN" w:bidi="ar-SA"/>
    </w:rPr>
  </w:style>
  <w:style w:type="character" w:customStyle="1" w:styleId="204">
    <w:name w:val="dectext1"/>
    <w:autoRedefine/>
    <w:qFormat/>
    <w:uiPriority w:val="0"/>
    <w:rPr>
      <w:rFonts w:ascii="宋体" w:hAnsi="宋体" w:eastAsia="宋体"/>
      <w:color w:val="333333"/>
      <w:sz w:val="21"/>
      <w:szCs w:val="21"/>
      <w:u w:val="none"/>
    </w:rPr>
  </w:style>
  <w:style w:type="character" w:customStyle="1" w:styleId="205">
    <w:name w:val="t21"/>
    <w:autoRedefine/>
    <w:qFormat/>
    <w:uiPriority w:val="0"/>
    <w:rPr>
      <w:rFonts w:ascii="仿宋_GB2312" w:eastAsia="微软雅黑"/>
      <w:b/>
      <w:kern w:val="2"/>
      <w:sz w:val="23"/>
      <w:szCs w:val="23"/>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px14"/>
    <w:autoRedefine/>
    <w:qFormat/>
    <w:uiPriority w:val="0"/>
    <w:rPr>
      <w:rFonts w:ascii="仿宋_GB2312" w:eastAsia="微软雅黑" w:cs="Times New Roman"/>
      <w:b/>
      <w:kern w:val="2"/>
      <w:sz w:val="32"/>
      <w:szCs w:val="32"/>
      <w:lang w:val="en-US" w:eastAsia="zh-CN" w:bidi="ar-SA"/>
    </w:rPr>
  </w:style>
  <w:style w:type="character" w:customStyle="1" w:styleId="208">
    <w:name w:val="标题 7 字符"/>
    <w:link w:val="8"/>
    <w:autoRedefine/>
    <w:qFormat/>
    <w:uiPriority w:val="0"/>
    <w:rPr>
      <w:b/>
      <w:bCs/>
      <w:kern w:val="2"/>
      <w:sz w:val="24"/>
      <w:szCs w:val="24"/>
    </w:rPr>
  </w:style>
  <w:style w:type="character" w:customStyle="1" w:styleId="209">
    <w:name w:val="Normal Indent Char Char"/>
    <w:autoRedefine/>
    <w:qFormat/>
    <w:uiPriority w:val="0"/>
    <w:rPr>
      <w:rFonts w:eastAsia="宋体"/>
      <w:kern w:val="2"/>
      <w:sz w:val="21"/>
      <w:lang w:val="en-US" w:eastAsia="zh-CN" w:bidi="ar-SA"/>
    </w:rPr>
  </w:style>
  <w:style w:type="character" w:customStyle="1" w:styleId="210">
    <w:name w:val="f141"/>
    <w:autoRedefine/>
    <w:qFormat/>
    <w:uiPriority w:val="0"/>
    <w:rPr>
      <w:rFonts w:ascii="Tahoma" w:hAnsi="Tahoma" w:eastAsia="宋体"/>
      <w:b/>
      <w:kern w:val="2"/>
      <w:sz w:val="21"/>
      <w:szCs w:val="21"/>
      <w:lang w:val="en-US" w:eastAsia="zh-CN" w:bidi="ar-SA"/>
    </w:rPr>
  </w:style>
  <w:style w:type="character" w:customStyle="1" w:styleId="211">
    <w:name w:val="日期 字符"/>
    <w:link w:val="35"/>
    <w:autoRedefine/>
    <w:qFormat/>
    <w:uiPriority w:val="0"/>
    <w:rPr>
      <w:rFonts w:ascii="宋体"/>
      <w:kern w:val="2"/>
      <w:sz w:val="24"/>
      <w:szCs w:val="21"/>
      <w:lang w:val="zh-CN"/>
    </w:rPr>
  </w:style>
  <w:style w:type="character" w:customStyle="1" w:styleId="212">
    <w:name w:val="myp1111"/>
    <w:autoRedefine/>
    <w:qFormat/>
    <w:uiPriority w:val="0"/>
    <w:rPr>
      <w:rFonts w:hint="default" w:ascii="ˎ̥" w:hAnsi="ˎ̥"/>
      <w:color w:val="000000"/>
      <w:sz w:val="20"/>
      <w:szCs w:val="20"/>
      <w:u w:val="none"/>
    </w:rPr>
  </w:style>
  <w:style w:type="character" w:customStyle="1" w:styleId="213">
    <w:name w:val="称呼 字符"/>
    <w:link w:val="20"/>
    <w:autoRedefine/>
    <w:qFormat/>
    <w:uiPriority w:val="0"/>
    <w:rPr>
      <w:rFonts w:ascii="仿宋_GB2312" w:eastAsia="仿宋_GB2312"/>
      <w:kern w:val="2"/>
      <w:sz w:val="28"/>
    </w:rPr>
  </w:style>
  <w:style w:type="character" w:customStyle="1" w:styleId="214">
    <w:name w:val="标题 4 字符"/>
    <w:link w:val="5"/>
    <w:autoRedefine/>
    <w:qFormat/>
    <w:uiPriority w:val="0"/>
    <w:rPr>
      <w:rFonts w:ascii="Arial" w:hAnsi="Arial" w:eastAsia="黑体"/>
      <w:b/>
      <w:bCs/>
      <w:kern w:val="2"/>
      <w:sz w:val="28"/>
      <w:szCs w:val="28"/>
      <w:lang w:val="zh-CN"/>
    </w:rPr>
  </w:style>
  <w:style w:type="character" w:customStyle="1" w:styleId="215">
    <w:name w:val="标书1 Char"/>
    <w:autoRedefine/>
    <w:qFormat/>
    <w:uiPriority w:val="0"/>
    <w:rPr>
      <w:rFonts w:eastAsia="宋体"/>
      <w:b/>
      <w:bCs/>
      <w:kern w:val="44"/>
      <w:sz w:val="44"/>
      <w:szCs w:val="44"/>
      <w:lang w:val="en-US" w:eastAsia="zh-CN" w:bidi="ar-SA"/>
    </w:rPr>
  </w:style>
  <w:style w:type="character" w:customStyle="1" w:styleId="216">
    <w:name w:val="链接"/>
    <w:autoRedefine/>
    <w:qFormat/>
    <w:uiPriority w:val="0"/>
    <w:rPr>
      <w:color w:val="0000FF"/>
      <w:sz w:val="21"/>
      <w:szCs w:val="21"/>
      <w:u w:val="single"/>
    </w:rPr>
  </w:style>
  <w:style w:type="character" w:customStyle="1" w:styleId="217">
    <w:name w:val="正文首行缩进 Char Char Char Char Char Char"/>
    <w:autoRedefine/>
    <w:qFormat/>
    <w:uiPriority w:val="0"/>
    <w:rPr>
      <w:rFonts w:ascii="宋体" w:eastAsia="宋体"/>
      <w:kern w:val="2"/>
      <w:sz w:val="24"/>
      <w:lang w:val="zh-CN" w:bidi="ar-SA"/>
    </w:rPr>
  </w:style>
  <w:style w:type="character" w:customStyle="1" w:styleId="218">
    <w:name w:val="正文2 Char Char"/>
    <w:link w:val="219"/>
    <w:autoRedefine/>
    <w:qFormat/>
    <w:uiPriority w:val="0"/>
    <w:rPr>
      <w:rFonts w:eastAsia="宋体"/>
      <w:kern w:val="2"/>
      <w:sz w:val="24"/>
      <w:lang w:val="en-US" w:eastAsia="zh-CN" w:bidi="ar-SA"/>
    </w:rPr>
  </w:style>
  <w:style w:type="paragraph" w:customStyle="1" w:styleId="219">
    <w:name w:val="正文2"/>
    <w:basedOn w:val="1"/>
    <w:link w:val="218"/>
    <w:autoRedefine/>
    <w:qFormat/>
    <w:uiPriority w:val="0"/>
    <w:pPr>
      <w:spacing w:before="156" w:line="360" w:lineRule="auto"/>
      <w:ind w:firstLine="510" w:firstLineChars="200"/>
    </w:pPr>
    <w:rPr>
      <w:sz w:val="24"/>
      <w:szCs w:val="20"/>
    </w:rPr>
  </w:style>
  <w:style w:type="character" w:customStyle="1" w:styleId="220">
    <w:name w:val="tw4winError"/>
    <w:autoRedefine/>
    <w:qFormat/>
    <w:uiPriority w:val="0"/>
    <w:rPr>
      <w:rFonts w:ascii="Courier New" w:hAnsi="Courier New" w:cs="Courier New"/>
      <w:color w:val="00FF00"/>
      <w:sz w:val="40"/>
      <w:szCs w:val="40"/>
    </w:rPr>
  </w:style>
  <w:style w:type="character" w:customStyle="1" w:styleId="221">
    <w:name w:val="正文1 Char1"/>
    <w:autoRedefine/>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3">
    <w:name w:val="c7 style3"/>
    <w:autoRedefine/>
    <w:qFormat/>
    <w:uiPriority w:val="0"/>
  </w:style>
  <w:style w:type="character" w:customStyle="1" w:styleId="2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22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autoRedefine/>
    <w:qFormat/>
    <w:uiPriority w:val="0"/>
    <w:rPr>
      <w:rFonts w:ascii="宋体" w:eastAsia="宋体"/>
      <w:snapToGrid w:val="0"/>
      <w:color w:val="000000"/>
      <w:kern w:val="28"/>
      <w:sz w:val="28"/>
      <w:lang w:val="en-US" w:eastAsia="zh-CN" w:bidi="ar-SA"/>
    </w:rPr>
  </w:style>
  <w:style w:type="character" w:customStyle="1" w:styleId="227">
    <w:name w:val="普通文字 Char1 Char"/>
    <w:autoRedefine/>
    <w:qFormat/>
    <w:uiPriority w:val="0"/>
    <w:rPr>
      <w:rFonts w:ascii="宋体" w:hAnsi="Courier New" w:eastAsia="宋体"/>
      <w:kern w:val="2"/>
      <w:sz w:val="21"/>
      <w:szCs w:val="24"/>
      <w:lang w:val="en-US" w:eastAsia="zh-CN" w:bidi="ar-SA"/>
    </w:rPr>
  </w:style>
  <w:style w:type="character" w:customStyle="1" w:styleId="228">
    <w:name w:val="pt9"/>
    <w:autoRedefine/>
    <w:qFormat/>
    <w:uiPriority w:val="0"/>
    <w:rPr>
      <w:rFonts w:ascii="仿宋_GB2312" w:eastAsia="微软雅黑"/>
      <w:b/>
      <w:kern w:val="2"/>
      <w:sz w:val="32"/>
      <w:szCs w:val="32"/>
      <w:lang w:val="en-US" w:eastAsia="zh-CN" w:bidi="ar-SA"/>
    </w:rPr>
  </w:style>
  <w:style w:type="character" w:customStyle="1" w:styleId="229">
    <w:name w:val="表正文 Char1"/>
    <w:autoRedefine/>
    <w:qFormat/>
    <w:uiPriority w:val="0"/>
    <w:rPr>
      <w:rFonts w:ascii="宋体" w:eastAsia="宋体"/>
      <w:snapToGrid w:val="0"/>
      <w:color w:val="000000"/>
      <w:kern w:val="28"/>
      <w:sz w:val="28"/>
    </w:rPr>
  </w:style>
  <w:style w:type="character" w:customStyle="1" w:styleId="230">
    <w:name w:val="正文非缩进 Char"/>
    <w:autoRedefine/>
    <w:qFormat/>
    <w:uiPriority w:val="0"/>
    <w:rPr>
      <w:rFonts w:ascii="宋体" w:eastAsia="宋体"/>
      <w:snapToGrid w:val="0"/>
      <w:color w:val="000000"/>
      <w:kern w:val="28"/>
      <w:sz w:val="28"/>
      <w:lang w:val="en-US" w:eastAsia="zh-CN" w:bidi="ar-SA"/>
    </w:rPr>
  </w:style>
  <w:style w:type="character" w:customStyle="1" w:styleId="231">
    <w:name w:val="冯广丽 Char"/>
    <w:link w:val="232"/>
    <w:autoRedefine/>
    <w:qFormat/>
    <w:uiPriority w:val="0"/>
    <w:rPr>
      <w:rFonts w:ascii="宋体" w:hAnsi="宋体"/>
      <w:kern w:val="2"/>
      <w:sz w:val="24"/>
      <w:szCs w:val="22"/>
    </w:rPr>
  </w:style>
  <w:style w:type="paragraph" w:customStyle="1" w:styleId="232">
    <w:name w:val="冯广丽"/>
    <w:basedOn w:val="1"/>
    <w:link w:val="231"/>
    <w:autoRedefine/>
    <w:qFormat/>
    <w:uiPriority w:val="0"/>
    <w:pPr>
      <w:adjustRightInd/>
      <w:spacing w:line="360" w:lineRule="auto"/>
      <w:ind w:firstLine="480" w:firstLineChars="200"/>
    </w:pPr>
    <w:rPr>
      <w:rFonts w:ascii="宋体" w:hAnsi="宋体"/>
      <w:sz w:val="24"/>
      <w:szCs w:val="22"/>
    </w:rPr>
  </w:style>
  <w:style w:type="character" w:customStyle="1" w:styleId="233">
    <w:name w:val="large1"/>
    <w:autoRedefine/>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autoRedefine/>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autoRedefine/>
    <w:qFormat/>
    <w:uiPriority w:val="0"/>
  </w:style>
  <w:style w:type="character" w:customStyle="1" w:styleId="236">
    <w:name w:val="标题 1 Char Char"/>
    <w:autoRedefine/>
    <w:qFormat/>
    <w:uiPriority w:val="0"/>
    <w:rPr>
      <w:rFonts w:hint="eastAsia" w:ascii="宋体" w:hAnsi="宋体" w:eastAsia="宋体"/>
      <w:b/>
      <w:spacing w:val="-2"/>
      <w:sz w:val="24"/>
      <w:lang w:val="en-US" w:eastAsia="zh-CN" w:bidi="ar-SA"/>
    </w:rPr>
  </w:style>
  <w:style w:type="character" w:customStyle="1" w:styleId="237">
    <w:name w:val="标题 4 Char1"/>
    <w:autoRedefine/>
    <w:semiHidden/>
    <w:qFormat/>
    <w:uiPriority w:val="9"/>
    <w:rPr>
      <w:rFonts w:ascii="Cambria" w:hAnsi="Cambria" w:eastAsia="宋体" w:cs="Times New Roman"/>
      <w:b/>
      <w:bCs/>
      <w:kern w:val="2"/>
      <w:sz w:val="28"/>
      <w:szCs w:val="28"/>
    </w:rPr>
  </w:style>
  <w:style w:type="character" w:customStyle="1" w:styleId="238">
    <w:name w:val="脚注文本 字符"/>
    <w:link w:val="48"/>
    <w:autoRedefine/>
    <w:qFormat/>
    <w:uiPriority w:val="0"/>
    <w:rPr>
      <w:color w:val="0000FF"/>
      <w:sz w:val="21"/>
    </w:rPr>
  </w:style>
  <w:style w:type="character" w:customStyle="1" w:styleId="239">
    <w:name w:val="zbggmain style9"/>
    <w:autoRedefine/>
    <w:qFormat/>
    <w:uiPriority w:val="0"/>
  </w:style>
  <w:style w:type="character" w:customStyle="1" w:styleId="240">
    <w:name w:val="tw4winMark"/>
    <w:autoRedefine/>
    <w:qFormat/>
    <w:uiPriority w:val="0"/>
    <w:rPr>
      <w:rFonts w:ascii="Courier New" w:hAnsi="Courier New" w:cs="Courier New"/>
      <w:vanish/>
      <w:color w:val="800080"/>
      <w:sz w:val="24"/>
      <w:szCs w:val="24"/>
      <w:vertAlign w:val="subscript"/>
    </w:rPr>
  </w:style>
  <w:style w:type="character" w:customStyle="1" w:styleId="241">
    <w:name w:val="tw4winPopup"/>
    <w:autoRedefine/>
    <w:qFormat/>
    <w:uiPriority w:val="0"/>
    <w:rPr>
      <w:rFonts w:ascii="Courier New" w:hAnsi="Courier New" w:cs="Courier New"/>
      <w:color w:val="008000"/>
      <w:lang w:val="en-US" w:eastAsia="zh-CN"/>
    </w:rPr>
  </w:style>
  <w:style w:type="character" w:customStyle="1" w:styleId="242">
    <w:name w:val="标题 6 字符"/>
    <w:link w:val="7"/>
    <w:autoRedefine/>
    <w:qFormat/>
    <w:uiPriority w:val="0"/>
    <w:rPr>
      <w:rFonts w:ascii="Arial" w:hAnsi="Arial" w:eastAsia="黑体"/>
      <w:b/>
      <w:bCs/>
      <w:kern w:val="2"/>
      <w:sz w:val="24"/>
      <w:szCs w:val="24"/>
    </w:rPr>
  </w:style>
  <w:style w:type="character" w:customStyle="1" w:styleId="243">
    <w:name w:val="样式 宋体"/>
    <w:autoRedefine/>
    <w:qFormat/>
    <w:uiPriority w:val="0"/>
    <w:rPr>
      <w:rFonts w:ascii="宋体" w:hAnsi="宋体"/>
      <w:sz w:val="24"/>
    </w:rPr>
  </w:style>
  <w:style w:type="character" w:customStyle="1" w:styleId="244">
    <w:name w:val="正文缩进 字符1"/>
    <w:link w:val="15"/>
    <w:autoRedefine/>
    <w:qFormat/>
    <w:uiPriority w:val="0"/>
    <w:rPr>
      <w:rFonts w:ascii="宋体" w:eastAsia="宋体"/>
      <w:snapToGrid w:val="0"/>
      <w:color w:val="000000"/>
      <w:kern w:val="28"/>
      <w:sz w:val="28"/>
      <w:lang w:val="en-US" w:eastAsia="zh-CN" w:bidi="ar-SA"/>
    </w:rPr>
  </w:style>
  <w:style w:type="character" w:customStyle="1" w:styleId="245">
    <w:name w:val="标题 Char"/>
    <w:autoRedefine/>
    <w:qFormat/>
    <w:uiPriority w:val="0"/>
    <w:rPr>
      <w:rFonts w:eastAsia="宋体"/>
      <w:b/>
      <w:sz w:val="24"/>
      <w:lang w:val="en-GB" w:eastAsia="zh-CN" w:bidi="ar-SA"/>
    </w:rPr>
  </w:style>
  <w:style w:type="character" w:customStyle="1" w:styleId="246">
    <w:name w:val="正文文本首行缩进 2 字符"/>
    <w:link w:val="59"/>
    <w:autoRedefine/>
    <w:qFormat/>
    <w:uiPriority w:val="0"/>
    <w:rPr>
      <w:rFonts w:ascii="宋体" w:hAnsi="宋体"/>
      <w:kern w:val="2"/>
      <w:sz w:val="21"/>
      <w:szCs w:val="24"/>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批注文字 字符"/>
    <w:link w:val="19"/>
    <w:autoRedefine/>
    <w:qFormat/>
    <w:uiPriority w:val="99"/>
    <w:rPr>
      <w:kern w:val="2"/>
      <w:sz w:val="21"/>
      <w:szCs w:val="24"/>
    </w:rPr>
  </w:style>
  <w:style w:type="character" w:customStyle="1" w:styleId="249">
    <w:name w:val="批注框文本 字符"/>
    <w:link w:val="37"/>
    <w:autoRedefine/>
    <w:semiHidden/>
    <w:qFormat/>
    <w:uiPriority w:val="0"/>
    <w:rPr>
      <w:kern w:val="2"/>
      <w:sz w:val="18"/>
      <w:szCs w:val="18"/>
    </w:rPr>
  </w:style>
  <w:style w:type="character" w:customStyle="1" w:styleId="250">
    <w:name w:val="公文正文 Char"/>
    <w:autoRedefine/>
    <w:qFormat/>
    <w:uiPriority w:val="0"/>
    <w:rPr>
      <w:rFonts w:ascii="仿宋_GB2312" w:eastAsia="仿宋_GB2312"/>
      <w:kern w:val="2"/>
      <w:sz w:val="24"/>
      <w:szCs w:val="24"/>
      <w:lang w:val="en-US" w:eastAsia="zh-CN" w:bidi="ar-SA"/>
    </w:rPr>
  </w:style>
  <w:style w:type="character" w:customStyle="1" w:styleId="251">
    <w:name w:val="Footer Char"/>
    <w:autoRedefine/>
    <w:qFormat/>
    <w:locked/>
    <w:uiPriority w:val="0"/>
    <w:rPr>
      <w:rFonts w:eastAsia="宋体"/>
      <w:kern w:val="2"/>
      <w:sz w:val="18"/>
      <w:lang w:val="en-US" w:eastAsia="zh-CN" w:bidi="ar-SA"/>
    </w:rPr>
  </w:style>
  <w:style w:type="character" w:customStyle="1" w:styleId="252">
    <w:name w:val="标题 2 Char"/>
    <w:autoRedefine/>
    <w:qFormat/>
    <w:uiPriority w:val="0"/>
    <w:rPr>
      <w:rFonts w:ascii="Arial" w:hAnsi="Arial" w:eastAsia="黑体"/>
      <w:b/>
      <w:kern w:val="2"/>
      <w:sz w:val="32"/>
      <w:lang w:val="en-US" w:eastAsia="zh-CN"/>
    </w:rPr>
  </w:style>
  <w:style w:type="character" w:customStyle="1" w:styleId="253">
    <w:name w:val="Char Char41"/>
    <w:autoRedefine/>
    <w:qFormat/>
    <w:uiPriority w:val="0"/>
    <w:rPr>
      <w:rFonts w:eastAsia="宋体"/>
      <w:b/>
      <w:sz w:val="24"/>
      <w:lang w:val="en-GB" w:eastAsia="zh-CN" w:bidi="ar-SA"/>
    </w:rPr>
  </w:style>
  <w:style w:type="character" w:customStyle="1" w:styleId="254">
    <w:name w:val="Char Char91"/>
    <w:autoRedefine/>
    <w:qFormat/>
    <w:uiPriority w:val="0"/>
    <w:rPr>
      <w:rFonts w:eastAsia="宋体"/>
      <w:kern w:val="2"/>
      <w:sz w:val="18"/>
      <w:szCs w:val="18"/>
      <w:lang w:val="en-US" w:eastAsia="zh-CN" w:bidi="ar-SA"/>
    </w:rPr>
  </w:style>
  <w:style w:type="character" w:customStyle="1" w:styleId="255">
    <w:name w:val="列出段落 Char"/>
    <w:autoRedefine/>
    <w:qFormat/>
    <w:uiPriority w:val="34"/>
    <w:rPr>
      <w:rFonts w:eastAsia="楷体_GB2312" w:cs="Lucida Sans"/>
      <w:kern w:val="2"/>
      <w:sz w:val="24"/>
      <w:szCs w:val="24"/>
      <w:lang w:val="en-US" w:eastAsia="zh-CN" w:bidi="ar-SA"/>
    </w:rPr>
  </w:style>
  <w:style w:type="character" w:customStyle="1" w:styleId="256">
    <w:name w:val="gf正文1 Char"/>
    <w:autoRedefine/>
    <w:qFormat/>
    <w:uiPriority w:val="0"/>
    <w:rPr>
      <w:rFonts w:ascii="宋体" w:hAnsi="宋体" w:eastAsia="宋体" w:cs="宋体"/>
      <w:kern w:val="2"/>
      <w:sz w:val="24"/>
      <w:szCs w:val="24"/>
      <w:lang w:val="en-US" w:eastAsia="zh-CN" w:bidi="ar-SA"/>
    </w:rPr>
  </w:style>
  <w:style w:type="character" w:customStyle="1" w:styleId="257">
    <w:name w:val="标书表格字体格式 Char"/>
    <w:autoRedefine/>
    <w:qFormat/>
    <w:uiPriority w:val="0"/>
    <w:rPr>
      <w:kern w:val="2"/>
      <w:sz w:val="21"/>
      <w:szCs w:val="24"/>
      <w:lang w:bidi="ar-SA"/>
    </w:rPr>
  </w:style>
  <w:style w:type="character" w:customStyle="1" w:styleId="258">
    <w:name w:val="样式6 Char"/>
    <w:autoRedefine/>
    <w:qFormat/>
    <w:uiPriority w:val="0"/>
    <w:rPr>
      <w:rFonts w:ascii="仿宋_GB2312" w:hAnsi="宋体" w:eastAsia="仿宋_GB2312"/>
      <w:b/>
      <w:bCs/>
      <w:kern w:val="2"/>
      <w:sz w:val="24"/>
      <w:szCs w:val="24"/>
      <w:lang w:val="en-US" w:eastAsia="zh-CN" w:bidi="ar-SA"/>
    </w:rPr>
  </w:style>
  <w:style w:type="character" w:customStyle="1" w:styleId="259">
    <w:name w:val="签名 字符"/>
    <w:link w:val="40"/>
    <w:autoRedefine/>
    <w:qFormat/>
    <w:uiPriority w:val="0"/>
    <w:rPr>
      <w:rFonts w:eastAsia="仿宋_GB2312"/>
      <w:sz w:val="24"/>
    </w:rPr>
  </w:style>
  <w:style w:type="character" w:customStyle="1" w:styleId="260">
    <w:name w:val="冯 Char"/>
    <w:link w:val="261"/>
    <w:autoRedefine/>
    <w:qFormat/>
    <w:uiPriority w:val="0"/>
    <w:rPr>
      <w:rFonts w:ascii="宋体" w:hAnsi="宋体"/>
      <w:color w:val="000000"/>
      <w:sz w:val="24"/>
      <w:szCs w:val="24"/>
    </w:rPr>
  </w:style>
  <w:style w:type="paragraph" w:customStyle="1" w:styleId="261">
    <w:name w:val="冯"/>
    <w:basedOn w:val="1"/>
    <w:link w:val="26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md"/>
    <w:basedOn w:val="62"/>
    <w:autoRedefine/>
    <w:qFormat/>
    <w:uiPriority w:val="0"/>
    <w:rPr>
      <w:rFonts w:ascii="Arial" w:hAnsi="Arial" w:eastAsia="黑体" w:cs="Arial"/>
      <w:snapToGrid w:val="0"/>
      <w:kern w:val="0"/>
      <w:szCs w:val="21"/>
    </w:rPr>
  </w:style>
  <w:style w:type="character" w:customStyle="1" w:styleId="264">
    <w:name w:val="样式5 Char"/>
    <w:autoRedefine/>
    <w:qFormat/>
    <w:uiPriority w:val="0"/>
    <w:rPr>
      <w:rFonts w:ascii="仿宋_GB2312" w:hAnsi="仿宋" w:eastAsia="仿宋_GB2312"/>
      <w:kern w:val="2"/>
      <w:sz w:val="24"/>
      <w:szCs w:val="24"/>
    </w:rPr>
  </w:style>
  <w:style w:type="character" w:customStyle="1" w:styleId="265">
    <w:name w:val="表格 Char Char"/>
    <w:autoRedefine/>
    <w:qFormat/>
    <w:uiPriority w:val="0"/>
    <w:rPr>
      <w:rFonts w:ascii="宋体" w:hAnsi="宋体" w:eastAsia="宋体"/>
      <w:lang w:bidi="ar-SA"/>
    </w:rPr>
  </w:style>
  <w:style w:type="character" w:customStyle="1" w:styleId="266">
    <w:name w:val="font12gray1"/>
    <w:autoRedefine/>
    <w:qFormat/>
    <w:uiPriority w:val="0"/>
    <w:rPr>
      <w:rFonts w:ascii="仿宋_GB2312" w:eastAsia="微软雅黑"/>
      <w:b/>
      <w:spacing w:val="300"/>
      <w:kern w:val="2"/>
      <w:sz w:val="18"/>
      <w:szCs w:val="18"/>
      <w:lang w:val="en-US" w:eastAsia="zh-CN" w:bidi="ar-SA"/>
    </w:rPr>
  </w:style>
  <w:style w:type="character" w:customStyle="1" w:styleId="267">
    <w:name w:val="txt"/>
    <w:autoRedefine/>
    <w:qFormat/>
    <w:uiPriority w:val="0"/>
    <w:rPr>
      <w:rFonts w:ascii="仿宋_GB2312" w:eastAsia="微软雅黑"/>
      <w:b/>
      <w:kern w:val="2"/>
      <w:sz w:val="32"/>
      <w:szCs w:val="32"/>
      <w:lang w:val="en-US" w:eastAsia="zh-CN" w:bidi="ar-SA"/>
    </w:rPr>
  </w:style>
  <w:style w:type="character" w:customStyle="1" w:styleId="268">
    <w:name w:val="tw4winJump"/>
    <w:autoRedefine/>
    <w:qFormat/>
    <w:uiPriority w:val="0"/>
    <w:rPr>
      <w:rFonts w:ascii="Courier New" w:hAnsi="Courier New" w:cs="Courier New"/>
      <w:color w:val="008080"/>
      <w:lang w:val="en-US" w:eastAsia="zh-CN"/>
    </w:rPr>
  </w:style>
  <w:style w:type="character" w:customStyle="1" w:styleId="269">
    <w:name w:val="Item List Char"/>
    <w:link w:val="270"/>
    <w:autoRedefine/>
    <w:qFormat/>
    <w:uiPriority w:val="0"/>
    <w:rPr>
      <w:rFonts w:ascii="Arial"/>
      <w:bCs/>
      <w:sz w:val="21"/>
      <w:szCs w:val="21"/>
      <w:lang w:val="en-US" w:eastAsia="zh-CN" w:bidi="ar-SA"/>
    </w:rPr>
  </w:style>
  <w:style w:type="paragraph" w:customStyle="1" w:styleId="270">
    <w:name w:val="Item List"/>
    <w:link w:val="2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autoRedefine/>
    <w:qFormat/>
    <w:uiPriority w:val="0"/>
    <w:rPr>
      <w:rFonts w:ascii="仿宋_GB2312" w:eastAsia="仿宋_GB2312"/>
      <w:b/>
      <w:bCs/>
      <w:kern w:val="2"/>
      <w:sz w:val="24"/>
      <w:szCs w:val="24"/>
      <w:lang w:val="zh-CN" w:eastAsia="zh-CN" w:bidi="ar-SA"/>
    </w:rPr>
  </w:style>
  <w:style w:type="paragraph" w:customStyle="1" w:styleId="27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6"/>
    <w:autoRedefine/>
    <w:qFormat/>
    <w:uiPriority w:val="0"/>
    <w:pPr>
      <w:spacing w:after="120" w:line="480" w:lineRule="auto"/>
      <w:ind w:left="420" w:leftChars="200"/>
    </w:pPr>
    <w:rPr>
      <w:sz w:val="24"/>
      <w:szCs w:val="20"/>
    </w:rPr>
  </w:style>
  <w:style w:type="paragraph" w:customStyle="1" w:styleId="275">
    <w:name w:val="Char Char1"/>
    <w:basedOn w:val="1"/>
    <w:autoRedefine/>
    <w:qFormat/>
    <w:uiPriority w:val="0"/>
    <w:pPr>
      <w:widowControl/>
      <w:spacing w:after="160" w:line="240" w:lineRule="exact"/>
      <w:jc w:val="left"/>
    </w:pPr>
    <w:rPr>
      <w:rFonts w:eastAsia="仿宋_GB2312"/>
      <w:sz w:val="28"/>
    </w:rPr>
  </w:style>
  <w:style w:type="paragraph" w:customStyle="1" w:styleId="27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19"/>
    <w:autoRedefine/>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autoRedefine/>
    <w:qFormat/>
    <w:uiPriority w:val="0"/>
    <w:rPr>
      <w:rFonts w:ascii="仿宋_GB2312" w:eastAsia="仿宋_GB2312"/>
      <w:b/>
      <w:sz w:val="32"/>
      <w:szCs w:val="20"/>
    </w:rPr>
  </w:style>
  <w:style w:type="paragraph" w:customStyle="1" w:styleId="28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autoRedefine/>
    <w:qFormat/>
    <w:uiPriority w:val="0"/>
    <w:pPr>
      <w:spacing w:line="360" w:lineRule="auto"/>
      <w:ind w:firstLine="200" w:firstLineChars="200"/>
    </w:pPr>
    <w:rPr>
      <w:kern w:val="0"/>
      <w:sz w:val="24"/>
      <w:szCs w:val="20"/>
    </w:rPr>
  </w:style>
  <w:style w:type="paragraph" w:customStyle="1" w:styleId="28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autoRedefine/>
    <w:qFormat/>
    <w:uiPriority w:val="0"/>
    <w:rPr>
      <w:rFonts w:eastAsia="仿宋_GB2312"/>
      <w:sz w:val="28"/>
      <w:szCs w:val="20"/>
    </w:rPr>
  </w:style>
  <w:style w:type="paragraph" w:customStyle="1" w:styleId="28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1">
    <w:name w:val="trademark"/>
    <w:autoRedefine/>
    <w:qFormat/>
    <w:uiPriority w:val="0"/>
    <w:pPr>
      <w:spacing w:after="60"/>
    </w:pPr>
    <w:rPr>
      <w:rFonts w:ascii="Futura Bk" w:hAnsi="Futura Bk" w:eastAsia="宋体" w:cs="Times New Roman"/>
      <w:sz w:val="15"/>
      <w:lang w:val="en-US" w:eastAsia="en-US" w:bidi="ar-SA"/>
    </w:rPr>
  </w:style>
  <w:style w:type="paragraph" w:customStyle="1" w:styleId="2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默认段落字体 Para Char"/>
    <w:basedOn w:val="1"/>
    <w:autoRedefine/>
    <w:qFormat/>
    <w:uiPriority w:val="0"/>
    <w:rPr>
      <w:rFonts w:ascii="Tahoma" w:hAnsi="Tahoma"/>
      <w:sz w:val="24"/>
      <w:szCs w:val="20"/>
    </w:rPr>
  </w:style>
  <w:style w:type="paragraph" w:customStyle="1" w:styleId="2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autoRedefine/>
    <w:qFormat/>
    <w:uiPriority w:val="0"/>
    <w:rPr>
      <w:rFonts w:ascii="Tahoma" w:hAnsi="Tahoma" w:cs="仿宋_GB2312"/>
      <w:sz w:val="24"/>
      <w:szCs w:val="20"/>
    </w:rPr>
  </w:style>
  <w:style w:type="paragraph" w:customStyle="1" w:styleId="29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autoRedefine/>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autoRedefine/>
    <w:qFormat/>
    <w:uiPriority w:val="0"/>
    <w:pPr>
      <w:adjustRightInd/>
      <w:ind w:firstLine="200" w:firstLineChars="200"/>
      <w:jc w:val="right"/>
    </w:pPr>
  </w:style>
  <w:style w:type="paragraph" w:customStyle="1" w:styleId="305">
    <w:name w:val="Char31"/>
    <w:basedOn w:val="1"/>
    <w:autoRedefine/>
    <w:qFormat/>
    <w:uiPriority w:val="0"/>
    <w:pPr>
      <w:adjustRightInd/>
      <w:ind w:firstLine="200" w:firstLineChars="200"/>
    </w:pPr>
    <w:rPr>
      <w:rFonts w:ascii="Tahoma" w:hAnsi="Tahoma"/>
      <w:sz w:val="24"/>
      <w:szCs w:val="20"/>
    </w:rPr>
  </w:style>
  <w:style w:type="paragraph" w:customStyle="1" w:styleId="30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autoRedefine/>
    <w:qFormat/>
    <w:uiPriority w:val="0"/>
    <w:pPr>
      <w:adjustRightInd/>
      <w:ind w:firstLine="420" w:firstLineChars="200"/>
    </w:pPr>
    <w:rPr>
      <w:rFonts w:ascii="Calibri" w:hAnsi="Calibri"/>
      <w:szCs w:val="22"/>
    </w:rPr>
  </w:style>
  <w:style w:type="paragraph" w:customStyle="1" w:styleId="31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autoRedefine/>
    <w:qFormat/>
    <w:uiPriority w:val="0"/>
    <w:pPr>
      <w:numPr>
        <w:numId w:val="4"/>
      </w:numPr>
      <w:tabs>
        <w:tab w:val="left" w:pos="1680"/>
      </w:tabs>
      <w:adjustRightInd/>
    </w:pPr>
  </w:style>
  <w:style w:type="paragraph" w:customStyle="1" w:styleId="312">
    <w:name w:val="Normal0"/>
    <w:autoRedefine/>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autoRedefine/>
    <w:qFormat/>
    <w:uiPriority w:val="0"/>
    <w:rPr>
      <w:rFonts w:ascii="仿宋_GB2312" w:eastAsia="仿宋_GB2312"/>
      <w:b/>
      <w:sz w:val="32"/>
      <w:szCs w:val="32"/>
    </w:rPr>
  </w:style>
  <w:style w:type="paragraph" w:customStyle="1" w:styleId="31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autoRedefine/>
    <w:qFormat/>
    <w:uiPriority w:val="0"/>
    <w:rPr>
      <w:rFonts w:ascii="仿宋_GB2312" w:eastAsia="仿宋_GB2312"/>
      <w:b/>
      <w:sz w:val="32"/>
      <w:szCs w:val="32"/>
    </w:rPr>
  </w:style>
  <w:style w:type="paragraph" w:customStyle="1" w:styleId="32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autoRedefine/>
    <w:qFormat/>
    <w:uiPriority w:val="0"/>
    <w:rPr>
      <w:rFonts w:ascii="Tahoma" w:hAnsi="Tahoma"/>
      <w:sz w:val="24"/>
      <w:szCs w:val="20"/>
    </w:rPr>
  </w:style>
  <w:style w:type="paragraph" w:customStyle="1" w:styleId="328">
    <w:name w:val="MM Topic 4"/>
    <w:basedOn w:val="5"/>
    <w:autoRedefine/>
    <w:qFormat/>
    <w:uiPriority w:val="0"/>
    <w:pPr>
      <w:numPr>
        <w:numId w:val="4"/>
      </w:numPr>
      <w:tabs>
        <w:tab w:val="left" w:pos="2100"/>
      </w:tabs>
      <w:adjustRightInd/>
    </w:pPr>
    <w:rPr>
      <w:lang w:val="en-US"/>
    </w:rPr>
  </w:style>
  <w:style w:type="paragraph" w:customStyle="1" w:styleId="329">
    <w:name w:val="标准小四"/>
    <w:basedOn w:val="1"/>
    <w:autoRedefine/>
    <w:qFormat/>
    <w:uiPriority w:val="0"/>
    <w:pPr>
      <w:spacing w:line="360" w:lineRule="auto"/>
      <w:ind w:firstLine="480" w:firstLineChars="200"/>
    </w:pPr>
    <w:rPr>
      <w:rFonts w:ascii="Arial" w:hAnsi="Arial"/>
      <w:sz w:val="24"/>
      <w:szCs w:val="21"/>
    </w:rPr>
  </w:style>
  <w:style w:type="paragraph" w:customStyle="1" w:styleId="330">
    <w:name w:val="MM Topic 2"/>
    <w:basedOn w:val="3"/>
    <w:autoRedefine/>
    <w:qFormat/>
    <w:uiPriority w:val="0"/>
    <w:pPr>
      <w:numPr>
        <w:ilvl w:val="1"/>
        <w:numId w:val="4"/>
      </w:numPr>
    </w:pPr>
    <w:rPr>
      <w:rFonts w:ascii="Arial" w:hAnsi="Arial" w:eastAsia="黑体"/>
      <w:lang w:val="en-US"/>
    </w:rPr>
  </w:style>
  <w:style w:type="paragraph" w:customStyle="1" w:styleId="331">
    <w:name w:val="表格标题2"/>
    <w:basedOn w:val="332"/>
    <w:autoRedefine/>
    <w:qFormat/>
    <w:uiPriority w:val="0"/>
    <w:rPr>
      <w:b/>
    </w:rPr>
  </w:style>
  <w:style w:type="paragraph" w:customStyle="1" w:styleId="332">
    <w:name w:val="表格内文"/>
    <w:basedOn w:val="1"/>
    <w:autoRedefine/>
    <w:qFormat/>
    <w:uiPriority w:val="0"/>
    <w:pPr>
      <w:adjustRightInd/>
      <w:spacing w:line="360" w:lineRule="auto"/>
    </w:pPr>
    <w:rPr>
      <w:rFonts w:ascii="宋体" w:hAnsi="宋体" w:cs="宋体"/>
      <w:color w:val="000000"/>
      <w:szCs w:val="20"/>
    </w:rPr>
  </w:style>
  <w:style w:type="paragraph" w:customStyle="1" w:styleId="33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autoRedefine/>
    <w:qFormat/>
    <w:uiPriority w:val="0"/>
    <w:pPr>
      <w:spacing w:line="360" w:lineRule="auto"/>
    </w:pPr>
    <w:rPr>
      <w:szCs w:val="20"/>
    </w:rPr>
  </w:style>
  <w:style w:type="paragraph" w:customStyle="1" w:styleId="336">
    <w:name w:val="Char Char Char Char Char Char Char Char Char Char Char1 Char"/>
    <w:basedOn w:val="1"/>
    <w:autoRedefine/>
    <w:qFormat/>
    <w:uiPriority w:val="0"/>
    <w:pPr>
      <w:adjustRightInd/>
    </w:pPr>
    <w:rPr>
      <w:rFonts w:ascii="Tahoma" w:hAnsi="Tahoma"/>
      <w:sz w:val="24"/>
    </w:rPr>
  </w:style>
  <w:style w:type="paragraph" w:customStyle="1" w:styleId="33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autoRedefine/>
    <w:qFormat/>
    <w:uiPriority w:val="0"/>
    <w:pPr>
      <w:widowControl/>
      <w:spacing w:line="300" w:lineRule="atLeast"/>
      <w:jc w:val="left"/>
    </w:pPr>
    <w:rPr>
      <w:rFonts w:ascii="宋体" w:hAnsi="宋体"/>
      <w:kern w:val="0"/>
      <w:sz w:val="18"/>
      <w:szCs w:val="20"/>
    </w:rPr>
  </w:style>
  <w:style w:type="paragraph" w:customStyle="1" w:styleId="33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autoRedefine/>
    <w:qFormat/>
    <w:uiPriority w:val="0"/>
    <w:rPr>
      <w:rFonts w:ascii="仿宋_GB2312" w:eastAsia="仿宋_GB2312"/>
      <w:b/>
      <w:sz w:val="32"/>
      <w:szCs w:val="32"/>
    </w:rPr>
  </w:style>
  <w:style w:type="paragraph" w:customStyle="1" w:styleId="341">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autoRedefine/>
    <w:qFormat/>
    <w:uiPriority w:val="0"/>
    <w:pPr>
      <w:widowControl/>
      <w:adjustRightInd/>
      <w:spacing w:after="160" w:line="240" w:lineRule="exact"/>
      <w:jc w:val="left"/>
    </w:pPr>
    <w:rPr>
      <w:szCs w:val="20"/>
    </w:rPr>
  </w:style>
  <w:style w:type="paragraph" w:customStyle="1" w:styleId="34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34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autoRedefine/>
    <w:qFormat/>
    <w:uiPriority w:val="0"/>
    <w:pPr>
      <w:tabs>
        <w:tab w:val="left" w:pos="840"/>
      </w:tabs>
      <w:ind w:left="840" w:hanging="420"/>
    </w:pPr>
    <w:rPr>
      <w:rFonts w:ascii="Tahoma" w:hAnsi="Tahoma"/>
      <w:sz w:val="24"/>
    </w:rPr>
  </w:style>
  <w:style w:type="paragraph" w:customStyle="1" w:styleId="35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autoRedefine/>
    <w:qFormat/>
    <w:uiPriority w:val="0"/>
    <w:pPr>
      <w:spacing w:line="360" w:lineRule="auto"/>
    </w:pPr>
    <w:rPr>
      <w:szCs w:val="20"/>
    </w:rPr>
  </w:style>
  <w:style w:type="paragraph" w:customStyle="1" w:styleId="35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autoRedefine/>
    <w:qFormat/>
    <w:uiPriority w:val="0"/>
    <w:pPr>
      <w:adjustRightInd/>
      <w:spacing w:before="156" w:line="360" w:lineRule="auto"/>
      <w:ind w:firstLine="510" w:firstLineChars="200"/>
    </w:pPr>
    <w:rPr>
      <w:sz w:val="24"/>
      <w:szCs w:val="20"/>
    </w:rPr>
  </w:style>
  <w:style w:type="paragraph" w:customStyle="1" w:styleId="363">
    <w:name w:val="列出段落2"/>
    <w:basedOn w:val="1"/>
    <w:autoRedefine/>
    <w:qFormat/>
    <w:uiPriority w:val="0"/>
    <w:pPr>
      <w:adjustRightInd/>
      <w:ind w:firstLine="420" w:firstLineChars="200"/>
    </w:pPr>
    <w:rPr>
      <w:rFonts w:ascii="宋体" w:hAnsi="宋体"/>
      <w:sz w:val="24"/>
    </w:rPr>
  </w:style>
  <w:style w:type="paragraph" w:customStyle="1" w:styleId="36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autoRedefine/>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7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autoRedefine/>
    <w:qFormat/>
    <w:uiPriority w:val="0"/>
    <w:pPr>
      <w:adjustRightInd/>
      <w:spacing w:line="360" w:lineRule="auto"/>
      <w:ind w:firstLine="480" w:firstLineChars="200"/>
    </w:pPr>
    <w:rPr>
      <w:sz w:val="24"/>
      <w:szCs w:val="20"/>
    </w:rPr>
  </w:style>
  <w:style w:type="paragraph" w:customStyle="1" w:styleId="37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autoRedefine/>
    <w:qFormat/>
    <w:uiPriority w:val="0"/>
    <w:rPr>
      <w:rFonts w:ascii="宋体" w:hAnsi="Times New Roman" w:eastAsia="宋体" w:cs="Times New Roman"/>
      <w:kern w:val="2"/>
      <w:lang w:val="en-US" w:eastAsia="zh-CN" w:bidi="ar-SA"/>
    </w:rPr>
  </w:style>
  <w:style w:type="paragraph" w:customStyle="1" w:styleId="37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autoRedefine/>
    <w:qFormat/>
    <w:uiPriority w:val="0"/>
    <w:pPr>
      <w:adjustRightInd/>
      <w:spacing w:line="400" w:lineRule="exact"/>
      <w:ind w:firstLine="200" w:firstLineChars="200"/>
    </w:pPr>
    <w:rPr>
      <w:rFonts w:ascii="Arial" w:hAnsi="Arial"/>
    </w:rPr>
  </w:style>
  <w:style w:type="paragraph" w:customStyle="1" w:styleId="379">
    <w:name w:val="数字标题5"/>
    <w:basedOn w:val="6"/>
    <w:next w:val="1"/>
    <w:autoRedefine/>
    <w:qFormat/>
    <w:uiPriority w:val="0"/>
    <w:pPr>
      <w:numPr>
        <w:numId w:val="5"/>
      </w:numPr>
      <w:tabs>
        <w:tab w:val="left" w:pos="1080"/>
      </w:tabs>
    </w:pPr>
  </w:style>
  <w:style w:type="paragraph" w:customStyle="1" w:styleId="380">
    <w:name w:val="Char12"/>
    <w:basedOn w:val="1"/>
    <w:autoRedefine/>
    <w:qFormat/>
    <w:uiPriority w:val="0"/>
    <w:rPr>
      <w:rFonts w:ascii="仿宋_GB2312" w:eastAsia="仿宋_GB2312"/>
      <w:b/>
      <w:sz w:val="32"/>
      <w:szCs w:val="32"/>
    </w:rPr>
  </w:style>
  <w:style w:type="paragraph" w:customStyle="1" w:styleId="38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38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autoRedefine/>
    <w:qFormat/>
    <w:uiPriority w:val="0"/>
    <w:pPr>
      <w:spacing w:line="360" w:lineRule="auto"/>
    </w:pPr>
    <w:rPr>
      <w:szCs w:val="20"/>
    </w:rPr>
  </w:style>
  <w:style w:type="paragraph" w:customStyle="1" w:styleId="385">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autoRedefine/>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autoRedefine/>
    <w:qFormat/>
    <w:uiPriority w:val="0"/>
    <w:pPr>
      <w:adjustRightInd/>
      <w:ind w:firstLine="200" w:firstLineChars="200"/>
    </w:pPr>
    <w:rPr>
      <w:rFonts w:ascii="Tahoma" w:hAnsi="Tahoma"/>
      <w:sz w:val="24"/>
      <w:szCs w:val="20"/>
    </w:rPr>
  </w:style>
  <w:style w:type="paragraph" w:customStyle="1" w:styleId="39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3">
    <w:name w:val="Char2 Char Char Char"/>
    <w:basedOn w:val="1"/>
    <w:autoRedefine/>
    <w:qFormat/>
    <w:uiPriority w:val="0"/>
    <w:rPr>
      <w:rFonts w:ascii="仿宋_GB2312" w:eastAsia="仿宋_GB2312"/>
      <w:b/>
      <w:sz w:val="32"/>
      <w:szCs w:val="32"/>
    </w:rPr>
  </w:style>
  <w:style w:type="paragraph" w:customStyle="1" w:styleId="39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6"/>
    <w:autoRedefine/>
    <w:qFormat/>
    <w:uiPriority w:val="0"/>
    <w:pPr>
      <w:numPr>
        <w:numId w:val="4"/>
      </w:numPr>
      <w:tabs>
        <w:tab w:val="left" w:pos="2520"/>
      </w:tabs>
      <w:adjustRightInd/>
    </w:pPr>
  </w:style>
  <w:style w:type="paragraph" w:customStyle="1" w:styleId="39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399">
    <w:name w:val="Char1 Char Char Char2"/>
    <w:basedOn w:val="1"/>
    <w:autoRedefine/>
    <w:qFormat/>
    <w:uiPriority w:val="0"/>
    <w:pPr>
      <w:adjustRightInd/>
      <w:ind w:firstLine="200" w:firstLineChars="200"/>
    </w:pPr>
    <w:rPr>
      <w:rFonts w:ascii="Tahoma" w:hAnsi="Tahoma"/>
      <w:sz w:val="24"/>
      <w:szCs w:val="20"/>
    </w:rPr>
  </w:style>
  <w:style w:type="paragraph" w:customStyle="1" w:styleId="40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autoRedefine/>
    <w:qFormat/>
    <w:uiPriority w:val="0"/>
    <w:rPr>
      <w:rFonts w:ascii="Tahoma" w:hAnsi="Tahoma"/>
      <w:sz w:val="24"/>
      <w:szCs w:val="20"/>
    </w:rPr>
  </w:style>
  <w:style w:type="paragraph" w:customStyle="1" w:styleId="40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autoRedefine/>
    <w:qFormat/>
    <w:uiPriority w:val="0"/>
    <w:rPr>
      <w:rFonts w:ascii="仿宋_GB2312" w:eastAsia="仿宋_GB2312"/>
      <w:b/>
      <w:sz w:val="32"/>
      <w:szCs w:val="32"/>
    </w:rPr>
  </w:style>
  <w:style w:type="paragraph" w:customStyle="1" w:styleId="405">
    <w:name w:val="Char2 Char Char Char1"/>
    <w:basedOn w:val="1"/>
    <w:autoRedefine/>
    <w:qFormat/>
    <w:uiPriority w:val="0"/>
    <w:rPr>
      <w:rFonts w:ascii="仿宋_GB2312" w:eastAsia="仿宋_GB2312"/>
      <w:b/>
      <w:sz w:val="32"/>
      <w:szCs w:val="32"/>
    </w:rPr>
  </w:style>
  <w:style w:type="paragraph" w:customStyle="1" w:styleId="40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autoRedefine/>
    <w:qFormat/>
    <w:uiPriority w:val="0"/>
    <w:pPr>
      <w:widowControl/>
    </w:pPr>
    <w:rPr>
      <w:kern w:val="0"/>
      <w:sz w:val="24"/>
      <w:szCs w:val="20"/>
    </w:rPr>
  </w:style>
  <w:style w:type="paragraph" w:customStyle="1" w:styleId="40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autoRedefine/>
    <w:qFormat/>
    <w:uiPriority w:val="0"/>
    <w:pPr>
      <w:spacing w:line="240" w:lineRule="atLeast"/>
      <w:ind w:left="420" w:firstLine="420"/>
    </w:pPr>
    <w:rPr>
      <w:sz w:val="24"/>
    </w:rPr>
  </w:style>
  <w:style w:type="paragraph" w:customStyle="1" w:styleId="41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3">
    <w:name w:val="标书标题2"/>
    <w:basedOn w:val="3"/>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autoRedefine/>
    <w:qFormat/>
    <w:uiPriority w:val="0"/>
    <w:pPr>
      <w:snapToGrid w:val="0"/>
      <w:ind w:firstLine="42" w:firstLineChars="21"/>
    </w:pPr>
    <w:rPr>
      <w:rFonts w:ascii="宋体" w:hAnsi="宋体"/>
      <w:kern w:val="0"/>
      <w:sz w:val="20"/>
      <w:szCs w:val="20"/>
    </w:rPr>
  </w:style>
  <w:style w:type="paragraph" w:customStyle="1" w:styleId="41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7"/>
    <w:next w:val="1"/>
    <w:autoRedefine/>
    <w:qFormat/>
    <w:uiPriority w:val="0"/>
    <w:pPr>
      <w:numPr>
        <w:numId w:val="5"/>
      </w:numPr>
      <w:tabs>
        <w:tab w:val="left" w:pos="1080"/>
      </w:tabs>
    </w:pPr>
    <w:rPr>
      <w:rFonts w:ascii="Times New Roman" w:hAnsi="Times New Roman" w:eastAsia="宋体"/>
      <w:i/>
    </w:rPr>
  </w:style>
  <w:style w:type="paragraph" w:customStyle="1" w:styleId="4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autoRedefine/>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71"/>
    <w:next w:val="71"/>
    <w:autoRedefine/>
    <w:qFormat/>
    <w:uiPriority w:val="0"/>
    <w:rPr>
      <w:rFonts w:ascii="宋体" w:eastAsia="宋体" w:cs="Times New Roman"/>
      <w:color w:val="auto"/>
    </w:rPr>
  </w:style>
  <w:style w:type="paragraph" w:customStyle="1" w:styleId="42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autoRedefine/>
    <w:qFormat/>
    <w:uiPriority w:val="0"/>
    <w:pPr>
      <w:widowControl/>
      <w:adjustRightInd/>
      <w:spacing w:after="160" w:line="240" w:lineRule="exact"/>
      <w:jc w:val="left"/>
    </w:pPr>
  </w:style>
  <w:style w:type="paragraph" w:customStyle="1" w:styleId="42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autoRedefine/>
    <w:qFormat/>
    <w:uiPriority w:val="0"/>
    <w:pPr>
      <w:snapToGrid w:val="0"/>
      <w:spacing w:line="360" w:lineRule="auto"/>
    </w:pPr>
  </w:style>
  <w:style w:type="paragraph" w:customStyle="1" w:styleId="4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autoRedefine/>
    <w:qFormat/>
    <w:uiPriority w:val="0"/>
    <w:rPr>
      <w:rFonts w:ascii="仿宋_GB2312" w:eastAsia="仿宋_GB2312"/>
      <w:b/>
      <w:sz w:val="32"/>
      <w:szCs w:val="32"/>
    </w:rPr>
  </w:style>
  <w:style w:type="paragraph" w:customStyle="1" w:styleId="429">
    <w:name w:val="Char2 Char Char"/>
    <w:basedOn w:val="1"/>
    <w:autoRedefine/>
    <w:qFormat/>
    <w:uiPriority w:val="0"/>
    <w:pPr>
      <w:adjustRightInd/>
    </w:pPr>
    <w:rPr>
      <w:rFonts w:ascii="Tahoma" w:hAnsi="Tahoma"/>
      <w:sz w:val="24"/>
      <w:szCs w:val="20"/>
    </w:rPr>
  </w:style>
  <w:style w:type="paragraph" w:customStyle="1" w:styleId="43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autoRedefine/>
    <w:qFormat/>
    <w:uiPriority w:val="0"/>
    <w:pPr>
      <w:adjustRightInd/>
    </w:pPr>
  </w:style>
  <w:style w:type="paragraph" w:customStyle="1" w:styleId="432">
    <w:name w:val="正文表标题"/>
    <w:next w:val="34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autoRedefine/>
    <w:qFormat/>
    <w:uiPriority w:val="0"/>
    <w:pPr>
      <w:adjustRightInd/>
    </w:pPr>
    <w:rPr>
      <w:rFonts w:ascii="Tahoma" w:hAnsi="Tahoma"/>
      <w:sz w:val="24"/>
      <w:szCs w:val="20"/>
    </w:rPr>
  </w:style>
  <w:style w:type="paragraph" w:customStyle="1" w:styleId="437">
    <w:name w:val="数字标题3"/>
    <w:basedOn w:val="4"/>
    <w:next w:val="1"/>
    <w:autoRedefine/>
    <w:qFormat/>
    <w:uiPriority w:val="0"/>
    <w:pPr>
      <w:numPr>
        <w:numId w:val="0"/>
      </w:numPr>
      <w:spacing w:line="240" w:lineRule="auto"/>
    </w:pPr>
    <w:rPr>
      <w:sz w:val="28"/>
      <w:szCs w:val="28"/>
    </w:rPr>
  </w:style>
  <w:style w:type="paragraph" w:customStyle="1" w:styleId="438">
    <w:name w:val="彩色列表 - 强调文字颜色 12"/>
    <w:basedOn w:val="1"/>
    <w:autoRedefine/>
    <w:qFormat/>
    <w:uiPriority w:val="0"/>
    <w:pPr>
      <w:adjustRightInd/>
      <w:ind w:firstLine="420" w:firstLineChars="200"/>
    </w:pPr>
    <w:rPr>
      <w:rFonts w:ascii="Calibri" w:hAnsi="Calibri"/>
      <w:szCs w:val="22"/>
    </w:rPr>
  </w:style>
  <w:style w:type="paragraph" w:customStyle="1" w:styleId="43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autoRedefine/>
    <w:qFormat/>
    <w:uiPriority w:val="0"/>
    <w:pPr>
      <w:spacing w:line="360" w:lineRule="auto"/>
      <w:ind w:firstLine="200" w:firstLineChars="200"/>
    </w:pPr>
    <w:rPr>
      <w:sz w:val="24"/>
    </w:rPr>
  </w:style>
  <w:style w:type="paragraph" w:customStyle="1" w:styleId="442">
    <w:name w:val="Char Char Char1 Char"/>
    <w:basedOn w:val="1"/>
    <w:autoRedefine/>
    <w:qFormat/>
    <w:uiPriority w:val="0"/>
    <w:rPr>
      <w:szCs w:val="20"/>
    </w:rPr>
  </w:style>
  <w:style w:type="paragraph" w:customStyle="1" w:styleId="4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autoRedefine/>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autoRedefine/>
    <w:qFormat/>
    <w:uiPriority w:val="0"/>
    <w:rPr>
      <w:rFonts w:ascii="Tahoma" w:hAnsi="Tahoma" w:cs="仿宋_GB2312"/>
      <w:sz w:val="24"/>
      <w:szCs w:val="20"/>
    </w:rPr>
  </w:style>
  <w:style w:type="paragraph" w:customStyle="1" w:styleId="447">
    <w:name w:val="Bulleted List"/>
    <w:basedOn w:val="1"/>
    <w:autoRedefine/>
    <w:qFormat/>
    <w:uiPriority w:val="0"/>
    <w:pPr>
      <w:tabs>
        <w:tab w:val="left" w:pos="1260"/>
      </w:tabs>
      <w:adjustRightInd/>
      <w:ind w:left="1260" w:hanging="420"/>
    </w:pPr>
  </w:style>
  <w:style w:type="paragraph" w:customStyle="1" w:styleId="448">
    <w:name w:val="Char Char1 Char Char Char"/>
    <w:basedOn w:val="1"/>
    <w:autoRedefine/>
    <w:qFormat/>
    <w:uiPriority w:val="0"/>
    <w:rPr>
      <w:rFonts w:ascii="仿宋_GB2312" w:eastAsia="仿宋_GB2312"/>
      <w:b/>
      <w:sz w:val="32"/>
      <w:szCs w:val="20"/>
    </w:rPr>
  </w:style>
  <w:style w:type="paragraph" w:customStyle="1" w:styleId="4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3"/>
    <w:next w:val="1"/>
    <w:autoRedefine/>
    <w:qFormat/>
    <w:uiPriority w:val="0"/>
    <w:pPr>
      <w:numPr>
        <w:ilvl w:val="1"/>
        <w:numId w:val="5"/>
      </w:numPr>
    </w:pPr>
    <w:rPr>
      <w:rFonts w:ascii="Times New Roman" w:eastAsia="宋体"/>
      <w:i/>
      <w:sz w:val="36"/>
      <w:szCs w:val="36"/>
      <w:lang w:val="en-US"/>
    </w:rPr>
  </w:style>
  <w:style w:type="paragraph" w:customStyle="1" w:styleId="451">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autoRedefine/>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8"/>
    <w:autoRedefine/>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9"/>
    <w:autoRedefine/>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9"/>
    <w:autoRedefine/>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9"/>
    <w:autoRedefine/>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9"/>
    <w:autoRedefine/>
    <w:qFormat/>
    <w:uiPriority w:val="0"/>
    <w:pPr>
      <w:tabs>
        <w:tab w:val="left" w:pos="1260"/>
        <w:tab w:val="left" w:pos="1680"/>
        <w:tab w:val="left" w:pos="2100"/>
      </w:tabs>
      <w:ind w:left="0"/>
      <w:outlineLvl w:val="3"/>
    </w:pPr>
  </w:style>
  <w:style w:type="paragraph" w:customStyle="1" w:styleId="466">
    <w:name w:val="一级条标题"/>
    <w:basedOn w:val="467"/>
    <w:next w:val="349"/>
    <w:autoRedefine/>
    <w:qFormat/>
    <w:uiPriority w:val="0"/>
    <w:pPr>
      <w:tabs>
        <w:tab w:val="left" w:pos="1260"/>
        <w:tab w:val="left" w:pos="1680"/>
      </w:tabs>
      <w:spacing w:before="0" w:beforeLines="0" w:after="0" w:afterLines="0"/>
      <w:ind w:left="1680"/>
      <w:outlineLvl w:val="2"/>
    </w:pPr>
  </w:style>
  <w:style w:type="paragraph" w:customStyle="1" w:styleId="467">
    <w:name w:val="章标题"/>
    <w:next w:val="34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2"/>
    <w:next w:val="1"/>
    <w:autoRedefine/>
    <w:qFormat/>
    <w:uiPriority w:val="0"/>
    <w:pPr>
      <w:numPr>
        <w:ilvl w:val="0"/>
        <w:numId w:val="5"/>
      </w:numPr>
      <w:tabs>
        <w:tab w:val="left" w:pos="432"/>
      </w:tabs>
    </w:pPr>
  </w:style>
  <w:style w:type="paragraph" w:customStyle="1" w:styleId="474">
    <w:name w:val="正文 项目2"/>
    <w:basedOn w:val="375"/>
    <w:autoRedefine/>
    <w:qFormat/>
    <w:uiPriority w:val="0"/>
    <w:pPr>
      <w:numPr>
        <w:ilvl w:val="0"/>
        <w:numId w:val="6"/>
      </w:numPr>
      <w:tabs>
        <w:tab w:val="clear" w:pos="840"/>
      </w:tabs>
      <w:spacing w:after="0"/>
    </w:pPr>
  </w:style>
  <w:style w:type="paragraph" w:customStyle="1" w:styleId="47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autoRedefine/>
    <w:qFormat/>
    <w:uiPriority w:val="0"/>
    <w:rPr>
      <w:szCs w:val="20"/>
    </w:rPr>
  </w:style>
  <w:style w:type="paragraph" w:customStyle="1" w:styleId="481">
    <w:name w:val="Char1 Char Char Char4"/>
    <w:basedOn w:val="1"/>
    <w:autoRedefine/>
    <w:qFormat/>
    <w:uiPriority w:val="0"/>
    <w:pPr>
      <w:adjustRightInd/>
      <w:ind w:firstLine="200" w:firstLineChars="200"/>
    </w:pPr>
    <w:rPr>
      <w:rFonts w:ascii="Tahoma" w:hAnsi="Tahoma"/>
      <w:sz w:val="24"/>
      <w:szCs w:val="20"/>
    </w:rPr>
  </w:style>
  <w:style w:type="paragraph" w:customStyle="1" w:styleId="482">
    <w:name w:val="TOC 标题2"/>
    <w:basedOn w:val="2"/>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autoRedefine/>
    <w:qFormat/>
    <w:uiPriority w:val="0"/>
    <w:pPr>
      <w:spacing w:line="360" w:lineRule="auto"/>
    </w:pPr>
    <w:rPr>
      <w:szCs w:val="20"/>
    </w:rPr>
  </w:style>
  <w:style w:type="paragraph" w:customStyle="1" w:styleId="49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autoRedefine/>
    <w:qFormat/>
    <w:uiPriority w:val="0"/>
    <w:pPr>
      <w:tabs>
        <w:tab w:val="left" w:pos="360"/>
      </w:tabs>
    </w:pPr>
    <w:rPr>
      <w:sz w:val="24"/>
      <w:szCs w:val="20"/>
    </w:rPr>
  </w:style>
  <w:style w:type="paragraph" w:customStyle="1" w:styleId="493">
    <w:name w:val="表格（小）"/>
    <w:basedOn w:val="1"/>
    <w:autoRedefine/>
    <w:qFormat/>
    <w:uiPriority w:val="0"/>
    <w:pPr>
      <w:adjustRightInd/>
      <w:snapToGrid w:val="0"/>
      <w:spacing w:line="300" w:lineRule="auto"/>
    </w:pPr>
    <w:rPr>
      <w:rFonts w:eastAsia="仿宋"/>
      <w:szCs w:val="21"/>
    </w:rPr>
  </w:style>
  <w:style w:type="paragraph" w:customStyle="1" w:styleId="494">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autoRedefine/>
    <w:qFormat/>
    <w:uiPriority w:val="0"/>
    <w:pPr>
      <w:widowControl/>
      <w:spacing w:before="60" w:after="60"/>
      <w:jc w:val="left"/>
    </w:pPr>
    <w:rPr>
      <w:kern w:val="0"/>
      <w:sz w:val="24"/>
    </w:rPr>
  </w:style>
  <w:style w:type="paragraph" w:customStyle="1" w:styleId="501">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autoRedefine/>
    <w:qFormat/>
    <w:uiPriority w:val="0"/>
    <w:rPr>
      <w:rFonts w:ascii="仿宋_GB2312" w:eastAsia="仿宋_GB2312"/>
      <w:b/>
      <w:sz w:val="32"/>
      <w:szCs w:val="32"/>
    </w:rPr>
  </w:style>
  <w:style w:type="paragraph" w:styleId="503">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autoRedefine/>
    <w:qFormat/>
    <w:uiPriority w:val="0"/>
    <w:pPr>
      <w:tabs>
        <w:tab w:val="left" w:pos="360"/>
      </w:tabs>
    </w:pPr>
    <w:rPr>
      <w:sz w:val="24"/>
      <w:szCs w:val="20"/>
    </w:rPr>
  </w:style>
  <w:style w:type="paragraph" w:customStyle="1" w:styleId="5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autoRedefine/>
    <w:qFormat/>
    <w:uiPriority w:val="0"/>
    <w:pPr>
      <w:suppressAutoHyphens/>
      <w:adjustRightInd/>
      <w:ind w:firstLine="420"/>
    </w:pPr>
    <w:rPr>
      <w:kern w:val="1"/>
      <w:szCs w:val="20"/>
    </w:rPr>
  </w:style>
  <w:style w:type="paragraph" w:customStyle="1" w:styleId="51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autoRedefine/>
    <w:qFormat/>
    <w:uiPriority w:val="0"/>
    <w:pPr>
      <w:adjustRightInd/>
      <w:spacing w:line="360" w:lineRule="auto"/>
    </w:pPr>
    <w:rPr>
      <w:rFonts w:ascii="宋体" w:hAnsi="宋体"/>
      <w:szCs w:val="20"/>
    </w:rPr>
  </w:style>
  <w:style w:type="paragraph" w:customStyle="1" w:styleId="516">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autoRedefine/>
    <w:qFormat/>
    <w:uiPriority w:val="0"/>
    <w:pPr>
      <w:tabs>
        <w:tab w:val="left" w:pos="840"/>
      </w:tabs>
      <w:adjustRightInd/>
      <w:ind w:left="840" w:hanging="420"/>
    </w:pPr>
  </w:style>
  <w:style w:type="paragraph" w:customStyle="1" w:styleId="51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1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autoRedefine/>
    <w:qFormat/>
    <w:uiPriority w:val="0"/>
    <w:pPr>
      <w:adjustRightInd/>
      <w:spacing w:line="360" w:lineRule="auto"/>
      <w:jc w:val="center"/>
    </w:pPr>
    <w:rPr>
      <w:sz w:val="24"/>
    </w:rPr>
  </w:style>
  <w:style w:type="paragraph" w:customStyle="1" w:styleId="52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autoRedefine/>
    <w:qFormat/>
    <w:uiPriority w:val="0"/>
    <w:pPr>
      <w:spacing w:line="360" w:lineRule="auto"/>
    </w:pPr>
    <w:rPr>
      <w:rFonts w:ascii="Tahoma" w:hAnsi="Tahoma"/>
      <w:sz w:val="24"/>
      <w:szCs w:val="20"/>
    </w:rPr>
  </w:style>
  <w:style w:type="paragraph" w:customStyle="1" w:styleId="52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autoRedefine/>
    <w:qFormat/>
    <w:uiPriority w:val="0"/>
    <w:pPr>
      <w:widowControl/>
      <w:adjustRightInd/>
      <w:spacing w:after="160" w:line="240" w:lineRule="exact"/>
      <w:jc w:val="left"/>
    </w:pPr>
    <w:rPr>
      <w:szCs w:val="20"/>
    </w:rPr>
  </w:style>
  <w:style w:type="paragraph" w:customStyle="1" w:styleId="526">
    <w:name w:val="Char Char Char Char Char Char Char Char Char Char"/>
    <w:basedOn w:val="1"/>
    <w:autoRedefine/>
    <w:qFormat/>
    <w:uiPriority w:val="0"/>
    <w:rPr>
      <w:rFonts w:ascii="仿宋_GB2312" w:eastAsia="仿宋_GB2312"/>
      <w:b/>
      <w:sz w:val="32"/>
      <w:szCs w:val="32"/>
    </w:rPr>
  </w:style>
  <w:style w:type="paragraph" w:customStyle="1" w:styleId="52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autoRedefine/>
    <w:qFormat/>
    <w:uiPriority w:val="0"/>
    <w:pPr>
      <w:adjustRightInd/>
      <w:spacing w:line="300" w:lineRule="auto"/>
      <w:jc w:val="center"/>
    </w:pPr>
  </w:style>
  <w:style w:type="paragraph" w:customStyle="1" w:styleId="530">
    <w:name w:val="Char5"/>
    <w:basedOn w:val="1"/>
    <w:autoRedefine/>
    <w:qFormat/>
    <w:uiPriority w:val="0"/>
    <w:rPr>
      <w:rFonts w:ascii="仿宋_GB2312" w:eastAsia="仿宋_GB2312"/>
      <w:b/>
      <w:sz w:val="32"/>
      <w:szCs w:val="32"/>
    </w:rPr>
  </w:style>
  <w:style w:type="paragraph" w:customStyle="1" w:styleId="53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autoRedefine/>
    <w:qFormat/>
    <w:uiPriority w:val="0"/>
    <w:pPr>
      <w:tabs>
        <w:tab w:val="left" w:pos="432"/>
        <w:tab w:val="left" w:pos="840"/>
      </w:tabs>
      <w:ind w:left="840" w:hanging="420"/>
    </w:pPr>
  </w:style>
  <w:style w:type="paragraph" w:customStyle="1" w:styleId="53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1">
    <w:name w:val="列表内容"/>
    <w:basedOn w:val="1"/>
    <w:next w:val="1"/>
    <w:autoRedefine/>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autoRedefine/>
    <w:qFormat/>
    <w:uiPriority w:val="0"/>
    <w:pPr>
      <w:adjustRightInd/>
      <w:ind w:firstLine="200" w:firstLineChars="200"/>
    </w:pPr>
    <w:rPr>
      <w:rFonts w:ascii="Tahoma" w:hAnsi="Tahoma"/>
      <w:sz w:val="24"/>
      <w:szCs w:val="20"/>
    </w:rPr>
  </w:style>
  <w:style w:type="paragraph" w:customStyle="1" w:styleId="5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autoRedefine/>
    <w:qFormat/>
    <w:uiPriority w:val="0"/>
    <w:rPr>
      <w:rFonts w:ascii="仿宋_GB2312" w:eastAsia="仿宋_GB2312"/>
      <w:b/>
      <w:sz w:val="32"/>
      <w:szCs w:val="32"/>
    </w:rPr>
  </w:style>
  <w:style w:type="paragraph" w:customStyle="1" w:styleId="555">
    <w:name w:val="注释"/>
    <w:basedOn w:val="1"/>
    <w:autoRedefine/>
    <w:qFormat/>
    <w:uiPriority w:val="0"/>
    <w:pPr>
      <w:adjustRightInd/>
      <w:spacing w:line="360" w:lineRule="auto"/>
      <w:ind w:firstLine="480"/>
    </w:pPr>
    <w:rPr>
      <w:sz w:val="24"/>
    </w:rPr>
  </w:style>
  <w:style w:type="paragraph" w:customStyle="1" w:styleId="55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1"/>
    <w:next w:val="1"/>
    <w:autoRedefine/>
    <w:qFormat/>
    <w:uiPriority w:val="0"/>
    <w:pPr>
      <w:spacing w:after="156" w:afterLines="50"/>
      <w:jc w:val="left"/>
      <w:outlineLvl w:val="3"/>
    </w:pPr>
    <w:rPr>
      <w:sz w:val="24"/>
      <w:szCs w:val="24"/>
    </w:rPr>
  </w:style>
  <w:style w:type="paragraph" w:customStyle="1" w:styleId="56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autoRedefine/>
    <w:qFormat/>
    <w:uiPriority w:val="0"/>
    <w:pPr>
      <w:adjustRightInd/>
      <w:spacing w:line="360" w:lineRule="auto"/>
    </w:pPr>
    <w:rPr>
      <w:sz w:val="24"/>
    </w:rPr>
  </w:style>
  <w:style w:type="paragraph" w:customStyle="1" w:styleId="566">
    <w:name w:val="Char Char1 Char Char Char1"/>
    <w:basedOn w:val="1"/>
    <w:autoRedefine/>
    <w:qFormat/>
    <w:uiPriority w:val="0"/>
    <w:rPr>
      <w:rFonts w:ascii="仿宋_GB2312" w:eastAsia="仿宋_GB2312"/>
      <w:b/>
      <w:sz w:val="32"/>
      <w:szCs w:val="32"/>
    </w:rPr>
  </w:style>
  <w:style w:type="paragraph" w:customStyle="1" w:styleId="56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autoRedefine/>
    <w:qFormat/>
    <w:uiPriority w:val="0"/>
    <w:pPr>
      <w:snapToGrid w:val="0"/>
      <w:spacing w:line="360" w:lineRule="auto"/>
    </w:pPr>
    <w:rPr>
      <w:rFonts w:ascii="宋体"/>
      <w:b/>
      <w:sz w:val="24"/>
      <w:szCs w:val="20"/>
    </w:rPr>
  </w:style>
  <w:style w:type="paragraph" w:customStyle="1" w:styleId="57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autoRedefine/>
    <w:qFormat/>
    <w:uiPriority w:val="0"/>
    <w:pPr>
      <w:ind w:left="0"/>
    </w:pPr>
  </w:style>
  <w:style w:type="paragraph" w:customStyle="1" w:styleId="57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autoRedefine/>
    <w:qFormat/>
    <w:uiPriority w:val="0"/>
    <w:pPr>
      <w:adjustRightInd/>
    </w:pPr>
    <w:rPr>
      <w:szCs w:val="20"/>
    </w:rPr>
  </w:style>
  <w:style w:type="paragraph" w:customStyle="1" w:styleId="57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autoRedefine/>
    <w:qFormat/>
    <w:uiPriority w:val="0"/>
    <w:pPr>
      <w:spacing w:before="312" w:beforeLines="100"/>
      <w:jc w:val="left"/>
    </w:pPr>
  </w:style>
  <w:style w:type="paragraph" w:customStyle="1" w:styleId="579">
    <w:name w:val="首行缩进"/>
    <w:basedOn w:val="1"/>
    <w:autoRedefine/>
    <w:qFormat/>
    <w:uiPriority w:val="0"/>
    <w:pPr>
      <w:spacing w:line="360" w:lineRule="auto"/>
      <w:ind w:firstLine="480" w:firstLineChars="200"/>
    </w:pPr>
    <w:rPr>
      <w:rFonts w:ascii="宋体"/>
      <w:sz w:val="24"/>
      <w:szCs w:val="20"/>
    </w:rPr>
  </w:style>
  <w:style w:type="paragraph" w:customStyle="1" w:styleId="5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autoRedefine/>
    <w:qFormat/>
    <w:uiPriority w:val="0"/>
    <w:pPr>
      <w:widowControl/>
      <w:jc w:val="left"/>
    </w:pPr>
    <w:rPr>
      <w:rFonts w:cs="宋体"/>
      <w:sz w:val="24"/>
      <w:szCs w:val="20"/>
    </w:rPr>
  </w:style>
  <w:style w:type="paragraph" w:customStyle="1" w:styleId="58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autoRedefine/>
    <w:qFormat/>
    <w:uiPriority w:val="0"/>
    <w:pPr>
      <w:widowControl/>
      <w:adjustRightInd/>
    </w:pPr>
    <w:rPr>
      <w:kern w:val="0"/>
      <w:szCs w:val="21"/>
    </w:rPr>
  </w:style>
  <w:style w:type="paragraph" w:customStyle="1" w:styleId="594">
    <w:name w:val="修订1"/>
    <w:autoRedefine/>
    <w:qFormat/>
    <w:uiPriority w:val="0"/>
    <w:rPr>
      <w:rFonts w:ascii="Times New Roman" w:hAnsi="Times New Roman" w:eastAsia="宋体" w:cs="Times New Roman"/>
      <w:kern w:val="2"/>
      <w:sz w:val="21"/>
      <w:lang w:val="en-US" w:eastAsia="zh-CN" w:bidi="ar-SA"/>
    </w:rPr>
  </w:style>
  <w:style w:type="paragraph" w:customStyle="1" w:styleId="5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autoRedefine/>
    <w:qFormat/>
    <w:uiPriority w:val="0"/>
    <w:pPr>
      <w:widowControl/>
      <w:spacing w:after="160" w:line="240" w:lineRule="exact"/>
      <w:jc w:val="left"/>
    </w:pPr>
    <w:rPr>
      <w:rFonts w:eastAsia="仿宋_GB2312"/>
      <w:sz w:val="28"/>
    </w:rPr>
  </w:style>
  <w:style w:type="paragraph" w:customStyle="1" w:styleId="5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autoRedefine/>
    <w:qFormat/>
    <w:uiPriority w:val="0"/>
    <w:pPr>
      <w:spacing w:line="360" w:lineRule="auto"/>
      <w:ind w:firstLine="480" w:firstLineChars="200"/>
    </w:pPr>
    <w:rPr>
      <w:rFonts w:hAnsi="宋体"/>
      <w:sz w:val="24"/>
      <w:szCs w:val="20"/>
    </w:rPr>
  </w:style>
  <w:style w:type="paragraph" w:customStyle="1" w:styleId="601">
    <w:name w:val="CM14"/>
    <w:basedOn w:val="71"/>
    <w:next w:val="71"/>
    <w:autoRedefine/>
    <w:qFormat/>
    <w:uiPriority w:val="0"/>
    <w:pPr>
      <w:spacing w:after="68"/>
    </w:pPr>
    <w:rPr>
      <w:rFonts w:ascii="FHLHE E+ Futura Bk" w:eastAsia="FHLHE E+ Futura Bk" w:cs="Times New Roman"/>
      <w:color w:val="auto"/>
    </w:rPr>
  </w:style>
  <w:style w:type="paragraph" w:customStyle="1" w:styleId="602">
    <w:name w:val="Char Char Char Char2"/>
    <w:basedOn w:val="1"/>
    <w:autoRedefine/>
    <w:qFormat/>
    <w:uiPriority w:val="0"/>
    <w:rPr>
      <w:rFonts w:ascii="Tahoma" w:hAnsi="Tahoma"/>
      <w:sz w:val="24"/>
      <w:szCs w:val="20"/>
    </w:rPr>
  </w:style>
  <w:style w:type="paragraph" w:customStyle="1" w:styleId="60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2"/>
    <w:autoRedefine/>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autoRedefine/>
    <w:qFormat/>
    <w:uiPriority w:val="0"/>
    <w:pPr>
      <w:adjustRightInd/>
      <w:ind w:firstLine="200" w:firstLineChars="200"/>
    </w:pPr>
    <w:rPr>
      <w:rFonts w:ascii="Tahoma" w:hAnsi="Tahoma"/>
      <w:sz w:val="24"/>
      <w:szCs w:val="20"/>
    </w:rPr>
  </w:style>
  <w:style w:type="paragraph" w:customStyle="1" w:styleId="61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autoRedefine/>
    <w:qFormat/>
    <w:uiPriority w:val="0"/>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3">
    <w:name w:val="正文缩进 字符"/>
    <w:autoRedefine/>
    <w:qFormat/>
    <w:uiPriority w:val="0"/>
    <w:rPr>
      <w:rFonts w:ascii="宋体" w:eastAsia="宋体"/>
      <w:snapToGrid w:val="0"/>
      <w:color w:val="000000"/>
      <w:kern w:val="28"/>
      <w:sz w:val="28"/>
      <w:lang w:val="en-US" w:eastAsia="zh-CN" w:bidi="ar-SA"/>
    </w:rPr>
  </w:style>
  <w:style w:type="character" w:customStyle="1" w:styleId="6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autoRedefine/>
    <w:qFormat/>
    <w:uiPriority w:val="0"/>
    <w:rPr>
      <w:rFonts w:ascii="宋体" w:hAnsi="宋体"/>
      <w:kern w:val="2"/>
      <w:sz w:val="24"/>
      <w:szCs w:val="24"/>
    </w:rPr>
  </w:style>
  <w:style w:type="character" w:customStyle="1" w:styleId="626">
    <w:name w:val="bookmark-item"/>
    <w:autoRedefine/>
    <w:qFormat/>
    <w:uiPriority w:val="0"/>
    <w:rPr>
      <w:rFonts w:ascii="Arial" w:hAnsi="Arial" w:eastAsia="黑体" w:cs="Arial"/>
      <w:snapToGrid/>
      <w:kern w:val="0"/>
      <w:szCs w:val="21"/>
    </w:rPr>
  </w:style>
  <w:style w:type="character" w:customStyle="1" w:styleId="627">
    <w:name w:val="fontstyle01"/>
    <w:autoRedefine/>
    <w:qFormat/>
    <w:uiPriority w:val="0"/>
    <w:rPr>
      <w:rFonts w:hint="eastAsia" w:ascii="宋体" w:hAnsi="宋体" w:eastAsia="宋体" w:cs="Arial"/>
      <w:snapToGrid/>
      <w:color w:val="000000"/>
      <w:kern w:val="0"/>
      <w:sz w:val="36"/>
      <w:szCs w:val="36"/>
    </w:rPr>
  </w:style>
  <w:style w:type="character" w:customStyle="1" w:styleId="628">
    <w:name w:val="正文文本缩进 Char3"/>
    <w:autoRedefine/>
    <w:qFormat/>
    <w:uiPriority w:val="0"/>
    <w:rPr>
      <w:rFonts w:ascii="宋体" w:hAnsi="宋体"/>
      <w:kern w:val="2"/>
      <w:sz w:val="24"/>
      <w:szCs w:val="24"/>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38"/>
    <w:autoRedefine/>
    <w:qFormat/>
    <w:locked/>
    <w:uiPriority w:val="99"/>
    <w:rPr>
      <w:kern w:val="2"/>
      <w:sz w:val="18"/>
      <w:szCs w:val="18"/>
    </w:rPr>
  </w:style>
  <w:style w:type="character" w:customStyle="1" w:styleId="631">
    <w:name w:val="页眉 字符"/>
    <w:link w:val="39"/>
    <w:autoRedefine/>
    <w:qFormat/>
    <w:uiPriority w:val="99"/>
    <w:rPr>
      <w:kern w:val="2"/>
      <w:sz w:val="18"/>
      <w:szCs w:val="18"/>
    </w:rPr>
  </w:style>
  <w:style w:type="paragraph" w:customStyle="1" w:styleId="632">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633">
    <w:name w:val="宋小四行"/>
    <w:basedOn w:val="1"/>
    <w:autoRedefine/>
    <w:qFormat/>
    <w:uiPriority w:val="0"/>
    <w:pPr>
      <w:autoSpaceDE w:val="0"/>
      <w:autoSpaceDN w:val="0"/>
      <w:spacing w:line="360" w:lineRule="auto"/>
      <w:ind w:firstLine="480" w:firstLineChars="200"/>
      <w:jc w:val="left"/>
    </w:pPr>
    <w:rPr>
      <w:rFonts w:ascii="宋体" w:hAnsi="宋体" w:cs="宋体"/>
      <w:sz w:val="24"/>
    </w:rPr>
  </w:style>
  <w:style w:type="character" w:customStyle="1" w:styleId="634">
    <w:name w:val="NormalCharacter"/>
    <w:autoRedefine/>
    <w:semiHidden/>
    <w:qFormat/>
    <w:uiPriority w:val="0"/>
  </w:style>
  <w:style w:type="paragraph" w:customStyle="1" w:styleId="635">
    <w:name w:val="BodyText1I2"/>
    <w:basedOn w:val="636"/>
    <w:autoRedefine/>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autoRedefine/>
    <w:qFormat/>
    <w:uiPriority w:val="0"/>
    <w:pPr>
      <w:spacing w:after="120"/>
      <w:ind w:left="420" w:leftChars="200"/>
    </w:pPr>
  </w:style>
  <w:style w:type="paragraph" w:customStyle="1" w:styleId="637">
    <w:name w:val="UserStyle_0"/>
    <w:basedOn w:val="1"/>
    <w:autoRedefine/>
    <w:qFormat/>
    <w:uiPriority w:val="0"/>
    <w:pPr>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autoRedefine/>
    <w:qFormat/>
    <w:uiPriority w:val="1"/>
    <w:rPr>
      <w:rFonts w:ascii="宋体" w:hAnsi="宋体" w:cs="宋体"/>
      <w:lang w:val="zh-CN" w:bidi="zh-CN"/>
    </w:rPr>
  </w:style>
  <w:style w:type="character" w:customStyle="1" w:styleId="639">
    <w:name w:val="font11"/>
    <w:basedOn w:val="62"/>
    <w:qFormat/>
    <w:uiPriority w:val="0"/>
    <w:rPr>
      <w:rFonts w:hint="eastAsia" w:ascii="宋体" w:hAnsi="宋体" w:eastAsia="宋体" w:cs="宋体"/>
      <w:color w:val="000000"/>
      <w:sz w:val="18"/>
      <w:szCs w:val="18"/>
      <w:u w:val="none"/>
    </w:rPr>
  </w:style>
  <w:style w:type="table" w:customStyle="1" w:styleId="6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6A73F-183B-4F11-8D5D-DA43EC7FA097}">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2578</Words>
  <Characters>2922</Characters>
  <Lines>144</Lines>
  <Paragraphs>40</Paragraphs>
  <TotalTime>19</TotalTime>
  <ScaleCrop>false</ScaleCrop>
  <LinksUpToDate>false</LinksUpToDate>
  <CharactersWithSpaces>2997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2025-07-09T01:43:00Z</dcterms:created>
  <dc:creator>玥</dc:creator>
  <cp:lastModifiedBy>郭富城</cp:lastModifiedBy>
  <cp:lastPrinted>2025-07-02T07:51:00Z</cp:lastPrinted>
  <dcterms:modified xsi:type="dcterms:W3CDTF">2025-07-17T06:40:48Z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F60416F69F73487690B90F5E70BAF06A_13</vt:lpwstr>
  </property>
  <property fmtid="{D5CDD505-2E9C-101B-9397-08002B2CF9AE}" pid="4" name="KSOTemplateDocerSaveRecord">
    <vt:lpwstr>eyJoZGlkIjoiNGZlZDUyYjBlNTc4YTc1MzlhNDY0YzVlMjJiY2MyNjMiLCJ1c2VySWQiOiI2MjAwNTI5NjcifQ==</vt:lpwstr>
  </property>
</Properties>
</file>