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584934">
      <w:pPr>
        <w:spacing w:line="360" w:lineRule="auto"/>
        <w:jc w:val="center"/>
        <w:rPr>
          <w:rFonts w:hint="eastAsia" w:ascii="仿宋" w:hAnsi="仿宋" w:eastAsia="仿宋" w:cs="仿宋"/>
          <w:b/>
          <w:color w:val="auto"/>
          <w:sz w:val="24"/>
          <w:highlight w:val="none"/>
        </w:rPr>
      </w:pPr>
    </w:p>
    <w:p w14:paraId="7639F5BD">
      <w:pPr>
        <w:adjustRightInd/>
        <w:spacing w:line="360" w:lineRule="auto"/>
        <w:jc w:val="center"/>
        <w:rPr>
          <w:rFonts w:hint="eastAsia" w:ascii="仿宋" w:hAnsi="仿宋" w:eastAsia="仿宋" w:cs="仿宋"/>
          <w:b/>
          <w:color w:val="auto"/>
          <w:sz w:val="48"/>
          <w:szCs w:val="48"/>
          <w:highlight w:val="none"/>
        </w:rPr>
      </w:pPr>
    </w:p>
    <w:p w14:paraId="0709C1A7">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lang w:val="en-US" w:eastAsia="zh-CN"/>
        </w:rPr>
        <w:t>329国道萧山进化至戴村段工程（柯桥界至萧山塘湄线段）全过程招标代理</w:t>
      </w:r>
    </w:p>
    <w:p w14:paraId="57B3660A">
      <w:pPr>
        <w:adjustRightInd/>
        <w:spacing w:line="360" w:lineRule="auto"/>
        <w:jc w:val="center"/>
        <w:rPr>
          <w:rFonts w:hint="eastAsia" w:ascii="仿宋" w:hAnsi="仿宋" w:eastAsia="仿宋" w:cs="仿宋"/>
          <w:color w:val="auto"/>
          <w:sz w:val="48"/>
          <w:szCs w:val="48"/>
          <w:highlight w:val="none"/>
        </w:rPr>
      </w:pPr>
    </w:p>
    <w:p w14:paraId="5661882E">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交易文件</w:t>
      </w:r>
    </w:p>
    <w:p w14:paraId="300121B2">
      <w:pPr>
        <w:adjustRightInd/>
        <w:spacing w:line="360" w:lineRule="auto"/>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 xml:space="preserve"> （电子交易标）</w:t>
      </w:r>
    </w:p>
    <w:p w14:paraId="5CB6D3F8">
      <w:pPr>
        <w:snapToGrid w:val="0"/>
        <w:spacing w:line="360" w:lineRule="auto"/>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lang w:val="en-US" w:eastAsia="zh-CN"/>
        </w:rPr>
        <w:t>ZJHC（XS）-20250709</w:t>
      </w:r>
    </w:p>
    <w:p w14:paraId="773BF1D2">
      <w:pPr>
        <w:adjustRightInd/>
        <w:spacing w:line="360" w:lineRule="auto"/>
        <w:rPr>
          <w:rFonts w:hint="eastAsia" w:ascii="仿宋" w:hAnsi="仿宋" w:eastAsia="仿宋" w:cs="仿宋"/>
          <w:color w:val="auto"/>
          <w:sz w:val="28"/>
          <w:szCs w:val="20"/>
          <w:highlight w:val="none"/>
        </w:rPr>
      </w:pPr>
    </w:p>
    <w:p w14:paraId="32DA14B9">
      <w:pPr>
        <w:spacing w:line="360" w:lineRule="auto"/>
        <w:jc w:val="center"/>
        <w:rPr>
          <w:rFonts w:hint="eastAsia" w:ascii="仿宋" w:hAnsi="仿宋" w:eastAsia="仿宋" w:cs="仿宋"/>
          <w:b/>
          <w:color w:val="auto"/>
          <w:sz w:val="44"/>
          <w:szCs w:val="44"/>
          <w:highlight w:val="none"/>
        </w:rPr>
      </w:pPr>
    </w:p>
    <w:p w14:paraId="0E58F7C2">
      <w:pPr>
        <w:spacing w:line="360" w:lineRule="auto"/>
        <w:jc w:val="center"/>
        <w:rPr>
          <w:rFonts w:hint="eastAsia" w:ascii="仿宋" w:hAnsi="仿宋" w:eastAsia="仿宋" w:cs="仿宋"/>
          <w:b/>
          <w:color w:val="auto"/>
          <w:sz w:val="44"/>
          <w:szCs w:val="44"/>
          <w:highlight w:val="none"/>
        </w:rPr>
      </w:pPr>
    </w:p>
    <w:p w14:paraId="0C8BE1AD">
      <w:pPr>
        <w:pStyle w:val="3"/>
        <w:rPr>
          <w:rFonts w:hint="eastAsia" w:ascii="仿宋" w:hAnsi="仿宋" w:eastAsia="仿宋" w:cs="仿宋"/>
          <w:color w:val="auto"/>
          <w:highlight w:val="none"/>
        </w:rPr>
      </w:pPr>
    </w:p>
    <w:p w14:paraId="7FDE8190">
      <w:pPr>
        <w:spacing w:line="360" w:lineRule="auto"/>
        <w:jc w:val="center"/>
        <w:rPr>
          <w:rFonts w:hint="eastAsia" w:ascii="仿宋" w:hAnsi="仿宋" w:eastAsia="仿宋" w:cs="仿宋"/>
          <w:color w:val="auto"/>
          <w:sz w:val="24"/>
          <w:highlight w:val="none"/>
        </w:rPr>
      </w:pPr>
    </w:p>
    <w:p w14:paraId="45B8106B">
      <w:pPr>
        <w:pStyle w:val="24"/>
        <w:rPr>
          <w:rFonts w:hint="eastAsia" w:ascii="仿宋" w:hAnsi="仿宋" w:eastAsia="仿宋" w:cs="仿宋"/>
          <w:color w:val="auto"/>
          <w:highlight w:val="none"/>
        </w:rPr>
      </w:pPr>
    </w:p>
    <w:p w14:paraId="292A955D">
      <w:pPr>
        <w:spacing w:line="360" w:lineRule="auto"/>
        <w:jc w:val="center"/>
        <w:rPr>
          <w:rFonts w:hint="default"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rPr>
        <w:t>采购人：</w:t>
      </w:r>
      <w:r>
        <w:rPr>
          <w:rFonts w:hint="eastAsia" w:ascii="仿宋" w:hAnsi="仿宋" w:eastAsia="仿宋" w:cs="仿宋"/>
          <w:bCs/>
          <w:color w:val="auto"/>
          <w:sz w:val="32"/>
          <w:szCs w:val="32"/>
          <w:highlight w:val="none"/>
          <w:lang w:val="en-US" w:eastAsia="zh-CN"/>
        </w:rPr>
        <w:t>杭州萧山交通投资集团有限公司</w:t>
      </w:r>
    </w:p>
    <w:p w14:paraId="683FA4C3">
      <w:pPr>
        <w:spacing w:line="360" w:lineRule="auto"/>
        <w:jc w:val="center"/>
        <w:rPr>
          <w:rFonts w:hint="eastAsia" w:ascii="仿宋" w:hAnsi="仿宋" w:eastAsia="仿宋" w:cs="仿宋"/>
          <w:bCs/>
          <w:color w:val="auto"/>
          <w:sz w:val="32"/>
          <w:szCs w:val="32"/>
          <w:highlight w:val="none"/>
        </w:rPr>
      </w:pPr>
    </w:p>
    <w:p w14:paraId="045FD340">
      <w:pPr>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rPr>
        <w:t>采购代理机构：</w:t>
      </w:r>
      <w:r>
        <w:rPr>
          <w:rFonts w:hint="eastAsia" w:ascii="仿宋" w:hAnsi="仿宋" w:eastAsia="仿宋" w:cs="仿宋"/>
          <w:bCs/>
          <w:color w:val="auto"/>
          <w:sz w:val="32"/>
          <w:szCs w:val="32"/>
          <w:highlight w:val="none"/>
          <w:lang w:eastAsia="zh-CN"/>
        </w:rPr>
        <w:t>华诚工程咨询集团有限公司</w:t>
      </w:r>
    </w:p>
    <w:p w14:paraId="4B8868E1">
      <w:pPr>
        <w:snapToGrid w:val="0"/>
        <w:spacing w:line="360" w:lineRule="auto"/>
        <w:jc w:val="center"/>
        <w:rPr>
          <w:rFonts w:hint="eastAsia" w:ascii="仿宋" w:hAnsi="仿宋" w:eastAsia="仿宋" w:cs="仿宋"/>
          <w:bCs/>
          <w:color w:val="auto"/>
          <w:sz w:val="32"/>
          <w:szCs w:val="32"/>
          <w:highlight w:val="none"/>
        </w:rPr>
      </w:pPr>
    </w:p>
    <w:p w14:paraId="1B4F027F">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二〇二</w:t>
      </w:r>
      <w:r>
        <w:rPr>
          <w:rFonts w:hint="eastAsia" w:ascii="仿宋" w:hAnsi="仿宋" w:eastAsia="仿宋" w:cs="仿宋"/>
          <w:bCs/>
          <w:color w:val="auto"/>
          <w:sz w:val="32"/>
          <w:szCs w:val="32"/>
          <w:highlight w:val="none"/>
          <w:lang w:val="en-US" w:eastAsia="zh-CN"/>
        </w:rPr>
        <w:t>五</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七</w:t>
      </w:r>
      <w:r>
        <w:rPr>
          <w:rFonts w:hint="eastAsia" w:ascii="仿宋" w:hAnsi="仿宋" w:eastAsia="仿宋" w:cs="仿宋"/>
          <w:bCs/>
          <w:color w:val="auto"/>
          <w:sz w:val="32"/>
          <w:szCs w:val="32"/>
          <w:highlight w:val="none"/>
        </w:rPr>
        <w:t>月</w:t>
      </w:r>
    </w:p>
    <w:p w14:paraId="04B24F9F">
      <w:pPr>
        <w:snapToGrid w:val="0"/>
        <w:spacing w:line="360" w:lineRule="auto"/>
        <w:jc w:val="center"/>
        <w:rPr>
          <w:rFonts w:hint="eastAsia" w:ascii="仿宋" w:hAnsi="仿宋" w:eastAsia="仿宋" w:cs="仿宋"/>
          <w:color w:val="auto"/>
          <w:sz w:val="24"/>
          <w:highlight w:val="none"/>
        </w:rPr>
      </w:pPr>
    </w:p>
    <w:p w14:paraId="1064D2A9">
      <w:pPr>
        <w:snapToGrid w:val="0"/>
        <w:spacing w:line="360" w:lineRule="auto"/>
        <w:jc w:val="center"/>
        <w:rPr>
          <w:rFonts w:hint="eastAsia" w:ascii="仿宋" w:hAnsi="仿宋" w:eastAsia="仿宋" w:cs="仿宋"/>
          <w:color w:val="auto"/>
          <w:sz w:val="24"/>
          <w:highlight w:val="none"/>
        </w:rPr>
      </w:pPr>
      <w:bookmarkStart w:id="0" w:name="_Hlt67893495"/>
      <w:bookmarkEnd w:id="0"/>
    </w:p>
    <w:p w14:paraId="522B0BA9">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70E87492">
      <w:pPr>
        <w:spacing w:line="360" w:lineRule="auto"/>
        <w:rPr>
          <w:rFonts w:hint="eastAsia" w:ascii="仿宋" w:hAnsi="仿宋" w:eastAsia="仿宋" w:cs="仿宋"/>
          <w:color w:val="auto"/>
          <w:sz w:val="32"/>
          <w:szCs w:val="32"/>
          <w:highlight w:val="none"/>
        </w:rPr>
      </w:pPr>
    </w:p>
    <w:p w14:paraId="608507BF">
      <w:pPr>
        <w:spacing w:line="360" w:lineRule="auto"/>
        <w:rPr>
          <w:rFonts w:hint="eastAsia" w:ascii="仿宋" w:hAnsi="仿宋" w:eastAsia="仿宋" w:cs="仿宋"/>
          <w:color w:val="auto"/>
          <w:sz w:val="32"/>
          <w:szCs w:val="32"/>
          <w:highlight w:val="none"/>
        </w:rPr>
      </w:pPr>
    </w:p>
    <w:p w14:paraId="6B432FF6">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交易公告</w:t>
      </w:r>
    </w:p>
    <w:p w14:paraId="53A4C105">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第二部分      </w:t>
      </w:r>
      <w:r>
        <w:rPr>
          <w:rFonts w:hint="eastAsia" w:ascii="仿宋" w:hAnsi="仿宋" w:eastAsia="仿宋" w:cs="仿宋"/>
          <w:color w:val="auto"/>
          <w:sz w:val="32"/>
          <w:szCs w:val="32"/>
          <w:highlight w:val="none"/>
          <w:lang w:eastAsia="zh-CN"/>
        </w:rPr>
        <w:t>响应人</w:t>
      </w:r>
      <w:r>
        <w:rPr>
          <w:rFonts w:hint="eastAsia" w:ascii="仿宋" w:hAnsi="仿宋" w:eastAsia="仿宋" w:cs="仿宋"/>
          <w:color w:val="auto"/>
          <w:sz w:val="32"/>
          <w:szCs w:val="32"/>
          <w:highlight w:val="none"/>
        </w:rPr>
        <w:t>须知</w:t>
      </w:r>
    </w:p>
    <w:p w14:paraId="3C7B71F4">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1C3547EA">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评审办法</w:t>
      </w:r>
    </w:p>
    <w:p w14:paraId="747581BB">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应提交的有关格式范例</w:t>
      </w:r>
    </w:p>
    <w:p w14:paraId="45721822">
      <w:pPr>
        <w:spacing w:line="360" w:lineRule="auto"/>
        <w:ind w:firstLine="549" w:firstLineChars="229"/>
        <w:rPr>
          <w:rFonts w:hint="eastAsia" w:ascii="仿宋" w:hAnsi="仿宋" w:eastAsia="仿宋" w:cs="仿宋"/>
          <w:color w:val="auto"/>
          <w:sz w:val="24"/>
          <w:highlight w:val="none"/>
        </w:rPr>
      </w:pPr>
      <w:bookmarkStart w:id="1" w:name="_Hlt91233176"/>
      <w:bookmarkEnd w:id="1"/>
      <w:bookmarkStart w:id="2" w:name="_Toc91899869"/>
    </w:p>
    <w:p w14:paraId="3977204A">
      <w:pPr>
        <w:spacing w:line="360" w:lineRule="auto"/>
        <w:ind w:firstLine="549" w:firstLineChars="229"/>
        <w:rPr>
          <w:rFonts w:hint="eastAsia" w:ascii="仿宋" w:hAnsi="仿宋" w:eastAsia="仿宋" w:cs="仿宋"/>
          <w:color w:val="auto"/>
          <w:sz w:val="24"/>
          <w:highlight w:val="none"/>
        </w:rPr>
      </w:pPr>
    </w:p>
    <w:p w14:paraId="283ECD95">
      <w:pPr>
        <w:spacing w:line="360" w:lineRule="auto"/>
        <w:ind w:firstLine="549" w:firstLineChars="229"/>
        <w:rPr>
          <w:rFonts w:hint="eastAsia" w:ascii="仿宋" w:hAnsi="仿宋" w:eastAsia="仿宋" w:cs="仿宋"/>
          <w:color w:val="auto"/>
          <w:sz w:val="24"/>
          <w:highlight w:val="none"/>
        </w:rPr>
      </w:pPr>
    </w:p>
    <w:p w14:paraId="0A0F8795">
      <w:pPr>
        <w:spacing w:line="360" w:lineRule="auto"/>
        <w:ind w:firstLine="549" w:firstLineChars="229"/>
        <w:rPr>
          <w:rFonts w:hint="eastAsia" w:ascii="仿宋" w:hAnsi="仿宋" w:eastAsia="仿宋" w:cs="仿宋"/>
          <w:color w:val="auto"/>
          <w:sz w:val="24"/>
          <w:highlight w:val="none"/>
        </w:rPr>
      </w:pPr>
    </w:p>
    <w:p w14:paraId="29926B97">
      <w:pPr>
        <w:spacing w:line="360" w:lineRule="auto"/>
        <w:ind w:firstLine="549" w:firstLineChars="229"/>
        <w:rPr>
          <w:rFonts w:hint="eastAsia" w:ascii="仿宋" w:hAnsi="仿宋" w:eastAsia="仿宋" w:cs="仿宋"/>
          <w:color w:val="auto"/>
          <w:sz w:val="24"/>
          <w:highlight w:val="none"/>
        </w:rPr>
      </w:pPr>
    </w:p>
    <w:p w14:paraId="4C039D49">
      <w:pPr>
        <w:spacing w:line="360" w:lineRule="auto"/>
        <w:ind w:firstLine="549" w:firstLineChars="229"/>
        <w:rPr>
          <w:rFonts w:hint="eastAsia" w:ascii="仿宋" w:hAnsi="仿宋" w:eastAsia="仿宋" w:cs="仿宋"/>
          <w:color w:val="auto"/>
          <w:sz w:val="24"/>
          <w:highlight w:val="none"/>
        </w:rPr>
      </w:pPr>
    </w:p>
    <w:p w14:paraId="7F513278">
      <w:pPr>
        <w:spacing w:line="360" w:lineRule="auto"/>
        <w:ind w:firstLine="549" w:firstLineChars="229"/>
        <w:rPr>
          <w:rFonts w:hint="eastAsia" w:ascii="仿宋" w:hAnsi="仿宋" w:eastAsia="仿宋" w:cs="仿宋"/>
          <w:color w:val="auto"/>
          <w:sz w:val="24"/>
          <w:highlight w:val="none"/>
        </w:rPr>
      </w:pPr>
    </w:p>
    <w:p w14:paraId="1229554F">
      <w:pPr>
        <w:spacing w:line="360" w:lineRule="auto"/>
        <w:ind w:firstLine="549" w:firstLineChars="229"/>
        <w:rPr>
          <w:rFonts w:hint="eastAsia" w:ascii="仿宋" w:hAnsi="仿宋" w:eastAsia="仿宋" w:cs="仿宋"/>
          <w:color w:val="auto"/>
          <w:sz w:val="24"/>
          <w:highlight w:val="none"/>
        </w:rPr>
      </w:pPr>
    </w:p>
    <w:p w14:paraId="1E2E09B8">
      <w:pPr>
        <w:spacing w:line="360" w:lineRule="auto"/>
        <w:ind w:firstLine="549" w:firstLineChars="229"/>
        <w:rPr>
          <w:rFonts w:hint="eastAsia" w:ascii="仿宋" w:hAnsi="仿宋" w:eastAsia="仿宋" w:cs="仿宋"/>
          <w:color w:val="auto"/>
          <w:sz w:val="24"/>
          <w:highlight w:val="none"/>
        </w:rPr>
      </w:pPr>
    </w:p>
    <w:p w14:paraId="398FDC9E">
      <w:pPr>
        <w:spacing w:line="360" w:lineRule="auto"/>
        <w:ind w:firstLine="549" w:firstLineChars="229"/>
        <w:rPr>
          <w:rFonts w:hint="eastAsia" w:ascii="仿宋" w:hAnsi="仿宋" w:eastAsia="仿宋" w:cs="仿宋"/>
          <w:color w:val="auto"/>
          <w:sz w:val="24"/>
          <w:highlight w:val="none"/>
        </w:rPr>
      </w:pPr>
    </w:p>
    <w:p w14:paraId="057ED210">
      <w:pPr>
        <w:spacing w:line="360" w:lineRule="auto"/>
        <w:ind w:firstLine="549" w:firstLineChars="229"/>
        <w:rPr>
          <w:rFonts w:hint="eastAsia" w:ascii="仿宋" w:hAnsi="仿宋" w:eastAsia="仿宋" w:cs="仿宋"/>
          <w:color w:val="auto"/>
          <w:sz w:val="24"/>
          <w:highlight w:val="none"/>
        </w:rPr>
      </w:pPr>
    </w:p>
    <w:p w14:paraId="07E7E313">
      <w:pPr>
        <w:spacing w:line="360" w:lineRule="auto"/>
        <w:ind w:firstLine="549" w:firstLineChars="229"/>
        <w:rPr>
          <w:rFonts w:hint="eastAsia" w:ascii="仿宋" w:hAnsi="仿宋" w:eastAsia="仿宋" w:cs="仿宋"/>
          <w:color w:val="auto"/>
          <w:sz w:val="24"/>
          <w:highlight w:val="none"/>
        </w:rPr>
      </w:pPr>
    </w:p>
    <w:p w14:paraId="628847C0">
      <w:pPr>
        <w:spacing w:line="360" w:lineRule="auto"/>
        <w:ind w:firstLine="549" w:firstLineChars="229"/>
        <w:rPr>
          <w:rFonts w:hint="eastAsia" w:ascii="仿宋" w:hAnsi="仿宋" w:eastAsia="仿宋" w:cs="仿宋"/>
          <w:color w:val="auto"/>
          <w:sz w:val="24"/>
          <w:highlight w:val="none"/>
        </w:rPr>
      </w:pPr>
    </w:p>
    <w:p w14:paraId="5E68D149">
      <w:pPr>
        <w:spacing w:line="360" w:lineRule="auto"/>
        <w:rPr>
          <w:rFonts w:hint="eastAsia" w:ascii="仿宋" w:hAnsi="仿宋" w:eastAsia="仿宋" w:cs="仿宋"/>
          <w:color w:val="auto"/>
          <w:sz w:val="24"/>
          <w:highlight w:val="none"/>
        </w:rPr>
      </w:pPr>
    </w:p>
    <w:p w14:paraId="6C2F5708">
      <w:pPr>
        <w:adjustRightInd/>
        <w:spacing w:line="360" w:lineRule="auto"/>
        <w:jc w:val="center"/>
        <w:outlineLvl w:val="0"/>
        <w:rPr>
          <w:rFonts w:hint="eastAsia"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707423"/>
      <w:bookmarkEnd w:id="4"/>
      <w:bookmarkStart w:id="5" w:name="_Hlt74649545"/>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rPr>
        <w:t>第一部分 交易公告</w:t>
      </w:r>
    </w:p>
    <w:p w14:paraId="51BC5D46">
      <w:pPr>
        <w:pBdr>
          <w:top w:val="single" w:color="auto" w:sz="4" w:space="1"/>
          <w:left w:val="single" w:color="auto" w:sz="4" w:space="4"/>
          <w:bottom w:val="single" w:color="auto" w:sz="4" w:space="1"/>
          <w:right w:val="single" w:color="auto" w:sz="4" w:space="4"/>
        </w:pBd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497C8CAF">
      <w:pPr>
        <w:pBdr>
          <w:top w:val="single" w:color="auto" w:sz="4" w:space="1"/>
          <w:left w:val="single" w:color="auto" w:sz="4" w:space="4"/>
          <w:bottom w:val="single" w:color="auto" w:sz="4" w:space="1"/>
          <w:right w:val="single" w:color="auto" w:sz="4" w:space="4"/>
        </w:pBdr>
        <w:spacing w:line="360" w:lineRule="auto"/>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val="en-US" w:eastAsia="zh-CN"/>
        </w:rPr>
        <w:t>329国道萧山进化至戴村段工程（柯桥界至萧山塘湄线段）全过程招标代理</w:t>
      </w:r>
      <w:r>
        <w:rPr>
          <w:rFonts w:hint="eastAsia" w:ascii="仿宋" w:hAnsi="仿宋" w:eastAsia="仿宋" w:cs="仿宋"/>
          <w:color w:val="auto"/>
          <w:sz w:val="24"/>
          <w:highlight w:val="none"/>
        </w:rPr>
        <w:t>的潜在</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应在乐采云(萧采云)平台（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"https://www.zcygov.cn/）获取（下载）招标文件，并于2021年" </w:instrText>
      </w:r>
      <w:r>
        <w:rPr>
          <w:rFonts w:hint="eastAsia" w:ascii="仿宋" w:hAnsi="仿宋" w:eastAsia="仿宋" w:cs="仿宋"/>
          <w:color w:val="auto"/>
          <w:highlight w:val="none"/>
        </w:rPr>
        <w:fldChar w:fldCharType="separate"/>
      </w:r>
      <w:r>
        <w:rPr>
          <w:rStyle w:val="78"/>
          <w:rFonts w:hint="eastAsia" w:ascii="仿宋" w:hAnsi="仿宋" w:eastAsia="仿宋" w:cs="仿宋"/>
          <w:color w:val="auto"/>
          <w:kern w:val="2"/>
          <w:sz w:val="24"/>
          <w:szCs w:val="24"/>
          <w:highlight w:val="none"/>
          <w:lang w:eastAsia="zh-CN"/>
        </w:rPr>
        <w:t>www.lecaiyun.com</w:t>
      </w:r>
      <w:r>
        <w:rPr>
          <w:rStyle w:val="78"/>
          <w:rFonts w:hint="eastAsia" w:ascii="仿宋" w:hAnsi="仿宋" w:eastAsia="仿宋" w:cs="仿宋"/>
          <w:color w:val="auto"/>
          <w:kern w:val="2"/>
          <w:sz w:val="24"/>
          <w:szCs w:val="24"/>
          <w:highlight w:val="none"/>
        </w:rPr>
        <w:t>）获取（下载）交易文件，并于</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21</w:t>
      </w:r>
      <w:r>
        <w:rPr>
          <w:rFonts w:hint="eastAsia" w:ascii="仿宋" w:hAnsi="仿宋" w:eastAsia="仿宋" w:cs="仿宋"/>
          <w:color w:val="auto"/>
          <w:sz w:val="24"/>
          <w:highlight w:val="none"/>
          <w:u w:val="single"/>
        </w:rPr>
        <w:t>日9点30分</w:t>
      </w:r>
      <w:r>
        <w:rPr>
          <w:rFonts w:hint="eastAsia" w:ascii="仿宋" w:hAnsi="仿宋" w:eastAsia="仿宋" w:cs="仿宋"/>
          <w:bCs/>
          <w:color w:val="auto"/>
          <w:sz w:val="24"/>
          <w:highlight w:val="none"/>
          <w:u w:val="single"/>
        </w:rPr>
        <w:t>00秒</w:t>
      </w:r>
      <w:r>
        <w:rPr>
          <w:rFonts w:hint="eastAsia" w:ascii="仿宋" w:hAnsi="仿宋" w:eastAsia="仿宋" w:cs="仿宋"/>
          <w:bCs/>
          <w:color w:val="auto"/>
          <w:sz w:val="24"/>
          <w:highlight w:val="none"/>
          <w:u w:val="singl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递交（上传）响应文件。</w:t>
      </w:r>
    </w:p>
    <w:p w14:paraId="606CD6B4">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237B3241">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项目编号：ZJHC（XS）-20250709</w:t>
      </w:r>
      <w:r>
        <w:rPr>
          <w:rFonts w:hint="eastAsia" w:ascii="仿宋" w:hAnsi="仿宋" w:eastAsia="仿宋" w:cs="仿宋"/>
          <w:color w:val="auto"/>
          <w:sz w:val="24"/>
          <w:highlight w:val="none"/>
          <w:lang w:val="en-US" w:eastAsia="zh-CN"/>
        </w:rPr>
        <w:t xml:space="preserve"> </w:t>
      </w:r>
    </w:p>
    <w:p w14:paraId="3F2DC0F3">
      <w:pPr>
        <w:spacing w:line="360" w:lineRule="auto"/>
        <w:ind w:right="-388" w:rightChars="-185"/>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项目名称：</w:t>
      </w:r>
      <w:r>
        <w:rPr>
          <w:rFonts w:hint="eastAsia" w:ascii="仿宋" w:hAnsi="仿宋" w:eastAsia="仿宋" w:cs="仿宋"/>
          <w:color w:val="auto"/>
          <w:sz w:val="24"/>
          <w:highlight w:val="none"/>
          <w:lang w:val="en-US" w:eastAsia="zh-CN"/>
        </w:rPr>
        <w:t>329国道萧山进化至戴村段工程（柯桥界至萧山塘湄线段）全过程招标代理</w:t>
      </w:r>
    </w:p>
    <w:p w14:paraId="0E61B9B1">
      <w:pPr>
        <w:spacing w:line="360" w:lineRule="auto"/>
        <w:rPr>
          <w:rFonts w:hint="default" w:ascii="仿宋" w:hAnsi="仿宋" w:eastAsia="仿宋" w:cs="仿宋"/>
          <w:color w:val="auto"/>
          <w:sz w:val="24"/>
          <w:highlight w:val="none"/>
          <w:lang w:val="en-US"/>
        </w:rPr>
      </w:pPr>
      <w:r>
        <w:rPr>
          <w:rFonts w:hint="eastAsia" w:ascii="仿宋" w:hAnsi="仿宋" w:eastAsia="仿宋" w:cs="仿宋"/>
          <w:color w:val="auto"/>
          <w:sz w:val="24"/>
          <w:highlight w:val="none"/>
        </w:rPr>
        <w:t xml:space="preserve">    预算金额（元）：</w:t>
      </w:r>
      <w:r>
        <w:rPr>
          <w:rFonts w:hint="eastAsia" w:ascii="仿宋" w:hAnsi="仿宋" w:eastAsia="仿宋" w:cs="仿宋"/>
          <w:color w:val="auto"/>
          <w:sz w:val="24"/>
          <w:highlight w:val="none"/>
          <w:lang w:val="en-US" w:eastAsia="zh-CN"/>
        </w:rPr>
        <w:t>900000</w:t>
      </w:r>
    </w:p>
    <w:p w14:paraId="03CAD16D">
      <w:pPr>
        <w:tabs>
          <w:tab w:val="center" w:pos="4535"/>
        </w:tabs>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最高限价（元）：</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 xml:space="preserve"> </w:t>
      </w:r>
    </w:p>
    <w:p w14:paraId="204A6D4D">
      <w:pPr>
        <w:tabs>
          <w:tab w:val="center" w:pos="4535"/>
        </w:tabs>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采购需求：</w:t>
      </w:r>
      <w:r>
        <w:rPr>
          <w:rFonts w:hint="eastAsia" w:ascii="仿宋" w:hAnsi="仿宋" w:eastAsia="仿宋" w:cs="仿宋"/>
          <w:color w:val="auto"/>
          <w:sz w:val="24"/>
          <w:highlight w:val="none"/>
          <w:lang w:val="en-US" w:eastAsia="zh-CN"/>
        </w:rPr>
        <w:t>329国道萧山进化至戴村段工程（柯桥界至萧山塘湄线段）全过程招标代理,</w:t>
      </w:r>
      <w:r>
        <w:rPr>
          <w:rFonts w:hint="eastAsia" w:ascii="仿宋" w:hAnsi="仿宋" w:eastAsia="仿宋" w:cs="仿宋"/>
          <w:color w:val="auto"/>
          <w:sz w:val="24"/>
          <w:highlight w:val="none"/>
        </w:rPr>
        <w:t>详见交易文件第三部分采购需求。</w:t>
      </w:r>
    </w:p>
    <w:p w14:paraId="3B15D417">
      <w:pPr>
        <w:tabs>
          <w:tab w:val="center" w:pos="4535"/>
        </w:tabs>
        <w:spacing w:line="360" w:lineRule="auto"/>
        <w:ind w:firstLine="480"/>
        <w:rPr>
          <w:rFonts w:hint="eastAsia" w:ascii="仿宋" w:hAnsi="仿宋" w:eastAsia="仿宋" w:cs="仿宋"/>
          <w:color w:val="auto"/>
          <w:sz w:val="24"/>
          <w:szCs w:val="28"/>
          <w:highlight w:val="none"/>
        </w:rPr>
      </w:pPr>
      <w:r>
        <w:rPr>
          <w:rFonts w:hint="eastAsia" w:ascii="仿宋" w:hAnsi="仿宋" w:eastAsia="仿宋" w:cs="仿宋"/>
          <w:color w:val="auto"/>
          <w:sz w:val="24"/>
          <w:highlight w:val="none"/>
        </w:rPr>
        <w:t>合同履约期限：</w:t>
      </w:r>
      <w:r>
        <w:rPr>
          <w:rFonts w:hint="eastAsia" w:ascii="仿宋" w:hAnsi="仿宋" w:eastAsia="仿宋" w:cs="仿宋"/>
          <w:color w:val="auto"/>
          <w:sz w:val="24"/>
          <w:szCs w:val="28"/>
          <w:highlight w:val="none"/>
        </w:rPr>
        <w:t>详见交易文件</w:t>
      </w:r>
    </w:p>
    <w:p w14:paraId="4DA5908A">
      <w:pPr>
        <w:tabs>
          <w:tab w:val="center" w:pos="4535"/>
        </w:tabs>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本项目接受联合体响应：（ ）是；（√）否 </w:t>
      </w:r>
      <w:r>
        <w:rPr>
          <w:rFonts w:hint="eastAsia" w:ascii="仿宋" w:hAnsi="仿宋" w:eastAsia="仿宋" w:cs="仿宋"/>
          <w:color w:val="auto"/>
          <w:kern w:val="0"/>
          <w:sz w:val="24"/>
          <w:highlight w:val="none"/>
        </w:rPr>
        <w:t>。</w:t>
      </w:r>
    </w:p>
    <w:p w14:paraId="016917CA">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2EB63F35">
      <w:pPr>
        <w:spacing w:line="360" w:lineRule="auto"/>
        <w:ind w:firstLine="480"/>
        <w:rPr>
          <w:rFonts w:ascii="仿宋" w:hAnsi="仿宋" w:eastAsia="仿宋" w:cs="仿宋"/>
          <w:snapToGrid w:val="0"/>
          <w:color w:val="auto"/>
          <w:kern w:val="28"/>
          <w:sz w:val="24"/>
          <w:szCs w:val="20"/>
          <w:highlight w:val="none"/>
        </w:rPr>
      </w:pPr>
      <w:bookmarkStart w:id="11" w:name="OLE_LINK50"/>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78D93388">
      <w:pPr>
        <w:snapToGrid w:val="0"/>
        <w:spacing w:line="360" w:lineRule="auto"/>
        <w:ind w:firstLine="480" w:firstLineChars="200"/>
        <w:rPr>
          <w:rFonts w:ascii="仿宋" w:hAnsi="仿宋" w:eastAsia="仿宋" w:cs="仿宋"/>
          <w:b/>
          <w:bCs/>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.本项目的特定资格要求：</w:t>
      </w:r>
      <w:r>
        <w:rPr>
          <w:rFonts w:hint="eastAsia" w:ascii="仿宋" w:hAnsi="仿宋" w:eastAsia="仿宋" w:cs="仿宋"/>
          <w:b/>
          <w:bCs/>
          <w:color w:val="auto"/>
          <w:sz w:val="24"/>
          <w:highlight w:val="none"/>
          <w:lang w:val="en-US" w:eastAsia="zh-CN"/>
        </w:rPr>
        <w:t>无</w:t>
      </w:r>
      <w:r>
        <w:rPr>
          <w:rFonts w:hint="eastAsia" w:ascii="仿宋" w:hAnsi="仿宋" w:eastAsia="仿宋" w:cs="仿宋"/>
          <w:b/>
          <w:bCs/>
          <w:color w:val="auto"/>
          <w:sz w:val="24"/>
          <w:highlight w:val="none"/>
        </w:rPr>
        <w:t>。</w:t>
      </w:r>
    </w:p>
    <w:bookmarkEnd w:id="11"/>
    <w:p w14:paraId="0BC0AA06">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三、获取交易文件 </w:t>
      </w:r>
    </w:p>
    <w:p w14:paraId="3DEE27A2">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 xml:space="preserve"> 07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，每天上午00:00至12:00，下午12:00至23:59（北京时间，线上获取法定节假日均可，线下获取文件法定节假日除外）</w:t>
      </w:r>
    </w:p>
    <w:p w14:paraId="44003F55">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乐采云(萧采云)平台（</w:t>
      </w:r>
      <w:r>
        <w:rPr>
          <w:rFonts w:hint="eastAsia" w:ascii="仿宋" w:hAnsi="仿宋" w:eastAsia="仿宋" w:cs="仿宋"/>
          <w:color w:val="auto"/>
          <w:sz w:val="24"/>
          <w:highlight w:val="none"/>
          <w:lang w:eastAsia="zh-CN"/>
        </w:rPr>
        <w:t>www.lecaiyun.com</w:t>
      </w:r>
      <w:r>
        <w:rPr>
          <w:rFonts w:hint="eastAsia" w:ascii="仿宋" w:hAnsi="仿宋" w:eastAsia="仿宋" w:cs="仿宋"/>
          <w:color w:val="auto"/>
          <w:sz w:val="24"/>
          <w:highlight w:val="none"/>
        </w:rPr>
        <w:t xml:space="preserve">） </w:t>
      </w:r>
    </w:p>
    <w:p w14:paraId="6AEE8804">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登录乐采云(萧采云)平台</w:t>
      </w:r>
      <w:r>
        <w:rPr>
          <w:rFonts w:hint="eastAsia" w:ascii="仿宋" w:hAnsi="仿宋" w:eastAsia="仿宋" w:cs="仿宋"/>
          <w:color w:val="auto"/>
          <w:sz w:val="24"/>
          <w:highlight w:val="none"/>
          <w:lang w:eastAsia="zh-CN"/>
        </w:rPr>
        <w:t>www.lecaiyun.com</w:t>
      </w:r>
      <w:r>
        <w:rPr>
          <w:rFonts w:hint="eastAsia" w:ascii="仿宋" w:hAnsi="仿宋" w:eastAsia="仿宋" w:cs="仿宋"/>
          <w:color w:val="auto"/>
          <w:sz w:val="24"/>
          <w:highlight w:val="none"/>
        </w:rPr>
        <w:t xml:space="preserve">在线申请获取采购文件（进入“项目采购”应用，在获取采购文件菜单中选择项目，申请获取采购文件）。 </w:t>
      </w:r>
    </w:p>
    <w:p w14:paraId="50251294">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171D447A">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四、提交响应文件截止时间、交易时间和地点</w:t>
      </w:r>
    </w:p>
    <w:p w14:paraId="12654DF9">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提交响应文件截止时间：</w:t>
      </w:r>
      <w:r>
        <w:rPr>
          <w:rFonts w:hint="eastAsia" w:ascii="仿宋" w:hAnsi="仿宋" w:eastAsia="仿宋" w:cs="仿宋"/>
          <w:color w:val="auto"/>
          <w:sz w:val="24"/>
          <w:highlight w:val="none"/>
          <w:u w:val="single"/>
        </w:rPr>
        <w:t xml:space="preserve"> 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21</w:t>
      </w:r>
      <w:r>
        <w:rPr>
          <w:rFonts w:hint="eastAsia" w:ascii="仿宋" w:hAnsi="仿宋" w:eastAsia="仿宋" w:cs="仿宋"/>
          <w:color w:val="auto"/>
          <w:sz w:val="24"/>
          <w:highlight w:val="none"/>
          <w:u w:val="single"/>
        </w:rPr>
        <w:t>日09点30分</w:t>
      </w:r>
      <w:r>
        <w:rPr>
          <w:rFonts w:hint="eastAsia" w:ascii="仿宋" w:hAnsi="仿宋" w:eastAsia="仿宋" w:cs="仿宋"/>
          <w:color w:val="auto"/>
          <w:sz w:val="24"/>
          <w:highlight w:val="none"/>
        </w:rPr>
        <w:t>（北京时间）</w:t>
      </w:r>
    </w:p>
    <w:p w14:paraId="3C1AF2F4">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交易地点（网址）：</w:t>
      </w:r>
      <w:r>
        <w:rPr>
          <w:rFonts w:hint="eastAsia" w:ascii="仿宋" w:hAnsi="仿宋" w:eastAsia="仿宋" w:cs="仿宋"/>
          <w:color w:val="auto"/>
          <w:sz w:val="24"/>
          <w:highlight w:val="none"/>
        </w:rPr>
        <w:t>乐采云(萧采云)平台（</w:t>
      </w:r>
      <w:r>
        <w:rPr>
          <w:rFonts w:hint="eastAsia" w:ascii="仿宋" w:hAnsi="仿宋" w:eastAsia="仿宋" w:cs="仿宋"/>
          <w:color w:val="auto"/>
          <w:sz w:val="24"/>
          <w:highlight w:val="none"/>
          <w:lang w:eastAsia="zh-CN"/>
        </w:rPr>
        <w:t>www.lecaiyun.com</w:t>
      </w:r>
      <w:r>
        <w:rPr>
          <w:rFonts w:hint="eastAsia" w:ascii="仿宋" w:hAnsi="仿宋" w:eastAsia="仿宋" w:cs="仿宋"/>
          <w:color w:val="auto"/>
          <w:sz w:val="24"/>
          <w:highlight w:val="none"/>
        </w:rPr>
        <w:t xml:space="preserve">） </w:t>
      </w:r>
    </w:p>
    <w:p w14:paraId="20C35955">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交易时间：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年0</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21</w:t>
      </w:r>
      <w:r>
        <w:rPr>
          <w:rFonts w:hint="eastAsia" w:ascii="仿宋" w:hAnsi="仿宋" w:eastAsia="仿宋" w:cs="仿宋"/>
          <w:color w:val="auto"/>
          <w:sz w:val="24"/>
          <w:highlight w:val="none"/>
          <w:u w:val="single"/>
        </w:rPr>
        <w:t>日09点30分</w:t>
      </w:r>
    </w:p>
    <w:p w14:paraId="53B0D921">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交易地点（网址）：</w:t>
      </w:r>
      <w:r>
        <w:rPr>
          <w:rFonts w:hint="eastAsia" w:ascii="仿宋" w:hAnsi="仿宋" w:eastAsia="仿宋" w:cs="仿宋"/>
          <w:color w:val="auto"/>
          <w:sz w:val="24"/>
          <w:highlight w:val="none"/>
        </w:rPr>
        <w:t>乐采云(萧采云)平台（</w:t>
      </w:r>
      <w:r>
        <w:rPr>
          <w:rFonts w:hint="eastAsia" w:ascii="仿宋" w:hAnsi="仿宋" w:eastAsia="仿宋" w:cs="仿宋"/>
          <w:color w:val="auto"/>
          <w:sz w:val="24"/>
          <w:highlight w:val="none"/>
          <w:lang w:eastAsia="zh-CN"/>
        </w:rPr>
        <w:t>www.lecaiyun.com</w:t>
      </w:r>
      <w:r>
        <w:rPr>
          <w:rFonts w:hint="eastAsia" w:ascii="仿宋" w:hAnsi="仿宋" w:eastAsia="仿宋" w:cs="仿宋"/>
          <w:color w:val="auto"/>
          <w:sz w:val="24"/>
          <w:highlight w:val="none"/>
        </w:rPr>
        <w:t>）（萧山区北干街道袖清巷交投集团A座5楼）</w:t>
      </w:r>
      <w:r>
        <w:rPr>
          <w:rFonts w:hint="eastAsia" w:ascii="仿宋" w:hAnsi="仿宋" w:eastAsia="仿宋" w:cs="仿宋"/>
          <w:color w:val="auto"/>
          <w:sz w:val="24"/>
          <w:szCs w:val="28"/>
          <w:highlight w:val="none"/>
        </w:rPr>
        <w:t>。</w:t>
      </w:r>
    </w:p>
    <w:p w14:paraId="4D7736FD">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715E341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自本公告发布之日起3日。</w:t>
      </w:r>
    </w:p>
    <w:p w14:paraId="2FFEE7B7">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05B3A06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认为交易标文件使自己的权益受到损害的，可以自获取交易文件之日或者交易文件公告期限届满之日（公告期限届满后获取交易文件的，以公告期限届满之日为准）起3日内，以书面形式向采购人和采购代理机构提出质疑。质疑</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对采购人、采购代理机构的答复不满意或者采购人、采购代理机构未在规定的时间内作出答复的，可以在答复期满后十五个工作日内向</w:t>
      </w:r>
      <w:r>
        <w:rPr>
          <w:rFonts w:hint="eastAsia" w:ascii="仿宋" w:hAnsi="仿宋" w:eastAsia="仿宋" w:cs="仿宋"/>
          <w:color w:val="auto"/>
          <w:sz w:val="24"/>
          <w:highlight w:val="none"/>
          <w:lang w:val="en-US" w:eastAsia="zh-CN"/>
        </w:rPr>
        <w:t>上级</w:t>
      </w:r>
      <w:r>
        <w:rPr>
          <w:rFonts w:hint="eastAsia" w:ascii="仿宋" w:hAnsi="仿宋" w:eastAsia="仿宋" w:cs="仿宋"/>
          <w:color w:val="auto"/>
          <w:sz w:val="24"/>
          <w:highlight w:val="none"/>
        </w:rPr>
        <w:t>管理部门投诉。质疑函范本、投诉书范本请到浙江政府采购网下载专区下载。</w:t>
      </w:r>
    </w:p>
    <w:p w14:paraId="267909B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其他事项：电子交易（招投标）的说明：①电子交易：本项目以数据电文形式，依托“政府采购云平台（www.zcygov.cn）”进行交易活动，不接受纸质响应文件；②交易准备：注册账号--点击“商家入驻”，进行政府采购</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资料填写；申领CA数字证书---申领流程详见“浙江政府采购网-下载专区-电子交易客户端-CA驱动和申领流程”；安装“乐采云(萧采云)电子交易客户端”----前往“浙江政府采购网-下载专区-电子交易客户端”进行下载并安装；③交易（采购）文件的获取：使用账号登录或者使用CA登录乐采云(萧采云)平台；进入“项目采购”应用，在获取采购文件菜单中选择项目，获取交易文件；④响应文件的制作：在“乐采云(萧采云)电子交易客户端”中完成“填写基本信息”、“导入响应文件”、“标书关联”、“标书检查”、“电子签名”、“生成电子标书”等操作；⑤采购人、采购机构将依托乐采云(萧采云)平台完成本项目的电子交易活动，平台不接受未按上述方式获取交易文件的</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进行交易活动； ⑥对未按上述方式获取交易文件的</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对该文件提出的质疑，采购人或采购代理机构将不予处理；⑦不提供交易文件纸质版；⑧响应文件的传输递交：</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在交易截止时间前将加密的响应文件上传至政府采购云平台，还可以在交易截止时间前直接提交或者以邮政快递方式递交备份响应文件1份。备份响应文件的制作、存储、密封详见交易文件第二部分第15点—“备份响应文件”；⑨响应文件的解密：</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按照平台提示和交易文件的规定在半小时内完成在线解密。通过“政府采购云平台”上传递交的响应文件无法按时解密，交易</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递交了备份响应文件的，以备份响应文件为依据，否则视为响应文件撤回。通过“政府采购云平台”上传递交的响应文件已按时解密的，备份响应文件自动失效。</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仅提交备份响应文件，未在电子交易平台传输递交响应文件的，交易无效；⑩具体操作指南：详见乐采云(萧采云)平台“服务中心-帮助文档-项目采购-操作流程-电子招投标-政府采购项目电子交易管理操作指南-</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w:t>
      </w:r>
    </w:p>
    <w:p w14:paraId="01C623D7">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3DA2A170">
      <w:pPr>
        <w:widowControl/>
        <w:spacing w:line="360" w:lineRule="auto"/>
        <w:ind w:firstLine="480" w:firstLineChars="200"/>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1.交易发起人信息</w:t>
      </w:r>
    </w:p>
    <w:p w14:paraId="47F35721">
      <w:pPr>
        <w:spacing w:line="360" w:lineRule="auto"/>
        <w:ind w:firstLine="480" w:firstLineChars="200"/>
        <w:jc w:val="left"/>
        <w:rPr>
          <w:rFonts w:hint="default"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名称：</w:t>
      </w:r>
      <w:r>
        <w:rPr>
          <w:rFonts w:hint="eastAsia" w:ascii="仿宋" w:hAnsi="仿宋" w:eastAsia="仿宋" w:cs="仿宋"/>
          <w:color w:val="auto"/>
          <w:sz w:val="24"/>
          <w:szCs w:val="28"/>
          <w:highlight w:val="none"/>
          <w:lang w:val="en-US" w:eastAsia="zh-CN"/>
        </w:rPr>
        <w:t>杭州萧山交通投资集团有限公司</w:t>
      </w:r>
    </w:p>
    <w:p w14:paraId="36561EAF">
      <w:pPr>
        <w:spacing w:line="360" w:lineRule="auto"/>
        <w:ind w:firstLine="480" w:firstLineChars="200"/>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地址：萧山区北干街道袖清巷交投集团A座</w:t>
      </w:r>
    </w:p>
    <w:p w14:paraId="7C14C5E7">
      <w:pPr>
        <w:spacing w:line="360" w:lineRule="auto"/>
        <w:ind w:firstLine="480" w:firstLineChars="200"/>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项目联系人（询问）：</w:t>
      </w:r>
      <w:r>
        <w:rPr>
          <w:rFonts w:hint="eastAsia" w:ascii="仿宋" w:hAnsi="仿宋" w:eastAsia="仿宋" w:cs="仿宋"/>
          <w:color w:val="auto"/>
          <w:sz w:val="24"/>
          <w:szCs w:val="28"/>
          <w:highlight w:val="none"/>
          <w:lang w:eastAsia="zh-CN"/>
        </w:rPr>
        <w:t>周杨</w:t>
      </w:r>
      <w:r>
        <w:rPr>
          <w:rFonts w:hint="eastAsia" w:ascii="仿宋" w:hAnsi="仿宋" w:eastAsia="仿宋" w:cs="仿宋"/>
          <w:color w:val="auto"/>
          <w:sz w:val="24"/>
          <w:szCs w:val="28"/>
          <w:highlight w:val="none"/>
          <w:lang w:val="en-US" w:eastAsia="zh-CN"/>
        </w:rPr>
        <w:t xml:space="preserve"> </w:t>
      </w:r>
      <w:r>
        <w:rPr>
          <w:rFonts w:hint="eastAsia" w:ascii="仿宋" w:hAnsi="仿宋" w:eastAsia="仿宋" w:cs="仿宋"/>
          <w:color w:val="auto"/>
          <w:sz w:val="24"/>
          <w:szCs w:val="28"/>
          <w:highlight w:val="none"/>
        </w:rPr>
        <w:t xml:space="preserve"> </w:t>
      </w:r>
    </w:p>
    <w:p w14:paraId="2C8D34F2">
      <w:pPr>
        <w:spacing w:line="360" w:lineRule="auto"/>
        <w:ind w:firstLine="480" w:firstLineChars="200"/>
        <w:jc w:val="left"/>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szCs w:val="28"/>
          <w:highlight w:val="none"/>
        </w:rPr>
        <w:t>项目联系方式（询问）：</w:t>
      </w:r>
      <w:bookmarkStart w:id="12" w:name="_Toc28359009"/>
      <w:bookmarkStart w:id="13" w:name="_Toc28359086"/>
      <w:r>
        <w:rPr>
          <w:rFonts w:hint="eastAsia" w:ascii="仿宋" w:hAnsi="仿宋" w:eastAsia="仿宋" w:cs="仿宋"/>
          <w:color w:val="auto"/>
          <w:sz w:val="24"/>
          <w:szCs w:val="28"/>
          <w:highlight w:val="none"/>
          <w:lang w:val="en-US" w:eastAsia="zh-CN"/>
        </w:rPr>
        <w:t xml:space="preserve">13221005911 </w:t>
      </w:r>
    </w:p>
    <w:p w14:paraId="09D303FA">
      <w:pPr>
        <w:spacing w:line="360" w:lineRule="auto"/>
        <w:ind w:firstLine="480" w:firstLineChars="200"/>
        <w:jc w:val="left"/>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szCs w:val="28"/>
          <w:highlight w:val="none"/>
          <w:lang w:val="en-US" w:eastAsia="zh-CN"/>
        </w:rPr>
        <w:t xml:space="preserve"> </w:t>
      </w:r>
    </w:p>
    <w:bookmarkEnd w:id="12"/>
    <w:bookmarkEnd w:id="13"/>
    <w:p w14:paraId="7E501FA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            </w:t>
      </w:r>
    </w:p>
    <w:p w14:paraId="1F1CEBD2">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名    称：华诚工程咨询集团有限公司</w:t>
      </w:r>
    </w:p>
    <w:p w14:paraId="4A65F5CE">
      <w:pPr>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lang w:eastAsia="zh-CN"/>
        </w:rPr>
        <w:t>杭州市萧山区新塘街道通货路365号杭州火车南站东广场产业园1栋902室</w:t>
      </w:r>
    </w:p>
    <w:p w14:paraId="68E40FE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传    真：/</w:t>
      </w:r>
    </w:p>
    <w:p w14:paraId="07B641A2">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项目联系人（询问）：孔益平 </w:t>
      </w:r>
    </w:p>
    <w:p w14:paraId="0B8F3051">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项目联系方式（询问）：15167164267</w:t>
      </w:r>
    </w:p>
    <w:p w14:paraId="19A2AABD">
      <w:pPr>
        <w:spacing w:line="360" w:lineRule="auto"/>
        <w:ind w:firstLine="480" w:firstLineChars="200"/>
        <w:rPr>
          <w:rFonts w:hint="eastAsia" w:ascii="仿宋" w:hAnsi="仿宋" w:eastAsia="仿宋" w:cs="仿宋"/>
          <w:bCs/>
          <w:snapToGrid w:val="0"/>
          <w:color w:val="auto"/>
          <w:kern w:val="28"/>
          <w:sz w:val="24"/>
          <w:highlight w:val="none"/>
        </w:rPr>
      </w:pPr>
    </w:p>
    <w:p w14:paraId="19BF8AD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若对项目采购电子交易系统操作有疑问，可登录乐采云(萧采云)（</w:t>
      </w:r>
      <w:r>
        <w:rPr>
          <w:rFonts w:hint="eastAsia" w:ascii="仿宋" w:hAnsi="仿宋" w:eastAsia="仿宋" w:cs="仿宋"/>
          <w:color w:val="auto"/>
          <w:sz w:val="24"/>
          <w:highlight w:val="none"/>
          <w:lang w:eastAsia="zh-CN"/>
        </w:rPr>
        <w:t>www.lecaiyun.com</w:t>
      </w:r>
      <w:r>
        <w:rPr>
          <w:rFonts w:hint="eastAsia" w:ascii="仿宋" w:hAnsi="仿宋" w:eastAsia="仿宋" w:cs="仿宋"/>
          <w:color w:val="auto"/>
          <w:sz w:val="24"/>
          <w:highlight w:val="none"/>
        </w:rPr>
        <w:t>），点击右侧咨询小采，获取采小蜜智能服务管家帮助，或拨打乐采云(萧采云)服务热线400-881-7190获取热线服务帮助。</w:t>
      </w:r>
    </w:p>
    <w:p w14:paraId="44A87F5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43C7B80A">
      <w:pPr>
        <w:pStyle w:val="32"/>
        <w:spacing w:line="360" w:lineRule="auto"/>
        <w:ind w:firstLine="480" w:firstLineChars="200"/>
        <w:rPr>
          <w:rFonts w:hint="eastAsia" w:ascii="仿宋" w:hAnsi="仿宋" w:eastAsia="仿宋" w:cs="仿宋"/>
          <w:color w:val="auto"/>
          <w:sz w:val="24"/>
          <w:szCs w:val="24"/>
          <w:highlight w:val="none"/>
        </w:rPr>
      </w:pPr>
    </w:p>
    <w:p w14:paraId="118B445C">
      <w:pP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5DDC5DF5">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8"/>
      <w:r>
        <w:rPr>
          <w:rFonts w:hint="eastAsia" w:ascii="仿宋" w:hAnsi="仿宋" w:eastAsia="仿宋" w:cs="仿宋"/>
          <w:b/>
          <w:color w:val="auto"/>
          <w:sz w:val="36"/>
          <w:szCs w:val="20"/>
          <w:highlight w:val="none"/>
        </w:rPr>
        <w:t xml:space="preserve"> </w:t>
      </w:r>
      <w:r>
        <w:rPr>
          <w:rFonts w:hint="eastAsia" w:ascii="仿宋" w:hAnsi="仿宋" w:eastAsia="仿宋" w:cs="仿宋"/>
          <w:b/>
          <w:color w:val="auto"/>
          <w:sz w:val="36"/>
          <w:szCs w:val="20"/>
          <w:highlight w:val="none"/>
          <w:lang w:eastAsia="zh-CN"/>
        </w:rPr>
        <w:t>响应人</w:t>
      </w:r>
      <w:r>
        <w:rPr>
          <w:rFonts w:hint="eastAsia" w:ascii="仿宋" w:hAnsi="仿宋" w:eastAsia="仿宋" w:cs="仿宋"/>
          <w:b/>
          <w:color w:val="auto"/>
          <w:sz w:val="36"/>
          <w:szCs w:val="20"/>
          <w:highlight w:val="none"/>
        </w:rPr>
        <w:t>须知</w:t>
      </w:r>
      <w:bookmarkEnd w:id="9"/>
    </w:p>
    <w:p w14:paraId="75FE12B7">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4"/>
        <w:tblW w:w="869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225"/>
      </w:tblGrid>
      <w:tr w14:paraId="20BF45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31" w:hRule="atLeast"/>
        </w:trPr>
        <w:tc>
          <w:tcPr>
            <w:tcW w:w="629" w:type="dxa"/>
            <w:tcBorders>
              <w:top w:val="single" w:color="auto" w:sz="4" w:space="0"/>
              <w:left w:val="single" w:color="auto" w:sz="4" w:space="0"/>
              <w:bottom w:val="single" w:color="auto" w:sz="4" w:space="0"/>
              <w:right w:val="single" w:color="auto" w:sz="4" w:space="0"/>
            </w:tcBorders>
            <w:vAlign w:val="center"/>
          </w:tcPr>
          <w:p w14:paraId="695A01E8">
            <w:pPr>
              <w:pageBreakBefore w:val="0"/>
              <w:kinsoku/>
              <w:wordWrap/>
              <w:overflowPunct/>
              <w:topLinePunct w:val="0"/>
              <w:autoSpaceDE/>
              <w:autoSpaceDN/>
              <w:bidi w:val="0"/>
              <w:snapToGrid w:val="0"/>
              <w:spacing w:line="42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AFF8B2A">
            <w:pPr>
              <w:pageBreakBefore w:val="0"/>
              <w:kinsoku/>
              <w:wordWrap/>
              <w:overflowPunct/>
              <w:topLinePunct w:val="0"/>
              <w:autoSpaceDE/>
              <w:autoSpaceDN/>
              <w:bidi w:val="0"/>
              <w:snapToGrid w:val="0"/>
              <w:spacing w:line="42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225" w:type="dxa"/>
            <w:tcBorders>
              <w:top w:val="single" w:color="000000" w:sz="8" w:space="0"/>
              <w:left w:val="single" w:color="000000" w:sz="2" w:space="0"/>
              <w:bottom w:val="single" w:color="000000" w:sz="8" w:space="0"/>
              <w:right w:val="single" w:color="000000" w:sz="8" w:space="0"/>
            </w:tcBorders>
            <w:vAlign w:val="center"/>
          </w:tcPr>
          <w:p w14:paraId="76511A0F">
            <w:pPr>
              <w:pageBreakBefore w:val="0"/>
              <w:kinsoku/>
              <w:wordWrap/>
              <w:overflowPunct/>
              <w:topLinePunct w:val="0"/>
              <w:autoSpaceDE/>
              <w:autoSpaceDN/>
              <w:bidi w:val="0"/>
              <w:snapToGrid w:val="0"/>
              <w:spacing w:line="42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5625B1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auto" w:sz="4" w:space="0"/>
            </w:tcBorders>
            <w:vAlign w:val="center"/>
          </w:tcPr>
          <w:p w14:paraId="7B40DB3A">
            <w:pPr>
              <w:pageBreakBefore w:val="0"/>
              <w:kinsoku/>
              <w:wordWrap/>
              <w:overflowPunct/>
              <w:topLinePunct w:val="0"/>
              <w:autoSpaceDE/>
              <w:autoSpaceDN/>
              <w:bidi w:val="0"/>
              <w:snapToGrid w:val="0"/>
              <w:spacing w:line="42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14FFBD4">
            <w:pPr>
              <w:pageBreakBefore w:val="0"/>
              <w:kinsoku/>
              <w:wordWrap/>
              <w:overflowPunct/>
              <w:topLinePunct w:val="0"/>
              <w:autoSpaceDE/>
              <w:autoSpaceDN/>
              <w:bidi w:val="0"/>
              <w:snapToGrid w:val="0"/>
              <w:spacing w:line="42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项目属性与核心产品</w:t>
            </w:r>
          </w:p>
        </w:tc>
        <w:tc>
          <w:tcPr>
            <w:tcW w:w="6225" w:type="dxa"/>
            <w:tcBorders>
              <w:top w:val="single" w:color="000000" w:sz="8" w:space="0"/>
              <w:left w:val="single" w:color="000000" w:sz="2" w:space="0"/>
              <w:bottom w:val="single" w:color="000000" w:sz="8" w:space="0"/>
              <w:right w:val="single" w:color="000000" w:sz="8" w:space="0"/>
            </w:tcBorders>
            <w:vAlign w:val="center"/>
          </w:tcPr>
          <w:p w14:paraId="6D8C5495">
            <w:pPr>
              <w:pageBreakBefore w:val="0"/>
              <w:kinsoku/>
              <w:wordWrap/>
              <w:overflowPunct/>
              <w:topLinePunct w:val="0"/>
              <w:autoSpaceDE/>
              <w:autoSpaceDN/>
              <w:bidi w:val="0"/>
              <w:spacing w:line="420" w:lineRule="exact"/>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b/>
                <w:color w:val="auto"/>
                <w:sz w:val="24"/>
                <w:highlight w:val="none"/>
              </w:rPr>
              <w:t>√</w:t>
            </w:r>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服务类。</w:t>
            </w:r>
          </w:p>
        </w:tc>
      </w:tr>
      <w:tr w14:paraId="6033A4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auto" w:sz="4" w:space="0"/>
            </w:tcBorders>
            <w:vAlign w:val="center"/>
          </w:tcPr>
          <w:p w14:paraId="5481C871">
            <w:pPr>
              <w:pageBreakBefore w:val="0"/>
              <w:kinsoku/>
              <w:wordWrap/>
              <w:overflowPunct/>
              <w:topLinePunct w:val="0"/>
              <w:autoSpaceDE/>
              <w:autoSpaceDN/>
              <w:bidi w:val="0"/>
              <w:snapToGrid w:val="0"/>
              <w:spacing w:line="42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863C01F">
            <w:pPr>
              <w:pageBreakBefore w:val="0"/>
              <w:kinsoku/>
              <w:wordWrap/>
              <w:overflowPunct/>
              <w:topLinePunct w:val="0"/>
              <w:autoSpaceDE/>
              <w:autoSpaceDN/>
              <w:bidi w:val="0"/>
              <w:snapToGrid w:val="0"/>
              <w:spacing w:line="42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采购标的对应的中小企业划分标准所属行业</w:t>
            </w:r>
          </w:p>
        </w:tc>
        <w:tc>
          <w:tcPr>
            <w:tcW w:w="6225" w:type="dxa"/>
            <w:tcBorders>
              <w:top w:val="single" w:color="000000" w:sz="8" w:space="0"/>
              <w:left w:val="single" w:color="000000" w:sz="2" w:space="0"/>
              <w:bottom w:val="single" w:color="000000" w:sz="8" w:space="0"/>
              <w:right w:val="single" w:color="000000" w:sz="8" w:space="0"/>
            </w:tcBorders>
            <w:vAlign w:val="center"/>
          </w:tcPr>
          <w:p w14:paraId="679BA57D">
            <w:pPr>
              <w:pageBreakBefore w:val="0"/>
              <w:kinsoku/>
              <w:wordWrap/>
              <w:overflowPunct/>
              <w:topLinePunct w:val="0"/>
              <w:autoSpaceDE/>
              <w:autoSpaceDN/>
              <w:bidi w:val="0"/>
              <w:spacing w:line="420" w:lineRule="exact"/>
              <w:textAlignment w:val="auto"/>
              <w:rPr>
                <w:rFonts w:hint="eastAsia" w:ascii="仿宋" w:hAnsi="仿宋" w:eastAsia="仿宋" w:cs="仿宋"/>
                <w:color w:val="auto"/>
                <w:highlight w:val="none"/>
                <w:lang w:eastAsia="zh-CN"/>
              </w:rPr>
            </w:pPr>
            <w:r>
              <w:rPr>
                <w:rFonts w:hint="eastAsia" w:ascii="仿宋" w:hAnsi="仿宋" w:eastAsia="仿宋" w:cs="仿宋"/>
                <w:color w:val="auto"/>
                <w:sz w:val="24"/>
                <w:highlight w:val="none"/>
                <w:lang w:val="en-US" w:eastAsia="zh-CN"/>
              </w:rPr>
              <w:t>/</w:t>
            </w:r>
          </w:p>
        </w:tc>
      </w:tr>
      <w:tr w14:paraId="684E6C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auto" w:sz="4" w:space="0"/>
            </w:tcBorders>
            <w:vAlign w:val="center"/>
          </w:tcPr>
          <w:p w14:paraId="26CB0898">
            <w:pPr>
              <w:pageBreakBefore w:val="0"/>
              <w:kinsoku/>
              <w:wordWrap/>
              <w:overflowPunct/>
              <w:topLinePunct w:val="0"/>
              <w:autoSpaceDE/>
              <w:autoSpaceDN/>
              <w:bidi w:val="0"/>
              <w:snapToGrid w:val="0"/>
              <w:spacing w:line="42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F7BABC8">
            <w:pPr>
              <w:pageBreakBefore w:val="0"/>
              <w:kinsoku/>
              <w:wordWrap/>
              <w:overflowPunct/>
              <w:topLinePunct w:val="0"/>
              <w:autoSpaceDE/>
              <w:autoSpaceDN/>
              <w:bidi w:val="0"/>
              <w:snapToGrid w:val="0"/>
              <w:spacing w:line="42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225" w:type="dxa"/>
            <w:tcBorders>
              <w:top w:val="single" w:color="000000" w:sz="8" w:space="0"/>
              <w:left w:val="single" w:color="000000" w:sz="2" w:space="0"/>
              <w:bottom w:val="single" w:color="000000" w:sz="8" w:space="0"/>
              <w:right w:val="single" w:color="000000" w:sz="8" w:space="0"/>
            </w:tcBorders>
            <w:vAlign w:val="center"/>
          </w:tcPr>
          <w:p w14:paraId="626AA7A5">
            <w:pPr>
              <w:pStyle w:val="3"/>
              <w:pageBreakBefore w:val="0"/>
              <w:kinsoku/>
              <w:wordWrap/>
              <w:overflowPunct/>
              <w:topLinePunct w:val="0"/>
              <w:autoSpaceDE/>
              <w:autoSpaceDN/>
              <w:bidi w:val="0"/>
              <w:spacing w:line="420" w:lineRule="exact"/>
              <w:ind w:left="0" w:leftChars="0" w:firstLine="0" w:firstLineChars="0"/>
              <w:textAlignment w:val="auto"/>
              <w:rPr>
                <w:rFonts w:hint="eastAsia" w:ascii="仿宋" w:hAnsi="仿宋" w:eastAsia="仿宋" w:cs="仿宋"/>
                <w:color w:val="auto"/>
                <w:highlight w:val="none"/>
              </w:rPr>
            </w:pPr>
            <w:r>
              <w:rPr>
                <w:rFonts w:hint="eastAsia" w:ascii="仿宋" w:hAnsi="仿宋" w:eastAsia="仿宋" w:cs="仿宋"/>
                <w:color w:val="auto"/>
                <w:kern w:val="0"/>
                <w:highlight w:val="none"/>
              </w:rPr>
              <w:t>(</w:t>
            </w:r>
            <w:r>
              <w:rPr>
                <w:rFonts w:hint="eastAsia" w:ascii="仿宋" w:hAnsi="仿宋" w:eastAsia="仿宋" w:cs="仿宋"/>
                <w:b/>
                <w:color w:val="auto"/>
                <w:highlight w:val="none"/>
              </w:rPr>
              <w:t xml:space="preserve">√ </w:t>
            </w:r>
            <w:r>
              <w:rPr>
                <w:rFonts w:hint="eastAsia" w:ascii="仿宋" w:hAnsi="仿宋" w:eastAsia="仿宋" w:cs="仿宋"/>
                <w:color w:val="auto"/>
                <w:kern w:val="0"/>
                <w:highlight w:val="none"/>
              </w:rPr>
              <w:t>)</w:t>
            </w:r>
            <w:r>
              <w:rPr>
                <w:rFonts w:hint="eastAsia" w:ascii="仿宋" w:hAnsi="仿宋" w:eastAsia="仿宋" w:cs="仿宋"/>
                <w:color w:val="auto"/>
                <w:highlight w:val="none"/>
              </w:rPr>
              <w:t>本项目不允许采购进口产品。</w:t>
            </w:r>
          </w:p>
        </w:tc>
      </w:tr>
      <w:tr w14:paraId="4C13F3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auto" w:sz="4" w:space="0"/>
            </w:tcBorders>
            <w:vAlign w:val="center"/>
          </w:tcPr>
          <w:p w14:paraId="46196316">
            <w:pPr>
              <w:pageBreakBefore w:val="0"/>
              <w:kinsoku/>
              <w:wordWrap/>
              <w:overflowPunct/>
              <w:topLinePunct w:val="0"/>
              <w:autoSpaceDE/>
              <w:autoSpaceDN/>
              <w:bidi w:val="0"/>
              <w:snapToGrid w:val="0"/>
              <w:spacing w:line="42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B7FAE77">
            <w:pPr>
              <w:pageBreakBefore w:val="0"/>
              <w:kinsoku/>
              <w:wordWrap/>
              <w:overflowPunct/>
              <w:topLinePunct w:val="0"/>
              <w:autoSpaceDE/>
              <w:autoSpaceDN/>
              <w:bidi w:val="0"/>
              <w:snapToGrid w:val="0"/>
              <w:spacing w:line="42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225" w:type="dxa"/>
            <w:tcBorders>
              <w:top w:val="single" w:color="000000" w:sz="8" w:space="0"/>
              <w:left w:val="single" w:color="000000" w:sz="2" w:space="0"/>
              <w:bottom w:val="single" w:color="000000" w:sz="8" w:space="0"/>
              <w:right w:val="single" w:color="000000" w:sz="8" w:space="0"/>
            </w:tcBorders>
            <w:vAlign w:val="center"/>
          </w:tcPr>
          <w:p w14:paraId="1DDA9667">
            <w:pPr>
              <w:pageBreakBefore w:val="0"/>
              <w:kinsoku/>
              <w:wordWrap/>
              <w:overflowPunct/>
              <w:topLinePunct w:val="0"/>
              <w:autoSpaceDE/>
              <w:autoSpaceDN/>
              <w:bidi w:val="0"/>
              <w:snapToGrid w:val="0"/>
              <w:spacing w:line="420" w:lineRule="exact"/>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工作分包。</w:t>
            </w:r>
          </w:p>
          <w:p w14:paraId="40840E9F">
            <w:pPr>
              <w:pageBreakBefore w:val="0"/>
              <w:kinsoku/>
              <w:wordWrap/>
              <w:overflowPunct/>
              <w:topLinePunct w:val="0"/>
              <w:autoSpaceDE/>
              <w:autoSpaceDN/>
              <w:bidi w:val="0"/>
              <w:spacing w:line="420" w:lineRule="exact"/>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w:t>
            </w:r>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不同意分包。</w:t>
            </w:r>
          </w:p>
        </w:tc>
      </w:tr>
      <w:tr w14:paraId="2EBDDA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auto" w:sz="4" w:space="0"/>
            </w:tcBorders>
            <w:vAlign w:val="center"/>
          </w:tcPr>
          <w:p w14:paraId="6177B5F6">
            <w:pPr>
              <w:pageBreakBefore w:val="0"/>
              <w:kinsoku/>
              <w:wordWrap/>
              <w:overflowPunct/>
              <w:topLinePunct w:val="0"/>
              <w:autoSpaceDE/>
              <w:autoSpaceDN/>
              <w:bidi w:val="0"/>
              <w:snapToGrid w:val="0"/>
              <w:spacing w:line="42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16BC6B3">
            <w:pPr>
              <w:pageBreakBefore w:val="0"/>
              <w:kinsoku/>
              <w:wordWrap/>
              <w:overflowPunct/>
              <w:topLinePunct w:val="0"/>
              <w:autoSpaceDE/>
              <w:autoSpaceDN/>
              <w:bidi w:val="0"/>
              <w:snapToGrid w:val="0"/>
              <w:spacing w:line="42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交易前答疑会或现场考察</w:t>
            </w:r>
          </w:p>
        </w:tc>
        <w:tc>
          <w:tcPr>
            <w:tcW w:w="6225" w:type="dxa"/>
            <w:tcBorders>
              <w:top w:val="single" w:color="000000" w:sz="8" w:space="0"/>
              <w:left w:val="single" w:color="000000" w:sz="2" w:space="0"/>
              <w:bottom w:val="single" w:color="000000" w:sz="8" w:space="0"/>
              <w:right w:val="single" w:color="000000" w:sz="8" w:space="0"/>
            </w:tcBorders>
            <w:vAlign w:val="center"/>
          </w:tcPr>
          <w:p w14:paraId="6431EB7C">
            <w:pPr>
              <w:pageBreakBefore w:val="0"/>
              <w:kinsoku/>
              <w:wordWrap/>
              <w:overflowPunct/>
              <w:topLinePunct w:val="0"/>
              <w:autoSpaceDE/>
              <w:autoSpaceDN/>
              <w:bidi w:val="0"/>
              <w:spacing w:line="420" w:lineRule="exact"/>
              <w:textAlignment w:val="auto"/>
              <w:rPr>
                <w:rFonts w:hint="eastAsia" w:ascii="仿宋" w:hAnsi="仿宋" w:eastAsia="仿宋" w:cs="仿宋"/>
                <w:color w:val="auto"/>
                <w:sz w:val="24"/>
                <w:szCs w:val="20"/>
                <w:highlight w:val="none"/>
              </w:rPr>
            </w:pPr>
            <w:r>
              <w:rPr>
                <w:rFonts w:hint="eastAsia" w:ascii="仿宋" w:hAnsi="仿宋" w:eastAsia="仿宋" w:cs="仿宋"/>
                <w:b/>
                <w:color w:val="auto"/>
                <w:sz w:val="24"/>
                <w:highlight w:val="none"/>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tc>
      </w:tr>
      <w:tr w14:paraId="5A55EE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6" w:hRule="atLeast"/>
        </w:trPr>
        <w:tc>
          <w:tcPr>
            <w:tcW w:w="629" w:type="dxa"/>
            <w:tcBorders>
              <w:top w:val="single" w:color="auto" w:sz="4" w:space="0"/>
              <w:left w:val="single" w:color="auto" w:sz="4" w:space="0"/>
              <w:bottom w:val="single" w:color="auto" w:sz="4" w:space="0"/>
              <w:right w:val="single" w:color="auto" w:sz="4" w:space="0"/>
            </w:tcBorders>
            <w:vAlign w:val="center"/>
          </w:tcPr>
          <w:p w14:paraId="5F1089C1">
            <w:pPr>
              <w:pageBreakBefore w:val="0"/>
              <w:kinsoku/>
              <w:wordWrap/>
              <w:overflowPunct/>
              <w:topLinePunct w:val="0"/>
              <w:autoSpaceDE/>
              <w:autoSpaceDN/>
              <w:bidi w:val="0"/>
              <w:snapToGrid w:val="0"/>
              <w:spacing w:line="42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AF30161">
            <w:pPr>
              <w:pageBreakBefore w:val="0"/>
              <w:kinsoku/>
              <w:wordWrap/>
              <w:overflowPunct/>
              <w:topLinePunct w:val="0"/>
              <w:autoSpaceDE/>
              <w:autoSpaceDN/>
              <w:bidi w:val="0"/>
              <w:snapToGrid w:val="0"/>
              <w:spacing w:line="42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225" w:type="dxa"/>
            <w:tcBorders>
              <w:top w:val="single" w:color="000000" w:sz="8" w:space="0"/>
              <w:left w:val="single" w:color="000000" w:sz="2" w:space="0"/>
              <w:bottom w:val="single" w:color="000000" w:sz="8" w:space="0"/>
              <w:right w:val="single" w:color="000000" w:sz="8" w:space="0"/>
            </w:tcBorders>
            <w:vAlign w:val="center"/>
          </w:tcPr>
          <w:p w14:paraId="32539191">
            <w:pPr>
              <w:pageBreakBefore w:val="0"/>
              <w:kinsoku/>
              <w:wordWrap/>
              <w:overflowPunct/>
              <w:topLinePunct w:val="0"/>
              <w:autoSpaceDE/>
              <w:autoSpaceDN/>
              <w:bidi w:val="0"/>
              <w:spacing w:line="420" w:lineRule="exact"/>
              <w:textAlignment w:val="auto"/>
              <w:rPr>
                <w:rFonts w:hint="eastAsia" w:ascii="仿宋" w:hAnsi="仿宋" w:eastAsia="仿宋" w:cs="仿宋"/>
                <w:b/>
                <w:color w:val="auto"/>
                <w:sz w:val="24"/>
                <w:highlight w:val="none"/>
              </w:rPr>
            </w:pPr>
            <w:r>
              <w:rPr>
                <w:rFonts w:hint="eastAsia" w:ascii="仿宋" w:hAnsi="仿宋" w:eastAsia="仿宋" w:cs="仿宋"/>
                <w:bCs/>
                <w:color w:val="auto"/>
                <w:sz w:val="24"/>
                <w:highlight w:val="none"/>
              </w:rPr>
              <w:t>（</w:t>
            </w:r>
            <w:r>
              <w:rPr>
                <w:rFonts w:hint="eastAsia" w:ascii="仿宋" w:hAnsi="仿宋" w:eastAsia="仿宋" w:cs="仿宋"/>
                <w:b/>
                <w:color w:val="auto"/>
                <w:sz w:val="24"/>
                <w:highlight w:val="none"/>
              </w:rPr>
              <w:t>√</w:t>
            </w:r>
            <w:r>
              <w:rPr>
                <w:rFonts w:hint="eastAsia" w:ascii="仿宋" w:hAnsi="仿宋" w:eastAsia="仿宋" w:cs="仿宋"/>
                <w:bCs/>
                <w:color w:val="auto"/>
                <w:sz w:val="24"/>
                <w:highlight w:val="none"/>
              </w:rPr>
              <w:t>）A不要求提供。</w:t>
            </w:r>
          </w:p>
        </w:tc>
      </w:tr>
      <w:tr w14:paraId="17D6E1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91" w:hRule="atLeast"/>
        </w:trPr>
        <w:tc>
          <w:tcPr>
            <w:tcW w:w="629" w:type="dxa"/>
            <w:tcBorders>
              <w:top w:val="single" w:color="auto" w:sz="4" w:space="0"/>
              <w:left w:val="single" w:color="auto" w:sz="4" w:space="0"/>
              <w:bottom w:val="single" w:color="auto" w:sz="4" w:space="0"/>
              <w:right w:val="single" w:color="auto" w:sz="4" w:space="0"/>
            </w:tcBorders>
            <w:vAlign w:val="center"/>
          </w:tcPr>
          <w:p w14:paraId="5A9A8B94">
            <w:pPr>
              <w:pageBreakBefore w:val="0"/>
              <w:kinsoku/>
              <w:wordWrap/>
              <w:overflowPunct/>
              <w:topLinePunct w:val="0"/>
              <w:autoSpaceDE/>
              <w:autoSpaceDN/>
              <w:bidi w:val="0"/>
              <w:snapToGrid w:val="0"/>
              <w:spacing w:line="42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FFEC554">
            <w:pPr>
              <w:pageBreakBefore w:val="0"/>
              <w:kinsoku/>
              <w:wordWrap/>
              <w:overflowPunct/>
              <w:topLinePunct w:val="0"/>
              <w:autoSpaceDE/>
              <w:autoSpaceDN/>
              <w:bidi w:val="0"/>
              <w:snapToGrid w:val="0"/>
              <w:spacing w:line="420" w:lineRule="exact"/>
              <w:jc w:val="center"/>
              <w:textAlignment w:val="auto"/>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225" w:type="dxa"/>
            <w:tcBorders>
              <w:top w:val="single" w:color="000000" w:sz="8" w:space="0"/>
              <w:left w:val="single" w:color="000000" w:sz="2" w:space="0"/>
              <w:bottom w:val="single" w:color="000000" w:sz="8" w:space="0"/>
              <w:right w:val="single" w:color="000000" w:sz="8" w:space="0"/>
            </w:tcBorders>
            <w:vAlign w:val="center"/>
          </w:tcPr>
          <w:p w14:paraId="6EB832B0">
            <w:pPr>
              <w:pageBreakBefore w:val="0"/>
              <w:kinsoku/>
              <w:wordWrap/>
              <w:overflowPunct/>
              <w:topLinePunct w:val="0"/>
              <w:autoSpaceDE/>
              <w:autoSpaceDN/>
              <w:bidi w:val="0"/>
              <w:spacing w:line="420" w:lineRule="exact"/>
              <w:textAlignment w:val="auto"/>
              <w:rPr>
                <w:rFonts w:hint="eastAsia" w:ascii="仿宋" w:hAnsi="仿宋" w:eastAsia="仿宋" w:cs="仿宋"/>
                <w:b/>
                <w:color w:val="auto"/>
                <w:kern w:val="0"/>
                <w:sz w:val="24"/>
                <w:highlight w:val="none"/>
                <w:lang w:val="zh-CN"/>
              </w:rPr>
            </w:pPr>
            <w:r>
              <w:rPr>
                <w:rFonts w:hint="eastAsia" w:ascii="仿宋" w:hAnsi="仿宋" w:eastAsia="仿宋" w:cs="仿宋"/>
                <w:b/>
                <w:color w:val="auto"/>
                <w:sz w:val="24"/>
                <w:highlight w:val="none"/>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tc>
      </w:tr>
      <w:tr w14:paraId="7E07CB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vMerge w:val="restart"/>
            <w:tcBorders>
              <w:top w:val="single" w:color="auto" w:sz="4" w:space="0"/>
              <w:left w:val="single" w:color="auto" w:sz="4" w:space="0"/>
              <w:right w:val="single" w:color="auto" w:sz="4" w:space="0"/>
            </w:tcBorders>
            <w:vAlign w:val="center"/>
          </w:tcPr>
          <w:p w14:paraId="1C1CA32A">
            <w:pPr>
              <w:pageBreakBefore w:val="0"/>
              <w:kinsoku/>
              <w:wordWrap/>
              <w:overflowPunct/>
              <w:topLinePunct w:val="0"/>
              <w:autoSpaceDE/>
              <w:autoSpaceDN/>
              <w:bidi w:val="0"/>
              <w:snapToGrid w:val="0"/>
              <w:spacing w:line="42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49CC3E64">
            <w:pPr>
              <w:pageBreakBefore w:val="0"/>
              <w:kinsoku/>
              <w:wordWrap/>
              <w:overflowPunct/>
              <w:topLinePunct w:val="0"/>
              <w:autoSpaceDE/>
              <w:autoSpaceDN/>
              <w:bidi w:val="0"/>
              <w:snapToGrid w:val="0"/>
              <w:spacing w:line="42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响应人</w:t>
            </w:r>
            <w:r>
              <w:rPr>
                <w:rFonts w:hint="eastAsia" w:ascii="仿宋" w:hAnsi="仿宋" w:eastAsia="仿宋" w:cs="仿宋"/>
                <w:b/>
                <w:color w:val="auto"/>
                <w:sz w:val="24"/>
                <w:highlight w:val="none"/>
              </w:rPr>
              <w:t>应当提供的资格、资信证明文件</w:t>
            </w:r>
          </w:p>
        </w:tc>
        <w:tc>
          <w:tcPr>
            <w:tcW w:w="6225" w:type="dxa"/>
            <w:tcBorders>
              <w:top w:val="single" w:color="000000" w:sz="8" w:space="0"/>
              <w:left w:val="single" w:color="000000" w:sz="2" w:space="0"/>
              <w:bottom w:val="single" w:color="auto" w:sz="4" w:space="0"/>
              <w:right w:val="single" w:color="000000" w:sz="8" w:space="0"/>
            </w:tcBorders>
            <w:vAlign w:val="center"/>
          </w:tcPr>
          <w:p w14:paraId="4C3D44AE">
            <w:pPr>
              <w:pageBreakBefore w:val="0"/>
              <w:kinsoku/>
              <w:wordWrap/>
              <w:overflowPunct/>
              <w:topLinePunct w:val="0"/>
              <w:autoSpaceDE/>
              <w:autoSpaceDN/>
              <w:bidi w:val="0"/>
              <w:spacing w:line="42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（1）资格证明文件：见交易文件第二部分11.1。</w:t>
            </w:r>
          </w:p>
          <w:p w14:paraId="3D554D8D">
            <w:pPr>
              <w:pageBreakBefore w:val="0"/>
              <w:kinsoku/>
              <w:wordWrap/>
              <w:overflowPunct/>
              <w:topLinePunct w:val="0"/>
              <w:autoSpaceDE/>
              <w:autoSpaceDN/>
              <w:bidi w:val="0"/>
              <w:spacing w:line="420" w:lineRule="exact"/>
              <w:textAlignment w:val="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响应人未提供有效的资格证明文件的，视为响应人不具备交易文件中规定的资格要求，响应无效。</w:t>
            </w:r>
          </w:p>
        </w:tc>
      </w:tr>
      <w:tr w14:paraId="7A6E1B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vMerge w:val="continue"/>
            <w:tcBorders>
              <w:left w:val="single" w:color="auto" w:sz="4" w:space="0"/>
              <w:bottom w:val="single" w:color="auto" w:sz="4" w:space="0"/>
              <w:right w:val="single" w:color="auto" w:sz="4" w:space="0"/>
            </w:tcBorders>
            <w:vAlign w:val="center"/>
          </w:tcPr>
          <w:p w14:paraId="158E4D6D">
            <w:pPr>
              <w:pageBreakBefore w:val="0"/>
              <w:kinsoku/>
              <w:wordWrap/>
              <w:overflowPunct/>
              <w:topLinePunct w:val="0"/>
              <w:autoSpaceDE/>
              <w:autoSpaceDN/>
              <w:bidi w:val="0"/>
              <w:snapToGrid w:val="0"/>
              <w:spacing w:line="420" w:lineRule="exact"/>
              <w:jc w:val="center"/>
              <w:textAlignment w:val="auto"/>
              <w:rPr>
                <w:rFonts w:hint="eastAsia" w:ascii="仿宋" w:hAnsi="仿宋" w:eastAsia="仿宋" w:cs="仿宋"/>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D406F8C">
            <w:pPr>
              <w:pageBreakBefore w:val="0"/>
              <w:kinsoku/>
              <w:wordWrap/>
              <w:overflowPunct/>
              <w:topLinePunct w:val="0"/>
              <w:autoSpaceDE/>
              <w:autoSpaceDN/>
              <w:bidi w:val="0"/>
              <w:snapToGrid w:val="0"/>
              <w:spacing w:line="420" w:lineRule="exact"/>
              <w:jc w:val="center"/>
              <w:textAlignment w:val="auto"/>
              <w:rPr>
                <w:rFonts w:hint="eastAsia" w:ascii="仿宋" w:hAnsi="仿宋" w:eastAsia="仿宋" w:cs="仿宋"/>
                <w:b/>
                <w:color w:val="auto"/>
                <w:sz w:val="24"/>
                <w:highlight w:val="none"/>
              </w:rPr>
            </w:pPr>
          </w:p>
        </w:tc>
        <w:tc>
          <w:tcPr>
            <w:tcW w:w="6225" w:type="dxa"/>
            <w:tcBorders>
              <w:top w:val="single" w:color="auto" w:sz="4" w:space="0"/>
              <w:left w:val="single" w:color="000000" w:sz="2" w:space="0"/>
              <w:bottom w:val="single" w:color="000000" w:sz="8" w:space="0"/>
              <w:right w:val="single" w:color="000000" w:sz="8" w:space="0"/>
            </w:tcBorders>
            <w:vAlign w:val="center"/>
          </w:tcPr>
          <w:p w14:paraId="1D3637F3">
            <w:pPr>
              <w:pageBreakBefore w:val="0"/>
              <w:kinsoku/>
              <w:wordWrap/>
              <w:overflowPunct/>
              <w:topLinePunct w:val="0"/>
              <w:autoSpaceDE/>
              <w:autoSpaceDN/>
              <w:bidi w:val="0"/>
              <w:spacing w:line="42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（2）资信证明文件：根据交易文件第四部分评审标准提供。</w:t>
            </w:r>
          </w:p>
        </w:tc>
      </w:tr>
      <w:tr w14:paraId="1077D1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7450EA9F">
            <w:pPr>
              <w:pageBreakBefore w:val="0"/>
              <w:kinsoku/>
              <w:wordWrap/>
              <w:overflowPunct/>
              <w:topLinePunct w:val="0"/>
              <w:autoSpaceDE/>
              <w:autoSpaceDN/>
              <w:bidi w:val="0"/>
              <w:snapToGrid w:val="0"/>
              <w:spacing w:line="42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3AFB16A">
            <w:pPr>
              <w:pageBreakBefore w:val="0"/>
              <w:kinsoku/>
              <w:wordWrap/>
              <w:overflowPunct/>
              <w:topLinePunct w:val="0"/>
              <w:autoSpaceDE/>
              <w:autoSpaceDN/>
              <w:bidi w:val="0"/>
              <w:snapToGrid w:val="0"/>
              <w:spacing w:line="420" w:lineRule="exact"/>
              <w:jc w:val="center"/>
              <w:textAlignment w:val="auto"/>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报价要求</w:t>
            </w:r>
          </w:p>
        </w:tc>
        <w:tc>
          <w:tcPr>
            <w:tcW w:w="6225" w:type="dxa"/>
            <w:tcBorders>
              <w:top w:val="single" w:color="000000" w:sz="8" w:space="0"/>
              <w:left w:val="single" w:color="000000" w:sz="2" w:space="0"/>
              <w:bottom w:val="single" w:color="000000" w:sz="8" w:space="0"/>
              <w:right w:val="single" w:color="000000" w:sz="8" w:space="0"/>
            </w:tcBorders>
            <w:vAlign w:val="center"/>
          </w:tcPr>
          <w:p w14:paraId="0085787A">
            <w:pPr>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bCs/>
                <w:color w:val="auto"/>
                <w:kern w:val="0"/>
                <w:sz w:val="24"/>
                <w:highlight w:val="none"/>
                <w:lang w:val="zh-CN"/>
              </w:rPr>
            </w:pPr>
            <w:r>
              <w:rPr>
                <w:rFonts w:hint="eastAsia" w:ascii="仿宋" w:hAnsi="仿宋" w:eastAsia="仿宋" w:cs="仿宋"/>
                <w:bCs/>
                <w:color w:val="auto"/>
                <w:kern w:val="0"/>
                <w:sz w:val="24"/>
                <w:highlight w:val="none"/>
                <w:lang w:val="zh-CN"/>
              </w:rPr>
              <w:t>有关本项目实施所需的所有费用（含税费）均计入报价。</w:t>
            </w:r>
            <w:r>
              <w:rPr>
                <w:rFonts w:hint="eastAsia" w:ascii="仿宋" w:hAnsi="仿宋" w:eastAsia="仿宋" w:cs="仿宋"/>
                <w:bCs/>
                <w:color w:val="auto"/>
                <w:kern w:val="0"/>
                <w:sz w:val="24"/>
                <w:highlight w:val="none"/>
              </w:rPr>
              <w:t>交易一览表（报价表）是报价的唯一载体</w:t>
            </w:r>
            <w:r>
              <w:rPr>
                <w:rFonts w:hint="eastAsia" w:ascii="仿宋" w:hAnsi="仿宋" w:eastAsia="仿宋" w:cs="仿宋"/>
                <w:bCs/>
                <w:color w:val="auto"/>
                <w:kern w:val="0"/>
                <w:sz w:val="24"/>
                <w:highlight w:val="none"/>
                <w:lang w:val="zh-CN"/>
              </w:rPr>
              <w:t>。响应文件中价格全部采用人民币报价。交易文件未列明，而响应人认为必需的费用也需列入报价。</w:t>
            </w:r>
          </w:p>
          <w:p w14:paraId="3D8C7E8B">
            <w:pPr>
              <w:pageBreakBefore w:val="0"/>
              <w:kinsoku/>
              <w:wordWrap/>
              <w:overflowPunct/>
              <w:topLinePunct w:val="0"/>
              <w:autoSpaceDE/>
              <w:autoSpaceDN/>
              <w:bidi w:val="0"/>
              <w:spacing w:line="420" w:lineRule="exact"/>
              <w:textAlignment w:val="auto"/>
              <w:rPr>
                <w:rFonts w:hint="eastAsia" w:ascii="仿宋" w:hAnsi="仿宋" w:eastAsia="仿宋" w:cs="仿宋"/>
                <w:bCs/>
                <w:color w:val="auto"/>
                <w:kern w:val="0"/>
                <w:sz w:val="24"/>
                <w:highlight w:val="none"/>
                <w:lang w:val="zh-CN"/>
              </w:rPr>
            </w:pPr>
            <w:r>
              <w:rPr>
                <w:rFonts w:hint="eastAsia" w:ascii="仿宋" w:hAnsi="仿宋" w:eastAsia="仿宋" w:cs="仿宋"/>
                <w:bCs/>
                <w:color w:val="auto"/>
                <w:kern w:val="0"/>
                <w:sz w:val="24"/>
                <w:highlight w:val="none"/>
                <w:lang w:val="zh-CN"/>
              </w:rPr>
              <w:t>响应报价出现下列情形的，响应无效：</w:t>
            </w:r>
          </w:p>
          <w:p w14:paraId="5C5BEDDE">
            <w:pPr>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bCs/>
                <w:color w:val="auto"/>
                <w:kern w:val="0"/>
                <w:sz w:val="24"/>
                <w:highlight w:val="none"/>
                <w:lang w:val="zh-CN"/>
              </w:rPr>
            </w:pPr>
            <w:r>
              <w:rPr>
                <w:rFonts w:hint="eastAsia" w:ascii="仿宋" w:hAnsi="仿宋" w:eastAsia="仿宋" w:cs="仿宋"/>
                <w:bCs/>
                <w:color w:val="auto"/>
                <w:kern w:val="0"/>
                <w:sz w:val="24"/>
                <w:highlight w:val="none"/>
                <w:lang w:val="zh-CN"/>
              </w:rPr>
              <w:t>响应文件出现不是唯一的、有选择性响应报价的；</w:t>
            </w:r>
          </w:p>
          <w:p w14:paraId="0D78C628">
            <w:pPr>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bCs/>
                <w:color w:val="auto"/>
                <w:kern w:val="0"/>
                <w:sz w:val="24"/>
                <w:highlight w:val="none"/>
                <w:lang w:val="zh-CN"/>
              </w:rPr>
            </w:pPr>
            <w:r>
              <w:rPr>
                <w:rFonts w:hint="eastAsia" w:ascii="仿宋" w:hAnsi="仿宋" w:eastAsia="仿宋" w:cs="仿宋"/>
                <w:bCs/>
                <w:color w:val="auto"/>
                <w:kern w:val="0"/>
                <w:sz w:val="24"/>
                <w:highlight w:val="none"/>
                <w:lang w:val="zh-CN"/>
              </w:rPr>
              <w:t>响应报价超过交易文件中规定的预算金额或者最高限价的；</w:t>
            </w:r>
          </w:p>
          <w:p w14:paraId="4445B0CE">
            <w:pPr>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报价明显低于其他通过符合性审查</w:t>
            </w:r>
            <w:r>
              <w:rPr>
                <w:rFonts w:hint="eastAsia" w:ascii="仿宋" w:hAnsi="仿宋" w:eastAsia="仿宋" w:cs="仿宋"/>
                <w:bCs/>
                <w:color w:val="auto"/>
                <w:kern w:val="0"/>
                <w:sz w:val="24"/>
                <w:highlight w:val="none"/>
                <w:lang w:eastAsia="zh-CN"/>
              </w:rPr>
              <w:t>响应人</w:t>
            </w:r>
            <w:r>
              <w:rPr>
                <w:rFonts w:hint="eastAsia" w:ascii="仿宋" w:hAnsi="仿宋" w:eastAsia="仿宋" w:cs="仿宋"/>
                <w:bCs/>
                <w:color w:val="auto"/>
                <w:kern w:val="0"/>
                <w:sz w:val="24"/>
                <w:highlight w:val="none"/>
              </w:rPr>
              <w:t>的报价，有可能影响产品质量或者不能诚信履约的，未能按要求提供书面说明或者提交相关证明材料证明其报价合理性的</w:t>
            </w:r>
            <w:r>
              <w:rPr>
                <w:rFonts w:hint="eastAsia" w:ascii="仿宋" w:hAnsi="仿宋" w:eastAsia="仿宋" w:cs="仿宋"/>
                <w:bCs/>
                <w:color w:val="auto"/>
                <w:kern w:val="0"/>
                <w:sz w:val="24"/>
                <w:highlight w:val="none"/>
                <w:lang w:val="zh-CN"/>
              </w:rPr>
              <w:t>；</w:t>
            </w:r>
          </w:p>
          <w:p w14:paraId="2F4BA6D2">
            <w:pPr>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lang w:eastAsia="zh-CN"/>
              </w:rPr>
              <w:t>响应人</w:t>
            </w:r>
            <w:r>
              <w:rPr>
                <w:rFonts w:hint="eastAsia" w:ascii="仿宋" w:hAnsi="仿宋" w:eastAsia="仿宋" w:cs="仿宋"/>
                <w:bCs/>
                <w:color w:val="auto"/>
                <w:kern w:val="0"/>
                <w:sz w:val="24"/>
                <w:highlight w:val="none"/>
              </w:rPr>
              <w:t>对根据修正原则修正后的报价不确认的。</w:t>
            </w:r>
          </w:p>
          <w:p w14:paraId="5288C7FC">
            <w:pPr>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bCs/>
                <w:color w:val="auto"/>
                <w:highlight w:val="none"/>
              </w:rPr>
            </w:pPr>
            <w:r>
              <w:rPr>
                <w:rFonts w:hint="eastAsia" w:ascii="仿宋" w:hAnsi="仿宋" w:eastAsia="仿宋" w:cs="仿宋"/>
                <w:bCs/>
                <w:color w:val="auto"/>
                <w:kern w:val="0"/>
                <w:sz w:val="24"/>
                <w:highlight w:val="none"/>
              </w:rPr>
              <w:t>资格文件、商务技术文件与报价文件未分开制作</w:t>
            </w:r>
            <w:r>
              <w:rPr>
                <w:rFonts w:hint="eastAsia" w:ascii="仿宋" w:hAnsi="仿宋" w:eastAsia="仿宋" w:cs="仿宋"/>
                <w:bCs/>
                <w:color w:val="auto"/>
                <w:sz w:val="24"/>
                <w:highlight w:val="none"/>
              </w:rPr>
              <w:t>。</w:t>
            </w:r>
          </w:p>
        </w:tc>
      </w:tr>
      <w:tr w14:paraId="0E613F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40D36901">
            <w:pPr>
              <w:pageBreakBefore w:val="0"/>
              <w:kinsoku/>
              <w:wordWrap/>
              <w:overflowPunct/>
              <w:topLinePunct w:val="0"/>
              <w:autoSpaceDE/>
              <w:autoSpaceDN/>
              <w:bidi w:val="0"/>
              <w:snapToGrid w:val="0"/>
              <w:spacing w:line="42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083595F7">
            <w:pPr>
              <w:pageBreakBefore w:val="0"/>
              <w:kinsoku/>
              <w:wordWrap/>
              <w:overflowPunct/>
              <w:topLinePunct w:val="0"/>
              <w:autoSpaceDE/>
              <w:autoSpaceDN/>
              <w:bidi w:val="0"/>
              <w:snapToGrid w:val="0"/>
              <w:spacing w:line="42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备份响应文件</w:t>
            </w:r>
          </w:p>
        </w:tc>
        <w:tc>
          <w:tcPr>
            <w:tcW w:w="6225" w:type="dxa"/>
            <w:tcBorders>
              <w:top w:val="single" w:color="000000" w:sz="8" w:space="0"/>
              <w:left w:val="single" w:color="000000" w:sz="2" w:space="0"/>
              <w:bottom w:val="single" w:color="000000" w:sz="8" w:space="0"/>
              <w:right w:val="single" w:color="000000" w:sz="8" w:space="0"/>
            </w:tcBorders>
            <w:vAlign w:val="center"/>
          </w:tcPr>
          <w:p w14:paraId="54FF72E7">
            <w:pPr>
              <w:pStyle w:val="32"/>
              <w:pageBreakBefore w:val="0"/>
              <w:kinsoku/>
              <w:wordWrap/>
              <w:overflowPunct/>
              <w:topLinePunct w:val="0"/>
              <w:autoSpaceDE/>
              <w:autoSpaceDN/>
              <w:bidi w:val="0"/>
              <w:spacing w:line="420" w:lineRule="exact"/>
              <w:ind w:hanging="4"/>
              <w:textAlignment w:val="auto"/>
              <w:rPr>
                <w:rFonts w:hint="eastAsia" w:ascii="仿宋" w:hAnsi="仿宋" w:eastAsia="仿宋" w:cs="仿宋"/>
                <w:color w:val="auto"/>
                <w:kern w:val="28"/>
                <w:sz w:val="24"/>
                <w:highlight w:val="none"/>
              </w:rPr>
            </w:pPr>
            <w:r>
              <w:rPr>
                <w:rFonts w:hint="eastAsia" w:ascii="仿宋" w:hAnsi="仿宋" w:eastAsia="仿宋" w:cs="仿宋"/>
                <w:color w:val="auto"/>
                <w:kern w:val="28"/>
                <w:sz w:val="24"/>
                <w:szCs w:val="24"/>
                <w:highlight w:val="none"/>
              </w:rPr>
              <w:t>备份文件是否收取：不收取。</w:t>
            </w:r>
          </w:p>
        </w:tc>
      </w:tr>
      <w:tr w14:paraId="5DCA55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17890247">
            <w:pPr>
              <w:pageBreakBefore w:val="0"/>
              <w:kinsoku/>
              <w:wordWrap/>
              <w:overflowPunct/>
              <w:topLinePunct w:val="0"/>
              <w:autoSpaceDE/>
              <w:autoSpaceDN/>
              <w:bidi w:val="0"/>
              <w:snapToGrid w:val="0"/>
              <w:spacing w:line="42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3852F781">
            <w:pPr>
              <w:pageBreakBefore w:val="0"/>
              <w:kinsoku/>
              <w:wordWrap/>
              <w:overflowPunct/>
              <w:topLinePunct w:val="0"/>
              <w:autoSpaceDE/>
              <w:autoSpaceDN/>
              <w:bidi w:val="0"/>
              <w:snapToGrid w:val="0"/>
              <w:spacing w:line="42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采购机构代理费用</w:t>
            </w:r>
          </w:p>
        </w:tc>
        <w:tc>
          <w:tcPr>
            <w:tcW w:w="6225" w:type="dxa"/>
            <w:tcBorders>
              <w:top w:val="single" w:color="000000" w:sz="8" w:space="0"/>
              <w:left w:val="single" w:color="000000" w:sz="2" w:space="0"/>
              <w:bottom w:val="single" w:color="000000" w:sz="8" w:space="0"/>
              <w:right w:val="single" w:color="000000" w:sz="8" w:space="0"/>
            </w:tcBorders>
            <w:vAlign w:val="center"/>
          </w:tcPr>
          <w:p w14:paraId="25BCDA80">
            <w:pPr>
              <w:pageBreakBefore w:val="0"/>
              <w:widowControl/>
              <w:kinsoku/>
              <w:wordWrap/>
              <w:overflowPunct/>
              <w:topLinePunct w:val="0"/>
              <w:autoSpaceDE/>
              <w:autoSpaceDN/>
              <w:bidi w:val="0"/>
              <w:spacing w:line="420" w:lineRule="exact"/>
              <w:jc w:val="left"/>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由</w:t>
            </w:r>
            <w:r>
              <w:rPr>
                <w:rFonts w:hint="eastAsia" w:ascii="仿宋" w:hAnsi="仿宋" w:eastAsia="仿宋" w:cs="仿宋"/>
                <w:color w:val="auto"/>
                <w:sz w:val="24"/>
                <w:highlight w:val="none"/>
                <w:lang w:val="en-US" w:eastAsia="zh-CN"/>
              </w:rPr>
              <w:t>成交人</w:t>
            </w:r>
            <w:r>
              <w:rPr>
                <w:rFonts w:hint="eastAsia" w:ascii="仿宋" w:hAnsi="仿宋" w:eastAsia="仿宋" w:cs="仿宋"/>
                <w:color w:val="auto"/>
                <w:sz w:val="24"/>
                <w:highlight w:val="none"/>
              </w:rPr>
              <w:t>支付，根据《关于印发招标代理服务收费管理暂行办法的通知》（计价格[2002]1980号）文件规定的收费标准</w:t>
            </w:r>
            <w:r>
              <w:rPr>
                <w:rFonts w:hint="eastAsia" w:ascii="仿宋" w:hAnsi="仿宋" w:eastAsia="仿宋" w:cs="仿宋"/>
                <w:color w:val="auto"/>
                <w:sz w:val="24"/>
                <w:highlight w:val="none"/>
                <w:lang w:val="en-US" w:eastAsia="zh-CN"/>
              </w:rPr>
              <w:t>60%</w:t>
            </w:r>
            <w:r>
              <w:rPr>
                <w:rFonts w:hint="eastAsia" w:ascii="仿宋" w:hAnsi="仿宋" w:eastAsia="仿宋" w:cs="仿宋"/>
                <w:color w:val="auto"/>
                <w:sz w:val="24"/>
                <w:highlight w:val="none"/>
              </w:rPr>
              <w:t>计取。</w:t>
            </w:r>
          </w:p>
        </w:tc>
      </w:tr>
      <w:tr w14:paraId="35039B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1"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69E55357">
            <w:pPr>
              <w:pageBreakBefore w:val="0"/>
              <w:kinsoku/>
              <w:wordWrap/>
              <w:overflowPunct/>
              <w:topLinePunct w:val="0"/>
              <w:autoSpaceDE/>
              <w:autoSpaceDN/>
              <w:bidi w:val="0"/>
              <w:snapToGrid w:val="0"/>
              <w:spacing w:line="420" w:lineRule="exact"/>
              <w:jc w:val="center"/>
              <w:textAlignment w:val="auto"/>
              <w:rPr>
                <w:rFonts w:hint="eastAsia" w:ascii="仿宋" w:hAnsi="仿宋" w:eastAsia="仿宋" w:cs="仿宋"/>
                <w:color w:val="auto"/>
                <w:sz w:val="24"/>
                <w:highlight w:val="none"/>
              </w:rPr>
            </w:pPr>
            <w:r>
              <w:rPr>
                <w:rFonts w:hint="eastAsia" w:ascii="仿宋" w:hAnsi="仿宋" w:eastAsia="仿宋" w:cs="仿宋"/>
                <w:bCs/>
                <w:color w:val="auto"/>
                <w:sz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126F4E3F">
            <w:pPr>
              <w:pageBreakBefore w:val="0"/>
              <w:kinsoku/>
              <w:wordWrap/>
              <w:overflowPunct/>
              <w:topLinePunct w:val="0"/>
              <w:autoSpaceDE/>
              <w:autoSpaceDN/>
              <w:bidi w:val="0"/>
              <w:snapToGrid w:val="0"/>
              <w:spacing w:line="42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交易保证金</w:t>
            </w:r>
          </w:p>
        </w:tc>
        <w:tc>
          <w:tcPr>
            <w:tcW w:w="6225" w:type="dxa"/>
            <w:tcBorders>
              <w:top w:val="single" w:color="000000" w:sz="8" w:space="0"/>
              <w:left w:val="single" w:color="000000" w:sz="2" w:space="0"/>
              <w:bottom w:val="single" w:color="000000" w:sz="8" w:space="0"/>
              <w:right w:val="single" w:color="000000" w:sz="8" w:space="0"/>
            </w:tcBorders>
            <w:vAlign w:val="center"/>
          </w:tcPr>
          <w:p w14:paraId="03C8C57D">
            <w:pPr>
              <w:pageBreakBefore w:val="0"/>
              <w:widowControl/>
              <w:kinsoku/>
              <w:wordWrap/>
              <w:overflowPunct/>
              <w:topLinePunct w:val="0"/>
              <w:autoSpaceDE/>
              <w:autoSpaceDN/>
              <w:bidi w:val="0"/>
              <w:spacing w:line="420" w:lineRule="exact"/>
              <w:jc w:val="left"/>
              <w:textAlignment w:val="auto"/>
              <w:rPr>
                <w:rFonts w:hint="eastAsia" w:ascii="仿宋" w:hAnsi="仿宋" w:eastAsia="仿宋" w:cs="仿宋"/>
                <w:b/>
                <w:color w:val="auto"/>
                <w:sz w:val="24"/>
                <w:highlight w:val="none"/>
              </w:rPr>
            </w:pPr>
            <w:r>
              <w:rPr>
                <w:rFonts w:hint="eastAsia" w:ascii="仿宋" w:hAnsi="仿宋" w:eastAsia="仿宋" w:cs="仿宋"/>
                <w:snapToGrid w:val="0"/>
                <w:color w:val="auto"/>
                <w:kern w:val="28"/>
                <w:sz w:val="24"/>
                <w:highlight w:val="none"/>
              </w:rPr>
              <w:t>不收取</w:t>
            </w:r>
          </w:p>
        </w:tc>
      </w:tr>
      <w:tr w14:paraId="3B2E7A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6AE4F02F">
            <w:pPr>
              <w:pageBreakBefore w:val="0"/>
              <w:kinsoku/>
              <w:wordWrap/>
              <w:overflowPunct/>
              <w:topLinePunct w:val="0"/>
              <w:autoSpaceDE/>
              <w:autoSpaceDN/>
              <w:bidi w:val="0"/>
              <w:snapToGrid w:val="0"/>
              <w:spacing w:line="420" w:lineRule="exact"/>
              <w:jc w:val="center"/>
              <w:textAlignment w:val="auto"/>
              <w:rPr>
                <w:rFonts w:hint="eastAsia" w:ascii="仿宋" w:hAnsi="仿宋" w:eastAsia="仿宋" w:cs="仿宋"/>
                <w:b/>
                <w:color w:val="auto"/>
                <w:sz w:val="24"/>
                <w:highlight w:val="none"/>
              </w:rPr>
            </w:pPr>
            <w:r>
              <w:rPr>
                <w:rFonts w:hint="eastAsia" w:ascii="仿宋" w:hAnsi="仿宋" w:eastAsia="仿宋" w:cs="仿宋"/>
                <w:bCs/>
                <w:color w:val="auto"/>
                <w:sz w:val="24"/>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438C3E2D">
            <w:pPr>
              <w:pageBreakBefore w:val="0"/>
              <w:kinsoku/>
              <w:wordWrap/>
              <w:overflowPunct/>
              <w:topLinePunct w:val="0"/>
              <w:autoSpaceDE/>
              <w:autoSpaceDN/>
              <w:bidi w:val="0"/>
              <w:snapToGrid w:val="0"/>
              <w:spacing w:line="42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履约保证金</w:t>
            </w:r>
          </w:p>
        </w:tc>
        <w:tc>
          <w:tcPr>
            <w:tcW w:w="6225" w:type="dxa"/>
            <w:tcBorders>
              <w:top w:val="single" w:color="000000" w:sz="8" w:space="0"/>
              <w:left w:val="single" w:color="000000" w:sz="2" w:space="0"/>
              <w:bottom w:val="single" w:color="000000" w:sz="8" w:space="0"/>
              <w:right w:val="single" w:color="000000" w:sz="8" w:space="0"/>
            </w:tcBorders>
            <w:vAlign w:val="center"/>
          </w:tcPr>
          <w:p w14:paraId="377910C8">
            <w:pPr>
              <w:pageBreakBefore w:val="0"/>
              <w:kinsoku/>
              <w:wordWrap/>
              <w:overflowPunct/>
              <w:topLinePunct w:val="0"/>
              <w:autoSpaceDE/>
              <w:autoSpaceDN/>
              <w:bidi w:val="0"/>
              <w:spacing w:line="420" w:lineRule="exact"/>
              <w:textAlignment w:val="auto"/>
              <w:rPr>
                <w:rFonts w:hint="eastAsia" w:ascii="仿宋" w:hAnsi="仿宋" w:eastAsia="仿宋" w:cs="仿宋"/>
                <w:color w:val="auto"/>
                <w:highlight w:val="none"/>
              </w:rPr>
            </w:pPr>
            <w:r>
              <w:rPr>
                <w:rFonts w:hint="eastAsia" w:ascii="仿宋" w:hAnsi="仿宋" w:eastAsia="仿宋" w:cs="仿宋"/>
                <w:snapToGrid w:val="0"/>
                <w:color w:val="auto"/>
                <w:kern w:val="28"/>
                <w:sz w:val="24"/>
                <w:highlight w:val="none"/>
              </w:rPr>
              <w:t>履约保证金：收取1%，合同签订后支付，履约完成后无息退还。</w:t>
            </w:r>
          </w:p>
        </w:tc>
      </w:tr>
      <w:tr w14:paraId="2DFD21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1"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44FE22B6">
            <w:pPr>
              <w:pageBreakBefore w:val="0"/>
              <w:kinsoku/>
              <w:wordWrap/>
              <w:overflowPunct/>
              <w:topLinePunct w:val="0"/>
              <w:autoSpaceDE/>
              <w:autoSpaceDN/>
              <w:bidi w:val="0"/>
              <w:snapToGrid w:val="0"/>
              <w:spacing w:line="420" w:lineRule="exact"/>
              <w:jc w:val="center"/>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565D683E">
            <w:pPr>
              <w:pageBreakBefore w:val="0"/>
              <w:kinsoku/>
              <w:wordWrap/>
              <w:overflowPunct/>
              <w:topLinePunct w:val="0"/>
              <w:autoSpaceDE/>
              <w:autoSpaceDN/>
              <w:bidi w:val="0"/>
              <w:snapToGrid w:val="0"/>
              <w:spacing w:line="42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资格审查</w:t>
            </w:r>
          </w:p>
        </w:tc>
        <w:tc>
          <w:tcPr>
            <w:tcW w:w="6225" w:type="dxa"/>
            <w:tcBorders>
              <w:top w:val="single" w:color="000000" w:sz="8" w:space="0"/>
              <w:left w:val="single" w:color="000000" w:sz="2" w:space="0"/>
              <w:bottom w:val="single" w:color="000000" w:sz="8" w:space="0"/>
              <w:right w:val="single" w:color="000000" w:sz="8" w:space="0"/>
            </w:tcBorders>
            <w:vAlign w:val="center"/>
          </w:tcPr>
          <w:p w14:paraId="37CC0B94">
            <w:pPr>
              <w:pStyle w:val="32"/>
              <w:pageBreakBefore w:val="0"/>
              <w:kinsoku/>
              <w:wordWrap/>
              <w:overflowPunct/>
              <w:topLinePunct w:val="0"/>
              <w:autoSpaceDE/>
              <w:autoSpaceDN/>
              <w:bidi w:val="0"/>
              <w:spacing w:line="420" w:lineRule="exact"/>
              <w:ind w:hanging="4"/>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本项目由评审小组进行资格文件审查。</w:t>
            </w:r>
          </w:p>
        </w:tc>
      </w:tr>
      <w:tr w14:paraId="0409E4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779833F6">
            <w:pPr>
              <w:pageBreakBefore w:val="0"/>
              <w:kinsoku/>
              <w:wordWrap/>
              <w:overflowPunct/>
              <w:topLinePunct w:val="0"/>
              <w:autoSpaceDE/>
              <w:autoSpaceDN/>
              <w:bidi w:val="0"/>
              <w:snapToGrid w:val="0"/>
              <w:spacing w:line="420" w:lineRule="exact"/>
              <w:jc w:val="center"/>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17</w:t>
            </w:r>
          </w:p>
        </w:tc>
        <w:tc>
          <w:tcPr>
            <w:tcW w:w="1843" w:type="dxa"/>
            <w:tcBorders>
              <w:top w:val="single" w:color="000000" w:sz="8" w:space="0"/>
              <w:left w:val="single" w:color="000000" w:sz="2" w:space="0"/>
              <w:bottom w:val="single" w:color="000000" w:sz="8" w:space="0"/>
              <w:right w:val="single" w:color="000000" w:sz="8" w:space="0"/>
            </w:tcBorders>
            <w:vAlign w:val="center"/>
          </w:tcPr>
          <w:p w14:paraId="1C815781">
            <w:pPr>
              <w:pageBreakBefore w:val="0"/>
              <w:kinsoku/>
              <w:wordWrap/>
              <w:overflowPunct/>
              <w:topLinePunct w:val="0"/>
              <w:autoSpaceDE/>
              <w:autoSpaceDN/>
              <w:bidi w:val="0"/>
              <w:snapToGrid w:val="0"/>
              <w:spacing w:line="42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质疑接收人及答复</w:t>
            </w:r>
          </w:p>
        </w:tc>
        <w:tc>
          <w:tcPr>
            <w:tcW w:w="6225" w:type="dxa"/>
            <w:tcBorders>
              <w:top w:val="single" w:color="000000" w:sz="8" w:space="0"/>
              <w:left w:val="single" w:color="000000" w:sz="2" w:space="0"/>
              <w:bottom w:val="single" w:color="000000" w:sz="8" w:space="0"/>
              <w:right w:val="single" w:color="000000" w:sz="8" w:space="0"/>
            </w:tcBorders>
            <w:vAlign w:val="center"/>
          </w:tcPr>
          <w:p w14:paraId="082DA3E1">
            <w:pPr>
              <w:pStyle w:val="32"/>
              <w:pageBreakBefore w:val="0"/>
              <w:kinsoku/>
              <w:wordWrap/>
              <w:overflowPunct/>
              <w:topLinePunct w:val="0"/>
              <w:autoSpaceDE/>
              <w:autoSpaceDN/>
              <w:bidi w:val="0"/>
              <w:spacing w:line="420" w:lineRule="exact"/>
              <w:ind w:hanging="4"/>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采购人、采购机构质疑接收人、联系方式：详见公告</w:t>
            </w:r>
          </w:p>
          <w:p w14:paraId="24E8CBDB">
            <w:pPr>
              <w:pStyle w:val="32"/>
              <w:pageBreakBefore w:val="0"/>
              <w:kinsoku/>
              <w:wordWrap/>
              <w:overflowPunct/>
              <w:topLinePunct w:val="0"/>
              <w:autoSpaceDE/>
              <w:autoSpaceDN/>
              <w:bidi w:val="0"/>
              <w:spacing w:line="420" w:lineRule="exact"/>
              <w:ind w:hanging="4"/>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线上提交质疑方式：乐采云(萧采云)线上质疑路径：项目采购-询问质疑投诉-质疑列表。请使用ca签章在每一页质疑文件中加盖电子公章，上传完整附件。</w:t>
            </w:r>
          </w:p>
          <w:p w14:paraId="0DF98FDA">
            <w:pPr>
              <w:pStyle w:val="32"/>
              <w:pageBreakBefore w:val="0"/>
              <w:kinsoku/>
              <w:wordWrap/>
              <w:overflowPunct/>
              <w:topLinePunct w:val="0"/>
              <w:autoSpaceDE/>
              <w:autoSpaceDN/>
              <w:bidi w:val="0"/>
              <w:spacing w:line="420" w:lineRule="exact"/>
              <w:ind w:hanging="4"/>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本项目涉及资格条件、采购需求、评分办法及采购过程中有关现场考察或开标前答疑会等事项由采购人进行答复。</w:t>
            </w:r>
          </w:p>
          <w:p w14:paraId="52D7CA72">
            <w:pPr>
              <w:pStyle w:val="32"/>
              <w:pageBreakBefore w:val="0"/>
              <w:kinsoku/>
              <w:wordWrap/>
              <w:overflowPunct/>
              <w:topLinePunct w:val="0"/>
              <w:autoSpaceDE/>
              <w:autoSpaceDN/>
              <w:bidi w:val="0"/>
              <w:spacing w:line="420" w:lineRule="exact"/>
              <w:ind w:hanging="4"/>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涉及流程规范性、组织程序等相关事项，由采购机构进行答复。</w:t>
            </w:r>
          </w:p>
        </w:tc>
      </w:tr>
      <w:tr w14:paraId="42BE17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682AA022">
            <w:pPr>
              <w:pageBreakBefore w:val="0"/>
              <w:kinsoku/>
              <w:wordWrap/>
              <w:overflowPunct/>
              <w:topLinePunct w:val="0"/>
              <w:autoSpaceDE/>
              <w:autoSpaceDN/>
              <w:bidi w:val="0"/>
              <w:snapToGrid w:val="0"/>
              <w:spacing w:line="42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18</w:t>
            </w:r>
          </w:p>
        </w:tc>
        <w:tc>
          <w:tcPr>
            <w:tcW w:w="1843" w:type="dxa"/>
            <w:tcBorders>
              <w:top w:val="single" w:color="000000" w:sz="8" w:space="0"/>
              <w:left w:val="single" w:color="000000" w:sz="2" w:space="0"/>
              <w:bottom w:val="single" w:color="000000" w:sz="8" w:space="0"/>
              <w:right w:val="single" w:color="000000" w:sz="8" w:space="0"/>
            </w:tcBorders>
            <w:vAlign w:val="center"/>
          </w:tcPr>
          <w:p w14:paraId="7506C775">
            <w:pPr>
              <w:pageBreakBefore w:val="0"/>
              <w:kinsoku/>
              <w:wordWrap/>
              <w:overflowPunct/>
              <w:topLinePunct w:val="0"/>
              <w:autoSpaceDE/>
              <w:autoSpaceDN/>
              <w:bidi w:val="0"/>
              <w:snapToGrid w:val="0"/>
              <w:spacing w:line="42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225" w:type="dxa"/>
            <w:tcBorders>
              <w:top w:val="single" w:color="000000" w:sz="8" w:space="0"/>
              <w:left w:val="single" w:color="000000" w:sz="2" w:space="0"/>
              <w:bottom w:val="single" w:color="000000" w:sz="8" w:space="0"/>
              <w:right w:val="single" w:color="000000" w:sz="8" w:space="0"/>
            </w:tcBorders>
            <w:vAlign w:val="center"/>
          </w:tcPr>
          <w:p w14:paraId="13661292">
            <w:pPr>
              <w:pageBreakBefore w:val="0"/>
              <w:shd w:val="clear" w:color="auto" w:fill="auto"/>
              <w:kinsoku/>
              <w:wordWrap/>
              <w:overflowPunct/>
              <w:topLinePunct w:val="0"/>
              <w:autoSpaceDE/>
              <w:autoSpaceDN/>
              <w:bidi w:val="0"/>
              <w:spacing w:line="420" w:lineRule="exact"/>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如发现交易文件中存在含糊不清、相互矛盾、多种含义及歧视性不公正条款或违法违规等内容时，请在规定时间内同时向采购人、代理机构书面提出异议，逾期不得再对交易文件的条款提出质疑。如在交易现场发现交易文件中发现上述问题并影响评审的，由采购人现场给予澄清，并经评审委员会、所有参会响应人一致同意后，按澄清后的内容继续进行评审。</w:t>
            </w:r>
          </w:p>
          <w:p w14:paraId="261CDA36">
            <w:pPr>
              <w:pageBreakBefore w:val="0"/>
              <w:kinsoku/>
              <w:wordWrap/>
              <w:overflowPunct/>
              <w:topLinePunct w:val="0"/>
              <w:autoSpaceDE/>
              <w:autoSpaceDN/>
              <w:bidi w:val="0"/>
              <w:spacing w:line="420" w:lineRule="exact"/>
              <w:ind w:firstLine="482" w:firstLineChars="200"/>
              <w:textAlignment w:val="auto"/>
              <w:rPr>
                <w:rFonts w:hint="eastAsia" w:ascii="仿宋" w:hAnsi="仿宋" w:eastAsia="仿宋" w:cs="仿宋"/>
                <w:snapToGrid w:val="0"/>
                <w:color w:val="auto"/>
                <w:kern w:val="28"/>
                <w:sz w:val="24"/>
                <w:highlight w:val="none"/>
              </w:rPr>
            </w:pP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rPr>
              <w:t>本项目通用总则条款与前附表等专用特别规定有冲突之处，以专用条款（特别规定）为准</w:t>
            </w:r>
          </w:p>
        </w:tc>
      </w:tr>
    </w:tbl>
    <w:p w14:paraId="424EFC13">
      <w:pPr>
        <w:snapToGrid w:val="0"/>
        <w:spacing w:line="360" w:lineRule="auto"/>
        <w:jc w:val="center"/>
        <w:rPr>
          <w:rFonts w:hint="eastAsia" w:ascii="仿宋" w:hAnsi="仿宋" w:eastAsia="仿宋" w:cs="仿宋"/>
          <w:b/>
          <w:color w:val="auto"/>
          <w:sz w:val="32"/>
          <w:szCs w:val="20"/>
          <w:highlight w:val="none"/>
        </w:rPr>
      </w:pPr>
    </w:p>
    <w:bookmarkEnd w:id="10"/>
    <w:p w14:paraId="19C72D74">
      <w:pPr>
        <w:rPr>
          <w:rFonts w:hint="eastAsia" w:ascii="仿宋" w:hAnsi="仿宋" w:eastAsia="仿宋" w:cs="仿宋"/>
          <w:b/>
          <w:color w:val="auto"/>
          <w:sz w:val="32"/>
          <w:szCs w:val="20"/>
          <w:highlight w:val="none"/>
        </w:rPr>
      </w:pPr>
      <w:bookmarkStart w:id="14" w:name="_Toc164416483"/>
      <w:bookmarkStart w:id="15" w:name="第三部分"/>
      <w:r>
        <w:rPr>
          <w:rFonts w:hint="eastAsia" w:ascii="仿宋" w:hAnsi="仿宋" w:eastAsia="仿宋" w:cs="仿宋"/>
          <w:b/>
          <w:color w:val="auto"/>
          <w:sz w:val="32"/>
          <w:szCs w:val="20"/>
          <w:highlight w:val="none"/>
        </w:rPr>
        <w:br w:type="page"/>
      </w:r>
    </w:p>
    <w:p w14:paraId="7641E05C">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044826A5">
      <w:pPr>
        <w:snapToGrid w:val="0"/>
        <w:spacing w:line="360" w:lineRule="auto"/>
        <w:ind w:firstLine="482" w:firstLineChars="20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0B6775FF">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本交易文件适用于该项目的交易、资格审查及信用信息查询、评审、定标、合同、验收等行为（法律、法规另有规定的，从其规定）。</w:t>
      </w:r>
    </w:p>
    <w:p w14:paraId="32FD2B95">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2.定义</w:t>
      </w:r>
    </w:p>
    <w:p w14:paraId="47467A2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“采购人”系指交易公告中载明的本项目的采购人。</w:t>
      </w:r>
    </w:p>
    <w:p w14:paraId="5A5EC5B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“采购机构”系指交易公告中载明的本项目的采购机构。</w:t>
      </w:r>
    </w:p>
    <w:p w14:paraId="62BC63C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”系指是指响应交易、参加交易竞争的法人、其他组织或者自然人。</w:t>
      </w:r>
    </w:p>
    <w:p w14:paraId="3CDF212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59D32D2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电子签名指</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电子公章；“公章”系指单位法定名称章。因特殊原因需要使用冠以法定名称的业务专用章的，交易时须提供《业务专用章使用说明函》（附件3）。</w:t>
      </w:r>
    </w:p>
    <w:p w14:paraId="7A23CE8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2.6“电子交易平台”是指本项目采购活动所依托的政府采购云平台（</w:t>
      </w:r>
      <w:r>
        <w:rPr>
          <w:rFonts w:hint="eastAsia" w:ascii="仿宋" w:hAnsi="仿宋" w:eastAsia="仿宋" w:cs="仿宋"/>
          <w:color w:val="auto"/>
          <w:sz w:val="24"/>
          <w:highlight w:val="none"/>
          <w:lang w:eastAsia="zh-CN"/>
        </w:rPr>
        <w:t>www.lecaiyun.com</w:t>
      </w:r>
      <w:r>
        <w:rPr>
          <w:rFonts w:hint="eastAsia" w:ascii="仿宋" w:hAnsi="仿宋" w:eastAsia="仿宋" w:cs="仿宋"/>
          <w:color w:val="auto"/>
          <w:sz w:val="24"/>
          <w:highlight w:val="none"/>
        </w:rPr>
        <w:t>）。</w:t>
      </w:r>
    </w:p>
    <w:p w14:paraId="51E3C70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 系指适用本项目的要求，“（  ）”系指不适用本项目的要求。</w:t>
      </w:r>
    </w:p>
    <w:p w14:paraId="3ED7EFDC">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 询问、质疑、投诉</w:t>
      </w:r>
    </w:p>
    <w:p w14:paraId="483D4D7F">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.1响应人询问</w:t>
      </w:r>
    </w:p>
    <w:p w14:paraId="674FB332">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响应人对采购活动事项有疑问的，可以提出询问，采购人或者采购代理机构应当在3个工作日内对响应人依法提出的询问作出答复，但答复的内容不得涉及商业秘密。响应人提出的询问超出采购人对采购代理机构委托授权范围的，采购代理机构应当告知响应人向采购人提出。</w:t>
      </w:r>
    </w:p>
    <w:p w14:paraId="7935B55F">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.2响应人质疑</w:t>
      </w:r>
    </w:p>
    <w:p w14:paraId="01B93322">
      <w:pPr>
        <w:pStyle w:val="32"/>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.2</w:t>
      </w:r>
      <w:r>
        <w:rPr>
          <w:rFonts w:hint="eastAsia" w:ascii="仿宋" w:hAnsi="仿宋" w:eastAsia="仿宋" w:cs="仿宋"/>
          <w:color w:val="auto"/>
          <w:sz w:val="24"/>
          <w:highlight w:val="none"/>
        </w:rPr>
        <w:t>.1提出质疑的</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应当是参与所质疑项目采购活动的</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。潜在</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已依法获取其可质疑的交易文件的，可以对该文件提出质疑。</w:t>
      </w:r>
    </w:p>
    <w:p w14:paraId="38CC5C7B">
      <w:pPr>
        <w:pStyle w:val="32"/>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.2</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认为交易文件、采购过程和成交结果使自己的权益受到损害的，可以在知道或者应知其权益受到损害之日起3日内，以书面形式向采购人或者采购机构提出质疑，否则，采购人或者采购机构不予受理：</w:t>
      </w:r>
    </w:p>
    <w:p w14:paraId="6390BF92">
      <w:pPr>
        <w:pStyle w:val="15"/>
        <w:spacing w:line="360" w:lineRule="auto"/>
        <w:ind w:firstLine="480" w:firstLineChars="200"/>
        <w:rPr>
          <w:rFonts w:hint="eastAsia" w:ascii="仿宋" w:hAnsi="仿宋" w:eastAsia="仿宋" w:cs="仿宋"/>
          <w:color w:val="auto"/>
          <w:kern w:val="2"/>
          <w:sz w:val="24"/>
          <w:highlight w:val="none"/>
        </w:rPr>
      </w:pPr>
      <w:r>
        <w:rPr>
          <w:rFonts w:hint="eastAsia" w:ascii="仿宋" w:hAnsi="仿宋" w:eastAsia="仿宋" w:cs="仿宋"/>
          <w:color w:val="auto"/>
          <w:kern w:val="2"/>
          <w:sz w:val="24"/>
          <w:highlight w:val="none"/>
        </w:rPr>
        <w:t>3.2.2.1对交易文件提出质疑的，质疑期限为</w:t>
      </w:r>
      <w:r>
        <w:rPr>
          <w:rFonts w:hint="eastAsia" w:ascii="仿宋" w:hAnsi="仿宋" w:eastAsia="仿宋" w:cs="仿宋"/>
          <w:color w:val="auto"/>
          <w:kern w:val="2"/>
          <w:sz w:val="24"/>
          <w:highlight w:val="none"/>
          <w:lang w:eastAsia="zh-CN"/>
        </w:rPr>
        <w:t>响应人</w:t>
      </w:r>
      <w:r>
        <w:rPr>
          <w:rFonts w:hint="eastAsia" w:ascii="仿宋" w:hAnsi="仿宋" w:eastAsia="仿宋" w:cs="仿宋"/>
          <w:color w:val="auto"/>
          <w:kern w:val="2"/>
          <w:sz w:val="24"/>
          <w:highlight w:val="none"/>
        </w:rPr>
        <w:t>获得交易文件之日或者交易文件公告期限届满之日起计算。</w:t>
      </w:r>
    </w:p>
    <w:p w14:paraId="773D053B">
      <w:pPr>
        <w:pStyle w:val="32"/>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3.2.2.2对采购过程提出质疑的，质疑期限为各采购程序环节结束之日起计算。对同一采购程序环节的质疑，</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须一次性提出。</w:t>
      </w:r>
    </w:p>
    <w:p w14:paraId="6F7BCE48">
      <w:pPr>
        <w:pStyle w:val="32"/>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3.2.2.3对采购结果提出质疑的，质疑期限自采购结果公告期限届满之日起计算。</w:t>
      </w:r>
    </w:p>
    <w:p w14:paraId="368F0A8C">
      <w:pPr>
        <w:pStyle w:val="3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3.2.3</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提出质疑应当提交质疑函和必要的证明材料。质疑函应当包括下列内容：</w:t>
      </w:r>
    </w:p>
    <w:p w14:paraId="3A2EFA36">
      <w:pPr>
        <w:pStyle w:val="3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3.2.3.1响应人的姓名或者名称、地址、邮编、联系人及联系电话；</w:t>
      </w:r>
    </w:p>
    <w:p w14:paraId="4886D2C7">
      <w:pPr>
        <w:pStyle w:val="3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3.2.3.2质疑项目的名称、编号；</w:t>
      </w:r>
    </w:p>
    <w:p w14:paraId="114E70F4">
      <w:pPr>
        <w:pStyle w:val="3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3.2.3.3具体、明确的质疑事项和与质疑事项相关的请求；</w:t>
      </w:r>
    </w:p>
    <w:p w14:paraId="1F8E0D07">
      <w:pPr>
        <w:pStyle w:val="3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3.2.3.4事实依据；</w:t>
      </w:r>
    </w:p>
    <w:p w14:paraId="05312088">
      <w:pPr>
        <w:pStyle w:val="3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3.2.3.5必要的法律依据；</w:t>
      </w:r>
    </w:p>
    <w:p w14:paraId="0EACD03D">
      <w:pPr>
        <w:pStyle w:val="32"/>
        <w:spacing w:line="360" w:lineRule="auto"/>
        <w:ind w:firstLine="960" w:firstLineChars="4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3.2.3.6提出质疑的日期。</w:t>
      </w:r>
    </w:p>
    <w:p w14:paraId="111CAE32">
      <w:pPr>
        <w:pStyle w:val="889"/>
        <w:shd w:val="clear" w:color="auto" w:fill="FFFFFF"/>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提交的质疑函需一式三份。</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为自然人的，应当由本人签字；</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为法人或者其他组织的，应当由法定代表人、主要负责人，或者其授权代表签字或者盖章，并加盖公章。</w:t>
      </w:r>
    </w:p>
    <w:p w14:paraId="55806C22">
      <w:pPr>
        <w:pStyle w:val="889"/>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670B3EFD">
      <w:pPr>
        <w:pStyle w:val="889"/>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3.2</w:t>
      </w:r>
      <w:r>
        <w:rPr>
          <w:rFonts w:hint="eastAsia" w:ascii="仿宋" w:hAnsi="仿宋" w:eastAsia="仿宋" w:cs="仿宋"/>
          <w:color w:val="auto"/>
          <w:highlight w:val="none"/>
        </w:rPr>
        <w:t>.4采购人或者采购机构应当在收到</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的书面质疑后2日内作出答复，并以书面形式通知质疑</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和其他与质疑处理结果有利害关系的采购当事人，但答复的内容不得涉及商业秘密。</w:t>
      </w:r>
    </w:p>
    <w:p w14:paraId="68C5551D">
      <w:pPr>
        <w:pStyle w:val="889"/>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3.2</w:t>
      </w:r>
      <w:r>
        <w:rPr>
          <w:rFonts w:hint="eastAsia" w:ascii="仿宋" w:hAnsi="仿宋" w:eastAsia="仿宋" w:cs="仿宋"/>
          <w:color w:val="auto"/>
          <w:highlight w:val="none"/>
        </w:rPr>
        <w:t>.5询问或者质疑事项可能影响采购结果的，采购人应当暂停签订合同，已经签订合同的，应当中止履行合同。</w:t>
      </w:r>
    </w:p>
    <w:p w14:paraId="1AA499C4">
      <w:pPr>
        <w:pStyle w:val="889"/>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3.3响应人投诉</w:t>
      </w:r>
    </w:p>
    <w:p w14:paraId="62C2C679">
      <w:pPr>
        <w:pStyle w:val="889"/>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3.3.1质疑</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对采购人、采购机构的答复不满意或者采购人、采购机构未在规定的时间内作出答复的，可以在答复期满后十五个工作日内向</w:t>
      </w:r>
      <w:r>
        <w:rPr>
          <w:rFonts w:hint="eastAsia" w:ascii="仿宋" w:hAnsi="仿宋" w:eastAsia="仿宋" w:cs="仿宋"/>
          <w:color w:val="auto"/>
          <w:highlight w:val="none"/>
          <w:lang w:val="en-US" w:eastAsia="zh-CN"/>
        </w:rPr>
        <w:t>上级</w:t>
      </w:r>
      <w:r>
        <w:rPr>
          <w:rFonts w:hint="eastAsia" w:ascii="仿宋" w:hAnsi="仿宋" w:eastAsia="仿宋" w:cs="仿宋"/>
          <w:color w:val="auto"/>
          <w:highlight w:val="none"/>
        </w:rPr>
        <w:t>管理部门提出投诉。</w:t>
      </w:r>
    </w:p>
    <w:p w14:paraId="39555DBF">
      <w:pPr>
        <w:pStyle w:val="889"/>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3.3.</w:t>
      </w:r>
      <w:r>
        <w:rPr>
          <w:rFonts w:hint="eastAsia" w:ascii="仿宋" w:hAnsi="仿宋" w:eastAsia="仿宋" w:cs="仿宋"/>
          <w:color w:val="auto"/>
          <w:highlight w:val="none"/>
          <w:lang w:val="zh-CN"/>
        </w:rPr>
        <w:t>2</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投诉的事项不得超出已质疑事项的范围，基于质疑答复内容提出的投诉事项除外。</w:t>
      </w:r>
    </w:p>
    <w:p w14:paraId="08A25A2F">
      <w:pPr>
        <w:pStyle w:val="889"/>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3.3.3</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投诉应当有明确的请求和必要的证明材料。</w:t>
      </w:r>
    </w:p>
    <w:p w14:paraId="59BA371C">
      <w:pPr>
        <w:pStyle w:val="131"/>
        <w:snapToGrid w:val="0"/>
        <w:spacing w:before="0"/>
        <w:ind w:firstLine="360"/>
        <w:rPr>
          <w:rFonts w:hint="eastAsia" w:ascii="仿宋" w:hAnsi="仿宋" w:eastAsia="仿宋" w:cs="仿宋"/>
          <w:color w:val="auto"/>
          <w:sz w:val="18"/>
          <w:szCs w:val="18"/>
          <w:highlight w:val="none"/>
        </w:rPr>
      </w:pPr>
    </w:p>
    <w:p w14:paraId="1707DDC1">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二、交易文件的构成、澄清、修改</w:t>
      </w:r>
    </w:p>
    <w:p w14:paraId="5E439323">
      <w:pPr>
        <w:pStyle w:val="32"/>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4．交易文件的构成</w:t>
      </w:r>
    </w:p>
    <w:p w14:paraId="59556262">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 交易文件包括下列文件及附件：</w:t>
      </w:r>
    </w:p>
    <w:p w14:paraId="2167CCD0">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4.1.1交易公告；</w:t>
      </w:r>
    </w:p>
    <w:p w14:paraId="53FAE634">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4.1.2</w:t>
      </w:r>
      <w:r>
        <w:rPr>
          <w:rFonts w:hint="eastAsia" w:ascii="仿宋" w:hAnsi="仿宋" w:eastAsia="仿宋" w:cs="仿宋"/>
          <w:color w:val="auto"/>
          <w:sz w:val="24"/>
          <w:szCs w:val="24"/>
          <w:highlight w:val="none"/>
          <w:lang w:eastAsia="zh-CN"/>
        </w:rPr>
        <w:t>响应人</w:t>
      </w:r>
      <w:r>
        <w:rPr>
          <w:rFonts w:hint="eastAsia" w:ascii="仿宋" w:hAnsi="仿宋" w:eastAsia="仿宋" w:cs="仿宋"/>
          <w:color w:val="auto"/>
          <w:sz w:val="24"/>
          <w:szCs w:val="24"/>
          <w:highlight w:val="none"/>
        </w:rPr>
        <w:t>须知；</w:t>
      </w:r>
    </w:p>
    <w:p w14:paraId="5F10EB98">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4.1.3采购需求；</w:t>
      </w:r>
    </w:p>
    <w:p w14:paraId="05B2A315">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4.1.4评审办法；</w:t>
      </w:r>
    </w:p>
    <w:p w14:paraId="0F53D44F">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4.1.5拟签订的合同文本；</w:t>
      </w:r>
    </w:p>
    <w:p w14:paraId="5856E53D">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4.1.6</w:t>
      </w:r>
      <w:r>
        <w:rPr>
          <w:rFonts w:hint="eastAsia" w:ascii="仿宋" w:hAnsi="仿宋" w:eastAsia="仿宋" w:cs="仿宋"/>
          <w:color w:val="auto"/>
          <w:sz w:val="24"/>
          <w:szCs w:val="24"/>
          <w:highlight w:val="none"/>
        </w:rPr>
        <w:t>应提交的有关格式范例。</w:t>
      </w:r>
    </w:p>
    <w:p w14:paraId="4EF5831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4.2与本项目有关的</w:t>
      </w:r>
      <w:r>
        <w:rPr>
          <w:rFonts w:hint="eastAsia" w:ascii="仿宋" w:hAnsi="仿宋" w:eastAsia="仿宋" w:cs="仿宋"/>
          <w:bCs/>
          <w:color w:val="auto"/>
          <w:sz w:val="24"/>
          <w:highlight w:val="none"/>
        </w:rPr>
        <w:t>澄清或者修改的内容为交易文件的组成部分</w:t>
      </w:r>
      <w:r>
        <w:rPr>
          <w:rFonts w:hint="eastAsia" w:ascii="仿宋" w:hAnsi="仿宋" w:eastAsia="仿宋" w:cs="仿宋"/>
          <w:color w:val="auto"/>
          <w:sz w:val="24"/>
          <w:highlight w:val="none"/>
        </w:rPr>
        <w:t>。</w:t>
      </w:r>
    </w:p>
    <w:p w14:paraId="2303742A">
      <w:pPr>
        <w:pStyle w:val="32"/>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 交易文件的澄清、修改</w:t>
      </w:r>
    </w:p>
    <w:p w14:paraId="083F4572">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5.1已获取交易文件的潜在</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，若有问题需要澄清，应于交易截止时间前，以书面形式向采购机构提出。</w:t>
      </w:r>
    </w:p>
    <w:p w14:paraId="53581817">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5.2 采购机构对交易文件进行澄清或修改的，将同时通过电子交易平台通知已获取交易文件的潜在</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。依法应当公告的，将按规定公告，同时视情况延长交易截止时间和交易时间。该澄清或者修改的内容为交易文件的组成部分。</w:t>
      </w:r>
    </w:p>
    <w:p w14:paraId="065C8AB8">
      <w:pPr>
        <w:pStyle w:val="23"/>
        <w:rPr>
          <w:rFonts w:hint="eastAsia" w:ascii="仿宋" w:hAnsi="仿宋" w:eastAsia="仿宋" w:cs="仿宋"/>
          <w:color w:val="auto"/>
          <w:sz w:val="18"/>
          <w:szCs w:val="18"/>
          <w:highlight w:val="none"/>
          <w:lang w:val="en-US"/>
        </w:rPr>
      </w:pPr>
    </w:p>
    <w:p w14:paraId="7D9FA915">
      <w:pPr>
        <w:adjustRightInd/>
        <w:spacing w:line="360" w:lineRule="auto"/>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三、交易</w:t>
      </w:r>
    </w:p>
    <w:p w14:paraId="424BD716">
      <w:pPr>
        <w:pStyle w:val="32"/>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交易文件的获取</w:t>
      </w:r>
    </w:p>
    <w:p w14:paraId="350F7FDF">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详见交易公告中获取交易文件的时间期限、地点、方式及交易文件售价。</w:t>
      </w:r>
    </w:p>
    <w:p w14:paraId="4C96C5A8">
      <w:pPr>
        <w:pStyle w:val="32"/>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7.交易前答疑会或现场考察</w:t>
      </w:r>
    </w:p>
    <w:p w14:paraId="329B2808">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w:t>
      </w:r>
      <w:r>
        <w:rPr>
          <w:rFonts w:hint="eastAsia" w:ascii="仿宋" w:hAnsi="仿宋" w:eastAsia="仿宋" w:cs="仿宋"/>
          <w:color w:val="auto"/>
          <w:sz w:val="24"/>
          <w:szCs w:val="24"/>
          <w:highlight w:val="none"/>
          <w:lang w:eastAsia="zh-CN"/>
        </w:rPr>
        <w:t>响应人</w:t>
      </w:r>
      <w:r>
        <w:rPr>
          <w:rFonts w:hint="eastAsia" w:ascii="仿宋" w:hAnsi="仿宋" w:eastAsia="仿宋" w:cs="仿宋"/>
          <w:color w:val="auto"/>
          <w:sz w:val="24"/>
          <w:szCs w:val="24"/>
          <w:highlight w:val="none"/>
        </w:rPr>
        <w:t>现场考察或者召开交易前答疑会的，潜在</w:t>
      </w:r>
      <w:r>
        <w:rPr>
          <w:rFonts w:hint="eastAsia" w:ascii="仿宋" w:hAnsi="仿宋" w:eastAsia="仿宋" w:cs="仿宋"/>
          <w:color w:val="auto"/>
          <w:sz w:val="24"/>
          <w:szCs w:val="24"/>
          <w:highlight w:val="none"/>
          <w:lang w:eastAsia="zh-CN"/>
        </w:rPr>
        <w:t>响应人</w:t>
      </w:r>
      <w:r>
        <w:rPr>
          <w:rFonts w:hint="eastAsia" w:ascii="仿宋" w:hAnsi="仿宋" w:eastAsia="仿宋" w:cs="仿宋"/>
          <w:color w:val="auto"/>
          <w:sz w:val="24"/>
          <w:szCs w:val="24"/>
          <w:highlight w:val="none"/>
        </w:rPr>
        <w:t>按第二部分</w:t>
      </w:r>
      <w:r>
        <w:rPr>
          <w:rFonts w:hint="eastAsia" w:ascii="仿宋" w:hAnsi="仿宋" w:eastAsia="仿宋" w:cs="仿宋"/>
          <w:color w:val="auto"/>
          <w:sz w:val="24"/>
          <w:szCs w:val="24"/>
          <w:highlight w:val="none"/>
          <w:lang w:eastAsia="zh-CN"/>
        </w:rPr>
        <w:t>响应人</w:t>
      </w:r>
      <w:r>
        <w:rPr>
          <w:rFonts w:hint="eastAsia" w:ascii="仿宋" w:hAnsi="仿宋" w:eastAsia="仿宋" w:cs="仿宋"/>
          <w:color w:val="auto"/>
          <w:sz w:val="24"/>
          <w:szCs w:val="24"/>
          <w:highlight w:val="none"/>
        </w:rPr>
        <w:t>须知前附表的规定参加现场考察或者交易前答疑会。</w:t>
      </w:r>
    </w:p>
    <w:p w14:paraId="2FEE35E3">
      <w:pPr>
        <w:pStyle w:val="32"/>
        <w:spacing w:line="360" w:lineRule="auto"/>
        <w:ind w:firstLine="482" w:firstLineChars="200"/>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8.交易保证金</w:t>
      </w:r>
    </w:p>
    <w:p w14:paraId="026DC521">
      <w:pPr>
        <w:pStyle w:val="32"/>
        <w:spacing w:line="360" w:lineRule="auto"/>
        <w:ind w:firstLine="480" w:firstLineChars="20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不收取</w:t>
      </w:r>
    </w:p>
    <w:p w14:paraId="7C93305E">
      <w:pPr>
        <w:pStyle w:val="32"/>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9. 响应文件的语言</w:t>
      </w:r>
    </w:p>
    <w:p w14:paraId="3B946359">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响应文件及</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与采购有关的来往通知、函件和文件均应使用中文。</w:t>
      </w:r>
    </w:p>
    <w:p w14:paraId="0A75EDEA">
      <w:pPr>
        <w:pStyle w:val="32"/>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响应文件的组成</w:t>
      </w:r>
    </w:p>
    <w:p w14:paraId="708CFC9E">
      <w:pPr>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10.1资格文件：</w:t>
      </w:r>
    </w:p>
    <w:p w14:paraId="213DC6BC">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10.1.1符合参加采购活动应当具备的一般条件的承诺函；</w:t>
      </w:r>
    </w:p>
    <w:p w14:paraId="62162176">
      <w:pPr>
        <w:pStyle w:val="3"/>
        <w:rPr>
          <w:rFonts w:hint="eastAsia" w:ascii="仿宋" w:hAnsi="仿宋" w:eastAsia="仿宋" w:cs="仿宋"/>
          <w:color w:val="auto"/>
          <w:highlight w:val="none"/>
        </w:rPr>
      </w:pPr>
      <w:r>
        <w:rPr>
          <w:rFonts w:hint="eastAsia" w:ascii="仿宋" w:hAnsi="仿宋" w:eastAsia="仿宋" w:cs="仿宋"/>
          <w:color w:val="auto"/>
          <w:highlight w:val="none"/>
        </w:rPr>
        <w:t>10.1.2落实采购政策需满足的资格要求</w:t>
      </w:r>
      <w:r>
        <w:rPr>
          <w:rFonts w:hint="eastAsia" w:ascii="仿宋" w:hAnsi="仿宋" w:eastAsia="仿宋" w:cs="仿宋"/>
          <w:b/>
          <w:bCs/>
          <w:color w:val="auto"/>
          <w:sz w:val="24"/>
          <w:highlight w:val="none"/>
        </w:rPr>
        <w:t>（本项目不适用）</w:t>
      </w:r>
      <w:r>
        <w:rPr>
          <w:rFonts w:hint="eastAsia" w:ascii="仿宋" w:hAnsi="仿宋" w:eastAsia="仿宋" w:cs="仿宋"/>
          <w:color w:val="auto"/>
          <w:highlight w:val="none"/>
        </w:rPr>
        <w:t>；</w:t>
      </w:r>
    </w:p>
    <w:p w14:paraId="54FF722C">
      <w:pPr>
        <w:pStyle w:val="61"/>
        <w:autoSpaceDE/>
        <w:autoSpaceDN/>
        <w:ind w:firstLine="960" w:firstLineChars="400"/>
        <w:rPr>
          <w:rFonts w:hint="eastAsia" w:ascii="仿宋" w:hAnsi="仿宋" w:eastAsia="仿宋" w:cs="仿宋"/>
          <w:color w:val="auto"/>
          <w:highlight w:val="none"/>
        </w:rPr>
      </w:pPr>
      <w:r>
        <w:rPr>
          <w:rFonts w:hint="eastAsia" w:ascii="仿宋" w:hAnsi="仿宋" w:eastAsia="仿宋" w:cs="仿宋"/>
          <w:color w:val="auto"/>
          <w:highlight w:val="none"/>
        </w:rPr>
        <w:t>10.1.</w:t>
      </w:r>
      <w:r>
        <w:rPr>
          <w:rFonts w:hint="eastAsia" w:ascii="仿宋" w:hAnsi="仿宋" w:eastAsia="仿宋" w:cs="仿宋"/>
          <w:color w:val="auto"/>
          <w:highlight w:val="none"/>
          <w:lang w:val="en-US"/>
        </w:rPr>
        <w:t>3</w:t>
      </w:r>
      <w:r>
        <w:rPr>
          <w:rFonts w:hint="eastAsia" w:ascii="仿宋" w:hAnsi="仿宋" w:eastAsia="仿宋" w:cs="仿宋"/>
          <w:color w:val="auto"/>
          <w:highlight w:val="none"/>
        </w:rPr>
        <w:t>本项目的特定资格要求</w:t>
      </w:r>
      <w:r>
        <w:rPr>
          <w:rFonts w:hint="eastAsia" w:ascii="仿宋" w:hAnsi="仿宋" w:eastAsia="仿宋" w:cs="仿宋"/>
          <w:color w:val="auto"/>
          <w:highlight w:val="none"/>
          <w:lang w:eastAsia="zh-CN"/>
        </w:rPr>
        <w:t>（如果有）</w:t>
      </w:r>
      <w:r>
        <w:rPr>
          <w:rFonts w:hint="eastAsia" w:ascii="仿宋" w:hAnsi="仿宋" w:eastAsia="仿宋" w:cs="仿宋"/>
          <w:color w:val="auto"/>
          <w:highlight w:val="none"/>
        </w:rPr>
        <w:t>。</w:t>
      </w:r>
    </w:p>
    <w:p w14:paraId="29E7B1A9">
      <w:pPr>
        <w:snapToGrid w:val="0"/>
        <w:spacing w:line="360" w:lineRule="auto"/>
        <w:ind w:firstLine="482" w:firstLineChars="200"/>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1</w:t>
      </w:r>
      <w:r>
        <w:rPr>
          <w:rFonts w:hint="eastAsia" w:ascii="仿宋" w:hAnsi="仿宋" w:eastAsia="仿宋" w:cs="仿宋"/>
          <w:b/>
          <w:bCs/>
          <w:color w:val="auto"/>
          <w:sz w:val="24"/>
          <w:highlight w:val="none"/>
        </w:rPr>
        <w:t>0</w:t>
      </w:r>
      <w:r>
        <w:rPr>
          <w:rFonts w:hint="eastAsia" w:ascii="仿宋" w:hAnsi="仿宋" w:eastAsia="仿宋" w:cs="仿宋"/>
          <w:b/>
          <w:bCs/>
          <w:color w:val="auto"/>
          <w:sz w:val="24"/>
          <w:highlight w:val="none"/>
          <w:lang w:val="zh-CN"/>
        </w:rPr>
        <w:t>.</w:t>
      </w:r>
      <w:r>
        <w:rPr>
          <w:rFonts w:hint="eastAsia" w:ascii="仿宋" w:hAnsi="仿宋" w:eastAsia="仿宋" w:cs="仿宋"/>
          <w:b/>
          <w:bCs/>
          <w:color w:val="auto"/>
          <w:sz w:val="24"/>
          <w:highlight w:val="none"/>
        </w:rPr>
        <w:t>2商务技术</w:t>
      </w:r>
      <w:r>
        <w:rPr>
          <w:rFonts w:hint="eastAsia" w:ascii="仿宋" w:hAnsi="仿宋" w:eastAsia="仿宋" w:cs="仿宋"/>
          <w:b/>
          <w:bCs/>
          <w:color w:val="auto"/>
          <w:sz w:val="24"/>
          <w:highlight w:val="none"/>
          <w:lang w:val="zh-CN"/>
        </w:rPr>
        <w:t>文件：</w:t>
      </w:r>
    </w:p>
    <w:p w14:paraId="2EF6E6D6">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10.2.1响应函；</w:t>
      </w:r>
    </w:p>
    <w:p w14:paraId="76B9C15D">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10.2.2授权委托书或法定代表人（单位负责人、自然人本人）身份证明；</w:t>
      </w:r>
    </w:p>
    <w:p w14:paraId="6FA06ADB">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10.2.3符合性审查资料；</w:t>
      </w:r>
    </w:p>
    <w:p w14:paraId="27437DD2">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10.2.4评审标准相应的商务技术资料；</w:t>
      </w:r>
    </w:p>
    <w:p w14:paraId="017AF53C">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10.2.5交易标的清单；</w:t>
      </w:r>
    </w:p>
    <w:p w14:paraId="2CC86597">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10.2.6商务技术偏离表；</w:t>
      </w:r>
    </w:p>
    <w:p w14:paraId="4F4DBDE8">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10.2.7</w:t>
      </w:r>
      <w:r>
        <w:rPr>
          <w:rFonts w:hint="eastAsia" w:ascii="仿宋" w:hAnsi="仿宋" w:eastAsia="仿宋" w:cs="仿宋"/>
          <w:color w:val="auto"/>
          <w:sz w:val="24"/>
          <w:highlight w:val="none"/>
          <w:lang w:val="zh-CN"/>
        </w:rPr>
        <w:t>采购响应人廉洁自律承诺书；</w:t>
      </w:r>
    </w:p>
    <w:p w14:paraId="639AC1CC">
      <w:pPr>
        <w:snapToGrid w:val="0"/>
        <w:spacing w:line="360" w:lineRule="auto"/>
        <w:ind w:firstLine="482" w:firstLineChars="200"/>
        <w:rPr>
          <w:rFonts w:hint="eastAsia" w:ascii="仿宋" w:hAnsi="仿宋" w:eastAsia="仿宋" w:cs="仿宋"/>
          <w:b/>
          <w:bCs/>
          <w:color w:val="auto"/>
          <w:sz w:val="24"/>
          <w:highlight w:val="none"/>
          <w:u w:val="single"/>
          <w:lang w:val="zh-CN"/>
        </w:rPr>
      </w:pPr>
      <w:r>
        <w:rPr>
          <w:rFonts w:hint="eastAsia" w:ascii="仿宋" w:hAnsi="仿宋" w:eastAsia="仿宋" w:cs="仿宋"/>
          <w:b/>
          <w:bCs/>
          <w:color w:val="auto"/>
          <w:kern w:val="0"/>
          <w:sz w:val="24"/>
          <w:highlight w:val="none"/>
          <w:lang w:val="zh-CN"/>
        </w:rPr>
        <w:t>1</w:t>
      </w:r>
      <w:r>
        <w:rPr>
          <w:rFonts w:hint="eastAsia" w:ascii="仿宋" w:hAnsi="仿宋" w:eastAsia="仿宋" w:cs="仿宋"/>
          <w:b/>
          <w:bCs/>
          <w:color w:val="auto"/>
          <w:kern w:val="0"/>
          <w:sz w:val="24"/>
          <w:highlight w:val="none"/>
        </w:rPr>
        <w:t>0</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kern w:val="0"/>
          <w:sz w:val="24"/>
          <w:highlight w:val="none"/>
        </w:rPr>
        <w:t>3</w:t>
      </w:r>
      <w:r>
        <w:rPr>
          <w:rFonts w:hint="eastAsia" w:ascii="仿宋" w:hAnsi="仿宋" w:eastAsia="仿宋" w:cs="仿宋"/>
          <w:b/>
          <w:bCs/>
          <w:color w:val="auto"/>
          <w:sz w:val="24"/>
          <w:highlight w:val="none"/>
        </w:rPr>
        <w:t xml:space="preserve">报价文件： </w:t>
      </w:r>
    </w:p>
    <w:p w14:paraId="0B20FE91">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10.3.1交易一览表（报价表）；</w:t>
      </w:r>
    </w:p>
    <w:p w14:paraId="26C8551C">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.3.2</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针对报价需要说明的其他文件和资料（格式自拟）。</w:t>
      </w:r>
    </w:p>
    <w:p w14:paraId="0CDF6572">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响应文件含有采购人不能接受的附加条件的，交易无效；</w:t>
      </w:r>
    </w:p>
    <w:p w14:paraId="4314EAF2">
      <w:pPr>
        <w:spacing w:line="360" w:lineRule="auto"/>
        <w:ind w:firstLine="482" w:firstLineChars="2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lang w:eastAsia="zh-CN"/>
        </w:rPr>
        <w:t>响应人</w:t>
      </w:r>
      <w:r>
        <w:rPr>
          <w:rFonts w:hint="eastAsia" w:ascii="仿宋" w:hAnsi="仿宋" w:eastAsia="仿宋" w:cs="仿宋"/>
          <w:b/>
          <w:color w:val="auto"/>
          <w:sz w:val="24"/>
          <w:highlight w:val="none"/>
        </w:rPr>
        <w:t>提供虚假材料交易的，交易无效。</w:t>
      </w:r>
    </w:p>
    <w:p w14:paraId="1DC14101">
      <w:pPr>
        <w:pStyle w:val="131"/>
        <w:snapToGrid w:val="0"/>
        <w:spacing w:before="0"/>
        <w:ind w:firstLine="482"/>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11</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响应文件的编制</w:t>
      </w:r>
    </w:p>
    <w:p w14:paraId="5C960B41">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zh-CN"/>
        </w:rPr>
        <w:t>.1响应文件分为资格文件、商务技术文件、报价文件三部分。各响应人在编制响应文件时请按照交易文件第六部分规定的格式进行，混乱的编排导致响应文件被误读或评标委员会查找不到有效文件是响应人的风险。</w:t>
      </w:r>
    </w:p>
    <w:p w14:paraId="476B6767">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zh-CN"/>
        </w:rPr>
        <w:t>.2响应人进行电子交易（投标）应安装客户端软件—“乐采云(萧采云)电子交易客户端”，并按照交易文件和电子交易平台的要求编制并加密响应文件。响应人未按规定加密的响应文件，电子交易平台将拒收并提示。</w:t>
      </w:r>
    </w:p>
    <w:p w14:paraId="1114B33F">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zh-CN"/>
        </w:rPr>
        <w:t>.3使用“乐采云(萧采云)电子交易客户端”需要提前申领CA数字证书，申领流程请自行前往“浙江政府采购网-下载专区-电子交易客户端-CA驱动和申领流程”进行查阅。</w:t>
      </w:r>
    </w:p>
    <w:p w14:paraId="14C52A75">
      <w:pPr>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12.响应文件的签署、盖章</w:t>
      </w:r>
    </w:p>
    <w:p w14:paraId="77D0C924">
      <w:pPr>
        <w:pStyle w:val="131"/>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12.1响应文件按照交易文件第六部分格式要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w:t>
      </w:r>
      <w:r>
        <w:rPr>
          <w:rFonts w:hint="eastAsia" w:ascii="仿宋" w:hAnsi="仿宋" w:eastAsia="仿宋" w:cs="仿宋"/>
          <w:b/>
          <w:color w:val="auto"/>
          <w:highlight w:val="none"/>
          <w:lang w:eastAsia="zh-CN"/>
        </w:rPr>
        <w:t>响应人</w:t>
      </w:r>
      <w:r>
        <w:rPr>
          <w:rFonts w:hint="eastAsia" w:ascii="仿宋" w:hAnsi="仿宋" w:eastAsia="仿宋" w:cs="仿宋"/>
          <w:b/>
          <w:color w:val="auto"/>
          <w:highlight w:val="none"/>
        </w:rPr>
        <w:t>的响应文件未按照交易文件要求签署、盖章的，其交易无效</w:t>
      </w:r>
      <w:r>
        <w:rPr>
          <w:rFonts w:hint="eastAsia" w:ascii="仿宋" w:hAnsi="仿宋" w:eastAsia="仿宋" w:cs="仿宋"/>
          <w:color w:val="auto"/>
          <w:szCs w:val="24"/>
          <w:highlight w:val="none"/>
        </w:rPr>
        <w:t>。</w:t>
      </w:r>
    </w:p>
    <w:p w14:paraId="3CBA53F5">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12.2为确保网上操作合法、有效和安全，</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应当在交易截止时间前完成在“政府采购云平台”的身份认证，确保在电子交易（投标）过程中能够对相关数据电文进行加密和使用电子签名。</w:t>
      </w:r>
    </w:p>
    <w:p w14:paraId="533D2A3A">
      <w:pPr>
        <w:pStyle w:val="131"/>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12.3交易文件对响应文件签署、盖章的要求适用于电子签名。</w:t>
      </w:r>
    </w:p>
    <w:p w14:paraId="620A1D4D">
      <w:pPr>
        <w:pStyle w:val="131"/>
        <w:spacing w:before="0"/>
        <w:ind w:firstLine="482"/>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13. 响应文件的提交、补充、修改、撤回</w:t>
      </w:r>
    </w:p>
    <w:p w14:paraId="2D012F83">
      <w:pPr>
        <w:pStyle w:val="131"/>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13.1 </w:t>
      </w:r>
      <w:r>
        <w:rPr>
          <w:rFonts w:hint="eastAsia" w:ascii="仿宋" w:hAnsi="仿宋" w:eastAsia="仿宋" w:cs="仿宋"/>
          <w:color w:val="auto"/>
          <w:szCs w:val="24"/>
          <w:highlight w:val="none"/>
          <w:lang w:eastAsia="zh-CN"/>
        </w:rPr>
        <w:t>响应人</w:t>
      </w:r>
      <w:r>
        <w:rPr>
          <w:rFonts w:hint="eastAsia" w:ascii="仿宋" w:hAnsi="仿宋" w:eastAsia="仿宋" w:cs="仿宋"/>
          <w:color w:val="auto"/>
          <w:szCs w:val="24"/>
          <w:highlight w:val="none"/>
        </w:rPr>
        <w:t>应当在交易截止时间前完成响应文件的传输递交，并可以补充、修改或者撤回响应文件。补充或者修改响应文件的，应当先行撤回原文件，补充、修改后重新传输递交。交易截止时间前未完成传输的，视为撤回响应文件。交易截止时间后递交的响应文件，电子交易平台将拒收。</w:t>
      </w:r>
    </w:p>
    <w:p w14:paraId="1FE59DF0">
      <w:pPr>
        <w:pStyle w:val="131"/>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13.2电子交易平台收到响应文件，将妥善保存并及时向</w:t>
      </w:r>
      <w:r>
        <w:rPr>
          <w:rFonts w:hint="eastAsia" w:ascii="仿宋" w:hAnsi="仿宋" w:eastAsia="仿宋" w:cs="仿宋"/>
          <w:color w:val="auto"/>
          <w:szCs w:val="24"/>
          <w:highlight w:val="none"/>
          <w:lang w:eastAsia="zh-CN"/>
        </w:rPr>
        <w:t>响应人</w:t>
      </w:r>
      <w:r>
        <w:rPr>
          <w:rFonts w:hint="eastAsia" w:ascii="仿宋" w:hAnsi="仿宋" w:eastAsia="仿宋" w:cs="仿宋"/>
          <w:color w:val="auto"/>
          <w:szCs w:val="24"/>
          <w:highlight w:val="none"/>
        </w:rPr>
        <w:t>发出确认回执通知。在交易截止时间前，除</w:t>
      </w:r>
      <w:r>
        <w:rPr>
          <w:rFonts w:hint="eastAsia" w:ascii="仿宋" w:hAnsi="仿宋" w:eastAsia="仿宋" w:cs="仿宋"/>
          <w:color w:val="auto"/>
          <w:szCs w:val="24"/>
          <w:highlight w:val="none"/>
          <w:lang w:eastAsia="zh-CN"/>
        </w:rPr>
        <w:t>响应人</w:t>
      </w:r>
      <w:r>
        <w:rPr>
          <w:rFonts w:hint="eastAsia" w:ascii="仿宋" w:hAnsi="仿宋" w:eastAsia="仿宋" w:cs="仿宋"/>
          <w:color w:val="auto"/>
          <w:szCs w:val="24"/>
          <w:highlight w:val="none"/>
        </w:rPr>
        <w:t>补充、修改或者撤回响应文件外，任何单位和个人不得解密或提取响应文件。</w:t>
      </w:r>
    </w:p>
    <w:p w14:paraId="73CBB5C9">
      <w:pPr>
        <w:pStyle w:val="131"/>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13.3采购人、采购机构可以视情况延长响应文件提交的截止时间。在上述情况下，采购机构与</w:t>
      </w:r>
      <w:r>
        <w:rPr>
          <w:rFonts w:hint="eastAsia" w:ascii="仿宋" w:hAnsi="仿宋" w:eastAsia="仿宋" w:cs="仿宋"/>
          <w:color w:val="auto"/>
          <w:szCs w:val="24"/>
          <w:highlight w:val="none"/>
          <w:lang w:eastAsia="zh-CN"/>
        </w:rPr>
        <w:t>响应人</w:t>
      </w:r>
      <w:r>
        <w:rPr>
          <w:rFonts w:hint="eastAsia" w:ascii="仿宋" w:hAnsi="仿宋" w:eastAsia="仿宋" w:cs="仿宋"/>
          <w:color w:val="auto"/>
          <w:szCs w:val="24"/>
          <w:highlight w:val="none"/>
        </w:rPr>
        <w:t>以前在交易截止期方面的全部权利、责任和义务，将适用于延长至新的交易截止期。</w:t>
      </w:r>
    </w:p>
    <w:p w14:paraId="00EAB126">
      <w:pPr>
        <w:pStyle w:val="32"/>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14.备份响应文件</w:t>
      </w:r>
    </w:p>
    <w:p w14:paraId="6BC3F96A">
      <w:pPr>
        <w:pStyle w:val="32"/>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本项目不收取备份响应文件</w:t>
      </w:r>
    </w:p>
    <w:p w14:paraId="0E268FAD">
      <w:pPr>
        <w:pStyle w:val="131"/>
        <w:spacing w:before="0"/>
        <w:ind w:firstLine="482"/>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15.响应文件的无效处理</w:t>
      </w:r>
    </w:p>
    <w:p w14:paraId="2887CF15">
      <w:pPr>
        <w:pStyle w:val="24"/>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有交易文件第四部分</w:t>
      </w:r>
      <w:r>
        <w:rPr>
          <w:rFonts w:hint="eastAsia" w:ascii="仿宋" w:hAnsi="仿宋" w:eastAsia="仿宋" w:cs="仿宋"/>
          <w:color w:val="auto"/>
          <w:highlight w:val="none"/>
        </w:rPr>
        <w:t>4.2规定</w:t>
      </w:r>
      <w:r>
        <w:rPr>
          <w:rFonts w:hint="eastAsia" w:ascii="仿宋" w:hAnsi="仿宋" w:eastAsia="仿宋" w:cs="仿宋"/>
          <w:color w:val="auto"/>
          <w:szCs w:val="21"/>
          <w:highlight w:val="none"/>
        </w:rPr>
        <w:t>的情形之一的，交易无效：</w:t>
      </w:r>
    </w:p>
    <w:p w14:paraId="327F1214">
      <w:pPr>
        <w:pStyle w:val="131"/>
        <w:spacing w:before="0"/>
        <w:ind w:firstLine="482"/>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16.交易有效期</w:t>
      </w:r>
    </w:p>
    <w:p w14:paraId="08D8EDAA">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16.1交易有效期为从提交响应文件的截止之日起90天。▲</w:t>
      </w:r>
      <w:r>
        <w:rPr>
          <w:rFonts w:hint="eastAsia" w:ascii="仿宋" w:hAnsi="仿宋" w:eastAsia="仿宋" w:cs="仿宋"/>
          <w:b/>
          <w:color w:val="auto"/>
          <w:sz w:val="24"/>
          <w:szCs w:val="20"/>
          <w:highlight w:val="none"/>
          <w:lang w:eastAsia="zh-CN"/>
        </w:rPr>
        <w:t>响应人</w:t>
      </w:r>
      <w:r>
        <w:rPr>
          <w:rFonts w:hint="eastAsia" w:ascii="仿宋" w:hAnsi="仿宋" w:eastAsia="仿宋" w:cs="仿宋"/>
          <w:b/>
          <w:color w:val="auto"/>
          <w:sz w:val="24"/>
          <w:szCs w:val="20"/>
          <w:highlight w:val="none"/>
        </w:rPr>
        <w:t>的响应文件中承</w:t>
      </w:r>
      <w:r>
        <w:rPr>
          <w:rFonts w:hint="eastAsia" w:ascii="仿宋" w:hAnsi="仿宋" w:eastAsia="仿宋" w:cs="仿宋"/>
          <w:b/>
          <w:color w:val="auto"/>
          <w:sz w:val="24"/>
          <w:szCs w:val="21"/>
          <w:highlight w:val="none"/>
        </w:rPr>
        <w:t>诺的交易有效期少于交易文件中载明的交易有效期的，交易无效。</w:t>
      </w:r>
    </w:p>
    <w:p w14:paraId="4DCB3F04">
      <w:pPr>
        <w:pStyle w:val="131"/>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16.2响应文件合格投递后，自交易截止日期起，在交易有效期内有效。</w:t>
      </w:r>
    </w:p>
    <w:p w14:paraId="6DDA59E8">
      <w:pPr>
        <w:pStyle w:val="131"/>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16.3在原定交易有效期满之前，如果出现特殊情况，采购机构可以以书面形式通知</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延长交易有效期。</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同意延长的，不得要求或被允许修改其响应文件，</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拒绝延长的，其交易无效。</w:t>
      </w:r>
    </w:p>
    <w:p w14:paraId="426516BF">
      <w:pPr>
        <w:pStyle w:val="131"/>
        <w:spacing w:before="0"/>
        <w:ind w:firstLine="643"/>
        <w:rPr>
          <w:rFonts w:hint="eastAsia" w:ascii="仿宋" w:hAnsi="仿宋" w:eastAsia="仿宋" w:cs="仿宋"/>
          <w:b/>
          <w:color w:val="auto"/>
          <w:sz w:val="32"/>
          <w:highlight w:val="none"/>
        </w:rPr>
      </w:pPr>
    </w:p>
    <w:p w14:paraId="3D69F7F4">
      <w:pPr>
        <w:pStyle w:val="131"/>
        <w:spacing w:before="0"/>
        <w:ind w:firstLine="0" w:firstLineChars="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四、交易、资格审查</w:t>
      </w:r>
    </w:p>
    <w:p w14:paraId="25572B3D">
      <w:pPr>
        <w:pStyle w:val="557"/>
        <w:spacing w:before="0" w:line="360" w:lineRule="auto"/>
        <w:ind w:left="0" w:firstLine="482" w:firstLineChars="20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17.交易</w:t>
      </w:r>
    </w:p>
    <w:p w14:paraId="7DC2AD9A">
      <w:pPr>
        <w:pStyle w:val="557"/>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17.1采购机构按照交易文件规定的时间通过电子交易平台组织开标，所有</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均应当准时在线参加。</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不足3家的，不得交易。</w:t>
      </w:r>
    </w:p>
    <w:p w14:paraId="3C3F5307">
      <w:pPr>
        <w:pStyle w:val="557"/>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17.2交易时，电子交易平台按交易时间自动提取所有响应文件。采购机构依托电子交易平台发起开始解密指令，</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按照平台提示和交易文件的规定在半小时内完成在线解密。</w:t>
      </w:r>
    </w:p>
    <w:p w14:paraId="349F468E">
      <w:pPr>
        <w:pStyle w:val="557"/>
        <w:spacing w:before="0" w:line="360" w:lineRule="auto"/>
        <w:ind w:left="0" w:firstLine="480" w:firstLineChars="2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17.3</w:t>
      </w:r>
      <w:r>
        <w:rPr>
          <w:rFonts w:hint="eastAsia" w:ascii="仿宋" w:hAnsi="仿宋" w:eastAsia="仿宋" w:cs="仿宋"/>
          <w:b/>
          <w:color w:val="auto"/>
          <w:sz w:val="24"/>
          <w:highlight w:val="none"/>
        </w:rPr>
        <w:t>响应文件未按时解密，</w:t>
      </w:r>
      <w:r>
        <w:rPr>
          <w:rFonts w:hint="eastAsia" w:ascii="仿宋" w:hAnsi="仿宋" w:eastAsia="仿宋" w:cs="仿宋"/>
          <w:b/>
          <w:color w:val="auto"/>
          <w:sz w:val="24"/>
          <w:highlight w:val="none"/>
          <w:lang w:eastAsia="zh-CN"/>
        </w:rPr>
        <w:t>响应人</w:t>
      </w:r>
      <w:r>
        <w:rPr>
          <w:rFonts w:hint="eastAsia" w:ascii="仿宋" w:hAnsi="仿宋" w:eastAsia="仿宋" w:cs="仿宋"/>
          <w:b/>
          <w:color w:val="auto"/>
          <w:sz w:val="24"/>
          <w:highlight w:val="none"/>
        </w:rPr>
        <w:t>提供了备份响应文件的，以备份响应文件作为依据，否则视为响应文件撤回。响应文件已按时解密的，备份响应文件自动失效。</w:t>
      </w:r>
    </w:p>
    <w:p w14:paraId="492D1C9C">
      <w:pPr>
        <w:pStyle w:val="557"/>
        <w:spacing w:before="0" w:line="360" w:lineRule="auto"/>
        <w:ind w:left="0" w:firstLine="482" w:firstLineChars="200"/>
        <w:contextualSpacing/>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18、资格审查</w:t>
      </w:r>
    </w:p>
    <w:p w14:paraId="3312393A">
      <w:pPr>
        <w:pStyle w:val="557"/>
        <w:spacing w:before="0" w:line="360" w:lineRule="auto"/>
        <w:ind w:left="0" w:firstLine="480" w:firstLineChars="200"/>
        <w:contextualSpacing/>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18.1交易后，采购人或采购机构将依法对</w:t>
      </w:r>
      <w:r>
        <w:rPr>
          <w:rFonts w:hint="eastAsia" w:ascii="仿宋" w:hAnsi="仿宋" w:eastAsia="仿宋" w:cs="仿宋"/>
          <w:color w:val="auto"/>
          <w:sz w:val="24"/>
          <w:szCs w:val="22"/>
          <w:highlight w:val="none"/>
          <w:lang w:eastAsia="zh-CN"/>
        </w:rPr>
        <w:t>响应人</w:t>
      </w:r>
      <w:r>
        <w:rPr>
          <w:rFonts w:hint="eastAsia" w:ascii="仿宋" w:hAnsi="仿宋" w:eastAsia="仿宋" w:cs="仿宋"/>
          <w:color w:val="auto"/>
          <w:sz w:val="24"/>
          <w:szCs w:val="22"/>
          <w:highlight w:val="none"/>
        </w:rPr>
        <w:t>的资格进行审查。</w:t>
      </w:r>
    </w:p>
    <w:p w14:paraId="49A92812">
      <w:pPr>
        <w:pStyle w:val="557"/>
        <w:spacing w:before="0" w:line="360" w:lineRule="auto"/>
        <w:ind w:left="0" w:firstLine="480" w:firstLineChars="200"/>
        <w:contextualSpacing/>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18.2采购人或采购机构依据法律法规和交易文件的规定，对</w:t>
      </w:r>
      <w:r>
        <w:rPr>
          <w:rFonts w:hint="eastAsia" w:ascii="仿宋" w:hAnsi="仿宋" w:eastAsia="仿宋" w:cs="仿宋"/>
          <w:color w:val="auto"/>
          <w:sz w:val="24"/>
          <w:szCs w:val="22"/>
          <w:highlight w:val="none"/>
          <w:lang w:eastAsia="zh-CN"/>
        </w:rPr>
        <w:t>响应人</w:t>
      </w:r>
      <w:r>
        <w:rPr>
          <w:rFonts w:hint="eastAsia" w:ascii="仿宋" w:hAnsi="仿宋" w:eastAsia="仿宋" w:cs="仿宋"/>
          <w:color w:val="auto"/>
          <w:sz w:val="24"/>
          <w:szCs w:val="22"/>
          <w:highlight w:val="none"/>
        </w:rPr>
        <w:t>的基本资格条件、特定资格条件进行审查。</w:t>
      </w:r>
    </w:p>
    <w:p w14:paraId="429E17EE">
      <w:pPr>
        <w:pStyle w:val="557"/>
        <w:spacing w:before="0" w:line="360" w:lineRule="auto"/>
        <w:ind w:left="0" w:firstLine="480" w:firstLineChars="200"/>
        <w:contextualSpacing/>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18.3</w:t>
      </w:r>
      <w:r>
        <w:rPr>
          <w:rFonts w:hint="eastAsia" w:ascii="仿宋" w:hAnsi="仿宋" w:eastAsia="仿宋" w:cs="仿宋"/>
          <w:color w:val="auto"/>
          <w:sz w:val="24"/>
          <w:szCs w:val="22"/>
          <w:highlight w:val="none"/>
          <w:lang w:eastAsia="zh-CN"/>
        </w:rPr>
        <w:t>响应人</w:t>
      </w:r>
      <w:r>
        <w:rPr>
          <w:rFonts w:hint="eastAsia" w:ascii="仿宋" w:hAnsi="仿宋" w:eastAsia="仿宋" w:cs="仿宋"/>
          <w:color w:val="auto"/>
          <w:sz w:val="24"/>
          <w:szCs w:val="22"/>
          <w:highlight w:val="none"/>
        </w:rPr>
        <w:t>未按照交易文件要求提供与基本资格条件、特定资格条件相应的有效资格证明材料的，视为</w:t>
      </w:r>
      <w:r>
        <w:rPr>
          <w:rFonts w:hint="eastAsia" w:ascii="仿宋" w:hAnsi="仿宋" w:eastAsia="仿宋" w:cs="仿宋"/>
          <w:color w:val="auto"/>
          <w:sz w:val="24"/>
          <w:szCs w:val="22"/>
          <w:highlight w:val="none"/>
          <w:lang w:eastAsia="zh-CN"/>
        </w:rPr>
        <w:t>响应人</w:t>
      </w:r>
      <w:r>
        <w:rPr>
          <w:rFonts w:hint="eastAsia" w:ascii="仿宋" w:hAnsi="仿宋" w:eastAsia="仿宋" w:cs="仿宋"/>
          <w:color w:val="auto"/>
          <w:sz w:val="24"/>
          <w:szCs w:val="22"/>
          <w:highlight w:val="none"/>
        </w:rPr>
        <w:t>不具备交易文件中规定的资格要求，其响应无效。</w:t>
      </w:r>
    </w:p>
    <w:p w14:paraId="5F498FC7">
      <w:pPr>
        <w:pStyle w:val="557"/>
        <w:spacing w:before="0" w:line="360" w:lineRule="auto"/>
        <w:ind w:left="0" w:firstLine="480" w:firstLineChars="200"/>
        <w:contextualSpacing/>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18.4对未通过资格审查的</w:t>
      </w:r>
      <w:r>
        <w:rPr>
          <w:rFonts w:hint="eastAsia" w:ascii="仿宋" w:hAnsi="仿宋" w:eastAsia="仿宋" w:cs="仿宋"/>
          <w:color w:val="auto"/>
          <w:sz w:val="24"/>
          <w:szCs w:val="22"/>
          <w:highlight w:val="none"/>
          <w:lang w:eastAsia="zh-CN"/>
        </w:rPr>
        <w:t>响应人</w:t>
      </w:r>
      <w:r>
        <w:rPr>
          <w:rFonts w:hint="eastAsia" w:ascii="仿宋" w:hAnsi="仿宋" w:eastAsia="仿宋" w:cs="仿宋"/>
          <w:color w:val="auto"/>
          <w:sz w:val="24"/>
          <w:szCs w:val="22"/>
          <w:highlight w:val="none"/>
        </w:rPr>
        <w:t>，采购人或采购机构告知其未通过的原因。</w:t>
      </w:r>
    </w:p>
    <w:p w14:paraId="3CD4C03B">
      <w:pPr>
        <w:pStyle w:val="557"/>
        <w:spacing w:before="0" w:line="360" w:lineRule="auto"/>
        <w:ind w:left="0" w:firstLine="480" w:firstLineChars="200"/>
        <w:contextualSpacing/>
        <w:rPr>
          <w:rFonts w:hint="eastAsia" w:ascii="仿宋" w:hAnsi="仿宋" w:eastAsia="仿宋" w:cs="仿宋"/>
          <w:color w:val="auto"/>
          <w:szCs w:val="24"/>
          <w:highlight w:val="none"/>
        </w:rPr>
      </w:pPr>
      <w:r>
        <w:rPr>
          <w:rFonts w:hint="eastAsia" w:ascii="仿宋" w:hAnsi="仿宋" w:eastAsia="仿宋" w:cs="仿宋"/>
          <w:color w:val="auto"/>
          <w:sz w:val="24"/>
          <w:szCs w:val="22"/>
          <w:highlight w:val="none"/>
        </w:rPr>
        <w:t>18.5合格</w:t>
      </w:r>
      <w:r>
        <w:rPr>
          <w:rFonts w:hint="eastAsia" w:ascii="仿宋" w:hAnsi="仿宋" w:eastAsia="仿宋" w:cs="仿宋"/>
          <w:color w:val="auto"/>
          <w:sz w:val="24"/>
          <w:szCs w:val="22"/>
          <w:highlight w:val="none"/>
          <w:lang w:eastAsia="zh-CN"/>
        </w:rPr>
        <w:t>响应人</w:t>
      </w:r>
      <w:r>
        <w:rPr>
          <w:rFonts w:hint="eastAsia" w:ascii="仿宋" w:hAnsi="仿宋" w:eastAsia="仿宋" w:cs="仿宋"/>
          <w:color w:val="auto"/>
          <w:sz w:val="24"/>
          <w:szCs w:val="22"/>
          <w:highlight w:val="none"/>
        </w:rPr>
        <w:t>不足3家的，不再评标。</w:t>
      </w:r>
    </w:p>
    <w:p w14:paraId="48515EEF">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14:paraId="21475406">
      <w:pPr>
        <w:spacing w:line="360" w:lineRule="auto"/>
        <w:ind w:firstLine="482" w:firstLineChars="200"/>
        <w:rPr>
          <w:rFonts w:hint="eastAsia" w:ascii="仿宋" w:hAnsi="仿宋" w:eastAsia="仿宋" w:cs="仿宋"/>
          <w:b/>
          <w:color w:val="auto"/>
          <w:sz w:val="24"/>
          <w:highlight w:val="none"/>
        </w:rPr>
      </w:pPr>
      <w:bookmarkStart w:id="16" w:name="_Toc91899903"/>
      <w:r>
        <w:rPr>
          <w:rFonts w:hint="eastAsia" w:ascii="仿宋" w:hAnsi="仿宋" w:eastAsia="仿宋" w:cs="仿宋"/>
          <w:b/>
          <w:color w:val="auto"/>
          <w:sz w:val="24"/>
          <w:highlight w:val="none"/>
        </w:rPr>
        <w:t>19.</w:t>
      </w:r>
      <w:r>
        <w:rPr>
          <w:rFonts w:hint="eastAsia" w:ascii="仿宋" w:hAnsi="仿宋" w:eastAsia="仿宋" w:cs="仿宋"/>
          <w:color w:val="auto"/>
          <w:sz w:val="24"/>
          <w:highlight w:val="none"/>
        </w:rPr>
        <w:t>评标委员会将根据交易文件和有关规定，履行评标工作职责，并按照评审方法及评分标准，全面衡量各</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对交易文件的响应情况。对实质上响应交易文件的</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，按照评审因素的量化指标排出推荐成交的</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的先后顺序，并按顺序提出授标建议。</w:t>
      </w:r>
      <w:r>
        <w:rPr>
          <w:rFonts w:hint="eastAsia" w:ascii="仿宋" w:hAnsi="仿宋" w:eastAsia="仿宋" w:cs="仿宋"/>
          <w:b/>
          <w:color w:val="auto"/>
          <w:sz w:val="24"/>
          <w:highlight w:val="none"/>
        </w:rPr>
        <w:t>详见交易文件第四部分评标办法。</w:t>
      </w:r>
    </w:p>
    <w:p w14:paraId="37130A5A">
      <w:pPr>
        <w:spacing w:line="360" w:lineRule="auto"/>
        <w:rPr>
          <w:rFonts w:hint="eastAsia" w:ascii="仿宋" w:hAnsi="仿宋" w:eastAsia="仿宋" w:cs="仿宋"/>
          <w:b/>
          <w:color w:val="auto"/>
          <w:sz w:val="24"/>
          <w:highlight w:val="none"/>
        </w:rPr>
      </w:pPr>
    </w:p>
    <w:p w14:paraId="6F2C54B6">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14:paraId="60FE9E0F">
      <w:pPr>
        <w:pStyle w:val="24"/>
        <w:spacing w:line="360" w:lineRule="auto"/>
        <w:ind w:left="479" w:leftChars="228" w:firstLine="0" w:firstLineChars="0"/>
        <w:rPr>
          <w:rFonts w:hint="eastAsia" w:ascii="仿宋" w:hAnsi="仿宋" w:eastAsia="仿宋" w:cs="仿宋"/>
          <w:b/>
          <w:color w:val="auto"/>
          <w:highlight w:val="none"/>
          <w:lang w:eastAsia="zh-CN"/>
        </w:rPr>
      </w:pPr>
      <w:r>
        <w:rPr>
          <w:rFonts w:hint="eastAsia" w:ascii="仿宋" w:hAnsi="仿宋" w:eastAsia="仿宋" w:cs="仿宋"/>
          <w:b/>
          <w:color w:val="auto"/>
          <w:highlight w:val="none"/>
        </w:rPr>
        <w:t>20. 确定成交</w:t>
      </w:r>
      <w:r>
        <w:rPr>
          <w:rFonts w:hint="eastAsia" w:ascii="仿宋" w:hAnsi="仿宋" w:eastAsia="仿宋" w:cs="仿宋"/>
          <w:b/>
          <w:color w:val="auto"/>
          <w:highlight w:val="none"/>
          <w:lang w:eastAsia="zh-CN"/>
        </w:rPr>
        <w:t>响应人</w:t>
      </w:r>
    </w:p>
    <w:p w14:paraId="41CFC9BE">
      <w:pPr>
        <w:pStyle w:val="131"/>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采购人将自收到评审报告之日起5个工作日内通过电子交易平台在评审报告推荐的成交候选人中按顺序确定成交</w:t>
      </w:r>
      <w:r>
        <w:rPr>
          <w:rFonts w:hint="eastAsia" w:ascii="仿宋" w:hAnsi="仿宋" w:eastAsia="仿宋" w:cs="仿宋"/>
          <w:color w:val="auto"/>
          <w:szCs w:val="24"/>
          <w:highlight w:val="none"/>
          <w:lang w:eastAsia="zh-CN"/>
        </w:rPr>
        <w:t>响应人</w:t>
      </w:r>
      <w:r>
        <w:rPr>
          <w:rFonts w:hint="eastAsia" w:ascii="仿宋" w:hAnsi="仿宋" w:eastAsia="仿宋" w:cs="仿宋"/>
          <w:color w:val="auto"/>
          <w:szCs w:val="24"/>
          <w:highlight w:val="none"/>
        </w:rPr>
        <w:t>。</w:t>
      </w:r>
    </w:p>
    <w:p w14:paraId="12430BA9">
      <w:pPr>
        <w:pStyle w:val="131"/>
        <w:snapToGrid w:val="0"/>
        <w:spacing w:before="0"/>
        <w:ind w:firstLine="482"/>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21. 成交通知与成交结果公告</w:t>
      </w:r>
    </w:p>
    <w:p w14:paraId="779AA135">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21.1自成交人确定之日起2个工作日内，采购机构通过电子交易平台向成交人发出成交通知书，同时编制发布采购结果公告。采购机构也可以以纸质形式进行成交通知。</w:t>
      </w:r>
    </w:p>
    <w:p w14:paraId="05B63D83">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21.2成交结果公告内容包括采购人及其委托的采购机构的名称、地址、联系方式，项目名称和项目编号，成交人名称、地址和成交金额，主要成交标的的名称、规格型号、数量、单价、服务要求。</w:t>
      </w:r>
    </w:p>
    <w:p w14:paraId="544FC0A5">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21.3公告期限为1个工作日。</w:t>
      </w:r>
    </w:p>
    <w:p w14:paraId="2390DB14">
      <w:pPr>
        <w:snapToGrid w:val="0"/>
        <w:spacing w:line="360" w:lineRule="auto"/>
        <w:ind w:left="120" w:leftChars="57" w:firstLine="482" w:firstLineChars="150"/>
        <w:jc w:val="center"/>
        <w:rPr>
          <w:rFonts w:hint="eastAsia" w:ascii="仿宋" w:hAnsi="仿宋" w:eastAsia="仿宋" w:cs="仿宋"/>
          <w:b/>
          <w:color w:val="auto"/>
          <w:sz w:val="32"/>
          <w:highlight w:val="none"/>
        </w:rPr>
      </w:pPr>
    </w:p>
    <w:p w14:paraId="3B4320D3">
      <w:pPr>
        <w:snapToGrid w:val="0"/>
        <w:spacing w:line="360" w:lineRule="auto"/>
        <w:ind w:left="120" w:leftChars="57" w:firstLine="482" w:firstLineChars="150"/>
        <w:jc w:val="center"/>
        <w:rPr>
          <w:rFonts w:hint="eastAsia" w:ascii="仿宋" w:hAnsi="仿宋" w:eastAsia="仿宋" w:cs="仿宋"/>
          <w:b/>
          <w:color w:val="auto"/>
          <w:highlight w:val="none"/>
        </w:rPr>
      </w:pPr>
      <w:r>
        <w:rPr>
          <w:rFonts w:hint="eastAsia" w:ascii="仿宋" w:hAnsi="仿宋" w:eastAsia="仿宋" w:cs="仿宋"/>
          <w:b/>
          <w:color w:val="auto"/>
          <w:sz w:val="32"/>
          <w:highlight w:val="none"/>
        </w:rPr>
        <w:t>七、合同授予</w:t>
      </w:r>
    </w:p>
    <w:p w14:paraId="3D5575D8">
      <w:pPr>
        <w:pStyle w:val="24"/>
        <w:spacing w:line="360" w:lineRule="auto"/>
        <w:ind w:left="479" w:leftChars="228"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22. 合同的签订</w:t>
      </w:r>
    </w:p>
    <w:p w14:paraId="5EB37BD7">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22.1</w:t>
      </w:r>
      <w:r>
        <w:rPr>
          <w:rFonts w:hint="eastAsia" w:ascii="仿宋" w:hAnsi="仿宋" w:eastAsia="仿宋" w:cs="仿宋"/>
          <w:color w:val="auto"/>
          <w:kern w:val="0"/>
          <w:sz w:val="24"/>
          <w:highlight w:val="none"/>
        </w:rPr>
        <w:t xml:space="preserve"> 采购人与成交人应当通过电子交易平台在成交通知书发出之日起三十日内，按照交易文件确定的事项签订采购合同。</w:t>
      </w:r>
    </w:p>
    <w:p w14:paraId="3F7323ED">
      <w:pPr>
        <w:widowControl/>
        <w:shd w:val="clear" w:color="auto" w:fill="FFFFFF"/>
        <w:spacing w:line="360" w:lineRule="auto"/>
        <w:ind w:firstLine="480"/>
        <w:jc w:val="left"/>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w:t>
      </w:r>
      <w:r>
        <w:rPr>
          <w:rFonts w:hint="eastAsia" w:ascii="仿宋" w:hAnsi="仿宋" w:eastAsia="仿宋" w:cs="仿宋"/>
          <w:color w:val="auto"/>
          <w:kern w:val="0"/>
          <w:highlight w:val="none"/>
        </w:rPr>
        <w:t>2</w:t>
      </w:r>
      <w:r>
        <w:rPr>
          <w:rFonts w:hint="eastAsia" w:ascii="仿宋" w:hAnsi="仿宋" w:eastAsia="仿宋" w:cs="仿宋"/>
          <w:color w:val="auto"/>
          <w:kern w:val="0"/>
          <w:highlight w:val="none"/>
          <w:lang w:val="zh-CN"/>
        </w:rPr>
        <w:t>.2</w:t>
      </w:r>
      <w:r>
        <w:rPr>
          <w:rFonts w:hint="eastAsia" w:ascii="仿宋" w:hAnsi="仿宋" w:eastAsia="仿宋" w:cs="仿宋"/>
          <w:color w:val="auto"/>
          <w:kern w:val="0"/>
          <w:sz w:val="24"/>
          <w:highlight w:val="none"/>
          <w:lang w:val="zh-CN"/>
        </w:rPr>
        <w:t>成交人按规定的日期、时间、地点，由法定代表人或其授权代表与采购人代表签订合同。如成交人为联合体的，由联合体成员各方法定代表人或其授权代表与采购人代表签订合同。</w:t>
      </w:r>
    </w:p>
    <w:p w14:paraId="5D4FFD9B">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22.3如签订合同并生效后，</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无故拒绝或延期，除按照合同条款处理外，列入不良行为记录一次，并给予通报。</w:t>
      </w:r>
    </w:p>
    <w:p w14:paraId="73ADF558">
      <w:pPr>
        <w:pStyle w:val="131"/>
        <w:snapToGrid w:val="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highlight w:val="none"/>
        </w:rPr>
        <w:t>22.4成交</w:t>
      </w:r>
      <w:r>
        <w:rPr>
          <w:rFonts w:hint="eastAsia" w:ascii="仿宋" w:hAnsi="仿宋" w:eastAsia="仿宋" w:cs="仿宋"/>
          <w:color w:val="auto"/>
          <w:kern w:val="0"/>
          <w:szCs w:val="24"/>
          <w:highlight w:val="none"/>
          <w:lang w:eastAsia="zh-CN"/>
        </w:rPr>
        <w:t>响应人</w:t>
      </w:r>
      <w:r>
        <w:rPr>
          <w:rFonts w:hint="eastAsia" w:ascii="仿宋" w:hAnsi="仿宋" w:eastAsia="仿宋" w:cs="仿宋"/>
          <w:color w:val="auto"/>
          <w:kern w:val="0"/>
          <w:szCs w:val="24"/>
          <w:highlight w:val="none"/>
        </w:rPr>
        <w:t>拒绝与采购人签订合同的，采购人可以按照评审报告推荐的成交或者成交候选人名单排序，确定下一候选人为成交</w:t>
      </w:r>
      <w:r>
        <w:rPr>
          <w:rFonts w:hint="eastAsia" w:ascii="仿宋" w:hAnsi="仿宋" w:eastAsia="仿宋" w:cs="仿宋"/>
          <w:color w:val="auto"/>
          <w:kern w:val="0"/>
          <w:szCs w:val="24"/>
          <w:highlight w:val="none"/>
          <w:lang w:eastAsia="zh-CN"/>
        </w:rPr>
        <w:t>响应人</w:t>
      </w:r>
      <w:r>
        <w:rPr>
          <w:rFonts w:hint="eastAsia" w:ascii="仿宋" w:hAnsi="仿宋" w:eastAsia="仿宋" w:cs="仿宋"/>
          <w:color w:val="auto"/>
          <w:kern w:val="0"/>
          <w:szCs w:val="24"/>
          <w:highlight w:val="none"/>
        </w:rPr>
        <w:t>，也可以重新开展采购活动。</w:t>
      </w:r>
    </w:p>
    <w:p w14:paraId="716EF25C">
      <w:pPr>
        <w:pStyle w:val="131"/>
        <w:snapToGrid w:val="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22.5采购合同由采购人与成交</w:t>
      </w:r>
      <w:r>
        <w:rPr>
          <w:rFonts w:hint="eastAsia" w:ascii="仿宋" w:hAnsi="仿宋" w:eastAsia="仿宋" w:cs="仿宋"/>
          <w:color w:val="auto"/>
          <w:kern w:val="0"/>
          <w:szCs w:val="24"/>
          <w:highlight w:val="none"/>
          <w:lang w:eastAsia="zh-CN"/>
        </w:rPr>
        <w:t>响应人</w:t>
      </w:r>
      <w:r>
        <w:rPr>
          <w:rFonts w:hint="eastAsia" w:ascii="仿宋" w:hAnsi="仿宋" w:eastAsia="仿宋" w:cs="仿宋"/>
          <w:color w:val="auto"/>
          <w:kern w:val="0"/>
          <w:szCs w:val="24"/>
          <w:highlight w:val="none"/>
        </w:rPr>
        <w:t>根据交易文件、响应文件等内容通过采购电子交易平台在线签订，自动备案。</w:t>
      </w:r>
    </w:p>
    <w:p w14:paraId="6F7F4104">
      <w:pPr>
        <w:pStyle w:val="24"/>
        <w:spacing w:line="360" w:lineRule="auto"/>
        <w:ind w:left="479" w:leftChars="228"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23. 履约保证金</w:t>
      </w:r>
    </w:p>
    <w:p w14:paraId="2CEAE639">
      <w:pPr>
        <w:tabs>
          <w:tab w:val="left" w:pos="0"/>
        </w:tabs>
        <w:spacing w:line="360" w:lineRule="auto"/>
        <w:ind w:firstLine="482"/>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rPr>
        <w:t>拟签订的合同文本要求成交</w:t>
      </w:r>
      <w:r>
        <w:rPr>
          <w:rFonts w:hint="eastAsia" w:ascii="仿宋" w:hAnsi="仿宋" w:eastAsia="仿宋" w:cs="仿宋"/>
          <w:color w:val="auto"/>
          <w:kern w:val="0"/>
          <w:sz w:val="24"/>
          <w:highlight w:val="none"/>
          <w:lang w:eastAsia="zh-CN"/>
        </w:rPr>
        <w:t>响应人</w:t>
      </w:r>
      <w:r>
        <w:rPr>
          <w:rFonts w:hint="eastAsia" w:ascii="仿宋" w:hAnsi="仿宋" w:eastAsia="仿宋" w:cs="仿宋"/>
          <w:color w:val="auto"/>
          <w:kern w:val="0"/>
          <w:sz w:val="24"/>
          <w:highlight w:val="none"/>
        </w:rPr>
        <w:t>提交履约保证金的，</w:t>
      </w:r>
      <w:r>
        <w:rPr>
          <w:rFonts w:hint="eastAsia" w:ascii="仿宋" w:hAnsi="仿宋" w:eastAsia="仿宋" w:cs="仿宋"/>
          <w:color w:val="auto"/>
          <w:kern w:val="0"/>
          <w:sz w:val="24"/>
          <w:highlight w:val="none"/>
          <w:lang w:eastAsia="zh-CN"/>
        </w:rPr>
        <w:t>响应人</w:t>
      </w:r>
      <w:r>
        <w:rPr>
          <w:rFonts w:hint="eastAsia" w:ascii="仿宋" w:hAnsi="仿宋" w:eastAsia="仿宋" w:cs="仿宋"/>
          <w:color w:val="auto"/>
          <w:kern w:val="0"/>
          <w:sz w:val="24"/>
          <w:highlight w:val="none"/>
        </w:rPr>
        <w:t>应当以支票、汇票、本票或者金融机构、担保机构出具的保函等非现金形式提交</w:t>
      </w:r>
      <w:r>
        <w:rPr>
          <w:rFonts w:hint="eastAsia" w:ascii="仿宋" w:hAnsi="仿宋" w:eastAsia="仿宋" w:cs="仿宋"/>
          <w:color w:val="auto"/>
          <w:sz w:val="24"/>
          <w:highlight w:val="none"/>
        </w:rPr>
        <w:t>。鼓励和支持</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以银行、保险公司出具的保函形式提供履约保证金。</w:t>
      </w:r>
      <w:r>
        <w:rPr>
          <w:rFonts w:hint="eastAsia" w:ascii="仿宋" w:hAnsi="仿宋" w:eastAsia="仿宋" w:cs="仿宋"/>
          <w:b/>
          <w:color w:val="auto"/>
          <w:sz w:val="24"/>
          <w:highlight w:val="none"/>
        </w:rPr>
        <w:t>采购人不得拒收履约保函，项目验收结束后应及时退还。</w:t>
      </w:r>
    </w:p>
    <w:p w14:paraId="12173204">
      <w:pPr>
        <w:pStyle w:val="59"/>
        <w:rPr>
          <w:rFonts w:hint="eastAsia" w:ascii="仿宋" w:hAnsi="仿宋" w:eastAsia="仿宋" w:cs="仿宋"/>
          <w:color w:val="auto"/>
          <w:highlight w:val="none"/>
        </w:rPr>
      </w:pPr>
    </w:p>
    <w:p w14:paraId="602396F4">
      <w:pPr>
        <w:snapToGrid w:val="0"/>
        <w:spacing w:line="360" w:lineRule="auto"/>
        <w:ind w:firstLine="3357" w:firstLineChars="1045"/>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652B6774">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bCs/>
          <w:color w:val="auto"/>
          <w:szCs w:val="24"/>
          <w:highlight w:val="none"/>
        </w:rPr>
        <w:t>4.</w:t>
      </w:r>
      <w:r>
        <w:rPr>
          <w:rFonts w:hint="eastAsia" w:ascii="仿宋" w:hAnsi="仿宋" w:eastAsia="仿宋" w:cs="仿宋"/>
          <w:b/>
          <w:color w:val="auto"/>
          <w:szCs w:val="24"/>
          <w:highlight w:val="none"/>
        </w:rPr>
        <w:t xml:space="preserve">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采购过程中出现以下情形，导致电子交易平台无法正常运行，或者无法保证电子交易的公平、公正和安全时，采购机构可中止电子交易活动：</w:t>
      </w:r>
    </w:p>
    <w:p w14:paraId="0520FCE9">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24.1电子交易平台发生故障而无法登录访问的； </w:t>
      </w:r>
    </w:p>
    <w:p w14:paraId="2DE4BD9B">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24.2电子交易平台应用或数据库出现错误，不能进行正常操作的；</w:t>
      </w:r>
    </w:p>
    <w:p w14:paraId="4D17E99C">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24.3电子交易平台发现严重安全漏洞，有潜在泄密危险的；</w:t>
      </w:r>
    </w:p>
    <w:p w14:paraId="2E729DC0">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24.4病毒发作导致不能进行正常操作的； </w:t>
      </w:r>
    </w:p>
    <w:p w14:paraId="02CB29FC">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24.5其他无法保证电子交易的公平、公正和安全的情况。</w:t>
      </w:r>
    </w:p>
    <w:p w14:paraId="7991A118">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25.出现以上情形，不影响采购公平、公正性的，采购组织机构可以待上述情形消除后继续组织电子交易活动，也可以决定某些环节以纸质形式进行；影响或可能影响采购公平、公正性的，应当重新采购。</w:t>
      </w:r>
    </w:p>
    <w:p w14:paraId="61EFB221">
      <w:pPr>
        <w:tabs>
          <w:tab w:val="left" w:pos="0"/>
        </w:tabs>
        <w:spacing w:line="360" w:lineRule="auto"/>
        <w:ind w:firstLine="480"/>
        <w:rPr>
          <w:rFonts w:hint="eastAsia" w:ascii="仿宋" w:hAnsi="仿宋" w:eastAsia="仿宋" w:cs="仿宋"/>
          <w:color w:val="auto"/>
          <w:sz w:val="24"/>
          <w:highlight w:val="none"/>
        </w:rPr>
      </w:pPr>
    </w:p>
    <w:p w14:paraId="787DFCC1">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4A06944C">
      <w:pPr>
        <w:pStyle w:val="24"/>
        <w:spacing w:line="360" w:lineRule="auto"/>
        <w:ind w:firstLine="482"/>
        <w:rPr>
          <w:rFonts w:hint="eastAsia" w:ascii="仿宋" w:hAnsi="仿宋" w:eastAsia="仿宋" w:cs="仿宋"/>
          <w:b/>
          <w:color w:val="auto"/>
          <w:highlight w:val="none"/>
        </w:rPr>
      </w:pPr>
      <w:r>
        <w:rPr>
          <w:rFonts w:hint="eastAsia" w:ascii="仿宋" w:hAnsi="仿宋" w:eastAsia="仿宋" w:cs="仿宋"/>
          <w:b/>
          <w:color w:val="auto"/>
          <w:highlight w:val="none"/>
        </w:rPr>
        <w:t>26.验收</w:t>
      </w:r>
    </w:p>
    <w:bookmarkEnd w:id="14"/>
    <w:bookmarkEnd w:id="15"/>
    <w:bookmarkEnd w:id="16"/>
    <w:p w14:paraId="4AD2BE87">
      <w:pPr>
        <w:tabs>
          <w:tab w:val="left" w:pos="0"/>
        </w:tabs>
        <w:spacing w:line="360" w:lineRule="auto"/>
        <w:ind w:firstLine="480"/>
        <w:rPr>
          <w:rFonts w:ascii="仿宋" w:hAnsi="仿宋" w:eastAsia="仿宋" w:cs="仿宋"/>
          <w:color w:val="auto"/>
          <w:kern w:val="0"/>
          <w:sz w:val="24"/>
          <w:highlight w:val="none"/>
        </w:rPr>
      </w:pPr>
      <w:bookmarkStart w:id="17" w:name="第四部分"/>
      <w:r>
        <w:rPr>
          <w:rFonts w:hint="eastAsia" w:ascii="仿宋" w:hAnsi="仿宋" w:eastAsia="仿宋" w:cs="仿宋"/>
          <w:color w:val="auto"/>
          <w:kern w:val="0"/>
          <w:sz w:val="24"/>
          <w:highlight w:val="none"/>
          <w:lang w:val="en-US" w:eastAsia="zh-CN"/>
        </w:rPr>
        <w:t>26</w:t>
      </w:r>
      <w:r>
        <w:rPr>
          <w:rFonts w:hint="eastAsia" w:ascii="仿宋" w:hAnsi="仿宋" w:eastAsia="仿宋" w:cs="仿宋"/>
          <w:color w:val="auto"/>
          <w:kern w:val="0"/>
          <w:sz w:val="24"/>
          <w:highlight w:val="none"/>
        </w:rPr>
        <w:t>.1采购人组织对</w:t>
      </w:r>
      <w:r>
        <w:rPr>
          <w:rFonts w:hint="eastAsia" w:ascii="仿宋" w:hAnsi="仿宋" w:eastAsia="仿宋" w:cs="仿宋"/>
          <w:color w:val="auto"/>
          <w:kern w:val="0"/>
          <w:sz w:val="24"/>
          <w:highlight w:val="none"/>
          <w:lang w:eastAsia="zh-CN"/>
        </w:rPr>
        <w:t>响应人</w:t>
      </w:r>
      <w:r>
        <w:rPr>
          <w:rFonts w:hint="eastAsia" w:ascii="仿宋" w:hAnsi="仿宋" w:eastAsia="仿宋" w:cs="仿宋"/>
          <w:color w:val="auto"/>
          <w:kern w:val="0"/>
          <w:sz w:val="24"/>
          <w:highlight w:val="none"/>
        </w:rPr>
        <w:t>履约的验收。验收方成员应当在验收书上签字，并承担相应的法律责任。如果发现与合同中要求不符，</w:t>
      </w:r>
      <w:r>
        <w:rPr>
          <w:rFonts w:hint="eastAsia" w:ascii="仿宋" w:hAnsi="仿宋" w:eastAsia="仿宋" w:cs="仿宋"/>
          <w:color w:val="auto"/>
          <w:kern w:val="0"/>
          <w:sz w:val="24"/>
          <w:highlight w:val="none"/>
          <w:lang w:eastAsia="zh-CN"/>
        </w:rPr>
        <w:t>响应人</w:t>
      </w:r>
      <w:r>
        <w:rPr>
          <w:rFonts w:hint="eastAsia" w:ascii="仿宋" w:hAnsi="仿宋" w:eastAsia="仿宋" w:cs="仿宋"/>
          <w:color w:val="auto"/>
          <w:kern w:val="0"/>
          <w:sz w:val="24"/>
          <w:highlight w:val="none"/>
        </w:rPr>
        <w:t>须承担由此发生的一切损失和费用，并接受相应的处理。</w:t>
      </w:r>
    </w:p>
    <w:p w14:paraId="7D2A822C">
      <w:pPr>
        <w:tabs>
          <w:tab w:val="left" w:pos="0"/>
        </w:tabs>
        <w:spacing w:line="360" w:lineRule="auto"/>
        <w:ind w:firstLine="480"/>
        <w:rPr>
          <w:rFonts w:hint="eastAsia" w:ascii="仿宋" w:hAnsi="仿宋" w:eastAsia="仿宋" w:cs="仿宋"/>
          <w:b/>
          <w:color w:val="auto"/>
          <w:sz w:val="36"/>
          <w:szCs w:val="36"/>
          <w:highlight w:val="none"/>
        </w:rPr>
      </w:pPr>
      <w:r>
        <w:rPr>
          <w:rFonts w:hint="eastAsia" w:ascii="仿宋" w:hAnsi="仿宋" w:eastAsia="仿宋" w:cs="仿宋"/>
          <w:color w:val="auto"/>
          <w:kern w:val="0"/>
          <w:sz w:val="24"/>
          <w:highlight w:val="none"/>
          <w:lang w:val="en-US" w:eastAsia="zh-CN"/>
        </w:rPr>
        <w:t>26</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严格按照采购合同开展履约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6A2C8B0">
      <w:pPr>
        <w:spacing w:line="360" w:lineRule="auto"/>
        <w:jc w:val="center"/>
        <w:outlineLvl w:val="0"/>
        <w:rPr>
          <w:rFonts w:hint="eastAsia" w:ascii="仿宋" w:hAnsi="仿宋" w:eastAsia="仿宋" w:cs="仿宋"/>
          <w:b/>
          <w:color w:val="auto"/>
          <w:sz w:val="36"/>
          <w:szCs w:val="36"/>
          <w:highlight w:val="none"/>
        </w:rPr>
      </w:pPr>
    </w:p>
    <w:p w14:paraId="596A8D25">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3D6A0B0D">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第三部分   采购需求</w:t>
      </w:r>
    </w:p>
    <w:p w14:paraId="411769FB">
      <w:pPr>
        <w:snapToGrid w:val="0"/>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属于实质性要求条款的，请用符号“▲”标明，否则属于非实质性要求。</w:t>
      </w:r>
    </w:p>
    <w:p w14:paraId="60395DCB">
      <w:pPr>
        <w:snapToGrid w:val="0"/>
        <w:spacing w:line="360" w:lineRule="auto"/>
        <w:ind w:firstLine="48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“★”系产品采购项目中单一产品或核心产品。</w:t>
      </w:r>
    </w:p>
    <w:tbl>
      <w:tblPr>
        <w:tblStyle w:val="64"/>
        <w:tblpPr w:leftFromText="180" w:rightFromText="180" w:vertAnchor="text" w:horzAnchor="margin" w:tblpXSpec="center" w:tblpY="55"/>
        <w:tblW w:w="8578" w:type="dxa"/>
        <w:tblInd w:w="0" w:type="dxa"/>
        <w:tblLayout w:type="fixed"/>
        <w:tblCellMar>
          <w:top w:w="0" w:type="dxa"/>
          <w:left w:w="0" w:type="dxa"/>
          <w:bottom w:w="0" w:type="dxa"/>
          <w:right w:w="0" w:type="dxa"/>
        </w:tblCellMar>
      </w:tblPr>
      <w:tblGrid>
        <w:gridCol w:w="744"/>
        <w:gridCol w:w="3240"/>
        <w:gridCol w:w="891"/>
        <w:gridCol w:w="836"/>
        <w:gridCol w:w="2044"/>
        <w:gridCol w:w="823"/>
      </w:tblGrid>
      <w:tr w14:paraId="19943C7A">
        <w:tblPrEx>
          <w:tblCellMar>
            <w:top w:w="0" w:type="dxa"/>
            <w:left w:w="0" w:type="dxa"/>
            <w:bottom w:w="0" w:type="dxa"/>
            <w:right w:w="0" w:type="dxa"/>
          </w:tblCellMar>
        </w:tblPrEx>
        <w:trPr>
          <w:cantSplit/>
          <w:trHeight w:val="557" w:hRule="atLeast"/>
        </w:trPr>
        <w:tc>
          <w:tcPr>
            <w:tcW w:w="7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8F7AFC9">
            <w:pPr>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标项</w:t>
            </w:r>
          </w:p>
        </w:tc>
        <w:tc>
          <w:tcPr>
            <w:tcW w:w="324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0A930A6">
            <w:pPr>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名称</w:t>
            </w:r>
          </w:p>
        </w:tc>
        <w:tc>
          <w:tcPr>
            <w:tcW w:w="89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A9C2B49">
            <w:pPr>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数量</w:t>
            </w:r>
          </w:p>
        </w:tc>
        <w:tc>
          <w:tcPr>
            <w:tcW w:w="83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5EDD0E1">
            <w:pPr>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单位</w:t>
            </w:r>
          </w:p>
        </w:tc>
        <w:tc>
          <w:tcPr>
            <w:tcW w:w="204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BD6727F">
            <w:pPr>
              <w:jc w:val="center"/>
              <w:rPr>
                <w:rFonts w:hint="eastAsia" w:ascii="仿宋" w:hAnsi="仿宋" w:eastAsia="仿宋" w:cs="仿宋"/>
                <w:bCs/>
                <w:color w:val="auto"/>
                <w:sz w:val="24"/>
                <w:highlight w:val="none"/>
              </w:rPr>
            </w:pPr>
            <w:r>
              <w:rPr>
                <w:rFonts w:hint="eastAsia" w:ascii="仿宋" w:hAnsi="仿宋" w:eastAsia="仿宋" w:cs="仿宋"/>
                <w:color w:val="auto"/>
                <w:kern w:val="0"/>
                <w:sz w:val="24"/>
                <w:highlight w:val="none"/>
              </w:rPr>
              <w:t>基本描述或介绍</w:t>
            </w:r>
          </w:p>
        </w:tc>
        <w:tc>
          <w:tcPr>
            <w:tcW w:w="823" w:type="dxa"/>
            <w:tcBorders>
              <w:top w:val="single" w:color="auto" w:sz="4" w:space="0"/>
              <w:left w:val="nil"/>
              <w:bottom w:val="single" w:color="auto" w:sz="4" w:space="0"/>
              <w:right w:val="single" w:color="auto" w:sz="4" w:space="0"/>
            </w:tcBorders>
            <w:vAlign w:val="center"/>
          </w:tcPr>
          <w:p w14:paraId="288D0000">
            <w:pPr>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备注</w:t>
            </w:r>
          </w:p>
        </w:tc>
      </w:tr>
      <w:tr w14:paraId="559D39DB">
        <w:tblPrEx>
          <w:tblCellMar>
            <w:top w:w="0" w:type="dxa"/>
            <w:left w:w="0" w:type="dxa"/>
            <w:bottom w:w="0" w:type="dxa"/>
            <w:right w:w="0" w:type="dxa"/>
          </w:tblCellMar>
        </w:tblPrEx>
        <w:trPr>
          <w:cantSplit/>
          <w:trHeight w:val="670" w:hRule="atLeast"/>
        </w:trPr>
        <w:tc>
          <w:tcPr>
            <w:tcW w:w="7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3218CFA">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32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92B0009">
            <w:pPr>
              <w:widowControl/>
              <w:spacing w:before="75" w:after="75" w:line="36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329国道萧山进化至戴村段工程（柯桥界至萧山塘湄线段）全过程招标代理</w:t>
            </w:r>
          </w:p>
        </w:tc>
        <w:tc>
          <w:tcPr>
            <w:tcW w:w="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E2E2886">
            <w:pPr>
              <w:widowControl/>
              <w:spacing w:before="75" w:after="75" w:line="36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83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361508B">
            <w:pPr>
              <w:widowControl/>
              <w:spacing w:before="75" w:after="75" w:line="36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w:t>
            </w:r>
          </w:p>
        </w:tc>
        <w:tc>
          <w:tcPr>
            <w:tcW w:w="20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F98C703">
            <w:pPr>
              <w:widowControl/>
              <w:spacing w:before="75" w:after="75" w:line="360" w:lineRule="atLeast"/>
              <w:jc w:val="center"/>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详见交易需求</w:t>
            </w:r>
          </w:p>
        </w:tc>
        <w:tc>
          <w:tcPr>
            <w:tcW w:w="823" w:type="dxa"/>
            <w:tcBorders>
              <w:top w:val="single" w:color="auto" w:sz="4" w:space="0"/>
              <w:left w:val="single" w:color="auto" w:sz="4" w:space="0"/>
              <w:bottom w:val="single" w:color="auto" w:sz="4" w:space="0"/>
              <w:right w:val="single" w:color="auto" w:sz="4" w:space="0"/>
            </w:tcBorders>
            <w:vAlign w:val="center"/>
          </w:tcPr>
          <w:p w14:paraId="52454945">
            <w:pPr>
              <w:jc w:val="center"/>
              <w:rPr>
                <w:rFonts w:hint="eastAsia" w:ascii="仿宋" w:hAnsi="仿宋" w:eastAsia="仿宋" w:cs="仿宋"/>
                <w:color w:val="auto"/>
                <w:sz w:val="24"/>
                <w:highlight w:val="none"/>
              </w:rPr>
            </w:pPr>
          </w:p>
        </w:tc>
      </w:tr>
    </w:tbl>
    <w:p w14:paraId="37E28A17">
      <w:pPr>
        <w:keepNext w:val="0"/>
        <w:keepLines w:val="0"/>
        <w:pageBreakBefore w:val="0"/>
        <w:widowControl/>
        <w:kinsoku/>
        <w:wordWrap/>
        <w:overflowPunct/>
        <w:topLinePunct w:val="0"/>
        <w:autoSpaceDE w:val="0"/>
        <w:autoSpaceDN w:val="0"/>
        <w:bidi w:val="0"/>
        <w:adjustRightInd w:val="0"/>
        <w:snapToGrid w:val="0"/>
        <w:spacing w:line="360" w:lineRule="auto"/>
        <w:ind w:left="16"/>
        <w:textAlignment w:val="baseline"/>
        <w:outlineLvl w:val="2"/>
        <w:rPr>
          <w:rFonts w:hint="eastAsia" w:ascii="仿宋" w:hAnsi="仿宋" w:eastAsia="仿宋" w:cs="仿宋"/>
          <w:color w:val="auto"/>
          <w:spacing w:val="1"/>
          <w:sz w:val="24"/>
          <w:szCs w:val="24"/>
          <w:highlight w:val="none"/>
        </w:rPr>
      </w:pPr>
    </w:p>
    <w:p w14:paraId="37E241F0">
      <w:pPr>
        <w:keepNext w:val="0"/>
        <w:keepLines w:val="0"/>
        <w:pageBreakBefore w:val="0"/>
        <w:widowControl/>
        <w:kinsoku/>
        <w:wordWrap/>
        <w:overflowPunct/>
        <w:topLinePunct w:val="0"/>
        <w:autoSpaceDE w:val="0"/>
        <w:autoSpaceDN w:val="0"/>
        <w:bidi w:val="0"/>
        <w:adjustRightInd w:val="0"/>
        <w:snapToGrid w:val="0"/>
        <w:spacing w:line="360" w:lineRule="auto"/>
        <w:ind w:left="16"/>
        <w:textAlignment w:val="baseline"/>
        <w:outlineLvl w:val="2"/>
        <w:rPr>
          <w:rFonts w:hint="eastAsia" w:ascii="仿宋" w:hAnsi="仿宋" w:eastAsia="仿宋" w:cs="仿宋"/>
          <w:color w:val="auto"/>
          <w:spacing w:val="1"/>
          <w:sz w:val="24"/>
          <w:szCs w:val="24"/>
          <w:highlight w:val="none"/>
        </w:rPr>
      </w:pPr>
      <w:r>
        <w:rPr>
          <w:rFonts w:hint="eastAsia" w:ascii="仿宋" w:hAnsi="仿宋" w:eastAsia="仿宋" w:cs="仿宋"/>
          <w:b/>
          <w:bCs/>
          <w:color w:val="auto"/>
          <w:spacing w:val="1"/>
          <w:sz w:val="24"/>
          <w:szCs w:val="24"/>
          <w:highlight w:val="none"/>
        </w:rPr>
        <w:t>1.1 项目概况</w:t>
      </w:r>
    </w:p>
    <w:p w14:paraId="54A7EF22">
      <w:pPr>
        <w:keepNext w:val="0"/>
        <w:keepLines w:val="0"/>
        <w:pageBreakBefore w:val="0"/>
        <w:widowControl/>
        <w:kinsoku/>
        <w:wordWrap/>
        <w:overflowPunct/>
        <w:topLinePunct w:val="0"/>
        <w:autoSpaceDE w:val="0"/>
        <w:autoSpaceDN w:val="0"/>
        <w:bidi w:val="0"/>
        <w:adjustRightInd w:val="0"/>
        <w:snapToGrid w:val="0"/>
        <w:spacing w:line="360" w:lineRule="auto"/>
        <w:ind w:firstLine="520" w:firstLineChars="200"/>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0"/>
          <w:sz w:val="24"/>
          <w:szCs w:val="24"/>
          <w:highlight w:val="none"/>
        </w:rPr>
        <w:t>1.1.</w:t>
      </w:r>
      <w:r>
        <w:rPr>
          <w:rFonts w:hint="eastAsia" w:ascii="仿宋" w:hAnsi="仿宋" w:eastAsia="仿宋" w:cs="仿宋"/>
          <w:color w:val="auto"/>
          <w:spacing w:val="5"/>
          <w:sz w:val="24"/>
          <w:szCs w:val="24"/>
          <w:highlight w:val="none"/>
        </w:rPr>
        <w:t>1 项目名称：329国道萧山进化至戴村段工程（柯桥界至萧山塘湄线段）全过程招标代理</w:t>
      </w:r>
      <w:r>
        <w:rPr>
          <w:rFonts w:hint="eastAsia" w:ascii="仿宋" w:hAnsi="仿宋" w:eastAsia="仿宋" w:cs="仿宋"/>
          <w:color w:val="auto"/>
          <w:spacing w:val="5"/>
          <w:sz w:val="24"/>
          <w:szCs w:val="24"/>
          <w:highlight w:val="none"/>
          <w:lang w:eastAsia="zh-CN"/>
        </w:rPr>
        <w:t>。</w:t>
      </w:r>
    </w:p>
    <w:p w14:paraId="0EEF3865">
      <w:pPr>
        <w:keepNext w:val="0"/>
        <w:keepLines w:val="0"/>
        <w:pageBreakBefore w:val="0"/>
        <w:widowControl/>
        <w:kinsoku/>
        <w:wordWrap/>
        <w:overflowPunct/>
        <w:topLinePunct w:val="0"/>
        <w:autoSpaceDE w:val="0"/>
        <w:autoSpaceDN w:val="0"/>
        <w:bidi w:val="0"/>
        <w:adjustRightInd w:val="0"/>
        <w:snapToGrid w:val="0"/>
        <w:spacing w:line="360" w:lineRule="auto"/>
        <w:ind w:firstLine="52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rPr>
        <w:t>1.</w:t>
      </w:r>
      <w:r>
        <w:rPr>
          <w:rFonts w:hint="eastAsia" w:ascii="仿宋" w:hAnsi="仿宋" w:eastAsia="仿宋" w:cs="仿宋"/>
          <w:color w:val="auto"/>
          <w:spacing w:val="6"/>
          <w:sz w:val="24"/>
          <w:szCs w:val="24"/>
          <w:highlight w:val="none"/>
        </w:rPr>
        <w:t>1</w:t>
      </w:r>
      <w:r>
        <w:rPr>
          <w:rFonts w:hint="eastAsia" w:ascii="仿宋" w:hAnsi="仿宋" w:eastAsia="仿宋" w:cs="仿宋"/>
          <w:color w:val="auto"/>
          <w:spacing w:val="5"/>
          <w:sz w:val="24"/>
          <w:szCs w:val="24"/>
          <w:highlight w:val="none"/>
        </w:rPr>
        <w:t>.2 项目地点及周围环境：杭州</w:t>
      </w:r>
      <w:r>
        <w:rPr>
          <w:rFonts w:hint="eastAsia" w:ascii="仿宋" w:hAnsi="仿宋" w:eastAsia="仿宋" w:cs="仿宋"/>
          <w:color w:val="auto"/>
          <w:spacing w:val="5"/>
          <w:sz w:val="24"/>
          <w:szCs w:val="24"/>
          <w:highlight w:val="none"/>
          <w:lang w:val="en-US" w:eastAsia="zh-CN"/>
        </w:rPr>
        <w:t>萧山</w:t>
      </w:r>
      <w:r>
        <w:rPr>
          <w:rFonts w:hint="eastAsia" w:ascii="仿宋" w:hAnsi="仿宋" w:eastAsia="仿宋" w:cs="仿宋"/>
          <w:color w:val="auto"/>
          <w:spacing w:val="5"/>
          <w:sz w:val="24"/>
          <w:szCs w:val="24"/>
          <w:highlight w:val="none"/>
        </w:rPr>
        <w:t>区。</w:t>
      </w:r>
    </w:p>
    <w:p w14:paraId="1D77005D">
      <w:pPr>
        <w:keepNext w:val="0"/>
        <w:keepLines w:val="0"/>
        <w:pageBreakBefore w:val="0"/>
        <w:widowControl/>
        <w:kinsoku/>
        <w:wordWrap/>
        <w:overflowPunct/>
        <w:topLinePunct w:val="0"/>
        <w:autoSpaceDE w:val="0"/>
        <w:autoSpaceDN w:val="0"/>
        <w:bidi w:val="0"/>
        <w:adjustRightInd w:val="0"/>
        <w:snapToGrid w:val="0"/>
        <w:spacing w:line="360" w:lineRule="auto"/>
        <w:ind w:left="4" w:leftChars="0" w:right="28" w:firstLine="493" w:firstLineChars="196"/>
        <w:textAlignment w:val="baseline"/>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1.1.3 项目规模：</w:t>
      </w:r>
    </w:p>
    <w:p w14:paraId="4B06A8D9">
      <w:pPr>
        <w:keepNext w:val="0"/>
        <w:keepLines w:val="0"/>
        <w:pageBreakBefore w:val="0"/>
        <w:widowControl/>
        <w:kinsoku/>
        <w:wordWrap/>
        <w:overflowPunct/>
        <w:topLinePunct w:val="0"/>
        <w:autoSpaceDE w:val="0"/>
        <w:autoSpaceDN w:val="0"/>
        <w:bidi w:val="0"/>
        <w:adjustRightInd w:val="0"/>
        <w:snapToGrid w:val="0"/>
        <w:spacing w:line="360" w:lineRule="auto"/>
        <w:ind w:firstLine="500" w:firstLineChars="200"/>
        <w:textAlignment w:val="baseline"/>
        <w:rPr>
          <w:rFonts w:hint="eastAsia" w:ascii="仿宋" w:hAnsi="仿宋" w:eastAsia="仿宋" w:cs="仿宋"/>
          <w:color w:val="auto"/>
          <w:spacing w:val="5"/>
          <w:sz w:val="24"/>
          <w:szCs w:val="24"/>
          <w:highlight w:val="none"/>
          <w:lang w:val="en-US" w:eastAsia="zh-CN"/>
        </w:rPr>
      </w:pPr>
      <w:r>
        <w:rPr>
          <w:rFonts w:hint="eastAsia" w:ascii="仿宋" w:hAnsi="仿宋" w:eastAsia="仿宋" w:cs="仿宋"/>
          <w:color w:val="auto"/>
          <w:spacing w:val="5"/>
          <w:sz w:val="24"/>
          <w:szCs w:val="24"/>
          <w:highlight w:val="none"/>
          <w:lang w:val="en-US" w:eastAsia="zh-CN"/>
        </w:rPr>
        <w:t>本项目推荐方案起点拟位于杭州萧山与绍兴柯桥交界处，与329国道上虞至临安公路柯桥钱清至萧山界段改建工程在安基岗隧道内顺接，终点与塘湄线交叉，远期设置进化互通，近期采用菱形互通与塘湄线平交，路线全长约6.28km。拟采用中华人民共和国交通运输部颁发《公路工程技术标准》（JTGB01-2014）中的干线一级公路技术标准，设计速度80km/h，双向六车道，路基宽度32.5米。建设内容：路基、路面、桥梁、涵洞、隧道、交叉、交通安全设施、绿化与环境保护设施、交通工程及沿线设施、其他工程等。工程规模：主线路线全长约6.28公里，设桥梁约2002米/5座（其中单座桥梁最长约874m，单跨最大跨径约114m）、隧道约2449米/1座（单洞三车道，净宽15米，净高5米，其中本项目范围内隧道长度1624米）、互通1.5处（平阳互通、进化互通塘湄线以东部分）、养护工区1处以及必要的配套设施。本工程总投资为35.8317亿元，建筑安装工程费约15.0155亿元。（具体以初步设计批复文件为准）。</w:t>
      </w:r>
    </w:p>
    <w:p w14:paraId="1D335B86">
      <w:pPr>
        <w:keepNext w:val="0"/>
        <w:keepLines w:val="0"/>
        <w:pageBreakBefore w:val="0"/>
        <w:widowControl/>
        <w:kinsoku/>
        <w:wordWrap/>
        <w:overflowPunct/>
        <w:topLinePunct w:val="0"/>
        <w:autoSpaceDE w:val="0"/>
        <w:autoSpaceDN w:val="0"/>
        <w:bidi w:val="0"/>
        <w:adjustRightInd w:val="0"/>
        <w:snapToGrid w:val="0"/>
        <w:spacing w:line="360" w:lineRule="auto"/>
        <w:ind w:left="16"/>
        <w:textAlignment w:val="baseline"/>
        <w:outlineLvl w:val="2"/>
        <w:rPr>
          <w:rFonts w:hint="eastAsia" w:ascii="仿宋" w:hAnsi="仿宋" w:eastAsia="仿宋" w:cs="仿宋"/>
          <w:b/>
          <w:bCs/>
          <w:color w:val="auto"/>
          <w:spacing w:val="1"/>
          <w:sz w:val="24"/>
          <w:szCs w:val="24"/>
          <w:highlight w:val="none"/>
        </w:rPr>
      </w:pPr>
      <w:r>
        <w:rPr>
          <w:rFonts w:hint="eastAsia" w:ascii="仿宋" w:hAnsi="仿宋" w:eastAsia="仿宋" w:cs="仿宋"/>
          <w:b/>
          <w:bCs/>
          <w:color w:val="auto"/>
          <w:spacing w:val="1"/>
          <w:sz w:val="24"/>
          <w:szCs w:val="24"/>
          <w:highlight w:val="none"/>
        </w:rPr>
        <w:t>1.2 有关单位和机构</w:t>
      </w:r>
    </w:p>
    <w:p w14:paraId="1571C7E5">
      <w:pPr>
        <w:keepNext w:val="0"/>
        <w:keepLines w:val="0"/>
        <w:pageBreakBefore w:val="0"/>
        <w:widowControl/>
        <w:kinsoku/>
        <w:wordWrap/>
        <w:overflowPunct/>
        <w:topLinePunct w:val="0"/>
        <w:autoSpaceDE w:val="0"/>
        <w:autoSpaceDN w:val="0"/>
        <w:bidi w:val="0"/>
        <w:adjustRightInd w:val="0"/>
        <w:snapToGrid w:val="0"/>
        <w:spacing w:line="360" w:lineRule="auto"/>
        <w:ind w:left="488"/>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4"/>
          <w:sz w:val="24"/>
          <w:szCs w:val="24"/>
          <w:highlight w:val="none"/>
        </w:rPr>
        <w:t>1</w:t>
      </w:r>
      <w:r>
        <w:rPr>
          <w:rFonts w:hint="eastAsia" w:ascii="仿宋" w:hAnsi="仿宋" w:eastAsia="仿宋" w:cs="仿宋"/>
          <w:color w:val="auto"/>
          <w:spacing w:val="13"/>
          <w:sz w:val="24"/>
          <w:szCs w:val="24"/>
          <w:highlight w:val="none"/>
        </w:rPr>
        <w:t>.</w:t>
      </w:r>
      <w:r>
        <w:rPr>
          <w:rFonts w:hint="eastAsia" w:ascii="仿宋" w:hAnsi="仿宋" w:eastAsia="仿宋" w:cs="仿宋"/>
          <w:color w:val="auto"/>
          <w:spacing w:val="7"/>
          <w:sz w:val="24"/>
          <w:szCs w:val="24"/>
          <w:highlight w:val="none"/>
        </w:rPr>
        <w:t xml:space="preserve">2.1 </w:t>
      </w:r>
      <w:r>
        <w:rPr>
          <w:rFonts w:hint="eastAsia" w:ascii="仿宋" w:hAnsi="仿宋" w:eastAsia="仿宋" w:cs="仿宋"/>
          <w:color w:val="auto"/>
          <w:spacing w:val="7"/>
          <w:sz w:val="24"/>
          <w:szCs w:val="24"/>
          <w:highlight w:val="none"/>
          <w:lang w:eastAsia="zh-CN"/>
        </w:rPr>
        <w:t>采购人</w:t>
      </w:r>
      <w:r>
        <w:rPr>
          <w:rFonts w:hint="eastAsia" w:ascii="仿宋" w:hAnsi="仿宋" w:eastAsia="仿宋" w:cs="仿宋"/>
          <w:color w:val="auto"/>
          <w:spacing w:val="7"/>
          <w:sz w:val="24"/>
          <w:szCs w:val="24"/>
          <w:highlight w:val="none"/>
        </w:rPr>
        <w:t>：杭州萧山交通投资集团有限公司</w:t>
      </w:r>
    </w:p>
    <w:p w14:paraId="19AF01DF">
      <w:pPr>
        <w:keepNext w:val="0"/>
        <w:keepLines w:val="0"/>
        <w:pageBreakBefore w:val="0"/>
        <w:widowControl/>
        <w:kinsoku/>
        <w:wordWrap/>
        <w:overflowPunct/>
        <w:topLinePunct w:val="0"/>
        <w:autoSpaceDE w:val="0"/>
        <w:autoSpaceDN w:val="0"/>
        <w:bidi w:val="0"/>
        <w:adjustRightInd w:val="0"/>
        <w:snapToGrid w:val="0"/>
        <w:spacing w:line="360" w:lineRule="auto"/>
        <w:ind w:left="488"/>
        <w:textAlignment w:val="baseline"/>
        <w:rPr>
          <w:rFonts w:hint="default" w:ascii="仿宋" w:hAnsi="仿宋" w:eastAsia="仿宋" w:cs="仿宋"/>
          <w:color w:val="auto"/>
          <w:sz w:val="24"/>
          <w:szCs w:val="24"/>
          <w:highlight w:val="none"/>
          <w:lang w:val="en-US" w:eastAsia="zh-CN"/>
        </w:rPr>
      </w:pPr>
      <w:r>
        <w:rPr>
          <w:rFonts w:hint="eastAsia" w:ascii="仿宋" w:hAnsi="仿宋" w:eastAsia="仿宋" w:cs="仿宋"/>
          <w:color w:val="auto"/>
          <w:spacing w:val="14"/>
          <w:sz w:val="24"/>
          <w:szCs w:val="24"/>
          <w:highlight w:val="none"/>
        </w:rPr>
        <w:t>1</w:t>
      </w:r>
      <w:r>
        <w:rPr>
          <w:rFonts w:hint="eastAsia" w:ascii="仿宋" w:hAnsi="仿宋" w:eastAsia="仿宋" w:cs="仿宋"/>
          <w:color w:val="auto"/>
          <w:spacing w:val="13"/>
          <w:sz w:val="24"/>
          <w:szCs w:val="24"/>
          <w:highlight w:val="none"/>
        </w:rPr>
        <w:t>.</w:t>
      </w:r>
      <w:r>
        <w:rPr>
          <w:rFonts w:hint="eastAsia" w:ascii="仿宋" w:hAnsi="仿宋" w:eastAsia="仿宋" w:cs="仿宋"/>
          <w:color w:val="auto"/>
          <w:spacing w:val="7"/>
          <w:sz w:val="24"/>
          <w:szCs w:val="24"/>
          <w:highlight w:val="none"/>
        </w:rPr>
        <w:t>2.2 招标代理机构：</w:t>
      </w:r>
      <w:r>
        <w:rPr>
          <w:rFonts w:hint="eastAsia" w:ascii="仿宋" w:hAnsi="仿宋" w:eastAsia="仿宋" w:cs="仿宋"/>
          <w:color w:val="auto"/>
          <w:spacing w:val="7"/>
          <w:sz w:val="24"/>
          <w:szCs w:val="24"/>
          <w:highlight w:val="none"/>
          <w:lang w:val="en-US" w:eastAsia="zh-CN"/>
        </w:rPr>
        <w:t>华诚工程咨询集团有限公司</w:t>
      </w:r>
    </w:p>
    <w:p w14:paraId="44B43841">
      <w:pPr>
        <w:keepNext w:val="0"/>
        <w:keepLines w:val="0"/>
        <w:pageBreakBefore w:val="0"/>
        <w:widowControl/>
        <w:kinsoku/>
        <w:wordWrap/>
        <w:overflowPunct/>
        <w:topLinePunct w:val="0"/>
        <w:autoSpaceDE w:val="0"/>
        <w:autoSpaceDN w:val="0"/>
        <w:bidi w:val="0"/>
        <w:adjustRightInd w:val="0"/>
        <w:snapToGrid w:val="0"/>
        <w:spacing w:line="360" w:lineRule="auto"/>
        <w:ind w:right="4224" w:rightChars="0"/>
        <w:textAlignment w:val="baseline"/>
        <w:rPr>
          <w:rFonts w:hint="eastAsia" w:ascii="仿宋" w:hAnsi="仿宋" w:eastAsia="仿宋" w:cs="仿宋"/>
          <w:color w:val="auto"/>
          <w:spacing w:val="1"/>
          <w:sz w:val="24"/>
          <w:szCs w:val="24"/>
          <w:highlight w:val="none"/>
        </w:rPr>
      </w:pPr>
      <w:r>
        <w:rPr>
          <w:rFonts w:hint="eastAsia" w:ascii="仿宋" w:hAnsi="仿宋" w:eastAsia="仿宋" w:cs="仿宋"/>
          <w:b/>
          <w:bCs/>
          <w:color w:val="auto"/>
          <w:spacing w:val="1"/>
          <w:sz w:val="24"/>
          <w:szCs w:val="24"/>
          <w:highlight w:val="none"/>
        </w:rPr>
        <w:t>1.3 现场条件</w:t>
      </w:r>
      <w:r>
        <w:rPr>
          <w:rFonts w:hint="eastAsia" w:ascii="仿宋" w:hAnsi="仿宋" w:eastAsia="仿宋" w:cs="仿宋"/>
          <w:color w:val="auto"/>
          <w:spacing w:val="1"/>
          <w:sz w:val="24"/>
          <w:szCs w:val="24"/>
          <w:highlight w:val="none"/>
        </w:rPr>
        <w:t xml:space="preserve"> </w:t>
      </w:r>
    </w:p>
    <w:p w14:paraId="5AD07121">
      <w:pPr>
        <w:keepNext w:val="0"/>
        <w:keepLines w:val="0"/>
        <w:pageBreakBefore w:val="0"/>
        <w:widowControl/>
        <w:kinsoku/>
        <w:wordWrap/>
        <w:overflowPunct/>
        <w:topLinePunct w:val="0"/>
        <w:autoSpaceDE w:val="0"/>
        <w:autoSpaceDN w:val="0"/>
        <w:bidi w:val="0"/>
        <w:adjustRightInd w:val="0"/>
        <w:snapToGrid w:val="0"/>
        <w:spacing w:line="360" w:lineRule="auto"/>
        <w:ind w:right="4224" w:rightChars="0" w:firstLine="496"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lang w:eastAsia="zh-CN"/>
        </w:rPr>
        <w:t>响应人</w:t>
      </w:r>
      <w:r>
        <w:rPr>
          <w:rFonts w:hint="eastAsia" w:ascii="仿宋" w:hAnsi="仿宋" w:eastAsia="仿宋" w:cs="仿宋"/>
          <w:color w:val="auto"/>
          <w:spacing w:val="4"/>
          <w:sz w:val="24"/>
          <w:szCs w:val="24"/>
          <w:highlight w:val="none"/>
        </w:rPr>
        <w:t>自行踏勘。</w:t>
      </w:r>
    </w:p>
    <w:p w14:paraId="477AC690">
      <w:pPr>
        <w:keepNext w:val="0"/>
        <w:keepLines w:val="0"/>
        <w:pageBreakBefore w:val="0"/>
        <w:widowControl/>
        <w:kinsoku/>
        <w:wordWrap/>
        <w:overflowPunct/>
        <w:topLinePunct w:val="0"/>
        <w:autoSpaceDE w:val="0"/>
        <w:autoSpaceDN w:val="0"/>
        <w:bidi w:val="0"/>
        <w:adjustRightInd w:val="0"/>
        <w:snapToGrid w:val="0"/>
        <w:spacing w:line="360" w:lineRule="auto"/>
        <w:ind w:left="16"/>
        <w:textAlignment w:val="baseline"/>
        <w:outlineLvl w:val="2"/>
        <w:rPr>
          <w:rFonts w:hint="eastAsia" w:ascii="仿宋" w:hAnsi="仿宋" w:eastAsia="仿宋" w:cs="仿宋"/>
          <w:color w:val="auto"/>
          <w:spacing w:val="1"/>
          <w:sz w:val="24"/>
          <w:szCs w:val="24"/>
          <w:highlight w:val="none"/>
        </w:rPr>
      </w:pPr>
      <w:r>
        <w:rPr>
          <w:rFonts w:hint="eastAsia" w:ascii="仿宋" w:hAnsi="仿宋" w:eastAsia="仿宋" w:cs="仿宋"/>
          <w:b/>
          <w:bCs/>
          <w:color w:val="auto"/>
          <w:spacing w:val="1"/>
          <w:sz w:val="24"/>
          <w:szCs w:val="24"/>
          <w:highlight w:val="none"/>
        </w:rPr>
        <w:t>1.4 招标范围</w:t>
      </w:r>
    </w:p>
    <w:p w14:paraId="108F2B2C">
      <w:pPr>
        <w:keepNext w:val="0"/>
        <w:keepLines w:val="0"/>
        <w:pageBreakBefore w:val="0"/>
        <w:widowControl/>
        <w:kinsoku/>
        <w:wordWrap/>
        <w:overflowPunct/>
        <w:topLinePunct w:val="0"/>
        <w:autoSpaceDE w:val="0"/>
        <w:autoSpaceDN w:val="0"/>
        <w:bidi w:val="0"/>
        <w:adjustRightInd w:val="0"/>
        <w:snapToGrid w:val="0"/>
        <w:spacing w:line="360" w:lineRule="auto"/>
        <w:ind w:left="19" w:leftChars="0" w:firstLine="502" w:firstLineChars="201"/>
        <w:textAlignment w:val="baseline"/>
        <w:outlineLvl w:val="0"/>
        <w:rPr>
          <w:rFonts w:hint="eastAsia" w:ascii="仿宋" w:hAnsi="仿宋" w:eastAsia="仿宋" w:cs="仿宋"/>
          <w:color w:val="auto"/>
          <w:spacing w:val="9"/>
          <w:sz w:val="24"/>
          <w:szCs w:val="24"/>
          <w:highlight w:val="none"/>
          <w:lang w:eastAsia="zh-CN"/>
        </w:rPr>
      </w:pPr>
      <w:r>
        <w:rPr>
          <w:rFonts w:hint="eastAsia" w:ascii="仿宋" w:hAnsi="仿宋" w:eastAsia="仿宋" w:cs="仿宋"/>
          <w:color w:val="auto"/>
          <w:spacing w:val="5"/>
          <w:sz w:val="24"/>
          <w:szCs w:val="24"/>
          <w:highlight w:val="none"/>
        </w:rPr>
        <w:t>329国道萧山进化至戴村段工程（柯桥界至萧山塘湄线段）全过程招标代理</w:t>
      </w:r>
      <w:r>
        <w:rPr>
          <w:rFonts w:hint="eastAsia" w:ascii="仿宋" w:hAnsi="仿宋" w:eastAsia="仿宋" w:cs="仿宋"/>
          <w:color w:val="auto"/>
          <w:spacing w:val="9"/>
          <w:sz w:val="24"/>
          <w:szCs w:val="24"/>
          <w:highlight w:val="none"/>
          <w:lang w:eastAsia="zh-CN"/>
        </w:rPr>
        <w:t>服务工作（</w:t>
      </w:r>
      <w:r>
        <w:rPr>
          <w:rFonts w:hint="eastAsia" w:ascii="仿宋" w:hAnsi="仿宋" w:eastAsia="仿宋" w:cs="仿宋"/>
          <w:color w:val="auto"/>
          <w:spacing w:val="9"/>
          <w:sz w:val="24"/>
          <w:szCs w:val="24"/>
          <w:highlight w:val="none"/>
          <w:lang w:val="en-US" w:eastAsia="zh-CN"/>
        </w:rPr>
        <w:t>含</w:t>
      </w:r>
      <w:r>
        <w:rPr>
          <w:rFonts w:hint="eastAsia" w:ascii="仿宋" w:hAnsi="仿宋" w:eastAsia="仿宋" w:cs="仿宋"/>
          <w:color w:val="auto"/>
          <w:spacing w:val="5"/>
          <w:sz w:val="24"/>
          <w:szCs w:val="24"/>
          <w:highlight w:val="none"/>
          <w:lang w:val="en-US" w:eastAsia="zh-CN"/>
        </w:rPr>
        <w:t>工程量清单预算(招标控制价)编制</w:t>
      </w:r>
      <w:r>
        <w:rPr>
          <w:rFonts w:hint="eastAsia" w:ascii="仿宋" w:hAnsi="仿宋" w:eastAsia="仿宋" w:cs="仿宋"/>
          <w:color w:val="auto"/>
          <w:spacing w:val="9"/>
          <w:sz w:val="24"/>
          <w:szCs w:val="24"/>
          <w:highlight w:val="none"/>
          <w:lang w:eastAsia="zh-CN"/>
        </w:rPr>
        <w:t>）包括但不限于</w:t>
      </w:r>
      <w:r>
        <w:rPr>
          <w:rFonts w:hint="eastAsia" w:ascii="仿宋" w:hAnsi="仿宋" w:eastAsia="仿宋" w:cs="仿宋"/>
          <w:color w:val="auto"/>
          <w:spacing w:val="9"/>
          <w:sz w:val="24"/>
          <w:szCs w:val="24"/>
          <w:highlight w:val="none"/>
          <w:lang w:val="en-US" w:eastAsia="zh-CN"/>
        </w:rPr>
        <w:t>：施工、监理、交竣工检测、跟踪审计、桩基专项试验检测、桥梁施工监控及隧道监控量测、环保监测及验收、总体安全风险评估、高边坡稳定性监测及评估等与本项目有关的招标相关工作</w:t>
      </w:r>
      <w:r>
        <w:rPr>
          <w:rFonts w:hint="eastAsia" w:ascii="仿宋" w:hAnsi="仿宋" w:eastAsia="仿宋" w:cs="仿宋"/>
          <w:color w:val="auto"/>
          <w:spacing w:val="9"/>
          <w:sz w:val="24"/>
          <w:szCs w:val="24"/>
          <w:highlight w:val="none"/>
        </w:rPr>
        <w:t>。</w:t>
      </w:r>
    </w:p>
    <w:p w14:paraId="772F725F">
      <w:pPr>
        <w:keepNext w:val="0"/>
        <w:keepLines w:val="0"/>
        <w:pageBreakBefore w:val="0"/>
        <w:widowControl/>
        <w:kinsoku/>
        <w:wordWrap/>
        <w:overflowPunct/>
        <w:topLinePunct w:val="0"/>
        <w:autoSpaceDE w:val="0"/>
        <w:autoSpaceDN w:val="0"/>
        <w:bidi w:val="0"/>
        <w:adjustRightInd w:val="0"/>
        <w:snapToGrid w:val="0"/>
        <w:spacing w:line="360" w:lineRule="auto"/>
        <w:ind w:left="16"/>
        <w:textAlignment w:val="baseline"/>
        <w:outlineLvl w:val="2"/>
        <w:rPr>
          <w:rFonts w:hint="eastAsia" w:ascii="仿宋" w:hAnsi="仿宋" w:eastAsia="仿宋" w:cs="仿宋"/>
          <w:b/>
          <w:bCs/>
          <w:color w:val="auto"/>
          <w:spacing w:val="1"/>
          <w:sz w:val="24"/>
          <w:szCs w:val="24"/>
          <w:highlight w:val="none"/>
        </w:rPr>
      </w:pPr>
      <w:r>
        <w:rPr>
          <w:rFonts w:hint="eastAsia" w:ascii="仿宋" w:hAnsi="仿宋" w:eastAsia="仿宋" w:cs="仿宋"/>
          <w:b/>
          <w:bCs/>
          <w:color w:val="auto"/>
          <w:spacing w:val="1"/>
          <w:sz w:val="24"/>
          <w:szCs w:val="24"/>
          <w:highlight w:val="none"/>
        </w:rPr>
        <w:t>1.5 质量目标</w:t>
      </w:r>
    </w:p>
    <w:p w14:paraId="355D8134">
      <w:pPr>
        <w:keepNext w:val="0"/>
        <w:keepLines w:val="0"/>
        <w:pageBreakBefore w:val="0"/>
        <w:widowControl/>
        <w:kinsoku/>
        <w:wordWrap/>
        <w:overflowPunct/>
        <w:topLinePunct w:val="0"/>
        <w:autoSpaceDE w:val="0"/>
        <w:autoSpaceDN w:val="0"/>
        <w:bidi w:val="0"/>
        <w:adjustRightInd w:val="0"/>
        <w:snapToGrid w:val="0"/>
        <w:spacing w:line="360" w:lineRule="auto"/>
        <w:ind w:left="479"/>
        <w:textAlignment w:val="baseline"/>
        <w:outlineLvl w:val="0"/>
        <w:rPr>
          <w:rFonts w:hint="eastAsia"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rPr>
        <w:t>达</w:t>
      </w:r>
      <w:r>
        <w:rPr>
          <w:rFonts w:hint="eastAsia" w:ascii="仿宋" w:hAnsi="仿宋" w:eastAsia="仿宋" w:cs="仿宋"/>
          <w:color w:val="auto"/>
          <w:spacing w:val="9"/>
          <w:sz w:val="24"/>
          <w:szCs w:val="24"/>
          <w:highlight w:val="none"/>
        </w:rPr>
        <w:t>到现行国家标准、行业标准、行业技术规程。</w:t>
      </w:r>
    </w:p>
    <w:p w14:paraId="09BC50BA">
      <w:pPr>
        <w:keepNext w:val="0"/>
        <w:keepLines w:val="0"/>
        <w:pageBreakBefore w:val="0"/>
        <w:widowControl/>
        <w:kinsoku/>
        <w:wordWrap/>
        <w:overflowPunct/>
        <w:topLinePunct w:val="0"/>
        <w:autoSpaceDE w:val="0"/>
        <w:autoSpaceDN w:val="0"/>
        <w:bidi w:val="0"/>
        <w:adjustRightInd w:val="0"/>
        <w:snapToGrid w:val="0"/>
        <w:spacing w:line="360" w:lineRule="auto"/>
        <w:ind w:left="16"/>
        <w:textAlignment w:val="baseline"/>
        <w:outlineLvl w:val="2"/>
        <w:rPr>
          <w:rFonts w:hint="eastAsia" w:ascii="仿宋" w:hAnsi="仿宋" w:eastAsia="仿宋" w:cs="仿宋"/>
          <w:color w:val="auto"/>
          <w:spacing w:val="1"/>
          <w:sz w:val="24"/>
          <w:szCs w:val="24"/>
          <w:highlight w:val="none"/>
        </w:rPr>
      </w:pPr>
      <w:r>
        <w:rPr>
          <w:rFonts w:hint="eastAsia" w:ascii="仿宋" w:hAnsi="仿宋" w:eastAsia="仿宋" w:cs="仿宋"/>
          <w:b/>
          <w:bCs/>
          <w:color w:val="auto"/>
          <w:spacing w:val="1"/>
          <w:sz w:val="24"/>
          <w:szCs w:val="24"/>
          <w:highlight w:val="none"/>
        </w:rPr>
        <w:t>1.6 服务期</w:t>
      </w:r>
    </w:p>
    <w:p w14:paraId="4AC24693">
      <w:pPr>
        <w:keepNext w:val="0"/>
        <w:keepLines w:val="0"/>
        <w:pageBreakBefore w:val="0"/>
        <w:widowControl/>
        <w:kinsoku/>
        <w:wordWrap/>
        <w:overflowPunct/>
        <w:topLinePunct w:val="0"/>
        <w:autoSpaceDE w:val="0"/>
        <w:autoSpaceDN w:val="0"/>
        <w:bidi w:val="0"/>
        <w:adjustRightInd w:val="0"/>
        <w:snapToGrid w:val="0"/>
        <w:spacing w:line="360" w:lineRule="auto"/>
        <w:ind w:right="30" w:firstLine="472"/>
        <w:textAlignment w:val="baseline"/>
        <w:rPr>
          <w:rFonts w:hint="eastAsia" w:ascii="仿宋" w:hAnsi="仿宋" w:eastAsia="仿宋" w:cs="仿宋"/>
          <w:color w:val="auto"/>
          <w:spacing w:val="9"/>
          <w:sz w:val="24"/>
          <w:szCs w:val="24"/>
          <w:highlight w:val="none"/>
        </w:rPr>
      </w:pPr>
      <w:r>
        <w:rPr>
          <w:rFonts w:hint="eastAsia" w:ascii="仿宋" w:hAnsi="仿宋" w:eastAsia="仿宋" w:cs="仿宋"/>
          <w:color w:val="auto"/>
          <w:spacing w:val="18"/>
          <w:sz w:val="24"/>
          <w:szCs w:val="24"/>
          <w:highlight w:val="none"/>
        </w:rPr>
        <w:t>本工</w:t>
      </w:r>
      <w:r>
        <w:rPr>
          <w:rFonts w:hint="eastAsia" w:ascii="仿宋" w:hAnsi="仿宋" w:eastAsia="仿宋" w:cs="仿宋"/>
          <w:color w:val="auto"/>
          <w:spacing w:val="9"/>
          <w:sz w:val="24"/>
          <w:szCs w:val="24"/>
          <w:highlight w:val="none"/>
        </w:rPr>
        <w:t>程服务期限为自</w:t>
      </w:r>
      <w:r>
        <w:rPr>
          <w:rFonts w:hint="eastAsia" w:ascii="仿宋" w:hAnsi="仿宋" w:eastAsia="仿宋" w:cs="仿宋"/>
          <w:color w:val="auto"/>
          <w:spacing w:val="9"/>
          <w:sz w:val="24"/>
          <w:szCs w:val="24"/>
          <w:highlight w:val="none"/>
          <w:lang w:eastAsia="zh-CN"/>
        </w:rPr>
        <w:t>成交</w:t>
      </w:r>
      <w:r>
        <w:rPr>
          <w:rFonts w:hint="eastAsia" w:ascii="仿宋" w:hAnsi="仿宋" w:eastAsia="仿宋" w:cs="仿宋"/>
          <w:color w:val="auto"/>
          <w:spacing w:val="9"/>
          <w:sz w:val="24"/>
          <w:szCs w:val="24"/>
          <w:highlight w:val="none"/>
        </w:rPr>
        <w:t>人与</w:t>
      </w:r>
      <w:r>
        <w:rPr>
          <w:rFonts w:hint="eastAsia" w:ascii="仿宋" w:hAnsi="仿宋" w:eastAsia="仿宋" w:cs="仿宋"/>
          <w:color w:val="auto"/>
          <w:spacing w:val="9"/>
          <w:sz w:val="24"/>
          <w:szCs w:val="24"/>
          <w:highlight w:val="none"/>
          <w:lang w:eastAsia="zh-CN"/>
        </w:rPr>
        <w:t>采购</w:t>
      </w:r>
      <w:r>
        <w:rPr>
          <w:rFonts w:hint="eastAsia" w:ascii="仿宋" w:hAnsi="仿宋" w:eastAsia="仿宋" w:cs="仿宋"/>
          <w:color w:val="auto"/>
          <w:spacing w:val="9"/>
          <w:sz w:val="24"/>
          <w:szCs w:val="24"/>
          <w:highlight w:val="none"/>
        </w:rPr>
        <w:t>人正式签订合同之日起，</w:t>
      </w:r>
      <w:r>
        <w:rPr>
          <w:rFonts w:hint="eastAsia" w:ascii="仿宋" w:hAnsi="仿宋" w:eastAsia="仿宋" w:cs="仿宋"/>
          <w:color w:val="auto"/>
          <w:spacing w:val="9"/>
          <w:sz w:val="24"/>
          <w:szCs w:val="24"/>
          <w:highlight w:val="none"/>
          <w:lang w:val="zh-TW" w:eastAsia="zh-CN"/>
        </w:rPr>
        <w:t>直</w:t>
      </w:r>
      <w:r>
        <w:rPr>
          <w:rFonts w:hint="eastAsia" w:ascii="仿宋" w:hAnsi="仿宋" w:eastAsia="仿宋" w:cs="仿宋"/>
          <w:color w:val="auto"/>
          <w:spacing w:val="9"/>
          <w:sz w:val="24"/>
          <w:szCs w:val="24"/>
          <w:highlight w:val="none"/>
        </w:rPr>
        <w:t>至</w:t>
      </w:r>
      <w:r>
        <w:rPr>
          <w:rFonts w:hint="eastAsia" w:ascii="仿宋" w:hAnsi="仿宋" w:eastAsia="仿宋" w:cs="仿宋"/>
          <w:color w:val="auto"/>
          <w:spacing w:val="9"/>
          <w:sz w:val="24"/>
          <w:szCs w:val="24"/>
          <w:highlight w:val="none"/>
          <w:lang w:eastAsia="zh-CN"/>
        </w:rPr>
        <w:t>本</w:t>
      </w:r>
      <w:r>
        <w:rPr>
          <w:rFonts w:hint="eastAsia" w:ascii="仿宋" w:hAnsi="仿宋" w:eastAsia="仿宋" w:cs="仿宋"/>
          <w:color w:val="auto"/>
          <w:spacing w:val="9"/>
          <w:sz w:val="24"/>
          <w:szCs w:val="24"/>
          <w:highlight w:val="none"/>
        </w:rPr>
        <w:t>项目</w:t>
      </w:r>
      <w:r>
        <w:rPr>
          <w:rFonts w:hint="eastAsia" w:ascii="仿宋" w:hAnsi="仿宋" w:eastAsia="仿宋" w:cs="仿宋"/>
          <w:color w:val="auto"/>
          <w:spacing w:val="9"/>
          <w:sz w:val="24"/>
          <w:szCs w:val="24"/>
          <w:highlight w:val="none"/>
          <w:lang w:eastAsia="zh-CN"/>
        </w:rPr>
        <w:t>完成所有招标工作</w:t>
      </w:r>
      <w:r>
        <w:rPr>
          <w:rFonts w:hint="eastAsia" w:ascii="仿宋" w:hAnsi="仿宋" w:eastAsia="仿宋" w:cs="仿宋"/>
          <w:color w:val="auto"/>
          <w:spacing w:val="9"/>
          <w:sz w:val="24"/>
          <w:szCs w:val="24"/>
          <w:highlight w:val="none"/>
        </w:rPr>
        <w:t>。</w:t>
      </w:r>
    </w:p>
    <w:p w14:paraId="222BDCB3">
      <w:pPr>
        <w:keepNext w:val="0"/>
        <w:keepLines w:val="0"/>
        <w:pageBreakBefore w:val="0"/>
        <w:widowControl/>
        <w:kinsoku/>
        <w:wordWrap/>
        <w:overflowPunct/>
        <w:topLinePunct w:val="0"/>
        <w:autoSpaceDE w:val="0"/>
        <w:autoSpaceDN w:val="0"/>
        <w:bidi w:val="0"/>
        <w:adjustRightInd w:val="0"/>
        <w:snapToGrid w:val="0"/>
        <w:spacing w:line="360" w:lineRule="auto"/>
        <w:ind w:left="16"/>
        <w:textAlignment w:val="baseline"/>
        <w:outlineLvl w:val="2"/>
        <w:rPr>
          <w:rFonts w:hint="eastAsia" w:ascii="仿宋" w:hAnsi="仿宋" w:eastAsia="仿宋" w:cs="仿宋"/>
          <w:b/>
          <w:bCs/>
          <w:color w:val="auto"/>
          <w:spacing w:val="1"/>
          <w:sz w:val="24"/>
          <w:szCs w:val="24"/>
          <w:highlight w:val="none"/>
          <w:lang w:val="en-US" w:eastAsia="zh-CN"/>
        </w:rPr>
      </w:pPr>
      <w:r>
        <w:rPr>
          <w:rFonts w:hint="eastAsia" w:ascii="仿宋" w:hAnsi="仿宋" w:eastAsia="仿宋" w:cs="仿宋"/>
          <w:b/>
          <w:bCs/>
          <w:color w:val="auto"/>
          <w:spacing w:val="1"/>
          <w:sz w:val="24"/>
          <w:szCs w:val="24"/>
          <w:highlight w:val="none"/>
          <w:lang w:val="en-US" w:eastAsia="zh-CN"/>
        </w:rPr>
        <w:t>1.7服务费用</w:t>
      </w:r>
    </w:p>
    <w:p w14:paraId="593D2F6E">
      <w:pPr>
        <w:keepNext w:val="0"/>
        <w:keepLines w:val="0"/>
        <w:pageBreakBefore w:val="0"/>
        <w:widowControl/>
        <w:kinsoku/>
        <w:wordWrap/>
        <w:overflowPunct/>
        <w:topLinePunct w:val="0"/>
        <w:autoSpaceDE w:val="0"/>
        <w:autoSpaceDN w:val="0"/>
        <w:bidi w:val="0"/>
        <w:adjustRightInd w:val="0"/>
        <w:snapToGrid w:val="0"/>
        <w:spacing w:line="360" w:lineRule="auto"/>
        <w:ind w:firstLine="486" w:firstLineChars="200"/>
        <w:textAlignment w:val="baseline"/>
        <w:rPr>
          <w:rFonts w:hint="eastAsia" w:ascii="仿宋" w:hAnsi="仿宋" w:eastAsia="仿宋" w:cs="仿宋"/>
          <w:color w:val="auto"/>
          <w:spacing w:val="5"/>
          <w:sz w:val="24"/>
          <w:szCs w:val="24"/>
          <w:highlight w:val="none"/>
          <w:lang w:val="en-US" w:eastAsia="zh-CN"/>
        </w:rPr>
      </w:pPr>
      <w:r>
        <w:rPr>
          <w:rFonts w:hint="eastAsia" w:ascii="仿宋" w:hAnsi="仿宋" w:eastAsia="仿宋" w:cs="仿宋"/>
          <w:b/>
          <w:bCs/>
          <w:color w:val="auto"/>
          <w:spacing w:val="1"/>
          <w:sz w:val="24"/>
          <w:szCs w:val="24"/>
          <w:highlight w:val="none"/>
          <w:lang w:val="en-US" w:eastAsia="zh-CN"/>
        </w:rPr>
        <w:t>1.7</w:t>
      </w:r>
      <w:r>
        <w:rPr>
          <w:rFonts w:hint="eastAsia" w:ascii="仿宋" w:hAnsi="仿宋" w:eastAsia="仿宋" w:cs="仿宋"/>
          <w:color w:val="auto"/>
          <w:spacing w:val="5"/>
          <w:sz w:val="24"/>
          <w:szCs w:val="24"/>
          <w:highlight w:val="none"/>
          <w:lang w:val="en-US" w:eastAsia="zh-CN"/>
        </w:rPr>
        <w:t>.1响应人根据</w:t>
      </w:r>
      <w:bookmarkStart w:id="18" w:name="OLE_LINK3"/>
      <w:bookmarkStart w:id="19" w:name="OLE_LINK4"/>
      <w:bookmarkStart w:id="20" w:name="OLE_LINK6"/>
      <w:r>
        <w:rPr>
          <w:rFonts w:hint="eastAsia" w:ascii="仿宋" w:hAnsi="仿宋" w:eastAsia="仿宋" w:cs="仿宋"/>
          <w:color w:val="auto"/>
          <w:spacing w:val="5"/>
          <w:sz w:val="24"/>
          <w:szCs w:val="24"/>
          <w:highlight w:val="none"/>
          <w:lang w:val="en-US" w:eastAsia="zh-CN"/>
        </w:rPr>
        <w:t>《关于印发招标代理服务收费管理暂行办法的通知》（计价格</w:t>
      </w:r>
      <w:bookmarkStart w:id="21" w:name="OLE_LINK2"/>
      <w:r>
        <w:rPr>
          <w:rFonts w:hint="eastAsia" w:ascii="仿宋" w:hAnsi="仿宋" w:eastAsia="仿宋" w:cs="仿宋"/>
          <w:color w:val="auto"/>
          <w:spacing w:val="5"/>
          <w:sz w:val="24"/>
          <w:szCs w:val="24"/>
          <w:highlight w:val="none"/>
          <w:lang w:val="en-US" w:eastAsia="zh-CN"/>
        </w:rPr>
        <w:t>〔2002〕</w:t>
      </w:r>
      <w:bookmarkEnd w:id="21"/>
      <w:r>
        <w:rPr>
          <w:rFonts w:hint="eastAsia" w:ascii="仿宋" w:hAnsi="仿宋" w:eastAsia="仿宋" w:cs="仿宋"/>
          <w:color w:val="auto"/>
          <w:spacing w:val="5"/>
          <w:sz w:val="24"/>
          <w:szCs w:val="24"/>
          <w:highlight w:val="none"/>
          <w:lang w:val="en-US" w:eastAsia="zh-CN"/>
        </w:rPr>
        <w:t>1980号）文件、《国家发展改革委关于降低部分建设项目收费标准规范收费行为等有关问题的通知》（发改价格〔2011〕534号）</w:t>
      </w:r>
      <w:bookmarkEnd w:id="18"/>
      <w:r>
        <w:rPr>
          <w:rFonts w:hint="eastAsia" w:ascii="仿宋" w:hAnsi="仿宋" w:eastAsia="仿宋" w:cs="仿宋"/>
          <w:color w:val="auto"/>
          <w:spacing w:val="5"/>
          <w:sz w:val="24"/>
          <w:szCs w:val="24"/>
          <w:highlight w:val="none"/>
          <w:lang w:val="en-US" w:eastAsia="zh-CN"/>
        </w:rPr>
        <w:t>文件规定的收费标准进行优惠率报价，优惠率应在40%（含）-50%（含）内（小数点后最多保留一位）</w:t>
      </w:r>
      <w:bookmarkEnd w:id="19"/>
      <w:r>
        <w:rPr>
          <w:rFonts w:hint="eastAsia" w:ascii="仿宋" w:hAnsi="仿宋" w:eastAsia="仿宋" w:cs="仿宋"/>
          <w:color w:val="auto"/>
          <w:spacing w:val="5"/>
          <w:sz w:val="24"/>
          <w:szCs w:val="24"/>
          <w:highlight w:val="none"/>
          <w:lang w:val="en-US" w:eastAsia="zh-CN"/>
        </w:rPr>
        <w:t>，超出该范围的均作无效响应处理。</w:t>
      </w:r>
    </w:p>
    <w:bookmarkEnd w:id="20"/>
    <w:p w14:paraId="04728E2B">
      <w:pPr>
        <w:keepNext w:val="0"/>
        <w:keepLines w:val="0"/>
        <w:pageBreakBefore w:val="0"/>
        <w:widowControl/>
        <w:kinsoku/>
        <w:wordWrap/>
        <w:overflowPunct/>
        <w:topLinePunct w:val="0"/>
        <w:autoSpaceDE w:val="0"/>
        <w:autoSpaceDN w:val="0"/>
        <w:bidi w:val="0"/>
        <w:adjustRightInd w:val="0"/>
        <w:snapToGrid w:val="0"/>
        <w:spacing w:line="360" w:lineRule="auto"/>
        <w:ind w:firstLine="486" w:firstLineChars="200"/>
        <w:textAlignment w:val="baseline"/>
        <w:rPr>
          <w:rFonts w:hint="eastAsia" w:ascii="仿宋" w:hAnsi="仿宋" w:eastAsia="仿宋" w:cs="仿宋"/>
          <w:color w:val="auto"/>
          <w:spacing w:val="5"/>
          <w:sz w:val="24"/>
          <w:szCs w:val="24"/>
          <w:highlight w:val="none"/>
          <w:lang w:val="en-US" w:eastAsia="zh-CN"/>
        </w:rPr>
      </w:pPr>
      <w:r>
        <w:rPr>
          <w:rFonts w:hint="eastAsia" w:ascii="仿宋" w:hAnsi="仿宋" w:eastAsia="仿宋" w:cs="仿宋"/>
          <w:b/>
          <w:bCs/>
          <w:color w:val="auto"/>
          <w:spacing w:val="1"/>
          <w:sz w:val="24"/>
          <w:szCs w:val="24"/>
          <w:highlight w:val="none"/>
          <w:lang w:val="en-US" w:eastAsia="zh-CN"/>
        </w:rPr>
        <w:t>1.7</w:t>
      </w:r>
      <w:r>
        <w:rPr>
          <w:rFonts w:hint="eastAsia" w:ascii="仿宋" w:hAnsi="仿宋" w:eastAsia="仿宋" w:cs="仿宋"/>
          <w:color w:val="auto"/>
          <w:spacing w:val="5"/>
          <w:sz w:val="24"/>
          <w:szCs w:val="24"/>
          <w:highlight w:val="none"/>
          <w:lang w:val="en-US" w:eastAsia="zh-CN"/>
        </w:rPr>
        <w:t>.2响应人应根据本交易文件和采购人所提供的相关信息、资料及代理范围、内容、响应承诺结合企业自身实力进行自主报价，本次报价为优惠率报价，报价中包括工程类、货物类、服务类的交易全过程代理等一切费用，包括废标后重新开标，直至交易结束的费用，响应优惠率一次性包干，今后一律不作调整，由响应人自行考虑风险因素。因交易代理发生的食宿、交通等全部费用由响应人自理，响应人的报价中应充分考虑此相关费用。</w:t>
      </w:r>
    </w:p>
    <w:p w14:paraId="1E0E7289">
      <w:pPr>
        <w:keepNext w:val="0"/>
        <w:keepLines w:val="0"/>
        <w:pageBreakBefore w:val="0"/>
        <w:widowControl/>
        <w:kinsoku/>
        <w:wordWrap/>
        <w:overflowPunct/>
        <w:topLinePunct w:val="0"/>
        <w:autoSpaceDE w:val="0"/>
        <w:autoSpaceDN w:val="0"/>
        <w:bidi w:val="0"/>
        <w:adjustRightInd w:val="0"/>
        <w:snapToGrid w:val="0"/>
        <w:spacing w:line="360" w:lineRule="auto"/>
        <w:ind w:left="16"/>
        <w:textAlignment w:val="baseline"/>
        <w:outlineLvl w:val="2"/>
        <w:rPr>
          <w:rFonts w:hint="eastAsia" w:ascii="仿宋" w:hAnsi="仿宋" w:eastAsia="仿宋" w:cs="仿宋"/>
          <w:b/>
          <w:bCs/>
          <w:color w:val="auto"/>
          <w:spacing w:val="1"/>
          <w:sz w:val="24"/>
          <w:szCs w:val="24"/>
          <w:highlight w:val="none"/>
          <w:lang w:val="en-US" w:eastAsia="zh-CN"/>
        </w:rPr>
      </w:pPr>
      <w:r>
        <w:rPr>
          <w:rFonts w:hint="eastAsia" w:ascii="仿宋" w:hAnsi="仿宋" w:eastAsia="仿宋" w:cs="仿宋"/>
          <w:b/>
          <w:bCs/>
          <w:color w:val="auto"/>
          <w:spacing w:val="1"/>
          <w:sz w:val="24"/>
          <w:szCs w:val="24"/>
          <w:highlight w:val="none"/>
          <w:lang w:val="en-US" w:eastAsia="zh-CN"/>
        </w:rPr>
        <w:t>1.8其他相关内容及考核要求</w:t>
      </w:r>
    </w:p>
    <w:p w14:paraId="2FC80C56">
      <w:pPr>
        <w:keepNext w:val="0"/>
        <w:keepLines w:val="0"/>
        <w:pageBreakBefore w:val="0"/>
        <w:widowControl/>
        <w:kinsoku/>
        <w:wordWrap/>
        <w:overflowPunct/>
        <w:topLinePunct w:val="0"/>
        <w:autoSpaceDE w:val="0"/>
        <w:autoSpaceDN w:val="0"/>
        <w:bidi w:val="0"/>
        <w:adjustRightInd w:val="0"/>
        <w:snapToGrid w:val="0"/>
        <w:spacing w:line="360" w:lineRule="auto"/>
        <w:ind w:firstLine="484" w:firstLineChars="200"/>
        <w:textAlignment w:val="baseline"/>
        <w:rPr>
          <w:rFonts w:hint="eastAsia" w:ascii="仿宋" w:hAnsi="仿宋" w:eastAsia="仿宋" w:cs="仿宋"/>
          <w:color w:val="auto"/>
          <w:spacing w:val="5"/>
          <w:sz w:val="24"/>
          <w:szCs w:val="24"/>
          <w:highlight w:val="none"/>
          <w:lang w:val="en-US" w:eastAsia="zh-CN"/>
        </w:rPr>
      </w:pPr>
      <w:r>
        <w:rPr>
          <w:rFonts w:hint="eastAsia" w:ascii="仿宋" w:hAnsi="仿宋" w:eastAsia="仿宋" w:cs="仿宋"/>
          <w:b w:val="0"/>
          <w:bCs w:val="0"/>
          <w:color w:val="auto"/>
          <w:spacing w:val="1"/>
          <w:sz w:val="24"/>
          <w:szCs w:val="24"/>
          <w:highlight w:val="none"/>
          <w:lang w:val="en-US" w:eastAsia="zh-CN"/>
        </w:rPr>
        <w:t>1.8</w:t>
      </w:r>
      <w:r>
        <w:rPr>
          <w:rFonts w:hint="eastAsia" w:ascii="仿宋" w:hAnsi="仿宋" w:eastAsia="仿宋" w:cs="仿宋"/>
          <w:color w:val="auto"/>
          <w:spacing w:val="5"/>
          <w:sz w:val="24"/>
          <w:szCs w:val="24"/>
          <w:highlight w:val="none"/>
          <w:lang w:val="en-US" w:eastAsia="zh-CN"/>
        </w:rPr>
        <w:t>.1中标单位必须根据项目特点有针对性的组建专门工作小组，认真制定交易工作的进度计划，认真完成各项代理事项。工作小组至少安排2名具有相应专业资格的专职代理人员，并在方案中予以明确，提供工作小组人员情况表。</w:t>
      </w:r>
    </w:p>
    <w:p w14:paraId="313C4E41">
      <w:pPr>
        <w:keepNext w:val="0"/>
        <w:keepLines w:val="0"/>
        <w:pageBreakBefore w:val="0"/>
        <w:widowControl/>
        <w:kinsoku/>
        <w:wordWrap/>
        <w:overflowPunct/>
        <w:topLinePunct w:val="0"/>
        <w:autoSpaceDE w:val="0"/>
        <w:autoSpaceDN w:val="0"/>
        <w:bidi w:val="0"/>
        <w:adjustRightInd w:val="0"/>
        <w:snapToGrid w:val="0"/>
        <w:spacing w:line="360" w:lineRule="auto"/>
        <w:ind w:firstLine="484" w:firstLineChars="200"/>
        <w:textAlignment w:val="baseline"/>
        <w:rPr>
          <w:rFonts w:hint="eastAsia" w:ascii="仿宋" w:hAnsi="仿宋" w:eastAsia="仿宋" w:cs="仿宋"/>
          <w:color w:val="auto"/>
          <w:spacing w:val="5"/>
          <w:sz w:val="24"/>
          <w:szCs w:val="24"/>
          <w:highlight w:val="none"/>
          <w:lang w:val="en-US" w:eastAsia="zh-CN"/>
        </w:rPr>
      </w:pPr>
      <w:r>
        <w:rPr>
          <w:rFonts w:hint="eastAsia" w:ascii="仿宋" w:hAnsi="仿宋" w:eastAsia="仿宋" w:cs="仿宋"/>
          <w:b w:val="0"/>
          <w:bCs w:val="0"/>
          <w:color w:val="auto"/>
          <w:spacing w:val="1"/>
          <w:sz w:val="24"/>
          <w:szCs w:val="24"/>
          <w:highlight w:val="none"/>
          <w:lang w:val="en-US" w:eastAsia="zh-CN"/>
        </w:rPr>
        <w:t>1.8</w:t>
      </w:r>
      <w:r>
        <w:rPr>
          <w:rFonts w:hint="eastAsia" w:ascii="仿宋" w:hAnsi="仿宋" w:eastAsia="仿宋" w:cs="仿宋"/>
          <w:color w:val="auto"/>
          <w:spacing w:val="5"/>
          <w:sz w:val="24"/>
          <w:szCs w:val="24"/>
          <w:highlight w:val="none"/>
          <w:lang w:val="en-US" w:eastAsia="zh-CN"/>
        </w:rPr>
        <w:t>.2做好相关法律、法规及规章的解释工作，并向交易人提交代理报告。依据委托合同维护交易人的合法权益，对代理事项内应当保密的内容保守秘密。并主动接受招投标监督管理部门依法实施的监督管理。</w:t>
      </w:r>
    </w:p>
    <w:p w14:paraId="324B5AAB">
      <w:pPr>
        <w:keepNext w:val="0"/>
        <w:keepLines w:val="0"/>
        <w:pageBreakBefore w:val="0"/>
        <w:widowControl/>
        <w:kinsoku/>
        <w:wordWrap/>
        <w:overflowPunct/>
        <w:topLinePunct w:val="0"/>
        <w:autoSpaceDE w:val="0"/>
        <w:autoSpaceDN w:val="0"/>
        <w:bidi w:val="0"/>
        <w:adjustRightInd w:val="0"/>
        <w:snapToGrid w:val="0"/>
        <w:spacing w:line="360" w:lineRule="auto"/>
        <w:ind w:firstLine="484" w:firstLineChars="200"/>
        <w:textAlignment w:val="baseline"/>
        <w:rPr>
          <w:rFonts w:hint="eastAsia" w:ascii="仿宋" w:hAnsi="仿宋" w:eastAsia="仿宋" w:cs="仿宋"/>
          <w:color w:val="auto"/>
          <w:spacing w:val="5"/>
          <w:sz w:val="24"/>
          <w:szCs w:val="24"/>
          <w:highlight w:val="none"/>
          <w:lang w:val="en-US" w:eastAsia="zh-CN"/>
        </w:rPr>
      </w:pPr>
      <w:r>
        <w:rPr>
          <w:rFonts w:hint="eastAsia" w:ascii="仿宋" w:hAnsi="仿宋" w:eastAsia="仿宋" w:cs="仿宋"/>
          <w:b w:val="0"/>
          <w:bCs w:val="0"/>
          <w:color w:val="auto"/>
          <w:spacing w:val="1"/>
          <w:sz w:val="24"/>
          <w:szCs w:val="24"/>
          <w:highlight w:val="none"/>
          <w:lang w:val="en-US" w:eastAsia="zh-CN"/>
        </w:rPr>
        <w:t>1.8</w:t>
      </w:r>
      <w:r>
        <w:rPr>
          <w:rFonts w:hint="eastAsia" w:ascii="仿宋" w:hAnsi="仿宋" w:eastAsia="仿宋" w:cs="仿宋"/>
          <w:color w:val="auto"/>
          <w:spacing w:val="5"/>
          <w:sz w:val="24"/>
          <w:szCs w:val="24"/>
          <w:highlight w:val="none"/>
          <w:lang w:val="en-US" w:eastAsia="zh-CN"/>
        </w:rPr>
        <w:t>.3提供工作实施方案：具有符合性、合理性、可操作性、内控制度、风险保障措施。对所有工作保证在规定的标准期限内完成，包括工作计划（如何保证在规定期限内完成，包括时间和资源安排），如何投入人员，控制方案、争议解决机制、以及服务过程中遇到的特别需要交易发起人协调的事项和原因及解决方案等。</w:t>
      </w:r>
    </w:p>
    <w:p w14:paraId="1CDF5AC9">
      <w:pPr>
        <w:keepNext w:val="0"/>
        <w:keepLines w:val="0"/>
        <w:pageBreakBefore w:val="0"/>
        <w:widowControl/>
        <w:kinsoku/>
        <w:wordWrap/>
        <w:overflowPunct/>
        <w:topLinePunct w:val="0"/>
        <w:autoSpaceDE w:val="0"/>
        <w:autoSpaceDN w:val="0"/>
        <w:bidi w:val="0"/>
        <w:adjustRightInd w:val="0"/>
        <w:snapToGrid w:val="0"/>
        <w:spacing w:line="360" w:lineRule="auto"/>
        <w:ind w:firstLine="484" w:firstLineChars="200"/>
        <w:textAlignment w:val="baseline"/>
        <w:rPr>
          <w:rFonts w:hint="eastAsia" w:ascii="仿宋" w:hAnsi="仿宋" w:eastAsia="仿宋" w:cs="仿宋"/>
          <w:color w:val="auto"/>
          <w:spacing w:val="5"/>
          <w:sz w:val="24"/>
          <w:szCs w:val="24"/>
          <w:highlight w:val="none"/>
          <w:lang w:val="en-US" w:eastAsia="zh-CN"/>
        </w:rPr>
      </w:pPr>
      <w:r>
        <w:rPr>
          <w:rFonts w:hint="eastAsia" w:ascii="仿宋" w:hAnsi="仿宋" w:eastAsia="仿宋" w:cs="仿宋"/>
          <w:b w:val="0"/>
          <w:bCs w:val="0"/>
          <w:color w:val="auto"/>
          <w:spacing w:val="1"/>
          <w:sz w:val="24"/>
          <w:szCs w:val="24"/>
          <w:highlight w:val="none"/>
          <w:lang w:val="en-US" w:eastAsia="zh-CN"/>
        </w:rPr>
        <w:t>1.8</w:t>
      </w:r>
      <w:r>
        <w:rPr>
          <w:rFonts w:hint="eastAsia" w:ascii="仿宋" w:hAnsi="仿宋" w:eastAsia="仿宋" w:cs="仿宋"/>
          <w:color w:val="auto"/>
          <w:spacing w:val="5"/>
          <w:sz w:val="24"/>
          <w:szCs w:val="24"/>
          <w:highlight w:val="none"/>
          <w:lang w:val="en-US" w:eastAsia="zh-CN"/>
        </w:rPr>
        <w:t>.4提供质量保证措施：质量内控体系的建立情况、质量管理制度的建设情况以及内控制度健全有效性自我评价及其他能证明质量管理健全有效的材料。</w:t>
      </w:r>
    </w:p>
    <w:p w14:paraId="37558AAE">
      <w:pPr>
        <w:keepNext w:val="0"/>
        <w:keepLines w:val="0"/>
        <w:pageBreakBefore w:val="0"/>
        <w:widowControl/>
        <w:kinsoku/>
        <w:wordWrap/>
        <w:overflowPunct/>
        <w:topLinePunct w:val="0"/>
        <w:autoSpaceDE w:val="0"/>
        <w:autoSpaceDN w:val="0"/>
        <w:bidi w:val="0"/>
        <w:adjustRightInd w:val="0"/>
        <w:snapToGrid w:val="0"/>
        <w:spacing w:line="360" w:lineRule="auto"/>
        <w:ind w:firstLine="484" w:firstLineChars="200"/>
        <w:textAlignment w:val="baseline"/>
        <w:rPr>
          <w:rFonts w:hint="eastAsia" w:ascii="仿宋" w:hAnsi="仿宋" w:eastAsia="仿宋" w:cs="仿宋"/>
          <w:color w:val="auto"/>
          <w:spacing w:val="5"/>
          <w:sz w:val="24"/>
          <w:szCs w:val="24"/>
          <w:highlight w:val="none"/>
          <w:lang w:val="en-US" w:eastAsia="zh-CN"/>
        </w:rPr>
      </w:pPr>
      <w:r>
        <w:rPr>
          <w:rFonts w:hint="eastAsia" w:ascii="仿宋" w:hAnsi="仿宋" w:eastAsia="仿宋" w:cs="仿宋"/>
          <w:b w:val="0"/>
          <w:bCs w:val="0"/>
          <w:color w:val="auto"/>
          <w:spacing w:val="1"/>
          <w:sz w:val="24"/>
          <w:szCs w:val="24"/>
          <w:highlight w:val="none"/>
          <w:lang w:val="en-US" w:eastAsia="zh-CN"/>
        </w:rPr>
        <w:t>1.8</w:t>
      </w:r>
      <w:r>
        <w:rPr>
          <w:rFonts w:hint="eastAsia" w:ascii="仿宋" w:hAnsi="仿宋" w:eastAsia="仿宋" w:cs="仿宋"/>
          <w:color w:val="auto"/>
          <w:spacing w:val="5"/>
          <w:sz w:val="24"/>
          <w:szCs w:val="24"/>
          <w:highlight w:val="none"/>
          <w:lang w:val="en-US" w:eastAsia="zh-CN"/>
        </w:rPr>
        <w:t>.5提供交易过程中防止响应人串标、抬价、恶性竞标的应对措施。</w:t>
      </w:r>
    </w:p>
    <w:p w14:paraId="460EAF87">
      <w:pPr>
        <w:keepNext w:val="0"/>
        <w:keepLines w:val="0"/>
        <w:pageBreakBefore w:val="0"/>
        <w:widowControl/>
        <w:kinsoku/>
        <w:wordWrap/>
        <w:overflowPunct/>
        <w:topLinePunct w:val="0"/>
        <w:autoSpaceDE w:val="0"/>
        <w:autoSpaceDN w:val="0"/>
        <w:bidi w:val="0"/>
        <w:adjustRightInd w:val="0"/>
        <w:snapToGrid w:val="0"/>
        <w:spacing w:line="360" w:lineRule="auto"/>
        <w:ind w:firstLine="484" w:firstLineChars="200"/>
        <w:textAlignment w:val="baseline"/>
        <w:rPr>
          <w:rFonts w:hint="eastAsia" w:ascii="仿宋" w:hAnsi="仿宋" w:eastAsia="仿宋" w:cs="仿宋"/>
          <w:color w:val="auto"/>
          <w:spacing w:val="5"/>
          <w:sz w:val="24"/>
          <w:szCs w:val="24"/>
          <w:highlight w:val="none"/>
          <w:lang w:val="en-US" w:eastAsia="zh-CN"/>
        </w:rPr>
      </w:pPr>
      <w:r>
        <w:rPr>
          <w:rFonts w:hint="eastAsia" w:ascii="仿宋" w:hAnsi="仿宋" w:eastAsia="仿宋" w:cs="仿宋"/>
          <w:b w:val="0"/>
          <w:bCs w:val="0"/>
          <w:color w:val="auto"/>
          <w:spacing w:val="1"/>
          <w:sz w:val="24"/>
          <w:szCs w:val="24"/>
          <w:highlight w:val="none"/>
          <w:lang w:val="en-US" w:eastAsia="zh-CN"/>
        </w:rPr>
        <w:t>1.8</w:t>
      </w:r>
      <w:r>
        <w:rPr>
          <w:rFonts w:hint="eastAsia" w:ascii="仿宋" w:hAnsi="仿宋" w:eastAsia="仿宋" w:cs="仿宋"/>
          <w:color w:val="auto"/>
          <w:spacing w:val="5"/>
          <w:sz w:val="24"/>
          <w:szCs w:val="24"/>
          <w:highlight w:val="none"/>
          <w:lang w:val="en-US" w:eastAsia="zh-CN"/>
        </w:rPr>
        <w:t>.6提供代理人员工作守则及廉政措施。</w:t>
      </w:r>
    </w:p>
    <w:p w14:paraId="65A62B85">
      <w:pPr>
        <w:keepNext w:val="0"/>
        <w:keepLines w:val="0"/>
        <w:pageBreakBefore w:val="0"/>
        <w:widowControl/>
        <w:kinsoku/>
        <w:wordWrap/>
        <w:overflowPunct/>
        <w:topLinePunct w:val="0"/>
        <w:autoSpaceDE w:val="0"/>
        <w:autoSpaceDN w:val="0"/>
        <w:bidi w:val="0"/>
        <w:adjustRightInd w:val="0"/>
        <w:snapToGrid w:val="0"/>
        <w:spacing w:line="360" w:lineRule="auto"/>
        <w:ind w:left="16"/>
        <w:textAlignment w:val="baseline"/>
        <w:outlineLvl w:val="2"/>
        <w:rPr>
          <w:rFonts w:hint="eastAsia" w:ascii="仿宋" w:hAnsi="仿宋" w:eastAsia="仿宋" w:cs="仿宋"/>
          <w:b/>
          <w:bCs/>
          <w:color w:val="auto"/>
          <w:spacing w:val="1"/>
          <w:sz w:val="24"/>
          <w:szCs w:val="24"/>
          <w:highlight w:val="none"/>
          <w:lang w:val="en-US" w:eastAsia="zh-CN"/>
        </w:rPr>
      </w:pPr>
      <w:r>
        <w:rPr>
          <w:rFonts w:hint="eastAsia" w:ascii="仿宋" w:hAnsi="仿宋" w:eastAsia="仿宋" w:cs="仿宋"/>
          <w:b/>
          <w:bCs/>
          <w:color w:val="auto"/>
          <w:spacing w:val="1"/>
          <w:sz w:val="24"/>
          <w:szCs w:val="24"/>
          <w:highlight w:val="none"/>
          <w:lang w:val="en-US" w:eastAsia="zh-CN"/>
        </w:rPr>
        <w:t>1.9.成交确定</w:t>
      </w:r>
    </w:p>
    <w:p w14:paraId="6DD0F373">
      <w:pPr>
        <w:keepNext w:val="0"/>
        <w:keepLines w:val="0"/>
        <w:pageBreakBefore w:val="0"/>
        <w:widowControl/>
        <w:kinsoku/>
        <w:wordWrap/>
        <w:overflowPunct/>
        <w:topLinePunct w:val="0"/>
        <w:autoSpaceDE w:val="0"/>
        <w:autoSpaceDN w:val="0"/>
        <w:bidi w:val="0"/>
        <w:adjustRightInd w:val="0"/>
        <w:snapToGrid w:val="0"/>
        <w:spacing w:line="360" w:lineRule="auto"/>
        <w:ind w:firstLine="500" w:firstLineChars="200"/>
        <w:textAlignment w:val="baseline"/>
        <w:rPr>
          <w:rFonts w:hint="eastAsia" w:ascii="仿宋" w:hAnsi="仿宋" w:eastAsia="仿宋" w:cs="仿宋"/>
          <w:color w:val="auto"/>
          <w:spacing w:val="5"/>
          <w:sz w:val="24"/>
          <w:szCs w:val="24"/>
          <w:highlight w:val="none"/>
          <w:lang w:val="en-US" w:eastAsia="zh-CN"/>
        </w:rPr>
      </w:pPr>
      <w:r>
        <w:rPr>
          <w:rFonts w:hint="eastAsia" w:ascii="仿宋" w:hAnsi="仿宋" w:eastAsia="仿宋" w:cs="仿宋"/>
          <w:color w:val="auto"/>
          <w:spacing w:val="5"/>
          <w:sz w:val="24"/>
          <w:szCs w:val="24"/>
          <w:highlight w:val="none"/>
          <w:lang w:val="en-US" w:eastAsia="zh-CN"/>
        </w:rPr>
        <w:t>成交确定：本次交易将根据各响应人的响应文件，由评审委员会综合评估打分后，根据综合得分高到低顺序确定1家单位，作为本项目全过程代理服务单位。</w:t>
      </w:r>
    </w:p>
    <w:p w14:paraId="095FAB86">
      <w:pPr>
        <w:keepNext w:val="0"/>
        <w:keepLines w:val="0"/>
        <w:pageBreakBefore w:val="0"/>
        <w:widowControl/>
        <w:kinsoku/>
        <w:wordWrap/>
        <w:overflowPunct/>
        <w:topLinePunct w:val="0"/>
        <w:autoSpaceDE w:val="0"/>
        <w:autoSpaceDN w:val="0"/>
        <w:bidi w:val="0"/>
        <w:adjustRightInd w:val="0"/>
        <w:snapToGrid w:val="0"/>
        <w:spacing w:line="360" w:lineRule="auto"/>
        <w:ind w:left="16"/>
        <w:textAlignment w:val="baseline"/>
        <w:outlineLvl w:val="2"/>
        <w:rPr>
          <w:rFonts w:hint="eastAsia" w:ascii="仿宋" w:hAnsi="仿宋" w:eastAsia="仿宋" w:cs="仿宋"/>
          <w:b/>
          <w:bCs/>
          <w:color w:val="auto"/>
          <w:spacing w:val="1"/>
          <w:sz w:val="24"/>
          <w:szCs w:val="24"/>
          <w:highlight w:val="none"/>
          <w:lang w:val="en-US" w:eastAsia="zh-CN"/>
        </w:rPr>
      </w:pPr>
      <w:r>
        <w:rPr>
          <w:rFonts w:hint="eastAsia" w:ascii="仿宋" w:hAnsi="仿宋" w:eastAsia="仿宋" w:cs="仿宋"/>
          <w:b/>
          <w:bCs/>
          <w:color w:val="auto"/>
          <w:spacing w:val="1"/>
          <w:sz w:val="24"/>
          <w:szCs w:val="24"/>
          <w:highlight w:val="none"/>
          <w:lang w:val="en-US" w:eastAsia="zh-CN"/>
        </w:rPr>
        <w:t>2.0.其他相关内容及要求详见本交易文件。</w:t>
      </w:r>
    </w:p>
    <w:p w14:paraId="2243BB3F">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firstLine="500" w:firstLineChars="200"/>
        <w:textAlignment w:val="baseline"/>
        <w:rPr>
          <w:rFonts w:hint="eastAsia" w:ascii="仿宋" w:hAnsi="仿宋" w:eastAsia="仿宋" w:cs="仿宋"/>
          <w:color w:val="auto"/>
          <w:spacing w:val="5"/>
          <w:sz w:val="24"/>
          <w:szCs w:val="24"/>
          <w:highlight w:val="none"/>
          <w:lang w:val="en-US" w:eastAsia="zh-CN"/>
        </w:rPr>
      </w:pPr>
      <w:r>
        <w:rPr>
          <w:rFonts w:hint="eastAsia" w:ascii="仿宋" w:hAnsi="仿宋" w:eastAsia="仿宋" w:cs="仿宋"/>
          <w:color w:val="auto"/>
          <w:spacing w:val="5"/>
          <w:sz w:val="24"/>
          <w:szCs w:val="24"/>
          <w:highlight w:val="none"/>
          <w:lang w:val="en-US" w:eastAsia="zh-CN"/>
        </w:rPr>
        <w:t>2.1.1 服务费用包括招标全过程招标代理、工程量清单预算(招标控制价)编制等一切费用：投标报价应包括完成履行所有规定服务所产生的全部费用，包括人工费用 (含按国家规定需缴纳的各种社会保险) 、办公费用 (含项目人员交通费用、食宿费、办公设备、生活设施、通讯工具等) 、专家评审费、管理费用、赶工费、利润、税费等所有费用。响应人的报价中应充分考虑此相关费用。</w:t>
      </w:r>
    </w:p>
    <w:p w14:paraId="4B0961E9">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firstLine="500" w:firstLineChars="200"/>
        <w:textAlignment w:val="baseline"/>
        <w:rPr>
          <w:rFonts w:hint="eastAsia" w:ascii="仿宋" w:hAnsi="仿宋" w:eastAsia="仿宋" w:cs="仿宋"/>
          <w:color w:val="auto"/>
          <w:spacing w:val="5"/>
          <w:sz w:val="24"/>
          <w:szCs w:val="24"/>
          <w:highlight w:val="none"/>
          <w:lang w:val="en-US" w:eastAsia="zh-CN"/>
        </w:rPr>
      </w:pPr>
      <w:r>
        <w:rPr>
          <w:rFonts w:hint="eastAsia" w:ascii="仿宋" w:hAnsi="仿宋" w:eastAsia="仿宋" w:cs="仿宋"/>
          <w:color w:val="auto"/>
          <w:spacing w:val="5"/>
          <w:sz w:val="24"/>
          <w:szCs w:val="24"/>
          <w:highlight w:val="none"/>
          <w:lang w:val="en-US" w:eastAsia="zh-CN"/>
        </w:rPr>
        <w:t>2.1.2 由于成交人原因出现漏项、量差等工程量清单(预算)编制质量问题，若工程量清单(预算)结果误差率超出</w:t>
      </w:r>
      <w:r>
        <w:rPr>
          <w:rFonts w:hint="eastAsia" w:ascii="宋体"/>
          <w:color w:val="auto"/>
          <w:sz w:val="22"/>
          <w:szCs w:val="22"/>
          <w:highlight w:val="none"/>
        </w:rPr>
        <w:t>±</w:t>
      </w:r>
      <w:r>
        <w:rPr>
          <w:rFonts w:hint="eastAsia" w:ascii="宋体"/>
          <w:color w:val="auto"/>
          <w:sz w:val="22"/>
          <w:szCs w:val="22"/>
          <w:highlight w:val="none"/>
          <w:lang w:val="en-US" w:eastAsia="zh-CN"/>
        </w:rPr>
        <w:t>5</w:t>
      </w:r>
      <w:r>
        <w:rPr>
          <w:rFonts w:hint="eastAsia" w:ascii="仿宋" w:hAnsi="仿宋" w:eastAsia="仿宋" w:cs="仿宋"/>
          <w:color w:val="auto"/>
          <w:spacing w:val="5"/>
          <w:sz w:val="24"/>
          <w:szCs w:val="24"/>
          <w:highlight w:val="none"/>
          <w:lang w:val="en-US" w:eastAsia="zh-CN"/>
        </w:rPr>
        <w:t>%以外的，采购人有权按每出现一次，扣除成交人代理费用的2%违约金。</w:t>
      </w:r>
    </w:p>
    <w:p w14:paraId="16CFFE13">
      <w:pPr>
        <w:keepNext w:val="0"/>
        <w:keepLines w:val="0"/>
        <w:pageBreakBefore w:val="0"/>
        <w:widowControl/>
        <w:kinsoku/>
        <w:wordWrap/>
        <w:overflowPunct/>
        <w:topLinePunct w:val="0"/>
        <w:autoSpaceDE w:val="0"/>
        <w:autoSpaceDN w:val="0"/>
        <w:bidi w:val="0"/>
        <w:adjustRightInd w:val="0"/>
        <w:snapToGrid w:val="0"/>
        <w:spacing w:line="360" w:lineRule="auto"/>
        <w:ind w:firstLine="436"/>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8"/>
          <w:sz w:val="24"/>
          <w:szCs w:val="24"/>
          <w:highlight w:val="none"/>
          <w:lang w:val="en-US" w:eastAsia="zh-CN"/>
        </w:rPr>
        <w:t>2.1.3</w:t>
      </w:r>
      <w:r>
        <w:rPr>
          <w:rFonts w:hint="eastAsia" w:ascii="仿宋" w:hAnsi="仿宋" w:eastAsia="仿宋" w:cs="仿宋"/>
          <w:color w:val="auto"/>
          <w:spacing w:val="9"/>
          <w:sz w:val="24"/>
          <w:szCs w:val="24"/>
          <w:highlight w:val="none"/>
        </w:rPr>
        <w:t xml:space="preserve"> 工作内容包括但不限于：拟定招标方案、向招投标监督管理部门提交招标申请、发布招</w:t>
      </w:r>
      <w:r>
        <w:rPr>
          <w:rFonts w:hint="eastAsia" w:ascii="仿宋" w:hAnsi="仿宋" w:eastAsia="仿宋" w:cs="仿宋"/>
          <w:color w:val="auto"/>
          <w:spacing w:val="20"/>
          <w:sz w:val="24"/>
          <w:szCs w:val="24"/>
          <w:highlight w:val="none"/>
        </w:rPr>
        <w:t>标公</w:t>
      </w:r>
      <w:r>
        <w:rPr>
          <w:rFonts w:hint="eastAsia" w:ascii="仿宋" w:hAnsi="仿宋" w:eastAsia="仿宋" w:cs="仿宋"/>
          <w:color w:val="auto"/>
          <w:spacing w:val="12"/>
          <w:sz w:val="24"/>
          <w:szCs w:val="24"/>
          <w:highlight w:val="none"/>
        </w:rPr>
        <w:t>告</w:t>
      </w:r>
      <w:r>
        <w:rPr>
          <w:rFonts w:hint="eastAsia" w:ascii="仿宋" w:hAnsi="仿宋" w:eastAsia="仿宋" w:cs="仿宋"/>
          <w:color w:val="auto"/>
          <w:spacing w:val="10"/>
          <w:sz w:val="24"/>
          <w:szCs w:val="24"/>
          <w:highlight w:val="none"/>
        </w:rPr>
        <w:t>、协助</w:t>
      </w:r>
      <w:r>
        <w:rPr>
          <w:rFonts w:hint="eastAsia" w:ascii="仿宋" w:hAnsi="仿宋" w:eastAsia="仿宋" w:cs="仿宋"/>
          <w:color w:val="auto"/>
          <w:spacing w:val="10"/>
          <w:sz w:val="24"/>
          <w:szCs w:val="24"/>
          <w:highlight w:val="none"/>
          <w:lang w:eastAsia="zh-CN"/>
        </w:rPr>
        <w:t>采购人</w:t>
      </w:r>
      <w:r>
        <w:rPr>
          <w:rFonts w:hint="eastAsia" w:ascii="仿宋" w:hAnsi="仿宋" w:eastAsia="仿宋" w:cs="仿宋"/>
          <w:color w:val="auto"/>
          <w:spacing w:val="10"/>
          <w:sz w:val="24"/>
          <w:szCs w:val="24"/>
          <w:highlight w:val="none"/>
        </w:rPr>
        <w:t>审查</w:t>
      </w:r>
      <w:r>
        <w:rPr>
          <w:rFonts w:hint="eastAsia" w:ascii="仿宋" w:hAnsi="仿宋" w:eastAsia="仿宋" w:cs="仿宋"/>
          <w:color w:val="auto"/>
          <w:spacing w:val="10"/>
          <w:sz w:val="24"/>
          <w:szCs w:val="24"/>
          <w:highlight w:val="none"/>
          <w:lang w:eastAsia="zh-CN"/>
        </w:rPr>
        <w:t>响应人</w:t>
      </w:r>
      <w:r>
        <w:rPr>
          <w:rFonts w:hint="eastAsia" w:ascii="仿宋" w:hAnsi="仿宋" w:eastAsia="仿宋" w:cs="仿宋"/>
          <w:color w:val="auto"/>
          <w:spacing w:val="10"/>
          <w:sz w:val="24"/>
          <w:szCs w:val="24"/>
          <w:highlight w:val="none"/>
        </w:rPr>
        <w:t>资格、编制招标文件并报</w:t>
      </w:r>
      <w:r>
        <w:rPr>
          <w:rFonts w:hint="eastAsia" w:ascii="仿宋" w:hAnsi="仿宋" w:eastAsia="仿宋" w:cs="仿宋"/>
          <w:color w:val="auto"/>
          <w:spacing w:val="10"/>
          <w:sz w:val="24"/>
          <w:szCs w:val="24"/>
          <w:highlight w:val="none"/>
          <w:lang w:eastAsia="zh-CN"/>
        </w:rPr>
        <w:t>采购人</w:t>
      </w:r>
      <w:r>
        <w:rPr>
          <w:rFonts w:hint="eastAsia" w:ascii="仿宋" w:hAnsi="仿宋" w:eastAsia="仿宋" w:cs="仿宋"/>
          <w:color w:val="auto"/>
          <w:spacing w:val="10"/>
          <w:sz w:val="24"/>
          <w:szCs w:val="24"/>
          <w:highlight w:val="none"/>
        </w:rPr>
        <w:t>及招标管理机构审定 (或招标文件</w:t>
      </w:r>
      <w:r>
        <w:rPr>
          <w:rFonts w:hint="eastAsia" w:ascii="仿宋" w:hAnsi="仿宋" w:eastAsia="仿宋" w:cs="仿宋"/>
          <w:color w:val="auto"/>
          <w:spacing w:val="20"/>
          <w:sz w:val="24"/>
          <w:szCs w:val="24"/>
          <w:highlight w:val="none"/>
        </w:rPr>
        <w:t>评审</w:t>
      </w:r>
      <w:r>
        <w:rPr>
          <w:rFonts w:hint="eastAsia" w:ascii="仿宋" w:hAnsi="仿宋" w:eastAsia="仿宋" w:cs="仿宋"/>
          <w:color w:val="auto"/>
          <w:spacing w:val="12"/>
          <w:sz w:val="24"/>
          <w:szCs w:val="24"/>
          <w:highlight w:val="none"/>
        </w:rPr>
        <w:t>)</w:t>
      </w:r>
      <w:r>
        <w:rPr>
          <w:rFonts w:hint="eastAsia" w:ascii="仿宋" w:hAnsi="仿宋" w:eastAsia="仿宋" w:cs="仿宋"/>
          <w:color w:val="auto"/>
          <w:spacing w:val="10"/>
          <w:sz w:val="24"/>
          <w:szCs w:val="24"/>
          <w:highlight w:val="none"/>
        </w:rPr>
        <w:t xml:space="preserve"> 、编制工程量清单及预算、组织</w:t>
      </w:r>
      <w:r>
        <w:rPr>
          <w:rFonts w:hint="eastAsia" w:ascii="仿宋" w:hAnsi="仿宋" w:eastAsia="仿宋" w:cs="仿宋"/>
          <w:color w:val="auto"/>
          <w:spacing w:val="10"/>
          <w:sz w:val="24"/>
          <w:szCs w:val="24"/>
          <w:highlight w:val="none"/>
          <w:lang w:eastAsia="zh-CN"/>
        </w:rPr>
        <w:t>响应人</w:t>
      </w:r>
      <w:r>
        <w:rPr>
          <w:rFonts w:hint="eastAsia" w:ascii="仿宋" w:hAnsi="仿宋" w:eastAsia="仿宋" w:cs="仿宋"/>
          <w:color w:val="auto"/>
          <w:spacing w:val="10"/>
          <w:sz w:val="24"/>
          <w:szCs w:val="24"/>
          <w:highlight w:val="none"/>
        </w:rPr>
        <w:t>踏勘现场和答疑、整理发放答疑纪要、组织开标、评</w:t>
      </w:r>
      <w:r>
        <w:rPr>
          <w:rFonts w:hint="eastAsia" w:ascii="仿宋" w:hAnsi="仿宋" w:eastAsia="仿宋" w:cs="仿宋"/>
          <w:color w:val="auto"/>
          <w:spacing w:val="18"/>
          <w:sz w:val="24"/>
          <w:szCs w:val="24"/>
          <w:highlight w:val="none"/>
        </w:rPr>
        <w:t>标</w:t>
      </w:r>
      <w:r>
        <w:rPr>
          <w:rFonts w:hint="eastAsia" w:ascii="仿宋" w:hAnsi="仿宋" w:eastAsia="仿宋" w:cs="仿宋"/>
          <w:color w:val="auto"/>
          <w:spacing w:val="17"/>
          <w:sz w:val="24"/>
          <w:szCs w:val="24"/>
          <w:highlight w:val="none"/>
        </w:rPr>
        <w:t>和</w:t>
      </w:r>
      <w:r>
        <w:rPr>
          <w:rFonts w:hint="eastAsia" w:ascii="仿宋" w:hAnsi="仿宋" w:eastAsia="仿宋" w:cs="仿宋"/>
          <w:color w:val="auto"/>
          <w:spacing w:val="9"/>
          <w:sz w:val="24"/>
          <w:szCs w:val="24"/>
          <w:highlight w:val="none"/>
        </w:rPr>
        <w:t>定标、提交招投标书面情况报告、协助工程合同的签订、招标有关的其他事项。</w:t>
      </w:r>
    </w:p>
    <w:p w14:paraId="12321BCA">
      <w:pPr>
        <w:keepNext w:val="0"/>
        <w:keepLines w:val="0"/>
        <w:pageBreakBefore w:val="0"/>
        <w:widowControl/>
        <w:kinsoku/>
        <w:wordWrap/>
        <w:overflowPunct/>
        <w:topLinePunct w:val="0"/>
        <w:autoSpaceDE w:val="0"/>
        <w:autoSpaceDN w:val="0"/>
        <w:bidi w:val="0"/>
        <w:adjustRightInd w:val="0"/>
        <w:snapToGrid w:val="0"/>
        <w:spacing w:line="360" w:lineRule="auto"/>
        <w:ind w:left="4" w:right="51" w:firstLine="484"/>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8"/>
          <w:sz w:val="24"/>
          <w:szCs w:val="24"/>
          <w:highlight w:val="none"/>
          <w:lang w:val="en-US" w:eastAsia="zh-CN"/>
        </w:rPr>
        <w:t>2.1.4</w:t>
      </w:r>
      <w:r>
        <w:rPr>
          <w:rFonts w:hint="eastAsia" w:ascii="仿宋" w:hAnsi="仿宋" w:eastAsia="仿宋" w:cs="仿宋"/>
          <w:color w:val="auto"/>
          <w:spacing w:val="6"/>
          <w:sz w:val="24"/>
          <w:szCs w:val="24"/>
          <w:highlight w:val="none"/>
        </w:rPr>
        <w:t xml:space="preserve"> </w:t>
      </w:r>
      <w:r>
        <w:rPr>
          <w:rFonts w:hint="eastAsia" w:ascii="仿宋" w:hAnsi="仿宋" w:eastAsia="仿宋" w:cs="仿宋"/>
          <w:color w:val="auto"/>
          <w:spacing w:val="6"/>
          <w:sz w:val="24"/>
          <w:szCs w:val="24"/>
          <w:highlight w:val="none"/>
          <w:lang w:eastAsia="zh-CN"/>
        </w:rPr>
        <w:t>成交人</w:t>
      </w:r>
      <w:r>
        <w:rPr>
          <w:rFonts w:hint="eastAsia" w:ascii="仿宋" w:hAnsi="仿宋" w:eastAsia="仿宋" w:cs="仿宋"/>
          <w:color w:val="auto"/>
          <w:spacing w:val="6"/>
          <w:sz w:val="24"/>
          <w:szCs w:val="24"/>
          <w:highlight w:val="none"/>
        </w:rPr>
        <w:t>应组成专门的项目组负责本项目，并指定项目负责人1人以上(含1人)，</w:t>
      </w:r>
      <w:r>
        <w:rPr>
          <w:rFonts w:hint="eastAsia" w:ascii="仿宋" w:hAnsi="仿宋" w:eastAsia="仿宋" w:cs="仿宋"/>
          <w:color w:val="auto"/>
          <w:spacing w:val="14"/>
          <w:sz w:val="24"/>
          <w:szCs w:val="24"/>
          <w:highlight w:val="none"/>
        </w:rPr>
        <w:t>项</w:t>
      </w:r>
      <w:r>
        <w:rPr>
          <w:rFonts w:hint="eastAsia" w:ascii="仿宋" w:hAnsi="仿宋" w:eastAsia="仿宋" w:cs="仿宋"/>
          <w:color w:val="auto"/>
          <w:spacing w:val="8"/>
          <w:sz w:val="24"/>
          <w:szCs w:val="24"/>
          <w:highlight w:val="none"/>
        </w:rPr>
        <w:t>目负责人一旦确定不得变更 (除不可抗力外) 。</w:t>
      </w:r>
    </w:p>
    <w:p w14:paraId="7777F757">
      <w:pPr>
        <w:keepNext w:val="0"/>
        <w:keepLines w:val="0"/>
        <w:pageBreakBefore w:val="0"/>
        <w:widowControl/>
        <w:kinsoku/>
        <w:wordWrap/>
        <w:overflowPunct/>
        <w:topLinePunct w:val="0"/>
        <w:autoSpaceDE w:val="0"/>
        <w:autoSpaceDN w:val="0"/>
        <w:bidi w:val="0"/>
        <w:adjustRightInd w:val="0"/>
        <w:snapToGrid w:val="0"/>
        <w:spacing w:line="360" w:lineRule="auto"/>
        <w:ind w:firstLine="436"/>
        <w:textAlignment w:val="baseline"/>
        <w:rPr>
          <w:rFonts w:hint="eastAsia" w:ascii="仿宋" w:hAnsi="仿宋" w:eastAsia="仿宋" w:cs="仿宋"/>
          <w:color w:val="auto"/>
          <w:spacing w:val="10"/>
          <w:sz w:val="24"/>
          <w:szCs w:val="24"/>
          <w:highlight w:val="none"/>
        </w:rPr>
      </w:pPr>
      <w:r>
        <w:rPr>
          <w:rFonts w:hint="eastAsia" w:ascii="仿宋" w:hAnsi="仿宋" w:eastAsia="仿宋" w:cs="仿宋"/>
          <w:color w:val="auto"/>
          <w:spacing w:val="10"/>
          <w:sz w:val="24"/>
          <w:szCs w:val="24"/>
          <w:highlight w:val="none"/>
          <w:lang w:val="en-US" w:eastAsia="zh-CN"/>
        </w:rPr>
        <w:t>2.1.5</w:t>
      </w:r>
      <w:r>
        <w:rPr>
          <w:rFonts w:hint="eastAsia" w:ascii="仿宋" w:hAnsi="仿宋" w:eastAsia="仿宋" w:cs="仿宋"/>
          <w:color w:val="auto"/>
          <w:spacing w:val="10"/>
          <w:sz w:val="24"/>
          <w:szCs w:val="24"/>
          <w:highlight w:val="none"/>
        </w:rPr>
        <w:t xml:space="preserve"> 招标代理时限:具体节点要求如下:每个招标项目招标文件编制时间自</w:t>
      </w:r>
      <w:r>
        <w:rPr>
          <w:rFonts w:hint="eastAsia" w:ascii="仿宋" w:hAnsi="仿宋" w:eastAsia="仿宋" w:cs="仿宋"/>
          <w:color w:val="auto"/>
          <w:spacing w:val="10"/>
          <w:sz w:val="24"/>
          <w:szCs w:val="24"/>
          <w:highlight w:val="none"/>
          <w:lang w:eastAsia="zh-CN"/>
        </w:rPr>
        <w:t>采购人</w:t>
      </w:r>
      <w:r>
        <w:rPr>
          <w:rFonts w:hint="eastAsia" w:ascii="仿宋" w:hAnsi="仿宋" w:eastAsia="仿宋" w:cs="仿宋"/>
          <w:color w:val="auto"/>
          <w:spacing w:val="10"/>
          <w:sz w:val="24"/>
          <w:szCs w:val="24"/>
          <w:highlight w:val="none"/>
        </w:rPr>
        <w:t>通知之日起5个工作日内完成初稿并提交</w:t>
      </w:r>
      <w:r>
        <w:rPr>
          <w:rFonts w:hint="eastAsia" w:ascii="仿宋" w:hAnsi="仿宋" w:eastAsia="仿宋" w:cs="仿宋"/>
          <w:color w:val="auto"/>
          <w:spacing w:val="10"/>
          <w:sz w:val="24"/>
          <w:szCs w:val="24"/>
          <w:highlight w:val="none"/>
          <w:lang w:eastAsia="zh-CN"/>
        </w:rPr>
        <w:t>采购人</w:t>
      </w:r>
      <w:r>
        <w:rPr>
          <w:rFonts w:hint="eastAsia" w:ascii="仿宋" w:hAnsi="仿宋" w:eastAsia="仿宋" w:cs="仿宋"/>
          <w:color w:val="auto"/>
          <w:spacing w:val="10"/>
          <w:sz w:val="24"/>
          <w:szCs w:val="24"/>
          <w:highlight w:val="none"/>
        </w:rPr>
        <w:t>审核，具体招标进程按</w:t>
      </w:r>
      <w:r>
        <w:rPr>
          <w:rFonts w:hint="eastAsia" w:ascii="仿宋" w:hAnsi="仿宋" w:eastAsia="仿宋" w:cs="仿宋"/>
          <w:color w:val="auto"/>
          <w:spacing w:val="10"/>
          <w:sz w:val="24"/>
          <w:szCs w:val="24"/>
          <w:highlight w:val="none"/>
          <w:lang w:eastAsia="zh-CN"/>
        </w:rPr>
        <w:t>采购人</w:t>
      </w:r>
      <w:r>
        <w:rPr>
          <w:rFonts w:hint="eastAsia" w:ascii="仿宋" w:hAnsi="仿宋" w:eastAsia="仿宋" w:cs="仿宋"/>
          <w:color w:val="auto"/>
          <w:spacing w:val="10"/>
          <w:sz w:val="24"/>
          <w:szCs w:val="24"/>
          <w:highlight w:val="none"/>
        </w:rPr>
        <w:t>要求</w:t>
      </w:r>
      <w:r>
        <w:rPr>
          <w:rFonts w:hint="eastAsia" w:ascii="仿宋" w:hAnsi="仿宋" w:eastAsia="仿宋" w:cs="仿宋"/>
          <w:color w:val="auto"/>
          <w:spacing w:val="10"/>
          <w:sz w:val="24"/>
          <w:szCs w:val="24"/>
          <w:highlight w:val="none"/>
          <w:lang w:eastAsia="zh-CN"/>
        </w:rPr>
        <w:t>进行</w:t>
      </w:r>
      <w:r>
        <w:rPr>
          <w:rFonts w:hint="eastAsia" w:ascii="仿宋" w:hAnsi="仿宋" w:eastAsia="仿宋" w:cs="仿宋"/>
          <w:color w:val="auto"/>
          <w:spacing w:val="10"/>
          <w:sz w:val="24"/>
          <w:szCs w:val="24"/>
          <w:highlight w:val="none"/>
        </w:rPr>
        <w:t>实施。</w:t>
      </w:r>
    </w:p>
    <w:p w14:paraId="73101116">
      <w:pPr>
        <w:keepNext w:val="0"/>
        <w:keepLines w:val="0"/>
        <w:pageBreakBefore w:val="0"/>
        <w:widowControl/>
        <w:kinsoku/>
        <w:wordWrap/>
        <w:overflowPunct/>
        <w:topLinePunct w:val="0"/>
        <w:autoSpaceDE w:val="0"/>
        <w:autoSpaceDN w:val="0"/>
        <w:bidi w:val="0"/>
        <w:adjustRightInd w:val="0"/>
        <w:snapToGrid w:val="0"/>
        <w:spacing w:line="360" w:lineRule="auto"/>
        <w:ind w:firstLine="436"/>
        <w:textAlignment w:val="baseline"/>
        <w:rPr>
          <w:rFonts w:hint="eastAsia" w:ascii="仿宋" w:hAnsi="仿宋" w:eastAsia="仿宋" w:cs="仿宋"/>
          <w:color w:val="auto"/>
          <w:spacing w:val="10"/>
          <w:sz w:val="24"/>
          <w:szCs w:val="24"/>
          <w:highlight w:val="none"/>
          <w:lang w:eastAsia="zh-CN"/>
        </w:rPr>
      </w:pPr>
      <w:r>
        <w:rPr>
          <w:rFonts w:hint="eastAsia" w:ascii="仿宋" w:hAnsi="仿宋" w:eastAsia="仿宋" w:cs="仿宋"/>
          <w:color w:val="auto"/>
          <w:spacing w:val="10"/>
          <w:sz w:val="24"/>
          <w:szCs w:val="24"/>
          <w:highlight w:val="none"/>
        </w:rPr>
        <w:t>工程量清单</w:t>
      </w:r>
      <w:r>
        <w:rPr>
          <w:rFonts w:hint="eastAsia" w:ascii="仿宋" w:hAnsi="仿宋" w:eastAsia="仿宋" w:cs="仿宋"/>
          <w:color w:val="auto"/>
          <w:spacing w:val="10"/>
          <w:sz w:val="24"/>
          <w:szCs w:val="24"/>
          <w:highlight w:val="none"/>
          <w:lang w:val="en-US" w:eastAsia="zh-CN"/>
        </w:rPr>
        <w:t>预算</w:t>
      </w:r>
      <w:r>
        <w:rPr>
          <w:rFonts w:hint="eastAsia" w:ascii="仿宋" w:hAnsi="仿宋" w:eastAsia="仿宋" w:cs="仿宋"/>
          <w:color w:val="auto"/>
          <w:spacing w:val="10"/>
          <w:sz w:val="24"/>
          <w:szCs w:val="24"/>
          <w:highlight w:val="none"/>
        </w:rPr>
        <w:t>(招标控制价)编制:自受理之日起，一般工程(单项造价500万元及以内)10个工作日，大中型工程(单项500万元以上-5000万元以下)15个工作日内提出完整的书面审查结果，大中型工程(单项5000万元以上)或结构较复杂工程 20个工作日内提出完整的书面报告</w:t>
      </w:r>
      <w:r>
        <w:rPr>
          <w:rFonts w:hint="eastAsia" w:ascii="仿宋" w:hAnsi="仿宋" w:eastAsia="仿宋" w:cs="仿宋"/>
          <w:color w:val="auto"/>
          <w:spacing w:val="10"/>
          <w:sz w:val="24"/>
          <w:szCs w:val="24"/>
          <w:highlight w:val="none"/>
          <w:lang w:eastAsia="zh-CN"/>
        </w:rPr>
        <w:t>，特殊情况按采购人要求执行。</w:t>
      </w:r>
    </w:p>
    <w:p w14:paraId="22E73057">
      <w:pPr>
        <w:snapToGrid w:val="0"/>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pacing w:val="18"/>
          <w:sz w:val="24"/>
          <w:szCs w:val="24"/>
          <w:highlight w:val="none"/>
          <w:lang w:val="en-US" w:eastAsia="zh-CN"/>
        </w:rPr>
        <w:t>2.1.6</w:t>
      </w:r>
      <w:r>
        <w:rPr>
          <w:rFonts w:hint="eastAsia" w:ascii="仿宋" w:hAnsi="仿宋" w:eastAsia="仿宋" w:cs="仿宋"/>
          <w:color w:val="auto"/>
          <w:spacing w:val="8"/>
          <w:sz w:val="24"/>
          <w:szCs w:val="24"/>
          <w:highlight w:val="none"/>
        </w:rPr>
        <w:t xml:space="preserve"> </w:t>
      </w:r>
      <w:r>
        <w:rPr>
          <w:rFonts w:hint="eastAsia" w:ascii="仿宋" w:hAnsi="仿宋" w:eastAsia="仿宋" w:cs="仿宋"/>
          <w:color w:val="auto"/>
          <w:spacing w:val="8"/>
          <w:sz w:val="24"/>
          <w:szCs w:val="24"/>
          <w:highlight w:val="none"/>
          <w:lang w:eastAsia="zh-CN"/>
        </w:rPr>
        <w:t>响应人</w:t>
      </w:r>
      <w:r>
        <w:rPr>
          <w:rFonts w:hint="eastAsia" w:ascii="仿宋" w:hAnsi="仿宋" w:eastAsia="仿宋" w:cs="仿宋"/>
          <w:color w:val="auto"/>
          <w:spacing w:val="8"/>
          <w:sz w:val="24"/>
          <w:szCs w:val="24"/>
          <w:highlight w:val="none"/>
        </w:rPr>
        <w:t>应认真、如实地填写投标书的有关内容，如弄虚作假或虚报有关业绩、数据，评</w:t>
      </w:r>
      <w:r>
        <w:rPr>
          <w:rFonts w:hint="eastAsia" w:ascii="仿宋" w:hAnsi="仿宋" w:eastAsia="仿宋" w:cs="仿宋"/>
          <w:color w:val="auto"/>
          <w:spacing w:val="9"/>
          <w:sz w:val="24"/>
          <w:szCs w:val="24"/>
          <w:highlight w:val="none"/>
        </w:rPr>
        <w:t>标委员会一经发现查实，取消其投标资格</w:t>
      </w:r>
      <w:r>
        <w:rPr>
          <w:rFonts w:hint="eastAsia" w:ascii="仿宋" w:hAnsi="仿宋" w:eastAsia="仿宋" w:cs="仿宋"/>
          <w:color w:val="auto"/>
          <w:spacing w:val="6"/>
          <w:sz w:val="24"/>
          <w:szCs w:val="24"/>
          <w:highlight w:val="none"/>
        </w:rPr>
        <w:t>。</w:t>
      </w:r>
    </w:p>
    <w:p w14:paraId="0F855BBA">
      <w:pPr>
        <w:snapToGrid w:val="0"/>
        <w:spacing w:line="360" w:lineRule="auto"/>
        <w:jc w:val="left"/>
        <w:rPr>
          <w:rFonts w:hint="default" w:ascii="仿宋" w:hAnsi="仿宋" w:eastAsia="仿宋" w:cs="仿宋"/>
          <w:color w:val="auto"/>
          <w:spacing w:val="8"/>
          <w:sz w:val="24"/>
          <w:szCs w:val="24"/>
          <w:highlight w:val="none"/>
          <w:lang w:val="en-US" w:eastAsia="zh-CN"/>
        </w:rPr>
      </w:pPr>
      <w:r>
        <w:rPr>
          <w:rFonts w:hint="eastAsia" w:ascii="仿宋" w:hAnsi="仿宋" w:eastAsia="仿宋" w:cs="仿宋"/>
          <w:b/>
          <w:bCs/>
          <w:color w:val="auto"/>
          <w:spacing w:val="8"/>
          <w:sz w:val="24"/>
          <w:szCs w:val="24"/>
          <w:highlight w:val="none"/>
          <w:lang w:val="en-US" w:eastAsia="zh-CN"/>
        </w:rPr>
        <w:t>2.1</w:t>
      </w:r>
      <w:r>
        <w:rPr>
          <w:rFonts w:hint="eastAsia" w:ascii="仿宋" w:hAnsi="仿宋" w:eastAsia="仿宋" w:cs="仿宋"/>
          <w:b/>
          <w:bCs/>
          <w:color w:val="auto"/>
          <w:spacing w:val="8"/>
          <w:sz w:val="24"/>
          <w:szCs w:val="24"/>
          <w:highlight w:val="none"/>
        </w:rPr>
        <w:t>付款方式</w:t>
      </w:r>
    </w:p>
    <w:p w14:paraId="2D1A033F">
      <w:pPr>
        <w:snapToGrid w:val="0"/>
        <w:spacing w:line="360" w:lineRule="auto"/>
        <w:ind w:firstLine="480"/>
        <w:jc w:val="left"/>
        <w:rPr>
          <w:rFonts w:hint="eastAsia" w:ascii="仿宋" w:hAnsi="仿宋" w:eastAsia="仿宋" w:cs="仿宋"/>
          <w:color w:val="auto"/>
          <w:spacing w:val="5"/>
          <w:sz w:val="24"/>
          <w:szCs w:val="24"/>
          <w:highlight w:val="none"/>
          <w:lang w:val="en-US" w:eastAsia="zh-CN"/>
        </w:rPr>
      </w:pPr>
      <w:r>
        <w:rPr>
          <w:rFonts w:hint="eastAsia" w:ascii="仿宋" w:hAnsi="仿宋" w:eastAsia="仿宋" w:cs="仿宋"/>
          <w:color w:val="auto"/>
          <w:spacing w:val="8"/>
          <w:sz w:val="24"/>
          <w:szCs w:val="24"/>
          <w:highlight w:val="none"/>
          <w:lang w:val="en-US" w:eastAsia="zh-CN"/>
        </w:rPr>
        <w:t>2.1.1</w:t>
      </w:r>
      <w:bookmarkStart w:id="22" w:name="OLE_LINK5"/>
    </w:p>
    <w:p w14:paraId="11D02CD0">
      <w:pPr>
        <w:keepNext w:val="0"/>
        <w:keepLines w:val="0"/>
        <w:pageBreakBefore w:val="0"/>
        <w:widowControl/>
        <w:kinsoku/>
        <w:wordWrap/>
        <w:overflowPunct/>
        <w:topLinePunct w:val="0"/>
        <w:autoSpaceDE w:val="0"/>
        <w:autoSpaceDN w:val="0"/>
        <w:bidi w:val="0"/>
        <w:adjustRightInd w:val="0"/>
        <w:snapToGrid w:val="0"/>
        <w:spacing w:line="360" w:lineRule="auto"/>
        <w:ind w:firstLine="500" w:firstLineChars="200"/>
        <w:textAlignment w:val="baseline"/>
        <w:rPr>
          <w:rFonts w:hint="default" w:ascii="仿宋" w:hAnsi="仿宋" w:eastAsia="仿宋" w:cs="仿宋"/>
          <w:color w:val="auto"/>
          <w:spacing w:val="5"/>
          <w:sz w:val="24"/>
          <w:szCs w:val="24"/>
          <w:highlight w:val="none"/>
          <w:lang w:val="en-US" w:eastAsia="zh-CN"/>
        </w:rPr>
      </w:pPr>
      <w:r>
        <w:rPr>
          <w:rFonts w:hint="eastAsia" w:ascii="仿宋" w:hAnsi="仿宋" w:eastAsia="仿宋" w:cs="仿宋"/>
          <w:color w:val="auto"/>
          <w:spacing w:val="5"/>
          <w:sz w:val="24"/>
          <w:szCs w:val="24"/>
          <w:highlight w:val="none"/>
          <w:lang w:val="en-US" w:eastAsia="zh-CN"/>
        </w:rPr>
        <w:t>1.招标代理报酬与收取：①招标代理费用收费标准：根据本次成交优惠率结合《关于印发招标代理服务收费管理暂行办法的通知》（计价格〔2002〕1980号）文件、《国家发展改革委关于降低部分建设项目收费标准规范收费行为等有关问题的通知》（发改价格〔2011〕534号）文件规定的收费标准计取，即标准收费*（1-成交优惠率），计费基数为单个标段中标价。②支付方式：招标代理费用由中标单位支付。③支付时间：每次招标结束，若项目为工程类别的，在协助业主签订合同协议书且按业主要求提供整套齐全的招投标资料后，支付相应招标代理费用的80%，剩余20%费用待项目完成交工验收合格后支付；若项目为服务类别的，在协助业主签订合同协议书且按业主要求提供整套齐全的招投标资料后，支付相应招标代理费用的100%。</w:t>
      </w:r>
    </w:p>
    <w:bookmarkEnd w:id="22"/>
    <w:p w14:paraId="32499138">
      <w:pPr>
        <w:pStyle w:val="63"/>
        <w:rPr>
          <w:rFonts w:hint="eastAsia"/>
          <w:color w:val="auto"/>
          <w:sz w:val="24"/>
          <w:szCs w:val="24"/>
          <w:highlight w:val="none"/>
        </w:rPr>
      </w:pPr>
    </w:p>
    <w:p w14:paraId="5BB500AF">
      <w:pPr>
        <w:rPr>
          <w:rFonts w:hint="eastAsia"/>
          <w:color w:val="auto"/>
          <w:sz w:val="24"/>
          <w:szCs w:val="24"/>
          <w:highlight w:val="none"/>
        </w:rPr>
      </w:pPr>
    </w:p>
    <w:p w14:paraId="2B40E899">
      <w:pPr>
        <w:rPr>
          <w:rFonts w:hint="eastAsia"/>
          <w:color w:val="auto"/>
          <w:sz w:val="24"/>
          <w:szCs w:val="24"/>
          <w:highlight w:val="none"/>
        </w:rPr>
      </w:pPr>
    </w:p>
    <w:p w14:paraId="7D3B5FD0">
      <w:pPr>
        <w:rPr>
          <w:rFonts w:hint="eastAsia"/>
          <w:color w:val="auto"/>
          <w:highlight w:val="none"/>
        </w:rPr>
      </w:pPr>
    </w:p>
    <w:p w14:paraId="685F9D98">
      <w:pPr>
        <w:pStyle w:val="3"/>
        <w:rPr>
          <w:rFonts w:hint="eastAsia"/>
          <w:color w:val="auto"/>
          <w:highlight w:val="none"/>
        </w:rPr>
      </w:pPr>
    </w:p>
    <w:p w14:paraId="563402E4">
      <w:pPr>
        <w:pStyle w:val="15"/>
        <w:rPr>
          <w:rFonts w:hint="eastAsia"/>
          <w:color w:val="auto"/>
          <w:highlight w:val="none"/>
        </w:rPr>
      </w:pPr>
    </w:p>
    <w:p w14:paraId="35CDF934">
      <w:pPr>
        <w:rPr>
          <w:rFonts w:hint="eastAsia"/>
          <w:color w:val="auto"/>
          <w:highlight w:val="none"/>
        </w:rPr>
      </w:pPr>
    </w:p>
    <w:p w14:paraId="7B3492DA">
      <w:pPr>
        <w:rPr>
          <w:rFonts w:hint="eastAsia"/>
          <w:color w:val="auto"/>
          <w:highlight w:val="none"/>
        </w:rPr>
      </w:pPr>
    </w:p>
    <w:p w14:paraId="36C729AA">
      <w:pPr>
        <w:snapToGrid w:val="0"/>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 xml:space="preserve">第四部分   </w:t>
      </w:r>
      <w:bookmarkStart w:id="23" w:name="_Toc184308077"/>
      <w:bookmarkEnd w:id="23"/>
      <w:bookmarkStart w:id="24" w:name="_Toc184310337"/>
      <w:bookmarkEnd w:id="24"/>
      <w:bookmarkStart w:id="25" w:name="_Toc184308081"/>
      <w:bookmarkEnd w:id="25"/>
      <w:bookmarkStart w:id="26" w:name="_Toc184312134"/>
      <w:bookmarkEnd w:id="26"/>
      <w:bookmarkStart w:id="27" w:name="_Toc184313238"/>
      <w:bookmarkEnd w:id="27"/>
      <w:bookmarkStart w:id="28" w:name="_Toc184308060"/>
      <w:bookmarkEnd w:id="28"/>
      <w:bookmarkStart w:id="29" w:name="_Toc184314432"/>
      <w:bookmarkEnd w:id="29"/>
      <w:bookmarkStart w:id="30" w:name="_Toc184313302"/>
      <w:bookmarkEnd w:id="30"/>
      <w:bookmarkStart w:id="31" w:name="_Toc184314415"/>
      <w:bookmarkEnd w:id="31"/>
      <w:bookmarkStart w:id="32" w:name="_Toc184313293"/>
      <w:bookmarkEnd w:id="32"/>
      <w:bookmarkStart w:id="33" w:name="_Toc184308080"/>
      <w:bookmarkEnd w:id="33"/>
      <w:bookmarkStart w:id="34" w:name="_Toc184312105"/>
      <w:bookmarkEnd w:id="34"/>
      <w:bookmarkStart w:id="35" w:name="_Toc184310303"/>
      <w:bookmarkEnd w:id="35"/>
      <w:bookmarkStart w:id="36" w:name="_Toc184314430"/>
      <w:bookmarkEnd w:id="36"/>
      <w:bookmarkStart w:id="37" w:name="_Toc184313242"/>
      <w:bookmarkEnd w:id="37"/>
      <w:bookmarkStart w:id="38" w:name="_Toc184313256"/>
      <w:bookmarkEnd w:id="38"/>
      <w:bookmarkStart w:id="39" w:name="_Toc184310287"/>
      <w:bookmarkEnd w:id="39"/>
      <w:bookmarkStart w:id="40" w:name="_Toc184312124"/>
      <w:bookmarkEnd w:id="40"/>
      <w:bookmarkStart w:id="41" w:name="_Toc184308068"/>
      <w:bookmarkEnd w:id="41"/>
      <w:bookmarkStart w:id="42" w:name="_Toc184314434"/>
      <w:bookmarkEnd w:id="42"/>
      <w:bookmarkStart w:id="43" w:name="_Toc184308093"/>
      <w:bookmarkEnd w:id="43"/>
      <w:bookmarkStart w:id="44" w:name="_Toc184313274"/>
      <w:bookmarkEnd w:id="44"/>
      <w:bookmarkStart w:id="45" w:name="_Toc184314425"/>
      <w:bookmarkEnd w:id="45"/>
      <w:bookmarkStart w:id="46" w:name="_Toc184313241"/>
      <w:bookmarkEnd w:id="46"/>
      <w:bookmarkStart w:id="47" w:name="_Toc184314470"/>
      <w:bookmarkEnd w:id="47"/>
      <w:bookmarkStart w:id="48" w:name="_Toc184308076"/>
      <w:bookmarkEnd w:id="48"/>
      <w:bookmarkStart w:id="49" w:name="_Toc184310284"/>
      <w:bookmarkEnd w:id="49"/>
      <w:bookmarkStart w:id="50" w:name="_Toc184310272"/>
      <w:bookmarkEnd w:id="50"/>
      <w:bookmarkStart w:id="51" w:name="_Toc184313282"/>
      <w:bookmarkEnd w:id="51"/>
      <w:bookmarkStart w:id="52" w:name="_Toc184308102"/>
      <w:bookmarkEnd w:id="52"/>
      <w:bookmarkStart w:id="53" w:name="_Toc184310341"/>
      <w:bookmarkEnd w:id="53"/>
      <w:bookmarkStart w:id="54" w:name="_Toc184314466"/>
      <w:bookmarkEnd w:id="54"/>
      <w:bookmarkStart w:id="55" w:name="_Toc184308059"/>
      <w:bookmarkEnd w:id="55"/>
      <w:bookmarkStart w:id="56" w:name="_Toc184312130"/>
      <w:bookmarkEnd w:id="56"/>
      <w:bookmarkStart w:id="57" w:name="_Toc184310273"/>
      <w:bookmarkEnd w:id="57"/>
      <w:bookmarkStart w:id="58" w:name="_Toc184312067"/>
      <w:bookmarkEnd w:id="58"/>
      <w:bookmarkStart w:id="59" w:name="_Toc184312137"/>
      <w:bookmarkEnd w:id="59"/>
      <w:bookmarkStart w:id="60" w:name="_Toc184312132"/>
      <w:bookmarkEnd w:id="60"/>
      <w:bookmarkStart w:id="61" w:name="_Toc184312070"/>
      <w:bookmarkEnd w:id="61"/>
      <w:bookmarkStart w:id="62" w:name="_Toc184312077"/>
      <w:bookmarkEnd w:id="62"/>
      <w:bookmarkStart w:id="63" w:name="_Toc184310338"/>
      <w:bookmarkEnd w:id="63"/>
      <w:bookmarkStart w:id="64" w:name="_Toc184314450"/>
      <w:bookmarkEnd w:id="64"/>
      <w:bookmarkStart w:id="65" w:name="_Toc184314424"/>
      <w:bookmarkEnd w:id="65"/>
      <w:bookmarkStart w:id="66" w:name="_Toc184314420"/>
      <w:bookmarkEnd w:id="66"/>
      <w:bookmarkStart w:id="67" w:name="_Toc184308104"/>
      <w:bookmarkEnd w:id="67"/>
      <w:bookmarkStart w:id="68" w:name="_Toc184314442"/>
      <w:bookmarkEnd w:id="68"/>
      <w:bookmarkStart w:id="69" w:name="_Toc184314429"/>
      <w:bookmarkEnd w:id="69"/>
      <w:bookmarkStart w:id="70" w:name="_Toc184310312"/>
      <w:bookmarkEnd w:id="70"/>
      <w:bookmarkStart w:id="71" w:name="_Toc184312086"/>
      <w:bookmarkEnd w:id="71"/>
      <w:bookmarkStart w:id="72" w:name="_Toc184310294"/>
      <w:bookmarkEnd w:id="72"/>
      <w:bookmarkStart w:id="73" w:name="_Toc184312113"/>
      <w:bookmarkEnd w:id="73"/>
      <w:bookmarkStart w:id="74" w:name="_Toc184312078"/>
      <w:bookmarkEnd w:id="74"/>
      <w:bookmarkStart w:id="75" w:name="_Toc184313294"/>
      <w:bookmarkEnd w:id="75"/>
      <w:bookmarkStart w:id="76" w:name="_Toc184310280"/>
      <w:bookmarkEnd w:id="76"/>
      <w:bookmarkStart w:id="77" w:name="_Toc184308073"/>
      <w:bookmarkEnd w:id="77"/>
      <w:bookmarkStart w:id="78" w:name="_Toc184312083"/>
      <w:bookmarkEnd w:id="78"/>
      <w:bookmarkStart w:id="79" w:name="_Toc184310305"/>
      <w:bookmarkEnd w:id="79"/>
      <w:bookmarkStart w:id="80" w:name="_Toc184308057"/>
      <w:bookmarkEnd w:id="80"/>
      <w:bookmarkStart w:id="81" w:name="_Toc184314463"/>
      <w:bookmarkEnd w:id="81"/>
      <w:bookmarkStart w:id="82" w:name="_Toc184314451"/>
      <w:bookmarkEnd w:id="82"/>
      <w:bookmarkStart w:id="83" w:name="_Toc184313244"/>
      <w:bookmarkEnd w:id="83"/>
      <w:bookmarkStart w:id="84" w:name="_Toc184314472"/>
      <w:bookmarkEnd w:id="84"/>
      <w:bookmarkStart w:id="85" w:name="_Toc184310275"/>
      <w:bookmarkEnd w:id="85"/>
      <w:bookmarkStart w:id="86" w:name="_Toc184314473"/>
      <w:bookmarkEnd w:id="86"/>
      <w:bookmarkStart w:id="87" w:name="_Toc184310297"/>
      <w:bookmarkEnd w:id="87"/>
      <w:bookmarkStart w:id="88" w:name="_Toc184313247"/>
      <w:bookmarkEnd w:id="88"/>
      <w:bookmarkStart w:id="89" w:name="_Toc184312126"/>
      <w:bookmarkEnd w:id="89"/>
      <w:bookmarkStart w:id="90" w:name="_Toc184308037"/>
      <w:bookmarkEnd w:id="90"/>
      <w:bookmarkStart w:id="91" w:name="_Toc184310318"/>
      <w:bookmarkEnd w:id="91"/>
      <w:bookmarkStart w:id="92" w:name="_Toc184314447"/>
      <w:bookmarkEnd w:id="92"/>
      <w:bookmarkStart w:id="93" w:name="_Toc184313267"/>
      <w:bookmarkEnd w:id="93"/>
      <w:bookmarkStart w:id="94" w:name="_Toc184312071"/>
      <w:bookmarkEnd w:id="94"/>
      <w:bookmarkStart w:id="95" w:name="_Toc184312074"/>
      <w:bookmarkEnd w:id="95"/>
      <w:bookmarkStart w:id="96" w:name="_Toc184313305"/>
      <w:bookmarkEnd w:id="96"/>
      <w:bookmarkStart w:id="97" w:name="_Toc184313264"/>
      <w:bookmarkEnd w:id="97"/>
      <w:bookmarkStart w:id="98" w:name="_Toc184313307"/>
      <w:bookmarkEnd w:id="98"/>
      <w:bookmarkStart w:id="99" w:name="_Toc184313246"/>
      <w:bookmarkEnd w:id="99"/>
      <w:bookmarkStart w:id="100" w:name="_Toc184312095"/>
      <w:bookmarkEnd w:id="100"/>
      <w:bookmarkStart w:id="101" w:name="_Toc184313291"/>
      <w:bookmarkEnd w:id="101"/>
      <w:bookmarkStart w:id="102" w:name="_Toc184310311"/>
      <w:bookmarkEnd w:id="102"/>
      <w:bookmarkStart w:id="103" w:name="_Toc184313277"/>
      <w:bookmarkEnd w:id="103"/>
      <w:bookmarkStart w:id="104" w:name="_Toc184313273"/>
      <w:bookmarkEnd w:id="104"/>
      <w:bookmarkStart w:id="105" w:name="_Toc184308055"/>
      <w:bookmarkEnd w:id="105"/>
      <w:bookmarkStart w:id="106" w:name="_Toc184312087"/>
      <w:bookmarkEnd w:id="106"/>
      <w:bookmarkStart w:id="107" w:name="_Toc184308090"/>
      <w:bookmarkEnd w:id="107"/>
      <w:bookmarkStart w:id="108" w:name="_Toc184313287"/>
      <w:bookmarkEnd w:id="108"/>
      <w:bookmarkStart w:id="109" w:name="_Toc184313272"/>
      <w:bookmarkEnd w:id="109"/>
      <w:bookmarkStart w:id="110" w:name="_Toc184312096"/>
      <w:bookmarkEnd w:id="110"/>
      <w:bookmarkStart w:id="111" w:name="_Toc184308091"/>
      <w:bookmarkEnd w:id="111"/>
      <w:bookmarkStart w:id="112" w:name="_Toc184312133"/>
      <w:bookmarkEnd w:id="112"/>
      <w:bookmarkStart w:id="113" w:name="_Toc184312120"/>
      <w:bookmarkEnd w:id="113"/>
      <w:bookmarkStart w:id="114" w:name="_Toc184308067"/>
      <w:bookmarkEnd w:id="114"/>
      <w:bookmarkStart w:id="115" w:name="_Toc184308074"/>
      <w:bookmarkEnd w:id="115"/>
      <w:bookmarkStart w:id="116" w:name="_Toc184313301"/>
      <w:bookmarkEnd w:id="116"/>
      <w:bookmarkStart w:id="117" w:name="_Toc184308049"/>
      <w:bookmarkEnd w:id="117"/>
      <w:bookmarkStart w:id="118" w:name="_Toc184314481"/>
      <w:bookmarkEnd w:id="118"/>
      <w:bookmarkStart w:id="119" w:name="_Toc184312090"/>
      <w:bookmarkEnd w:id="119"/>
      <w:bookmarkStart w:id="120" w:name="_Toc184312097"/>
      <w:bookmarkEnd w:id="120"/>
      <w:bookmarkStart w:id="121" w:name="_Toc184314422"/>
      <w:bookmarkEnd w:id="121"/>
      <w:bookmarkStart w:id="122" w:name="_Toc184312131"/>
      <w:bookmarkEnd w:id="122"/>
      <w:bookmarkStart w:id="123" w:name="_Toc184314453"/>
      <w:bookmarkEnd w:id="123"/>
      <w:bookmarkStart w:id="124" w:name="_Toc184312107"/>
      <w:bookmarkEnd w:id="124"/>
      <w:bookmarkStart w:id="125" w:name="_Toc184313245"/>
      <w:bookmarkEnd w:id="125"/>
      <w:bookmarkStart w:id="126" w:name="_Toc184312072"/>
      <w:bookmarkEnd w:id="126"/>
      <w:bookmarkStart w:id="127" w:name="_Toc184313295"/>
      <w:bookmarkEnd w:id="127"/>
      <w:bookmarkStart w:id="128" w:name="_Toc184312094"/>
      <w:bookmarkEnd w:id="128"/>
      <w:bookmarkStart w:id="129" w:name="_Toc184314428"/>
      <w:bookmarkEnd w:id="129"/>
      <w:bookmarkStart w:id="130" w:name="_Toc184308107"/>
      <w:bookmarkEnd w:id="130"/>
      <w:bookmarkStart w:id="131" w:name="_Toc184313269"/>
      <w:bookmarkEnd w:id="131"/>
      <w:bookmarkStart w:id="132" w:name="_Toc184313250"/>
      <w:bookmarkEnd w:id="132"/>
      <w:bookmarkStart w:id="133" w:name="_Toc184313310"/>
      <w:bookmarkEnd w:id="133"/>
      <w:bookmarkStart w:id="134" w:name="_Toc184308108"/>
      <w:bookmarkEnd w:id="134"/>
      <w:bookmarkStart w:id="135" w:name="_Toc184308078"/>
      <w:bookmarkEnd w:id="135"/>
      <w:bookmarkStart w:id="136" w:name="_Toc184310328"/>
      <w:bookmarkEnd w:id="136"/>
      <w:bookmarkStart w:id="137" w:name="_Toc184312099"/>
      <w:bookmarkEnd w:id="137"/>
      <w:bookmarkStart w:id="138" w:name="_Toc184314476"/>
      <w:bookmarkEnd w:id="138"/>
      <w:bookmarkStart w:id="139" w:name="_Toc184308097"/>
      <w:bookmarkEnd w:id="139"/>
      <w:bookmarkStart w:id="140" w:name="_Toc184314449"/>
      <w:bookmarkEnd w:id="140"/>
      <w:bookmarkStart w:id="141" w:name="_Toc184313306"/>
      <w:bookmarkEnd w:id="141"/>
      <w:bookmarkStart w:id="142" w:name="_Toc184312111"/>
      <w:bookmarkEnd w:id="142"/>
      <w:bookmarkStart w:id="143" w:name="_Toc184313260"/>
      <w:bookmarkEnd w:id="143"/>
      <w:bookmarkStart w:id="144" w:name="_Toc184314412"/>
      <w:bookmarkEnd w:id="144"/>
      <w:bookmarkStart w:id="145" w:name="_Toc184314431"/>
      <w:bookmarkEnd w:id="145"/>
      <w:bookmarkStart w:id="146" w:name="_Toc184313285"/>
      <w:bookmarkEnd w:id="146"/>
      <w:bookmarkStart w:id="147" w:name="_Toc184308069"/>
      <w:bookmarkEnd w:id="147"/>
      <w:bookmarkStart w:id="148" w:name="_Toc184308043"/>
      <w:bookmarkEnd w:id="148"/>
      <w:bookmarkStart w:id="149" w:name="_Toc184314435"/>
      <w:bookmarkEnd w:id="149"/>
      <w:bookmarkStart w:id="150" w:name="_Toc184314464"/>
      <w:bookmarkEnd w:id="150"/>
      <w:bookmarkStart w:id="151" w:name="_Toc184308064"/>
      <w:bookmarkEnd w:id="151"/>
      <w:bookmarkStart w:id="152" w:name="_Toc184312082"/>
      <w:bookmarkEnd w:id="152"/>
      <w:bookmarkStart w:id="153" w:name="_Toc184310285"/>
      <w:bookmarkEnd w:id="153"/>
      <w:bookmarkStart w:id="154" w:name="_Toc184314459"/>
      <w:bookmarkEnd w:id="154"/>
      <w:bookmarkStart w:id="155" w:name="_Toc184314421"/>
      <w:bookmarkEnd w:id="155"/>
      <w:bookmarkStart w:id="156" w:name="_Toc184310288"/>
      <w:bookmarkEnd w:id="156"/>
      <w:bookmarkStart w:id="157" w:name="_Toc184308044"/>
      <w:bookmarkEnd w:id="157"/>
      <w:bookmarkStart w:id="158" w:name="_Toc184308072"/>
      <w:bookmarkEnd w:id="158"/>
      <w:bookmarkStart w:id="159" w:name="_Toc184314439"/>
      <w:bookmarkEnd w:id="159"/>
      <w:bookmarkStart w:id="160" w:name="_Toc184312139"/>
      <w:bookmarkEnd w:id="160"/>
      <w:bookmarkStart w:id="161" w:name="_Toc184312116"/>
      <w:bookmarkEnd w:id="161"/>
      <w:bookmarkStart w:id="162" w:name="_Toc184313251"/>
      <w:bookmarkEnd w:id="162"/>
      <w:bookmarkStart w:id="163" w:name="_Toc184310344"/>
      <w:bookmarkEnd w:id="163"/>
      <w:bookmarkStart w:id="164" w:name="_Toc184310278"/>
      <w:bookmarkEnd w:id="164"/>
      <w:bookmarkStart w:id="165" w:name="_Toc184314414"/>
      <w:bookmarkEnd w:id="165"/>
      <w:bookmarkStart w:id="166" w:name="_Toc184313248"/>
      <w:bookmarkEnd w:id="166"/>
      <w:bookmarkStart w:id="167" w:name="_Toc184308040"/>
      <w:bookmarkEnd w:id="167"/>
      <w:bookmarkStart w:id="168" w:name="_Toc184314411"/>
      <w:bookmarkEnd w:id="168"/>
      <w:bookmarkStart w:id="169" w:name="_Toc184310282"/>
      <w:bookmarkEnd w:id="169"/>
      <w:bookmarkStart w:id="170" w:name="_Toc184312106"/>
      <w:bookmarkEnd w:id="170"/>
      <w:bookmarkStart w:id="171" w:name="_Toc184313255"/>
      <w:bookmarkEnd w:id="171"/>
      <w:bookmarkStart w:id="172" w:name="_Toc184313309"/>
      <w:bookmarkEnd w:id="172"/>
      <w:bookmarkStart w:id="173" w:name="_Toc184314418"/>
      <w:bookmarkEnd w:id="173"/>
      <w:bookmarkStart w:id="174" w:name="_Toc184310306"/>
      <w:bookmarkEnd w:id="174"/>
      <w:bookmarkStart w:id="175" w:name="_Toc184308038"/>
      <w:bookmarkEnd w:id="175"/>
      <w:bookmarkStart w:id="176" w:name="_Toc184308092"/>
      <w:bookmarkEnd w:id="176"/>
      <w:bookmarkStart w:id="177" w:name="_Toc184314423"/>
      <w:bookmarkEnd w:id="177"/>
      <w:bookmarkStart w:id="178" w:name="_Toc184313297"/>
      <w:bookmarkEnd w:id="178"/>
      <w:bookmarkStart w:id="179" w:name="_Toc184308071"/>
      <w:bookmarkEnd w:id="179"/>
      <w:bookmarkStart w:id="180" w:name="_Toc184312123"/>
      <w:bookmarkEnd w:id="180"/>
      <w:bookmarkStart w:id="181" w:name="_Toc184313288"/>
      <w:bookmarkEnd w:id="181"/>
      <w:bookmarkStart w:id="182" w:name="_Toc184310342"/>
      <w:bookmarkEnd w:id="182"/>
      <w:bookmarkStart w:id="183" w:name="_Toc184310314"/>
      <w:bookmarkEnd w:id="183"/>
      <w:bookmarkStart w:id="184" w:name="_Toc184308103"/>
      <w:bookmarkEnd w:id="184"/>
      <w:bookmarkStart w:id="185" w:name="_Toc184308063"/>
      <w:bookmarkEnd w:id="185"/>
      <w:bookmarkStart w:id="186" w:name="_Toc184312080"/>
      <w:bookmarkEnd w:id="186"/>
      <w:bookmarkStart w:id="187" w:name="_Toc184313249"/>
      <w:bookmarkEnd w:id="187"/>
      <w:bookmarkStart w:id="188" w:name="_Toc184313281"/>
      <w:bookmarkEnd w:id="188"/>
      <w:bookmarkStart w:id="189" w:name="_Toc184313239"/>
      <w:bookmarkEnd w:id="189"/>
      <w:bookmarkStart w:id="190" w:name="_Toc184312117"/>
      <w:bookmarkEnd w:id="190"/>
      <w:bookmarkStart w:id="191" w:name="_Toc184313289"/>
      <w:bookmarkEnd w:id="191"/>
      <w:bookmarkStart w:id="192" w:name="_Toc184312085"/>
      <w:bookmarkEnd w:id="192"/>
      <w:bookmarkStart w:id="193" w:name="_Toc184313243"/>
      <w:bookmarkEnd w:id="193"/>
      <w:bookmarkStart w:id="194" w:name="_Toc184308087"/>
      <w:bookmarkEnd w:id="194"/>
      <w:bookmarkStart w:id="195" w:name="_Toc184308098"/>
      <w:bookmarkEnd w:id="195"/>
      <w:bookmarkStart w:id="196" w:name="_Toc184312089"/>
      <w:bookmarkEnd w:id="196"/>
      <w:bookmarkStart w:id="197" w:name="_Toc184310281"/>
      <w:bookmarkEnd w:id="197"/>
      <w:bookmarkStart w:id="198" w:name="_Toc184308061"/>
      <w:bookmarkEnd w:id="198"/>
      <w:bookmarkStart w:id="199" w:name="_Toc184314469"/>
      <w:bookmarkEnd w:id="199"/>
      <w:bookmarkStart w:id="200" w:name="_Toc184310322"/>
      <w:bookmarkEnd w:id="200"/>
      <w:bookmarkStart w:id="201" w:name="_Toc184308066"/>
      <w:bookmarkEnd w:id="201"/>
      <w:bookmarkStart w:id="202" w:name="_Toc184308075"/>
      <w:bookmarkEnd w:id="202"/>
      <w:bookmarkStart w:id="203" w:name="_Toc184310296"/>
      <w:bookmarkEnd w:id="203"/>
      <w:bookmarkStart w:id="204" w:name="_Toc184314448"/>
      <w:bookmarkEnd w:id="204"/>
      <w:bookmarkStart w:id="205" w:name="_Toc184314427"/>
      <w:bookmarkEnd w:id="205"/>
      <w:bookmarkStart w:id="206" w:name="_Toc184312069"/>
      <w:bookmarkEnd w:id="206"/>
      <w:bookmarkStart w:id="207" w:name="_Toc184313304"/>
      <w:bookmarkEnd w:id="207"/>
      <w:bookmarkStart w:id="208" w:name="_Toc184308096"/>
      <w:bookmarkEnd w:id="208"/>
      <w:bookmarkStart w:id="209" w:name="_Toc184313286"/>
      <w:bookmarkEnd w:id="209"/>
      <w:bookmarkStart w:id="210" w:name="_Toc184314441"/>
      <w:bookmarkEnd w:id="210"/>
      <w:bookmarkStart w:id="211" w:name="_Toc184312129"/>
      <w:bookmarkEnd w:id="211"/>
      <w:bookmarkStart w:id="212" w:name="_Toc184313268"/>
      <w:bookmarkEnd w:id="212"/>
      <w:bookmarkStart w:id="213" w:name="_Toc184308065"/>
      <w:bookmarkEnd w:id="213"/>
      <w:bookmarkStart w:id="214" w:name="_Toc184313298"/>
      <w:bookmarkEnd w:id="214"/>
      <w:bookmarkStart w:id="215" w:name="_Toc184314444"/>
      <w:bookmarkEnd w:id="215"/>
      <w:bookmarkStart w:id="216" w:name="_Toc184310300"/>
      <w:bookmarkEnd w:id="216"/>
      <w:bookmarkStart w:id="217" w:name="_Toc184310302"/>
      <w:bookmarkEnd w:id="217"/>
      <w:bookmarkStart w:id="218" w:name="_Toc184310330"/>
      <w:bookmarkEnd w:id="218"/>
      <w:bookmarkStart w:id="219" w:name="_Toc184310326"/>
      <w:bookmarkEnd w:id="219"/>
      <w:bookmarkStart w:id="220" w:name="_Toc184313270"/>
      <w:bookmarkEnd w:id="220"/>
      <w:bookmarkStart w:id="221" w:name="_Toc184314458"/>
      <w:bookmarkEnd w:id="221"/>
      <w:bookmarkStart w:id="222" w:name="_Toc184312121"/>
      <w:bookmarkEnd w:id="222"/>
      <w:bookmarkStart w:id="223" w:name="_Toc184312109"/>
      <w:bookmarkEnd w:id="223"/>
      <w:bookmarkStart w:id="224" w:name="_Toc184314440"/>
      <w:bookmarkEnd w:id="224"/>
      <w:bookmarkStart w:id="225" w:name="_Toc184312136"/>
      <w:bookmarkEnd w:id="225"/>
      <w:bookmarkStart w:id="226" w:name="_Toc184308041"/>
      <w:bookmarkEnd w:id="226"/>
      <w:bookmarkStart w:id="227" w:name="_Toc184314452"/>
      <w:bookmarkEnd w:id="227"/>
      <w:bookmarkStart w:id="228" w:name="_Toc184310317"/>
      <w:bookmarkEnd w:id="228"/>
      <w:bookmarkStart w:id="229" w:name="_Toc184310299"/>
      <w:bookmarkEnd w:id="229"/>
      <w:bookmarkStart w:id="230" w:name="_Toc184314454"/>
      <w:bookmarkEnd w:id="230"/>
      <w:bookmarkStart w:id="231" w:name="_Toc184310310"/>
      <w:bookmarkEnd w:id="231"/>
      <w:bookmarkStart w:id="232" w:name="_Toc184314477"/>
      <w:bookmarkEnd w:id="232"/>
      <w:bookmarkStart w:id="233" w:name="_Toc184313252"/>
      <w:bookmarkEnd w:id="233"/>
      <w:bookmarkStart w:id="234" w:name="_Toc184314433"/>
      <w:bookmarkEnd w:id="234"/>
      <w:bookmarkStart w:id="235" w:name="_Toc184313257"/>
      <w:bookmarkEnd w:id="235"/>
      <w:bookmarkStart w:id="236" w:name="_Toc184312114"/>
      <w:bookmarkEnd w:id="236"/>
      <w:bookmarkStart w:id="237" w:name="_Toc184310277"/>
      <w:bookmarkEnd w:id="237"/>
      <w:bookmarkStart w:id="238" w:name="_Toc184308042"/>
      <w:bookmarkEnd w:id="238"/>
      <w:bookmarkStart w:id="239" w:name="_Toc184310339"/>
      <w:bookmarkEnd w:id="239"/>
      <w:bookmarkStart w:id="240" w:name="_Toc184308045"/>
      <w:bookmarkEnd w:id="240"/>
      <w:bookmarkStart w:id="241" w:name="_Toc184308101"/>
      <w:bookmarkEnd w:id="241"/>
      <w:bookmarkStart w:id="242" w:name="_Toc184308036"/>
      <w:bookmarkEnd w:id="242"/>
      <w:bookmarkStart w:id="243" w:name="_Toc184310276"/>
      <w:bookmarkEnd w:id="243"/>
      <w:bookmarkStart w:id="244" w:name="_Toc184313276"/>
      <w:bookmarkEnd w:id="244"/>
      <w:bookmarkStart w:id="245" w:name="_Toc184314471"/>
      <w:bookmarkEnd w:id="245"/>
      <w:bookmarkStart w:id="246" w:name="_Toc184314461"/>
      <w:bookmarkEnd w:id="246"/>
      <w:bookmarkStart w:id="247" w:name="_Toc184312135"/>
      <w:bookmarkEnd w:id="247"/>
      <w:bookmarkStart w:id="248" w:name="_Toc184310292"/>
      <w:bookmarkEnd w:id="248"/>
      <w:bookmarkStart w:id="249" w:name="_Toc184310331"/>
      <w:bookmarkEnd w:id="249"/>
      <w:bookmarkStart w:id="250" w:name="_Toc184310333"/>
      <w:bookmarkEnd w:id="250"/>
      <w:bookmarkStart w:id="251" w:name="_Toc184313265"/>
      <w:bookmarkEnd w:id="251"/>
      <w:bookmarkStart w:id="252" w:name="_Toc184308084"/>
      <w:bookmarkEnd w:id="252"/>
      <w:bookmarkStart w:id="253" w:name="_Toc184310340"/>
      <w:bookmarkEnd w:id="253"/>
      <w:bookmarkStart w:id="254" w:name="_Toc184314467"/>
      <w:bookmarkEnd w:id="254"/>
      <w:bookmarkStart w:id="255" w:name="_Toc184313266"/>
      <w:bookmarkEnd w:id="255"/>
      <w:bookmarkStart w:id="256" w:name="_Toc184312081"/>
      <w:bookmarkEnd w:id="256"/>
      <w:bookmarkStart w:id="257" w:name="_Toc184308083"/>
      <w:bookmarkEnd w:id="257"/>
      <w:bookmarkStart w:id="258" w:name="_Toc184313261"/>
      <w:bookmarkEnd w:id="258"/>
      <w:bookmarkStart w:id="259" w:name="_Toc184313240"/>
      <w:bookmarkEnd w:id="259"/>
      <w:bookmarkStart w:id="260" w:name="_Toc184314446"/>
      <w:bookmarkEnd w:id="260"/>
      <w:bookmarkStart w:id="261" w:name="_Toc184308095"/>
      <w:bookmarkEnd w:id="261"/>
      <w:bookmarkStart w:id="262" w:name="_Toc184312115"/>
      <w:bookmarkEnd w:id="262"/>
      <w:bookmarkStart w:id="263" w:name="_Toc184310332"/>
      <w:bookmarkEnd w:id="263"/>
      <w:bookmarkStart w:id="264" w:name="_Toc184310320"/>
      <w:bookmarkEnd w:id="264"/>
      <w:bookmarkStart w:id="265" w:name="_Toc184308056"/>
      <w:bookmarkEnd w:id="265"/>
      <w:bookmarkStart w:id="266" w:name="_Toc184314457"/>
      <w:bookmarkEnd w:id="266"/>
      <w:bookmarkStart w:id="267" w:name="_Toc184312079"/>
      <w:bookmarkEnd w:id="267"/>
      <w:bookmarkStart w:id="268" w:name="_Toc184308105"/>
      <w:bookmarkEnd w:id="268"/>
      <w:bookmarkStart w:id="269" w:name="_Toc184308086"/>
      <w:bookmarkEnd w:id="269"/>
      <w:bookmarkStart w:id="270" w:name="_Toc184308082"/>
      <w:bookmarkEnd w:id="270"/>
      <w:bookmarkStart w:id="271" w:name="_Toc184310307"/>
      <w:bookmarkEnd w:id="271"/>
      <w:bookmarkStart w:id="272" w:name="_Toc184310283"/>
      <w:bookmarkEnd w:id="272"/>
      <w:bookmarkStart w:id="273" w:name="_Toc184313300"/>
      <w:bookmarkEnd w:id="273"/>
      <w:bookmarkStart w:id="274" w:name="_Toc184313284"/>
      <w:bookmarkEnd w:id="274"/>
      <w:bookmarkStart w:id="275" w:name="_Toc184313283"/>
      <w:bookmarkEnd w:id="275"/>
      <w:bookmarkStart w:id="276" w:name="_Toc184310335"/>
      <w:bookmarkEnd w:id="276"/>
      <w:bookmarkStart w:id="277" w:name="_Toc184313259"/>
      <w:bookmarkEnd w:id="277"/>
      <w:bookmarkStart w:id="278" w:name="_Toc184310293"/>
      <w:bookmarkEnd w:id="278"/>
      <w:bookmarkStart w:id="279" w:name="_Toc184310343"/>
      <w:bookmarkEnd w:id="279"/>
      <w:bookmarkStart w:id="280" w:name="_Toc184312084"/>
      <w:bookmarkEnd w:id="280"/>
      <w:bookmarkStart w:id="281" w:name="_Toc184314475"/>
      <w:bookmarkEnd w:id="281"/>
      <w:bookmarkStart w:id="282" w:name="_Toc184308085"/>
      <w:bookmarkEnd w:id="282"/>
      <w:bookmarkStart w:id="283" w:name="_Toc184313290"/>
      <w:bookmarkEnd w:id="283"/>
      <w:bookmarkStart w:id="284" w:name="_Toc184314482"/>
      <w:bookmarkEnd w:id="284"/>
      <w:bookmarkStart w:id="285" w:name="_Toc184312112"/>
      <w:bookmarkEnd w:id="285"/>
      <w:bookmarkStart w:id="286" w:name="_Toc184312091"/>
      <w:bookmarkEnd w:id="286"/>
      <w:bookmarkStart w:id="287" w:name="_Toc184310334"/>
      <w:bookmarkEnd w:id="287"/>
      <w:bookmarkStart w:id="288" w:name="_Toc184314437"/>
      <w:bookmarkEnd w:id="288"/>
      <w:bookmarkStart w:id="289" w:name="_Toc184308100"/>
      <w:bookmarkEnd w:id="289"/>
      <w:bookmarkStart w:id="290" w:name="_Toc184312101"/>
      <w:bookmarkEnd w:id="290"/>
      <w:bookmarkStart w:id="291" w:name="_Toc184310274"/>
      <w:bookmarkEnd w:id="291"/>
      <w:bookmarkStart w:id="292" w:name="_Toc184314416"/>
      <w:bookmarkEnd w:id="292"/>
      <w:bookmarkStart w:id="293" w:name="_Toc184310279"/>
      <w:bookmarkEnd w:id="293"/>
      <w:bookmarkStart w:id="294" w:name="_Toc184312092"/>
      <w:bookmarkEnd w:id="294"/>
      <w:bookmarkStart w:id="295" w:name="_Toc184310313"/>
      <w:bookmarkEnd w:id="295"/>
      <w:bookmarkStart w:id="296" w:name="_Toc184308039"/>
      <w:bookmarkEnd w:id="296"/>
      <w:bookmarkStart w:id="297" w:name="_Toc184308106"/>
      <w:bookmarkEnd w:id="297"/>
      <w:bookmarkStart w:id="298" w:name="_Toc184313278"/>
      <w:bookmarkEnd w:id="298"/>
      <w:bookmarkStart w:id="299" w:name="_Toc184314419"/>
      <w:bookmarkEnd w:id="299"/>
      <w:bookmarkStart w:id="300" w:name="_Toc184313280"/>
      <w:bookmarkEnd w:id="300"/>
      <w:bookmarkStart w:id="301" w:name="_Toc184308099"/>
      <w:bookmarkEnd w:id="301"/>
      <w:bookmarkStart w:id="302" w:name="_Toc184308048"/>
      <w:bookmarkEnd w:id="302"/>
      <w:bookmarkStart w:id="303" w:name="_Toc184308046"/>
      <w:bookmarkEnd w:id="303"/>
      <w:bookmarkStart w:id="304" w:name="_Toc184314445"/>
      <w:bookmarkEnd w:id="304"/>
      <w:bookmarkStart w:id="305" w:name="_Toc184313279"/>
      <w:bookmarkEnd w:id="305"/>
      <w:bookmarkStart w:id="306" w:name="_Toc184314436"/>
      <w:bookmarkEnd w:id="306"/>
      <w:bookmarkStart w:id="307" w:name="_Toc184308052"/>
      <w:bookmarkEnd w:id="307"/>
      <w:bookmarkStart w:id="308" w:name="_Toc184313275"/>
      <w:bookmarkEnd w:id="308"/>
      <w:bookmarkStart w:id="309" w:name="_Toc184314417"/>
      <w:bookmarkEnd w:id="309"/>
      <w:bookmarkStart w:id="310" w:name="_Toc184310295"/>
      <w:bookmarkEnd w:id="310"/>
      <w:bookmarkStart w:id="311" w:name="_Toc184308070"/>
      <w:bookmarkEnd w:id="311"/>
      <w:bookmarkStart w:id="312" w:name="_Toc184308047"/>
      <w:bookmarkEnd w:id="312"/>
      <w:bookmarkStart w:id="313" w:name="_Toc184310325"/>
      <w:bookmarkEnd w:id="313"/>
      <w:bookmarkStart w:id="314" w:name="_Toc184313308"/>
      <w:bookmarkEnd w:id="314"/>
      <w:bookmarkStart w:id="315" w:name="_Toc184310327"/>
      <w:bookmarkEnd w:id="315"/>
      <w:bookmarkStart w:id="316" w:name="_Toc184312103"/>
      <w:bookmarkEnd w:id="316"/>
      <w:bookmarkStart w:id="317" w:name="_Toc184308089"/>
      <w:bookmarkEnd w:id="317"/>
      <w:bookmarkStart w:id="318" w:name="_Toc184310316"/>
      <w:bookmarkEnd w:id="318"/>
      <w:bookmarkStart w:id="319" w:name="_Toc184312118"/>
      <w:bookmarkEnd w:id="319"/>
      <w:bookmarkStart w:id="320" w:name="_Toc184310290"/>
      <w:bookmarkEnd w:id="320"/>
      <w:bookmarkStart w:id="321" w:name="_Toc184312125"/>
      <w:bookmarkEnd w:id="321"/>
      <w:bookmarkStart w:id="322" w:name="_Toc184310291"/>
      <w:bookmarkEnd w:id="322"/>
      <w:bookmarkStart w:id="323" w:name="_Toc184308054"/>
      <w:bookmarkEnd w:id="323"/>
      <w:bookmarkStart w:id="324" w:name="_Toc184310301"/>
      <w:bookmarkEnd w:id="324"/>
      <w:bookmarkStart w:id="325" w:name="_Toc184314478"/>
      <w:bookmarkEnd w:id="325"/>
      <w:bookmarkStart w:id="326" w:name="_Toc184310308"/>
      <w:bookmarkEnd w:id="326"/>
      <w:bookmarkStart w:id="327" w:name="_Toc184310304"/>
      <w:bookmarkEnd w:id="327"/>
      <w:bookmarkStart w:id="328" w:name="_Toc184312102"/>
      <w:bookmarkEnd w:id="328"/>
      <w:bookmarkStart w:id="329" w:name="_Toc184312128"/>
      <w:bookmarkEnd w:id="329"/>
      <w:bookmarkStart w:id="330" w:name="_Toc184314474"/>
      <w:bookmarkEnd w:id="330"/>
      <w:bookmarkStart w:id="331" w:name="_Toc184313258"/>
      <w:bookmarkEnd w:id="331"/>
      <w:bookmarkStart w:id="332" w:name="_Toc184308094"/>
      <w:bookmarkEnd w:id="332"/>
      <w:bookmarkStart w:id="333" w:name="_Toc184312100"/>
      <w:bookmarkEnd w:id="333"/>
      <w:bookmarkStart w:id="334" w:name="_Toc184314413"/>
      <w:bookmarkEnd w:id="334"/>
      <w:bookmarkStart w:id="335" w:name="_Toc184312122"/>
      <w:bookmarkEnd w:id="335"/>
      <w:bookmarkStart w:id="336" w:name="_Toc184312093"/>
      <w:bookmarkEnd w:id="336"/>
      <w:bookmarkStart w:id="337" w:name="_Toc184313254"/>
      <w:bookmarkEnd w:id="337"/>
      <w:bookmarkStart w:id="338" w:name="_Toc184312119"/>
      <w:bookmarkEnd w:id="338"/>
      <w:bookmarkStart w:id="339" w:name="_Toc184313262"/>
      <w:bookmarkEnd w:id="339"/>
      <w:bookmarkStart w:id="340" w:name="_Toc184313271"/>
      <w:bookmarkEnd w:id="340"/>
      <w:bookmarkStart w:id="341" w:name="_Toc184310329"/>
      <w:bookmarkEnd w:id="341"/>
      <w:bookmarkStart w:id="342" w:name="_Toc184310298"/>
      <w:bookmarkEnd w:id="342"/>
      <w:bookmarkStart w:id="343" w:name="_Toc184312088"/>
      <w:bookmarkEnd w:id="343"/>
      <w:bookmarkStart w:id="344" w:name="_Toc184310319"/>
      <w:bookmarkEnd w:id="344"/>
      <w:bookmarkStart w:id="345" w:name="_Toc184310324"/>
      <w:bookmarkEnd w:id="345"/>
      <w:bookmarkStart w:id="346" w:name="_Toc184312104"/>
      <w:bookmarkEnd w:id="346"/>
      <w:bookmarkStart w:id="347" w:name="_Toc184313292"/>
      <w:bookmarkEnd w:id="347"/>
      <w:bookmarkStart w:id="348" w:name="_Toc184314468"/>
      <w:bookmarkEnd w:id="348"/>
      <w:bookmarkStart w:id="349" w:name="_Toc184314410"/>
      <w:bookmarkEnd w:id="349"/>
      <w:bookmarkStart w:id="350" w:name="_Toc184312138"/>
      <w:bookmarkEnd w:id="350"/>
      <w:bookmarkStart w:id="351" w:name="_Toc184308062"/>
      <w:bookmarkEnd w:id="351"/>
      <w:bookmarkStart w:id="352" w:name="_Toc184312110"/>
      <w:bookmarkEnd w:id="352"/>
      <w:bookmarkStart w:id="353" w:name="_Toc184310289"/>
      <w:bookmarkEnd w:id="353"/>
      <w:bookmarkStart w:id="354" w:name="_Toc184310321"/>
      <w:bookmarkEnd w:id="354"/>
      <w:bookmarkStart w:id="355" w:name="_Toc184314460"/>
      <w:bookmarkEnd w:id="355"/>
      <w:bookmarkStart w:id="356" w:name="_Toc184313303"/>
      <w:bookmarkEnd w:id="356"/>
      <w:bookmarkStart w:id="357" w:name="_Toc184314455"/>
      <w:bookmarkEnd w:id="357"/>
      <w:bookmarkStart w:id="358" w:name="_Toc184308079"/>
      <w:bookmarkEnd w:id="358"/>
      <w:bookmarkStart w:id="359" w:name="_Toc184314479"/>
      <w:bookmarkEnd w:id="359"/>
      <w:bookmarkStart w:id="360" w:name="_Toc184308058"/>
      <w:bookmarkEnd w:id="360"/>
      <w:bookmarkStart w:id="361" w:name="_Toc184312075"/>
      <w:bookmarkEnd w:id="361"/>
      <w:bookmarkStart w:id="362" w:name="_Toc184308051"/>
      <w:bookmarkEnd w:id="362"/>
      <w:bookmarkStart w:id="363" w:name="_Toc184314426"/>
      <w:bookmarkEnd w:id="363"/>
      <w:bookmarkStart w:id="364" w:name="_Toc184312076"/>
      <w:bookmarkEnd w:id="364"/>
      <w:bookmarkStart w:id="365" w:name="_Toc184308053"/>
      <w:bookmarkEnd w:id="365"/>
      <w:bookmarkStart w:id="366" w:name="_Toc184312127"/>
      <w:bookmarkEnd w:id="366"/>
      <w:bookmarkStart w:id="367" w:name="_Toc184308050"/>
      <w:bookmarkEnd w:id="367"/>
      <w:bookmarkStart w:id="368" w:name="_Toc184314465"/>
      <w:bookmarkEnd w:id="368"/>
      <w:bookmarkStart w:id="369" w:name="_Toc184310336"/>
      <w:bookmarkEnd w:id="369"/>
      <w:bookmarkStart w:id="370" w:name="_Toc184314438"/>
      <w:bookmarkEnd w:id="370"/>
      <w:bookmarkStart w:id="371" w:name="_Toc184310315"/>
      <w:bookmarkEnd w:id="371"/>
      <w:bookmarkStart w:id="372" w:name="_Toc184312098"/>
      <w:bookmarkEnd w:id="372"/>
      <w:bookmarkStart w:id="373" w:name="_Toc184308088"/>
      <w:bookmarkEnd w:id="373"/>
      <w:bookmarkStart w:id="374" w:name="_Toc184313263"/>
      <w:bookmarkEnd w:id="374"/>
      <w:bookmarkStart w:id="375" w:name="_Toc184314462"/>
      <w:bookmarkEnd w:id="375"/>
      <w:bookmarkStart w:id="376" w:name="_Toc184312068"/>
      <w:bookmarkEnd w:id="376"/>
      <w:bookmarkStart w:id="377" w:name="_Toc184312108"/>
      <w:bookmarkEnd w:id="377"/>
      <w:bookmarkStart w:id="378" w:name="_Toc184313253"/>
      <w:bookmarkEnd w:id="378"/>
      <w:bookmarkStart w:id="379" w:name="_Toc184313299"/>
      <w:bookmarkEnd w:id="379"/>
      <w:bookmarkStart w:id="380" w:name="_Toc184310286"/>
      <w:bookmarkEnd w:id="380"/>
      <w:bookmarkStart w:id="381" w:name="_Toc184312073"/>
      <w:bookmarkEnd w:id="381"/>
      <w:bookmarkStart w:id="382" w:name="_Toc184310309"/>
      <w:bookmarkEnd w:id="382"/>
      <w:bookmarkStart w:id="383" w:name="_Toc184313296"/>
      <w:bookmarkEnd w:id="383"/>
      <w:bookmarkStart w:id="384" w:name="_Toc184310323"/>
      <w:bookmarkEnd w:id="384"/>
      <w:bookmarkStart w:id="385" w:name="_Toc184314456"/>
      <w:bookmarkEnd w:id="385"/>
      <w:bookmarkStart w:id="386" w:name="_Toc184314480"/>
      <w:bookmarkEnd w:id="386"/>
      <w:bookmarkStart w:id="387" w:name="_Toc184314443"/>
      <w:bookmarkEnd w:id="387"/>
      <w:r>
        <w:rPr>
          <w:rFonts w:hint="eastAsia" w:ascii="仿宋" w:hAnsi="仿宋" w:eastAsia="仿宋" w:cs="仿宋"/>
          <w:b/>
          <w:bCs/>
          <w:color w:val="auto"/>
          <w:sz w:val="32"/>
          <w:szCs w:val="32"/>
          <w:highlight w:val="none"/>
        </w:rPr>
        <w:t>评标办法</w:t>
      </w:r>
    </w:p>
    <w:tbl>
      <w:tblPr>
        <w:tblStyle w:val="64"/>
        <w:tblW w:w="9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7"/>
      </w:tblGrid>
      <w:tr w14:paraId="188F4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5" w:hRule="atLeast"/>
          <w:jc w:val="center"/>
        </w:trPr>
        <w:tc>
          <w:tcPr>
            <w:tcW w:w="9267" w:type="dxa"/>
            <w:vAlign w:val="center"/>
          </w:tcPr>
          <w:p w14:paraId="123241DF">
            <w:pPr>
              <w:autoSpaceDE w:val="0"/>
              <w:autoSpaceDN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本项目采用综合评分法</w:t>
            </w:r>
            <w:r>
              <w:rPr>
                <w:rFonts w:hint="eastAsia" w:ascii="仿宋" w:hAnsi="仿宋" w:eastAsia="仿宋" w:cs="仿宋"/>
                <w:color w:val="auto"/>
                <w:sz w:val="24"/>
                <w:highlight w:val="none"/>
              </w:rPr>
              <w:t>：</w:t>
            </w:r>
          </w:p>
          <w:p w14:paraId="63F7C160">
            <w:pPr>
              <w:autoSpaceDE w:val="0"/>
              <w:autoSpaceDN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评标委员会将对各</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的响应报价、</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提供的资信与商务部分、技术部分等方面进行综合评审，评标委员会各成员应当独立对每个有效</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的响应文件进行评价、打分。经统计，得出各</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的最终评审分,按最终评审分由高到低顺序排列。得分相同的，按响应报价由低到高顺序排列，</w:t>
            </w:r>
            <w:r>
              <w:rPr>
                <w:rFonts w:hint="eastAsia" w:ascii="仿宋" w:hAnsi="仿宋" w:eastAsia="仿宋" w:cs="仿宋"/>
                <w:color w:val="auto"/>
                <w:sz w:val="24"/>
                <w:szCs w:val="21"/>
                <w:highlight w:val="none"/>
              </w:rPr>
              <w:t>得分且响应报价相同的并列</w:t>
            </w:r>
            <w:r>
              <w:rPr>
                <w:rFonts w:hint="eastAsia" w:ascii="仿宋" w:hAnsi="仿宋" w:eastAsia="仿宋" w:cs="仿宋"/>
                <w:color w:val="auto"/>
                <w:sz w:val="24"/>
                <w:szCs w:val="21"/>
                <w:highlight w:val="none"/>
                <w:lang w:eastAsia="zh-CN"/>
              </w:rPr>
              <w:t>。</w:t>
            </w:r>
            <w:r>
              <w:rPr>
                <w:rFonts w:hint="eastAsia" w:ascii="仿宋" w:hAnsi="仿宋" w:eastAsia="仿宋" w:cs="仿宋"/>
                <w:color w:val="auto"/>
                <w:sz w:val="24"/>
                <w:highlight w:val="none"/>
              </w:rPr>
              <w:t>并形成评标意见。</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文件满足交易文件全部实质性要求，且按照评审因素的量化指标评审得分最高的</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 xml:space="preserve">人为排名第一的中标候选人。 </w:t>
            </w:r>
          </w:p>
          <w:p w14:paraId="615CC574">
            <w:pPr>
              <w:spacing w:line="360" w:lineRule="auto"/>
              <w:ind w:left="105" w:leftChars="50" w:firstLine="427" w:firstLineChars="178"/>
              <w:rPr>
                <w:rFonts w:hint="eastAsia" w:ascii="仿宋" w:hAnsi="仿宋" w:eastAsia="仿宋" w:cs="仿宋"/>
                <w:color w:val="auto"/>
                <w:sz w:val="24"/>
                <w:highlight w:val="none"/>
              </w:rPr>
            </w:pPr>
            <w:r>
              <w:rPr>
                <w:rFonts w:hint="eastAsia" w:ascii="仿宋" w:hAnsi="仿宋" w:eastAsia="仿宋" w:cs="仿宋"/>
                <w:color w:val="auto"/>
                <w:sz w:val="24"/>
                <w:highlight w:val="none"/>
              </w:rPr>
              <w:t>各</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的综合得分为：价格得分+</w:t>
            </w:r>
            <w:r>
              <w:rPr>
                <w:rFonts w:hint="eastAsia" w:ascii="仿宋" w:hAnsi="仿宋" w:eastAsia="仿宋" w:cs="仿宋"/>
                <w:bCs/>
                <w:color w:val="auto"/>
                <w:sz w:val="24"/>
                <w:highlight w:val="none"/>
              </w:rPr>
              <w:t>技术部分</w:t>
            </w:r>
            <w:r>
              <w:rPr>
                <w:rFonts w:hint="eastAsia" w:ascii="仿宋" w:hAnsi="仿宋" w:eastAsia="仿宋" w:cs="仿宋"/>
                <w:color w:val="auto"/>
                <w:sz w:val="24"/>
                <w:highlight w:val="none"/>
              </w:rPr>
              <w:t>得分+资信与商务部分得分之和，总和为</w:t>
            </w:r>
            <w:r>
              <w:rPr>
                <w:rFonts w:hint="eastAsia" w:ascii="仿宋" w:hAnsi="仿宋" w:eastAsia="仿宋" w:cs="仿宋"/>
                <w:color w:val="auto"/>
                <w:sz w:val="24"/>
                <w:highlight w:val="none"/>
                <w:u w:val="single"/>
              </w:rPr>
              <w:t>100</w:t>
            </w:r>
            <w:r>
              <w:rPr>
                <w:rFonts w:hint="eastAsia" w:ascii="仿宋" w:hAnsi="仿宋" w:eastAsia="仿宋" w:cs="仿宋"/>
                <w:color w:val="auto"/>
                <w:sz w:val="24"/>
                <w:highlight w:val="none"/>
              </w:rPr>
              <w:t>分</w:t>
            </w:r>
          </w:p>
          <w:p w14:paraId="4298F33F">
            <w:pPr>
              <w:autoSpaceDE w:val="0"/>
              <w:autoSpaceDN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各</w:t>
            </w:r>
            <w:r>
              <w:rPr>
                <w:rFonts w:hint="eastAsia" w:ascii="仿宋" w:hAnsi="仿宋" w:eastAsia="仿宋" w:cs="仿宋"/>
                <w:b/>
                <w:color w:val="auto"/>
                <w:sz w:val="24"/>
                <w:highlight w:val="none"/>
                <w:lang w:eastAsia="zh-CN"/>
              </w:rPr>
              <w:t>响应人</w:t>
            </w:r>
            <w:r>
              <w:rPr>
                <w:rFonts w:hint="eastAsia" w:ascii="仿宋" w:hAnsi="仿宋" w:eastAsia="仿宋" w:cs="仿宋"/>
                <w:b/>
                <w:color w:val="auto"/>
                <w:sz w:val="24"/>
                <w:highlight w:val="none"/>
              </w:rPr>
              <w:t>的技术、资信与商务部分得分为：评标委员会各成员评分的算术平均值。各</w:t>
            </w:r>
            <w:r>
              <w:rPr>
                <w:rFonts w:hint="eastAsia" w:ascii="仿宋" w:hAnsi="仿宋" w:eastAsia="仿宋" w:cs="仿宋"/>
                <w:b/>
                <w:color w:val="auto"/>
                <w:sz w:val="24"/>
                <w:highlight w:val="none"/>
                <w:lang w:eastAsia="zh-CN"/>
              </w:rPr>
              <w:t>响应人</w:t>
            </w:r>
            <w:r>
              <w:rPr>
                <w:rFonts w:hint="eastAsia" w:ascii="仿宋" w:hAnsi="仿宋" w:eastAsia="仿宋" w:cs="仿宋"/>
                <w:b/>
                <w:color w:val="auto"/>
                <w:sz w:val="24"/>
                <w:highlight w:val="none"/>
              </w:rPr>
              <w:t>的价格得分按价格评分公式由代理机构计算，评标委员会审核。</w:t>
            </w:r>
            <w:r>
              <w:rPr>
                <w:rFonts w:hint="eastAsia" w:ascii="仿宋" w:hAnsi="仿宋" w:eastAsia="仿宋" w:cs="仿宋"/>
                <w:color w:val="auto"/>
                <w:sz w:val="24"/>
                <w:highlight w:val="none"/>
              </w:rPr>
              <w:t>根据上述评标原则，分值安排如下：</w:t>
            </w:r>
          </w:p>
        </w:tc>
      </w:tr>
    </w:tbl>
    <w:p w14:paraId="77D7AF4C">
      <w:pPr>
        <w:widowControl/>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商务技术评分表（70分）</w:t>
      </w:r>
    </w:p>
    <w:tbl>
      <w:tblPr>
        <w:tblStyle w:val="64"/>
        <w:tblpPr w:leftFromText="180" w:rightFromText="180" w:vertAnchor="text" w:horzAnchor="page" w:tblpX="1182" w:tblpY="917"/>
        <w:tblOverlap w:val="never"/>
        <w:tblW w:w="9732"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988"/>
        <w:gridCol w:w="816"/>
        <w:gridCol w:w="5587"/>
        <w:gridCol w:w="1111"/>
        <w:gridCol w:w="1230"/>
      </w:tblGrid>
      <w:tr w14:paraId="252B6EC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24" w:hRule="atLeast"/>
        </w:trPr>
        <w:tc>
          <w:tcPr>
            <w:tcW w:w="988" w:type="dxa"/>
            <w:tcBorders>
              <w:bottom w:val="single" w:color="auto" w:sz="4" w:space="0"/>
              <w:right w:val="single" w:color="auto" w:sz="4" w:space="0"/>
            </w:tcBorders>
            <w:shd w:val="clear" w:color="auto" w:fill="auto"/>
            <w:vAlign w:val="center"/>
          </w:tcPr>
          <w:p w14:paraId="4CC8ABCF">
            <w:pPr>
              <w:keepNext w:val="0"/>
              <w:keepLines w:val="0"/>
              <w:pageBreakBefore w:val="0"/>
              <w:widowControl/>
              <w:kinsoku/>
              <w:wordWrap/>
              <w:overflowPunct/>
              <w:topLinePunct w:val="0"/>
              <w:autoSpaceDE/>
              <w:autoSpaceDN/>
              <w:bidi w:val="0"/>
              <w:snapToGrid/>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6403" w:type="dxa"/>
            <w:gridSpan w:val="2"/>
            <w:tcBorders>
              <w:left w:val="nil"/>
              <w:bottom w:val="single" w:color="auto" w:sz="4" w:space="0"/>
              <w:right w:val="single" w:color="auto" w:sz="4" w:space="0"/>
            </w:tcBorders>
            <w:shd w:val="clear" w:color="auto" w:fill="auto"/>
            <w:vAlign w:val="center"/>
          </w:tcPr>
          <w:p w14:paraId="64FF19E7">
            <w:pPr>
              <w:keepNext w:val="0"/>
              <w:keepLines w:val="0"/>
              <w:pageBreakBefore w:val="0"/>
              <w:widowControl/>
              <w:kinsoku/>
              <w:wordWrap/>
              <w:overflowPunct/>
              <w:topLinePunct w:val="0"/>
              <w:autoSpaceDE/>
              <w:autoSpaceDN/>
              <w:bidi w:val="0"/>
              <w:snapToGrid/>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评分内容和标准</w:t>
            </w:r>
          </w:p>
        </w:tc>
        <w:tc>
          <w:tcPr>
            <w:tcW w:w="1111" w:type="dxa"/>
            <w:tcBorders>
              <w:left w:val="nil"/>
              <w:bottom w:val="single" w:color="auto" w:sz="4" w:space="0"/>
              <w:right w:val="single" w:color="auto" w:sz="4" w:space="0"/>
            </w:tcBorders>
            <w:shd w:val="clear" w:color="auto" w:fill="auto"/>
            <w:vAlign w:val="center"/>
          </w:tcPr>
          <w:p w14:paraId="117DF5B4">
            <w:pPr>
              <w:keepNext w:val="0"/>
              <w:keepLines w:val="0"/>
              <w:pageBreakBefore w:val="0"/>
              <w:widowControl/>
              <w:kinsoku/>
              <w:wordWrap/>
              <w:overflowPunct/>
              <w:topLinePunct w:val="0"/>
              <w:autoSpaceDE/>
              <w:autoSpaceDN/>
              <w:bidi w:val="0"/>
              <w:snapToGrid/>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权重</w:t>
            </w:r>
          </w:p>
        </w:tc>
        <w:tc>
          <w:tcPr>
            <w:tcW w:w="1230" w:type="dxa"/>
            <w:tcBorders>
              <w:left w:val="nil"/>
              <w:bottom w:val="single" w:color="auto" w:sz="4" w:space="0"/>
            </w:tcBorders>
            <w:vAlign w:val="center"/>
          </w:tcPr>
          <w:p w14:paraId="144B6D07">
            <w:pPr>
              <w:keepNext w:val="0"/>
              <w:keepLines w:val="0"/>
              <w:pageBreakBefore w:val="0"/>
              <w:widowControl/>
              <w:kinsoku/>
              <w:wordWrap/>
              <w:overflowPunct/>
              <w:topLinePunct w:val="0"/>
              <w:autoSpaceDE/>
              <w:autoSpaceDN/>
              <w:bidi w:val="0"/>
              <w:snapToGrid/>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主客观分</w:t>
            </w:r>
          </w:p>
        </w:tc>
      </w:tr>
      <w:tr w14:paraId="12697B6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988" w:type="dxa"/>
            <w:tcBorders>
              <w:top w:val="nil"/>
              <w:right w:val="single" w:color="auto" w:sz="4" w:space="0"/>
            </w:tcBorders>
            <w:shd w:val="clear" w:color="auto" w:fill="auto"/>
            <w:vAlign w:val="center"/>
          </w:tcPr>
          <w:p w14:paraId="5DD9C167">
            <w:pPr>
              <w:keepNext w:val="0"/>
              <w:keepLines w:val="0"/>
              <w:pageBreakBefore w:val="0"/>
              <w:widowControl/>
              <w:kinsoku/>
              <w:wordWrap/>
              <w:overflowPunct/>
              <w:topLinePunct w:val="0"/>
              <w:autoSpaceDE/>
              <w:autoSpaceDN/>
              <w:bidi w:val="0"/>
              <w:snapToGrid/>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商务资 信分(</w:t>
            </w:r>
            <w:r>
              <w:rPr>
                <w:rFonts w:hint="eastAsia" w:ascii="仿宋" w:hAnsi="仿宋" w:eastAsia="仿宋" w:cs="仿宋"/>
                <w:color w:val="auto"/>
                <w:sz w:val="24"/>
                <w:highlight w:val="none"/>
                <w:lang w:val="en-US" w:eastAsia="zh-CN"/>
              </w:rPr>
              <w:t>14</w:t>
            </w:r>
            <w:r>
              <w:rPr>
                <w:rFonts w:hint="eastAsia" w:ascii="仿宋" w:hAnsi="仿宋" w:eastAsia="仿宋" w:cs="仿宋"/>
                <w:color w:val="auto"/>
                <w:sz w:val="24"/>
                <w:highlight w:val="none"/>
              </w:rPr>
              <w:t>分)</w:t>
            </w:r>
          </w:p>
        </w:tc>
        <w:tc>
          <w:tcPr>
            <w:tcW w:w="816" w:type="dxa"/>
            <w:tcBorders>
              <w:top w:val="nil"/>
              <w:left w:val="single" w:color="auto" w:sz="8" w:space="0"/>
              <w:bottom w:val="single" w:color="auto" w:sz="4" w:space="0"/>
              <w:right w:val="single" w:color="auto" w:sz="4" w:space="0"/>
            </w:tcBorders>
            <w:shd w:val="clear" w:color="auto" w:fill="auto"/>
            <w:vAlign w:val="center"/>
          </w:tcPr>
          <w:p w14:paraId="6C7CC280">
            <w:pPr>
              <w:keepNext w:val="0"/>
              <w:keepLines w:val="0"/>
              <w:pageBreakBefore w:val="0"/>
              <w:widowControl/>
              <w:kinsoku/>
              <w:wordWrap/>
              <w:overflowPunct/>
              <w:topLinePunct w:val="0"/>
              <w:autoSpaceDE/>
              <w:autoSpaceDN/>
              <w:bidi w:val="0"/>
              <w:snapToGrid/>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5587" w:type="dxa"/>
            <w:tcBorders>
              <w:top w:val="nil"/>
              <w:left w:val="nil"/>
              <w:bottom w:val="single" w:color="auto" w:sz="4" w:space="0"/>
              <w:right w:val="single" w:color="auto" w:sz="4" w:space="0"/>
            </w:tcBorders>
            <w:shd w:val="clear" w:color="auto" w:fill="auto"/>
            <w:vAlign w:val="center"/>
          </w:tcPr>
          <w:p w14:paraId="58B37A1B">
            <w:pPr>
              <w:keepNext w:val="0"/>
              <w:keepLines w:val="0"/>
              <w:pageBreakBefore w:val="0"/>
              <w:widowControl/>
              <w:kinsoku/>
              <w:wordWrap/>
              <w:overflowPunct/>
              <w:topLinePunct w:val="0"/>
              <w:autoSpaceDE/>
              <w:autoSpaceDN/>
              <w:bidi w:val="0"/>
              <w:snapToGrid/>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企业完成过的类似业绩：</w:t>
            </w:r>
          </w:p>
          <w:p w14:paraId="417CCB47">
            <w:pPr>
              <w:keepNext w:val="0"/>
              <w:keepLines w:val="0"/>
              <w:pageBreakBefore w:val="0"/>
              <w:widowControl/>
              <w:kinsoku/>
              <w:wordWrap/>
              <w:overflowPunct/>
              <w:topLinePunct w:val="0"/>
              <w:autoSpaceDE/>
              <w:autoSpaceDN/>
              <w:bidi w:val="0"/>
              <w:snapToGrid/>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①、自 202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 xml:space="preserve">年 </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 xml:space="preserve"> 月 1 日以来（时间以施工单位中标通知书上载明的时间为准），完成过一个</w:t>
            </w:r>
            <w:r>
              <w:rPr>
                <w:rFonts w:hint="eastAsia" w:ascii="仿宋" w:hAnsi="仿宋" w:eastAsia="仿宋" w:cs="仿宋"/>
                <w:color w:val="auto"/>
                <w:sz w:val="24"/>
                <w:highlight w:val="none"/>
                <w:lang w:val="en-US" w:eastAsia="zh-CN"/>
              </w:rPr>
              <w:t>路线总长4公里及以上的</w:t>
            </w:r>
            <w:r>
              <w:rPr>
                <w:rFonts w:hint="eastAsia" w:ascii="仿宋" w:hAnsi="仿宋" w:eastAsia="仿宋" w:cs="仿宋"/>
                <w:color w:val="auto"/>
                <w:sz w:val="24"/>
                <w:highlight w:val="none"/>
              </w:rPr>
              <w:t>一级及以上公路工程项目的招标代理业务，得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w:t>
            </w:r>
          </w:p>
          <w:p w14:paraId="0C71DA7F">
            <w:pPr>
              <w:keepNext w:val="0"/>
              <w:keepLines w:val="0"/>
              <w:pageBreakBefore w:val="0"/>
              <w:widowControl/>
              <w:kinsoku/>
              <w:wordWrap/>
              <w:overflowPunct/>
              <w:topLinePunct w:val="0"/>
              <w:autoSpaceDE/>
              <w:autoSpaceDN/>
              <w:bidi w:val="0"/>
              <w:snapToGrid/>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②、自 202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 xml:space="preserve">年 </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 xml:space="preserve"> 月 1 日以来（时间以施工单位中标通知书上载明的时间为准），完成过一个一级及以上公路工程项目</w:t>
            </w:r>
            <w:r>
              <w:rPr>
                <w:rFonts w:hint="eastAsia" w:ascii="仿宋" w:hAnsi="仿宋" w:eastAsia="仿宋" w:cs="仿宋"/>
                <w:color w:val="auto"/>
                <w:sz w:val="24"/>
                <w:highlight w:val="none"/>
                <w:lang w:eastAsia="zh-CN"/>
              </w:rPr>
              <w:t>（须包</w:t>
            </w:r>
            <w:r>
              <w:rPr>
                <w:rFonts w:hint="eastAsia" w:ascii="仿宋" w:hAnsi="仿宋" w:eastAsia="仿宋" w:cs="仿宋"/>
                <w:color w:val="auto"/>
                <w:sz w:val="24"/>
                <w:highlight w:val="none"/>
                <w:lang w:val="en-US" w:eastAsia="zh-CN"/>
              </w:rPr>
              <w:t>含一座连续总长为一公里及以上的隧道工程）</w:t>
            </w:r>
            <w:r>
              <w:rPr>
                <w:rFonts w:hint="eastAsia" w:ascii="仿宋" w:hAnsi="仿宋" w:eastAsia="仿宋" w:cs="仿宋"/>
                <w:color w:val="auto"/>
                <w:sz w:val="24"/>
                <w:highlight w:val="none"/>
              </w:rPr>
              <w:t>的招标代理业务，得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w:t>
            </w:r>
          </w:p>
          <w:p w14:paraId="07807D6B">
            <w:pPr>
              <w:keepNext w:val="0"/>
              <w:keepLines w:val="0"/>
              <w:pageBreakBefore w:val="0"/>
              <w:widowControl/>
              <w:kinsoku/>
              <w:wordWrap/>
              <w:overflowPunct/>
              <w:topLinePunct w:val="0"/>
              <w:autoSpaceDE/>
              <w:autoSpaceDN/>
              <w:bidi w:val="0"/>
              <w:snapToGrid/>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本项目业绩最多得3分。</w:t>
            </w:r>
          </w:p>
          <w:p w14:paraId="795C1B5B">
            <w:pPr>
              <w:keepNext w:val="0"/>
              <w:keepLines w:val="0"/>
              <w:pageBreakBefore w:val="0"/>
              <w:widowControl/>
              <w:kinsoku/>
              <w:wordWrap/>
              <w:overflowPunct/>
              <w:topLinePunct w:val="0"/>
              <w:autoSpaceDE/>
              <w:autoSpaceDN/>
              <w:bidi w:val="0"/>
              <w:snapToGrid/>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【证明材料：提供招标代理合同和</w:t>
            </w:r>
            <w:r>
              <w:rPr>
                <w:rFonts w:hint="eastAsia" w:ascii="仿宋" w:hAnsi="仿宋" w:eastAsia="仿宋" w:cs="仿宋"/>
                <w:color w:val="auto"/>
                <w:sz w:val="24"/>
                <w:highlight w:val="none"/>
                <w:lang w:eastAsia="zh-CN"/>
              </w:rPr>
              <w:t>施工</w:t>
            </w:r>
            <w:r>
              <w:rPr>
                <w:rFonts w:hint="eastAsia" w:ascii="仿宋" w:hAnsi="仿宋" w:eastAsia="仿宋" w:cs="仿宋"/>
                <w:color w:val="auto"/>
                <w:sz w:val="24"/>
                <w:highlight w:val="none"/>
              </w:rPr>
              <w:t>中标通知书，招标代理合同和</w:t>
            </w:r>
            <w:r>
              <w:rPr>
                <w:rFonts w:hint="eastAsia" w:ascii="仿宋" w:hAnsi="仿宋" w:eastAsia="仿宋" w:cs="仿宋"/>
                <w:color w:val="auto"/>
                <w:sz w:val="24"/>
                <w:highlight w:val="none"/>
                <w:lang w:eastAsia="zh-CN"/>
              </w:rPr>
              <w:t>施工</w:t>
            </w:r>
            <w:r>
              <w:rPr>
                <w:rFonts w:hint="eastAsia" w:ascii="仿宋" w:hAnsi="仿宋" w:eastAsia="仿宋" w:cs="仿宋"/>
                <w:color w:val="auto"/>
                <w:sz w:val="24"/>
                <w:highlight w:val="none"/>
              </w:rPr>
              <w:t>中标通知书中无法体现得分所需的业绩规模等重要信息，需提供业主证明材料。</w:t>
            </w:r>
            <w:r>
              <w:rPr>
                <w:rFonts w:hint="eastAsia" w:ascii="仿宋" w:hAnsi="仿宋" w:eastAsia="仿宋" w:cs="仿宋"/>
                <w:color w:val="auto"/>
                <w:sz w:val="24"/>
                <w:highlight w:val="none"/>
                <w:lang w:eastAsia="zh-CN"/>
              </w:rPr>
              <w:t>若</w:t>
            </w:r>
            <w:r>
              <w:rPr>
                <w:rFonts w:hint="eastAsia" w:ascii="仿宋" w:hAnsi="仿宋" w:eastAsia="仿宋" w:cs="仿宋"/>
                <w:color w:val="auto"/>
                <w:sz w:val="24"/>
                <w:highlight w:val="none"/>
              </w:rPr>
              <w:t>同一业绩同时满足上述①、②加分条件的，</w:t>
            </w:r>
            <w:r>
              <w:rPr>
                <w:rFonts w:hint="eastAsia" w:ascii="仿宋" w:hAnsi="仿宋" w:eastAsia="仿宋" w:cs="仿宋"/>
                <w:color w:val="auto"/>
                <w:sz w:val="24"/>
                <w:highlight w:val="none"/>
                <w:lang w:val="en-US" w:eastAsia="zh-CN"/>
              </w:rPr>
              <w:t>可同时加分</w:t>
            </w:r>
            <w:r>
              <w:rPr>
                <w:rFonts w:hint="eastAsia" w:ascii="仿宋" w:hAnsi="仿宋" w:eastAsia="仿宋" w:cs="仿宋"/>
                <w:color w:val="auto"/>
                <w:sz w:val="24"/>
                <w:highlight w:val="none"/>
              </w:rPr>
              <w:t>。】</w:t>
            </w:r>
          </w:p>
        </w:tc>
        <w:tc>
          <w:tcPr>
            <w:tcW w:w="1111" w:type="dxa"/>
            <w:tcBorders>
              <w:top w:val="nil"/>
              <w:left w:val="nil"/>
              <w:bottom w:val="single" w:color="auto" w:sz="4" w:space="0"/>
              <w:right w:val="single" w:color="auto" w:sz="4" w:space="0"/>
            </w:tcBorders>
            <w:shd w:val="clear" w:color="auto" w:fill="auto"/>
            <w:vAlign w:val="center"/>
          </w:tcPr>
          <w:p w14:paraId="49D2013E">
            <w:pPr>
              <w:keepNext w:val="0"/>
              <w:keepLines w:val="0"/>
              <w:pageBreakBefore w:val="0"/>
              <w:widowControl/>
              <w:kinsoku/>
              <w:wordWrap/>
              <w:overflowPunct/>
              <w:topLinePunct w:val="0"/>
              <w:autoSpaceDE/>
              <w:autoSpaceDN/>
              <w:bidi w:val="0"/>
              <w:snapToGrid/>
              <w:spacing w:line="44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1230" w:type="dxa"/>
            <w:tcBorders>
              <w:top w:val="nil"/>
              <w:left w:val="nil"/>
              <w:bottom w:val="single" w:color="auto" w:sz="4" w:space="0"/>
            </w:tcBorders>
            <w:shd w:val="clear" w:color="auto" w:fill="auto"/>
            <w:vAlign w:val="center"/>
          </w:tcPr>
          <w:p w14:paraId="5FDEAD5F">
            <w:pPr>
              <w:keepNext w:val="0"/>
              <w:keepLines w:val="0"/>
              <w:pageBreakBefore w:val="0"/>
              <w:widowControl/>
              <w:kinsoku/>
              <w:wordWrap/>
              <w:overflowPunct/>
              <w:topLinePunct w:val="0"/>
              <w:autoSpaceDE/>
              <w:autoSpaceDN/>
              <w:bidi w:val="0"/>
              <w:snapToGrid/>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客观分</w:t>
            </w:r>
          </w:p>
        </w:tc>
      </w:tr>
      <w:tr w14:paraId="5302433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29" w:hRule="atLeast"/>
        </w:trPr>
        <w:tc>
          <w:tcPr>
            <w:tcW w:w="988" w:type="dxa"/>
            <w:tcBorders>
              <w:right w:val="single" w:color="auto" w:sz="4" w:space="0"/>
            </w:tcBorders>
            <w:vAlign w:val="center"/>
          </w:tcPr>
          <w:p w14:paraId="71BF7B92">
            <w:pPr>
              <w:keepNext w:val="0"/>
              <w:keepLines w:val="0"/>
              <w:pageBreakBefore w:val="0"/>
              <w:widowControl/>
              <w:kinsoku/>
              <w:wordWrap/>
              <w:overflowPunct/>
              <w:topLinePunct w:val="0"/>
              <w:autoSpaceDE/>
              <w:autoSpaceDN/>
              <w:bidi w:val="0"/>
              <w:snapToGrid/>
              <w:spacing w:line="440" w:lineRule="exact"/>
              <w:jc w:val="center"/>
              <w:rPr>
                <w:rFonts w:hint="eastAsia" w:ascii="仿宋" w:hAnsi="仿宋" w:eastAsia="仿宋" w:cs="仿宋"/>
                <w:color w:val="auto"/>
                <w:sz w:val="24"/>
                <w:highlight w:val="none"/>
              </w:rPr>
            </w:pP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14:paraId="7BA9A9F8">
            <w:pPr>
              <w:keepNext w:val="0"/>
              <w:keepLines w:val="0"/>
              <w:pageBreakBefore w:val="0"/>
              <w:widowControl/>
              <w:kinsoku/>
              <w:wordWrap/>
              <w:overflowPunct/>
              <w:topLinePunct w:val="0"/>
              <w:autoSpaceDE/>
              <w:autoSpaceDN/>
              <w:bidi w:val="0"/>
              <w:snapToGrid/>
              <w:spacing w:line="44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5587" w:type="dxa"/>
            <w:tcBorders>
              <w:top w:val="single" w:color="auto" w:sz="4" w:space="0"/>
              <w:left w:val="nil"/>
              <w:bottom w:val="single" w:color="auto" w:sz="4" w:space="0"/>
              <w:right w:val="single" w:color="auto" w:sz="4" w:space="0"/>
            </w:tcBorders>
            <w:shd w:val="clear" w:color="auto" w:fill="auto"/>
            <w:vAlign w:val="center"/>
          </w:tcPr>
          <w:p w14:paraId="3B64C051">
            <w:pPr>
              <w:pStyle w:val="62"/>
              <w:keepNext w:val="0"/>
              <w:keepLines w:val="0"/>
              <w:pageBreakBefore w:val="0"/>
              <w:numPr>
                <w:ilvl w:val="0"/>
                <w:numId w:val="0"/>
              </w:numPr>
              <w:kinsoku/>
              <w:wordWrap/>
              <w:overflowPunct/>
              <w:topLinePunct w:val="0"/>
              <w:autoSpaceDE/>
              <w:autoSpaceDN/>
              <w:bidi w:val="0"/>
              <w:snapToGrid/>
              <w:spacing w:line="440" w:lineRule="exact"/>
              <w:ind w:leftChars="0"/>
              <w:rPr>
                <w:rFonts w:hint="eastAsia" w:ascii="仿宋" w:hAnsi="仿宋" w:eastAsia="仿宋" w:cs="仿宋"/>
                <w:color w:val="auto"/>
                <w:sz w:val="24"/>
                <w:highlight w:val="none"/>
              </w:rPr>
            </w:pPr>
            <w:r>
              <w:rPr>
                <w:rStyle w:val="331"/>
                <w:rFonts w:hint="eastAsia" w:ascii="仿宋" w:hAnsi="仿宋" w:eastAsia="仿宋" w:cs="仿宋"/>
                <w:color w:val="auto"/>
                <w:sz w:val="24"/>
                <w:szCs w:val="24"/>
                <w:highlight w:val="none"/>
                <w:lang w:eastAsia="zh-CN"/>
              </w:rPr>
              <w:t>响应人</w:t>
            </w:r>
            <w:r>
              <w:rPr>
                <w:rStyle w:val="331"/>
                <w:rFonts w:hint="eastAsia" w:ascii="仿宋" w:hAnsi="仿宋" w:eastAsia="仿宋" w:cs="仿宋"/>
                <w:color w:val="auto"/>
                <w:sz w:val="24"/>
                <w:szCs w:val="24"/>
                <w:highlight w:val="none"/>
                <w:lang w:val="en-US" w:eastAsia="zh-CN"/>
              </w:rPr>
              <w:t>具有</w:t>
            </w:r>
            <w:r>
              <w:rPr>
                <w:rStyle w:val="331"/>
                <w:rFonts w:hint="eastAsia" w:ascii="仿宋" w:hAnsi="仿宋" w:eastAsia="仿宋" w:cs="仿宋"/>
                <w:color w:val="auto"/>
                <w:sz w:val="24"/>
                <w:szCs w:val="24"/>
                <w:highlight w:val="none"/>
              </w:rPr>
              <w:t>有效的</w:t>
            </w:r>
            <w:r>
              <w:rPr>
                <w:rFonts w:hint="eastAsia" w:ascii="仿宋" w:hAnsi="仿宋" w:eastAsia="仿宋" w:cs="仿宋"/>
                <w:color w:val="auto"/>
                <w:sz w:val="24"/>
                <w:szCs w:val="24"/>
                <w:highlight w:val="none"/>
              </w:rPr>
              <w:t>质量管理体系认证、职业健康管理体系认证、环境管理体系认证且均在有效期内的每个证书得1分；本项最高得3分（附认证证书复印件</w:t>
            </w:r>
            <w:r>
              <w:rPr>
                <w:rFonts w:hint="eastAsia" w:ascii="仿宋" w:hAnsi="仿宋" w:eastAsia="仿宋" w:cs="仿宋"/>
                <w:color w:val="auto"/>
                <w:sz w:val="24"/>
                <w:szCs w:val="24"/>
                <w:highlight w:val="none"/>
                <w:lang w:eastAsia="zh-CN"/>
              </w:rPr>
              <w:t>并加盖公章，否则不得分</w:t>
            </w:r>
            <w:r>
              <w:rPr>
                <w:rFonts w:hint="eastAsia" w:ascii="仿宋" w:hAnsi="仿宋" w:eastAsia="仿宋" w:cs="仿宋"/>
                <w:color w:val="auto"/>
                <w:sz w:val="24"/>
                <w:szCs w:val="24"/>
                <w:highlight w:val="none"/>
              </w:rPr>
              <w:t>）</w:t>
            </w:r>
          </w:p>
        </w:tc>
        <w:tc>
          <w:tcPr>
            <w:tcW w:w="1111" w:type="dxa"/>
            <w:tcBorders>
              <w:top w:val="single" w:color="auto" w:sz="4" w:space="0"/>
              <w:left w:val="nil"/>
              <w:bottom w:val="single" w:color="auto" w:sz="4" w:space="0"/>
              <w:right w:val="single" w:color="auto" w:sz="4" w:space="0"/>
            </w:tcBorders>
            <w:shd w:val="clear" w:color="auto" w:fill="auto"/>
            <w:vAlign w:val="center"/>
          </w:tcPr>
          <w:p w14:paraId="322042D6">
            <w:pPr>
              <w:keepNext w:val="0"/>
              <w:keepLines w:val="0"/>
              <w:pageBreakBefore w:val="0"/>
              <w:widowControl/>
              <w:kinsoku/>
              <w:wordWrap/>
              <w:overflowPunct/>
              <w:topLinePunct w:val="0"/>
              <w:autoSpaceDE/>
              <w:autoSpaceDN/>
              <w:bidi w:val="0"/>
              <w:snapToGrid/>
              <w:spacing w:line="44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1230" w:type="dxa"/>
            <w:tcBorders>
              <w:top w:val="single" w:color="auto" w:sz="4" w:space="0"/>
              <w:left w:val="nil"/>
              <w:bottom w:val="single" w:color="auto" w:sz="4" w:space="0"/>
            </w:tcBorders>
            <w:shd w:val="clear" w:color="auto" w:fill="auto"/>
            <w:vAlign w:val="center"/>
          </w:tcPr>
          <w:p w14:paraId="3760DE2E">
            <w:pPr>
              <w:keepNext w:val="0"/>
              <w:keepLines w:val="0"/>
              <w:pageBreakBefore w:val="0"/>
              <w:widowControl/>
              <w:kinsoku/>
              <w:wordWrap/>
              <w:overflowPunct/>
              <w:topLinePunct w:val="0"/>
              <w:autoSpaceDE/>
              <w:autoSpaceDN/>
              <w:bidi w:val="0"/>
              <w:snapToGrid/>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客观分</w:t>
            </w:r>
          </w:p>
        </w:tc>
      </w:tr>
      <w:tr w14:paraId="6A7E963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29" w:hRule="atLeast"/>
        </w:trPr>
        <w:tc>
          <w:tcPr>
            <w:tcW w:w="988" w:type="dxa"/>
            <w:tcBorders>
              <w:right w:val="single" w:color="auto" w:sz="4" w:space="0"/>
            </w:tcBorders>
            <w:vAlign w:val="center"/>
          </w:tcPr>
          <w:p w14:paraId="6F8642E2">
            <w:pPr>
              <w:keepNext w:val="0"/>
              <w:keepLines w:val="0"/>
              <w:pageBreakBefore w:val="0"/>
              <w:widowControl/>
              <w:kinsoku/>
              <w:wordWrap/>
              <w:overflowPunct/>
              <w:topLinePunct w:val="0"/>
              <w:autoSpaceDE/>
              <w:autoSpaceDN/>
              <w:bidi w:val="0"/>
              <w:snapToGrid/>
              <w:spacing w:line="440" w:lineRule="exact"/>
              <w:jc w:val="center"/>
              <w:rPr>
                <w:rFonts w:hint="eastAsia" w:ascii="仿宋" w:hAnsi="仿宋" w:eastAsia="仿宋" w:cs="仿宋"/>
                <w:color w:val="auto"/>
                <w:sz w:val="24"/>
                <w:highlight w:val="none"/>
                <w:lang w:val="en-US" w:eastAsia="zh-CN"/>
              </w:rPr>
            </w:pP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14:paraId="520D66BA">
            <w:pPr>
              <w:keepNext w:val="0"/>
              <w:keepLines w:val="0"/>
              <w:pageBreakBefore w:val="0"/>
              <w:widowControl/>
              <w:kinsoku/>
              <w:wordWrap/>
              <w:overflowPunct/>
              <w:topLinePunct w:val="0"/>
              <w:autoSpaceDE/>
              <w:autoSpaceDN/>
              <w:bidi w:val="0"/>
              <w:snapToGrid/>
              <w:spacing w:line="44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5587" w:type="dxa"/>
            <w:tcBorders>
              <w:top w:val="single" w:color="auto" w:sz="4" w:space="0"/>
              <w:left w:val="nil"/>
              <w:bottom w:val="single" w:color="auto" w:sz="4" w:space="0"/>
              <w:right w:val="single" w:color="auto" w:sz="4" w:space="0"/>
            </w:tcBorders>
            <w:shd w:val="clear" w:color="auto" w:fill="auto"/>
            <w:vAlign w:val="center"/>
          </w:tcPr>
          <w:p w14:paraId="4D02BD7D">
            <w:pPr>
              <w:pStyle w:val="62"/>
              <w:keepNext w:val="0"/>
              <w:keepLines w:val="0"/>
              <w:pageBreakBefore w:val="0"/>
              <w:numPr>
                <w:ilvl w:val="0"/>
                <w:numId w:val="0"/>
              </w:numPr>
              <w:kinsoku/>
              <w:wordWrap/>
              <w:overflowPunct/>
              <w:topLinePunct w:val="0"/>
              <w:autoSpaceDE/>
              <w:autoSpaceDN/>
              <w:bidi w:val="0"/>
              <w:snapToGrid/>
              <w:spacing w:line="440" w:lineRule="exact"/>
              <w:ind w:left="0" w:leftChars="0" w:firstLine="0" w:firstLineChars="0"/>
              <w:rPr>
                <w:rFonts w:hint="default"/>
                <w:color w:val="auto"/>
                <w:highlight w:val="none"/>
                <w:lang w:val="en-US" w:eastAsia="zh-CN"/>
              </w:rPr>
            </w:pPr>
            <w:r>
              <w:rPr>
                <w:rFonts w:hint="default" w:ascii="宋体" w:hAnsi="宋体" w:eastAsia="宋体" w:cs="Times New Roman"/>
                <w:color w:val="auto"/>
                <w:kern w:val="2"/>
                <w:sz w:val="21"/>
                <w:szCs w:val="24"/>
                <w:highlight w:val="none"/>
                <w:lang w:val="en-US" w:eastAsia="zh-CN" w:bidi="ar-SA"/>
              </w:rPr>
              <w:t>1、</w:t>
            </w:r>
            <w:r>
              <w:rPr>
                <w:rStyle w:val="331"/>
                <w:rFonts w:hint="default" w:ascii="仿宋" w:hAnsi="仿宋" w:eastAsia="仿宋" w:cs="仿宋"/>
                <w:color w:val="auto"/>
                <w:sz w:val="24"/>
                <w:szCs w:val="24"/>
                <w:highlight w:val="none"/>
                <w:lang w:val="en-US" w:eastAsia="zh-CN"/>
              </w:rPr>
              <w:t>拟派的项目负责人具有</w:t>
            </w:r>
            <w:r>
              <w:rPr>
                <w:rStyle w:val="331"/>
                <w:rFonts w:hint="eastAsia" w:ascii="仿宋" w:hAnsi="仿宋" w:eastAsia="仿宋" w:cs="仿宋"/>
                <w:color w:val="auto"/>
                <w:sz w:val="24"/>
                <w:szCs w:val="24"/>
                <w:highlight w:val="none"/>
                <w:lang w:val="en-US" w:eastAsia="zh-CN"/>
              </w:rPr>
              <w:t>交通运输部</w:t>
            </w:r>
            <w:r>
              <w:rPr>
                <w:rStyle w:val="331"/>
                <w:rFonts w:hint="default" w:ascii="仿宋" w:hAnsi="仿宋" w:eastAsia="仿宋" w:cs="仿宋"/>
                <w:color w:val="auto"/>
                <w:sz w:val="24"/>
                <w:szCs w:val="24"/>
                <w:highlight w:val="none"/>
                <w:lang w:val="en-US" w:eastAsia="zh-CN"/>
              </w:rPr>
              <w:t>颁发</w:t>
            </w:r>
            <w:r>
              <w:rPr>
                <w:rStyle w:val="331"/>
                <w:rFonts w:hint="eastAsia" w:ascii="仿宋" w:hAnsi="仿宋" w:eastAsia="仿宋" w:cs="仿宋"/>
                <w:color w:val="auto"/>
                <w:sz w:val="24"/>
                <w:szCs w:val="24"/>
                <w:highlight w:val="none"/>
                <w:lang w:val="en-US" w:eastAsia="zh-CN"/>
              </w:rPr>
              <w:t>的公路工程造价人员甲级资格证书或人社部和交通运输部联合颁发的一级造价工程师（交通运输工程专业）职业资格证书</w:t>
            </w:r>
            <w:r>
              <w:rPr>
                <w:rStyle w:val="331"/>
                <w:rFonts w:hint="default" w:ascii="仿宋" w:hAnsi="仿宋" w:eastAsia="仿宋" w:cs="仿宋"/>
                <w:color w:val="auto"/>
                <w:sz w:val="24"/>
                <w:szCs w:val="24"/>
                <w:highlight w:val="none"/>
                <w:lang w:val="en-US" w:eastAsia="zh-CN"/>
              </w:rPr>
              <w:t xml:space="preserve">的得 2分，具有高级工程师及以上职称的得 </w:t>
            </w:r>
            <w:r>
              <w:rPr>
                <w:rStyle w:val="331"/>
                <w:rFonts w:hint="eastAsia" w:ascii="仿宋" w:hAnsi="仿宋" w:eastAsia="仿宋" w:cs="仿宋"/>
                <w:color w:val="auto"/>
                <w:sz w:val="24"/>
                <w:szCs w:val="24"/>
                <w:highlight w:val="none"/>
                <w:lang w:val="en-US" w:eastAsia="zh-CN"/>
              </w:rPr>
              <w:t>2</w:t>
            </w:r>
            <w:r>
              <w:rPr>
                <w:rStyle w:val="331"/>
                <w:rFonts w:hint="default" w:ascii="仿宋" w:hAnsi="仿宋" w:eastAsia="仿宋" w:cs="仿宋"/>
                <w:color w:val="auto"/>
                <w:sz w:val="24"/>
                <w:szCs w:val="24"/>
                <w:highlight w:val="none"/>
                <w:lang w:val="en-US" w:eastAsia="zh-CN"/>
              </w:rPr>
              <w:t>分</w:t>
            </w:r>
            <w:r>
              <w:rPr>
                <w:rStyle w:val="331"/>
                <w:rFonts w:hint="eastAsia" w:ascii="仿宋" w:hAnsi="仿宋" w:eastAsia="仿宋" w:cs="仿宋"/>
                <w:color w:val="auto"/>
                <w:sz w:val="24"/>
                <w:szCs w:val="24"/>
                <w:highlight w:val="none"/>
                <w:lang w:val="en-US" w:eastAsia="zh-CN"/>
              </w:rPr>
              <w:t>，本项</w:t>
            </w:r>
            <w:r>
              <w:rPr>
                <w:rStyle w:val="331"/>
                <w:rFonts w:hint="default" w:ascii="仿宋" w:hAnsi="仿宋" w:eastAsia="仿宋" w:cs="仿宋"/>
                <w:color w:val="auto"/>
                <w:sz w:val="24"/>
                <w:szCs w:val="24"/>
                <w:highlight w:val="none"/>
                <w:lang w:val="en-US" w:eastAsia="zh-CN"/>
              </w:rPr>
              <w:t>最多得 4分。</w:t>
            </w:r>
          </w:p>
          <w:p w14:paraId="605DF3C6">
            <w:pPr>
              <w:pStyle w:val="62"/>
              <w:keepNext w:val="0"/>
              <w:keepLines w:val="0"/>
              <w:pageBreakBefore w:val="0"/>
              <w:numPr>
                <w:ilvl w:val="0"/>
                <w:numId w:val="0"/>
              </w:numPr>
              <w:kinsoku/>
              <w:wordWrap/>
              <w:overflowPunct/>
              <w:topLinePunct w:val="0"/>
              <w:autoSpaceDE/>
              <w:autoSpaceDN/>
              <w:bidi w:val="0"/>
              <w:snapToGrid/>
              <w:spacing w:line="440" w:lineRule="exact"/>
              <w:ind w:left="0" w:leftChars="0" w:firstLine="0" w:firstLineChars="0"/>
              <w:rPr>
                <w:rStyle w:val="331"/>
                <w:rFonts w:hint="default" w:ascii="仿宋" w:hAnsi="仿宋" w:eastAsia="仿宋" w:cs="仿宋"/>
                <w:color w:val="auto"/>
                <w:sz w:val="24"/>
                <w:szCs w:val="24"/>
                <w:highlight w:val="none"/>
                <w:lang w:val="en-US" w:eastAsia="zh-CN"/>
              </w:rPr>
            </w:pPr>
            <w:r>
              <w:rPr>
                <w:rStyle w:val="331"/>
                <w:rFonts w:hint="eastAsia" w:ascii="仿宋" w:hAnsi="仿宋" w:eastAsia="仿宋" w:cs="仿宋"/>
                <w:color w:val="auto"/>
                <w:sz w:val="24"/>
                <w:szCs w:val="24"/>
                <w:highlight w:val="none"/>
                <w:lang w:val="en-US" w:eastAsia="zh-CN"/>
              </w:rPr>
              <w:t>2、</w:t>
            </w:r>
            <w:r>
              <w:rPr>
                <w:rStyle w:val="331"/>
                <w:rFonts w:hint="default" w:ascii="仿宋" w:hAnsi="仿宋" w:eastAsia="仿宋" w:cs="仿宋"/>
                <w:color w:val="auto"/>
                <w:sz w:val="24"/>
                <w:szCs w:val="24"/>
                <w:highlight w:val="none"/>
                <w:lang w:val="en-US" w:eastAsia="zh-CN"/>
              </w:rPr>
              <w:t>拟投入本项目</w:t>
            </w:r>
            <w:r>
              <w:rPr>
                <w:rStyle w:val="331"/>
                <w:rFonts w:hint="eastAsia" w:ascii="仿宋" w:hAnsi="仿宋" w:eastAsia="仿宋" w:cs="仿宋"/>
                <w:color w:val="auto"/>
                <w:sz w:val="24"/>
                <w:szCs w:val="24"/>
                <w:highlight w:val="none"/>
                <w:lang w:val="en-US" w:eastAsia="zh-CN"/>
              </w:rPr>
              <w:t>组成员（项目负责人除外）</w:t>
            </w:r>
            <w:r>
              <w:rPr>
                <w:rStyle w:val="331"/>
                <w:rFonts w:hint="default" w:ascii="仿宋" w:hAnsi="仿宋" w:eastAsia="仿宋" w:cs="仿宋"/>
                <w:color w:val="auto"/>
                <w:sz w:val="24"/>
                <w:szCs w:val="24"/>
                <w:highlight w:val="none"/>
                <w:lang w:val="en-US" w:eastAsia="zh-CN"/>
              </w:rPr>
              <w:t>具有</w:t>
            </w:r>
            <w:r>
              <w:rPr>
                <w:rStyle w:val="331"/>
                <w:rFonts w:hint="eastAsia" w:ascii="仿宋" w:hAnsi="仿宋" w:eastAsia="仿宋" w:cs="仿宋"/>
                <w:color w:val="auto"/>
                <w:sz w:val="24"/>
                <w:szCs w:val="24"/>
                <w:highlight w:val="none"/>
                <w:lang w:val="en-US" w:eastAsia="zh-CN"/>
              </w:rPr>
              <w:t>交通运输部</w:t>
            </w:r>
            <w:r>
              <w:rPr>
                <w:rStyle w:val="331"/>
                <w:rFonts w:hint="default" w:ascii="仿宋" w:hAnsi="仿宋" w:eastAsia="仿宋" w:cs="仿宋"/>
                <w:color w:val="auto"/>
                <w:sz w:val="24"/>
                <w:szCs w:val="24"/>
                <w:highlight w:val="none"/>
                <w:lang w:val="en-US" w:eastAsia="zh-CN"/>
              </w:rPr>
              <w:t>颁发</w:t>
            </w:r>
            <w:r>
              <w:rPr>
                <w:rStyle w:val="331"/>
                <w:rFonts w:hint="eastAsia" w:ascii="仿宋" w:hAnsi="仿宋" w:eastAsia="仿宋" w:cs="仿宋"/>
                <w:color w:val="auto"/>
                <w:sz w:val="24"/>
                <w:szCs w:val="24"/>
                <w:highlight w:val="none"/>
                <w:lang w:val="en-US" w:eastAsia="zh-CN"/>
              </w:rPr>
              <w:t>的公路工程造价人员甲级资格证书或人社部和交通运输部联合颁发的一级造价工程师（交通运输工程专业）职业资格证书</w:t>
            </w:r>
            <w:r>
              <w:rPr>
                <w:rStyle w:val="331"/>
                <w:rFonts w:hint="default" w:ascii="仿宋" w:hAnsi="仿宋" w:eastAsia="仿宋" w:cs="仿宋"/>
                <w:color w:val="auto"/>
                <w:sz w:val="24"/>
                <w:szCs w:val="24"/>
                <w:highlight w:val="none"/>
                <w:lang w:val="en-US" w:eastAsia="zh-CN"/>
              </w:rPr>
              <w:t xml:space="preserve">的得 </w:t>
            </w:r>
            <w:r>
              <w:rPr>
                <w:rStyle w:val="331"/>
                <w:rFonts w:hint="eastAsia" w:ascii="仿宋" w:hAnsi="仿宋" w:eastAsia="仿宋" w:cs="仿宋"/>
                <w:color w:val="auto"/>
                <w:sz w:val="24"/>
                <w:szCs w:val="24"/>
                <w:highlight w:val="none"/>
                <w:lang w:val="en-US" w:eastAsia="zh-CN"/>
              </w:rPr>
              <w:t>1</w:t>
            </w:r>
            <w:r>
              <w:rPr>
                <w:rStyle w:val="331"/>
                <w:rFonts w:hint="default" w:ascii="仿宋" w:hAnsi="仿宋" w:eastAsia="仿宋" w:cs="仿宋"/>
                <w:color w:val="auto"/>
                <w:sz w:val="24"/>
                <w:szCs w:val="24"/>
                <w:highlight w:val="none"/>
                <w:lang w:val="en-US" w:eastAsia="zh-CN"/>
              </w:rPr>
              <w:t>分</w:t>
            </w:r>
            <w:r>
              <w:rPr>
                <w:rStyle w:val="331"/>
                <w:rFonts w:hint="eastAsia" w:ascii="仿宋" w:hAnsi="仿宋" w:eastAsia="仿宋" w:cs="仿宋"/>
                <w:color w:val="auto"/>
                <w:sz w:val="24"/>
                <w:szCs w:val="24"/>
                <w:highlight w:val="none"/>
                <w:lang w:val="en-US" w:eastAsia="zh-CN"/>
              </w:rPr>
              <w:t>，</w:t>
            </w:r>
            <w:r>
              <w:rPr>
                <w:rStyle w:val="331"/>
                <w:rFonts w:hint="default" w:ascii="仿宋" w:hAnsi="仿宋" w:eastAsia="仿宋" w:cs="仿宋"/>
                <w:color w:val="auto"/>
                <w:sz w:val="24"/>
                <w:szCs w:val="24"/>
                <w:highlight w:val="none"/>
                <w:lang w:val="en-US" w:eastAsia="zh-CN"/>
              </w:rPr>
              <w:t>最多得</w:t>
            </w:r>
            <w:r>
              <w:rPr>
                <w:rStyle w:val="331"/>
                <w:rFonts w:hint="eastAsia" w:ascii="仿宋" w:hAnsi="仿宋" w:eastAsia="仿宋" w:cs="仿宋"/>
                <w:color w:val="auto"/>
                <w:sz w:val="24"/>
                <w:szCs w:val="24"/>
                <w:highlight w:val="none"/>
                <w:lang w:val="en-US" w:eastAsia="zh-CN"/>
              </w:rPr>
              <w:t>2</w:t>
            </w:r>
            <w:r>
              <w:rPr>
                <w:rStyle w:val="331"/>
                <w:rFonts w:hint="default" w:ascii="仿宋" w:hAnsi="仿宋" w:eastAsia="仿宋" w:cs="仿宋"/>
                <w:color w:val="auto"/>
                <w:sz w:val="24"/>
                <w:szCs w:val="24"/>
                <w:highlight w:val="none"/>
                <w:lang w:val="en-US" w:eastAsia="zh-CN"/>
              </w:rPr>
              <w:t>分</w:t>
            </w:r>
            <w:r>
              <w:rPr>
                <w:rStyle w:val="331"/>
                <w:rFonts w:hint="eastAsia" w:ascii="仿宋" w:hAnsi="仿宋" w:eastAsia="仿宋" w:cs="仿宋"/>
                <w:color w:val="auto"/>
                <w:sz w:val="24"/>
                <w:szCs w:val="24"/>
                <w:highlight w:val="none"/>
                <w:lang w:val="en-US" w:eastAsia="zh-CN"/>
              </w:rPr>
              <w:t>；</w:t>
            </w:r>
            <w:r>
              <w:rPr>
                <w:rStyle w:val="331"/>
                <w:rFonts w:hint="default" w:ascii="仿宋" w:hAnsi="仿宋" w:eastAsia="仿宋" w:cs="仿宋"/>
                <w:color w:val="auto"/>
                <w:sz w:val="24"/>
                <w:szCs w:val="24"/>
                <w:highlight w:val="none"/>
                <w:lang w:val="en-US" w:eastAsia="zh-CN"/>
              </w:rPr>
              <w:t>拟投入本项目</w:t>
            </w:r>
            <w:r>
              <w:rPr>
                <w:rStyle w:val="331"/>
                <w:rFonts w:hint="eastAsia" w:ascii="仿宋" w:hAnsi="仿宋" w:eastAsia="仿宋" w:cs="仿宋"/>
                <w:color w:val="auto"/>
                <w:sz w:val="24"/>
                <w:szCs w:val="24"/>
                <w:highlight w:val="none"/>
                <w:lang w:val="en-US" w:eastAsia="zh-CN"/>
              </w:rPr>
              <w:t>组成员（项目负责人除外）具有高级工程师及以上职称的得 1分，最多得 2分。本项最多得4分。</w:t>
            </w:r>
          </w:p>
          <w:p w14:paraId="7A8B96A6">
            <w:pPr>
              <w:pStyle w:val="62"/>
              <w:keepNext w:val="0"/>
              <w:keepLines w:val="0"/>
              <w:pageBreakBefore w:val="0"/>
              <w:numPr>
                <w:ilvl w:val="0"/>
                <w:numId w:val="0"/>
              </w:numPr>
              <w:kinsoku/>
              <w:wordWrap/>
              <w:overflowPunct/>
              <w:topLinePunct w:val="0"/>
              <w:autoSpaceDE/>
              <w:autoSpaceDN/>
              <w:bidi w:val="0"/>
              <w:snapToGrid/>
              <w:spacing w:line="440" w:lineRule="exact"/>
              <w:ind w:left="0" w:leftChars="0" w:firstLine="0" w:firstLineChars="0"/>
              <w:rPr>
                <w:rFonts w:hint="default"/>
                <w:color w:val="auto"/>
                <w:highlight w:val="none"/>
                <w:lang w:val="en-US" w:eastAsia="zh-CN"/>
              </w:rPr>
            </w:pPr>
            <w:r>
              <w:rPr>
                <w:rStyle w:val="331"/>
                <w:rFonts w:hint="default" w:ascii="仿宋" w:hAnsi="仿宋" w:eastAsia="仿宋" w:cs="仿宋"/>
                <w:color w:val="auto"/>
                <w:sz w:val="24"/>
                <w:szCs w:val="24"/>
                <w:highlight w:val="none"/>
                <w:lang w:val="en-US" w:eastAsia="zh-CN"/>
              </w:rPr>
              <w:t>注：（</w:t>
            </w:r>
            <w:r>
              <w:rPr>
                <w:rStyle w:val="331"/>
                <w:rFonts w:hint="eastAsia" w:ascii="仿宋" w:hAnsi="仿宋" w:eastAsia="仿宋" w:cs="仿宋"/>
                <w:color w:val="auto"/>
                <w:sz w:val="24"/>
                <w:szCs w:val="24"/>
                <w:highlight w:val="none"/>
                <w:lang w:val="en-US" w:eastAsia="zh-CN"/>
              </w:rPr>
              <w:t>若项目组成员（项目负责人除外）同时具备交通运输部</w:t>
            </w:r>
            <w:r>
              <w:rPr>
                <w:rStyle w:val="331"/>
                <w:rFonts w:hint="default" w:ascii="仿宋" w:hAnsi="仿宋" w:eastAsia="仿宋" w:cs="仿宋"/>
                <w:color w:val="auto"/>
                <w:sz w:val="24"/>
                <w:szCs w:val="24"/>
                <w:highlight w:val="none"/>
                <w:lang w:val="en-US" w:eastAsia="zh-CN"/>
              </w:rPr>
              <w:t>颁发</w:t>
            </w:r>
            <w:r>
              <w:rPr>
                <w:rStyle w:val="331"/>
                <w:rFonts w:hint="eastAsia" w:ascii="仿宋" w:hAnsi="仿宋" w:eastAsia="仿宋" w:cs="仿宋"/>
                <w:color w:val="auto"/>
                <w:sz w:val="24"/>
                <w:szCs w:val="24"/>
                <w:highlight w:val="none"/>
                <w:lang w:val="en-US" w:eastAsia="zh-CN"/>
              </w:rPr>
              <w:t>的公路工程造价人员甲级资格证书或人社部和交通运输部联合颁发的一级造价工程师（交通运输工程专业）职业资格证书及高级工程师及以上职称证书的，只得1分，且人员</w:t>
            </w:r>
            <w:r>
              <w:rPr>
                <w:rStyle w:val="331"/>
                <w:rFonts w:hint="default" w:ascii="仿宋" w:hAnsi="仿宋" w:eastAsia="仿宋" w:cs="仿宋"/>
                <w:color w:val="auto"/>
                <w:sz w:val="24"/>
                <w:szCs w:val="24"/>
                <w:highlight w:val="none"/>
                <w:lang w:val="en-US" w:eastAsia="zh-CN"/>
              </w:rPr>
              <w:t>须提供</w:t>
            </w:r>
            <w:r>
              <w:rPr>
                <w:rStyle w:val="331"/>
                <w:rFonts w:hint="eastAsia" w:ascii="仿宋" w:hAnsi="仿宋" w:eastAsia="仿宋" w:cs="仿宋"/>
                <w:color w:val="auto"/>
                <w:sz w:val="24"/>
                <w:szCs w:val="24"/>
                <w:highlight w:val="none"/>
                <w:lang w:val="en-US" w:eastAsia="zh-CN"/>
              </w:rPr>
              <w:t>相关</w:t>
            </w:r>
            <w:r>
              <w:rPr>
                <w:rStyle w:val="331"/>
                <w:rFonts w:hint="default" w:ascii="仿宋" w:hAnsi="仿宋" w:eastAsia="仿宋" w:cs="仿宋"/>
                <w:color w:val="auto"/>
                <w:sz w:val="24"/>
                <w:szCs w:val="24"/>
                <w:highlight w:val="none"/>
                <w:lang w:val="en-US" w:eastAsia="zh-CN"/>
              </w:rPr>
              <w:t>证书</w:t>
            </w:r>
            <w:r>
              <w:rPr>
                <w:rStyle w:val="331"/>
                <w:rFonts w:hint="eastAsia" w:ascii="仿宋" w:hAnsi="仿宋" w:eastAsia="仿宋" w:cs="仿宋"/>
                <w:color w:val="auto"/>
                <w:sz w:val="24"/>
                <w:szCs w:val="24"/>
                <w:highlight w:val="none"/>
                <w:lang w:val="en-US" w:eastAsia="zh-CN"/>
              </w:rPr>
              <w:t>复印件加盖公章及由响应人</w:t>
            </w:r>
            <w:r>
              <w:rPr>
                <w:rFonts w:hint="eastAsia" w:ascii="仿宋" w:hAnsi="仿宋" w:eastAsia="仿宋" w:cs="仿宋"/>
                <w:color w:val="auto"/>
                <w:sz w:val="24"/>
                <w:highlight w:val="none"/>
                <w:lang w:val="en-US" w:eastAsia="zh-CN"/>
              </w:rPr>
              <w:t>在</w:t>
            </w:r>
            <w:r>
              <w:rPr>
                <w:rFonts w:hint="eastAsia" w:ascii="仿宋" w:hAnsi="仿宋" w:eastAsia="仿宋" w:cs="仿宋"/>
                <w:color w:val="auto"/>
                <w:sz w:val="24"/>
                <w:highlight w:val="none"/>
              </w:rPr>
              <w:t>投标截止时间前</w:t>
            </w:r>
            <w:r>
              <w:rPr>
                <w:rFonts w:hint="eastAsia" w:ascii="仿宋" w:hAnsi="仿宋" w:eastAsia="仿宋" w:cs="仿宋"/>
                <w:color w:val="auto"/>
                <w:sz w:val="24"/>
                <w:highlight w:val="none"/>
                <w:lang w:val="en-US" w:eastAsia="zh-CN"/>
              </w:rPr>
              <w:t>缴纳的</w:t>
            </w:r>
            <w:r>
              <w:rPr>
                <w:rFonts w:hint="eastAsia" w:ascii="仿宋" w:hAnsi="仿宋" w:eastAsia="仿宋" w:cs="仿宋"/>
                <w:color w:val="auto"/>
                <w:sz w:val="24"/>
                <w:highlight w:val="none"/>
              </w:rPr>
              <w:t>三个月</w:t>
            </w:r>
            <w:r>
              <w:rPr>
                <w:rStyle w:val="331"/>
                <w:rFonts w:hint="default" w:ascii="仿宋" w:hAnsi="仿宋" w:eastAsia="仿宋" w:cs="仿宋"/>
                <w:color w:val="auto"/>
                <w:sz w:val="24"/>
                <w:szCs w:val="24"/>
                <w:highlight w:val="none"/>
                <w:lang w:val="en-US" w:eastAsia="zh-CN"/>
              </w:rPr>
              <w:t>社保证明复印件加盖公章，否则不得分）</w:t>
            </w:r>
          </w:p>
        </w:tc>
        <w:tc>
          <w:tcPr>
            <w:tcW w:w="1111" w:type="dxa"/>
            <w:tcBorders>
              <w:top w:val="single" w:color="auto" w:sz="4" w:space="0"/>
              <w:left w:val="nil"/>
              <w:bottom w:val="single" w:color="auto" w:sz="4" w:space="0"/>
              <w:right w:val="single" w:color="auto" w:sz="4" w:space="0"/>
            </w:tcBorders>
            <w:shd w:val="clear" w:color="auto" w:fill="auto"/>
            <w:vAlign w:val="center"/>
          </w:tcPr>
          <w:p w14:paraId="189CFBB0">
            <w:pPr>
              <w:keepNext w:val="0"/>
              <w:keepLines w:val="0"/>
              <w:pageBreakBefore w:val="0"/>
              <w:widowControl/>
              <w:kinsoku/>
              <w:wordWrap/>
              <w:overflowPunct/>
              <w:topLinePunct w:val="0"/>
              <w:autoSpaceDE/>
              <w:autoSpaceDN/>
              <w:bidi w:val="0"/>
              <w:snapToGrid/>
              <w:spacing w:line="44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w:t>
            </w:r>
          </w:p>
        </w:tc>
        <w:tc>
          <w:tcPr>
            <w:tcW w:w="1230" w:type="dxa"/>
            <w:tcBorders>
              <w:top w:val="single" w:color="auto" w:sz="4" w:space="0"/>
              <w:left w:val="nil"/>
              <w:bottom w:val="single" w:color="auto" w:sz="4" w:space="0"/>
            </w:tcBorders>
            <w:shd w:val="clear" w:color="auto" w:fill="auto"/>
            <w:vAlign w:val="center"/>
          </w:tcPr>
          <w:p w14:paraId="0BDE8345">
            <w:pPr>
              <w:keepNext w:val="0"/>
              <w:keepLines w:val="0"/>
              <w:pageBreakBefore w:val="0"/>
              <w:widowControl/>
              <w:kinsoku/>
              <w:wordWrap/>
              <w:overflowPunct/>
              <w:topLinePunct w:val="0"/>
              <w:autoSpaceDE/>
              <w:autoSpaceDN/>
              <w:bidi w:val="0"/>
              <w:snapToGrid/>
              <w:spacing w:line="440" w:lineRule="exact"/>
              <w:jc w:val="center"/>
              <w:rPr>
                <w:rFonts w:hint="default" w:ascii="仿宋" w:hAnsi="仿宋" w:eastAsia="仿宋" w:cs="仿宋"/>
                <w:color w:val="auto"/>
                <w:sz w:val="24"/>
                <w:highlight w:val="none"/>
                <w:lang w:val="en-US"/>
              </w:rPr>
            </w:pPr>
            <w:r>
              <w:rPr>
                <w:rFonts w:hint="eastAsia" w:ascii="仿宋" w:hAnsi="仿宋" w:eastAsia="仿宋" w:cs="仿宋"/>
                <w:color w:val="auto"/>
                <w:sz w:val="24"/>
                <w:highlight w:val="none"/>
              </w:rPr>
              <w:t>客观分</w:t>
            </w:r>
          </w:p>
        </w:tc>
      </w:tr>
    </w:tbl>
    <w:tbl>
      <w:tblPr>
        <w:tblStyle w:val="64"/>
        <w:tblW w:w="9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829"/>
        <w:gridCol w:w="5622"/>
        <w:gridCol w:w="1134"/>
        <w:gridCol w:w="1194"/>
      </w:tblGrid>
      <w:tr w14:paraId="67557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36" w:type="dxa"/>
            <w:vMerge w:val="restart"/>
            <w:vAlign w:val="center"/>
          </w:tcPr>
          <w:p w14:paraId="13C4CB30">
            <w:pPr>
              <w:pageBreakBefore w:val="0"/>
              <w:widowControl/>
              <w:kinsoku/>
              <w:wordWrap/>
              <w:overflowPunct/>
              <w:topLinePunct w:val="0"/>
              <w:autoSpaceDE/>
              <w:autoSpaceDN/>
              <w:bidi w:val="0"/>
              <w:spacing w:line="440" w:lineRule="exact"/>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技术</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val="en-US" w:eastAsia="zh-CN"/>
              </w:rPr>
              <w:t xml:space="preserve"> 56</w:t>
            </w:r>
            <w:r>
              <w:rPr>
                <w:rFonts w:hint="eastAsia" w:ascii="仿宋" w:hAnsi="仿宋" w:eastAsia="仿宋" w:cs="仿宋"/>
                <w:color w:val="auto"/>
                <w:sz w:val="24"/>
                <w:highlight w:val="none"/>
              </w:rPr>
              <w:t>分)</w:t>
            </w:r>
          </w:p>
        </w:tc>
        <w:tc>
          <w:tcPr>
            <w:tcW w:w="829" w:type="dxa"/>
            <w:shd w:val="clear" w:color="auto" w:fill="auto"/>
            <w:vAlign w:val="center"/>
          </w:tcPr>
          <w:p w14:paraId="7BB5E05A">
            <w:pPr>
              <w:pageBreakBefore w:val="0"/>
              <w:widowControl/>
              <w:kinsoku/>
              <w:wordWrap/>
              <w:overflowPunct/>
              <w:topLinePunct w:val="0"/>
              <w:autoSpaceDE/>
              <w:autoSpaceDN/>
              <w:bidi w:val="0"/>
              <w:spacing w:line="44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5622" w:type="dxa"/>
            <w:shd w:val="clear" w:color="auto" w:fill="auto"/>
            <w:vAlign w:val="center"/>
          </w:tcPr>
          <w:p w14:paraId="53F778E4">
            <w:pPr>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实施方案可行性、针对性，对相关协调管理职能是否明确</w:t>
            </w:r>
            <w:r>
              <w:rPr>
                <w:rFonts w:hint="eastAsia" w:ascii="仿宋" w:hAnsi="仿宋" w:eastAsia="仿宋" w:cs="仿宋"/>
                <w:color w:val="auto"/>
                <w:kern w:val="0"/>
                <w:sz w:val="24"/>
                <w:szCs w:val="24"/>
                <w:highlight w:val="none"/>
                <w:lang w:eastAsia="zh-CN"/>
              </w:rPr>
              <w:t>；</w:t>
            </w:r>
          </w:p>
          <w:p w14:paraId="259D8699">
            <w:pPr>
              <w:jc w:val="left"/>
              <w:rPr>
                <w:rFonts w:hint="default"/>
                <w:color w:val="auto"/>
                <w:highlight w:val="none"/>
                <w:lang w:val="en-US" w:eastAsia="zh-CN"/>
              </w:rPr>
            </w:pPr>
            <w:r>
              <w:rPr>
                <w:rFonts w:hint="eastAsia" w:ascii="仿宋" w:hAnsi="仿宋" w:eastAsia="仿宋" w:cs="仿宋"/>
                <w:color w:val="auto"/>
                <w:kern w:val="0"/>
                <w:sz w:val="24"/>
                <w:szCs w:val="24"/>
                <w:highlight w:val="none"/>
                <w:lang w:val="en-US" w:eastAsia="zh-CN"/>
              </w:rPr>
              <w:t>一般1-3分，较好3.1-6分，细致详尽、专业优势明显6.1-8分。</w:t>
            </w:r>
          </w:p>
        </w:tc>
        <w:tc>
          <w:tcPr>
            <w:tcW w:w="1134" w:type="dxa"/>
            <w:shd w:val="clear" w:color="auto" w:fill="auto"/>
            <w:vAlign w:val="center"/>
          </w:tcPr>
          <w:p w14:paraId="024C9E27">
            <w:pPr>
              <w:pageBreakBefore w:val="0"/>
              <w:widowControl/>
              <w:kinsoku/>
              <w:wordWrap/>
              <w:overflowPunct/>
              <w:topLinePunct w:val="0"/>
              <w:autoSpaceDE/>
              <w:autoSpaceDN/>
              <w:bidi w:val="0"/>
              <w:spacing w:line="44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w:t>
            </w:r>
          </w:p>
        </w:tc>
        <w:tc>
          <w:tcPr>
            <w:tcW w:w="1194" w:type="dxa"/>
            <w:shd w:val="clear" w:color="auto" w:fill="auto"/>
            <w:vAlign w:val="center"/>
          </w:tcPr>
          <w:p w14:paraId="5B736C3D">
            <w:pPr>
              <w:pageBreakBefore w:val="0"/>
              <w:widowControl/>
              <w:kinsoku/>
              <w:wordWrap/>
              <w:overflowPunct/>
              <w:topLinePunct w:val="0"/>
              <w:autoSpaceDE/>
              <w:autoSpaceDN/>
              <w:bidi w:val="0"/>
              <w:spacing w:line="44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主观分</w:t>
            </w:r>
          </w:p>
        </w:tc>
      </w:tr>
      <w:tr w14:paraId="50EBE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36" w:type="dxa"/>
            <w:vMerge w:val="continue"/>
            <w:vAlign w:val="center"/>
          </w:tcPr>
          <w:p w14:paraId="0CF65651">
            <w:pPr>
              <w:pageBreakBefore w:val="0"/>
              <w:widowControl/>
              <w:kinsoku/>
              <w:wordWrap/>
              <w:overflowPunct/>
              <w:topLinePunct w:val="0"/>
              <w:autoSpaceDE/>
              <w:autoSpaceDN/>
              <w:bidi w:val="0"/>
              <w:spacing w:line="440" w:lineRule="exact"/>
              <w:ind w:firstLine="480" w:firstLineChars="200"/>
              <w:jc w:val="left"/>
              <w:textAlignment w:val="auto"/>
              <w:rPr>
                <w:rFonts w:hint="eastAsia" w:ascii="仿宋" w:hAnsi="仿宋" w:eastAsia="仿宋" w:cs="仿宋"/>
                <w:color w:val="auto"/>
                <w:sz w:val="24"/>
                <w:highlight w:val="none"/>
              </w:rPr>
            </w:pPr>
          </w:p>
        </w:tc>
        <w:tc>
          <w:tcPr>
            <w:tcW w:w="829" w:type="dxa"/>
            <w:shd w:val="clear" w:color="auto" w:fill="auto"/>
            <w:vAlign w:val="center"/>
          </w:tcPr>
          <w:p w14:paraId="09A0C22D">
            <w:pPr>
              <w:pageBreakBefore w:val="0"/>
              <w:widowControl/>
              <w:kinsoku/>
              <w:wordWrap/>
              <w:overflowPunct/>
              <w:topLinePunct w:val="0"/>
              <w:autoSpaceDE/>
              <w:autoSpaceDN/>
              <w:bidi w:val="0"/>
              <w:spacing w:line="44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5622" w:type="dxa"/>
            <w:shd w:val="clear" w:color="auto" w:fill="auto"/>
            <w:vAlign w:val="center"/>
          </w:tcPr>
          <w:p w14:paraId="7E22B055">
            <w:pPr>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招标代理和造价咨询过程中可能遇到的问题分析及应对措施</w:t>
            </w:r>
            <w:r>
              <w:rPr>
                <w:rFonts w:hint="eastAsia" w:ascii="仿宋" w:hAnsi="仿宋" w:eastAsia="仿宋" w:cs="仿宋"/>
                <w:color w:val="auto"/>
                <w:kern w:val="0"/>
                <w:sz w:val="24"/>
                <w:szCs w:val="24"/>
                <w:highlight w:val="none"/>
                <w:lang w:eastAsia="zh-CN"/>
              </w:rPr>
              <w:t>；</w:t>
            </w:r>
          </w:p>
          <w:p w14:paraId="288713E4">
            <w:pPr>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一般1-3分，较好3.1-4分，细致详尽、专业优势明显4.1-6分</w:t>
            </w:r>
            <w:r>
              <w:rPr>
                <w:rFonts w:hint="eastAsia" w:ascii="仿宋" w:hAnsi="仿宋" w:eastAsia="仿宋" w:cs="仿宋"/>
                <w:color w:val="auto"/>
                <w:kern w:val="0"/>
                <w:sz w:val="24"/>
                <w:szCs w:val="24"/>
                <w:highlight w:val="none"/>
                <w:lang w:eastAsia="zh-CN"/>
              </w:rPr>
              <w:t>。</w:t>
            </w:r>
          </w:p>
        </w:tc>
        <w:tc>
          <w:tcPr>
            <w:tcW w:w="1134" w:type="dxa"/>
            <w:shd w:val="clear" w:color="auto" w:fill="auto"/>
            <w:vAlign w:val="center"/>
          </w:tcPr>
          <w:p w14:paraId="009D373D">
            <w:pPr>
              <w:pageBreakBefore w:val="0"/>
              <w:widowControl/>
              <w:kinsoku/>
              <w:wordWrap/>
              <w:overflowPunct/>
              <w:topLinePunct w:val="0"/>
              <w:autoSpaceDE/>
              <w:autoSpaceDN/>
              <w:bidi w:val="0"/>
              <w:spacing w:line="44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1194" w:type="dxa"/>
            <w:shd w:val="clear" w:color="auto" w:fill="auto"/>
            <w:vAlign w:val="center"/>
          </w:tcPr>
          <w:p w14:paraId="1AAD45F8">
            <w:pPr>
              <w:pageBreakBefore w:val="0"/>
              <w:widowControl/>
              <w:kinsoku/>
              <w:wordWrap/>
              <w:overflowPunct/>
              <w:topLinePunct w:val="0"/>
              <w:autoSpaceDE/>
              <w:autoSpaceDN/>
              <w:bidi w:val="0"/>
              <w:spacing w:line="44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主观分</w:t>
            </w:r>
          </w:p>
        </w:tc>
      </w:tr>
      <w:tr w14:paraId="7AEF4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36" w:type="dxa"/>
            <w:vMerge w:val="continue"/>
            <w:vAlign w:val="center"/>
          </w:tcPr>
          <w:p w14:paraId="0B81A0C4">
            <w:pPr>
              <w:pageBreakBefore w:val="0"/>
              <w:widowControl/>
              <w:kinsoku/>
              <w:wordWrap/>
              <w:overflowPunct/>
              <w:topLinePunct w:val="0"/>
              <w:autoSpaceDE/>
              <w:autoSpaceDN/>
              <w:bidi w:val="0"/>
              <w:spacing w:line="440" w:lineRule="exact"/>
              <w:ind w:firstLine="480" w:firstLineChars="200"/>
              <w:jc w:val="left"/>
              <w:textAlignment w:val="auto"/>
              <w:rPr>
                <w:rFonts w:hint="eastAsia" w:ascii="仿宋" w:hAnsi="仿宋" w:eastAsia="仿宋" w:cs="仿宋"/>
                <w:color w:val="auto"/>
                <w:sz w:val="24"/>
                <w:highlight w:val="none"/>
              </w:rPr>
            </w:pPr>
          </w:p>
        </w:tc>
        <w:tc>
          <w:tcPr>
            <w:tcW w:w="829" w:type="dxa"/>
            <w:shd w:val="clear" w:color="auto" w:fill="auto"/>
            <w:vAlign w:val="center"/>
          </w:tcPr>
          <w:p w14:paraId="6D2FBF12">
            <w:pPr>
              <w:pageBreakBefore w:val="0"/>
              <w:widowControl/>
              <w:kinsoku/>
              <w:wordWrap/>
              <w:overflowPunct/>
              <w:topLinePunct w:val="0"/>
              <w:autoSpaceDE/>
              <w:autoSpaceDN/>
              <w:bidi w:val="0"/>
              <w:spacing w:line="44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5622" w:type="dxa"/>
            <w:shd w:val="clear" w:color="auto" w:fill="auto"/>
            <w:vAlign w:val="center"/>
          </w:tcPr>
          <w:p w14:paraId="3BB66C4B">
            <w:pPr>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招标代理和造价咨询计划是否周密，工作思路是否清晰</w:t>
            </w:r>
            <w:r>
              <w:rPr>
                <w:rFonts w:hint="eastAsia" w:ascii="仿宋" w:hAnsi="仿宋" w:eastAsia="仿宋" w:cs="仿宋"/>
                <w:color w:val="auto"/>
                <w:kern w:val="0"/>
                <w:sz w:val="24"/>
                <w:szCs w:val="24"/>
                <w:highlight w:val="none"/>
                <w:lang w:eastAsia="zh-CN"/>
              </w:rPr>
              <w:t>；</w:t>
            </w:r>
          </w:p>
          <w:p w14:paraId="356E45B5">
            <w:pPr>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一般1-3分，较好3.1-4分，细致详尽、专业优势明显4.1-6分</w:t>
            </w:r>
            <w:r>
              <w:rPr>
                <w:rFonts w:hint="eastAsia" w:ascii="仿宋" w:hAnsi="仿宋" w:eastAsia="仿宋" w:cs="仿宋"/>
                <w:color w:val="auto"/>
                <w:kern w:val="0"/>
                <w:sz w:val="24"/>
                <w:szCs w:val="24"/>
                <w:highlight w:val="none"/>
                <w:lang w:eastAsia="zh-CN"/>
              </w:rPr>
              <w:t>。</w:t>
            </w:r>
          </w:p>
        </w:tc>
        <w:tc>
          <w:tcPr>
            <w:tcW w:w="1134" w:type="dxa"/>
            <w:shd w:val="clear" w:color="auto" w:fill="auto"/>
            <w:vAlign w:val="center"/>
          </w:tcPr>
          <w:p w14:paraId="38953B04">
            <w:pPr>
              <w:pageBreakBefore w:val="0"/>
              <w:widowControl/>
              <w:kinsoku/>
              <w:wordWrap/>
              <w:overflowPunct/>
              <w:topLinePunct w:val="0"/>
              <w:autoSpaceDE/>
              <w:autoSpaceDN/>
              <w:bidi w:val="0"/>
              <w:spacing w:line="44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1194" w:type="dxa"/>
            <w:shd w:val="clear" w:color="auto" w:fill="auto"/>
            <w:vAlign w:val="center"/>
          </w:tcPr>
          <w:p w14:paraId="0D0A777F">
            <w:pPr>
              <w:pageBreakBefore w:val="0"/>
              <w:widowControl/>
              <w:kinsoku/>
              <w:wordWrap/>
              <w:overflowPunct/>
              <w:topLinePunct w:val="0"/>
              <w:autoSpaceDE/>
              <w:autoSpaceDN/>
              <w:bidi w:val="0"/>
              <w:spacing w:line="4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r>
      <w:tr w14:paraId="74B17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36" w:type="dxa"/>
            <w:vMerge w:val="continue"/>
            <w:vAlign w:val="center"/>
          </w:tcPr>
          <w:p w14:paraId="7BCF12FB">
            <w:pPr>
              <w:pageBreakBefore w:val="0"/>
              <w:widowControl/>
              <w:kinsoku/>
              <w:wordWrap/>
              <w:overflowPunct/>
              <w:topLinePunct w:val="0"/>
              <w:autoSpaceDE/>
              <w:autoSpaceDN/>
              <w:bidi w:val="0"/>
              <w:spacing w:line="440" w:lineRule="exact"/>
              <w:ind w:firstLine="480" w:firstLineChars="200"/>
              <w:jc w:val="left"/>
              <w:textAlignment w:val="auto"/>
              <w:rPr>
                <w:rFonts w:hint="eastAsia" w:ascii="仿宋" w:hAnsi="仿宋" w:eastAsia="仿宋" w:cs="仿宋"/>
                <w:color w:val="auto"/>
                <w:sz w:val="24"/>
                <w:highlight w:val="none"/>
              </w:rPr>
            </w:pPr>
          </w:p>
        </w:tc>
        <w:tc>
          <w:tcPr>
            <w:tcW w:w="829" w:type="dxa"/>
            <w:shd w:val="clear" w:color="auto" w:fill="auto"/>
            <w:vAlign w:val="center"/>
          </w:tcPr>
          <w:p w14:paraId="61942DFB">
            <w:pPr>
              <w:pageBreakBefore w:val="0"/>
              <w:widowControl/>
              <w:kinsoku/>
              <w:wordWrap/>
              <w:overflowPunct/>
              <w:topLinePunct w:val="0"/>
              <w:autoSpaceDE/>
              <w:autoSpaceDN/>
              <w:bidi w:val="0"/>
              <w:spacing w:line="44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w:t>
            </w:r>
          </w:p>
        </w:tc>
        <w:tc>
          <w:tcPr>
            <w:tcW w:w="5622" w:type="dxa"/>
            <w:shd w:val="clear" w:color="auto" w:fill="auto"/>
            <w:vAlign w:val="center"/>
          </w:tcPr>
          <w:p w14:paraId="5D03BD8A">
            <w:pPr>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服务配合方案是否明确、完善</w:t>
            </w:r>
            <w:r>
              <w:rPr>
                <w:rFonts w:hint="eastAsia" w:ascii="仿宋" w:hAnsi="仿宋" w:eastAsia="仿宋" w:cs="仿宋"/>
                <w:color w:val="auto"/>
                <w:kern w:val="0"/>
                <w:sz w:val="24"/>
                <w:szCs w:val="24"/>
                <w:highlight w:val="none"/>
                <w:lang w:eastAsia="zh-CN"/>
              </w:rPr>
              <w:t>；</w:t>
            </w:r>
          </w:p>
          <w:p w14:paraId="151453D6">
            <w:pPr>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一般1-3分，较好3.1-4分，细致详尽、专业优势明显4.1-6分</w:t>
            </w:r>
            <w:r>
              <w:rPr>
                <w:rFonts w:hint="eastAsia" w:ascii="仿宋" w:hAnsi="仿宋" w:eastAsia="仿宋" w:cs="仿宋"/>
                <w:color w:val="auto"/>
                <w:kern w:val="0"/>
                <w:sz w:val="24"/>
                <w:szCs w:val="24"/>
                <w:highlight w:val="none"/>
                <w:lang w:eastAsia="zh-CN"/>
              </w:rPr>
              <w:t>。</w:t>
            </w:r>
          </w:p>
        </w:tc>
        <w:tc>
          <w:tcPr>
            <w:tcW w:w="1134" w:type="dxa"/>
            <w:shd w:val="clear" w:color="auto" w:fill="auto"/>
            <w:vAlign w:val="center"/>
          </w:tcPr>
          <w:p w14:paraId="30E442D0">
            <w:pPr>
              <w:pageBreakBefore w:val="0"/>
              <w:widowControl/>
              <w:kinsoku/>
              <w:wordWrap/>
              <w:overflowPunct/>
              <w:topLinePunct w:val="0"/>
              <w:autoSpaceDE/>
              <w:autoSpaceDN/>
              <w:bidi w:val="0"/>
              <w:spacing w:line="44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1194" w:type="dxa"/>
            <w:shd w:val="clear" w:color="auto" w:fill="auto"/>
            <w:vAlign w:val="center"/>
          </w:tcPr>
          <w:p w14:paraId="4A271BE1">
            <w:pPr>
              <w:pageBreakBefore w:val="0"/>
              <w:widowControl/>
              <w:kinsoku/>
              <w:wordWrap/>
              <w:overflowPunct/>
              <w:topLinePunct w:val="0"/>
              <w:autoSpaceDE/>
              <w:autoSpaceDN/>
              <w:bidi w:val="0"/>
              <w:spacing w:line="4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r>
      <w:tr w14:paraId="18863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36" w:type="dxa"/>
            <w:vMerge w:val="continue"/>
            <w:vAlign w:val="center"/>
          </w:tcPr>
          <w:p w14:paraId="7D46F538">
            <w:pPr>
              <w:pageBreakBefore w:val="0"/>
              <w:widowControl/>
              <w:kinsoku/>
              <w:wordWrap/>
              <w:overflowPunct/>
              <w:topLinePunct w:val="0"/>
              <w:autoSpaceDE/>
              <w:autoSpaceDN/>
              <w:bidi w:val="0"/>
              <w:spacing w:line="440" w:lineRule="exact"/>
              <w:ind w:firstLine="480" w:firstLineChars="200"/>
              <w:jc w:val="left"/>
              <w:textAlignment w:val="auto"/>
              <w:rPr>
                <w:rFonts w:hint="eastAsia" w:ascii="仿宋" w:hAnsi="仿宋" w:eastAsia="仿宋" w:cs="仿宋"/>
                <w:color w:val="auto"/>
                <w:sz w:val="24"/>
                <w:highlight w:val="none"/>
              </w:rPr>
            </w:pPr>
          </w:p>
        </w:tc>
        <w:tc>
          <w:tcPr>
            <w:tcW w:w="829" w:type="dxa"/>
            <w:shd w:val="clear" w:color="auto" w:fill="auto"/>
            <w:vAlign w:val="center"/>
          </w:tcPr>
          <w:p w14:paraId="75AB4AEC">
            <w:pPr>
              <w:pageBreakBefore w:val="0"/>
              <w:widowControl/>
              <w:kinsoku/>
              <w:wordWrap/>
              <w:overflowPunct/>
              <w:topLinePunct w:val="0"/>
              <w:autoSpaceDE/>
              <w:autoSpaceDN/>
              <w:bidi w:val="0"/>
              <w:spacing w:line="44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w:t>
            </w:r>
          </w:p>
        </w:tc>
        <w:tc>
          <w:tcPr>
            <w:tcW w:w="5622" w:type="dxa"/>
            <w:shd w:val="clear" w:color="auto" w:fill="auto"/>
            <w:vAlign w:val="center"/>
          </w:tcPr>
          <w:p w14:paraId="7112D9AA">
            <w:pPr>
              <w:jc w:val="left"/>
              <w:rPr>
                <w:rFonts w:hint="eastAsia" w:ascii="仿宋" w:hAnsi="仿宋" w:eastAsia="仿宋" w:cs="仿宋"/>
                <w:color w:val="auto"/>
                <w:sz w:val="24"/>
                <w:highlight w:val="none"/>
                <w:lang w:eastAsia="zh-CN"/>
              </w:rPr>
            </w:pPr>
            <w:r>
              <w:rPr>
                <w:rFonts w:hint="eastAsia" w:ascii="仿宋" w:hAnsi="仿宋" w:eastAsia="仿宋" w:cs="仿宋"/>
                <w:color w:val="auto"/>
                <w:kern w:val="0"/>
                <w:sz w:val="24"/>
                <w:szCs w:val="24"/>
                <w:highlight w:val="none"/>
              </w:rPr>
              <w:t>招标文件编制、造价编制、审核、复核措施是否完善</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一般1-3分，较好3.1-4分，细致详尽、专业优势明显4.1-6分</w:t>
            </w:r>
            <w:r>
              <w:rPr>
                <w:rFonts w:hint="eastAsia" w:ascii="仿宋" w:hAnsi="仿宋" w:eastAsia="仿宋" w:cs="仿宋"/>
                <w:color w:val="auto"/>
                <w:kern w:val="0"/>
                <w:sz w:val="24"/>
                <w:szCs w:val="24"/>
                <w:highlight w:val="none"/>
                <w:lang w:eastAsia="zh-CN"/>
              </w:rPr>
              <w:t>。</w:t>
            </w:r>
          </w:p>
        </w:tc>
        <w:tc>
          <w:tcPr>
            <w:tcW w:w="1134" w:type="dxa"/>
            <w:shd w:val="clear" w:color="auto" w:fill="auto"/>
            <w:vAlign w:val="center"/>
          </w:tcPr>
          <w:p w14:paraId="51C0B64B">
            <w:pPr>
              <w:pageBreakBefore w:val="0"/>
              <w:widowControl/>
              <w:kinsoku/>
              <w:wordWrap/>
              <w:overflowPunct/>
              <w:topLinePunct w:val="0"/>
              <w:autoSpaceDE/>
              <w:autoSpaceDN/>
              <w:bidi w:val="0"/>
              <w:spacing w:line="44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1194" w:type="dxa"/>
            <w:shd w:val="clear" w:color="auto" w:fill="auto"/>
            <w:vAlign w:val="center"/>
          </w:tcPr>
          <w:p w14:paraId="0F4BA855">
            <w:pPr>
              <w:pageBreakBefore w:val="0"/>
              <w:widowControl/>
              <w:kinsoku/>
              <w:wordWrap/>
              <w:overflowPunct/>
              <w:topLinePunct w:val="0"/>
              <w:autoSpaceDE/>
              <w:autoSpaceDN/>
              <w:bidi w:val="0"/>
              <w:spacing w:line="4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r>
      <w:tr w14:paraId="5C84E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36" w:type="dxa"/>
            <w:vMerge w:val="continue"/>
            <w:vAlign w:val="center"/>
          </w:tcPr>
          <w:p w14:paraId="2065C61C">
            <w:pPr>
              <w:pageBreakBefore w:val="0"/>
              <w:widowControl/>
              <w:kinsoku/>
              <w:wordWrap/>
              <w:overflowPunct/>
              <w:topLinePunct w:val="0"/>
              <w:autoSpaceDE/>
              <w:autoSpaceDN/>
              <w:bidi w:val="0"/>
              <w:spacing w:line="440" w:lineRule="exact"/>
              <w:ind w:firstLine="480" w:firstLineChars="200"/>
              <w:jc w:val="left"/>
              <w:textAlignment w:val="auto"/>
              <w:rPr>
                <w:rFonts w:hint="eastAsia" w:ascii="仿宋" w:hAnsi="仿宋" w:eastAsia="仿宋" w:cs="仿宋"/>
                <w:color w:val="auto"/>
                <w:sz w:val="24"/>
                <w:highlight w:val="none"/>
              </w:rPr>
            </w:pPr>
          </w:p>
        </w:tc>
        <w:tc>
          <w:tcPr>
            <w:tcW w:w="829" w:type="dxa"/>
            <w:shd w:val="clear" w:color="auto" w:fill="auto"/>
            <w:vAlign w:val="center"/>
          </w:tcPr>
          <w:p w14:paraId="1A23FB93">
            <w:pPr>
              <w:pageBreakBefore w:val="0"/>
              <w:widowControl/>
              <w:kinsoku/>
              <w:wordWrap/>
              <w:overflowPunct/>
              <w:topLinePunct w:val="0"/>
              <w:autoSpaceDE/>
              <w:autoSpaceDN/>
              <w:bidi w:val="0"/>
              <w:spacing w:line="44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w:t>
            </w:r>
          </w:p>
        </w:tc>
        <w:tc>
          <w:tcPr>
            <w:tcW w:w="5622" w:type="dxa"/>
            <w:shd w:val="clear" w:color="auto" w:fill="auto"/>
            <w:vAlign w:val="center"/>
          </w:tcPr>
          <w:p w14:paraId="33B9ADFB">
            <w:pPr>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质量相关控制制度是否健全</w:t>
            </w:r>
            <w:r>
              <w:rPr>
                <w:rFonts w:hint="eastAsia" w:ascii="仿宋" w:hAnsi="仿宋" w:eastAsia="仿宋" w:cs="仿宋"/>
                <w:color w:val="auto"/>
                <w:kern w:val="0"/>
                <w:sz w:val="24"/>
                <w:szCs w:val="24"/>
                <w:highlight w:val="none"/>
                <w:lang w:eastAsia="zh-CN"/>
              </w:rPr>
              <w:t>；</w:t>
            </w:r>
          </w:p>
          <w:p w14:paraId="0FC5980F">
            <w:pPr>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kern w:val="0"/>
                <w:sz w:val="24"/>
                <w:szCs w:val="24"/>
                <w:highlight w:val="none"/>
              </w:rPr>
              <w:t>一般1-3分，较好3.1-4分，细致详尽、专业优势明显4.1-6分</w:t>
            </w:r>
            <w:r>
              <w:rPr>
                <w:rFonts w:hint="eastAsia" w:ascii="仿宋" w:hAnsi="仿宋" w:eastAsia="仿宋" w:cs="仿宋"/>
                <w:color w:val="auto"/>
                <w:kern w:val="0"/>
                <w:sz w:val="24"/>
                <w:szCs w:val="24"/>
                <w:highlight w:val="none"/>
                <w:lang w:eastAsia="zh-CN"/>
              </w:rPr>
              <w:t>。</w:t>
            </w:r>
          </w:p>
        </w:tc>
        <w:tc>
          <w:tcPr>
            <w:tcW w:w="1134" w:type="dxa"/>
            <w:shd w:val="clear" w:color="auto" w:fill="auto"/>
            <w:vAlign w:val="center"/>
          </w:tcPr>
          <w:p w14:paraId="622FED90">
            <w:pPr>
              <w:pageBreakBefore w:val="0"/>
              <w:widowControl/>
              <w:kinsoku/>
              <w:wordWrap/>
              <w:overflowPunct/>
              <w:topLinePunct w:val="0"/>
              <w:autoSpaceDE/>
              <w:autoSpaceDN/>
              <w:bidi w:val="0"/>
              <w:spacing w:line="44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1194" w:type="dxa"/>
            <w:shd w:val="clear" w:color="auto" w:fill="auto"/>
            <w:vAlign w:val="center"/>
          </w:tcPr>
          <w:p w14:paraId="1E296443">
            <w:pPr>
              <w:pageBreakBefore w:val="0"/>
              <w:widowControl/>
              <w:kinsoku/>
              <w:wordWrap/>
              <w:overflowPunct/>
              <w:topLinePunct w:val="0"/>
              <w:autoSpaceDE/>
              <w:autoSpaceDN/>
              <w:bidi w:val="0"/>
              <w:spacing w:line="4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r>
      <w:tr w14:paraId="32665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36" w:type="dxa"/>
            <w:vMerge w:val="continue"/>
            <w:vAlign w:val="center"/>
          </w:tcPr>
          <w:p w14:paraId="3391EC15">
            <w:pPr>
              <w:pageBreakBefore w:val="0"/>
              <w:widowControl/>
              <w:kinsoku/>
              <w:wordWrap/>
              <w:overflowPunct/>
              <w:topLinePunct w:val="0"/>
              <w:autoSpaceDE/>
              <w:autoSpaceDN/>
              <w:bidi w:val="0"/>
              <w:spacing w:line="440" w:lineRule="exact"/>
              <w:ind w:firstLine="480" w:firstLineChars="200"/>
              <w:jc w:val="left"/>
              <w:textAlignment w:val="auto"/>
              <w:rPr>
                <w:rFonts w:hint="eastAsia" w:ascii="仿宋" w:hAnsi="仿宋" w:eastAsia="仿宋" w:cs="仿宋"/>
                <w:color w:val="auto"/>
                <w:sz w:val="24"/>
                <w:highlight w:val="none"/>
              </w:rPr>
            </w:pPr>
          </w:p>
        </w:tc>
        <w:tc>
          <w:tcPr>
            <w:tcW w:w="829" w:type="dxa"/>
            <w:shd w:val="clear" w:color="auto" w:fill="auto"/>
            <w:vAlign w:val="center"/>
          </w:tcPr>
          <w:p w14:paraId="1A039B90">
            <w:pPr>
              <w:pageBreakBefore w:val="0"/>
              <w:widowControl/>
              <w:kinsoku/>
              <w:wordWrap/>
              <w:overflowPunct/>
              <w:topLinePunct w:val="0"/>
              <w:autoSpaceDE/>
              <w:autoSpaceDN/>
              <w:bidi w:val="0"/>
              <w:spacing w:line="44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5622" w:type="dxa"/>
            <w:shd w:val="clear" w:color="auto" w:fill="auto"/>
            <w:vAlign w:val="center"/>
          </w:tcPr>
          <w:p w14:paraId="012D4D53">
            <w:pPr>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职业道德、廉洁自律等控制和承诺措施</w:t>
            </w:r>
            <w:r>
              <w:rPr>
                <w:rFonts w:hint="eastAsia" w:ascii="仿宋" w:hAnsi="仿宋" w:eastAsia="仿宋" w:cs="仿宋"/>
                <w:color w:val="auto"/>
                <w:kern w:val="0"/>
                <w:sz w:val="24"/>
                <w:szCs w:val="24"/>
                <w:highlight w:val="none"/>
                <w:lang w:eastAsia="zh-CN"/>
              </w:rPr>
              <w:t>；</w:t>
            </w:r>
          </w:p>
          <w:p w14:paraId="0ABB4CC1">
            <w:pPr>
              <w:jc w:val="left"/>
              <w:rPr>
                <w:rFonts w:hint="eastAsia" w:ascii="仿宋" w:hAnsi="仿宋" w:eastAsia="仿宋" w:cs="仿宋"/>
                <w:color w:val="auto"/>
                <w:sz w:val="24"/>
                <w:highlight w:val="none"/>
                <w:lang w:eastAsia="zh-CN"/>
              </w:rPr>
            </w:pPr>
            <w:r>
              <w:rPr>
                <w:rFonts w:hint="eastAsia" w:ascii="仿宋" w:hAnsi="仿宋" w:eastAsia="仿宋" w:cs="仿宋"/>
                <w:color w:val="auto"/>
                <w:kern w:val="0"/>
                <w:sz w:val="24"/>
                <w:szCs w:val="24"/>
                <w:highlight w:val="none"/>
              </w:rPr>
              <w:t>一般1-3分，较好3.1-4分，细致详尽、专业优势明显4.1-6分</w:t>
            </w:r>
            <w:r>
              <w:rPr>
                <w:rFonts w:hint="eastAsia" w:ascii="仿宋" w:hAnsi="仿宋" w:eastAsia="仿宋" w:cs="仿宋"/>
                <w:color w:val="auto"/>
                <w:kern w:val="0"/>
                <w:sz w:val="24"/>
                <w:szCs w:val="24"/>
                <w:highlight w:val="none"/>
                <w:lang w:eastAsia="zh-CN"/>
              </w:rPr>
              <w:t>。</w:t>
            </w:r>
          </w:p>
        </w:tc>
        <w:tc>
          <w:tcPr>
            <w:tcW w:w="1134" w:type="dxa"/>
            <w:shd w:val="clear" w:color="auto" w:fill="auto"/>
            <w:vAlign w:val="center"/>
          </w:tcPr>
          <w:p w14:paraId="4CED3A11">
            <w:pPr>
              <w:pageBreakBefore w:val="0"/>
              <w:widowControl/>
              <w:kinsoku/>
              <w:wordWrap/>
              <w:overflowPunct/>
              <w:topLinePunct w:val="0"/>
              <w:autoSpaceDE/>
              <w:autoSpaceDN/>
              <w:bidi w:val="0"/>
              <w:spacing w:line="44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1194" w:type="dxa"/>
            <w:shd w:val="clear" w:color="auto" w:fill="auto"/>
            <w:vAlign w:val="center"/>
          </w:tcPr>
          <w:p w14:paraId="5C872B0B">
            <w:pPr>
              <w:pageBreakBefore w:val="0"/>
              <w:widowControl/>
              <w:kinsoku/>
              <w:wordWrap/>
              <w:overflowPunct/>
              <w:topLinePunct w:val="0"/>
              <w:autoSpaceDE/>
              <w:autoSpaceDN/>
              <w:bidi w:val="0"/>
              <w:spacing w:line="4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r>
      <w:tr w14:paraId="1D115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36" w:type="dxa"/>
            <w:vMerge w:val="continue"/>
            <w:vAlign w:val="center"/>
          </w:tcPr>
          <w:p w14:paraId="4534362A">
            <w:pPr>
              <w:pageBreakBefore w:val="0"/>
              <w:widowControl/>
              <w:kinsoku/>
              <w:wordWrap/>
              <w:overflowPunct/>
              <w:topLinePunct w:val="0"/>
              <w:autoSpaceDE/>
              <w:autoSpaceDN/>
              <w:bidi w:val="0"/>
              <w:spacing w:line="440" w:lineRule="exact"/>
              <w:ind w:firstLine="480" w:firstLineChars="200"/>
              <w:jc w:val="left"/>
              <w:textAlignment w:val="auto"/>
              <w:rPr>
                <w:rFonts w:hint="eastAsia" w:ascii="仿宋" w:hAnsi="仿宋" w:eastAsia="仿宋" w:cs="仿宋"/>
                <w:color w:val="auto"/>
                <w:sz w:val="24"/>
                <w:highlight w:val="none"/>
              </w:rPr>
            </w:pPr>
          </w:p>
        </w:tc>
        <w:tc>
          <w:tcPr>
            <w:tcW w:w="829" w:type="dxa"/>
            <w:shd w:val="clear" w:color="auto" w:fill="auto"/>
            <w:vAlign w:val="center"/>
          </w:tcPr>
          <w:p w14:paraId="25553A2D">
            <w:pPr>
              <w:pageBreakBefore w:val="0"/>
              <w:widowControl/>
              <w:kinsoku/>
              <w:wordWrap/>
              <w:overflowPunct/>
              <w:topLinePunct w:val="0"/>
              <w:autoSpaceDE/>
              <w:autoSpaceDN/>
              <w:bidi w:val="0"/>
              <w:spacing w:line="44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w:t>
            </w:r>
          </w:p>
        </w:tc>
        <w:tc>
          <w:tcPr>
            <w:tcW w:w="5622" w:type="dxa"/>
            <w:shd w:val="clear" w:color="auto" w:fill="auto"/>
            <w:vAlign w:val="center"/>
          </w:tcPr>
          <w:p w14:paraId="64CB0888">
            <w:pPr>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招标代理和造价咨询全过程时间的控制方法</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一般一般1-3分，较好3.1-4分，细致详尽、专业优势明显4.1-6分</w:t>
            </w:r>
            <w:r>
              <w:rPr>
                <w:rFonts w:hint="eastAsia" w:ascii="仿宋" w:hAnsi="仿宋" w:eastAsia="仿宋" w:cs="仿宋"/>
                <w:color w:val="auto"/>
                <w:kern w:val="0"/>
                <w:sz w:val="24"/>
                <w:szCs w:val="24"/>
                <w:highlight w:val="none"/>
                <w:lang w:eastAsia="zh-CN"/>
              </w:rPr>
              <w:t>。</w:t>
            </w:r>
          </w:p>
        </w:tc>
        <w:tc>
          <w:tcPr>
            <w:tcW w:w="1134" w:type="dxa"/>
            <w:shd w:val="clear" w:color="auto" w:fill="auto"/>
            <w:vAlign w:val="center"/>
          </w:tcPr>
          <w:p w14:paraId="659BA331">
            <w:pPr>
              <w:pageBreakBefore w:val="0"/>
              <w:widowControl/>
              <w:kinsoku/>
              <w:wordWrap/>
              <w:overflowPunct/>
              <w:topLinePunct w:val="0"/>
              <w:autoSpaceDE/>
              <w:autoSpaceDN/>
              <w:bidi w:val="0"/>
              <w:spacing w:line="44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1194" w:type="dxa"/>
            <w:shd w:val="clear" w:color="auto" w:fill="auto"/>
            <w:vAlign w:val="center"/>
          </w:tcPr>
          <w:p w14:paraId="30C3E867">
            <w:pPr>
              <w:pageBreakBefore w:val="0"/>
              <w:widowControl/>
              <w:kinsoku/>
              <w:wordWrap/>
              <w:overflowPunct/>
              <w:topLinePunct w:val="0"/>
              <w:autoSpaceDE/>
              <w:autoSpaceDN/>
              <w:bidi w:val="0"/>
              <w:spacing w:line="4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r>
      <w:tr w14:paraId="3B58A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36" w:type="dxa"/>
            <w:vMerge w:val="continue"/>
            <w:vAlign w:val="center"/>
          </w:tcPr>
          <w:p w14:paraId="230061A2">
            <w:pPr>
              <w:pageBreakBefore w:val="0"/>
              <w:widowControl/>
              <w:kinsoku/>
              <w:wordWrap/>
              <w:overflowPunct/>
              <w:topLinePunct w:val="0"/>
              <w:autoSpaceDE/>
              <w:autoSpaceDN/>
              <w:bidi w:val="0"/>
              <w:spacing w:line="440" w:lineRule="exact"/>
              <w:ind w:firstLine="480" w:firstLineChars="200"/>
              <w:jc w:val="left"/>
              <w:textAlignment w:val="auto"/>
              <w:rPr>
                <w:rFonts w:hint="eastAsia" w:ascii="仿宋" w:hAnsi="仿宋" w:eastAsia="仿宋" w:cs="仿宋"/>
                <w:color w:val="auto"/>
                <w:sz w:val="24"/>
                <w:highlight w:val="none"/>
              </w:rPr>
            </w:pPr>
          </w:p>
        </w:tc>
        <w:tc>
          <w:tcPr>
            <w:tcW w:w="829" w:type="dxa"/>
            <w:shd w:val="clear" w:color="auto" w:fill="auto"/>
            <w:vAlign w:val="center"/>
          </w:tcPr>
          <w:p w14:paraId="0A3E3F2B">
            <w:pPr>
              <w:pageBreakBefore w:val="0"/>
              <w:widowControl/>
              <w:kinsoku/>
              <w:wordWrap/>
              <w:overflowPunct/>
              <w:topLinePunct w:val="0"/>
              <w:autoSpaceDE/>
              <w:autoSpaceDN/>
              <w:bidi w:val="0"/>
              <w:spacing w:line="44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2</w:t>
            </w:r>
          </w:p>
        </w:tc>
        <w:tc>
          <w:tcPr>
            <w:tcW w:w="5622" w:type="dxa"/>
            <w:shd w:val="clear" w:color="auto" w:fill="auto"/>
            <w:vAlign w:val="center"/>
          </w:tcPr>
          <w:p w14:paraId="189594A1">
            <w:pPr>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进度的保证措施</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一般1-</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分，较好</w:t>
            </w:r>
            <w:r>
              <w:rPr>
                <w:rFonts w:hint="eastAsia" w:ascii="仿宋" w:hAnsi="仿宋" w:eastAsia="仿宋" w:cs="仿宋"/>
                <w:color w:val="auto"/>
                <w:kern w:val="0"/>
                <w:sz w:val="24"/>
                <w:szCs w:val="24"/>
                <w:highlight w:val="none"/>
                <w:lang w:val="en-US" w:eastAsia="zh-CN"/>
              </w:rPr>
              <w:t>3.1</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分，细致详尽、专业优势明显4.1-</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eastAsia="zh-CN"/>
              </w:rPr>
              <w:t>。</w:t>
            </w:r>
          </w:p>
        </w:tc>
        <w:tc>
          <w:tcPr>
            <w:tcW w:w="1134" w:type="dxa"/>
            <w:shd w:val="clear" w:color="auto" w:fill="auto"/>
            <w:vAlign w:val="center"/>
          </w:tcPr>
          <w:p w14:paraId="7E240BA8">
            <w:pPr>
              <w:pageBreakBefore w:val="0"/>
              <w:widowControl/>
              <w:kinsoku/>
              <w:wordWrap/>
              <w:overflowPunct/>
              <w:topLinePunct w:val="0"/>
              <w:autoSpaceDE/>
              <w:autoSpaceDN/>
              <w:bidi w:val="0"/>
              <w:spacing w:line="44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1194" w:type="dxa"/>
            <w:shd w:val="clear" w:color="auto" w:fill="auto"/>
            <w:vAlign w:val="center"/>
          </w:tcPr>
          <w:p w14:paraId="1467262A">
            <w:pPr>
              <w:pageBreakBefore w:val="0"/>
              <w:widowControl/>
              <w:kinsoku/>
              <w:wordWrap/>
              <w:overflowPunct/>
              <w:topLinePunct w:val="0"/>
              <w:autoSpaceDE/>
              <w:autoSpaceDN/>
              <w:bidi w:val="0"/>
              <w:spacing w:line="440" w:lineRule="exact"/>
              <w:jc w:val="center"/>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主观分</w:t>
            </w:r>
          </w:p>
        </w:tc>
      </w:tr>
    </w:tbl>
    <w:p w14:paraId="3A979ECF">
      <w:pPr>
        <w:spacing w:line="360" w:lineRule="auto"/>
        <w:rPr>
          <w:rFonts w:hint="eastAsia" w:ascii="仿宋" w:hAnsi="仿宋" w:eastAsia="仿宋" w:cs="仿宋"/>
          <w:b/>
          <w:color w:val="auto"/>
          <w:sz w:val="24"/>
          <w:highlight w:val="none"/>
        </w:rPr>
      </w:pPr>
    </w:p>
    <w:p w14:paraId="49C93F7F">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w:t>
      </w:r>
    </w:p>
    <w:p w14:paraId="0B25CDB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、评分条款中涉及的业绩、荣誉、人员、社保等分公司均有效。</w:t>
      </w:r>
    </w:p>
    <w:p w14:paraId="339C4C8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、响应文件中如附有外文资料，必须逐一对应翻译成中文并加盖</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公章后附在相关外文资料后面，否则外文资料不予认可。翻译的中文资料与外文资料不符的，均不予认可。翻译严重错误的，将视同提供虚假资料。</w:t>
      </w:r>
    </w:p>
    <w:p w14:paraId="274ADE3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编制响应文件（商务技术文件部分）时，建议按此目录（序号和内容）提供评标标准相应的商务技术资料。 </w:t>
      </w:r>
    </w:p>
    <w:p w14:paraId="25D36451">
      <w:pPr>
        <w:widowControl/>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价格分（</w:t>
      </w: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rPr>
        <w:t>分）</w:t>
      </w:r>
    </w:p>
    <w:tbl>
      <w:tblPr>
        <w:tblStyle w:val="64"/>
        <w:tblW w:w="9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6920"/>
      </w:tblGrid>
      <w:tr w14:paraId="071E0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14:paraId="25D8E262">
            <w:pPr>
              <w:widowControl/>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价格权值</w:t>
            </w:r>
          </w:p>
        </w:tc>
        <w:tc>
          <w:tcPr>
            <w:tcW w:w="6920" w:type="dxa"/>
            <w:tcBorders>
              <w:top w:val="single" w:color="auto" w:sz="4" w:space="0"/>
              <w:left w:val="single" w:color="auto" w:sz="4" w:space="0"/>
              <w:bottom w:val="single" w:color="auto" w:sz="4" w:space="0"/>
              <w:right w:val="single" w:color="auto" w:sz="4" w:space="0"/>
            </w:tcBorders>
            <w:noWrap/>
            <w:vAlign w:val="center"/>
          </w:tcPr>
          <w:p w14:paraId="711D8C1C">
            <w:pPr>
              <w:widowControl/>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计算方法</w:t>
            </w:r>
          </w:p>
        </w:tc>
      </w:tr>
      <w:tr w14:paraId="4F986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14:paraId="57D03563">
            <w:pPr>
              <w:widowControl/>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价格权值=0.</w:t>
            </w:r>
            <w:r>
              <w:rPr>
                <w:rFonts w:hint="eastAsia" w:ascii="仿宋" w:hAnsi="仿宋" w:eastAsia="仿宋" w:cs="仿宋"/>
                <w:color w:val="auto"/>
                <w:sz w:val="24"/>
                <w:highlight w:val="none"/>
                <w:lang w:val="en-US" w:eastAsia="zh-CN"/>
              </w:rPr>
              <w:t>30</w:t>
            </w:r>
          </w:p>
        </w:tc>
        <w:tc>
          <w:tcPr>
            <w:tcW w:w="6920" w:type="dxa"/>
            <w:tcBorders>
              <w:top w:val="single" w:color="auto" w:sz="4" w:space="0"/>
              <w:left w:val="single" w:color="auto" w:sz="4" w:space="0"/>
              <w:bottom w:val="single" w:color="auto" w:sz="4" w:space="0"/>
              <w:right w:val="single" w:color="auto" w:sz="4" w:space="0"/>
            </w:tcBorders>
            <w:noWrap/>
            <w:vAlign w:val="center"/>
          </w:tcPr>
          <w:p w14:paraId="7C6891D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（1-响应最大优惠率）为评审基准值</w:t>
            </w:r>
          </w:p>
          <w:p w14:paraId="3B28EF8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价格得分=[评审基准值／（1-响应优惠率）]×价格权值×100 </w:t>
            </w:r>
          </w:p>
          <w:p w14:paraId="2332CA5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（计算得分保留小数点后2位）</w:t>
            </w:r>
          </w:p>
        </w:tc>
      </w:tr>
    </w:tbl>
    <w:p w14:paraId="6B81D641">
      <w:pPr>
        <w:pStyle w:val="51"/>
        <w:rPr>
          <w:rFonts w:hint="eastAsia" w:ascii="仿宋" w:hAnsi="仿宋" w:eastAsia="仿宋" w:cs="仿宋"/>
          <w:color w:val="auto"/>
          <w:highlight w:val="none"/>
        </w:rPr>
      </w:pPr>
    </w:p>
    <w:p w14:paraId="5C907018">
      <w:pPr>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39AEE446">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综合评分法，是指响应文件满足交易文件全部实质性要求，且按照评审因素的量化指标评审得分最高的</w:t>
      </w:r>
      <w:r>
        <w:rPr>
          <w:rFonts w:hint="eastAsia" w:ascii="仿宋" w:hAnsi="仿宋" w:eastAsia="仿宋" w:cs="仿宋"/>
          <w:color w:val="auto"/>
          <w:kern w:val="0"/>
          <w:sz w:val="24"/>
          <w:highlight w:val="none"/>
          <w:lang w:eastAsia="zh-CN"/>
        </w:rPr>
        <w:t>响应人</w:t>
      </w:r>
      <w:r>
        <w:rPr>
          <w:rFonts w:hint="eastAsia" w:ascii="仿宋" w:hAnsi="仿宋" w:eastAsia="仿宋" w:cs="仿宋"/>
          <w:color w:val="auto"/>
          <w:kern w:val="0"/>
          <w:sz w:val="24"/>
          <w:highlight w:val="none"/>
        </w:rPr>
        <w:t>为成交候选人的评标方法。</w:t>
      </w:r>
    </w:p>
    <w:p w14:paraId="0F155B49">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7D913890">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2.评标标准：</w:t>
      </w:r>
      <w:r>
        <w:rPr>
          <w:rFonts w:hint="eastAsia" w:ascii="仿宋" w:hAnsi="仿宋" w:eastAsia="仿宋" w:cs="仿宋"/>
          <w:color w:val="auto"/>
          <w:kern w:val="0"/>
          <w:sz w:val="24"/>
          <w:highlight w:val="none"/>
        </w:rPr>
        <w:t>见评标办法前附表。</w:t>
      </w:r>
    </w:p>
    <w:p w14:paraId="4494C330">
      <w:pPr>
        <w:spacing w:line="360" w:lineRule="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14:paraId="70B7A0A0">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w:t>
      </w:r>
      <w:r>
        <w:rPr>
          <w:rFonts w:hint="eastAsia" w:ascii="仿宋" w:hAnsi="仿宋" w:eastAsia="仿宋" w:cs="仿宋"/>
          <w:color w:val="auto"/>
          <w:kern w:val="0"/>
          <w:sz w:val="24"/>
          <w:highlight w:val="none"/>
          <w:lang w:eastAsia="zh-CN"/>
        </w:rPr>
        <w:t>响应人</w:t>
      </w:r>
      <w:r>
        <w:rPr>
          <w:rFonts w:hint="eastAsia" w:ascii="仿宋" w:hAnsi="仿宋" w:eastAsia="仿宋" w:cs="仿宋"/>
          <w:color w:val="auto"/>
          <w:kern w:val="0"/>
          <w:sz w:val="24"/>
          <w:highlight w:val="none"/>
        </w:rPr>
        <w:t>的响应文件进行符合性审查，以确定其是否满足交易文件的实质性要求。不满足交易文件的实质性要求的，交易无效。</w:t>
      </w:r>
    </w:p>
    <w:p w14:paraId="32B3BECF">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评标委员会应当按照交易文件中规定的评标方法和标准，对符合性审查合格的响应文件进行商务和技术评估，综合比较与评价。</w:t>
      </w:r>
    </w:p>
    <w:p w14:paraId="515725B9">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w:t>
      </w:r>
      <w:r>
        <w:rPr>
          <w:rFonts w:hint="eastAsia" w:ascii="仿宋" w:hAnsi="仿宋" w:eastAsia="仿宋" w:cs="仿宋"/>
          <w:color w:val="auto"/>
          <w:kern w:val="0"/>
          <w:sz w:val="24"/>
          <w:highlight w:val="none"/>
          <w:lang w:eastAsia="zh-CN"/>
        </w:rPr>
        <w:t>响应人</w:t>
      </w:r>
      <w:r>
        <w:rPr>
          <w:rFonts w:hint="eastAsia" w:ascii="仿宋" w:hAnsi="仿宋" w:eastAsia="仿宋" w:cs="仿宋"/>
          <w:color w:val="auto"/>
          <w:kern w:val="0"/>
          <w:sz w:val="24"/>
          <w:highlight w:val="none"/>
        </w:rPr>
        <w:t>的商务和技术文件进行评价，并汇总商务技术得分情况。</w:t>
      </w:r>
    </w:p>
    <w:p w14:paraId="73C76E58">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1D3BA26A">
      <w:pPr>
        <w:pStyle w:val="131"/>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3.4.1响应文件报价出现前后不一致的，按照下列规定修正：</w:t>
      </w:r>
    </w:p>
    <w:p w14:paraId="3FD255ED">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3.4.1.1响应文件中交易一览表(报价表)内容与响应文件中相应内容不一致的，以交易一览表(报价表)为准;</w:t>
      </w:r>
    </w:p>
    <w:p w14:paraId="2831DAD3">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60A7AF22">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3.4.1.3单价金额小数点或者百分比有明显错位的，以交易一览表的总价为准，并修改单价;</w:t>
      </w:r>
    </w:p>
    <w:p w14:paraId="70476C74">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12EC9BD3">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w:t>
      </w:r>
      <w:r>
        <w:rPr>
          <w:rFonts w:hint="eastAsia" w:ascii="仿宋" w:hAnsi="仿宋" w:eastAsia="仿宋" w:cs="仿宋"/>
          <w:color w:val="auto"/>
          <w:kern w:val="0"/>
          <w:szCs w:val="24"/>
          <w:highlight w:val="none"/>
          <w:lang w:eastAsia="zh-CN"/>
        </w:rPr>
        <w:t>响应人</w:t>
      </w:r>
      <w:r>
        <w:rPr>
          <w:rFonts w:hint="eastAsia" w:ascii="仿宋" w:hAnsi="仿宋" w:eastAsia="仿宋" w:cs="仿宋"/>
          <w:color w:val="auto"/>
          <w:kern w:val="0"/>
          <w:szCs w:val="24"/>
          <w:highlight w:val="none"/>
        </w:rPr>
        <w:t>确认后产生约束力。</w:t>
      </w:r>
    </w:p>
    <w:p w14:paraId="272B97C4">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3.4.2响应文件出现不是唯一的、有选择性响应报价的，交易无效。</w:t>
      </w:r>
    </w:p>
    <w:p w14:paraId="226364CB">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3.4.3响应报价超过交易文件中规定的预算金额或者最高限价的，交易无效。</w:t>
      </w:r>
    </w:p>
    <w:p w14:paraId="79D72DA9">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w:t>
      </w:r>
      <w:r>
        <w:rPr>
          <w:rFonts w:hint="eastAsia" w:ascii="仿宋" w:hAnsi="仿宋" w:eastAsia="仿宋" w:cs="仿宋"/>
          <w:color w:val="auto"/>
          <w:kern w:val="0"/>
          <w:szCs w:val="24"/>
          <w:highlight w:val="none"/>
          <w:lang w:eastAsia="zh-CN"/>
        </w:rPr>
        <w:t>响应人</w:t>
      </w:r>
      <w:r>
        <w:rPr>
          <w:rFonts w:hint="eastAsia" w:ascii="仿宋" w:hAnsi="仿宋" w:eastAsia="仿宋" w:cs="仿宋"/>
          <w:color w:val="auto"/>
          <w:kern w:val="0"/>
          <w:szCs w:val="24"/>
          <w:highlight w:val="none"/>
        </w:rPr>
        <w:t>的报价明显低于其他通过符合性审查</w:t>
      </w:r>
      <w:r>
        <w:rPr>
          <w:rFonts w:hint="eastAsia" w:ascii="仿宋" w:hAnsi="仿宋" w:eastAsia="仿宋" w:cs="仿宋"/>
          <w:color w:val="auto"/>
          <w:kern w:val="0"/>
          <w:szCs w:val="24"/>
          <w:highlight w:val="none"/>
          <w:lang w:eastAsia="zh-CN"/>
        </w:rPr>
        <w:t>响应人</w:t>
      </w:r>
      <w:r>
        <w:rPr>
          <w:rFonts w:hint="eastAsia" w:ascii="仿宋" w:hAnsi="仿宋" w:eastAsia="仿宋" w:cs="仿宋"/>
          <w:color w:val="auto"/>
          <w:kern w:val="0"/>
          <w:szCs w:val="24"/>
          <w:highlight w:val="none"/>
        </w:rPr>
        <w:t>的报价，有可能影响产品质量或者不能诚信履约的，应当要求其在合理的时间内提供书面说明，必要时提交相关证明材料;</w:t>
      </w:r>
      <w:r>
        <w:rPr>
          <w:rFonts w:hint="eastAsia" w:ascii="仿宋" w:hAnsi="仿宋" w:eastAsia="仿宋" w:cs="仿宋"/>
          <w:color w:val="auto"/>
          <w:kern w:val="0"/>
          <w:szCs w:val="24"/>
          <w:highlight w:val="none"/>
          <w:lang w:eastAsia="zh-CN"/>
        </w:rPr>
        <w:t>响应人</w:t>
      </w:r>
      <w:r>
        <w:rPr>
          <w:rFonts w:hint="eastAsia" w:ascii="仿宋" w:hAnsi="仿宋" w:eastAsia="仿宋" w:cs="仿宋"/>
          <w:color w:val="auto"/>
          <w:kern w:val="0"/>
          <w:szCs w:val="24"/>
          <w:highlight w:val="none"/>
        </w:rPr>
        <w:t>不能证明其报价合理性的，评标委员会应当将其作为无效响应处理。</w:t>
      </w:r>
    </w:p>
    <w:p w14:paraId="1667AB29">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响应报价由低到高顺序排列。得分且响应报价相同的并列。响应文件满足交易文件全部实质性要求，且按照评审因素的量化指标评审得分最高的</w:t>
      </w:r>
      <w:r>
        <w:rPr>
          <w:rFonts w:hint="eastAsia" w:ascii="仿宋" w:hAnsi="仿宋" w:eastAsia="仿宋" w:cs="仿宋"/>
          <w:color w:val="auto"/>
          <w:kern w:val="0"/>
          <w:sz w:val="24"/>
          <w:highlight w:val="none"/>
          <w:lang w:eastAsia="zh-CN"/>
        </w:rPr>
        <w:t>响应人</w:t>
      </w:r>
      <w:r>
        <w:rPr>
          <w:rFonts w:hint="eastAsia" w:ascii="仿宋" w:hAnsi="仿宋" w:eastAsia="仿宋" w:cs="仿宋"/>
          <w:color w:val="auto"/>
          <w:kern w:val="0"/>
          <w:sz w:val="24"/>
          <w:highlight w:val="none"/>
        </w:rPr>
        <w:t>为排名第一的成交候选人。</w:t>
      </w:r>
    </w:p>
    <w:p w14:paraId="6704C95F">
      <w:pPr>
        <w:spacing w:line="360" w:lineRule="auto"/>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w:t>
      </w:r>
      <w:r>
        <w:rPr>
          <w:rFonts w:hint="eastAsia" w:ascii="仿宋" w:hAnsi="仿宋" w:eastAsia="仿宋" w:cs="仿宋"/>
          <w:color w:val="auto"/>
          <w:kern w:val="0"/>
          <w:sz w:val="24"/>
          <w:highlight w:val="none"/>
          <w:lang w:eastAsia="zh-CN"/>
        </w:rPr>
        <w:t>响应人</w:t>
      </w:r>
      <w:r>
        <w:rPr>
          <w:rFonts w:hint="eastAsia" w:ascii="仿宋" w:hAnsi="仿宋" w:eastAsia="仿宋" w:cs="仿宋"/>
          <w:color w:val="auto"/>
          <w:kern w:val="0"/>
          <w:sz w:val="24"/>
          <w:highlight w:val="none"/>
        </w:rPr>
        <w:t>提供相同品牌产品（单一产品采购项目中的该产品或者非单一产品采购项目的核心产品）且通过资格审查、符合性审查的不同</w:t>
      </w:r>
      <w:r>
        <w:rPr>
          <w:rFonts w:hint="eastAsia" w:ascii="仿宋" w:hAnsi="仿宋" w:eastAsia="仿宋" w:cs="仿宋"/>
          <w:color w:val="auto"/>
          <w:kern w:val="0"/>
          <w:sz w:val="24"/>
          <w:highlight w:val="none"/>
          <w:lang w:eastAsia="zh-CN"/>
        </w:rPr>
        <w:t>响应人</w:t>
      </w:r>
      <w:r>
        <w:rPr>
          <w:rFonts w:hint="eastAsia" w:ascii="仿宋" w:hAnsi="仿宋" w:eastAsia="仿宋" w:cs="仿宋"/>
          <w:color w:val="auto"/>
          <w:kern w:val="0"/>
          <w:sz w:val="24"/>
          <w:highlight w:val="none"/>
        </w:rPr>
        <w:t>参加同一合同项下响应的，按一家</w:t>
      </w:r>
      <w:r>
        <w:rPr>
          <w:rFonts w:hint="eastAsia" w:ascii="仿宋" w:hAnsi="仿宋" w:eastAsia="仿宋" w:cs="仿宋"/>
          <w:color w:val="auto"/>
          <w:kern w:val="0"/>
          <w:sz w:val="24"/>
          <w:highlight w:val="none"/>
          <w:lang w:eastAsia="zh-CN"/>
        </w:rPr>
        <w:t>响应人</w:t>
      </w:r>
      <w:r>
        <w:rPr>
          <w:rFonts w:hint="eastAsia" w:ascii="仿宋" w:hAnsi="仿宋" w:eastAsia="仿宋" w:cs="仿宋"/>
          <w:color w:val="auto"/>
          <w:kern w:val="0"/>
          <w:sz w:val="24"/>
          <w:highlight w:val="none"/>
        </w:rPr>
        <w:t>计算，评审后得分最高的同品牌</w:t>
      </w:r>
      <w:r>
        <w:rPr>
          <w:rFonts w:hint="eastAsia" w:ascii="仿宋" w:hAnsi="仿宋" w:eastAsia="仿宋" w:cs="仿宋"/>
          <w:color w:val="auto"/>
          <w:kern w:val="0"/>
          <w:sz w:val="24"/>
          <w:highlight w:val="none"/>
          <w:lang w:eastAsia="zh-CN"/>
        </w:rPr>
        <w:t>响应人</w:t>
      </w:r>
      <w:r>
        <w:rPr>
          <w:rFonts w:hint="eastAsia" w:ascii="仿宋" w:hAnsi="仿宋" w:eastAsia="仿宋" w:cs="仿宋"/>
          <w:color w:val="auto"/>
          <w:kern w:val="0"/>
          <w:sz w:val="24"/>
          <w:highlight w:val="none"/>
        </w:rPr>
        <w:t>获得成交人推荐资格；评审得分相同的，采取随机抽取方式确定，其他同品牌</w:t>
      </w:r>
      <w:r>
        <w:rPr>
          <w:rFonts w:hint="eastAsia" w:ascii="仿宋" w:hAnsi="仿宋" w:eastAsia="仿宋" w:cs="仿宋"/>
          <w:color w:val="auto"/>
          <w:kern w:val="0"/>
          <w:sz w:val="24"/>
          <w:highlight w:val="none"/>
          <w:lang w:eastAsia="zh-CN"/>
        </w:rPr>
        <w:t>响应人</w:t>
      </w:r>
      <w:r>
        <w:rPr>
          <w:rFonts w:hint="eastAsia" w:ascii="仿宋" w:hAnsi="仿宋" w:eastAsia="仿宋" w:cs="仿宋"/>
          <w:color w:val="auto"/>
          <w:kern w:val="0"/>
          <w:sz w:val="24"/>
          <w:highlight w:val="none"/>
        </w:rPr>
        <w:t>不作为成交候选人。</w:t>
      </w:r>
    </w:p>
    <w:p w14:paraId="56C0B8DD">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730F884">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784BA874">
      <w:pPr>
        <w:pStyle w:val="131"/>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w:t>
      </w:r>
      <w:r>
        <w:rPr>
          <w:rFonts w:hint="eastAsia" w:ascii="仿宋" w:hAnsi="仿宋" w:eastAsia="仿宋" w:cs="仿宋"/>
          <w:b/>
          <w:color w:val="auto"/>
          <w:kern w:val="0"/>
          <w:szCs w:val="24"/>
          <w:highlight w:val="none"/>
          <w:lang w:eastAsia="zh-CN"/>
        </w:rPr>
        <w:t>响应人</w:t>
      </w:r>
      <w:r>
        <w:rPr>
          <w:rFonts w:hint="eastAsia" w:ascii="仿宋" w:hAnsi="仿宋" w:eastAsia="仿宋" w:cs="仿宋"/>
          <w:b/>
          <w:color w:val="auto"/>
          <w:kern w:val="0"/>
          <w:szCs w:val="24"/>
          <w:highlight w:val="none"/>
        </w:rPr>
        <w:t>澄清、说明或者补正。</w:t>
      </w:r>
      <w:r>
        <w:rPr>
          <w:rFonts w:hint="eastAsia" w:ascii="仿宋" w:hAnsi="仿宋" w:eastAsia="仿宋" w:cs="仿宋"/>
          <w:color w:val="auto"/>
          <w:kern w:val="0"/>
          <w:szCs w:val="24"/>
          <w:highlight w:val="none"/>
        </w:rPr>
        <w:t>对于响应文件中含义不明确、同类问题表述不一致或者有明显文字和计算错误的内容需要</w:t>
      </w:r>
      <w:r>
        <w:rPr>
          <w:rFonts w:hint="eastAsia" w:ascii="仿宋" w:hAnsi="仿宋" w:eastAsia="仿宋" w:cs="仿宋"/>
          <w:color w:val="auto"/>
          <w:kern w:val="0"/>
          <w:szCs w:val="24"/>
          <w:highlight w:val="none"/>
          <w:lang w:eastAsia="zh-CN"/>
        </w:rPr>
        <w:t>响应人</w:t>
      </w:r>
      <w:r>
        <w:rPr>
          <w:rFonts w:hint="eastAsia" w:ascii="仿宋" w:hAnsi="仿宋" w:eastAsia="仿宋" w:cs="仿宋"/>
          <w:color w:val="auto"/>
          <w:kern w:val="0"/>
          <w:szCs w:val="24"/>
          <w:highlight w:val="none"/>
        </w:rPr>
        <w:t>作出必要的澄清、说明或者补正的，评标委员会和</w:t>
      </w:r>
      <w:r>
        <w:rPr>
          <w:rFonts w:hint="eastAsia" w:ascii="仿宋" w:hAnsi="仿宋" w:eastAsia="仿宋" w:cs="仿宋"/>
          <w:color w:val="auto"/>
          <w:kern w:val="0"/>
          <w:szCs w:val="24"/>
          <w:highlight w:val="none"/>
          <w:lang w:eastAsia="zh-CN"/>
        </w:rPr>
        <w:t>响应人</w:t>
      </w:r>
      <w:r>
        <w:rPr>
          <w:rFonts w:hint="eastAsia" w:ascii="仿宋" w:hAnsi="仿宋" w:eastAsia="仿宋" w:cs="仿宋"/>
          <w:color w:val="auto"/>
          <w:kern w:val="0"/>
          <w:szCs w:val="24"/>
          <w:highlight w:val="none"/>
        </w:rPr>
        <w:t>通过电子交易平台交换数据电文，</w:t>
      </w:r>
      <w:r>
        <w:rPr>
          <w:rFonts w:hint="eastAsia" w:ascii="仿宋" w:hAnsi="仿宋" w:eastAsia="仿宋" w:cs="仿宋"/>
          <w:color w:val="auto"/>
          <w:kern w:val="0"/>
          <w:szCs w:val="24"/>
          <w:highlight w:val="none"/>
          <w:lang w:eastAsia="zh-CN"/>
        </w:rPr>
        <w:t>响应人</w:t>
      </w:r>
      <w:r>
        <w:rPr>
          <w:rFonts w:hint="eastAsia" w:ascii="仿宋" w:hAnsi="仿宋" w:eastAsia="仿宋" w:cs="仿宋"/>
          <w:color w:val="auto"/>
          <w:kern w:val="0"/>
          <w:szCs w:val="24"/>
          <w:highlight w:val="none"/>
        </w:rPr>
        <w:t>提交使用电子签名的相关数据电文或通过平台上传加盖公章的扫描件。给予</w:t>
      </w:r>
      <w:r>
        <w:rPr>
          <w:rFonts w:hint="eastAsia" w:ascii="仿宋" w:hAnsi="仿宋" w:eastAsia="仿宋" w:cs="仿宋"/>
          <w:color w:val="auto"/>
          <w:kern w:val="0"/>
          <w:szCs w:val="24"/>
          <w:highlight w:val="none"/>
          <w:lang w:eastAsia="zh-CN"/>
        </w:rPr>
        <w:t>响应人</w:t>
      </w:r>
      <w:r>
        <w:rPr>
          <w:rFonts w:hint="eastAsia" w:ascii="仿宋" w:hAnsi="仿宋" w:eastAsia="仿宋" w:cs="仿宋"/>
          <w:color w:val="auto"/>
          <w:kern w:val="0"/>
          <w:szCs w:val="24"/>
          <w:highlight w:val="none"/>
        </w:rPr>
        <w:t>提交澄清、说明或补正的时间不得少于半小时，</w:t>
      </w:r>
      <w:r>
        <w:rPr>
          <w:rFonts w:hint="eastAsia" w:ascii="仿宋" w:hAnsi="仿宋" w:eastAsia="仿宋" w:cs="仿宋"/>
          <w:color w:val="auto"/>
          <w:kern w:val="0"/>
          <w:szCs w:val="24"/>
          <w:highlight w:val="none"/>
          <w:lang w:eastAsia="zh-CN"/>
        </w:rPr>
        <w:t>响应人</w:t>
      </w:r>
      <w:r>
        <w:rPr>
          <w:rFonts w:hint="eastAsia" w:ascii="仿宋" w:hAnsi="仿宋" w:eastAsia="仿宋" w:cs="仿宋"/>
          <w:color w:val="auto"/>
          <w:kern w:val="0"/>
          <w:szCs w:val="24"/>
          <w:highlight w:val="none"/>
        </w:rPr>
        <w:t>已经明确表示澄清说明或补正完毕的除外。</w:t>
      </w:r>
      <w:r>
        <w:rPr>
          <w:rFonts w:hint="eastAsia" w:ascii="仿宋" w:hAnsi="仿宋" w:eastAsia="仿宋" w:cs="仿宋"/>
          <w:color w:val="auto"/>
          <w:kern w:val="0"/>
          <w:szCs w:val="24"/>
          <w:highlight w:val="none"/>
          <w:lang w:eastAsia="zh-CN"/>
        </w:rPr>
        <w:t>响应人</w:t>
      </w:r>
      <w:r>
        <w:rPr>
          <w:rFonts w:hint="eastAsia" w:ascii="仿宋" w:hAnsi="仿宋" w:eastAsia="仿宋" w:cs="仿宋"/>
          <w:color w:val="auto"/>
          <w:kern w:val="0"/>
          <w:szCs w:val="24"/>
          <w:highlight w:val="none"/>
        </w:rPr>
        <w:t>的澄清、说明或者补正不得超出响应文件的范围或者改变响应文件的实质性内容。</w:t>
      </w:r>
    </w:p>
    <w:p w14:paraId="1A857403">
      <w:pPr>
        <w:pStyle w:val="24"/>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4.2交易无效。</w:t>
      </w:r>
      <w:r>
        <w:rPr>
          <w:rFonts w:hint="eastAsia" w:ascii="仿宋" w:hAnsi="仿宋" w:eastAsia="仿宋" w:cs="仿宋"/>
          <w:color w:val="auto"/>
          <w:szCs w:val="21"/>
          <w:highlight w:val="none"/>
        </w:rPr>
        <w:t>有下列情形之一的，交易无效：</w:t>
      </w:r>
    </w:p>
    <w:p w14:paraId="270E2AB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eastAsia="zh-CN"/>
        </w:rPr>
        <w:t>响应人</w:t>
      </w:r>
      <w:r>
        <w:rPr>
          <w:rFonts w:hint="eastAsia" w:ascii="仿宋" w:hAnsi="仿宋" w:eastAsia="仿宋" w:cs="仿宋"/>
          <w:color w:val="auto"/>
          <w:kern w:val="0"/>
          <w:sz w:val="24"/>
          <w:highlight w:val="none"/>
        </w:rPr>
        <w:t>不具备交易文件中规定的资格要求的（</w:t>
      </w:r>
      <w:r>
        <w:rPr>
          <w:rFonts w:hint="eastAsia" w:ascii="仿宋" w:hAnsi="仿宋" w:eastAsia="仿宋" w:cs="仿宋"/>
          <w:color w:val="auto"/>
          <w:kern w:val="0"/>
          <w:sz w:val="24"/>
          <w:highlight w:val="none"/>
          <w:lang w:eastAsia="zh-CN"/>
        </w:rPr>
        <w:t>响应人</w:t>
      </w:r>
      <w:r>
        <w:rPr>
          <w:rFonts w:hint="eastAsia" w:ascii="仿宋" w:hAnsi="仿宋" w:eastAsia="仿宋" w:cs="仿宋"/>
          <w:color w:val="auto"/>
          <w:kern w:val="0"/>
          <w:sz w:val="24"/>
          <w:highlight w:val="none"/>
        </w:rPr>
        <w:t>未提供有效的资格文件的，视为</w:t>
      </w:r>
      <w:r>
        <w:rPr>
          <w:rFonts w:hint="eastAsia" w:ascii="仿宋" w:hAnsi="仿宋" w:eastAsia="仿宋" w:cs="仿宋"/>
          <w:color w:val="auto"/>
          <w:kern w:val="0"/>
          <w:sz w:val="24"/>
          <w:highlight w:val="none"/>
          <w:lang w:eastAsia="zh-CN"/>
        </w:rPr>
        <w:t>响应人</w:t>
      </w:r>
      <w:r>
        <w:rPr>
          <w:rFonts w:hint="eastAsia" w:ascii="仿宋" w:hAnsi="仿宋" w:eastAsia="仿宋" w:cs="仿宋"/>
          <w:color w:val="auto"/>
          <w:kern w:val="0"/>
          <w:sz w:val="24"/>
          <w:highlight w:val="none"/>
        </w:rPr>
        <w:t>不具备交易文件中规定的资格要求）；</w:t>
      </w:r>
    </w:p>
    <w:p w14:paraId="6B9285B7">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4.2.2响应文件未按照交易文件要求签署、盖章的；</w:t>
      </w:r>
    </w:p>
    <w:p w14:paraId="00F8B432">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4.2.3响应文件含有采购人不能接受的附加条件的；</w:t>
      </w:r>
    </w:p>
    <w:p w14:paraId="56167685">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4.2.4响应文件中承诺的交易有效期少于交易文件中载明的交易有效期的；</w:t>
      </w:r>
    </w:p>
    <w:p w14:paraId="73916729">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4.2.5响应文件出现不是唯一的、有选择性响应报价的;</w:t>
      </w:r>
    </w:p>
    <w:p w14:paraId="54693529">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4.2.6响应报价超过交易文件中规定的预算金额或者最高限价的;</w:t>
      </w:r>
    </w:p>
    <w:p w14:paraId="1D30A815">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4.2.7报价明显低于其他通过符合性审查</w:t>
      </w:r>
      <w:r>
        <w:rPr>
          <w:rFonts w:hint="eastAsia" w:ascii="仿宋" w:hAnsi="仿宋" w:eastAsia="仿宋" w:cs="仿宋"/>
          <w:color w:val="auto"/>
          <w:kern w:val="0"/>
          <w:sz w:val="24"/>
          <w:highlight w:val="none"/>
          <w:lang w:eastAsia="zh-CN"/>
        </w:rPr>
        <w:t>响应人</w:t>
      </w:r>
      <w:r>
        <w:rPr>
          <w:rFonts w:hint="eastAsia" w:ascii="仿宋" w:hAnsi="仿宋" w:eastAsia="仿宋" w:cs="仿宋"/>
          <w:color w:val="auto"/>
          <w:kern w:val="0"/>
          <w:sz w:val="24"/>
          <w:highlight w:val="none"/>
        </w:rPr>
        <w:t>的报价，有可能影响产品质量或者不能诚信履约的，未能按要求提供书面说明或者提交相关证明材料，不能证明其报价合理性的;</w:t>
      </w:r>
    </w:p>
    <w:p w14:paraId="1C976BB4">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w:t>
      </w:r>
      <w:r>
        <w:rPr>
          <w:rFonts w:hint="eastAsia" w:ascii="仿宋" w:hAnsi="仿宋" w:eastAsia="仿宋" w:cs="仿宋"/>
          <w:color w:val="auto"/>
          <w:kern w:val="0"/>
          <w:sz w:val="24"/>
          <w:highlight w:val="none"/>
          <w:lang w:eastAsia="zh-CN"/>
        </w:rPr>
        <w:t>响应人</w:t>
      </w:r>
      <w:r>
        <w:rPr>
          <w:rFonts w:hint="eastAsia" w:ascii="仿宋" w:hAnsi="仿宋" w:eastAsia="仿宋" w:cs="仿宋"/>
          <w:color w:val="auto"/>
          <w:kern w:val="0"/>
          <w:sz w:val="24"/>
          <w:highlight w:val="none"/>
        </w:rPr>
        <w:t>对根据修正原则修正后的报价不确认的；</w:t>
      </w:r>
    </w:p>
    <w:p w14:paraId="0EADAB83">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w:t>
      </w:r>
      <w:r>
        <w:rPr>
          <w:rFonts w:hint="eastAsia" w:ascii="仿宋" w:hAnsi="仿宋" w:eastAsia="仿宋" w:cs="仿宋"/>
          <w:color w:val="auto"/>
          <w:kern w:val="0"/>
          <w:sz w:val="24"/>
          <w:highlight w:val="none"/>
          <w:lang w:eastAsia="zh-CN"/>
        </w:rPr>
        <w:t>响应人</w:t>
      </w:r>
      <w:r>
        <w:rPr>
          <w:rFonts w:hint="eastAsia" w:ascii="仿宋" w:hAnsi="仿宋" w:eastAsia="仿宋" w:cs="仿宋"/>
          <w:color w:val="auto"/>
          <w:kern w:val="0"/>
          <w:sz w:val="24"/>
          <w:highlight w:val="none"/>
        </w:rPr>
        <w:t>提供虚假材料响应的；</w:t>
      </w:r>
    </w:p>
    <w:p w14:paraId="681733D7">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w:t>
      </w:r>
      <w:r>
        <w:rPr>
          <w:rFonts w:hint="eastAsia" w:ascii="仿宋" w:hAnsi="仿宋" w:eastAsia="仿宋" w:cs="仿宋"/>
          <w:color w:val="auto"/>
          <w:kern w:val="0"/>
          <w:sz w:val="24"/>
          <w:highlight w:val="none"/>
          <w:lang w:eastAsia="zh-CN"/>
        </w:rPr>
        <w:t>响应人</w:t>
      </w:r>
      <w:r>
        <w:rPr>
          <w:rFonts w:hint="eastAsia" w:ascii="仿宋" w:hAnsi="仿宋" w:eastAsia="仿宋" w:cs="仿宋"/>
          <w:color w:val="auto"/>
          <w:kern w:val="0"/>
          <w:sz w:val="24"/>
          <w:highlight w:val="none"/>
        </w:rPr>
        <w:t>有恶意串通、妨碍其他</w:t>
      </w:r>
      <w:r>
        <w:rPr>
          <w:rFonts w:hint="eastAsia" w:ascii="仿宋" w:hAnsi="仿宋" w:eastAsia="仿宋" w:cs="仿宋"/>
          <w:color w:val="auto"/>
          <w:kern w:val="0"/>
          <w:sz w:val="24"/>
          <w:highlight w:val="none"/>
          <w:lang w:eastAsia="zh-CN"/>
        </w:rPr>
        <w:t>响应人</w:t>
      </w:r>
      <w:r>
        <w:rPr>
          <w:rFonts w:hint="eastAsia" w:ascii="仿宋" w:hAnsi="仿宋" w:eastAsia="仿宋" w:cs="仿宋"/>
          <w:color w:val="auto"/>
          <w:kern w:val="0"/>
          <w:sz w:val="24"/>
          <w:highlight w:val="none"/>
        </w:rPr>
        <w:t>的竞争行为、损害采购人或者其他</w:t>
      </w:r>
      <w:r>
        <w:rPr>
          <w:rFonts w:hint="eastAsia" w:ascii="仿宋" w:hAnsi="仿宋" w:eastAsia="仿宋" w:cs="仿宋"/>
          <w:color w:val="auto"/>
          <w:kern w:val="0"/>
          <w:sz w:val="24"/>
          <w:highlight w:val="none"/>
          <w:lang w:eastAsia="zh-CN"/>
        </w:rPr>
        <w:t>响应人</w:t>
      </w:r>
      <w:r>
        <w:rPr>
          <w:rFonts w:hint="eastAsia" w:ascii="仿宋" w:hAnsi="仿宋" w:eastAsia="仿宋" w:cs="仿宋"/>
          <w:color w:val="auto"/>
          <w:kern w:val="0"/>
          <w:sz w:val="24"/>
          <w:highlight w:val="none"/>
        </w:rPr>
        <w:t>的合法权益情形的；</w:t>
      </w:r>
    </w:p>
    <w:p w14:paraId="1741F2C1">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w:t>
      </w:r>
      <w:r>
        <w:rPr>
          <w:rFonts w:hint="eastAsia" w:ascii="仿宋" w:hAnsi="仿宋" w:eastAsia="仿宋" w:cs="仿宋"/>
          <w:color w:val="auto"/>
          <w:kern w:val="0"/>
          <w:sz w:val="24"/>
          <w:highlight w:val="none"/>
          <w:lang w:eastAsia="zh-CN"/>
        </w:rPr>
        <w:t>响应人</w:t>
      </w:r>
      <w:r>
        <w:rPr>
          <w:rFonts w:hint="eastAsia" w:ascii="仿宋" w:hAnsi="仿宋" w:eastAsia="仿宋" w:cs="仿宋"/>
          <w:color w:val="auto"/>
          <w:kern w:val="0"/>
          <w:sz w:val="24"/>
          <w:highlight w:val="none"/>
        </w:rPr>
        <w:t>仅提交备份响应文件，未在电子交易平台传输递交响应文件的，交易无效；</w:t>
      </w:r>
    </w:p>
    <w:p w14:paraId="69D73CA8">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4.2.12响应文件不满足交易文件的其它实质性要求的；</w:t>
      </w:r>
    </w:p>
    <w:p w14:paraId="4D44E1F2">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4.2.13 法律、法规、规章（适用本市的）及省级以上规范性文件（适用本市的）规定的其他无效情形。</w:t>
      </w:r>
    </w:p>
    <w:p w14:paraId="1B64B0AF">
      <w:pPr>
        <w:pStyle w:val="24"/>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在采购中，出现下列情形之一的，应予废标：</w:t>
      </w:r>
    </w:p>
    <w:p w14:paraId="4E61B0BA">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或者对交易文件作实质响应的</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不足3家的；</w:t>
      </w:r>
    </w:p>
    <w:p w14:paraId="10D14FCD">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49D1863C">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的报价均超过了采购预算，采购人不能支付的；</w:t>
      </w:r>
    </w:p>
    <w:p w14:paraId="6A596069">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3804F2FE">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废标后，采购机构应当将废标理由通知所有</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w:t>
      </w:r>
    </w:p>
    <w:p w14:paraId="62F10B90">
      <w:pPr>
        <w:pStyle w:val="24"/>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highlight w:val="none"/>
        </w:rPr>
        <w:t>6.修改交易文件，重新组织采购活动。</w:t>
      </w:r>
      <w:r>
        <w:rPr>
          <w:rFonts w:hint="eastAsia" w:ascii="仿宋" w:hAnsi="仿宋" w:eastAsia="仿宋" w:cs="仿宋"/>
          <w:color w:val="auto"/>
          <w:highlight w:val="none"/>
        </w:rPr>
        <w:t>评标委员会发现交易文件存在歧义、重大缺陷导致评标工作无法进行，或者交易文件内容违反国家有关强制性规定的，将停止评标工作，并与采购人、采购机构沟通并作书面记录。采购人、采购机构确认后，将修改交易文件，重新组织采购活动。</w:t>
      </w:r>
    </w:p>
    <w:p w14:paraId="136264A0">
      <w:pPr>
        <w:pStyle w:val="24"/>
        <w:snapToGrid w:val="0"/>
        <w:spacing w:line="360" w:lineRule="auto"/>
        <w:ind w:firstLine="0" w:firstLineChars="0"/>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有影响或者可能影响成交、成交结果的，依照下列规定处理：</w:t>
      </w:r>
    </w:p>
    <w:p w14:paraId="06FF1B0E">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7.1未确定成交或者成交人的，终止本次采购活动，重新开展采购活动。</w:t>
      </w:r>
    </w:p>
    <w:p w14:paraId="5C12778A">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7.2已确定成交或者成交人但尚未签订采购合同的，成交或者成交结果无效，从合格的成交或者成交候选人中另行确定成交或者成交人；没有合格的成交或者成交候选人的，重新开展采购活动。</w:t>
      </w:r>
    </w:p>
    <w:p w14:paraId="68CE676B">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7.3采购合同已签订但尚未履行的，撤销合同，从合格的成交或者成交候选人中另行确定成交或者成交人；没有合格的成交或者成交候选人的，重新开展采购活动。</w:t>
      </w:r>
    </w:p>
    <w:p w14:paraId="42AF05D7">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7.4采购合同已经履行，给采购人、</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造成损失的，由责任人承担赔偿责任。</w:t>
      </w:r>
    </w:p>
    <w:p w14:paraId="587835A0">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7.5采购当事人有其他违反相关</w:t>
      </w:r>
      <w:r>
        <w:rPr>
          <w:rFonts w:hint="eastAsia" w:ascii="仿宋" w:hAnsi="仿宋" w:eastAsia="仿宋" w:cs="仿宋"/>
          <w:color w:val="auto"/>
          <w:kern w:val="0"/>
          <w:highlight w:val="none"/>
        </w:rPr>
        <w:t>法律法规规定</w:t>
      </w:r>
      <w:r>
        <w:rPr>
          <w:rFonts w:hint="eastAsia" w:ascii="仿宋" w:hAnsi="仿宋" w:eastAsia="仿宋" w:cs="仿宋"/>
          <w:color w:val="auto"/>
          <w:highlight w:val="none"/>
        </w:rPr>
        <w:t>的行为，经改正后仍然影响或者可能影响成交、成交结果或者依法被认定为成交、成交无效的，依照7.1-7.4规定处理。</w:t>
      </w:r>
    </w:p>
    <w:bookmarkEnd w:id="17"/>
    <w:p w14:paraId="43EE67EA">
      <w:pPr>
        <w:spacing w:line="360" w:lineRule="auto"/>
        <w:ind w:left="720" w:leftChars="343" w:firstLine="1084" w:firstLineChars="300"/>
        <w:outlineLvl w:val="0"/>
        <w:rPr>
          <w:rFonts w:hint="eastAsia" w:ascii="仿宋" w:hAnsi="仿宋" w:eastAsia="仿宋" w:cs="仿宋"/>
          <w:b/>
          <w:color w:val="auto"/>
          <w:sz w:val="36"/>
          <w:szCs w:val="36"/>
          <w:highlight w:val="none"/>
        </w:rPr>
      </w:pPr>
      <w:bookmarkStart w:id="388" w:name="_Toc86217003"/>
      <w:bookmarkStart w:id="389" w:name="第五部分"/>
    </w:p>
    <w:p w14:paraId="5989CE5D">
      <w:pPr>
        <w:spacing w:line="360" w:lineRule="auto"/>
        <w:jc w:val="center"/>
        <w:rPr>
          <w:rFonts w:hint="eastAsia" w:ascii="仿宋" w:hAnsi="仿宋" w:eastAsia="仿宋" w:cs="仿宋"/>
          <w:b/>
          <w:color w:val="auto"/>
          <w:sz w:val="36"/>
          <w:szCs w:val="36"/>
          <w:highlight w:val="none"/>
        </w:rPr>
      </w:pPr>
    </w:p>
    <w:p w14:paraId="6B014D34">
      <w:pPr>
        <w:spacing w:line="360" w:lineRule="auto"/>
        <w:jc w:val="center"/>
        <w:rPr>
          <w:rFonts w:hint="eastAsia" w:ascii="仿宋" w:hAnsi="仿宋" w:eastAsia="仿宋" w:cs="仿宋"/>
          <w:b/>
          <w:color w:val="auto"/>
          <w:sz w:val="36"/>
          <w:szCs w:val="36"/>
          <w:highlight w:val="none"/>
        </w:rPr>
      </w:pPr>
    </w:p>
    <w:p w14:paraId="27440152">
      <w:pPr>
        <w:spacing w:line="360" w:lineRule="auto"/>
        <w:jc w:val="center"/>
        <w:rPr>
          <w:rFonts w:hint="eastAsia" w:ascii="仿宋" w:hAnsi="仿宋" w:eastAsia="仿宋" w:cs="仿宋"/>
          <w:b/>
          <w:color w:val="auto"/>
          <w:sz w:val="36"/>
          <w:szCs w:val="36"/>
          <w:highlight w:val="none"/>
        </w:rPr>
      </w:pPr>
    </w:p>
    <w:p w14:paraId="2034024A">
      <w:pPr>
        <w:spacing w:line="360" w:lineRule="auto"/>
        <w:jc w:val="center"/>
        <w:rPr>
          <w:rFonts w:hint="eastAsia" w:ascii="仿宋" w:hAnsi="仿宋" w:eastAsia="仿宋" w:cs="仿宋"/>
          <w:b/>
          <w:color w:val="auto"/>
          <w:sz w:val="36"/>
          <w:szCs w:val="36"/>
          <w:highlight w:val="none"/>
        </w:rPr>
      </w:pPr>
    </w:p>
    <w:p w14:paraId="3577E7FC">
      <w:pPr>
        <w:spacing w:line="360" w:lineRule="auto"/>
        <w:jc w:val="center"/>
        <w:rPr>
          <w:rFonts w:hint="eastAsia" w:ascii="仿宋" w:hAnsi="仿宋" w:eastAsia="仿宋" w:cs="仿宋"/>
          <w:b/>
          <w:color w:val="auto"/>
          <w:sz w:val="36"/>
          <w:szCs w:val="36"/>
          <w:highlight w:val="none"/>
        </w:rPr>
      </w:pPr>
    </w:p>
    <w:p w14:paraId="2D5E6F93">
      <w:pPr>
        <w:spacing w:line="360" w:lineRule="auto"/>
        <w:jc w:val="center"/>
        <w:rPr>
          <w:rFonts w:hint="eastAsia" w:ascii="仿宋" w:hAnsi="仿宋" w:eastAsia="仿宋" w:cs="仿宋"/>
          <w:b/>
          <w:color w:val="auto"/>
          <w:sz w:val="36"/>
          <w:szCs w:val="36"/>
          <w:highlight w:val="none"/>
        </w:rPr>
      </w:pPr>
    </w:p>
    <w:p w14:paraId="5CC28889">
      <w:pPr>
        <w:spacing w:line="360" w:lineRule="auto"/>
        <w:jc w:val="center"/>
        <w:rPr>
          <w:rFonts w:hint="eastAsia" w:ascii="仿宋" w:hAnsi="仿宋" w:eastAsia="仿宋" w:cs="仿宋"/>
          <w:b/>
          <w:color w:val="auto"/>
          <w:sz w:val="36"/>
          <w:szCs w:val="36"/>
          <w:highlight w:val="none"/>
        </w:rPr>
      </w:pPr>
    </w:p>
    <w:p w14:paraId="431B50E3">
      <w:pPr>
        <w:spacing w:line="360" w:lineRule="auto"/>
        <w:jc w:val="center"/>
        <w:rPr>
          <w:rFonts w:hint="eastAsia" w:ascii="仿宋" w:hAnsi="仿宋" w:eastAsia="仿宋" w:cs="仿宋"/>
          <w:b/>
          <w:color w:val="auto"/>
          <w:sz w:val="36"/>
          <w:szCs w:val="36"/>
          <w:highlight w:val="none"/>
        </w:rPr>
      </w:pPr>
    </w:p>
    <w:p w14:paraId="2F7B7269">
      <w:pPr>
        <w:spacing w:line="360" w:lineRule="auto"/>
        <w:jc w:val="center"/>
        <w:rPr>
          <w:rFonts w:hint="eastAsia" w:ascii="仿宋" w:hAnsi="仿宋" w:eastAsia="仿宋" w:cs="仿宋"/>
          <w:b/>
          <w:color w:val="auto"/>
          <w:sz w:val="36"/>
          <w:szCs w:val="36"/>
          <w:highlight w:val="none"/>
        </w:rPr>
      </w:pPr>
    </w:p>
    <w:p w14:paraId="52FACFCB">
      <w:pPr>
        <w:spacing w:line="360" w:lineRule="auto"/>
        <w:jc w:val="center"/>
        <w:rPr>
          <w:rFonts w:hint="eastAsia" w:ascii="仿宋" w:hAnsi="仿宋" w:eastAsia="仿宋" w:cs="仿宋"/>
          <w:b/>
          <w:color w:val="auto"/>
          <w:sz w:val="36"/>
          <w:szCs w:val="36"/>
          <w:highlight w:val="none"/>
        </w:rPr>
      </w:pPr>
    </w:p>
    <w:p w14:paraId="2F814F7A">
      <w:pPr>
        <w:spacing w:line="360" w:lineRule="auto"/>
        <w:jc w:val="center"/>
        <w:rPr>
          <w:rFonts w:hint="eastAsia" w:ascii="仿宋" w:hAnsi="仿宋" w:eastAsia="仿宋" w:cs="仿宋"/>
          <w:b/>
          <w:color w:val="auto"/>
          <w:sz w:val="36"/>
          <w:szCs w:val="36"/>
          <w:highlight w:val="none"/>
        </w:rPr>
      </w:pPr>
    </w:p>
    <w:p w14:paraId="09FA85E5">
      <w:pPr>
        <w:spacing w:line="360" w:lineRule="auto"/>
        <w:jc w:val="center"/>
        <w:rPr>
          <w:rFonts w:hint="eastAsia" w:ascii="仿宋" w:hAnsi="仿宋" w:eastAsia="仿宋" w:cs="仿宋"/>
          <w:b/>
          <w:color w:val="auto"/>
          <w:sz w:val="36"/>
          <w:szCs w:val="36"/>
          <w:highlight w:val="none"/>
        </w:rPr>
      </w:pPr>
    </w:p>
    <w:p w14:paraId="602CF557">
      <w:pPr>
        <w:spacing w:line="360" w:lineRule="auto"/>
        <w:jc w:val="center"/>
        <w:rPr>
          <w:rFonts w:hint="eastAsia" w:ascii="仿宋" w:hAnsi="仿宋" w:eastAsia="仿宋" w:cs="仿宋"/>
          <w:b/>
          <w:color w:val="auto"/>
          <w:sz w:val="36"/>
          <w:szCs w:val="36"/>
          <w:highlight w:val="none"/>
        </w:rPr>
      </w:pPr>
    </w:p>
    <w:p w14:paraId="56754556">
      <w:pPr>
        <w:spacing w:line="360" w:lineRule="auto"/>
        <w:jc w:val="center"/>
        <w:rPr>
          <w:rFonts w:hint="eastAsia" w:ascii="仿宋" w:hAnsi="仿宋" w:eastAsia="仿宋" w:cs="仿宋"/>
          <w:b/>
          <w:color w:val="auto"/>
          <w:sz w:val="36"/>
          <w:szCs w:val="36"/>
          <w:highlight w:val="none"/>
        </w:rPr>
      </w:pPr>
    </w:p>
    <w:p w14:paraId="51A8287F">
      <w:pPr>
        <w:spacing w:line="36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合同主要条款</w:t>
      </w:r>
    </w:p>
    <w:p w14:paraId="5F4A8182">
      <w:pPr>
        <w:widowControl/>
        <w:overflowPunct w:val="0"/>
        <w:autoSpaceDE w:val="0"/>
        <w:autoSpaceDN w:val="0"/>
        <w:snapToGrid w:val="0"/>
        <w:spacing w:before="156" w:line="360" w:lineRule="auto"/>
        <w:jc w:val="center"/>
        <w:textAlignment w:val="baseline"/>
        <w:rPr>
          <w:rFonts w:hint="eastAsia" w:ascii="仿宋" w:hAnsi="仿宋" w:eastAsia="仿宋" w:cs="仿宋"/>
          <w:color w:val="auto"/>
          <w:sz w:val="28"/>
          <w:szCs w:val="28"/>
          <w:highlight w:val="none"/>
        </w:rPr>
      </w:pPr>
      <w:r>
        <w:rPr>
          <w:rFonts w:hint="eastAsia" w:ascii="仿宋" w:hAnsi="仿宋" w:eastAsia="仿宋" w:cs="仿宋"/>
          <w:b/>
          <w:bCs/>
          <w:color w:val="auto"/>
          <w:kern w:val="0"/>
          <w:sz w:val="28"/>
          <w:szCs w:val="28"/>
          <w:highlight w:val="none"/>
        </w:rPr>
        <w:t>（本合同为合同样稿，最终稿由双方协商后确定）</w:t>
      </w:r>
    </w:p>
    <w:p w14:paraId="79B1EB55">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合同编号：</w:t>
      </w:r>
    </w:p>
    <w:p w14:paraId="07E18F9A">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签订地点：                                 签订时间：202</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年  月  日</w:t>
      </w:r>
    </w:p>
    <w:p w14:paraId="3EAA9AF1">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项目名称：</w:t>
      </w:r>
    </w:p>
    <w:p w14:paraId="6DA0404E">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甲方（需方）：</w:t>
      </w:r>
    </w:p>
    <w:p w14:paraId="3BAD3874">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乙方（供方）：</w:t>
      </w:r>
    </w:p>
    <w:p w14:paraId="4829D74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供、需双方根据</w:t>
      </w:r>
      <w:r>
        <w:rPr>
          <w:rFonts w:hint="eastAsia" w:ascii="仿宋" w:hAnsi="仿宋" w:eastAsia="仿宋" w:cs="仿宋"/>
          <w:bCs/>
          <w:color w:val="auto"/>
          <w:sz w:val="24"/>
          <w:highlight w:val="non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项目</w:t>
      </w:r>
      <w:r>
        <w:rPr>
          <w:rFonts w:hint="eastAsia" w:ascii="仿宋" w:hAnsi="仿宋" w:eastAsia="仿宋" w:cs="仿宋"/>
          <w:color w:val="auto"/>
          <w:sz w:val="24"/>
          <w:highlight w:val="none"/>
        </w:rPr>
        <w:t>编号  -  -   ）</w:t>
      </w:r>
      <w:r>
        <w:rPr>
          <w:rFonts w:hint="eastAsia" w:ascii="仿宋" w:hAnsi="仿宋" w:eastAsia="仿宋" w:cs="仿宋"/>
          <w:color w:val="auto"/>
          <w:sz w:val="24"/>
          <w:highlight w:val="none"/>
          <w:lang w:val="en-US" w:eastAsia="zh-CN"/>
        </w:rPr>
        <w:t>交易</w:t>
      </w:r>
      <w:r>
        <w:rPr>
          <w:rFonts w:hint="eastAsia" w:ascii="仿宋" w:hAnsi="仿宋" w:eastAsia="仿宋" w:cs="仿宋"/>
          <w:color w:val="auto"/>
          <w:sz w:val="24"/>
          <w:highlight w:val="none"/>
        </w:rPr>
        <w:t>结果和</w:t>
      </w:r>
      <w:r>
        <w:rPr>
          <w:rFonts w:hint="eastAsia" w:ascii="仿宋" w:hAnsi="仿宋" w:eastAsia="仿宋" w:cs="仿宋"/>
          <w:color w:val="auto"/>
          <w:w w:val="100"/>
          <w:sz w:val="24"/>
          <w:highlight w:val="none"/>
          <w:lang w:eastAsia="zh-CN"/>
        </w:rPr>
        <w:t>交易文件</w:t>
      </w:r>
      <w:r>
        <w:rPr>
          <w:rFonts w:hint="eastAsia" w:ascii="仿宋" w:hAnsi="仿宋" w:eastAsia="仿宋" w:cs="仿宋"/>
          <w:color w:val="auto"/>
          <w:sz w:val="24"/>
          <w:highlight w:val="none"/>
        </w:rPr>
        <w:t>的要求，并经双方协调一致，订立本采购合同。</w:t>
      </w:r>
    </w:p>
    <w:p w14:paraId="344AFEEE">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一、合同文件：</w:t>
      </w:r>
    </w:p>
    <w:p w14:paraId="176D8FFC">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1、合同条款。</w:t>
      </w:r>
    </w:p>
    <w:p w14:paraId="03AA07D6">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w w:val="100"/>
          <w:highlight w:val="none"/>
          <w:lang w:eastAsia="zh-CN"/>
        </w:rPr>
        <w:t>成交</w:t>
      </w:r>
      <w:r>
        <w:rPr>
          <w:rFonts w:hint="eastAsia" w:ascii="仿宋" w:hAnsi="仿宋" w:eastAsia="仿宋" w:cs="仿宋"/>
          <w:color w:val="auto"/>
          <w:highlight w:val="none"/>
        </w:rPr>
        <w:t>通知书。</w:t>
      </w:r>
    </w:p>
    <w:p w14:paraId="18F7217F">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3、</w:t>
      </w:r>
      <w:r>
        <w:rPr>
          <w:rFonts w:hint="eastAsia" w:ascii="仿宋" w:hAnsi="仿宋" w:eastAsia="仿宋" w:cs="仿宋"/>
          <w:color w:val="auto"/>
          <w:w w:val="100"/>
          <w:highlight w:val="none"/>
          <w:lang w:eastAsia="zh-CN"/>
        </w:rPr>
        <w:t>交易文件</w:t>
      </w:r>
      <w:r>
        <w:rPr>
          <w:rFonts w:hint="eastAsia" w:ascii="仿宋" w:hAnsi="仿宋" w:eastAsia="仿宋" w:cs="仿宋"/>
          <w:color w:val="auto"/>
          <w:highlight w:val="none"/>
        </w:rPr>
        <w:t>。</w:t>
      </w:r>
    </w:p>
    <w:p w14:paraId="4ADE7E12">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4、更正公告。</w:t>
      </w:r>
    </w:p>
    <w:p w14:paraId="2A2127F7">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w:t>
      </w:r>
      <w:r>
        <w:rPr>
          <w:rFonts w:hint="eastAsia" w:ascii="仿宋" w:hAnsi="仿宋" w:eastAsia="仿宋" w:cs="仿宋"/>
          <w:color w:val="auto"/>
          <w:w w:val="100"/>
          <w:highlight w:val="none"/>
          <w:lang w:eastAsia="zh-CN"/>
        </w:rPr>
        <w:t>成交人响应文件</w:t>
      </w:r>
      <w:r>
        <w:rPr>
          <w:rFonts w:hint="eastAsia" w:ascii="仿宋" w:hAnsi="仿宋" w:eastAsia="仿宋" w:cs="仿宋"/>
          <w:color w:val="auto"/>
          <w:highlight w:val="none"/>
        </w:rPr>
        <w:t>。</w:t>
      </w:r>
    </w:p>
    <w:p w14:paraId="29B6A491">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6、其他。</w:t>
      </w:r>
    </w:p>
    <w:p w14:paraId="7960AA0F">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二、合同金额: 本合同金额为（大写）</w:t>
      </w:r>
      <w:r>
        <w:rPr>
          <w:rFonts w:hint="eastAsia" w:ascii="仿宋" w:hAnsi="仿宋" w:eastAsia="仿宋" w:cs="仿宋"/>
          <w:color w:val="auto"/>
          <w:highlight w:val="none"/>
          <w:u w:val="single"/>
        </w:rPr>
        <w:t>　　　　</w:t>
      </w:r>
      <w:r>
        <w:rPr>
          <w:rFonts w:hint="eastAsia" w:ascii="仿宋" w:hAnsi="仿宋" w:eastAsia="仿宋" w:cs="仿宋"/>
          <w:color w:val="auto"/>
          <w:highlight w:val="none"/>
        </w:rPr>
        <w:t>元（￥</w:t>
      </w:r>
      <w:r>
        <w:rPr>
          <w:rFonts w:hint="eastAsia" w:ascii="仿宋" w:hAnsi="仿宋" w:eastAsia="仿宋" w:cs="仿宋"/>
          <w:color w:val="auto"/>
          <w:highlight w:val="none"/>
          <w:u w:val="single"/>
        </w:rPr>
        <w:t>　　　　</w:t>
      </w:r>
      <w:r>
        <w:rPr>
          <w:rFonts w:hint="eastAsia" w:ascii="仿宋" w:hAnsi="仿宋" w:eastAsia="仿宋" w:cs="仿宋"/>
          <w:color w:val="auto"/>
          <w:highlight w:val="none"/>
        </w:rPr>
        <w:t>元）人民币。</w:t>
      </w:r>
    </w:p>
    <w:p w14:paraId="74B39A11">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附：</w:t>
      </w:r>
    </w:p>
    <w:p w14:paraId="0E4EC96D">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《采购项目清单内容》</w:t>
      </w:r>
    </w:p>
    <w:tbl>
      <w:tblPr>
        <w:tblStyle w:val="64"/>
        <w:tblW w:w="8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637"/>
        <w:gridCol w:w="1972"/>
        <w:gridCol w:w="961"/>
        <w:gridCol w:w="2356"/>
      </w:tblGrid>
      <w:tr w14:paraId="716B8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2FE15177">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637" w:type="dxa"/>
            <w:tcBorders>
              <w:top w:val="single" w:color="auto" w:sz="4" w:space="0"/>
              <w:left w:val="single" w:color="auto" w:sz="4" w:space="0"/>
              <w:bottom w:val="single" w:color="auto" w:sz="4" w:space="0"/>
              <w:right w:val="single" w:color="auto" w:sz="4" w:space="0"/>
            </w:tcBorders>
            <w:vAlign w:val="center"/>
          </w:tcPr>
          <w:p w14:paraId="14D4838A">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服务</w:t>
            </w:r>
            <w:r>
              <w:rPr>
                <w:rFonts w:hint="eastAsia" w:ascii="仿宋" w:hAnsi="仿宋" w:eastAsia="仿宋" w:cs="仿宋"/>
                <w:color w:val="auto"/>
                <w:sz w:val="24"/>
                <w:highlight w:val="none"/>
              </w:rPr>
              <w:t>项目</w:t>
            </w:r>
          </w:p>
        </w:tc>
        <w:tc>
          <w:tcPr>
            <w:tcW w:w="1972" w:type="dxa"/>
            <w:tcBorders>
              <w:top w:val="single" w:color="auto" w:sz="4" w:space="0"/>
              <w:left w:val="single" w:color="auto" w:sz="4" w:space="0"/>
              <w:bottom w:val="single" w:color="auto" w:sz="4" w:space="0"/>
              <w:right w:val="single" w:color="auto" w:sz="4" w:space="0"/>
            </w:tcBorders>
            <w:vAlign w:val="center"/>
          </w:tcPr>
          <w:p w14:paraId="100B358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w w:val="100"/>
                <w:sz w:val="24"/>
                <w:highlight w:val="none"/>
                <w:lang w:eastAsia="zh-CN"/>
              </w:rPr>
              <w:t>成交</w:t>
            </w:r>
            <w:r>
              <w:rPr>
                <w:rFonts w:hint="eastAsia" w:ascii="仿宋" w:hAnsi="仿宋" w:eastAsia="仿宋" w:cs="仿宋"/>
                <w:color w:val="auto"/>
                <w:sz w:val="24"/>
                <w:highlight w:val="none"/>
              </w:rPr>
              <w:t>内容</w:t>
            </w:r>
          </w:p>
        </w:tc>
        <w:tc>
          <w:tcPr>
            <w:tcW w:w="961" w:type="dxa"/>
            <w:tcBorders>
              <w:top w:val="single" w:color="auto" w:sz="4" w:space="0"/>
              <w:left w:val="single" w:color="auto" w:sz="4" w:space="0"/>
              <w:bottom w:val="single" w:color="auto" w:sz="4" w:space="0"/>
              <w:right w:val="single" w:color="auto" w:sz="4" w:space="0"/>
            </w:tcBorders>
            <w:vAlign w:val="center"/>
          </w:tcPr>
          <w:p w14:paraId="3FA68CD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2356" w:type="dxa"/>
            <w:tcBorders>
              <w:top w:val="single" w:color="auto" w:sz="4" w:space="0"/>
              <w:left w:val="single" w:color="auto" w:sz="4" w:space="0"/>
              <w:bottom w:val="single" w:color="auto" w:sz="4" w:space="0"/>
              <w:right w:val="single" w:color="auto" w:sz="4" w:space="0"/>
            </w:tcBorders>
            <w:vAlign w:val="center"/>
          </w:tcPr>
          <w:p w14:paraId="3CBC9B3F">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w w:val="100"/>
                <w:sz w:val="24"/>
                <w:highlight w:val="none"/>
                <w:lang w:eastAsia="zh-CN"/>
              </w:rPr>
              <w:t>成交</w:t>
            </w:r>
            <w:r>
              <w:rPr>
                <w:rFonts w:hint="eastAsia" w:ascii="仿宋" w:hAnsi="仿宋" w:eastAsia="仿宋" w:cs="仿宋"/>
                <w:color w:val="auto"/>
                <w:sz w:val="24"/>
                <w:highlight w:val="none"/>
              </w:rPr>
              <w:t>总价（元）</w:t>
            </w:r>
          </w:p>
        </w:tc>
      </w:tr>
      <w:tr w14:paraId="69223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1771E7A2">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637" w:type="dxa"/>
            <w:tcBorders>
              <w:top w:val="single" w:color="auto" w:sz="4" w:space="0"/>
              <w:left w:val="single" w:color="auto" w:sz="4" w:space="0"/>
              <w:bottom w:val="single" w:color="auto" w:sz="4" w:space="0"/>
              <w:right w:val="single" w:color="auto" w:sz="4" w:space="0"/>
            </w:tcBorders>
            <w:vAlign w:val="center"/>
          </w:tcPr>
          <w:p w14:paraId="0F559A88">
            <w:pPr>
              <w:spacing w:line="360" w:lineRule="auto"/>
              <w:jc w:val="center"/>
              <w:rPr>
                <w:rFonts w:hint="eastAsia" w:ascii="仿宋" w:hAnsi="仿宋" w:eastAsia="仿宋" w:cs="仿宋"/>
                <w:color w:val="auto"/>
                <w:sz w:val="24"/>
                <w:highlight w:val="none"/>
              </w:rPr>
            </w:pPr>
          </w:p>
        </w:tc>
        <w:tc>
          <w:tcPr>
            <w:tcW w:w="1972" w:type="dxa"/>
            <w:tcBorders>
              <w:top w:val="single" w:color="auto" w:sz="4" w:space="0"/>
              <w:left w:val="single" w:color="auto" w:sz="4" w:space="0"/>
              <w:bottom w:val="single" w:color="auto" w:sz="4" w:space="0"/>
              <w:right w:val="single" w:color="auto" w:sz="4" w:space="0"/>
            </w:tcBorders>
            <w:vAlign w:val="center"/>
          </w:tcPr>
          <w:p w14:paraId="1AA79200">
            <w:pPr>
              <w:spacing w:line="360" w:lineRule="auto"/>
              <w:jc w:val="center"/>
              <w:rPr>
                <w:rFonts w:hint="eastAsia" w:ascii="仿宋" w:hAnsi="仿宋" w:eastAsia="仿宋" w:cs="仿宋"/>
                <w:color w:val="auto"/>
                <w:sz w:val="24"/>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3566D6D5">
            <w:pPr>
              <w:spacing w:line="360" w:lineRule="auto"/>
              <w:jc w:val="center"/>
              <w:rPr>
                <w:rFonts w:hint="eastAsia" w:ascii="仿宋" w:hAnsi="仿宋" w:eastAsia="仿宋" w:cs="仿宋"/>
                <w:color w:val="auto"/>
                <w:sz w:val="24"/>
                <w:highlight w:val="none"/>
              </w:rPr>
            </w:pPr>
          </w:p>
        </w:tc>
        <w:tc>
          <w:tcPr>
            <w:tcW w:w="2356" w:type="dxa"/>
            <w:tcBorders>
              <w:top w:val="single" w:color="auto" w:sz="4" w:space="0"/>
              <w:left w:val="single" w:color="auto" w:sz="4" w:space="0"/>
              <w:bottom w:val="single" w:color="auto" w:sz="4" w:space="0"/>
              <w:right w:val="single" w:color="auto" w:sz="4" w:space="0"/>
            </w:tcBorders>
            <w:vAlign w:val="center"/>
          </w:tcPr>
          <w:p w14:paraId="614261DC">
            <w:pPr>
              <w:spacing w:line="360" w:lineRule="auto"/>
              <w:jc w:val="center"/>
              <w:rPr>
                <w:rFonts w:hint="eastAsia" w:ascii="仿宋" w:hAnsi="仿宋" w:eastAsia="仿宋" w:cs="仿宋"/>
                <w:color w:val="auto"/>
                <w:sz w:val="24"/>
                <w:highlight w:val="none"/>
              </w:rPr>
            </w:pPr>
          </w:p>
        </w:tc>
      </w:tr>
      <w:tr w14:paraId="181F6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0D98C47A">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637" w:type="dxa"/>
            <w:tcBorders>
              <w:top w:val="single" w:color="auto" w:sz="4" w:space="0"/>
              <w:left w:val="single" w:color="auto" w:sz="4" w:space="0"/>
              <w:bottom w:val="single" w:color="auto" w:sz="4" w:space="0"/>
              <w:right w:val="single" w:color="auto" w:sz="4" w:space="0"/>
            </w:tcBorders>
            <w:vAlign w:val="center"/>
          </w:tcPr>
          <w:p w14:paraId="4FA01DFB">
            <w:pPr>
              <w:spacing w:line="360" w:lineRule="auto"/>
              <w:jc w:val="center"/>
              <w:rPr>
                <w:rFonts w:hint="eastAsia" w:ascii="仿宋" w:hAnsi="仿宋" w:eastAsia="仿宋" w:cs="仿宋"/>
                <w:color w:val="auto"/>
                <w:sz w:val="24"/>
                <w:highlight w:val="none"/>
              </w:rPr>
            </w:pPr>
          </w:p>
        </w:tc>
        <w:tc>
          <w:tcPr>
            <w:tcW w:w="1972" w:type="dxa"/>
            <w:tcBorders>
              <w:top w:val="single" w:color="auto" w:sz="4" w:space="0"/>
              <w:left w:val="single" w:color="auto" w:sz="4" w:space="0"/>
              <w:bottom w:val="single" w:color="auto" w:sz="4" w:space="0"/>
              <w:right w:val="single" w:color="auto" w:sz="4" w:space="0"/>
            </w:tcBorders>
            <w:vAlign w:val="center"/>
          </w:tcPr>
          <w:p w14:paraId="5D56E070">
            <w:pPr>
              <w:spacing w:line="360" w:lineRule="auto"/>
              <w:jc w:val="center"/>
              <w:rPr>
                <w:rFonts w:hint="eastAsia" w:ascii="仿宋" w:hAnsi="仿宋" w:eastAsia="仿宋" w:cs="仿宋"/>
                <w:color w:val="auto"/>
                <w:sz w:val="24"/>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407CBB3D">
            <w:pPr>
              <w:spacing w:line="360" w:lineRule="auto"/>
              <w:jc w:val="center"/>
              <w:rPr>
                <w:rFonts w:hint="eastAsia" w:ascii="仿宋" w:hAnsi="仿宋" w:eastAsia="仿宋" w:cs="仿宋"/>
                <w:color w:val="auto"/>
                <w:sz w:val="24"/>
                <w:highlight w:val="none"/>
              </w:rPr>
            </w:pPr>
          </w:p>
        </w:tc>
        <w:tc>
          <w:tcPr>
            <w:tcW w:w="2356" w:type="dxa"/>
            <w:tcBorders>
              <w:top w:val="single" w:color="auto" w:sz="4" w:space="0"/>
              <w:left w:val="single" w:color="auto" w:sz="4" w:space="0"/>
              <w:bottom w:val="single" w:color="auto" w:sz="4" w:space="0"/>
              <w:right w:val="single" w:color="auto" w:sz="4" w:space="0"/>
            </w:tcBorders>
            <w:vAlign w:val="center"/>
          </w:tcPr>
          <w:p w14:paraId="289911CD">
            <w:pPr>
              <w:spacing w:line="360" w:lineRule="auto"/>
              <w:jc w:val="center"/>
              <w:rPr>
                <w:rFonts w:hint="eastAsia" w:ascii="仿宋" w:hAnsi="仿宋" w:eastAsia="仿宋" w:cs="仿宋"/>
                <w:color w:val="auto"/>
                <w:sz w:val="24"/>
                <w:highlight w:val="none"/>
              </w:rPr>
            </w:pPr>
          </w:p>
        </w:tc>
      </w:tr>
    </w:tbl>
    <w:p w14:paraId="12F277FF">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三、技术资料</w:t>
      </w:r>
    </w:p>
    <w:p w14:paraId="57210211">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1.乙方应按</w:t>
      </w:r>
      <w:r>
        <w:rPr>
          <w:rFonts w:hint="eastAsia" w:ascii="仿宋" w:hAnsi="仿宋" w:eastAsia="仿宋" w:cs="仿宋"/>
          <w:color w:val="auto"/>
          <w:w w:val="100"/>
          <w:highlight w:val="none"/>
          <w:lang w:eastAsia="zh-CN"/>
        </w:rPr>
        <w:t>交易文件</w:t>
      </w:r>
      <w:r>
        <w:rPr>
          <w:rFonts w:hint="eastAsia" w:ascii="仿宋" w:hAnsi="仿宋" w:eastAsia="仿宋" w:cs="仿宋"/>
          <w:color w:val="auto"/>
          <w:highlight w:val="none"/>
        </w:rPr>
        <w:t>规定的时间向甲方提供有关技术资料。</w:t>
      </w:r>
    </w:p>
    <w:p w14:paraId="73644EA0">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14:paraId="35EBC3B0">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四、转包或分包</w:t>
      </w:r>
    </w:p>
    <w:p w14:paraId="05957C96">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1.本合同范围的服务，应由乙方直接提供，乙方不得将本合同范围的服务全部或部分分包给他人供应；</w:t>
      </w:r>
    </w:p>
    <w:p w14:paraId="18E2D3D1">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2.如有转让和未经甲方同意的分包行为，甲方有权解除合同，追究乙方的违约责任。</w:t>
      </w:r>
    </w:p>
    <w:p w14:paraId="11183834">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五、服务质量保证期</w:t>
      </w:r>
    </w:p>
    <w:p w14:paraId="22987899">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 服务时间：</w:t>
      </w:r>
      <w:r>
        <w:rPr>
          <w:rFonts w:hint="eastAsia" w:ascii="仿宋" w:hAnsi="仿宋" w:eastAsia="仿宋" w:cs="仿宋"/>
          <w:color w:val="auto"/>
          <w:highlight w:val="none"/>
          <w:lang w:val="en-US" w:eastAsia="zh-CN"/>
        </w:rPr>
        <w:t xml:space="preserve">  </w:t>
      </w:r>
    </w:p>
    <w:p w14:paraId="4ED3A8EB">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六、合同履行时间、履行方式及履行地点</w:t>
      </w:r>
    </w:p>
    <w:p w14:paraId="3F45CEE4">
      <w:pPr>
        <w:pStyle w:val="24"/>
        <w:snapToGrid w:val="0"/>
        <w:spacing w:line="360" w:lineRule="auto"/>
        <w:rPr>
          <w:rFonts w:hint="eastAsia" w:ascii="仿宋" w:hAnsi="仿宋" w:eastAsia="仿宋" w:cs="仿宋"/>
          <w:color w:val="auto"/>
          <w:highlight w:val="none"/>
          <w:lang w:eastAsia="zh-CN"/>
        </w:rPr>
      </w:pPr>
      <w:r>
        <w:rPr>
          <w:rFonts w:hint="eastAsia" w:ascii="仿宋" w:hAnsi="仿宋" w:eastAsia="仿宋" w:cs="仿宋"/>
          <w:color w:val="auto"/>
          <w:highlight w:val="none"/>
        </w:rPr>
        <w:t>1. 履行时间：</w:t>
      </w:r>
      <w:r>
        <w:rPr>
          <w:rFonts w:hint="eastAsia" w:ascii="仿宋" w:hAnsi="仿宋" w:eastAsia="仿宋" w:cs="仿宋"/>
          <w:color w:val="auto"/>
          <w:highlight w:val="none"/>
          <w:lang w:val="en-US" w:eastAsia="zh-CN"/>
        </w:rPr>
        <w:t xml:space="preserve"> </w:t>
      </w:r>
    </w:p>
    <w:p w14:paraId="0C576767">
      <w:pPr>
        <w:pStyle w:val="24"/>
        <w:snapToGrid w:val="0"/>
        <w:spacing w:line="360" w:lineRule="auto"/>
        <w:rPr>
          <w:rFonts w:hint="eastAsia" w:ascii="仿宋" w:hAnsi="仿宋" w:eastAsia="仿宋" w:cs="仿宋"/>
          <w:color w:val="auto"/>
          <w:highlight w:val="none"/>
          <w:lang w:eastAsia="zh-CN"/>
        </w:rPr>
      </w:pPr>
      <w:r>
        <w:rPr>
          <w:rFonts w:hint="eastAsia" w:ascii="仿宋" w:hAnsi="仿宋" w:eastAsia="仿宋" w:cs="仿宋"/>
          <w:color w:val="auto"/>
          <w:highlight w:val="none"/>
        </w:rPr>
        <w:t>2. 履行方式：</w:t>
      </w:r>
      <w:r>
        <w:rPr>
          <w:rFonts w:hint="eastAsia" w:ascii="仿宋" w:hAnsi="仿宋" w:eastAsia="仿宋" w:cs="仿宋"/>
          <w:color w:val="auto"/>
          <w:highlight w:val="none"/>
          <w:lang w:val="en-US" w:eastAsia="zh-CN"/>
        </w:rPr>
        <w:t xml:space="preserve"> </w:t>
      </w:r>
    </w:p>
    <w:p w14:paraId="117B95FA">
      <w:pPr>
        <w:pStyle w:val="24"/>
        <w:snapToGrid w:val="0"/>
        <w:spacing w:line="360" w:lineRule="auto"/>
        <w:rPr>
          <w:rFonts w:hint="eastAsia" w:ascii="仿宋" w:hAnsi="仿宋" w:eastAsia="仿宋" w:cs="仿宋"/>
          <w:color w:val="auto"/>
          <w:highlight w:val="none"/>
          <w:lang w:eastAsia="zh-CN"/>
        </w:rPr>
      </w:pPr>
      <w:r>
        <w:rPr>
          <w:rFonts w:hint="eastAsia" w:ascii="仿宋" w:hAnsi="仿宋" w:eastAsia="仿宋" w:cs="仿宋"/>
          <w:color w:val="auto"/>
          <w:highlight w:val="none"/>
        </w:rPr>
        <w:t>3. 履行地点：</w:t>
      </w:r>
      <w:r>
        <w:rPr>
          <w:rFonts w:hint="eastAsia" w:ascii="仿宋" w:hAnsi="仿宋" w:eastAsia="仿宋" w:cs="仿宋"/>
          <w:color w:val="auto"/>
          <w:highlight w:val="none"/>
          <w:lang w:val="en-US" w:eastAsia="zh-CN"/>
        </w:rPr>
        <w:t xml:space="preserve"> </w:t>
      </w:r>
    </w:p>
    <w:p w14:paraId="0A4A92A1">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七、款项支付</w:t>
      </w:r>
    </w:p>
    <w:p w14:paraId="44A1782A">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参照交易需求。</w:t>
      </w:r>
    </w:p>
    <w:p w14:paraId="573DF0D8">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十、税费</w:t>
      </w:r>
    </w:p>
    <w:p w14:paraId="5C8DB357">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本合同执行中相关的一切税费均由乙方负担。</w:t>
      </w:r>
    </w:p>
    <w:p w14:paraId="00B29B56">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十一、质量保证及后续服务</w:t>
      </w:r>
    </w:p>
    <w:p w14:paraId="34C53775">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 乙方应按</w:t>
      </w:r>
      <w:r>
        <w:rPr>
          <w:rFonts w:hint="eastAsia" w:ascii="仿宋" w:hAnsi="仿宋" w:eastAsia="仿宋" w:cs="仿宋"/>
          <w:color w:val="auto"/>
          <w:w w:val="100"/>
          <w:highlight w:val="none"/>
          <w:lang w:eastAsia="zh-CN"/>
        </w:rPr>
        <w:t>交易文件</w:t>
      </w:r>
      <w:r>
        <w:rPr>
          <w:rFonts w:hint="eastAsia" w:ascii="仿宋" w:hAnsi="仿宋" w:eastAsia="仿宋" w:cs="仿宋"/>
          <w:color w:val="auto"/>
          <w:highlight w:val="none"/>
        </w:rPr>
        <w:t>规定向甲方提供服务。</w:t>
      </w:r>
    </w:p>
    <w:p w14:paraId="6DC1CF66">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 乙方提供的服务发生问题或产出重大不良影响的，除按结算条款扣除结算金额外，乙方应负责免费提供后续善后服务，同时承担相应责任。</w:t>
      </w:r>
    </w:p>
    <w:p w14:paraId="2CC10CB8">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十二、违约责任</w:t>
      </w:r>
    </w:p>
    <w:p w14:paraId="19F923DC">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1.甲方无正当理由拒绝接收服务导致本合同无法继续履行的，甲方向乙方偿付合同款项百分之五作为违约金。</w:t>
      </w:r>
    </w:p>
    <w:p w14:paraId="34C1CA29">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乙方未能如期提供服务的，每日向甲方支付合同款项的千分之四作为违约金。乙方超过约定日期10个工作日仍不能提供服务的，甲方有权解除本合同，乙方向甲方偿付合同款项百分之五作为违约金，因此给甲方造成损失的，由乙方负责赔偿。</w:t>
      </w:r>
    </w:p>
    <w:p w14:paraId="49ED2E62">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3.乙方提供的服务不符合甲方要求的或者因乙方原因给甲方名誉造成损害或者造成经济损失的，甲方有权解除本合同，乙方向甲方偿付合同款项百分之五作为违约金，因此给甲方造成损失的，由乙方负责赔偿。</w:t>
      </w:r>
    </w:p>
    <w:p w14:paraId="222D817F">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4.如发现乙方违反</w:t>
      </w:r>
      <w:r>
        <w:rPr>
          <w:rFonts w:hint="eastAsia" w:ascii="仿宋" w:hAnsi="仿宋" w:eastAsia="仿宋" w:cs="仿宋"/>
          <w:color w:val="auto"/>
          <w:highlight w:val="none"/>
          <w:lang w:val="en-US" w:eastAsia="zh-CN"/>
        </w:rPr>
        <w:t>交易</w:t>
      </w:r>
      <w:r>
        <w:rPr>
          <w:rFonts w:hint="eastAsia" w:ascii="仿宋" w:hAnsi="仿宋" w:eastAsia="仿宋" w:cs="仿宋"/>
          <w:color w:val="auto"/>
          <w:w w:val="100"/>
          <w:highlight w:val="none"/>
          <w:lang w:eastAsia="zh-CN"/>
        </w:rPr>
        <w:t>响应文件</w:t>
      </w:r>
      <w:r>
        <w:rPr>
          <w:rFonts w:hint="eastAsia" w:ascii="仿宋" w:hAnsi="仿宋" w:eastAsia="仿宋" w:cs="仿宋"/>
          <w:color w:val="auto"/>
          <w:highlight w:val="none"/>
        </w:rPr>
        <w:t>和合同的有关规定，甲方有权根据约定和《杭州市政府采购</w:t>
      </w:r>
      <w:r>
        <w:rPr>
          <w:rFonts w:hint="eastAsia" w:ascii="仿宋" w:hAnsi="仿宋" w:eastAsia="仿宋" w:cs="仿宋"/>
          <w:color w:val="auto"/>
          <w:highlight w:val="none"/>
          <w:lang w:val="en-US" w:eastAsia="zh-CN"/>
        </w:rPr>
        <w:t>响应人</w:t>
      </w:r>
      <w:r>
        <w:rPr>
          <w:rFonts w:hint="eastAsia" w:ascii="仿宋" w:hAnsi="仿宋" w:eastAsia="仿宋" w:cs="仿宋"/>
          <w:color w:val="auto"/>
          <w:highlight w:val="none"/>
        </w:rPr>
        <w:t>合同履行和售后服务考核暂行办法》，对乙方进行处罚，并有权提前终止合同。</w:t>
      </w:r>
    </w:p>
    <w:p w14:paraId="0F2C07E2">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十三、争议的解决</w:t>
      </w:r>
    </w:p>
    <w:p w14:paraId="278538B1">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因本合同引起的或与本合同有关的任何争议，合同双方应首先通过协商解决，达成书面协议，如协商不成，可选择下列第</w:t>
      </w:r>
      <w:r>
        <w:rPr>
          <w:rFonts w:hint="eastAsia" w:ascii="仿宋" w:hAnsi="仿宋" w:eastAsia="仿宋" w:cs="仿宋"/>
          <w:color w:val="auto"/>
          <w:highlight w:val="none"/>
          <w:u w:val="single"/>
        </w:rPr>
        <w:t xml:space="preserve">      种 </w:t>
      </w:r>
      <w:r>
        <w:rPr>
          <w:rFonts w:hint="eastAsia" w:ascii="仿宋" w:hAnsi="仿宋" w:eastAsia="仿宋" w:cs="仿宋"/>
          <w:color w:val="auto"/>
          <w:highlight w:val="none"/>
        </w:rPr>
        <w:t>方式解决。</w:t>
      </w:r>
    </w:p>
    <w:p w14:paraId="2F8A535C">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（1）提请杭州仲裁委员会按照该会仲裁规则进行仲裁，仲裁裁决是终局的，对合同双方均有约束力。</w:t>
      </w:r>
    </w:p>
    <w:p w14:paraId="3963F6B3">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（2）向甲方所在地有管辖权的人民法院提起诉讼。</w:t>
      </w:r>
    </w:p>
    <w:p w14:paraId="695D79DF">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十四、合同生效</w:t>
      </w:r>
    </w:p>
    <w:p w14:paraId="6A343175">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w w:val="100"/>
          <w:highlight w:val="none"/>
          <w:lang w:eastAsia="zh-CN"/>
        </w:rPr>
        <w:t>成交</w:t>
      </w:r>
      <w:r>
        <w:rPr>
          <w:rFonts w:hint="eastAsia" w:ascii="仿宋" w:hAnsi="仿宋" w:eastAsia="仿宋" w:cs="仿宋"/>
          <w:color w:val="auto"/>
          <w:highlight w:val="none"/>
        </w:rPr>
        <w:t>方持</w:t>
      </w:r>
      <w:r>
        <w:rPr>
          <w:rFonts w:hint="eastAsia" w:ascii="仿宋" w:hAnsi="仿宋" w:eastAsia="仿宋" w:cs="仿宋"/>
          <w:color w:val="auto"/>
          <w:w w:val="100"/>
          <w:highlight w:val="none"/>
          <w:lang w:eastAsia="zh-CN"/>
        </w:rPr>
        <w:t>成交</w:t>
      </w:r>
      <w:r>
        <w:rPr>
          <w:rFonts w:hint="eastAsia" w:ascii="仿宋" w:hAnsi="仿宋" w:eastAsia="仿宋" w:cs="仿宋"/>
          <w:color w:val="auto"/>
          <w:highlight w:val="none"/>
        </w:rPr>
        <w:t>通知书作为与需方签订合同的凭证。</w:t>
      </w:r>
    </w:p>
    <w:p w14:paraId="0435D3AB">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2.本合同经需、供双方法定代表人（符合浙财采监【2013】24号第六条规定的为负责人）或其授权委托人签字并加盖单位公章后生效。</w:t>
      </w:r>
    </w:p>
    <w:p w14:paraId="56608ACF">
      <w:pPr>
        <w:pStyle w:val="24"/>
        <w:snapToGrid w:val="0"/>
        <w:spacing w:line="360" w:lineRule="auto"/>
        <w:rPr>
          <w:rFonts w:hint="eastAsia" w:ascii="仿宋" w:hAnsi="仿宋" w:eastAsia="仿宋" w:cs="仿宋"/>
          <w:color w:val="auto"/>
          <w:highlight w:val="none"/>
        </w:rPr>
      </w:pPr>
    </w:p>
    <w:p w14:paraId="2B38ED82">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需方（盖章）：                     供方（盖章）：</w:t>
      </w:r>
    </w:p>
    <w:p w14:paraId="319CDAEC">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地址：                             地址：</w:t>
      </w:r>
    </w:p>
    <w:p w14:paraId="490AA47E">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法定代表人（或委托代理人）签名：   法定代表人（或委托代理人）签名：</w:t>
      </w:r>
    </w:p>
    <w:p w14:paraId="33208B9E">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联系电话：                         联系电话：</w:t>
      </w:r>
    </w:p>
    <w:p w14:paraId="3356C3FB">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邮政编码：                         邮政编码：</w:t>
      </w:r>
    </w:p>
    <w:p w14:paraId="00DC4BC0">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开户银行：                         开户银行：      </w:t>
      </w:r>
    </w:p>
    <w:p w14:paraId="75A3E4F2">
      <w:pPr>
        <w:pStyle w:val="24"/>
        <w:snapToGrid w:val="0"/>
        <w:spacing w:line="360" w:lineRule="auto"/>
        <w:rPr>
          <w:rFonts w:hint="eastAsia" w:ascii="仿宋" w:hAnsi="仿宋" w:eastAsia="仿宋" w:cs="仿宋"/>
          <w:b/>
          <w:bCs/>
          <w:color w:val="auto"/>
          <w:sz w:val="36"/>
          <w:szCs w:val="36"/>
          <w:highlight w:val="none"/>
        </w:rPr>
      </w:pPr>
      <w:r>
        <w:rPr>
          <w:rFonts w:hint="eastAsia" w:ascii="仿宋" w:hAnsi="仿宋" w:eastAsia="仿宋" w:cs="仿宋"/>
          <w:color w:val="auto"/>
          <w:highlight w:val="none"/>
        </w:rPr>
        <w:t xml:space="preserve">账号：   </w:t>
      </w:r>
      <w:r>
        <w:rPr>
          <w:rFonts w:hint="eastAsia" w:ascii="仿宋" w:hAnsi="仿宋" w:eastAsia="仿宋" w:cs="仿宋"/>
          <w:color w:val="auto"/>
          <w:kern w:val="2"/>
          <w:sz w:val="24"/>
          <w:szCs w:val="24"/>
          <w:highlight w:val="none"/>
          <w:lang w:val="en-US" w:eastAsia="zh-CN" w:bidi="ar-SA"/>
        </w:rPr>
        <w:t xml:space="preserve"> </w:t>
      </w:r>
      <w:r>
        <w:rPr>
          <w:rFonts w:hint="eastAsia" w:ascii="仿宋" w:hAnsi="仿宋" w:eastAsia="仿宋" w:cs="仿宋"/>
          <w:color w:val="auto"/>
          <w:highlight w:val="none"/>
        </w:rPr>
        <w:t xml:space="preserve">                         账号：</w:t>
      </w:r>
    </w:p>
    <w:p w14:paraId="0B7AD55D">
      <w:pPr>
        <w:spacing w:line="360" w:lineRule="auto"/>
        <w:ind w:left="720" w:leftChars="343" w:firstLine="1084" w:firstLineChars="300"/>
        <w:outlineLvl w:val="0"/>
        <w:rPr>
          <w:rFonts w:hint="eastAsia" w:ascii="仿宋" w:hAnsi="仿宋" w:eastAsia="仿宋" w:cs="仿宋"/>
          <w:b/>
          <w:color w:val="auto"/>
          <w:sz w:val="36"/>
          <w:szCs w:val="36"/>
          <w:highlight w:val="none"/>
        </w:rPr>
      </w:pPr>
    </w:p>
    <w:p w14:paraId="539EC02E">
      <w:pPr>
        <w:pStyle w:val="23"/>
        <w:rPr>
          <w:rFonts w:hint="eastAsia" w:ascii="仿宋" w:hAnsi="仿宋" w:eastAsia="仿宋" w:cs="仿宋"/>
          <w:b/>
          <w:color w:val="auto"/>
          <w:sz w:val="36"/>
          <w:szCs w:val="36"/>
          <w:highlight w:val="none"/>
        </w:rPr>
      </w:pPr>
    </w:p>
    <w:p w14:paraId="7F6BAD61">
      <w:pPr>
        <w:pStyle w:val="61"/>
        <w:rPr>
          <w:rFonts w:hint="eastAsia" w:ascii="仿宋" w:hAnsi="仿宋" w:eastAsia="仿宋" w:cs="仿宋"/>
          <w:color w:val="auto"/>
          <w:highlight w:val="none"/>
        </w:rPr>
      </w:pPr>
    </w:p>
    <w:p w14:paraId="095D50E6">
      <w:pPr>
        <w:pStyle w:val="51"/>
        <w:rPr>
          <w:rFonts w:hint="eastAsia" w:ascii="仿宋" w:hAnsi="仿宋" w:eastAsia="仿宋" w:cs="仿宋"/>
          <w:color w:val="auto"/>
          <w:highlight w:val="none"/>
        </w:rPr>
      </w:pPr>
    </w:p>
    <w:p w14:paraId="205C4414">
      <w:pPr>
        <w:rPr>
          <w:rFonts w:hint="eastAsia" w:ascii="仿宋" w:hAnsi="仿宋" w:eastAsia="仿宋" w:cs="仿宋"/>
          <w:color w:val="auto"/>
          <w:highlight w:val="none"/>
        </w:rPr>
      </w:pPr>
    </w:p>
    <w:p w14:paraId="7561825E">
      <w:pPr>
        <w:pStyle w:val="4"/>
        <w:rPr>
          <w:rFonts w:hint="eastAsia" w:ascii="仿宋" w:hAnsi="仿宋" w:eastAsia="仿宋" w:cs="仿宋"/>
          <w:color w:val="auto"/>
          <w:highlight w:val="none"/>
        </w:rPr>
      </w:pPr>
    </w:p>
    <w:p w14:paraId="24DB6F6E">
      <w:pPr>
        <w:rPr>
          <w:rFonts w:hint="eastAsia"/>
          <w:color w:val="auto"/>
          <w:highlight w:val="none"/>
        </w:rPr>
      </w:pPr>
    </w:p>
    <w:p w14:paraId="4B5405AB">
      <w:pPr>
        <w:pStyle w:val="23"/>
        <w:rPr>
          <w:rFonts w:hint="eastAsia" w:ascii="仿宋" w:hAnsi="仿宋" w:eastAsia="仿宋" w:cs="仿宋"/>
          <w:color w:val="auto"/>
          <w:highlight w:val="none"/>
        </w:rPr>
      </w:pPr>
    </w:p>
    <w:p w14:paraId="034B90C4">
      <w:pPr>
        <w:rPr>
          <w:rFonts w:hint="eastAsia" w:ascii="仿宋" w:hAnsi="仿宋" w:eastAsia="仿宋" w:cs="仿宋"/>
          <w:color w:val="auto"/>
          <w:highlight w:val="none"/>
        </w:rPr>
      </w:pPr>
    </w:p>
    <w:p w14:paraId="1CA1C24E">
      <w:pPr>
        <w:spacing w:line="360" w:lineRule="auto"/>
        <w:ind w:left="-420" w:leftChars="-200" w:right="-420" w:rightChars="-200" w:firstLine="723" w:firstLineChars="200"/>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36"/>
          <w:highlight w:val="none"/>
        </w:rPr>
        <w:t>第</w:t>
      </w:r>
      <w:r>
        <w:rPr>
          <w:rFonts w:hint="eastAsia" w:ascii="仿宋" w:hAnsi="仿宋" w:eastAsia="仿宋" w:cs="仿宋"/>
          <w:b/>
          <w:color w:val="auto"/>
          <w:sz w:val="36"/>
          <w:szCs w:val="36"/>
          <w:highlight w:val="none"/>
          <w:lang w:val="en-US" w:eastAsia="zh-CN"/>
        </w:rPr>
        <w:t>六</w:t>
      </w:r>
      <w:r>
        <w:rPr>
          <w:rFonts w:hint="eastAsia" w:ascii="仿宋" w:hAnsi="仿宋" w:eastAsia="仿宋" w:cs="仿宋"/>
          <w:b/>
          <w:color w:val="auto"/>
          <w:sz w:val="36"/>
          <w:szCs w:val="36"/>
          <w:highlight w:val="none"/>
        </w:rPr>
        <w:t xml:space="preserve">部分 </w:t>
      </w:r>
      <w:bookmarkEnd w:id="388"/>
      <w:bookmarkEnd w:id="389"/>
      <w:r>
        <w:rPr>
          <w:rFonts w:hint="eastAsia" w:ascii="仿宋" w:hAnsi="仿宋" w:eastAsia="仿宋" w:cs="仿宋"/>
          <w:b/>
          <w:color w:val="auto"/>
          <w:sz w:val="36"/>
          <w:szCs w:val="20"/>
          <w:highlight w:val="none"/>
        </w:rPr>
        <w:t>应提交的有关格式范例</w:t>
      </w:r>
    </w:p>
    <w:p w14:paraId="4E65CCBE">
      <w:pPr>
        <w:spacing w:line="360" w:lineRule="auto"/>
        <w:jc w:val="center"/>
        <w:outlineLvl w:val="0"/>
        <w:rPr>
          <w:rFonts w:hint="eastAsia" w:ascii="仿宋" w:hAnsi="仿宋" w:eastAsia="仿宋" w:cs="仿宋"/>
          <w:b/>
          <w:color w:val="auto"/>
          <w:kern w:val="0"/>
          <w:sz w:val="36"/>
          <w:szCs w:val="36"/>
          <w:highlight w:val="none"/>
        </w:rPr>
      </w:pPr>
    </w:p>
    <w:p w14:paraId="6434BE54">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06FF0088">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1B4F56B2">
      <w:pPr>
        <w:spacing w:line="360" w:lineRule="auto"/>
        <w:jc w:val="center"/>
        <w:outlineLvl w:val="0"/>
        <w:rPr>
          <w:rFonts w:hint="eastAsia" w:ascii="仿宋" w:hAnsi="仿宋" w:eastAsia="仿宋" w:cs="仿宋"/>
          <w:b/>
          <w:color w:val="auto"/>
          <w:kern w:val="0"/>
          <w:sz w:val="36"/>
          <w:szCs w:val="36"/>
          <w:highlight w:val="none"/>
        </w:rPr>
      </w:pPr>
    </w:p>
    <w:p w14:paraId="3F565BEF">
      <w:pPr>
        <w:numPr>
          <w:ilvl w:val="0"/>
          <w:numId w:val="1"/>
        </w:num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符合参加采购活动应当具备的一般条件的承诺函……………（页码）</w:t>
      </w:r>
    </w:p>
    <w:p w14:paraId="4F3BAEB3">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（2）落实采购政策需满足的资格要求；……………………………（页码）</w:t>
      </w:r>
    </w:p>
    <w:p w14:paraId="575BD85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（3）本项目的特定资格要求…………………………………………（页码）</w:t>
      </w:r>
    </w:p>
    <w:p w14:paraId="46553B1A">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符合参加采购活动应当具备的一般条件的承诺函</w:t>
      </w:r>
    </w:p>
    <w:p w14:paraId="62173F2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4540E77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我方参与（项目名称）【交易编号：       】采购活动，郑重承诺：</w:t>
      </w:r>
    </w:p>
    <w:p w14:paraId="673C2AD7">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（一）具备以下条件：</w:t>
      </w:r>
    </w:p>
    <w:p w14:paraId="5A6071D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1B32174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3C20545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5047D34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4483C3C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5、参加采购活动前三年内，在经营活动中没有重大违法记录；</w:t>
      </w:r>
    </w:p>
    <w:p w14:paraId="6F5DC48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4574AD4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（二）不存在以下情况：</w:t>
      </w:r>
    </w:p>
    <w:p w14:paraId="6CAF588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参加同一合同项下的采购活动的；</w:t>
      </w:r>
    </w:p>
    <w:p w14:paraId="59FE7A8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669F258B">
      <w:pPr>
        <w:pStyle w:val="3"/>
        <w:rPr>
          <w:rFonts w:hint="eastAsia" w:ascii="仿宋" w:hAnsi="仿宋" w:eastAsia="仿宋" w:cs="仿宋"/>
          <w:color w:val="auto"/>
          <w:highlight w:val="none"/>
        </w:rPr>
      </w:pPr>
    </w:p>
    <w:p w14:paraId="49938335">
      <w:pPr>
        <w:spacing w:line="360" w:lineRule="auto"/>
        <w:rPr>
          <w:rFonts w:hint="eastAsia" w:ascii="仿宋" w:hAnsi="仿宋" w:eastAsia="仿宋" w:cs="仿宋"/>
          <w:color w:val="auto"/>
          <w:highlight w:val="none"/>
        </w:rPr>
      </w:pPr>
    </w:p>
    <w:p w14:paraId="5D592D18">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响应人名称(电子签名)：</w:t>
      </w:r>
    </w:p>
    <w:p w14:paraId="7A56AFB0">
      <w:pPr>
        <w:snapToGrid w:val="0"/>
        <w:spacing w:line="360" w:lineRule="auto"/>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 xml:space="preserve">                                </w:t>
      </w:r>
    </w:p>
    <w:p w14:paraId="69722C0E">
      <w:pPr>
        <w:snapToGrid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 xml:space="preserve">                                 </w:t>
      </w:r>
      <w:bookmarkStart w:id="395" w:name="_GoBack"/>
      <w:bookmarkEnd w:id="395"/>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月日</w:t>
      </w:r>
    </w:p>
    <w:p w14:paraId="6DE107FC">
      <w:pPr>
        <w:snapToGrid w:val="0"/>
        <w:spacing w:line="360" w:lineRule="auto"/>
        <w:ind w:right="480"/>
        <w:jc w:val="center"/>
        <w:rPr>
          <w:rFonts w:hint="eastAsia" w:ascii="仿宋" w:hAnsi="仿宋" w:eastAsia="仿宋" w:cs="仿宋"/>
          <w:b/>
          <w:color w:val="auto"/>
          <w:kern w:val="0"/>
          <w:sz w:val="32"/>
          <w:szCs w:val="32"/>
          <w:highlight w:val="none"/>
        </w:rPr>
      </w:pPr>
    </w:p>
    <w:p w14:paraId="34193BDC">
      <w:pPr>
        <w:snapToGrid w:val="0"/>
        <w:spacing w:line="360" w:lineRule="auto"/>
        <w:ind w:right="480"/>
        <w:jc w:val="center"/>
        <w:rPr>
          <w:rFonts w:hint="eastAsia" w:ascii="仿宋" w:hAnsi="仿宋" w:eastAsia="仿宋" w:cs="仿宋"/>
          <w:b/>
          <w:color w:val="auto"/>
          <w:kern w:val="0"/>
          <w:sz w:val="32"/>
          <w:szCs w:val="32"/>
          <w:highlight w:val="none"/>
        </w:rPr>
      </w:pPr>
    </w:p>
    <w:p w14:paraId="6BBC6434">
      <w:pPr>
        <w:rPr>
          <w:rFonts w:hint="eastAsia" w:ascii="仿宋" w:hAnsi="仿宋" w:eastAsia="仿宋" w:cs="仿宋"/>
          <w:color w:val="auto"/>
          <w:highlight w:val="none"/>
        </w:rPr>
      </w:pPr>
    </w:p>
    <w:p w14:paraId="14C7F3C1">
      <w:pPr>
        <w:snapToGrid w:val="0"/>
        <w:spacing w:line="360" w:lineRule="auto"/>
        <w:ind w:right="480"/>
        <w:jc w:val="center"/>
        <w:rPr>
          <w:rFonts w:hint="eastAsia" w:ascii="仿宋" w:hAnsi="仿宋" w:eastAsia="仿宋" w:cs="仿宋"/>
          <w:b/>
          <w:color w:val="auto"/>
          <w:kern w:val="0"/>
          <w:sz w:val="32"/>
          <w:szCs w:val="32"/>
          <w:highlight w:val="none"/>
        </w:rPr>
      </w:pPr>
    </w:p>
    <w:p w14:paraId="6E0D2076">
      <w:pPr>
        <w:snapToGrid w:val="0"/>
        <w:spacing w:line="360" w:lineRule="auto"/>
        <w:ind w:right="480"/>
        <w:jc w:val="center"/>
        <w:rPr>
          <w:rFonts w:hint="eastAsia" w:ascii="仿宋" w:hAnsi="仿宋" w:eastAsia="仿宋" w:cs="仿宋"/>
          <w:b/>
          <w:color w:val="auto"/>
          <w:kern w:val="0"/>
          <w:sz w:val="32"/>
          <w:szCs w:val="32"/>
          <w:highlight w:val="none"/>
        </w:rPr>
      </w:pPr>
    </w:p>
    <w:p w14:paraId="66633042">
      <w:pPr>
        <w:snapToGrid w:val="0"/>
        <w:spacing w:line="360" w:lineRule="auto"/>
        <w:ind w:right="480"/>
        <w:jc w:val="center"/>
        <w:rPr>
          <w:rFonts w:hint="eastAsia" w:ascii="仿宋" w:hAnsi="仿宋" w:eastAsia="仿宋" w:cs="仿宋"/>
          <w:b/>
          <w:color w:val="auto"/>
          <w:kern w:val="0"/>
          <w:sz w:val="32"/>
          <w:szCs w:val="32"/>
          <w:highlight w:val="none"/>
        </w:rPr>
      </w:pPr>
    </w:p>
    <w:p w14:paraId="44310449">
      <w:pPr>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br w:type="page"/>
      </w:r>
    </w:p>
    <w:p w14:paraId="42810EDD">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二、落实采购政策需满足的资格要求</w:t>
      </w:r>
    </w:p>
    <w:p w14:paraId="0234E8F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（根据交易公告落实采购政策需满足的资格要求选择提供相应的材料</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未要求的，无需提供）</w:t>
      </w:r>
    </w:p>
    <w:p w14:paraId="72EC0EF3">
      <w:pPr>
        <w:widowControl/>
        <w:spacing w:line="360" w:lineRule="auto"/>
        <w:ind w:firstLine="2249" w:firstLineChars="700"/>
        <w:rPr>
          <w:rFonts w:hint="eastAsia" w:ascii="仿宋" w:hAnsi="仿宋" w:eastAsia="仿宋" w:cs="仿宋"/>
          <w:b/>
          <w:color w:val="auto"/>
          <w:kern w:val="0"/>
          <w:sz w:val="32"/>
          <w:szCs w:val="32"/>
          <w:highlight w:val="none"/>
        </w:rPr>
      </w:pPr>
    </w:p>
    <w:p w14:paraId="59AABFAD">
      <w:pPr>
        <w:widowControl/>
        <w:spacing w:line="360" w:lineRule="auto"/>
        <w:ind w:firstLine="2249" w:firstLineChars="700"/>
        <w:rPr>
          <w:rFonts w:hint="eastAsia" w:ascii="仿宋" w:hAnsi="仿宋" w:eastAsia="仿宋" w:cs="仿宋"/>
          <w:b/>
          <w:color w:val="auto"/>
          <w:kern w:val="0"/>
          <w:sz w:val="32"/>
          <w:szCs w:val="32"/>
          <w:highlight w:val="none"/>
        </w:rPr>
      </w:pPr>
    </w:p>
    <w:p w14:paraId="2587E237">
      <w:pPr>
        <w:widowControl/>
        <w:spacing w:line="360" w:lineRule="auto"/>
        <w:ind w:firstLine="2249" w:firstLineChars="7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三、本项目的特定资格要求</w:t>
      </w:r>
    </w:p>
    <w:p w14:paraId="470D298F">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（根据交易公告本项目的特定资格要求提供相应的材料；未要求的，无需提供）</w:t>
      </w:r>
    </w:p>
    <w:p w14:paraId="7AD92826">
      <w:pPr>
        <w:pStyle w:val="61"/>
        <w:rPr>
          <w:rFonts w:hint="eastAsia" w:ascii="仿宋" w:hAnsi="仿宋" w:eastAsia="仿宋" w:cs="仿宋"/>
          <w:color w:val="auto"/>
          <w:highlight w:val="none"/>
        </w:rPr>
      </w:pPr>
    </w:p>
    <w:p w14:paraId="2E620A5F">
      <w:pPr>
        <w:rPr>
          <w:rFonts w:hint="eastAsia" w:ascii="仿宋" w:hAnsi="仿宋" w:eastAsia="仿宋" w:cs="仿宋"/>
          <w:color w:val="auto"/>
          <w:highlight w:val="none"/>
        </w:rPr>
      </w:pPr>
    </w:p>
    <w:p w14:paraId="5138D7C4">
      <w:pPr>
        <w:snapToGrid w:val="0"/>
        <w:spacing w:line="360" w:lineRule="auto"/>
        <w:ind w:right="480"/>
        <w:jc w:val="center"/>
        <w:rPr>
          <w:rFonts w:hint="eastAsia" w:ascii="仿宋" w:hAnsi="仿宋" w:eastAsia="仿宋" w:cs="仿宋"/>
          <w:b/>
          <w:color w:val="auto"/>
          <w:kern w:val="0"/>
          <w:sz w:val="32"/>
          <w:szCs w:val="32"/>
          <w:highlight w:val="none"/>
        </w:rPr>
      </w:pPr>
    </w:p>
    <w:p w14:paraId="0688900C">
      <w:pPr>
        <w:snapToGrid w:val="0"/>
        <w:spacing w:line="360" w:lineRule="auto"/>
        <w:ind w:right="480"/>
        <w:jc w:val="center"/>
        <w:rPr>
          <w:rFonts w:hint="eastAsia" w:ascii="仿宋" w:hAnsi="仿宋" w:eastAsia="仿宋" w:cs="仿宋"/>
          <w:b/>
          <w:color w:val="auto"/>
          <w:kern w:val="0"/>
          <w:sz w:val="32"/>
          <w:szCs w:val="32"/>
          <w:highlight w:val="none"/>
        </w:rPr>
      </w:pPr>
    </w:p>
    <w:p w14:paraId="10696A81">
      <w:pPr>
        <w:rPr>
          <w:rFonts w:hint="eastAsia" w:ascii="仿宋" w:hAnsi="仿宋" w:eastAsia="仿宋" w:cs="仿宋"/>
          <w:color w:val="auto"/>
          <w:highlight w:val="none"/>
        </w:rPr>
      </w:pPr>
    </w:p>
    <w:p w14:paraId="1C20B384">
      <w:pPr>
        <w:snapToGrid w:val="0"/>
        <w:spacing w:line="360" w:lineRule="auto"/>
        <w:ind w:right="480"/>
        <w:jc w:val="center"/>
        <w:rPr>
          <w:rFonts w:hint="eastAsia" w:ascii="仿宋" w:hAnsi="仿宋" w:eastAsia="仿宋" w:cs="仿宋"/>
          <w:b/>
          <w:color w:val="auto"/>
          <w:kern w:val="0"/>
          <w:sz w:val="32"/>
          <w:szCs w:val="32"/>
          <w:highlight w:val="none"/>
        </w:rPr>
      </w:pPr>
    </w:p>
    <w:p w14:paraId="56793427">
      <w:pPr>
        <w:snapToGrid w:val="0"/>
        <w:spacing w:line="360" w:lineRule="auto"/>
        <w:ind w:right="480"/>
        <w:jc w:val="center"/>
        <w:rPr>
          <w:rFonts w:hint="eastAsia" w:ascii="仿宋" w:hAnsi="仿宋" w:eastAsia="仿宋" w:cs="仿宋"/>
          <w:b/>
          <w:color w:val="auto"/>
          <w:kern w:val="0"/>
          <w:sz w:val="32"/>
          <w:szCs w:val="32"/>
          <w:highlight w:val="none"/>
        </w:rPr>
      </w:pPr>
    </w:p>
    <w:p w14:paraId="088BDECC">
      <w:pPr>
        <w:snapToGrid w:val="0"/>
        <w:spacing w:line="360" w:lineRule="auto"/>
        <w:ind w:right="480"/>
        <w:jc w:val="center"/>
        <w:rPr>
          <w:rFonts w:hint="eastAsia" w:ascii="仿宋" w:hAnsi="仿宋" w:eastAsia="仿宋" w:cs="仿宋"/>
          <w:b/>
          <w:color w:val="auto"/>
          <w:kern w:val="0"/>
          <w:sz w:val="32"/>
          <w:szCs w:val="32"/>
          <w:highlight w:val="none"/>
        </w:rPr>
      </w:pPr>
    </w:p>
    <w:p w14:paraId="40008F00">
      <w:pPr>
        <w:snapToGrid w:val="0"/>
        <w:spacing w:line="360" w:lineRule="auto"/>
        <w:ind w:right="480"/>
        <w:jc w:val="center"/>
        <w:rPr>
          <w:rFonts w:hint="eastAsia" w:ascii="仿宋" w:hAnsi="仿宋" w:eastAsia="仿宋" w:cs="仿宋"/>
          <w:b/>
          <w:color w:val="auto"/>
          <w:kern w:val="0"/>
          <w:sz w:val="32"/>
          <w:szCs w:val="32"/>
          <w:highlight w:val="none"/>
        </w:rPr>
      </w:pPr>
    </w:p>
    <w:p w14:paraId="5E1388A5">
      <w:pPr>
        <w:snapToGrid w:val="0"/>
        <w:spacing w:line="360" w:lineRule="auto"/>
        <w:ind w:right="480"/>
        <w:jc w:val="center"/>
        <w:rPr>
          <w:rFonts w:hint="eastAsia" w:ascii="仿宋" w:hAnsi="仿宋" w:eastAsia="仿宋" w:cs="仿宋"/>
          <w:b/>
          <w:color w:val="auto"/>
          <w:kern w:val="0"/>
          <w:sz w:val="32"/>
          <w:szCs w:val="32"/>
          <w:highlight w:val="none"/>
        </w:rPr>
      </w:pPr>
    </w:p>
    <w:p w14:paraId="61DFD842">
      <w:pPr>
        <w:rPr>
          <w:rFonts w:hint="eastAsia" w:ascii="仿宋" w:hAnsi="仿宋" w:eastAsia="仿宋" w:cs="仿宋"/>
          <w:b/>
          <w:color w:val="auto"/>
          <w:kern w:val="0"/>
          <w:sz w:val="36"/>
          <w:szCs w:val="36"/>
          <w:highlight w:val="none"/>
        </w:rPr>
      </w:pPr>
    </w:p>
    <w:p w14:paraId="6EFED7EC">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19886BA2">
      <w:pPr>
        <w:spacing w:line="360" w:lineRule="auto"/>
        <w:ind w:right="420" w:firstLine="3614" w:firstLineChars="100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540EE7D1">
      <w:pPr>
        <w:spacing w:line="360" w:lineRule="auto"/>
        <w:jc w:val="center"/>
        <w:outlineLvl w:val="0"/>
        <w:rPr>
          <w:rFonts w:hint="eastAsia" w:ascii="仿宋" w:hAnsi="仿宋" w:eastAsia="仿宋" w:cs="仿宋"/>
          <w:b/>
          <w:color w:val="auto"/>
          <w:kern w:val="0"/>
          <w:sz w:val="24"/>
          <w:highlight w:val="none"/>
        </w:rPr>
      </w:pPr>
    </w:p>
    <w:p w14:paraId="2E825784">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1726DAC1">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（1）响应函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647EED2D">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 xml:space="preserve">（3）符合性审查资料 </w:t>
      </w:r>
      <w:r>
        <w:rPr>
          <w:rFonts w:hint="eastAsia" w:ascii="仿宋" w:hAnsi="仿宋" w:eastAsia="仿宋" w:cs="仿宋"/>
          <w:color w:val="auto"/>
          <w:highlight w:val="none"/>
        </w:rPr>
        <w:t>……………………………………………………………………（页码）</w:t>
      </w:r>
    </w:p>
    <w:p w14:paraId="34909C18">
      <w:pPr>
        <w:snapToGrid w:val="0"/>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（4） 评标标准相应的商务技术资料……………………………………………（页码）</w:t>
      </w:r>
    </w:p>
    <w:p w14:paraId="3B7C8813">
      <w:pPr>
        <w:snapToGrid w:val="0"/>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（5）交易标的清单………………………………………………………………（页码）</w:t>
      </w:r>
    </w:p>
    <w:p w14:paraId="6E2610FC">
      <w:pPr>
        <w:snapToGrid w:val="0"/>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（6）商务技术偏离表……………………………………………………………（页码）</w:t>
      </w:r>
    </w:p>
    <w:p w14:paraId="504664DB">
      <w:pPr>
        <w:snapToGrid w:val="0"/>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r>
        <w:rPr>
          <w:rFonts w:hint="eastAsia" w:ascii="仿宋" w:hAnsi="仿宋" w:eastAsia="仿宋" w:cs="仿宋"/>
          <w:color w:val="auto"/>
          <w:sz w:val="24"/>
          <w:highlight w:val="none"/>
          <w:lang w:val="zh-CN"/>
        </w:rPr>
        <w:t>采购响应人廉洁自律承诺书</w:t>
      </w:r>
      <w:r>
        <w:rPr>
          <w:rFonts w:hint="eastAsia" w:ascii="仿宋" w:hAnsi="仿宋" w:eastAsia="仿宋" w:cs="仿宋"/>
          <w:color w:val="auto"/>
          <w:sz w:val="24"/>
          <w:highlight w:val="none"/>
        </w:rPr>
        <w:t>………………………………………………（页码）</w:t>
      </w:r>
    </w:p>
    <w:p w14:paraId="338EAAA6">
      <w:pPr>
        <w:snapToGrid w:val="0"/>
        <w:spacing w:line="360" w:lineRule="auto"/>
        <w:jc w:val="center"/>
        <w:rPr>
          <w:rFonts w:hint="eastAsia" w:ascii="仿宋" w:hAnsi="仿宋" w:eastAsia="仿宋" w:cs="仿宋"/>
          <w:b/>
          <w:color w:val="auto"/>
          <w:kern w:val="0"/>
          <w:sz w:val="32"/>
          <w:szCs w:val="32"/>
          <w:highlight w:val="none"/>
          <w:lang w:val="zh-CN"/>
        </w:rPr>
      </w:pPr>
    </w:p>
    <w:p w14:paraId="49DD8674">
      <w:pPr>
        <w:snapToGrid w:val="0"/>
        <w:spacing w:line="360" w:lineRule="auto"/>
        <w:jc w:val="center"/>
        <w:rPr>
          <w:rFonts w:hint="eastAsia" w:ascii="仿宋" w:hAnsi="仿宋" w:eastAsia="仿宋" w:cs="仿宋"/>
          <w:b/>
          <w:color w:val="auto"/>
          <w:kern w:val="0"/>
          <w:sz w:val="32"/>
          <w:szCs w:val="32"/>
          <w:highlight w:val="none"/>
          <w:lang w:val="zh-CN"/>
        </w:rPr>
      </w:pPr>
    </w:p>
    <w:p w14:paraId="2AE1CFB1">
      <w:pPr>
        <w:snapToGrid w:val="0"/>
        <w:spacing w:line="360" w:lineRule="auto"/>
        <w:jc w:val="center"/>
        <w:rPr>
          <w:rFonts w:hint="eastAsia" w:ascii="仿宋" w:hAnsi="仿宋" w:eastAsia="仿宋" w:cs="仿宋"/>
          <w:b/>
          <w:color w:val="auto"/>
          <w:kern w:val="0"/>
          <w:sz w:val="32"/>
          <w:szCs w:val="32"/>
          <w:highlight w:val="none"/>
          <w:lang w:val="zh-CN"/>
        </w:rPr>
      </w:pPr>
    </w:p>
    <w:p w14:paraId="62C4AC10">
      <w:pPr>
        <w:snapToGrid w:val="0"/>
        <w:spacing w:line="360" w:lineRule="auto"/>
        <w:jc w:val="center"/>
        <w:rPr>
          <w:rFonts w:hint="eastAsia" w:ascii="仿宋" w:hAnsi="仿宋" w:eastAsia="仿宋" w:cs="仿宋"/>
          <w:b/>
          <w:color w:val="auto"/>
          <w:kern w:val="0"/>
          <w:sz w:val="32"/>
          <w:szCs w:val="32"/>
          <w:highlight w:val="none"/>
          <w:lang w:val="zh-CN"/>
        </w:rPr>
      </w:pPr>
    </w:p>
    <w:p w14:paraId="41E6F6F0">
      <w:pPr>
        <w:snapToGrid w:val="0"/>
        <w:spacing w:line="360" w:lineRule="auto"/>
        <w:jc w:val="center"/>
        <w:rPr>
          <w:rFonts w:hint="eastAsia" w:ascii="仿宋" w:hAnsi="仿宋" w:eastAsia="仿宋" w:cs="仿宋"/>
          <w:b/>
          <w:color w:val="auto"/>
          <w:kern w:val="0"/>
          <w:sz w:val="32"/>
          <w:szCs w:val="32"/>
          <w:highlight w:val="none"/>
          <w:lang w:val="zh-CN"/>
        </w:rPr>
      </w:pPr>
    </w:p>
    <w:p w14:paraId="497EAA55">
      <w:pPr>
        <w:snapToGrid w:val="0"/>
        <w:spacing w:line="360" w:lineRule="auto"/>
        <w:jc w:val="center"/>
        <w:outlineLvl w:val="0"/>
        <w:rPr>
          <w:rFonts w:hint="eastAsia" w:ascii="仿宋" w:hAnsi="仿宋" w:eastAsia="仿宋" w:cs="仿宋"/>
          <w:b/>
          <w:color w:val="auto"/>
          <w:kern w:val="0"/>
          <w:sz w:val="32"/>
          <w:szCs w:val="32"/>
          <w:highlight w:val="none"/>
        </w:rPr>
      </w:pPr>
    </w:p>
    <w:p w14:paraId="109483C1">
      <w:pPr>
        <w:snapToGrid w:val="0"/>
        <w:spacing w:line="360" w:lineRule="auto"/>
        <w:jc w:val="center"/>
        <w:outlineLvl w:val="0"/>
        <w:rPr>
          <w:rFonts w:hint="eastAsia" w:ascii="仿宋" w:hAnsi="仿宋" w:eastAsia="仿宋" w:cs="仿宋"/>
          <w:b/>
          <w:color w:val="auto"/>
          <w:kern w:val="0"/>
          <w:sz w:val="32"/>
          <w:szCs w:val="32"/>
          <w:highlight w:val="none"/>
        </w:rPr>
      </w:pPr>
    </w:p>
    <w:p w14:paraId="0D7F27F9">
      <w:pPr>
        <w:rPr>
          <w:rFonts w:hint="eastAsia" w:ascii="仿宋" w:hAnsi="仿宋" w:eastAsia="仿宋" w:cs="仿宋"/>
          <w:color w:val="auto"/>
          <w:highlight w:val="none"/>
        </w:rPr>
      </w:pPr>
    </w:p>
    <w:p w14:paraId="2F7683F0">
      <w:pPr>
        <w:snapToGrid w:val="0"/>
        <w:spacing w:line="360" w:lineRule="auto"/>
        <w:jc w:val="center"/>
        <w:outlineLvl w:val="0"/>
        <w:rPr>
          <w:rFonts w:hint="eastAsia" w:ascii="仿宋" w:hAnsi="仿宋" w:eastAsia="仿宋" w:cs="仿宋"/>
          <w:b/>
          <w:color w:val="auto"/>
          <w:kern w:val="0"/>
          <w:sz w:val="32"/>
          <w:szCs w:val="32"/>
          <w:highlight w:val="none"/>
        </w:rPr>
      </w:pPr>
    </w:p>
    <w:p w14:paraId="061DE51E">
      <w:pPr>
        <w:snapToGrid w:val="0"/>
        <w:spacing w:line="360" w:lineRule="auto"/>
        <w:jc w:val="center"/>
        <w:outlineLvl w:val="0"/>
        <w:rPr>
          <w:rFonts w:hint="eastAsia" w:ascii="仿宋" w:hAnsi="仿宋" w:eastAsia="仿宋" w:cs="仿宋"/>
          <w:b/>
          <w:color w:val="auto"/>
          <w:kern w:val="0"/>
          <w:sz w:val="32"/>
          <w:szCs w:val="32"/>
          <w:highlight w:val="none"/>
        </w:rPr>
      </w:pPr>
    </w:p>
    <w:p w14:paraId="7C4CF9DF">
      <w:pPr>
        <w:snapToGrid w:val="0"/>
        <w:spacing w:line="360" w:lineRule="auto"/>
        <w:jc w:val="center"/>
        <w:outlineLvl w:val="0"/>
        <w:rPr>
          <w:rFonts w:hint="eastAsia" w:ascii="仿宋" w:hAnsi="仿宋" w:eastAsia="仿宋" w:cs="仿宋"/>
          <w:b/>
          <w:color w:val="auto"/>
          <w:kern w:val="0"/>
          <w:sz w:val="32"/>
          <w:szCs w:val="32"/>
          <w:highlight w:val="none"/>
        </w:rPr>
      </w:pPr>
    </w:p>
    <w:p w14:paraId="4C495911">
      <w:pPr>
        <w:snapToGrid w:val="0"/>
        <w:spacing w:line="360" w:lineRule="auto"/>
        <w:jc w:val="center"/>
        <w:outlineLvl w:val="0"/>
        <w:rPr>
          <w:rFonts w:hint="eastAsia" w:ascii="仿宋" w:hAnsi="仿宋" w:eastAsia="仿宋" w:cs="仿宋"/>
          <w:b/>
          <w:color w:val="auto"/>
          <w:kern w:val="0"/>
          <w:sz w:val="32"/>
          <w:szCs w:val="32"/>
          <w:highlight w:val="none"/>
        </w:rPr>
      </w:pPr>
    </w:p>
    <w:p w14:paraId="01F2FA4B">
      <w:pPr>
        <w:snapToGrid w:val="0"/>
        <w:spacing w:line="360" w:lineRule="auto"/>
        <w:jc w:val="center"/>
        <w:outlineLvl w:val="0"/>
        <w:rPr>
          <w:rFonts w:hint="eastAsia" w:ascii="仿宋" w:hAnsi="仿宋" w:eastAsia="仿宋" w:cs="仿宋"/>
          <w:b/>
          <w:color w:val="auto"/>
          <w:kern w:val="0"/>
          <w:sz w:val="32"/>
          <w:szCs w:val="32"/>
          <w:highlight w:val="none"/>
        </w:rPr>
      </w:pPr>
    </w:p>
    <w:p w14:paraId="05F2D687">
      <w:pPr>
        <w:snapToGrid w:val="0"/>
        <w:spacing w:line="360" w:lineRule="auto"/>
        <w:jc w:val="center"/>
        <w:outlineLvl w:val="0"/>
        <w:rPr>
          <w:rFonts w:hint="eastAsia" w:ascii="仿宋" w:hAnsi="仿宋" w:eastAsia="仿宋" w:cs="仿宋"/>
          <w:b/>
          <w:color w:val="auto"/>
          <w:kern w:val="0"/>
          <w:sz w:val="32"/>
          <w:szCs w:val="32"/>
          <w:highlight w:val="none"/>
        </w:rPr>
      </w:pPr>
    </w:p>
    <w:p w14:paraId="4BBFF7F2">
      <w:pPr>
        <w:jc w:val="center"/>
        <w:rPr>
          <w:rFonts w:hint="eastAsia" w:ascii="仿宋" w:hAnsi="仿宋" w:eastAsia="仿宋" w:cs="仿宋"/>
          <w:b/>
          <w:color w:val="auto"/>
          <w:kern w:val="0"/>
          <w:sz w:val="32"/>
          <w:szCs w:val="32"/>
          <w:highlight w:val="none"/>
        </w:rPr>
      </w:pPr>
    </w:p>
    <w:p w14:paraId="733D2BA6">
      <w:pPr>
        <w:jc w:val="center"/>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一、响应</w:t>
      </w:r>
      <w:r>
        <w:rPr>
          <w:rFonts w:hint="eastAsia" w:ascii="仿宋" w:hAnsi="仿宋" w:eastAsia="仿宋" w:cs="仿宋"/>
          <w:b/>
          <w:color w:val="auto"/>
          <w:sz w:val="32"/>
          <w:szCs w:val="32"/>
          <w:highlight w:val="none"/>
        </w:rPr>
        <w:t>函</w:t>
      </w:r>
    </w:p>
    <w:p w14:paraId="6C9882B8">
      <w:pPr>
        <w:snapToGrid w:val="0"/>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r>
        <w:rPr>
          <w:rFonts w:hint="eastAsia" w:ascii="仿宋" w:hAnsi="仿宋" w:eastAsia="仿宋" w:cs="仿宋"/>
          <w:color w:val="auto"/>
          <w:sz w:val="24"/>
          <w:highlight w:val="none"/>
        </w:rPr>
        <w:t>：</w:t>
      </w:r>
    </w:p>
    <w:p w14:paraId="5404E1FA">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w:t>
      </w:r>
      <w:r>
        <w:rPr>
          <w:rFonts w:hint="eastAsia" w:ascii="仿宋" w:hAnsi="仿宋" w:eastAsia="仿宋" w:cs="仿宋"/>
          <w:color w:val="auto"/>
          <w:sz w:val="24"/>
          <w:highlight w:val="none"/>
          <w:u w:val="single"/>
        </w:rPr>
        <w:t>（项目名称）【交易编号：       】</w:t>
      </w:r>
      <w:r>
        <w:rPr>
          <w:rFonts w:hint="eastAsia" w:ascii="仿宋" w:hAnsi="仿宋" w:eastAsia="仿宋" w:cs="仿宋"/>
          <w:color w:val="auto"/>
          <w:sz w:val="24"/>
          <w:highlight w:val="none"/>
        </w:rPr>
        <w:t>交易的有关活动，并对此项目进行响应。为此：</w:t>
      </w:r>
    </w:p>
    <w:p w14:paraId="21DEAEF9">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1、我方承诺交易有效期从提交响应文件的截止之日起天（不少于90天）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本响应文件在交易有效期满之前均具有约束力。</w:t>
      </w:r>
    </w:p>
    <w:p w14:paraId="10E79A67">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2、我方的响应文件包括以下内容：</w:t>
      </w:r>
    </w:p>
    <w:p w14:paraId="0CECCC9B">
      <w:pPr>
        <w:snapToGrid w:val="0"/>
        <w:spacing w:line="44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34426F95">
      <w:pPr>
        <w:snapToGrid w:val="0"/>
        <w:spacing w:line="44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172995DD">
      <w:pPr>
        <w:snapToGrid w:val="0"/>
        <w:spacing w:line="44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2.1.2落实采购政策需满足的资格要求</w:t>
      </w:r>
    </w:p>
    <w:p w14:paraId="56DB289C">
      <w:pPr>
        <w:snapToGrid w:val="0"/>
        <w:spacing w:line="44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2.1.3本项目的特定资格要求（如果有）。</w:t>
      </w:r>
    </w:p>
    <w:p w14:paraId="756E0B7B">
      <w:pPr>
        <w:snapToGrid w:val="0"/>
        <w:spacing w:line="440" w:lineRule="exact"/>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2商务技术</w:t>
      </w:r>
      <w:r>
        <w:rPr>
          <w:rFonts w:hint="eastAsia" w:ascii="仿宋" w:hAnsi="仿宋" w:eastAsia="仿宋" w:cs="仿宋"/>
          <w:color w:val="auto"/>
          <w:sz w:val="24"/>
          <w:highlight w:val="none"/>
          <w:lang w:val="zh-CN"/>
        </w:rPr>
        <w:t>文件：</w:t>
      </w:r>
    </w:p>
    <w:p w14:paraId="1B366E0A">
      <w:pPr>
        <w:snapToGrid w:val="0"/>
        <w:spacing w:line="44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2.2.1响应函；</w:t>
      </w:r>
    </w:p>
    <w:p w14:paraId="70207975">
      <w:pPr>
        <w:snapToGrid w:val="0"/>
        <w:spacing w:line="44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25402F1F">
      <w:pPr>
        <w:snapToGrid w:val="0"/>
        <w:spacing w:line="44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2.2.3符合性审查资料；</w:t>
      </w:r>
    </w:p>
    <w:p w14:paraId="1181B73C">
      <w:pPr>
        <w:snapToGrid w:val="0"/>
        <w:spacing w:line="44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2.2.4评标标准相应的商务技术资料；</w:t>
      </w:r>
    </w:p>
    <w:p w14:paraId="24D66BED">
      <w:pPr>
        <w:snapToGrid w:val="0"/>
        <w:spacing w:line="44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2.2.5交易标的清单；</w:t>
      </w:r>
    </w:p>
    <w:p w14:paraId="4A5F5154">
      <w:pPr>
        <w:snapToGrid w:val="0"/>
        <w:spacing w:line="44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2.2.6商务技术偏离表；</w:t>
      </w:r>
    </w:p>
    <w:p w14:paraId="79DA43AA">
      <w:pPr>
        <w:snapToGrid w:val="0"/>
        <w:spacing w:line="44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w:t>
      </w:r>
      <w:r>
        <w:rPr>
          <w:rFonts w:hint="eastAsia" w:ascii="仿宋" w:hAnsi="仿宋" w:eastAsia="仿宋" w:cs="仿宋"/>
          <w:color w:val="auto"/>
          <w:sz w:val="24"/>
          <w:highlight w:val="none"/>
          <w:lang w:val="zh-CN"/>
        </w:rPr>
        <w:t>采购响应人廉洁自律承诺书。</w:t>
      </w:r>
    </w:p>
    <w:p w14:paraId="2BD0D3AC">
      <w:pPr>
        <w:snapToGrid w:val="0"/>
        <w:spacing w:line="44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38055033">
      <w:pPr>
        <w:snapToGrid w:val="0"/>
        <w:spacing w:line="44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2.3.1交易一览表（报价表）。</w:t>
      </w:r>
    </w:p>
    <w:p w14:paraId="7AF5D07C">
      <w:pPr>
        <w:snapToGrid w:val="0"/>
        <w:spacing w:line="44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针对报价需要说明的其他文件和资料（格式自拟）。</w:t>
      </w:r>
    </w:p>
    <w:p w14:paraId="471D3216">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3、我方承诺除商务技术偏离表列出的偏离外，我方响应交易文件的全部要求。</w:t>
      </w:r>
    </w:p>
    <w:p w14:paraId="111CFBB5">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4、如我方成交，我方承诺：</w:t>
      </w:r>
    </w:p>
    <w:p w14:paraId="48EB5EF8">
      <w:pPr>
        <w:snapToGrid w:val="0"/>
        <w:spacing w:line="44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4.1在收到成交通知书后，在成交通知书规定的期限内与你方签订合同； </w:t>
      </w:r>
    </w:p>
    <w:p w14:paraId="2AF85497">
      <w:pPr>
        <w:snapToGrid w:val="0"/>
        <w:spacing w:line="44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64075505">
      <w:pPr>
        <w:snapToGrid w:val="0"/>
        <w:spacing w:line="44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4.3在合同约定的期限内完成合同规定的全部义务。 </w:t>
      </w:r>
    </w:p>
    <w:p w14:paraId="5C9CA898">
      <w:pPr>
        <w:snapToGrid w:val="0"/>
        <w:spacing w:line="44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p>
    <w:p w14:paraId="61BBCDBF">
      <w:pPr>
        <w:spacing w:line="440" w:lineRule="exact"/>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 xml:space="preserve">名称（电子签名）：                          </w:t>
      </w:r>
    </w:p>
    <w:p w14:paraId="0885FB9E">
      <w:pPr>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312103BE">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9385C91">
      <w:pP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4674B55C">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7A329AA5">
      <w:pPr>
        <w:snapToGrid w:val="0"/>
        <w:spacing w:line="360" w:lineRule="auto"/>
        <w:rPr>
          <w:rFonts w:hint="eastAsia" w:ascii="仿宋" w:hAnsi="仿宋" w:eastAsia="仿宋" w:cs="仿宋"/>
          <w:color w:val="auto"/>
          <w:sz w:val="24"/>
          <w:highlight w:val="none"/>
        </w:rPr>
      </w:pPr>
    </w:p>
    <w:p w14:paraId="6A555A3F">
      <w:pPr>
        <w:snapToGrid w:val="0"/>
        <w:spacing w:line="360" w:lineRule="auto"/>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w:t>
      </w:r>
    </w:p>
    <w:p w14:paraId="5A3591C2">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6E78CE17">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委托（姓名）为我方代理人（身份证号码：，手机：），以我方名义处理</w:t>
      </w:r>
      <w:r>
        <w:rPr>
          <w:rFonts w:hint="eastAsia" w:ascii="仿宋" w:hAnsi="仿宋" w:eastAsia="仿宋" w:cs="仿宋"/>
          <w:color w:val="auto"/>
          <w:sz w:val="24"/>
          <w:highlight w:val="none"/>
        </w:rPr>
        <w:t>（项目名称）【交易编号：    】</w:t>
      </w:r>
      <w:r>
        <w:rPr>
          <w:rFonts w:hint="eastAsia" w:ascii="仿宋" w:hAnsi="仿宋" w:eastAsia="仿宋" w:cs="仿宋"/>
          <w:color w:val="auto"/>
          <w:kern w:val="0"/>
          <w:sz w:val="24"/>
          <w:highlight w:val="none"/>
          <w:lang w:val="zh-CN"/>
        </w:rPr>
        <w:t>交易的一切事项，其法律后果由我方承担。</w:t>
      </w:r>
    </w:p>
    <w:p w14:paraId="06EB91D4">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自年月日起至年月日止。</w:t>
      </w:r>
    </w:p>
    <w:p w14:paraId="0E60759E">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特此告知。</w:t>
      </w:r>
    </w:p>
    <w:p w14:paraId="4943DE7C">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响应人名称(电子签名)：</w:t>
      </w:r>
    </w:p>
    <w:p w14:paraId="5A506FF9">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502F1C39">
      <w:pPr>
        <w:snapToGrid w:val="0"/>
        <w:spacing w:line="360" w:lineRule="auto"/>
        <w:rPr>
          <w:rFonts w:hint="eastAsia" w:ascii="仿宋" w:hAnsi="仿宋" w:eastAsia="仿宋" w:cs="仿宋"/>
          <w:color w:val="auto"/>
          <w:sz w:val="24"/>
          <w:highlight w:val="none"/>
        </w:rPr>
      </w:pPr>
    </w:p>
    <w:p w14:paraId="66D8F20C">
      <w:pPr>
        <w:snapToGrid w:val="0"/>
        <w:spacing w:line="360" w:lineRule="auto"/>
        <w:rPr>
          <w:rFonts w:hint="eastAsia" w:ascii="仿宋" w:hAnsi="仿宋" w:eastAsia="仿宋" w:cs="仿宋"/>
          <w:color w:val="auto"/>
          <w:kern w:val="0"/>
          <w:sz w:val="24"/>
          <w:highlight w:val="none"/>
          <w:lang w:val="zh-CN"/>
        </w:rPr>
      </w:pPr>
    </w:p>
    <w:p w14:paraId="66D697FA">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w:t>
      </w:r>
      <w:r>
        <w:rPr>
          <w:rFonts w:hint="eastAsia" w:ascii="仿宋" w:hAnsi="仿宋" w:eastAsia="仿宋" w:cs="仿宋"/>
          <w:b/>
          <w:color w:val="auto"/>
          <w:sz w:val="30"/>
          <w:szCs w:val="30"/>
          <w:highlight w:val="none"/>
          <w:lang w:eastAsia="zh-CN"/>
        </w:rPr>
        <w:t>响应人</w:t>
      </w:r>
      <w:r>
        <w:rPr>
          <w:rFonts w:hint="eastAsia" w:ascii="仿宋" w:hAnsi="仿宋" w:eastAsia="仿宋" w:cs="仿宋"/>
          <w:b/>
          <w:color w:val="auto"/>
          <w:sz w:val="30"/>
          <w:szCs w:val="30"/>
          <w:highlight w:val="none"/>
        </w:rPr>
        <w:t>参加交易）</w:t>
      </w:r>
    </w:p>
    <w:p w14:paraId="359E434F">
      <w:pPr>
        <w:pStyle w:val="149"/>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B04C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2" w:hRule="atLeast"/>
          <w:jc w:val="center"/>
        </w:trPr>
        <w:tc>
          <w:tcPr>
            <w:tcW w:w="9207" w:type="dxa"/>
          </w:tcPr>
          <w:p w14:paraId="29C34F79">
            <w:pPr>
              <w:pStyle w:val="149"/>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62F04C44">
            <w:pPr>
              <w:pStyle w:val="149"/>
              <w:adjustRightInd w:val="0"/>
              <w:spacing w:line="360" w:lineRule="auto"/>
              <w:rPr>
                <w:rFonts w:hint="eastAsia" w:ascii="仿宋" w:hAnsi="仿宋" w:eastAsia="仿宋" w:cs="仿宋"/>
                <w:bCs/>
                <w:color w:val="auto"/>
                <w:sz w:val="24"/>
                <w:highlight w:val="none"/>
              </w:rPr>
            </w:pPr>
          </w:p>
        </w:tc>
      </w:tr>
    </w:tbl>
    <w:p w14:paraId="323020D0">
      <w:pPr>
        <w:snapToGrid w:val="0"/>
        <w:spacing w:line="360" w:lineRule="auto"/>
        <w:ind w:firstLine="576"/>
        <w:jc w:val="center"/>
        <w:rPr>
          <w:rFonts w:hint="eastAsia" w:ascii="仿宋" w:hAnsi="仿宋" w:eastAsia="仿宋" w:cs="仿宋"/>
          <w:color w:val="auto"/>
          <w:kern w:val="0"/>
          <w:sz w:val="24"/>
          <w:highlight w:val="none"/>
          <w:lang w:val="zh-CN"/>
        </w:rPr>
      </w:pPr>
    </w:p>
    <w:p w14:paraId="1230205E">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响应人名称(电子签名)：                              </w:t>
      </w:r>
    </w:p>
    <w:p w14:paraId="59DC9DBE">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4669345E">
      <w:pPr>
        <w:snapToGrid w:val="0"/>
        <w:spacing w:line="360" w:lineRule="auto"/>
        <w:rPr>
          <w:rFonts w:hint="eastAsia" w:ascii="仿宋" w:hAnsi="仿宋" w:eastAsia="仿宋" w:cs="仿宋"/>
          <w:color w:val="auto"/>
          <w:kern w:val="0"/>
          <w:sz w:val="24"/>
          <w:highlight w:val="none"/>
        </w:rPr>
      </w:pPr>
    </w:p>
    <w:p w14:paraId="1142BDAE">
      <w:pPr>
        <w:pStyle w:val="62"/>
        <w:ind w:firstLine="420"/>
        <w:rPr>
          <w:rFonts w:hint="eastAsia" w:ascii="仿宋" w:hAnsi="仿宋" w:eastAsia="仿宋" w:cs="仿宋"/>
          <w:color w:val="auto"/>
          <w:highlight w:val="none"/>
        </w:rPr>
      </w:pPr>
    </w:p>
    <w:p w14:paraId="03608C48">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三、符合性审查资料</w:t>
      </w:r>
    </w:p>
    <w:p w14:paraId="20B27C83">
      <w:pPr>
        <w:jc w:val="center"/>
        <w:rPr>
          <w:rFonts w:hint="eastAsia" w:ascii="仿宋" w:hAnsi="仿宋" w:eastAsia="仿宋" w:cs="仿宋"/>
          <w:b/>
          <w:color w:val="auto"/>
          <w:kern w:val="0"/>
          <w:sz w:val="32"/>
          <w:szCs w:val="32"/>
          <w:highlight w:val="none"/>
        </w:rPr>
      </w:pPr>
    </w:p>
    <w:tbl>
      <w:tblPr>
        <w:tblStyle w:val="64"/>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672"/>
        <w:gridCol w:w="2551"/>
        <w:gridCol w:w="1418"/>
      </w:tblGrid>
      <w:tr w14:paraId="1636C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FAF4E0E">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672" w:type="dxa"/>
            <w:vAlign w:val="center"/>
          </w:tcPr>
          <w:p w14:paraId="68E284D9">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151026EB">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493ABE5E">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响应文件中的</w:t>
            </w:r>
          </w:p>
          <w:p w14:paraId="2B1CC2A1">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74E0B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2FC285A">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672" w:type="dxa"/>
            <w:vAlign w:val="center"/>
          </w:tcPr>
          <w:p w14:paraId="72F25DBA">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响应文件按照交易文件要求签署、盖章。</w:t>
            </w:r>
          </w:p>
        </w:tc>
        <w:tc>
          <w:tcPr>
            <w:tcW w:w="2551" w:type="dxa"/>
            <w:vAlign w:val="center"/>
          </w:tcPr>
          <w:p w14:paraId="2BFF4226">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需要使用电子签名或者签字盖章的响应文件的组成部分</w:t>
            </w:r>
          </w:p>
        </w:tc>
        <w:tc>
          <w:tcPr>
            <w:tcW w:w="1418" w:type="dxa"/>
            <w:vAlign w:val="center"/>
          </w:tcPr>
          <w:p w14:paraId="0BF01849">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见响应文件</w:t>
            </w:r>
          </w:p>
          <w:p w14:paraId="2DC44AFC">
            <w:pPr>
              <w:jc w:val="center"/>
              <w:rPr>
                <w:rFonts w:hint="eastAsia" w:ascii="仿宋" w:hAnsi="仿宋" w:eastAsia="仿宋" w:cs="仿宋"/>
                <w:color w:val="auto"/>
                <w:highlight w:val="none"/>
              </w:rPr>
            </w:pPr>
            <w:r>
              <w:rPr>
                <w:rFonts w:hint="eastAsia" w:ascii="仿宋" w:hAnsi="仿宋" w:eastAsia="仿宋" w:cs="仿宋"/>
                <w:color w:val="auto"/>
                <w:sz w:val="24"/>
                <w:highlight w:val="none"/>
              </w:rPr>
              <w:t>第页</w:t>
            </w:r>
          </w:p>
        </w:tc>
      </w:tr>
      <w:tr w14:paraId="4381E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9C8C0B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672" w:type="dxa"/>
            <w:vAlign w:val="center"/>
          </w:tcPr>
          <w:p w14:paraId="7B7D10BD">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响应文件中承诺的交易有效期不少于交易文件中载明的交易有效期。</w:t>
            </w:r>
          </w:p>
        </w:tc>
        <w:tc>
          <w:tcPr>
            <w:tcW w:w="2551" w:type="dxa"/>
            <w:vAlign w:val="center"/>
          </w:tcPr>
          <w:p w14:paraId="22E70FD8">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响应函</w:t>
            </w:r>
          </w:p>
        </w:tc>
        <w:tc>
          <w:tcPr>
            <w:tcW w:w="1418" w:type="dxa"/>
            <w:vAlign w:val="center"/>
          </w:tcPr>
          <w:p w14:paraId="501D9049">
            <w:pPr>
              <w:jc w:val="center"/>
              <w:rPr>
                <w:rFonts w:hint="eastAsia" w:ascii="仿宋" w:hAnsi="仿宋" w:eastAsia="仿宋" w:cs="仿宋"/>
                <w:color w:val="auto"/>
                <w:highlight w:val="none"/>
              </w:rPr>
            </w:pPr>
            <w:r>
              <w:rPr>
                <w:rFonts w:hint="eastAsia" w:ascii="仿宋" w:hAnsi="仿宋" w:eastAsia="仿宋" w:cs="仿宋"/>
                <w:color w:val="auto"/>
                <w:sz w:val="24"/>
                <w:highlight w:val="none"/>
              </w:rPr>
              <w:t>见响应文件第页</w:t>
            </w:r>
          </w:p>
        </w:tc>
      </w:tr>
      <w:tr w14:paraId="2F9A7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E881E59">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672" w:type="dxa"/>
            <w:vAlign w:val="center"/>
          </w:tcPr>
          <w:p w14:paraId="65F539FD">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响应文件满足交易文件的其它实质性要求。</w:t>
            </w:r>
          </w:p>
        </w:tc>
        <w:tc>
          <w:tcPr>
            <w:tcW w:w="2551" w:type="dxa"/>
            <w:vAlign w:val="center"/>
          </w:tcPr>
          <w:p w14:paraId="0485E162">
            <w:pPr>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交易文件其它实质性要求相应的材料（“▲” 系指实质性要求条款，交易文件无其它实质性要求的，无需提供）</w:t>
            </w:r>
          </w:p>
        </w:tc>
        <w:tc>
          <w:tcPr>
            <w:tcW w:w="1418" w:type="dxa"/>
            <w:vAlign w:val="center"/>
          </w:tcPr>
          <w:p w14:paraId="35F42354">
            <w:pPr>
              <w:jc w:val="center"/>
              <w:rPr>
                <w:rFonts w:hint="eastAsia" w:ascii="仿宋" w:hAnsi="仿宋" w:eastAsia="仿宋" w:cs="仿宋"/>
                <w:color w:val="auto"/>
                <w:highlight w:val="none"/>
              </w:rPr>
            </w:pPr>
            <w:r>
              <w:rPr>
                <w:rFonts w:hint="eastAsia" w:ascii="仿宋" w:hAnsi="仿宋" w:eastAsia="仿宋" w:cs="仿宋"/>
                <w:color w:val="auto"/>
                <w:sz w:val="24"/>
                <w:highlight w:val="none"/>
              </w:rPr>
              <w:t>见响应文件第页</w:t>
            </w:r>
          </w:p>
        </w:tc>
      </w:tr>
    </w:tbl>
    <w:p w14:paraId="4C9D80D7">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E770A31">
      <w:pPr>
        <w:jc w:val="center"/>
        <w:rPr>
          <w:rFonts w:hint="eastAsia" w:ascii="仿宋" w:hAnsi="仿宋" w:eastAsia="仿宋" w:cs="仿宋"/>
          <w:b/>
          <w:color w:val="auto"/>
          <w:kern w:val="0"/>
          <w:sz w:val="32"/>
          <w:szCs w:val="32"/>
          <w:highlight w:val="none"/>
        </w:rPr>
      </w:pPr>
    </w:p>
    <w:p w14:paraId="43FC9CB7">
      <w:pPr>
        <w:jc w:val="center"/>
        <w:rPr>
          <w:rFonts w:hint="eastAsia" w:ascii="仿宋" w:hAnsi="仿宋" w:eastAsia="仿宋" w:cs="仿宋"/>
          <w:b/>
          <w:color w:val="auto"/>
          <w:kern w:val="0"/>
          <w:sz w:val="32"/>
          <w:szCs w:val="32"/>
          <w:highlight w:val="none"/>
        </w:rPr>
      </w:pPr>
    </w:p>
    <w:p w14:paraId="1D49BF9E">
      <w:pPr>
        <w:jc w:val="center"/>
        <w:rPr>
          <w:rFonts w:hint="eastAsia" w:ascii="仿宋" w:hAnsi="仿宋" w:eastAsia="仿宋" w:cs="仿宋"/>
          <w:b/>
          <w:color w:val="auto"/>
          <w:kern w:val="0"/>
          <w:sz w:val="32"/>
          <w:szCs w:val="32"/>
          <w:highlight w:val="none"/>
        </w:rPr>
      </w:pPr>
    </w:p>
    <w:p w14:paraId="2D0F95C0">
      <w:pPr>
        <w:jc w:val="center"/>
        <w:rPr>
          <w:rFonts w:hint="eastAsia" w:ascii="仿宋" w:hAnsi="仿宋" w:eastAsia="仿宋" w:cs="仿宋"/>
          <w:b/>
          <w:color w:val="auto"/>
          <w:kern w:val="0"/>
          <w:sz w:val="32"/>
          <w:szCs w:val="32"/>
          <w:highlight w:val="none"/>
        </w:rPr>
      </w:pPr>
    </w:p>
    <w:p w14:paraId="67089DED">
      <w:pPr>
        <w:jc w:val="center"/>
        <w:rPr>
          <w:rFonts w:hint="eastAsia" w:ascii="仿宋" w:hAnsi="仿宋" w:eastAsia="仿宋" w:cs="仿宋"/>
          <w:b/>
          <w:color w:val="auto"/>
          <w:kern w:val="0"/>
          <w:sz w:val="32"/>
          <w:szCs w:val="32"/>
          <w:highlight w:val="none"/>
        </w:rPr>
      </w:pPr>
    </w:p>
    <w:p w14:paraId="38341EC1">
      <w:pPr>
        <w:jc w:val="center"/>
        <w:rPr>
          <w:rFonts w:hint="eastAsia" w:ascii="仿宋" w:hAnsi="仿宋" w:eastAsia="仿宋" w:cs="仿宋"/>
          <w:b/>
          <w:color w:val="auto"/>
          <w:kern w:val="0"/>
          <w:sz w:val="32"/>
          <w:szCs w:val="32"/>
          <w:highlight w:val="none"/>
        </w:rPr>
      </w:pPr>
    </w:p>
    <w:p w14:paraId="647FFCDF">
      <w:pPr>
        <w:jc w:val="center"/>
        <w:rPr>
          <w:rFonts w:hint="eastAsia" w:ascii="仿宋" w:hAnsi="仿宋" w:eastAsia="仿宋" w:cs="仿宋"/>
          <w:b/>
          <w:color w:val="auto"/>
          <w:kern w:val="0"/>
          <w:sz w:val="32"/>
          <w:szCs w:val="32"/>
          <w:highlight w:val="none"/>
        </w:rPr>
      </w:pPr>
    </w:p>
    <w:p w14:paraId="509FBD2D">
      <w:pPr>
        <w:jc w:val="center"/>
        <w:rPr>
          <w:rFonts w:hint="eastAsia" w:ascii="仿宋" w:hAnsi="仿宋" w:eastAsia="仿宋" w:cs="仿宋"/>
          <w:b/>
          <w:color w:val="auto"/>
          <w:kern w:val="0"/>
          <w:sz w:val="32"/>
          <w:szCs w:val="32"/>
          <w:highlight w:val="none"/>
        </w:rPr>
      </w:pPr>
    </w:p>
    <w:p w14:paraId="4A5342B9">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四、评标标准相应的商务技术资料</w:t>
      </w:r>
    </w:p>
    <w:p w14:paraId="09F3FE91">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（按交易文件第四部分评标办法前附表中“响应文件中评标标准相应的商务技术资料目录”提供资料。）</w:t>
      </w:r>
    </w:p>
    <w:p w14:paraId="036172EA">
      <w:pPr>
        <w:jc w:val="center"/>
        <w:rPr>
          <w:rFonts w:hint="eastAsia" w:ascii="仿宋" w:hAnsi="仿宋" w:eastAsia="仿宋" w:cs="仿宋"/>
          <w:b/>
          <w:color w:val="auto"/>
          <w:kern w:val="0"/>
          <w:sz w:val="32"/>
          <w:szCs w:val="32"/>
          <w:highlight w:val="none"/>
        </w:rPr>
      </w:pPr>
    </w:p>
    <w:p w14:paraId="11FE2065">
      <w:pPr>
        <w:jc w:val="center"/>
        <w:rPr>
          <w:rFonts w:hint="eastAsia" w:ascii="仿宋" w:hAnsi="仿宋" w:eastAsia="仿宋" w:cs="仿宋"/>
          <w:b/>
          <w:color w:val="auto"/>
          <w:kern w:val="0"/>
          <w:sz w:val="32"/>
          <w:szCs w:val="32"/>
          <w:highlight w:val="none"/>
        </w:rPr>
      </w:pPr>
    </w:p>
    <w:p w14:paraId="43974EFE">
      <w:pPr>
        <w:jc w:val="center"/>
        <w:rPr>
          <w:rFonts w:hint="eastAsia" w:ascii="仿宋" w:hAnsi="仿宋" w:eastAsia="仿宋" w:cs="仿宋"/>
          <w:b/>
          <w:color w:val="auto"/>
          <w:kern w:val="0"/>
          <w:sz w:val="32"/>
          <w:szCs w:val="32"/>
          <w:highlight w:val="none"/>
        </w:rPr>
      </w:pPr>
    </w:p>
    <w:p w14:paraId="1FD39A7E">
      <w:pPr>
        <w:pStyle w:val="23"/>
        <w:rPr>
          <w:rFonts w:hint="eastAsia" w:ascii="仿宋" w:hAnsi="仿宋" w:eastAsia="仿宋" w:cs="仿宋"/>
          <w:color w:val="auto"/>
          <w:highlight w:val="none"/>
        </w:rPr>
      </w:pPr>
    </w:p>
    <w:p w14:paraId="618C7853">
      <w:pPr>
        <w:jc w:val="center"/>
        <w:rPr>
          <w:rFonts w:hint="eastAsia" w:ascii="仿宋" w:hAnsi="仿宋" w:eastAsia="仿宋" w:cs="仿宋"/>
          <w:b/>
          <w:color w:val="auto"/>
          <w:kern w:val="0"/>
          <w:sz w:val="32"/>
          <w:szCs w:val="32"/>
          <w:highlight w:val="none"/>
        </w:rPr>
      </w:pPr>
    </w:p>
    <w:p w14:paraId="31F855C8">
      <w:pPr>
        <w:jc w:val="center"/>
        <w:rPr>
          <w:rFonts w:hint="eastAsia" w:ascii="仿宋" w:hAnsi="仿宋" w:eastAsia="仿宋" w:cs="仿宋"/>
          <w:b/>
          <w:color w:val="auto"/>
          <w:kern w:val="0"/>
          <w:sz w:val="32"/>
          <w:szCs w:val="32"/>
          <w:highlight w:val="none"/>
        </w:rPr>
      </w:pPr>
    </w:p>
    <w:p w14:paraId="21921594">
      <w:pPr>
        <w:jc w:val="center"/>
        <w:rPr>
          <w:rFonts w:hint="eastAsia" w:ascii="仿宋" w:hAnsi="仿宋" w:eastAsia="仿宋" w:cs="仿宋"/>
          <w:b/>
          <w:color w:val="auto"/>
          <w:kern w:val="0"/>
          <w:sz w:val="32"/>
          <w:szCs w:val="32"/>
          <w:highlight w:val="none"/>
        </w:rPr>
      </w:pPr>
    </w:p>
    <w:p w14:paraId="2D6A68C4">
      <w:pPr>
        <w:jc w:val="center"/>
        <w:rPr>
          <w:rFonts w:hint="eastAsia" w:ascii="仿宋" w:hAnsi="仿宋" w:eastAsia="仿宋" w:cs="仿宋"/>
          <w:b/>
          <w:color w:val="auto"/>
          <w:kern w:val="0"/>
          <w:sz w:val="32"/>
          <w:szCs w:val="32"/>
          <w:highlight w:val="none"/>
        </w:rPr>
      </w:pPr>
    </w:p>
    <w:p w14:paraId="24612C21">
      <w:pPr>
        <w:ind w:firstLine="2891" w:firstLineChars="900"/>
        <w:rPr>
          <w:rFonts w:hint="eastAsia" w:ascii="仿宋" w:hAnsi="仿宋" w:eastAsia="仿宋" w:cs="仿宋"/>
          <w:b/>
          <w:color w:val="auto"/>
          <w:kern w:val="0"/>
          <w:sz w:val="32"/>
          <w:szCs w:val="32"/>
          <w:highlight w:val="none"/>
        </w:rPr>
      </w:pPr>
    </w:p>
    <w:p w14:paraId="6DF902B1">
      <w:pPr>
        <w:ind w:firstLine="2891" w:firstLineChars="9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五、交易标的清单</w:t>
      </w:r>
    </w:p>
    <w:tbl>
      <w:tblPr>
        <w:tblStyle w:val="64"/>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419"/>
        <w:gridCol w:w="1550"/>
        <w:gridCol w:w="2180"/>
        <w:gridCol w:w="930"/>
        <w:gridCol w:w="1526"/>
      </w:tblGrid>
      <w:tr w14:paraId="1310B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5F5E92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991100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419" w:type="dxa"/>
            <w:tcBorders>
              <w:top w:val="single" w:color="auto" w:sz="4" w:space="0"/>
              <w:left w:val="single" w:color="auto" w:sz="4" w:space="0"/>
              <w:bottom w:val="single" w:color="auto" w:sz="4" w:space="0"/>
              <w:right w:val="single" w:color="auto" w:sz="4" w:space="0"/>
            </w:tcBorders>
            <w:vAlign w:val="top"/>
          </w:tcPr>
          <w:p w14:paraId="55715E6F">
            <w:pPr>
              <w:spacing w:line="360" w:lineRule="auto"/>
              <w:jc w:val="center"/>
              <w:rPr>
                <w:rFonts w:hint="eastAsia" w:ascii="仿宋" w:hAnsi="仿宋" w:eastAsia="仿宋" w:cs="仿宋"/>
                <w:b/>
                <w:color w:val="auto"/>
                <w:sz w:val="24"/>
                <w:highlight w:val="none"/>
              </w:rPr>
            </w:pPr>
          </w:p>
          <w:p w14:paraId="741A4BCF">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1550" w:type="dxa"/>
            <w:tcBorders>
              <w:top w:val="single" w:color="auto" w:sz="4" w:space="0"/>
              <w:left w:val="single" w:color="auto" w:sz="4" w:space="0"/>
              <w:bottom w:val="single" w:color="auto" w:sz="4" w:space="0"/>
              <w:right w:val="single" w:color="auto" w:sz="4" w:space="0"/>
            </w:tcBorders>
            <w:vAlign w:val="center"/>
          </w:tcPr>
          <w:p w14:paraId="73539F22">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180" w:type="dxa"/>
            <w:tcBorders>
              <w:top w:val="single" w:color="auto" w:sz="4" w:space="0"/>
              <w:left w:val="single" w:color="auto" w:sz="4" w:space="0"/>
              <w:bottom w:val="single" w:color="auto" w:sz="4" w:space="0"/>
              <w:right w:val="single" w:color="auto" w:sz="4" w:space="0"/>
            </w:tcBorders>
            <w:vAlign w:val="center"/>
          </w:tcPr>
          <w:p w14:paraId="51BFF075">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350F4431">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1CEA22F8">
            <w:pPr>
              <w:spacing w:line="360" w:lineRule="auto"/>
              <w:jc w:val="center"/>
              <w:rPr>
                <w:rFonts w:hint="eastAsia" w:ascii="仿宋" w:hAnsi="仿宋" w:eastAsia="仿宋" w:cs="仿宋"/>
                <w:b/>
                <w:color w:val="auto"/>
                <w:sz w:val="24"/>
                <w:highlight w:val="none"/>
              </w:rPr>
            </w:pPr>
          </w:p>
          <w:p w14:paraId="56201C31">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w:t>
            </w:r>
          </w:p>
          <w:p w14:paraId="6F0A407A">
            <w:pPr>
              <w:spacing w:line="360" w:lineRule="auto"/>
              <w:jc w:val="center"/>
              <w:rPr>
                <w:rFonts w:hint="eastAsia" w:ascii="仿宋" w:hAnsi="仿宋" w:eastAsia="仿宋" w:cs="仿宋"/>
                <w:b/>
                <w:color w:val="auto"/>
                <w:sz w:val="24"/>
                <w:highlight w:val="none"/>
              </w:rPr>
            </w:pPr>
          </w:p>
        </w:tc>
      </w:tr>
      <w:tr w14:paraId="2771D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1AF32D0">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74D9B75C">
            <w:pPr>
              <w:snapToGrid w:val="0"/>
              <w:spacing w:line="360" w:lineRule="auto"/>
              <w:jc w:val="center"/>
              <w:rPr>
                <w:rFonts w:hint="eastAsia" w:ascii="仿宋" w:hAnsi="仿宋" w:eastAsia="仿宋" w:cs="仿宋"/>
                <w:color w:val="auto"/>
                <w:sz w:val="24"/>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14:paraId="7DE82E0C">
            <w:pPr>
              <w:snapToGrid w:val="0"/>
              <w:spacing w:line="360" w:lineRule="auto"/>
              <w:jc w:val="center"/>
              <w:rPr>
                <w:rFonts w:hint="eastAsia" w:ascii="仿宋" w:hAnsi="仿宋" w:eastAsia="仿宋" w:cs="仿宋"/>
                <w:color w:val="auto"/>
                <w:sz w:val="24"/>
                <w:highlight w:val="none"/>
              </w:rPr>
            </w:pPr>
          </w:p>
        </w:tc>
        <w:tc>
          <w:tcPr>
            <w:tcW w:w="1550" w:type="dxa"/>
            <w:tcBorders>
              <w:top w:val="single" w:color="auto" w:sz="4" w:space="0"/>
              <w:left w:val="single" w:color="auto" w:sz="4" w:space="0"/>
              <w:bottom w:val="single" w:color="auto" w:sz="4" w:space="0"/>
              <w:right w:val="single" w:color="auto" w:sz="4" w:space="0"/>
            </w:tcBorders>
            <w:vAlign w:val="center"/>
          </w:tcPr>
          <w:p w14:paraId="4F8260D6">
            <w:pPr>
              <w:snapToGrid w:val="0"/>
              <w:spacing w:line="360" w:lineRule="auto"/>
              <w:jc w:val="center"/>
              <w:rPr>
                <w:rFonts w:hint="eastAsia" w:ascii="仿宋" w:hAnsi="仿宋" w:eastAsia="仿宋" w:cs="仿宋"/>
                <w:color w:val="auto"/>
                <w:sz w:val="24"/>
                <w:highlight w:val="none"/>
              </w:rPr>
            </w:pPr>
          </w:p>
        </w:tc>
        <w:tc>
          <w:tcPr>
            <w:tcW w:w="2180" w:type="dxa"/>
            <w:tcBorders>
              <w:top w:val="single" w:color="auto" w:sz="4" w:space="0"/>
              <w:left w:val="single" w:color="auto" w:sz="4" w:space="0"/>
              <w:bottom w:val="single" w:color="auto" w:sz="4" w:space="0"/>
              <w:right w:val="single" w:color="auto" w:sz="4" w:space="0"/>
            </w:tcBorders>
            <w:vAlign w:val="center"/>
          </w:tcPr>
          <w:p w14:paraId="408C048C">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580BA7C">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9668F47">
            <w:pPr>
              <w:spacing w:line="360" w:lineRule="auto"/>
              <w:jc w:val="center"/>
              <w:rPr>
                <w:rFonts w:hint="eastAsia" w:ascii="仿宋" w:hAnsi="仿宋" w:eastAsia="仿宋" w:cs="仿宋"/>
                <w:color w:val="auto"/>
                <w:sz w:val="24"/>
                <w:highlight w:val="none"/>
              </w:rPr>
            </w:pPr>
          </w:p>
        </w:tc>
      </w:tr>
      <w:tr w14:paraId="75D66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EE3AAAF">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613345D2">
            <w:pPr>
              <w:snapToGrid w:val="0"/>
              <w:spacing w:line="360" w:lineRule="auto"/>
              <w:jc w:val="center"/>
              <w:rPr>
                <w:rFonts w:hint="eastAsia" w:ascii="仿宋" w:hAnsi="仿宋" w:eastAsia="仿宋" w:cs="仿宋"/>
                <w:color w:val="auto"/>
                <w:sz w:val="24"/>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14:paraId="223B01D5">
            <w:pPr>
              <w:snapToGrid w:val="0"/>
              <w:spacing w:line="360" w:lineRule="auto"/>
              <w:jc w:val="center"/>
              <w:rPr>
                <w:rFonts w:hint="eastAsia" w:ascii="仿宋" w:hAnsi="仿宋" w:eastAsia="仿宋" w:cs="仿宋"/>
                <w:color w:val="auto"/>
                <w:sz w:val="24"/>
                <w:highlight w:val="none"/>
              </w:rPr>
            </w:pPr>
          </w:p>
        </w:tc>
        <w:tc>
          <w:tcPr>
            <w:tcW w:w="1550" w:type="dxa"/>
            <w:tcBorders>
              <w:top w:val="single" w:color="auto" w:sz="4" w:space="0"/>
              <w:left w:val="single" w:color="auto" w:sz="4" w:space="0"/>
              <w:bottom w:val="single" w:color="auto" w:sz="4" w:space="0"/>
              <w:right w:val="single" w:color="auto" w:sz="4" w:space="0"/>
            </w:tcBorders>
            <w:vAlign w:val="center"/>
          </w:tcPr>
          <w:p w14:paraId="52BC54B5">
            <w:pPr>
              <w:snapToGrid w:val="0"/>
              <w:spacing w:line="360" w:lineRule="auto"/>
              <w:jc w:val="center"/>
              <w:rPr>
                <w:rFonts w:hint="eastAsia" w:ascii="仿宋" w:hAnsi="仿宋" w:eastAsia="仿宋" w:cs="仿宋"/>
                <w:color w:val="auto"/>
                <w:sz w:val="24"/>
                <w:highlight w:val="none"/>
              </w:rPr>
            </w:pPr>
          </w:p>
        </w:tc>
        <w:tc>
          <w:tcPr>
            <w:tcW w:w="2180" w:type="dxa"/>
            <w:tcBorders>
              <w:top w:val="single" w:color="auto" w:sz="4" w:space="0"/>
              <w:left w:val="single" w:color="auto" w:sz="4" w:space="0"/>
              <w:bottom w:val="single" w:color="auto" w:sz="4" w:space="0"/>
              <w:right w:val="single" w:color="auto" w:sz="4" w:space="0"/>
            </w:tcBorders>
            <w:vAlign w:val="center"/>
          </w:tcPr>
          <w:p w14:paraId="32BD1DC9">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5216242">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1FA2CA7">
            <w:pPr>
              <w:spacing w:line="360" w:lineRule="auto"/>
              <w:jc w:val="center"/>
              <w:rPr>
                <w:rFonts w:hint="eastAsia" w:ascii="仿宋" w:hAnsi="仿宋" w:eastAsia="仿宋" w:cs="仿宋"/>
                <w:color w:val="auto"/>
                <w:sz w:val="24"/>
                <w:highlight w:val="none"/>
              </w:rPr>
            </w:pPr>
          </w:p>
        </w:tc>
      </w:tr>
      <w:tr w14:paraId="34A7B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8A9AA52">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2017AEC2">
            <w:pPr>
              <w:snapToGrid w:val="0"/>
              <w:spacing w:line="360" w:lineRule="auto"/>
              <w:jc w:val="center"/>
              <w:rPr>
                <w:rFonts w:hint="eastAsia" w:ascii="仿宋" w:hAnsi="仿宋" w:eastAsia="仿宋" w:cs="仿宋"/>
                <w:color w:val="auto"/>
                <w:sz w:val="24"/>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14:paraId="1E879A36">
            <w:pPr>
              <w:snapToGrid w:val="0"/>
              <w:spacing w:line="360" w:lineRule="auto"/>
              <w:jc w:val="center"/>
              <w:rPr>
                <w:rFonts w:hint="eastAsia" w:ascii="仿宋" w:hAnsi="仿宋" w:eastAsia="仿宋" w:cs="仿宋"/>
                <w:color w:val="auto"/>
                <w:sz w:val="24"/>
                <w:highlight w:val="none"/>
              </w:rPr>
            </w:pPr>
          </w:p>
        </w:tc>
        <w:tc>
          <w:tcPr>
            <w:tcW w:w="1550" w:type="dxa"/>
            <w:tcBorders>
              <w:top w:val="single" w:color="auto" w:sz="4" w:space="0"/>
              <w:left w:val="single" w:color="auto" w:sz="4" w:space="0"/>
              <w:bottom w:val="single" w:color="auto" w:sz="4" w:space="0"/>
              <w:right w:val="single" w:color="auto" w:sz="4" w:space="0"/>
            </w:tcBorders>
            <w:vAlign w:val="center"/>
          </w:tcPr>
          <w:p w14:paraId="42B3E9A8">
            <w:pPr>
              <w:snapToGrid w:val="0"/>
              <w:spacing w:line="360" w:lineRule="auto"/>
              <w:jc w:val="center"/>
              <w:rPr>
                <w:rFonts w:hint="eastAsia" w:ascii="仿宋" w:hAnsi="仿宋" w:eastAsia="仿宋" w:cs="仿宋"/>
                <w:color w:val="auto"/>
                <w:sz w:val="24"/>
                <w:highlight w:val="none"/>
              </w:rPr>
            </w:pPr>
          </w:p>
        </w:tc>
        <w:tc>
          <w:tcPr>
            <w:tcW w:w="2180" w:type="dxa"/>
            <w:tcBorders>
              <w:top w:val="single" w:color="auto" w:sz="4" w:space="0"/>
              <w:left w:val="single" w:color="auto" w:sz="4" w:space="0"/>
              <w:bottom w:val="single" w:color="auto" w:sz="4" w:space="0"/>
              <w:right w:val="single" w:color="auto" w:sz="4" w:space="0"/>
            </w:tcBorders>
            <w:vAlign w:val="center"/>
          </w:tcPr>
          <w:p w14:paraId="70E32E26">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3677F9D">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3C69124">
            <w:pPr>
              <w:spacing w:line="360" w:lineRule="auto"/>
              <w:jc w:val="center"/>
              <w:rPr>
                <w:rFonts w:hint="eastAsia" w:ascii="仿宋" w:hAnsi="仿宋" w:eastAsia="仿宋" w:cs="仿宋"/>
                <w:color w:val="auto"/>
                <w:sz w:val="24"/>
                <w:highlight w:val="none"/>
              </w:rPr>
            </w:pPr>
          </w:p>
        </w:tc>
      </w:tr>
    </w:tbl>
    <w:p w14:paraId="52ABA636">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A218026">
      <w:pPr>
        <w:jc w:val="center"/>
        <w:rPr>
          <w:rFonts w:hint="eastAsia" w:ascii="仿宋" w:hAnsi="仿宋" w:eastAsia="仿宋" w:cs="仿宋"/>
          <w:b/>
          <w:color w:val="auto"/>
          <w:kern w:val="0"/>
          <w:sz w:val="32"/>
          <w:szCs w:val="32"/>
          <w:highlight w:val="none"/>
        </w:rPr>
      </w:pPr>
    </w:p>
    <w:p w14:paraId="2E6D3125">
      <w:pPr>
        <w:jc w:val="center"/>
        <w:rPr>
          <w:rFonts w:hint="eastAsia" w:ascii="仿宋" w:hAnsi="仿宋" w:eastAsia="仿宋" w:cs="仿宋"/>
          <w:b/>
          <w:color w:val="auto"/>
          <w:kern w:val="0"/>
          <w:sz w:val="32"/>
          <w:szCs w:val="32"/>
          <w:highlight w:val="none"/>
        </w:rPr>
      </w:pPr>
    </w:p>
    <w:p w14:paraId="1C494D91">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91D3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E05107D">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7372BB8E">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交易文件章节及具体内容</w:t>
            </w:r>
          </w:p>
        </w:tc>
        <w:tc>
          <w:tcPr>
            <w:tcW w:w="3546" w:type="dxa"/>
          </w:tcPr>
          <w:p w14:paraId="01830780">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响应文件章节及具体内容</w:t>
            </w:r>
          </w:p>
        </w:tc>
        <w:tc>
          <w:tcPr>
            <w:tcW w:w="1276" w:type="dxa"/>
          </w:tcPr>
          <w:p w14:paraId="3ABDB5A0">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22186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2CD6F81">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5274BDC3">
            <w:pPr>
              <w:jc w:val="center"/>
              <w:rPr>
                <w:rFonts w:hint="eastAsia" w:ascii="仿宋" w:hAnsi="仿宋" w:eastAsia="仿宋" w:cs="仿宋"/>
                <w:b/>
                <w:color w:val="auto"/>
                <w:kern w:val="0"/>
                <w:sz w:val="32"/>
                <w:szCs w:val="32"/>
                <w:highlight w:val="none"/>
              </w:rPr>
            </w:pPr>
          </w:p>
        </w:tc>
        <w:tc>
          <w:tcPr>
            <w:tcW w:w="3546" w:type="dxa"/>
          </w:tcPr>
          <w:p w14:paraId="11DFFD28">
            <w:pPr>
              <w:jc w:val="center"/>
              <w:rPr>
                <w:rFonts w:hint="eastAsia" w:ascii="仿宋" w:hAnsi="仿宋" w:eastAsia="仿宋" w:cs="仿宋"/>
                <w:b/>
                <w:color w:val="auto"/>
                <w:kern w:val="0"/>
                <w:sz w:val="32"/>
                <w:szCs w:val="32"/>
                <w:highlight w:val="none"/>
              </w:rPr>
            </w:pPr>
          </w:p>
        </w:tc>
        <w:tc>
          <w:tcPr>
            <w:tcW w:w="1276" w:type="dxa"/>
          </w:tcPr>
          <w:p w14:paraId="07F374DB">
            <w:pPr>
              <w:jc w:val="center"/>
              <w:rPr>
                <w:rFonts w:hint="eastAsia" w:ascii="仿宋" w:hAnsi="仿宋" w:eastAsia="仿宋" w:cs="仿宋"/>
                <w:b/>
                <w:color w:val="auto"/>
                <w:kern w:val="0"/>
                <w:sz w:val="32"/>
                <w:szCs w:val="32"/>
                <w:highlight w:val="none"/>
              </w:rPr>
            </w:pPr>
          </w:p>
        </w:tc>
      </w:tr>
      <w:tr w14:paraId="5B3EA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BA0D114">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326B4318">
            <w:pPr>
              <w:jc w:val="center"/>
              <w:rPr>
                <w:rFonts w:hint="eastAsia" w:ascii="仿宋" w:hAnsi="仿宋" w:eastAsia="仿宋" w:cs="仿宋"/>
                <w:b/>
                <w:color w:val="auto"/>
                <w:kern w:val="0"/>
                <w:sz w:val="32"/>
                <w:szCs w:val="32"/>
                <w:highlight w:val="none"/>
              </w:rPr>
            </w:pPr>
          </w:p>
        </w:tc>
        <w:tc>
          <w:tcPr>
            <w:tcW w:w="3546" w:type="dxa"/>
          </w:tcPr>
          <w:p w14:paraId="66ABDDD4">
            <w:pPr>
              <w:jc w:val="center"/>
              <w:rPr>
                <w:rFonts w:hint="eastAsia" w:ascii="仿宋" w:hAnsi="仿宋" w:eastAsia="仿宋" w:cs="仿宋"/>
                <w:b/>
                <w:color w:val="auto"/>
                <w:kern w:val="0"/>
                <w:sz w:val="32"/>
                <w:szCs w:val="32"/>
                <w:highlight w:val="none"/>
              </w:rPr>
            </w:pPr>
          </w:p>
        </w:tc>
        <w:tc>
          <w:tcPr>
            <w:tcW w:w="1276" w:type="dxa"/>
          </w:tcPr>
          <w:p w14:paraId="0554AEE5">
            <w:pPr>
              <w:jc w:val="center"/>
              <w:rPr>
                <w:rFonts w:hint="eastAsia" w:ascii="仿宋" w:hAnsi="仿宋" w:eastAsia="仿宋" w:cs="仿宋"/>
                <w:b/>
                <w:color w:val="auto"/>
                <w:kern w:val="0"/>
                <w:sz w:val="32"/>
                <w:szCs w:val="32"/>
                <w:highlight w:val="none"/>
              </w:rPr>
            </w:pPr>
          </w:p>
        </w:tc>
      </w:tr>
      <w:tr w14:paraId="1A200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141749C">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5293AA65">
            <w:pPr>
              <w:jc w:val="center"/>
              <w:rPr>
                <w:rFonts w:hint="eastAsia" w:ascii="仿宋" w:hAnsi="仿宋" w:eastAsia="仿宋" w:cs="仿宋"/>
                <w:b/>
                <w:color w:val="auto"/>
                <w:kern w:val="0"/>
                <w:sz w:val="32"/>
                <w:szCs w:val="32"/>
                <w:highlight w:val="none"/>
              </w:rPr>
            </w:pPr>
          </w:p>
        </w:tc>
        <w:tc>
          <w:tcPr>
            <w:tcW w:w="3546" w:type="dxa"/>
          </w:tcPr>
          <w:p w14:paraId="5B2F8AB2">
            <w:pPr>
              <w:jc w:val="center"/>
              <w:rPr>
                <w:rFonts w:hint="eastAsia" w:ascii="仿宋" w:hAnsi="仿宋" w:eastAsia="仿宋" w:cs="仿宋"/>
                <w:b/>
                <w:color w:val="auto"/>
                <w:kern w:val="0"/>
                <w:sz w:val="32"/>
                <w:szCs w:val="32"/>
                <w:highlight w:val="none"/>
              </w:rPr>
            </w:pPr>
          </w:p>
        </w:tc>
        <w:tc>
          <w:tcPr>
            <w:tcW w:w="1276" w:type="dxa"/>
          </w:tcPr>
          <w:p w14:paraId="43963FA2">
            <w:pPr>
              <w:jc w:val="center"/>
              <w:rPr>
                <w:rFonts w:hint="eastAsia" w:ascii="仿宋" w:hAnsi="仿宋" w:eastAsia="仿宋" w:cs="仿宋"/>
                <w:b/>
                <w:color w:val="auto"/>
                <w:kern w:val="0"/>
                <w:sz w:val="32"/>
                <w:szCs w:val="32"/>
                <w:highlight w:val="none"/>
              </w:rPr>
            </w:pPr>
          </w:p>
        </w:tc>
      </w:tr>
    </w:tbl>
    <w:p w14:paraId="6A1022E5">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响应人</w:t>
      </w:r>
      <w:r>
        <w:rPr>
          <w:rFonts w:hint="eastAsia" w:ascii="仿宋" w:hAnsi="仿宋" w:eastAsia="仿宋" w:cs="仿宋"/>
          <w:color w:val="auto"/>
          <w:kern w:val="0"/>
          <w:sz w:val="24"/>
          <w:highlight w:val="none"/>
        </w:rPr>
        <w:t>保证：除商务技术偏离表列出的偏离外，</w:t>
      </w:r>
      <w:r>
        <w:rPr>
          <w:rFonts w:hint="eastAsia" w:ascii="仿宋" w:hAnsi="仿宋" w:eastAsia="仿宋" w:cs="仿宋"/>
          <w:color w:val="auto"/>
          <w:kern w:val="0"/>
          <w:sz w:val="24"/>
          <w:highlight w:val="none"/>
          <w:lang w:eastAsia="zh-CN"/>
        </w:rPr>
        <w:t>响应人</w:t>
      </w:r>
      <w:r>
        <w:rPr>
          <w:rFonts w:hint="eastAsia" w:ascii="仿宋" w:hAnsi="仿宋" w:eastAsia="仿宋" w:cs="仿宋"/>
          <w:color w:val="auto"/>
          <w:kern w:val="0"/>
          <w:sz w:val="24"/>
          <w:highlight w:val="none"/>
        </w:rPr>
        <w:t>响应交易文件的全部要求</w:t>
      </w:r>
    </w:p>
    <w:p w14:paraId="2870C0E7">
      <w:pPr>
        <w:jc w:val="center"/>
        <w:rPr>
          <w:rFonts w:hint="eastAsia" w:ascii="仿宋" w:hAnsi="仿宋" w:eastAsia="仿宋" w:cs="仿宋"/>
          <w:b/>
          <w:color w:val="auto"/>
          <w:kern w:val="0"/>
          <w:sz w:val="32"/>
          <w:szCs w:val="32"/>
          <w:highlight w:val="none"/>
        </w:rPr>
      </w:pPr>
    </w:p>
    <w:p w14:paraId="4B9B1BE5">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09C493F">
      <w:pPr>
        <w:jc w:val="center"/>
        <w:rPr>
          <w:rFonts w:hint="eastAsia" w:ascii="仿宋" w:hAnsi="仿宋" w:eastAsia="仿宋" w:cs="仿宋"/>
          <w:b/>
          <w:color w:val="auto"/>
          <w:kern w:val="0"/>
          <w:sz w:val="32"/>
          <w:szCs w:val="32"/>
          <w:highlight w:val="none"/>
        </w:rPr>
      </w:pPr>
    </w:p>
    <w:p w14:paraId="073F183E">
      <w:pP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5978F2F5">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七</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采购响应人廉洁自律承诺书</w:t>
      </w:r>
    </w:p>
    <w:p w14:paraId="68A89B4A">
      <w:pPr>
        <w:snapToGrid w:val="0"/>
        <w:spacing w:line="360" w:lineRule="auto"/>
        <w:rPr>
          <w:rFonts w:hint="eastAsia" w:ascii="仿宋" w:hAnsi="仿宋" w:eastAsia="仿宋" w:cs="仿宋"/>
          <w:color w:val="auto"/>
          <w:sz w:val="24"/>
          <w:highlight w:val="none"/>
        </w:rPr>
      </w:pPr>
    </w:p>
    <w:p w14:paraId="5D14ABF8">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u w:val="single"/>
        </w:rPr>
        <w:t>（采购人）、（采购代理机构）</w:t>
      </w:r>
      <w:r>
        <w:rPr>
          <w:rFonts w:hint="eastAsia" w:ascii="仿宋" w:hAnsi="仿宋" w:eastAsia="仿宋" w:cs="仿宋"/>
          <w:color w:val="auto"/>
          <w:kern w:val="0"/>
          <w:sz w:val="24"/>
          <w:highlight w:val="none"/>
          <w:lang w:val="zh-CN"/>
        </w:rPr>
        <w:t>：</w:t>
      </w:r>
    </w:p>
    <w:p w14:paraId="2077C245">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项目交易要求参加响应。在这次响应过程中和成交后，我们将严格遵守国家法律法规要求，并郑重承诺：</w:t>
      </w:r>
    </w:p>
    <w:p w14:paraId="27312C19">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67696D2A">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448EB205">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1E68C77C">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75D8F893">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1AC4EC2B">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241F109B">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六、严格遵守相关法律法规，诚实守信，合法经营，坚决抵制各种违法违纪行为。 </w:t>
      </w:r>
    </w:p>
    <w:p w14:paraId="459B330B">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有权立即取消我单位响应、成交或在建项目的建设资格，有权拒绝我单位在一定时期内进入你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w:t>
      </w:r>
      <w:r>
        <w:rPr>
          <w:rFonts w:hint="eastAsia" w:ascii="仿宋" w:hAnsi="仿宋" w:eastAsia="仿宋" w:cs="仿宋"/>
          <w:color w:val="auto"/>
          <w:kern w:val="0"/>
          <w:sz w:val="24"/>
          <w:highlight w:val="none"/>
          <w:lang w:val="en-US" w:eastAsia="zh-CN"/>
        </w:rPr>
        <w:t>相关管理部门</w:t>
      </w:r>
      <w:r>
        <w:rPr>
          <w:rFonts w:hint="eastAsia" w:ascii="仿宋" w:hAnsi="仿宋" w:eastAsia="仿宋" w:cs="仿宋"/>
          <w:color w:val="auto"/>
          <w:kern w:val="0"/>
          <w:sz w:val="24"/>
          <w:highlight w:val="none"/>
          <w:lang w:val="zh-CN"/>
        </w:rPr>
        <w:t>。由此引起的相应损失均由我单位承担。</w:t>
      </w:r>
    </w:p>
    <w:p w14:paraId="1BEBF206">
      <w:pPr>
        <w:autoSpaceDE w:val="0"/>
        <w:autoSpaceDN w:val="0"/>
        <w:spacing w:line="360" w:lineRule="auto"/>
        <w:ind w:left="2"/>
        <w:jc w:val="left"/>
        <w:rPr>
          <w:rFonts w:hint="eastAsia" w:ascii="仿宋" w:hAnsi="仿宋" w:eastAsia="仿宋" w:cs="仿宋"/>
          <w:color w:val="auto"/>
          <w:kern w:val="0"/>
          <w:sz w:val="24"/>
          <w:highlight w:val="none"/>
          <w:lang w:val="zh-CN"/>
        </w:rPr>
      </w:pPr>
    </w:p>
    <w:p w14:paraId="1C51F9F5">
      <w:pPr>
        <w:autoSpaceDE w:val="0"/>
        <w:autoSpaceDN w:val="0"/>
        <w:spacing w:line="360" w:lineRule="auto"/>
        <w:ind w:left="2"/>
        <w:jc w:val="left"/>
        <w:rPr>
          <w:rFonts w:hint="eastAsia" w:ascii="仿宋" w:hAnsi="仿宋" w:eastAsia="仿宋" w:cs="仿宋"/>
          <w:color w:val="auto"/>
          <w:kern w:val="0"/>
          <w:sz w:val="24"/>
          <w:highlight w:val="none"/>
          <w:lang w:val="zh-CN"/>
        </w:rPr>
      </w:pPr>
    </w:p>
    <w:p w14:paraId="35FDBAC6">
      <w:pPr>
        <w:autoSpaceDE w:val="0"/>
        <w:autoSpaceDN w:val="0"/>
        <w:spacing w:line="360" w:lineRule="auto"/>
        <w:ind w:left="2"/>
        <w:jc w:val="left"/>
        <w:rPr>
          <w:rFonts w:hint="eastAsia" w:ascii="仿宋" w:hAnsi="仿宋" w:eastAsia="仿宋" w:cs="仿宋"/>
          <w:color w:val="auto"/>
          <w:kern w:val="0"/>
          <w:sz w:val="24"/>
          <w:highlight w:val="none"/>
          <w:lang w:val="zh-CN"/>
        </w:rPr>
      </w:pPr>
    </w:p>
    <w:p w14:paraId="6D88EEC2">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响应人名称（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09E77EBE">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060053A2">
      <w:pPr>
        <w:spacing w:line="360" w:lineRule="auto"/>
        <w:jc w:val="center"/>
        <w:rPr>
          <w:rFonts w:hint="eastAsia" w:ascii="仿宋" w:hAnsi="仿宋" w:eastAsia="仿宋" w:cs="仿宋"/>
          <w:b/>
          <w:bCs/>
          <w:color w:val="auto"/>
          <w:sz w:val="24"/>
          <w:highlight w:val="none"/>
        </w:rPr>
      </w:pPr>
    </w:p>
    <w:p w14:paraId="6638E67D">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7ABA359">
      <w:pPr>
        <w:spacing w:line="360" w:lineRule="auto"/>
        <w:jc w:val="center"/>
        <w:rPr>
          <w:rFonts w:hint="eastAsia" w:ascii="仿宋" w:hAnsi="仿宋" w:eastAsia="仿宋" w:cs="仿宋"/>
          <w:b/>
          <w:bCs/>
          <w:color w:val="auto"/>
          <w:sz w:val="24"/>
          <w:highlight w:val="none"/>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p>
    <w:p w14:paraId="4CB3D4F8">
      <w:pPr>
        <w:spacing w:line="360" w:lineRule="auto"/>
        <w:jc w:val="center"/>
        <w:outlineLvl w:val="0"/>
        <w:rPr>
          <w:rFonts w:hint="eastAsia" w:ascii="仿宋" w:hAnsi="仿宋" w:eastAsia="仿宋" w:cs="仿宋"/>
          <w:b/>
          <w:color w:val="auto"/>
          <w:kern w:val="0"/>
          <w:sz w:val="36"/>
          <w:szCs w:val="36"/>
          <w:highlight w:val="none"/>
        </w:rPr>
      </w:pPr>
    </w:p>
    <w:p w14:paraId="54F2758B">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5CBCEF52">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5A2F2E45">
      <w:pPr>
        <w:spacing w:line="360" w:lineRule="auto"/>
        <w:jc w:val="center"/>
        <w:outlineLvl w:val="0"/>
        <w:rPr>
          <w:rFonts w:hint="eastAsia" w:ascii="仿宋" w:hAnsi="仿宋" w:eastAsia="仿宋" w:cs="仿宋"/>
          <w:b/>
          <w:color w:val="auto"/>
          <w:kern w:val="0"/>
          <w:sz w:val="36"/>
          <w:szCs w:val="36"/>
          <w:highlight w:val="none"/>
        </w:rPr>
      </w:pPr>
    </w:p>
    <w:p w14:paraId="06D87C09">
      <w:pPr>
        <w:numPr>
          <w:ilvl w:val="0"/>
          <w:numId w:val="2"/>
        </w:num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交易一览表（报价表）………………………………………………………（页码）</w:t>
      </w:r>
    </w:p>
    <w:p w14:paraId="039EB296">
      <w:pPr>
        <w:pStyle w:val="3"/>
        <w:rPr>
          <w:rFonts w:hint="eastAsia" w:ascii="仿宋" w:hAnsi="仿宋" w:eastAsia="仿宋" w:cs="仿宋"/>
          <w:color w:val="auto"/>
          <w:highlight w:val="none"/>
        </w:rPr>
      </w:pPr>
    </w:p>
    <w:p w14:paraId="6AD898C9">
      <w:pPr>
        <w:snapToGrid w:val="0"/>
        <w:spacing w:line="360" w:lineRule="auto"/>
        <w:ind w:right="480"/>
        <w:jc w:val="center"/>
        <w:rPr>
          <w:rFonts w:hint="eastAsia" w:ascii="仿宋" w:hAnsi="仿宋" w:eastAsia="仿宋" w:cs="仿宋"/>
          <w:b/>
          <w:color w:val="auto"/>
          <w:kern w:val="0"/>
          <w:sz w:val="32"/>
          <w:szCs w:val="32"/>
          <w:highlight w:val="none"/>
        </w:rPr>
      </w:pPr>
    </w:p>
    <w:p w14:paraId="499741F8">
      <w:pPr>
        <w:snapToGrid w:val="0"/>
        <w:spacing w:line="360" w:lineRule="auto"/>
        <w:ind w:right="480"/>
        <w:jc w:val="center"/>
        <w:rPr>
          <w:rFonts w:hint="eastAsia" w:ascii="仿宋" w:hAnsi="仿宋" w:eastAsia="仿宋" w:cs="仿宋"/>
          <w:b/>
          <w:color w:val="auto"/>
          <w:kern w:val="0"/>
          <w:sz w:val="32"/>
          <w:szCs w:val="32"/>
          <w:highlight w:val="none"/>
        </w:rPr>
      </w:pPr>
    </w:p>
    <w:p w14:paraId="4723EDCA">
      <w:pPr>
        <w:snapToGrid w:val="0"/>
        <w:spacing w:line="360" w:lineRule="auto"/>
        <w:ind w:right="480"/>
        <w:jc w:val="center"/>
        <w:rPr>
          <w:rFonts w:hint="eastAsia" w:ascii="仿宋" w:hAnsi="仿宋" w:eastAsia="仿宋" w:cs="仿宋"/>
          <w:b/>
          <w:color w:val="auto"/>
          <w:kern w:val="0"/>
          <w:sz w:val="32"/>
          <w:szCs w:val="32"/>
          <w:highlight w:val="none"/>
        </w:rPr>
      </w:pPr>
    </w:p>
    <w:p w14:paraId="3A465523">
      <w:pPr>
        <w:snapToGrid w:val="0"/>
        <w:spacing w:line="360" w:lineRule="auto"/>
        <w:ind w:right="480"/>
        <w:jc w:val="center"/>
        <w:rPr>
          <w:rFonts w:hint="eastAsia" w:ascii="仿宋" w:hAnsi="仿宋" w:eastAsia="仿宋" w:cs="仿宋"/>
          <w:b/>
          <w:color w:val="auto"/>
          <w:kern w:val="0"/>
          <w:sz w:val="32"/>
          <w:szCs w:val="32"/>
          <w:highlight w:val="none"/>
        </w:rPr>
      </w:pPr>
    </w:p>
    <w:p w14:paraId="1B323865">
      <w:pPr>
        <w:snapToGrid w:val="0"/>
        <w:spacing w:line="360" w:lineRule="auto"/>
        <w:ind w:right="480"/>
        <w:jc w:val="center"/>
        <w:rPr>
          <w:rFonts w:hint="eastAsia" w:ascii="仿宋" w:hAnsi="仿宋" w:eastAsia="仿宋" w:cs="仿宋"/>
          <w:b/>
          <w:color w:val="auto"/>
          <w:kern w:val="0"/>
          <w:sz w:val="32"/>
          <w:szCs w:val="32"/>
          <w:highlight w:val="none"/>
        </w:rPr>
      </w:pPr>
    </w:p>
    <w:p w14:paraId="1545DFAD">
      <w:pPr>
        <w:snapToGrid w:val="0"/>
        <w:spacing w:line="360" w:lineRule="auto"/>
        <w:ind w:right="480"/>
        <w:jc w:val="center"/>
        <w:rPr>
          <w:rFonts w:hint="eastAsia" w:ascii="仿宋" w:hAnsi="仿宋" w:eastAsia="仿宋" w:cs="仿宋"/>
          <w:b/>
          <w:color w:val="auto"/>
          <w:kern w:val="0"/>
          <w:sz w:val="32"/>
          <w:szCs w:val="32"/>
          <w:highlight w:val="none"/>
        </w:rPr>
      </w:pPr>
    </w:p>
    <w:p w14:paraId="44E98E3E">
      <w:pPr>
        <w:snapToGrid w:val="0"/>
        <w:spacing w:line="360" w:lineRule="auto"/>
        <w:ind w:right="480"/>
        <w:jc w:val="center"/>
        <w:rPr>
          <w:rFonts w:hint="eastAsia" w:ascii="仿宋" w:hAnsi="仿宋" w:eastAsia="仿宋" w:cs="仿宋"/>
          <w:b/>
          <w:color w:val="auto"/>
          <w:kern w:val="0"/>
          <w:sz w:val="32"/>
          <w:szCs w:val="32"/>
          <w:highlight w:val="none"/>
        </w:rPr>
      </w:pPr>
    </w:p>
    <w:p w14:paraId="6FA8D460">
      <w:pPr>
        <w:snapToGrid w:val="0"/>
        <w:spacing w:line="360" w:lineRule="auto"/>
        <w:ind w:right="480"/>
        <w:jc w:val="center"/>
        <w:rPr>
          <w:rFonts w:hint="eastAsia" w:ascii="仿宋" w:hAnsi="仿宋" w:eastAsia="仿宋" w:cs="仿宋"/>
          <w:b/>
          <w:color w:val="auto"/>
          <w:kern w:val="0"/>
          <w:sz w:val="32"/>
          <w:szCs w:val="32"/>
          <w:highlight w:val="none"/>
        </w:rPr>
      </w:pPr>
    </w:p>
    <w:p w14:paraId="27207893">
      <w:pPr>
        <w:snapToGrid w:val="0"/>
        <w:spacing w:line="360" w:lineRule="auto"/>
        <w:ind w:right="480"/>
        <w:jc w:val="center"/>
        <w:rPr>
          <w:rFonts w:hint="eastAsia" w:ascii="仿宋" w:hAnsi="仿宋" w:eastAsia="仿宋" w:cs="仿宋"/>
          <w:b/>
          <w:color w:val="auto"/>
          <w:kern w:val="0"/>
          <w:sz w:val="32"/>
          <w:szCs w:val="32"/>
          <w:highlight w:val="none"/>
        </w:rPr>
      </w:pPr>
    </w:p>
    <w:p w14:paraId="20576E77">
      <w:pPr>
        <w:snapToGrid w:val="0"/>
        <w:spacing w:line="360" w:lineRule="auto"/>
        <w:ind w:right="480"/>
        <w:jc w:val="center"/>
        <w:rPr>
          <w:rFonts w:hint="eastAsia" w:ascii="仿宋" w:hAnsi="仿宋" w:eastAsia="仿宋" w:cs="仿宋"/>
          <w:b/>
          <w:color w:val="auto"/>
          <w:kern w:val="0"/>
          <w:sz w:val="32"/>
          <w:szCs w:val="32"/>
          <w:highlight w:val="none"/>
        </w:rPr>
      </w:pPr>
    </w:p>
    <w:p w14:paraId="3776FFB7">
      <w:pPr>
        <w:snapToGrid w:val="0"/>
        <w:spacing w:line="360" w:lineRule="auto"/>
        <w:ind w:right="480"/>
        <w:jc w:val="center"/>
        <w:rPr>
          <w:rFonts w:hint="eastAsia" w:ascii="仿宋" w:hAnsi="仿宋" w:eastAsia="仿宋" w:cs="仿宋"/>
          <w:b/>
          <w:color w:val="auto"/>
          <w:kern w:val="0"/>
          <w:sz w:val="32"/>
          <w:szCs w:val="32"/>
          <w:highlight w:val="none"/>
        </w:rPr>
      </w:pPr>
    </w:p>
    <w:p w14:paraId="75800947">
      <w:pPr>
        <w:snapToGrid w:val="0"/>
        <w:spacing w:line="360" w:lineRule="auto"/>
        <w:ind w:right="480"/>
        <w:jc w:val="center"/>
        <w:rPr>
          <w:rFonts w:hint="eastAsia" w:ascii="仿宋" w:hAnsi="仿宋" w:eastAsia="仿宋" w:cs="仿宋"/>
          <w:b/>
          <w:color w:val="auto"/>
          <w:kern w:val="0"/>
          <w:sz w:val="32"/>
          <w:szCs w:val="32"/>
          <w:highlight w:val="none"/>
        </w:rPr>
      </w:pPr>
    </w:p>
    <w:p w14:paraId="1C56CB32">
      <w:pPr>
        <w:snapToGrid w:val="0"/>
        <w:spacing w:line="360" w:lineRule="auto"/>
        <w:ind w:right="480"/>
        <w:jc w:val="center"/>
        <w:rPr>
          <w:rFonts w:hint="eastAsia" w:ascii="仿宋" w:hAnsi="仿宋" w:eastAsia="仿宋" w:cs="仿宋"/>
          <w:b/>
          <w:color w:val="auto"/>
          <w:kern w:val="0"/>
          <w:sz w:val="32"/>
          <w:szCs w:val="32"/>
          <w:highlight w:val="none"/>
        </w:rPr>
      </w:pPr>
    </w:p>
    <w:p w14:paraId="48EC0043">
      <w:pPr>
        <w:pStyle w:val="693"/>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7182FC45">
      <w:pPr>
        <w:pStyle w:val="693"/>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一、交易一览表（报价表）</w:t>
      </w:r>
    </w:p>
    <w:p w14:paraId="05722F10">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u w:val="single"/>
        </w:rPr>
        <w:t>（采购人）、（采购代理机构）</w:t>
      </w:r>
      <w:r>
        <w:rPr>
          <w:rFonts w:hint="eastAsia" w:ascii="仿宋" w:hAnsi="仿宋" w:eastAsia="仿宋" w:cs="仿宋"/>
          <w:color w:val="auto"/>
          <w:kern w:val="0"/>
          <w:sz w:val="24"/>
          <w:highlight w:val="none"/>
          <w:lang w:val="zh-CN"/>
        </w:rPr>
        <w:t>：</w:t>
      </w:r>
    </w:p>
    <w:p w14:paraId="00592BE8">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按你方交易文件要求，我们，本响应文件签字方，谨此向你方发出要约如下：如你方接受本响应，我方承诺按照如下交易一览表（报价表）的价格完成</w:t>
      </w:r>
      <w:r>
        <w:rPr>
          <w:rFonts w:hint="eastAsia" w:ascii="仿宋" w:hAnsi="仿宋" w:eastAsia="仿宋" w:cs="仿宋"/>
          <w:color w:val="auto"/>
          <w:sz w:val="24"/>
          <w:highlight w:val="none"/>
          <w:u w:val="single"/>
        </w:rPr>
        <w:t>（项目名称）</w:t>
      </w:r>
      <w:r>
        <w:rPr>
          <w:rFonts w:hint="eastAsia" w:ascii="仿宋" w:hAnsi="仿宋" w:eastAsia="仿宋" w:cs="仿宋"/>
          <w:color w:val="auto"/>
          <w:kern w:val="0"/>
          <w:sz w:val="24"/>
          <w:highlight w:val="none"/>
          <w:u w:val="single"/>
          <w:lang w:val="zh-CN"/>
        </w:rPr>
        <w:t>【交易编号：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的实施</w:t>
      </w:r>
      <w:r>
        <w:rPr>
          <w:rFonts w:hint="eastAsia" w:ascii="仿宋" w:hAnsi="仿宋" w:eastAsia="仿宋" w:cs="仿宋"/>
          <w:color w:val="auto"/>
          <w:kern w:val="0"/>
          <w:sz w:val="24"/>
          <w:highlight w:val="none"/>
          <w:lang w:val="zh-CN"/>
        </w:rPr>
        <w:t>。</w:t>
      </w:r>
    </w:p>
    <w:p w14:paraId="50A524EE">
      <w:pPr>
        <w:pStyle w:val="81"/>
        <w:jc w:val="center"/>
        <w:rPr>
          <w:rFonts w:hint="eastAsia"/>
          <w:color w:val="auto"/>
          <w:highlight w:val="none"/>
          <w:lang w:val="zh-CN"/>
        </w:rPr>
      </w:pPr>
      <w:r>
        <w:rPr>
          <w:rFonts w:hint="eastAsia" w:ascii="仿宋" w:hAnsi="仿宋" w:eastAsia="仿宋" w:cs="仿宋"/>
          <w:b/>
          <w:color w:val="auto"/>
          <w:kern w:val="0"/>
          <w:sz w:val="24"/>
          <w:highlight w:val="none"/>
          <w:lang w:val="zh-CN"/>
        </w:rPr>
        <w:t>交易一览表（报价表）</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0"/>
        <w:gridCol w:w="3473"/>
        <w:gridCol w:w="5297"/>
        <w:gridCol w:w="4571"/>
      </w:tblGrid>
      <w:tr w14:paraId="7AEB7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190" w:type="dxa"/>
            <w:vAlign w:val="center"/>
          </w:tcPr>
          <w:p w14:paraId="5E5AF46C">
            <w:pPr>
              <w:spacing w:line="360" w:lineRule="auto"/>
              <w:jc w:val="center"/>
              <w:rPr>
                <w:rFonts w:hint="eastAsia" w:ascii="仿宋" w:hAnsi="仿宋" w:eastAsia="仿宋" w:cs="仿宋"/>
                <w:b w:val="0"/>
                <w:bCs/>
                <w:color w:val="auto"/>
                <w:kern w:val="0"/>
                <w:sz w:val="24"/>
                <w:highlight w:val="none"/>
                <w:vertAlign w:val="baseline"/>
                <w:lang w:val="en-US" w:eastAsia="zh-CN"/>
              </w:rPr>
            </w:pPr>
            <w:r>
              <w:rPr>
                <w:rFonts w:hint="eastAsia" w:ascii="仿宋" w:hAnsi="仿宋" w:eastAsia="仿宋" w:cs="仿宋"/>
                <w:b w:val="0"/>
                <w:bCs/>
                <w:color w:val="auto"/>
                <w:kern w:val="0"/>
                <w:sz w:val="24"/>
                <w:highlight w:val="none"/>
                <w:vertAlign w:val="baseline"/>
                <w:lang w:val="en-US" w:eastAsia="zh-CN"/>
              </w:rPr>
              <w:t>序号</w:t>
            </w:r>
          </w:p>
        </w:tc>
        <w:tc>
          <w:tcPr>
            <w:tcW w:w="3473" w:type="dxa"/>
            <w:vAlign w:val="center"/>
          </w:tcPr>
          <w:p w14:paraId="16B7A8C1">
            <w:pPr>
              <w:spacing w:line="360" w:lineRule="auto"/>
              <w:jc w:val="center"/>
              <w:rPr>
                <w:rFonts w:hint="default" w:ascii="仿宋" w:hAnsi="仿宋" w:eastAsia="仿宋" w:cs="仿宋"/>
                <w:b w:val="0"/>
                <w:bCs/>
                <w:color w:val="auto"/>
                <w:kern w:val="0"/>
                <w:sz w:val="24"/>
                <w:highlight w:val="none"/>
                <w:vertAlign w:val="baseline"/>
                <w:lang w:val="en-US" w:eastAsia="zh-CN"/>
              </w:rPr>
            </w:pPr>
            <w:r>
              <w:rPr>
                <w:rFonts w:hint="eastAsia" w:ascii="仿宋" w:hAnsi="仿宋" w:eastAsia="仿宋" w:cs="仿宋"/>
                <w:b w:val="0"/>
                <w:bCs/>
                <w:color w:val="auto"/>
                <w:kern w:val="0"/>
                <w:sz w:val="24"/>
                <w:highlight w:val="none"/>
                <w:vertAlign w:val="baseline"/>
                <w:lang w:val="en-US" w:eastAsia="zh-CN"/>
              </w:rPr>
              <w:t>项目名称</w:t>
            </w:r>
          </w:p>
        </w:tc>
        <w:tc>
          <w:tcPr>
            <w:tcW w:w="5297" w:type="dxa"/>
            <w:vAlign w:val="center"/>
          </w:tcPr>
          <w:p w14:paraId="52F36C04">
            <w:pPr>
              <w:spacing w:line="360" w:lineRule="auto"/>
              <w:jc w:val="center"/>
              <w:rPr>
                <w:rFonts w:hint="default" w:ascii="仿宋" w:hAnsi="仿宋" w:eastAsia="仿宋" w:cs="仿宋"/>
                <w:b w:val="0"/>
                <w:bCs/>
                <w:color w:val="auto"/>
                <w:kern w:val="0"/>
                <w:sz w:val="24"/>
                <w:highlight w:val="none"/>
                <w:vertAlign w:val="baseline"/>
                <w:lang w:val="en-US" w:eastAsia="zh-CN"/>
              </w:rPr>
            </w:pPr>
            <w:r>
              <w:rPr>
                <w:rFonts w:hint="eastAsia" w:ascii="仿宋" w:hAnsi="仿宋" w:eastAsia="仿宋" w:cs="仿宋"/>
                <w:b w:val="0"/>
                <w:bCs/>
                <w:color w:val="auto"/>
                <w:kern w:val="0"/>
                <w:sz w:val="24"/>
                <w:highlight w:val="none"/>
                <w:vertAlign w:val="baseline"/>
                <w:lang w:val="en-US" w:eastAsia="zh-CN"/>
              </w:rPr>
              <w:t>投标报价</w:t>
            </w:r>
          </w:p>
        </w:tc>
        <w:tc>
          <w:tcPr>
            <w:tcW w:w="4571" w:type="dxa"/>
            <w:vAlign w:val="center"/>
          </w:tcPr>
          <w:p w14:paraId="0113EB33">
            <w:pPr>
              <w:spacing w:line="360" w:lineRule="auto"/>
              <w:jc w:val="center"/>
              <w:rPr>
                <w:rFonts w:hint="eastAsia" w:ascii="仿宋" w:hAnsi="仿宋" w:eastAsia="仿宋" w:cs="仿宋"/>
                <w:b w:val="0"/>
                <w:bCs/>
                <w:color w:val="auto"/>
                <w:kern w:val="0"/>
                <w:sz w:val="24"/>
                <w:highlight w:val="none"/>
                <w:vertAlign w:val="baseline"/>
                <w:lang w:val="en-US" w:eastAsia="zh-CN"/>
              </w:rPr>
            </w:pPr>
            <w:r>
              <w:rPr>
                <w:rFonts w:hint="eastAsia" w:ascii="仿宋" w:hAnsi="仿宋" w:eastAsia="仿宋" w:cs="仿宋"/>
                <w:b w:val="0"/>
                <w:bCs/>
                <w:color w:val="auto"/>
                <w:kern w:val="0"/>
                <w:sz w:val="24"/>
                <w:highlight w:val="none"/>
                <w:vertAlign w:val="baseline"/>
                <w:lang w:val="en-US" w:eastAsia="zh-CN"/>
              </w:rPr>
              <w:t>备注</w:t>
            </w:r>
          </w:p>
        </w:tc>
      </w:tr>
      <w:tr w14:paraId="5715C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vAlign w:val="center"/>
          </w:tcPr>
          <w:p w14:paraId="662EC837">
            <w:pPr>
              <w:spacing w:line="360" w:lineRule="auto"/>
              <w:jc w:val="center"/>
              <w:rPr>
                <w:rFonts w:hint="eastAsia" w:ascii="仿宋" w:hAnsi="仿宋" w:eastAsia="仿宋" w:cs="仿宋"/>
                <w:b w:val="0"/>
                <w:bCs/>
                <w:color w:val="auto"/>
                <w:kern w:val="0"/>
                <w:sz w:val="24"/>
                <w:highlight w:val="none"/>
                <w:vertAlign w:val="baseline"/>
                <w:lang w:val="en-US" w:eastAsia="zh-CN"/>
              </w:rPr>
            </w:pPr>
            <w:r>
              <w:rPr>
                <w:rFonts w:hint="eastAsia" w:ascii="仿宋" w:hAnsi="仿宋" w:eastAsia="仿宋" w:cs="仿宋"/>
                <w:b w:val="0"/>
                <w:bCs/>
                <w:color w:val="auto"/>
                <w:kern w:val="0"/>
                <w:sz w:val="24"/>
                <w:highlight w:val="none"/>
                <w:vertAlign w:val="baseline"/>
                <w:lang w:val="en-US" w:eastAsia="zh-CN"/>
              </w:rPr>
              <w:t>1</w:t>
            </w:r>
          </w:p>
        </w:tc>
        <w:tc>
          <w:tcPr>
            <w:tcW w:w="3473" w:type="dxa"/>
            <w:vAlign w:val="center"/>
          </w:tcPr>
          <w:p w14:paraId="77FEACC3">
            <w:pPr>
              <w:spacing w:line="360" w:lineRule="auto"/>
              <w:jc w:val="center"/>
              <w:rPr>
                <w:rFonts w:hint="eastAsia" w:ascii="仿宋" w:hAnsi="仿宋" w:eastAsia="仿宋" w:cs="仿宋"/>
                <w:b w:val="0"/>
                <w:bCs/>
                <w:color w:val="auto"/>
                <w:kern w:val="0"/>
                <w:sz w:val="24"/>
                <w:highlight w:val="none"/>
                <w:vertAlign w:val="baseline"/>
                <w:lang w:val="zh-CN"/>
              </w:rPr>
            </w:pPr>
            <w:r>
              <w:rPr>
                <w:rFonts w:hint="eastAsia" w:ascii="仿宋" w:hAnsi="仿宋" w:eastAsia="仿宋" w:cs="仿宋"/>
                <w:b w:val="0"/>
                <w:bCs/>
                <w:color w:val="auto"/>
                <w:kern w:val="0"/>
                <w:sz w:val="24"/>
                <w:highlight w:val="none"/>
                <w:vertAlign w:val="baseline"/>
                <w:lang w:val="zh-CN"/>
              </w:rPr>
              <w:t>329国道萧山进化至戴村段工程（柯桥界至萧山塘湄线段）全过程招标代理</w:t>
            </w:r>
          </w:p>
        </w:tc>
        <w:tc>
          <w:tcPr>
            <w:tcW w:w="5297" w:type="dxa"/>
            <w:vAlign w:val="center"/>
          </w:tcPr>
          <w:p w14:paraId="4A12146B">
            <w:pPr>
              <w:spacing w:line="360" w:lineRule="auto"/>
              <w:jc w:val="center"/>
              <w:rPr>
                <w:rFonts w:hint="eastAsia" w:ascii="仿宋" w:hAnsi="仿宋" w:eastAsia="仿宋" w:cs="仿宋"/>
                <w:b w:val="0"/>
                <w:bCs/>
                <w:color w:val="auto"/>
                <w:kern w:val="0"/>
                <w:sz w:val="24"/>
                <w:highlight w:val="none"/>
                <w:vertAlign w:val="baseline"/>
                <w:lang w:val="zh-CN"/>
              </w:rPr>
            </w:pPr>
            <w:r>
              <w:rPr>
                <w:rFonts w:hint="eastAsia" w:ascii="仿宋" w:hAnsi="仿宋" w:eastAsia="仿宋" w:cs="仿宋"/>
                <w:b w:val="0"/>
                <w:bCs/>
                <w:color w:val="auto"/>
                <w:kern w:val="0"/>
                <w:sz w:val="24"/>
                <w:highlight w:val="none"/>
                <w:vertAlign w:val="baseline"/>
                <w:lang w:val="zh-CN"/>
              </w:rPr>
              <w:t>优惠率</w:t>
            </w:r>
            <w:r>
              <w:rPr>
                <w:rFonts w:hint="eastAsia" w:ascii="仿宋" w:hAnsi="仿宋" w:eastAsia="仿宋" w:cs="仿宋"/>
                <w:b w:val="0"/>
                <w:bCs/>
                <w:color w:val="auto"/>
                <w:kern w:val="0"/>
                <w:sz w:val="24"/>
                <w:highlight w:val="none"/>
                <w:u w:val="single"/>
                <w:vertAlign w:val="baseline"/>
                <w:lang w:val="en-US" w:eastAsia="zh-CN"/>
              </w:rPr>
              <w:t xml:space="preserve">       </w:t>
            </w:r>
            <w:r>
              <w:rPr>
                <w:rFonts w:hint="eastAsia" w:ascii="仿宋" w:hAnsi="仿宋" w:eastAsia="仿宋" w:cs="仿宋"/>
                <w:b w:val="0"/>
                <w:bCs/>
                <w:color w:val="auto"/>
                <w:kern w:val="0"/>
                <w:sz w:val="24"/>
                <w:highlight w:val="none"/>
                <w:u w:val="single"/>
                <w:vertAlign w:val="baseline"/>
                <w:lang w:val="zh-CN"/>
              </w:rPr>
              <w:t xml:space="preserve"> </w:t>
            </w:r>
            <w:r>
              <w:rPr>
                <w:rFonts w:hint="eastAsia" w:ascii="仿宋" w:hAnsi="仿宋" w:eastAsia="仿宋" w:cs="仿宋"/>
                <w:b w:val="0"/>
                <w:bCs/>
                <w:color w:val="auto"/>
                <w:kern w:val="0"/>
                <w:sz w:val="24"/>
                <w:highlight w:val="none"/>
                <w:vertAlign w:val="baseline"/>
                <w:lang w:val="zh-CN"/>
              </w:rPr>
              <w:t>％</w:t>
            </w:r>
          </w:p>
          <w:p w14:paraId="75737EAF">
            <w:pPr>
              <w:spacing w:line="360" w:lineRule="auto"/>
              <w:jc w:val="center"/>
              <w:rPr>
                <w:rFonts w:hint="eastAsia" w:ascii="仿宋" w:hAnsi="仿宋" w:eastAsia="仿宋" w:cs="仿宋"/>
                <w:b w:val="0"/>
                <w:bCs/>
                <w:color w:val="auto"/>
                <w:kern w:val="0"/>
                <w:sz w:val="24"/>
                <w:highlight w:val="none"/>
                <w:vertAlign w:val="baseline"/>
                <w:lang w:val="zh-CN"/>
              </w:rPr>
            </w:pPr>
          </w:p>
        </w:tc>
        <w:tc>
          <w:tcPr>
            <w:tcW w:w="4571" w:type="dxa"/>
            <w:vAlign w:val="center"/>
          </w:tcPr>
          <w:p w14:paraId="25E244B1">
            <w:pPr>
              <w:spacing w:line="360" w:lineRule="auto"/>
              <w:jc w:val="center"/>
              <w:rPr>
                <w:rFonts w:hint="eastAsia" w:ascii="仿宋" w:hAnsi="仿宋" w:eastAsia="仿宋" w:cs="仿宋"/>
                <w:b w:val="0"/>
                <w:bCs/>
                <w:color w:val="auto"/>
                <w:kern w:val="0"/>
                <w:sz w:val="24"/>
                <w:highlight w:val="none"/>
                <w:vertAlign w:val="baseline"/>
                <w:lang w:val="zh-CN"/>
              </w:rPr>
            </w:pPr>
            <w:r>
              <w:rPr>
                <w:rFonts w:hint="eastAsia" w:ascii="仿宋" w:hAnsi="仿宋" w:eastAsia="仿宋" w:cs="仿宋"/>
                <w:b w:val="0"/>
                <w:bCs/>
                <w:color w:val="auto"/>
                <w:kern w:val="0"/>
                <w:sz w:val="24"/>
                <w:highlight w:val="none"/>
                <w:vertAlign w:val="baseline"/>
                <w:lang w:val="zh-CN"/>
              </w:rPr>
              <w:t>《关于印发招标代理服务收费管理暂行办法的通知》（计价格〔2002〕1980号）文件、《国家发展改革委关于降低部分建设项目收费标准规范收费行为等有关问题的通知》（发改价格〔2011〕534号）文件规定的收费标准进行优惠率报价，优惠率应在40%（含）-50%（含）内（小数点后最多保留一位），超出该范围的均作无效响应处理。</w:t>
            </w:r>
          </w:p>
        </w:tc>
      </w:tr>
    </w:tbl>
    <w:p w14:paraId="1E922577">
      <w:pPr>
        <w:spacing w:line="360" w:lineRule="auto"/>
        <w:jc w:val="center"/>
        <w:rPr>
          <w:rFonts w:hint="eastAsia" w:ascii="仿宋" w:hAnsi="仿宋" w:eastAsia="仿宋" w:cs="仿宋"/>
          <w:b/>
          <w:color w:val="auto"/>
          <w:kern w:val="0"/>
          <w:sz w:val="24"/>
          <w:highlight w:val="none"/>
          <w:lang w:val="zh-CN"/>
        </w:rPr>
      </w:pPr>
    </w:p>
    <w:p w14:paraId="07D6BAA5">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6E3F0126">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1、响应人须按本表格式填写，不得自行更改。</w:t>
      </w:r>
    </w:p>
    <w:p w14:paraId="7CCA8B23">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采购人将以合同形式有偿取得货物或服务，不接受响应人给予的赠品、回扣或者与采购无关的其他商品、服务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响应文件含有采购人不能接受的附加条件的，交易无效</w:t>
      </w:r>
      <w:r>
        <w:rPr>
          <w:rFonts w:hint="eastAsia" w:ascii="仿宋" w:hAnsi="仿宋" w:eastAsia="仿宋" w:cs="仿宋"/>
          <w:b/>
          <w:color w:val="auto"/>
          <w:kern w:val="0"/>
          <w:sz w:val="24"/>
          <w:highlight w:val="none"/>
          <w:lang w:val="zh-CN"/>
        </w:rPr>
        <w:t>；采购内容未包含在《交易一览表（报价表）》名称栏中，响应人不能作出合理解释的，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响应文件含有采购人不能接受的附加条件的，交易无效。</w:t>
      </w:r>
    </w:p>
    <w:p w14:paraId="5579C97F">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3、以上表格要求细分项目及报价，在“规格型号（或具体服务）”一栏中，货物类项目填写规格型号，服务类项目填写具体服务。</w:t>
      </w:r>
    </w:p>
    <w:p w14:paraId="65B811EC">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4、特别提示：采购机构将对项目名称和项目编号，成交响应人名称、地址和成交金额，主要成交标的的名称、规格型号、数量、单价、服务要求等予以公示。</w:t>
      </w:r>
    </w:p>
    <w:p w14:paraId="5904F7FA">
      <w:pPr>
        <w:spacing w:line="360" w:lineRule="auto"/>
        <w:ind w:firstLine="482" w:firstLineChars="200"/>
        <w:rPr>
          <w:rFonts w:hint="eastAsia" w:ascii="仿宋" w:hAnsi="仿宋" w:eastAsia="仿宋" w:cs="仿宋"/>
          <w:b/>
          <w:color w:val="auto"/>
          <w:kern w:val="0"/>
          <w:sz w:val="24"/>
          <w:highlight w:val="none"/>
        </w:rPr>
      </w:pPr>
    </w:p>
    <w:p w14:paraId="47354D09">
      <w:pPr>
        <w:pStyle w:val="693"/>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2ED568E1">
      <w:pPr>
        <w:pStyle w:val="2"/>
        <w:keepNext w:val="0"/>
        <w:keepLines w:val="0"/>
        <w:pageBreakBefore/>
        <w:widowControl/>
        <w:spacing w:before="100" w:beforeAutospacing="1" w:after="100" w:afterAutospacing="1" w:line="360" w:lineRule="auto"/>
        <w:ind w:left="0" w:leftChars="0" w:firstLine="0" w:firstLineChars="0"/>
        <w:jc w:val="left"/>
        <w:rPr>
          <w:rFonts w:hint="eastAsia" w:ascii="仿宋" w:hAnsi="仿宋" w:eastAsia="仿宋" w:cs="仿宋"/>
          <w:color w:val="auto"/>
          <w:sz w:val="24"/>
          <w:highlight w:val="none"/>
        </w:rPr>
      </w:pPr>
      <w:bookmarkStart w:id="390" w:name="_Toc465665161"/>
      <w:r>
        <w:rPr>
          <w:rFonts w:hint="eastAsia" w:ascii="仿宋" w:hAnsi="仿宋" w:eastAsia="仿宋" w:cs="仿宋"/>
          <w:color w:val="auto"/>
          <w:highlight w:val="none"/>
        </w:rPr>
        <w:t>附件</w:t>
      </w:r>
      <w:bookmarkEnd w:id="390"/>
    </w:p>
    <w:p w14:paraId="532A569A">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附件1：质疑函范本及制作说明</w:t>
      </w:r>
    </w:p>
    <w:p w14:paraId="11D2F5DA">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55DEC927">
      <w:pPr>
        <w:snapToGrid w:val="0"/>
        <w:spacing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w:t>
      </w:r>
      <w:r>
        <w:rPr>
          <w:rFonts w:hint="eastAsia" w:ascii="仿宋" w:hAnsi="仿宋" w:eastAsia="仿宋" w:cs="仿宋"/>
          <w:bCs/>
          <w:color w:val="auto"/>
          <w:sz w:val="24"/>
          <w:highlight w:val="none"/>
          <w:lang w:eastAsia="zh-CN"/>
        </w:rPr>
        <w:t>响应人</w:t>
      </w:r>
      <w:r>
        <w:rPr>
          <w:rFonts w:hint="eastAsia" w:ascii="仿宋" w:hAnsi="仿宋" w:eastAsia="仿宋" w:cs="仿宋"/>
          <w:bCs/>
          <w:color w:val="auto"/>
          <w:sz w:val="24"/>
          <w:highlight w:val="none"/>
        </w:rPr>
        <w:t>基本信息</w:t>
      </w:r>
    </w:p>
    <w:p w14:paraId="198D389B">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w:t>
      </w:r>
    </w:p>
    <w:p w14:paraId="54BB5ED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地址：邮编：</w:t>
      </w:r>
    </w:p>
    <w:p w14:paraId="008EEE4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联系人：联系电话：</w:t>
      </w:r>
    </w:p>
    <w:p w14:paraId="790AB19A">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p>
    <w:p w14:paraId="58E35D5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p>
    <w:p w14:paraId="0EC3C11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 邮编：</w:t>
      </w:r>
    </w:p>
    <w:p w14:paraId="48AC74CD">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0EA1590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p>
    <w:p w14:paraId="5641D71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质疑项目的编号：包号：</w:t>
      </w:r>
    </w:p>
    <w:p w14:paraId="0822A4AF">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p>
    <w:p w14:paraId="79C3C42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p>
    <w:p w14:paraId="5D706183">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69645BF3">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p>
    <w:p w14:paraId="00C7EE7B">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p>
    <w:p w14:paraId="41007955">
      <w:pPr>
        <w:snapToGrid w:val="0"/>
        <w:spacing w:line="360" w:lineRule="auto"/>
        <w:rPr>
          <w:rFonts w:hint="eastAsia" w:ascii="仿宋" w:hAnsi="仿宋" w:eastAsia="仿宋" w:cs="仿宋"/>
          <w:color w:val="auto"/>
          <w:sz w:val="24"/>
          <w:highlight w:val="none"/>
        </w:rPr>
      </w:pPr>
    </w:p>
    <w:p w14:paraId="268439D5">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p>
    <w:p w14:paraId="6A5F65AE">
      <w:pPr>
        <w:snapToGrid w:val="0"/>
        <w:spacing w:line="360" w:lineRule="auto"/>
        <w:rPr>
          <w:rFonts w:hint="eastAsia" w:ascii="仿宋" w:hAnsi="仿宋" w:eastAsia="仿宋" w:cs="仿宋"/>
          <w:color w:val="auto"/>
          <w:sz w:val="24"/>
          <w:highlight w:val="none"/>
          <w:u w:val="dotted"/>
        </w:rPr>
      </w:pPr>
    </w:p>
    <w:p w14:paraId="2B030372">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17733D8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3FA5A1F2">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550CE541">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p>
    <w:p w14:paraId="7256CFA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450108B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1C18AE9B">
      <w:pPr>
        <w:spacing w:line="360" w:lineRule="auto"/>
        <w:jc w:val="center"/>
        <w:rPr>
          <w:rFonts w:hint="eastAsia" w:ascii="仿宋" w:hAnsi="仿宋" w:eastAsia="仿宋" w:cs="仿宋"/>
          <w:b/>
          <w:bCs/>
          <w:color w:val="auto"/>
          <w:sz w:val="24"/>
          <w:highlight w:val="none"/>
        </w:rPr>
      </w:pPr>
    </w:p>
    <w:p w14:paraId="374C3BA7">
      <w:pPr>
        <w:spacing w:line="360" w:lineRule="auto"/>
        <w:rPr>
          <w:rFonts w:hint="eastAsia" w:ascii="仿宋" w:hAnsi="仿宋" w:eastAsia="仿宋" w:cs="仿宋"/>
          <w:b/>
          <w:color w:val="auto"/>
          <w:sz w:val="24"/>
          <w:highlight w:val="none"/>
        </w:rPr>
      </w:pPr>
    </w:p>
    <w:p w14:paraId="4DA699BB">
      <w:pPr>
        <w:spacing w:line="360" w:lineRule="auto"/>
        <w:rPr>
          <w:rFonts w:hint="eastAsia" w:ascii="仿宋" w:hAnsi="仿宋" w:eastAsia="仿宋" w:cs="仿宋"/>
          <w:b/>
          <w:color w:val="auto"/>
          <w:sz w:val="24"/>
          <w:highlight w:val="none"/>
        </w:rPr>
      </w:pPr>
    </w:p>
    <w:p w14:paraId="4CD92243">
      <w:pPr>
        <w:spacing w:line="360" w:lineRule="auto"/>
        <w:rPr>
          <w:rFonts w:hint="eastAsia" w:ascii="仿宋" w:hAnsi="仿宋" w:eastAsia="仿宋" w:cs="仿宋"/>
          <w:b/>
          <w:color w:val="auto"/>
          <w:sz w:val="24"/>
          <w:highlight w:val="none"/>
        </w:rPr>
      </w:pPr>
    </w:p>
    <w:p w14:paraId="63B18EB1">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6CF9FEA9">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提出质疑时，应提交质疑函和必要的证明材料。</w:t>
      </w:r>
    </w:p>
    <w:p w14:paraId="75DC859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若委托代理人进行质疑的，质疑函应按要求列明“授权代表”的有关内容，并在附件中提交由质疑</w:t>
      </w:r>
      <w:r>
        <w:rPr>
          <w:rFonts w:hint="eastAsia" w:ascii="仿宋" w:hAnsi="仿宋" w:eastAsia="仿宋" w:cs="仿宋"/>
          <w:color w:val="auto"/>
          <w:kern w:val="0"/>
          <w:sz w:val="24"/>
          <w:highlight w:val="none"/>
          <w:lang w:eastAsia="zh-CN"/>
        </w:rPr>
        <w:t>响应人</w:t>
      </w:r>
      <w:r>
        <w:rPr>
          <w:rFonts w:hint="eastAsia" w:ascii="仿宋" w:hAnsi="仿宋" w:eastAsia="仿宋" w:cs="仿宋"/>
          <w:color w:val="auto"/>
          <w:kern w:val="0"/>
          <w:sz w:val="24"/>
          <w:highlight w:val="none"/>
        </w:rPr>
        <w:t>签署的授权委托书。授权委托书应载明代理人的姓名或者名称、代理事项、具体权限、期限和相关事项。</w:t>
      </w:r>
    </w:p>
    <w:p w14:paraId="131FB1C1">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若对项目的某一分包进行质疑，质疑函中应列明具体分包号。</w:t>
      </w:r>
    </w:p>
    <w:p w14:paraId="484B2675">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602959C9">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7EE8D6A4">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为自然人的，质疑函应由本人签字；质疑</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为法人或者其他组织的，质疑函应由法定代表人、主要负责人，或者其授权代表签字或者盖章，并加盖公章。</w:t>
      </w:r>
    </w:p>
    <w:p w14:paraId="5711E8BE">
      <w:pPr>
        <w:widowControl/>
        <w:spacing w:line="360" w:lineRule="auto"/>
        <w:ind w:firstLine="600" w:firstLineChars="200"/>
        <w:jc w:val="left"/>
        <w:rPr>
          <w:rFonts w:hint="eastAsia" w:ascii="仿宋" w:hAnsi="仿宋" w:eastAsia="仿宋" w:cs="仿宋"/>
          <w:color w:val="auto"/>
          <w:sz w:val="30"/>
          <w:szCs w:val="30"/>
          <w:highlight w:val="none"/>
        </w:rPr>
      </w:pPr>
    </w:p>
    <w:p w14:paraId="08FC5A5C">
      <w:pPr>
        <w:spacing w:line="360" w:lineRule="auto"/>
        <w:jc w:val="center"/>
        <w:rPr>
          <w:rFonts w:hint="eastAsia" w:ascii="仿宋" w:hAnsi="仿宋" w:eastAsia="仿宋" w:cs="仿宋"/>
          <w:b/>
          <w:color w:val="auto"/>
          <w:spacing w:val="6"/>
          <w:sz w:val="32"/>
          <w:szCs w:val="32"/>
          <w:highlight w:val="none"/>
        </w:rPr>
      </w:pPr>
    </w:p>
    <w:p w14:paraId="2BD8110E">
      <w:pPr>
        <w:spacing w:line="360" w:lineRule="auto"/>
        <w:jc w:val="center"/>
        <w:rPr>
          <w:rFonts w:hint="eastAsia" w:ascii="仿宋" w:hAnsi="仿宋" w:eastAsia="仿宋" w:cs="仿宋"/>
          <w:b/>
          <w:color w:val="auto"/>
          <w:spacing w:val="6"/>
          <w:sz w:val="32"/>
          <w:szCs w:val="32"/>
          <w:highlight w:val="none"/>
        </w:rPr>
      </w:pPr>
    </w:p>
    <w:p w14:paraId="1721B0E8">
      <w:pPr>
        <w:spacing w:line="360" w:lineRule="auto"/>
        <w:jc w:val="center"/>
        <w:rPr>
          <w:rFonts w:hint="eastAsia" w:ascii="仿宋" w:hAnsi="仿宋" w:eastAsia="仿宋" w:cs="仿宋"/>
          <w:b/>
          <w:color w:val="auto"/>
          <w:spacing w:val="6"/>
          <w:sz w:val="32"/>
          <w:szCs w:val="32"/>
          <w:highlight w:val="none"/>
        </w:rPr>
      </w:pPr>
    </w:p>
    <w:p w14:paraId="442CE2A1">
      <w:pPr>
        <w:spacing w:line="360" w:lineRule="auto"/>
        <w:jc w:val="center"/>
        <w:rPr>
          <w:rFonts w:hint="eastAsia" w:ascii="仿宋" w:hAnsi="仿宋" w:eastAsia="仿宋" w:cs="仿宋"/>
          <w:b/>
          <w:color w:val="auto"/>
          <w:spacing w:val="6"/>
          <w:sz w:val="32"/>
          <w:szCs w:val="32"/>
          <w:highlight w:val="none"/>
        </w:rPr>
      </w:pPr>
    </w:p>
    <w:p w14:paraId="58990BC3">
      <w:pPr>
        <w:spacing w:line="360" w:lineRule="auto"/>
        <w:jc w:val="center"/>
        <w:rPr>
          <w:rFonts w:hint="eastAsia" w:ascii="仿宋" w:hAnsi="仿宋" w:eastAsia="仿宋" w:cs="仿宋"/>
          <w:b/>
          <w:color w:val="auto"/>
          <w:spacing w:val="6"/>
          <w:sz w:val="32"/>
          <w:szCs w:val="32"/>
          <w:highlight w:val="none"/>
        </w:rPr>
      </w:pPr>
    </w:p>
    <w:p w14:paraId="39B73D86">
      <w:pPr>
        <w:spacing w:line="360" w:lineRule="auto"/>
        <w:jc w:val="center"/>
        <w:rPr>
          <w:rFonts w:hint="eastAsia" w:ascii="仿宋" w:hAnsi="仿宋" w:eastAsia="仿宋" w:cs="仿宋"/>
          <w:b/>
          <w:color w:val="auto"/>
          <w:spacing w:val="6"/>
          <w:sz w:val="32"/>
          <w:szCs w:val="32"/>
          <w:highlight w:val="none"/>
        </w:rPr>
      </w:pPr>
    </w:p>
    <w:p w14:paraId="0880AF00">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附件2：投诉书范本及制作说明</w:t>
      </w:r>
    </w:p>
    <w:p w14:paraId="7823D206">
      <w:pPr>
        <w:spacing w:line="360" w:lineRule="auto"/>
        <w:jc w:val="center"/>
        <w:rPr>
          <w:rFonts w:hint="eastAsia" w:ascii="仿宋" w:hAnsi="仿宋" w:eastAsia="仿宋" w:cs="仿宋"/>
          <w:b/>
          <w:color w:val="auto"/>
          <w:sz w:val="24"/>
          <w:highlight w:val="none"/>
        </w:rPr>
      </w:pPr>
    </w:p>
    <w:p w14:paraId="24683970">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2933280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403E2D27">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p>
    <w:p w14:paraId="56675EA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址：邮编：</w:t>
      </w:r>
    </w:p>
    <w:p w14:paraId="44D50703">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p>
    <w:p w14:paraId="2ACCEC22">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p>
    <w:p w14:paraId="0D96552D">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授权代表：联系电话</w:t>
      </w:r>
      <w:r>
        <w:rPr>
          <w:rFonts w:hint="eastAsia" w:ascii="仿宋" w:hAnsi="仿宋" w:eastAsia="仿宋" w:cs="仿宋"/>
          <w:color w:val="auto"/>
          <w:sz w:val="24"/>
          <w:highlight w:val="none"/>
          <w:u w:val="dotted"/>
        </w:rPr>
        <w:t xml:space="preserve">：                  </w:t>
      </w:r>
    </w:p>
    <w:p w14:paraId="3AAB5B1C">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址：邮编：</w:t>
      </w:r>
    </w:p>
    <w:p w14:paraId="5238C6C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p>
    <w:p w14:paraId="14C9297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址：邮编：</w:t>
      </w:r>
    </w:p>
    <w:p w14:paraId="2DD67D4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联系人：联系电话：</w:t>
      </w:r>
    </w:p>
    <w:p w14:paraId="2D73FDB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238DF297">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303AF76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w:t>
      </w:r>
    </w:p>
    <w:p w14:paraId="55DA6F3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址：邮编：</w:t>
      </w:r>
    </w:p>
    <w:p w14:paraId="49B60A6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联系人：联系电话：</w:t>
      </w:r>
    </w:p>
    <w:p w14:paraId="4078EC2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06A60FBD">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p>
    <w:p w14:paraId="4F2E752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采购项目编号：包号：</w:t>
      </w:r>
    </w:p>
    <w:p w14:paraId="70B01D2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p>
    <w:p w14:paraId="5CD3F2D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p>
    <w:p w14:paraId="1830E907">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p>
    <w:p w14:paraId="0AAF67F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p>
    <w:p w14:paraId="6AEED9E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6C719D41">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投诉人于年月日,向提出质疑，质疑事项为：</w:t>
      </w:r>
    </w:p>
    <w:p w14:paraId="726AECF3">
      <w:pPr>
        <w:spacing w:line="360" w:lineRule="auto"/>
        <w:rPr>
          <w:rFonts w:hint="eastAsia" w:ascii="仿宋" w:hAnsi="仿宋" w:eastAsia="仿宋" w:cs="仿宋"/>
          <w:color w:val="auto"/>
          <w:sz w:val="24"/>
          <w:highlight w:val="none"/>
          <w:u w:val="dotted"/>
        </w:rPr>
      </w:pPr>
    </w:p>
    <w:p w14:paraId="6D3250AE">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于年月日,就质疑事项作出了答复/没有在法定期限内作出答复。</w:t>
      </w:r>
    </w:p>
    <w:p w14:paraId="3724AC2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13B4235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p>
    <w:p w14:paraId="20E2E2C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p>
    <w:p w14:paraId="1E8E6822">
      <w:pPr>
        <w:spacing w:line="360" w:lineRule="auto"/>
        <w:rPr>
          <w:rFonts w:hint="eastAsia" w:ascii="仿宋" w:hAnsi="仿宋" w:eastAsia="仿宋" w:cs="仿宋"/>
          <w:color w:val="auto"/>
          <w:sz w:val="24"/>
          <w:highlight w:val="none"/>
          <w:u w:val="dotted"/>
        </w:rPr>
      </w:pPr>
    </w:p>
    <w:p w14:paraId="7DFA266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p>
    <w:p w14:paraId="44C6FEB6">
      <w:pPr>
        <w:spacing w:line="360" w:lineRule="auto"/>
        <w:rPr>
          <w:rFonts w:hint="eastAsia" w:ascii="仿宋" w:hAnsi="仿宋" w:eastAsia="仿宋" w:cs="仿宋"/>
          <w:color w:val="auto"/>
          <w:sz w:val="24"/>
          <w:highlight w:val="none"/>
          <w:u w:val="dotted"/>
        </w:rPr>
      </w:pPr>
    </w:p>
    <w:p w14:paraId="22D8A3A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7C23151A">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50DD305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186606A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p>
    <w:p w14:paraId="4A30D66E">
      <w:pPr>
        <w:spacing w:line="360" w:lineRule="auto"/>
        <w:rPr>
          <w:rFonts w:hint="eastAsia" w:ascii="仿宋" w:hAnsi="仿宋" w:eastAsia="仿宋" w:cs="仿宋"/>
          <w:color w:val="auto"/>
          <w:sz w:val="24"/>
          <w:highlight w:val="none"/>
          <w:u w:val="single"/>
        </w:rPr>
      </w:pPr>
    </w:p>
    <w:p w14:paraId="2011B1D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0E1952F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6487AE5B">
      <w:pPr>
        <w:spacing w:line="360" w:lineRule="auto"/>
        <w:rPr>
          <w:rFonts w:hint="eastAsia" w:ascii="仿宋" w:hAnsi="仿宋" w:eastAsia="仿宋" w:cs="仿宋"/>
          <w:b/>
          <w:color w:val="auto"/>
          <w:sz w:val="24"/>
          <w:highlight w:val="none"/>
        </w:rPr>
      </w:pPr>
    </w:p>
    <w:p w14:paraId="28664F00">
      <w:pPr>
        <w:spacing w:line="360" w:lineRule="auto"/>
        <w:rPr>
          <w:rFonts w:hint="eastAsia" w:ascii="仿宋" w:hAnsi="仿宋" w:eastAsia="仿宋" w:cs="仿宋"/>
          <w:b/>
          <w:color w:val="auto"/>
          <w:sz w:val="24"/>
          <w:highlight w:val="none"/>
        </w:rPr>
      </w:pPr>
    </w:p>
    <w:p w14:paraId="5835A186">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1D631219">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数量提供投诉书副本。</w:t>
      </w:r>
    </w:p>
    <w:p w14:paraId="062664DF">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1407CDD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561BB9B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3307B3B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46D04383">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05809E7F">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440DCE90">
      <w:pPr>
        <w:spacing w:line="360" w:lineRule="auto"/>
        <w:rPr>
          <w:rFonts w:hint="eastAsia" w:ascii="仿宋" w:hAnsi="仿宋" w:eastAsia="仿宋" w:cs="仿宋"/>
          <w:b/>
          <w:color w:val="auto"/>
          <w:sz w:val="24"/>
          <w:highlight w:val="none"/>
        </w:rPr>
      </w:pPr>
    </w:p>
    <w:p w14:paraId="5BC17C9D">
      <w:pPr>
        <w:autoSpaceDE w:val="0"/>
        <w:autoSpaceDN w:val="0"/>
        <w:jc w:val="center"/>
        <w:rPr>
          <w:rFonts w:hint="eastAsia" w:ascii="仿宋" w:hAnsi="仿宋" w:eastAsia="仿宋" w:cs="仿宋"/>
          <w:b/>
          <w:color w:val="auto"/>
          <w:spacing w:val="6"/>
          <w:sz w:val="32"/>
          <w:szCs w:val="32"/>
          <w:highlight w:val="none"/>
        </w:rPr>
      </w:pPr>
    </w:p>
    <w:p w14:paraId="64533D22">
      <w:pPr>
        <w:autoSpaceDE w:val="0"/>
        <w:autoSpaceDN w:val="0"/>
        <w:jc w:val="center"/>
        <w:rPr>
          <w:rFonts w:hint="eastAsia" w:ascii="仿宋" w:hAnsi="仿宋" w:eastAsia="仿宋" w:cs="仿宋"/>
          <w:b/>
          <w:color w:val="auto"/>
          <w:spacing w:val="6"/>
          <w:sz w:val="32"/>
          <w:szCs w:val="32"/>
          <w:highlight w:val="none"/>
        </w:rPr>
      </w:pPr>
    </w:p>
    <w:p w14:paraId="2A6734AA">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7AF166AB">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附件3：</w:t>
      </w:r>
      <w:r>
        <w:rPr>
          <w:rFonts w:hint="eastAsia" w:ascii="仿宋" w:hAnsi="仿宋" w:eastAsia="仿宋" w:cs="仿宋"/>
          <w:b/>
          <w:bCs/>
          <w:color w:val="auto"/>
          <w:sz w:val="32"/>
          <w:szCs w:val="32"/>
          <w:highlight w:val="none"/>
        </w:rPr>
        <w:t>业务专用章使用说明函</w:t>
      </w:r>
    </w:p>
    <w:p w14:paraId="5A03427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46A2E79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w:t>
      </w:r>
      <w:r>
        <w:rPr>
          <w:rFonts w:hint="eastAsia" w:ascii="仿宋" w:hAnsi="仿宋" w:eastAsia="仿宋" w:cs="仿宋"/>
          <w:color w:val="auto"/>
          <w:sz w:val="24"/>
          <w:highlight w:val="none"/>
          <w:u w:val="single"/>
        </w:rPr>
        <w:t>（项目名称）项目【交易编号：      】</w:t>
      </w:r>
      <w:r>
        <w:rPr>
          <w:rFonts w:hint="eastAsia" w:ascii="仿宋" w:hAnsi="仿宋" w:eastAsia="仿宋" w:cs="仿宋"/>
          <w:bCs/>
          <w:color w:val="auto"/>
          <w:sz w:val="24"/>
          <w:highlight w:val="none"/>
        </w:rPr>
        <w:t>交易活动中作如下说明：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7994A15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4F914DBF">
      <w:pPr>
        <w:spacing w:line="360" w:lineRule="auto"/>
        <w:ind w:firstLine="494"/>
        <w:rPr>
          <w:rFonts w:hint="eastAsia" w:ascii="仿宋" w:hAnsi="仿宋" w:eastAsia="仿宋" w:cs="仿宋"/>
          <w:color w:val="auto"/>
          <w:sz w:val="24"/>
          <w:highlight w:val="none"/>
        </w:rPr>
      </w:pPr>
    </w:p>
    <w:p w14:paraId="1710B536">
      <w:pPr>
        <w:spacing w:line="360" w:lineRule="auto"/>
        <w:ind w:firstLine="494"/>
        <w:rPr>
          <w:rFonts w:hint="eastAsia" w:ascii="仿宋" w:hAnsi="仿宋" w:eastAsia="仿宋" w:cs="仿宋"/>
          <w:color w:val="auto"/>
          <w:sz w:val="24"/>
          <w:highlight w:val="none"/>
        </w:rPr>
      </w:pPr>
    </w:p>
    <w:p w14:paraId="53449FE8">
      <w:pPr>
        <w:spacing w:line="360" w:lineRule="auto"/>
        <w:ind w:firstLine="494"/>
        <w:rPr>
          <w:rFonts w:hint="eastAsia" w:ascii="仿宋" w:hAnsi="仿宋" w:eastAsia="仿宋" w:cs="仿宋"/>
          <w:color w:val="auto"/>
          <w:sz w:val="24"/>
          <w:highlight w:val="none"/>
        </w:rPr>
      </w:pPr>
    </w:p>
    <w:p w14:paraId="73B1D950">
      <w:pPr>
        <w:spacing w:line="360" w:lineRule="auto"/>
        <w:ind w:firstLine="494"/>
        <w:rPr>
          <w:rFonts w:hint="eastAsia" w:ascii="仿宋" w:hAnsi="仿宋" w:eastAsia="仿宋" w:cs="仿宋"/>
          <w:color w:val="auto"/>
          <w:sz w:val="24"/>
          <w:highlight w:val="none"/>
        </w:rPr>
      </w:pPr>
    </w:p>
    <w:p w14:paraId="2F2ED5B9">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响应单位（法定名称章）：</w:t>
      </w:r>
    </w:p>
    <w:p w14:paraId="1F959E0C">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58ED69ED">
      <w:pPr>
        <w:rPr>
          <w:rFonts w:hint="eastAsia" w:ascii="仿宋" w:hAnsi="仿宋" w:eastAsia="仿宋" w:cs="仿宋"/>
          <w:color w:val="auto"/>
          <w:sz w:val="24"/>
          <w:highlight w:val="none"/>
        </w:rPr>
      </w:pPr>
      <w:r>
        <w:rPr>
          <w:rFonts w:hint="eastAsia" w:ascii="仿宋" w:hAnsi="仿宋" w:eastAsia="仿宋" w:cs="仿宋"/>
          <w:color w:val="auto"/>
          <w:sz w:val="24"/>
          <w:highlight w:val="none"/>
        </w:rPr>
        <w:t>附：</w:t>
      </w:r>
    </w:p>
    <w:p w14:paraId="2CA241C5">
      <w:pPr>
        <w:spacing w:line="360" w:lineRule="auto"/>
        <w:rPr>
          <w:rFonts w:hint="eastAsia" w:ascii="仿宋" w:hAnsi="仿宋" w:eastAsia="仿宋" w:cs="仿宋"/>
          <w:bCs/>
          <w:color w:val="auto"/>
          <w:sz w:val="24"/>
          <w:highlight w:val="none"/>
        </w:rPr>
      </w:pPr>
      <w:r>
        <w:rPr>
          <w:rFonts w:hint="eastAsia" w:ascii="仿宋" w:hAnsi="仿宋" w:eastAsia="仿宋" w:cs="仿宋"/>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响应单位法定名称章（印模）                响应单位“XX专用章”（印模）</w:t>
      </w:r>
    </w:p>
    <w:p w14:paraId="4005C0D8">
      <w:pPr>
        <w:autoSpaceDE w:val="0"/>
        <w:autoSpaceDN w:val="0"/>
        <w:jc w:val="center"/>
        <w:rPr>
          <w:rFonts w:hint="eastAsia" w:ascii="仿宋" w:hAnsi="仿宋" w:eastAsia="仿宋" w:cs="仿宋"/>
          <w:b/>
          <w:color w:val="auto"/>
          <w:spacing w:val="6"/>
          <w:sz w:val="32"/>
          <w:szCs w:val="32"/>
          <w:highlight w:val="none"/>
        </w:rPr>
      </w:pPr>
    </w:p>
    <w:p w14:paraId="53154CEB">
      <w:pPr>
        <w:autoSpaceDE w:val="0"/>
        <w:autoSpaceDN w:val="0"/>
        <w:jc w:val="center"/>
        <w:rPr>
          <w:rFonts w:hint="eastAsia" w:ascii="仿宋" w:hAnsi="仿宋" w:eastAsia="仿宋" w:cs="仿宋"/>
          <w:b/>
          <w:color w:val="auto"/>
          <w:spacing w:val="6"/>
          <w:sz w:val="32"/>
          <w:szCs w:val="32"/>
          <w:highlight w:val="none"/>
        </w:rPr>
      </w:pPr>
    </w:p>
    <w:p w14:paraId="18E85434">
      <w:pPr>
        <w:autoSpaceDE w:val="0"/>
        <w:autoSpaceDN w:val="0"/>
        <w:jc w:val="center"/>
        <w:rPr>
          <w:rFonts w:hint="eastAsia" w:ascii="仿宋" w:hAnsi="仿宋" w:eastAsia="仿宋" w:cs="仿宋"/>
          <w:b/>
          <w:color w:val="auto"/>
          <w:spacing w:val="6"/>
          <w:sz w:val="32"/>
          <w:szCs w:val="32"/>
          <w:highlight w:val="none"/>
        </w:rPr>
      </w:pPr>
    </w:p>
    <w:p w14:paraId="6B89C6AB">
      <w:pPr>
        <w:autoSpaceDE w:val="0"/>
        <w:autoSpaceDN w:val="0"/>
        <w:jc w:val="center"/>
        <w:rPr>
          <w:rFonts w:hint="eastAsia" w:ascii="仿宋" w:hAnsi="仿宋" w:eastAsia="仿宋" w:cs="仿宋"/>
          <w:b/>
          <w:color w:val="auto"/>
          <w:spacing w:val="6"/>
          <w:sz w:val="32"/>
          <w:szCs w:val="32"/>
          <w:highlight w:val="none"/>
        </w:rPr>
      </w:pPr>
    </w:p>
    <w:p w14:paraId="44814C15">
      <w:pPr>
        <w:autoSpaceDE w:val="0"/>
        <w:autoSpaceDN w:val="0"/>
        <w:jc w:val="center"/>
        <w:rPr>
          <w:rFonts w:hint="eastAsia" w:ascii="仿宋" w:hAnsi="仿宋" w:eastAsia="仿宋" w:cs="仿宋"/>
          <w:b/>
          <w:color w:val="auto"/>
          <w:spacing w:val="6"/>
          <w:sz w:val="32"/>
          <w:szCs w:val="32"/>
          <w:highlight w:val="none"/>
        </w:rPr>
      </w:pPr>
    </w:p>
    <w:p w14:paraId="459648BA">
      <w:pPr>
        <w:autoSpaceDE w:val="0"/>
        <w:autoSpaceDN w:val="0"/>
        <w:jc w:val="center"/>
        <w:rPr>
          <w:rFonts w:hint="eastAsia" w:ascii="仿宋" w:hAnsi="仿宋" w:eastAsia="仿宋" w:cs="仿宋"/>
          <w:b/>
          <w:color w:val="auto"/>
          <w:spacing w:val="6"/>
          <w:sz w:val="32"/>
          <w:szCs w:val="32"/>
          <w:highlight w:val="none"/>
        </w:rPr>
      </w:pPr>
    </w:p>
    <w:p w14:paraId="5DC69DEB">
      <w:pPr>
        <w:autoSpaceDE w:val="0"/>
        <w:autoSpaceDN w:val="0"/>
        <w:jc w:val="center"/>
        <w:rPr>
          <w:rFonts w:hint="eastAsia" w:ascii="仿宋" w:hAnsi="仿宋" w:eastAsia="仿宋" w:cs="仿宋"/>
          <w:b/>
          <w:color w:val="auto"/>
          <w:spacing w:val="6"/>
          <w:sz w:val="32"/>
          <w:szCs w:val="32"/>
          <w:highlight w:val="none"/>
        </w:rPr>
      </w:pPr>
    </w:p>
    <w:p w14:paraId="6A2E1441">
      <w:pPr>
        <w:autoSpaceDE w:val="0"/>
        <w:autoSpaceDN w:val="0"/>
        <w:jc w:val="center"/>
        <w:rPr>
          <w:rFonts w:hint="eastAsia" w:ascii="仿宋" w:hAnsi="仿宋" w:eastAsia="仿宋" w:cs="仿宋"/>
          <w:b/>
          <w:color w:val="auto"/>
          <w:spacing w:val="6"/>
          <w:sz w:val="32"/>
          <w:szCs w:val="32"/>
          <w:highlight w:val="none"/>
        </w:rPr>
      </w:pPr>
    </w:p>
    <w:p w14:paraId="668677DB">
      <w:pPr>
        <w:autoSpaceDE w:val="0"/>
        <w:autoSpaceDN w:val="0"/>
        <w:jc w:val="center"/>
        <w:rPr>
          <w:rFonts w:hint="eastAsia" w:ascii="仿宋" w:hAnsi="仿宋" w:eastAsia="仿宋" w:cs="仿宋"/>
          <w:b/>
          <w:color w:val="auto"/>
          <w:spacing w:val="6"/>
          <w:sz w:val="32"/>
          <w:szCs w:val="32"/>
          <w:highlight w:val="none"/>
        </w:rPr>
      </w:pPr>
    </w:p>
    <w:p w14:paraId="21FE72E5">
      <w:pPr>
        <w:autoSpaceDE w:val="0"/>
        <w:autoSpaceDN w:val="0"/>
        <w:jc w:val="center"/>
        <w:rPr>
          <w:rFonts w:hint="eastAsia" w:ascii="仿宋" w:hAnsi="仿宋" w:eastAsia="仿宋" w:cs="仿宋"/>
          <w:b/>
          <w:color w:val="auto"/>
          <w:spacing w:val="6"/>
          <w:sz w:val="32"/>
          <w:szCs w:val="32"/>
          <w:highlight w:val="none"/>
        </w:rPr>
      </w:pPr>
    </w:p>
    <w:p w14:paraId="568733C5">
      <w:pPr>
        <w:autoSpaceDE w:val="0"/>
        <w:autoSpaceDN w:val="0"/>
        <w:jc w:val="center"/>
        <w:rPr>
          <w:rFonts w:hint="eastAsia" w:ascii="仿宋" w:hAnsi="仿宋" w:eastAsia="仿宋" w:cs="仿宋"/>
          <w:b/>
          <w:color w:val="auto"/>
          <w:spacing w:val="6"/>
          <w:sz w:val="32"/>
          <w:szCs w:val="32"/>
          <w:highlight w:val="none"/>
        </w:rPr>
      </w:pPr>
    </w:p>
    <w:p w14:paraId="3F9000F6">
      <w:pPr>
        <w:autoSpaceDE w:val="0"/>
        <w:autoSpaceDN w:val="0"/>
        <w:jc w:val="center"/>
        <w:rPr>
          <w:rFonts w:hint="eastAsia" w:ascii="仿宋" w:hAnsi="仿宋" w:eastAsia="仿宋" w:cs="仿宋"/>
          <w:b/>
          <w:color w:val="auto"/>
          <w:spacing w:val="6"/>
          <w:sz w:val="32"/>
          <w:szCs w:val="32"/>
          <w:highlight w:val="none"/>
        </w:rPr>
      </w:pPr>
    </w:p>
    <w:p w14:paraId="096A7876">
      <w:pPr>
        <w:rPr>
          <w:rFonts w:hint="eastAsia" w:ascii="仿宋" w:hAnsi="仿宋" w:eastAsia="仿宋" w:cs="仿宋"/>
          <w:color w:val="auto"/>
          <w:sz w:val="24"/>
          <w:highlight w:val="none"/>
        </w:rPr>
      </w:pPr>
    </w:p>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ourier New"/>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6232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p w14:paraId="21833CBE">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7FB6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p w14:paraId="01FE37C5">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C6E9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p w14:paraId="7D037795">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94E71">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p w14:paraId="14A518DD">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A5845">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50</w:t>
    </w:r>
    <w:r>
      <w:rPr>
        <w:rFonts w:hint="eastAsia" w:ascii="仿宋_GB2312" w:eastAsia="仿宋_GB2312"/>
        <w:kern w:val="0"/>
        <w:szCs w:val="21"/>
      </w:rPr>
      <w:fldChar w:fldCharType="end"/>
    </w:r>
    <w:r>
      <w:rPr>
        <w:rFonts w:hint="eastAsia" w:ascii="仿宋_GB2312" w:eastAsia="仿宋_GB2312"/>
        <w:kern w:val="0"/>
        <w:szCs w:val="21"/>
      </w:rPr>
      <w:t xml:space="preserve"> 页</w:t>
    </w:r>
  </w:p>
  <w:p w14:paraId="1A79B365"/>
  <w:p w14:paraId="1CEB54E6"/>
  <w:p w14:paraId="5170BA83"/>
  <w:p w14:paraId="4C016BAF"/>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6D366">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43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50</w:t>
    </w:r>
    <w:r>
      <w:rPr>
        <w:rFonts w:hint="eastAsia" w:ascii="仿宋_GB2312" w:eastAsia="仿宋_GB2312"/>
        <w:kern w:val="0"/>
        <w:szCs w:val="21"/>
      </w:rPr>
      <w:fldChar w:fldCharType="end"/>
    </w:r>
    <w:bookmarkStart w:id="391" w:name="_Toc91899912"/>
    <w:bookmarkStart w:id="392" w:name="_Toc164085800"/>
    <w:bookmarkStart w:id="393" w:name="_Toc36110187"/>
    <w:bookmarkStart w:id="394" w:name="_Toc131845147"/>
    <w:r>
      <w:rPr>
        <w:rFonts w:hint="eastAsia" w:ascii="仿宋_GB2312" w:eastAsia="仿宋_GB2312"/>
        <w:kern w:val="0"/>
        <w:szCs w:val="21"/>
      </w:rPr>
      <w:t xml:space="preserve"> 页</w:t>
    </w:r>
    <w:bookmarkEnd w:id="391"/>
    <w:bookmarkEnd w:id="392"/>
    <w:bookmarkEnd w:id="393"/>
    <w:bookmarkEnd w:id="394"/>
  </w:p>
  <w:p w14:paraId="79A0CA4C"/>
  <w:p w14:paraId="0396A89A"/>
  <w:p w14:paraId="67652182"/>
  <w:p w14:paraId="00A27DAC"/>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036BD">
    <w:pPr>
      <w:pStyle w:val="41"/>
      <w:jc w:val="right"/>
      <w:rPr>
        <w:rFonts w:ascii="仿宋_GB2312"/>
        <w:b/>
        <w:i/>
        <w:u w:val="single"/>
      </w:rPr>
    </w:pPr>
    <w:r>
      <w:t>公开</w:t>
    </w:r>
    <w:r>
      <w:rPr>
        <w:rFonts w:hint="eastAsia"/>
      </w:rPr>
      <w:t>交易文件</w:t>
    </w:r>
  </w:p>
  <w:p w14:paraId="54F8D0F8">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44BFE">
    <w:pPr>
      <w:pStyle w:val="41"/>
    </w:pPr>
    <w:r>
      <w:t></w:t>
    </w:r>
  </w:p>
  <w:p w14:paraId="740633C7">
    <w:pPr>
      <w:pStyle w:val="41"/>
      <w:jc w:val="right"/>
    </w:pPr>
    <w:r>
      <w:t>公开</w:t>
    </w:r>
    <w:r>
      <w:rPr>
        <w:rFonts w:hint="eastAsia"/>
      </w:rPr>
      <w:t>交易文件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DD85F">
    <w:pPr>
      <w:pStyle w:val="41"/>
      <w:jc w:val="right"/>
      <w:rPr>
        <w:rFonts w:ascii="仿宋_GB2312"/>
        <w:b/>
        <w:i/>
        <w:u w:val="single"/>
      </w:rPr>
    </w:pPr>
    <w:r>
      <w:t>公开</w:t>
    </w:r>
    <w:r>
      <w:rPr>
        <w:rFonts w:hint="eastAsia"/>
      </w:rPr>
      <w:t>交易文件</w:t>
    </w:r>
  </w:p>
  <w:p w14:paraId="0D19D391">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012C7">
    <w:pPr>
      <w:pStyle w:val="41"/>
      <w:jc w:val="right"/>
    </w:pPr>
    <w:r>
      <w:t>公开</w:t>
    </w:r>
    <w:r>
      <w:rPr>
        <w:rFonts w:hint="eastAsia"/>
      </w:rPr>
      <w:t>交易文件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9AEE6">
    <w:pPr>
      <w:pStyle w:val="41"/>
      <w:jc w:val="right"/>
      <w:rPr>
        <w:rFonts w:ascii="仿宋_GB2312"/>
        <w:b/>
        <w:i/>
        <w:iCs/>
        <w:u w:val="single"/>
      </w:rPr>
    </w:pPr>
    <w:r>
      <w:t>公开</w:t>
    </w:r>
    <w:r>
      <w:rPr>
        <w:rFonts w:hint="eastAsia"/>
      </w:rPr>
      <w:t>交易文件</w:t>
    </w:r>
  </w:p>
  <w:p w14:paraId="06B9C051"/>
  <w:p w14:paraId="3316A257"/>
  <w:p w14:paraId="6E5A77DB"/>
  <w:p w14:paraId="7883DF94"/>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8E963">
    <w:pPr>
      <w:pStyle w:val="41"/>
      <w:jc w:val="right"/>
    </w:pPr>
    <w:r>
      <w:t>公开</w:t>
    </w:r>
    <w:r>
      <w:rPr>
        <w:rFonts w:hint="eastAsia"/>
      </w:rPr>
      <w:t>交易文件</w:t>
    </w:r>
  </w:p>
  <w:p w14:paraId="217BDA48"/>
  <w:p w14:paraId="0E44CE5A"/>
  <w:p w14:paraId="00A4F6B2"/>
  <w:p w14:paraId="223C621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0693A8"/>
    <w:multiLevelType w:val="singleLevel"/>
    <w:tmpl w:val="1B0693A8"/>
    <w:lvl w:ilvl="0" w:tentative="0">
      <w:start w:val="1"/>
      <w:numFmt w:val="decimal"/>
      <w:suff w:val="nothing"/>
      <w:lvlText w:val="（%1）"/>
      <w:lvlJc w:val="left"/>
    </w:lvl>
  </w:abstractNum>
  <w:abstractNum w:abstractNumId="1">
    <w:nsid w:val="749B1130"/>
    <w:multiLevelType w:val="singleLevel"/>
    <w:tmpl w:val="749B1130"/>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iZGJiNDAwMjFlNzM4YjZjYzE5OGU5MmU4MjE2YzkifQ=="/>
  </w:docVars>
  <w:rsids>
    <w:rsidRoot w:val="00172A27"/>
    <w:rsid w:val="001D365B"/>
    <w:rsid w:val="002E5E7D"/>
    <w:rsid w:val="00347D37"/>
    <w:rsid w:val="00350BCD"/>
    <w:rsid w:val="007A2776"/>
    <w:rsid w:val="008570AB"/>
    <w:rsid w:val="008D53A7"/>
    <w:rsid w:val="00C96AFF"/>
    <w:rsid w:val="00CB3CBE"/>
    <w:rsid w:val="00E911E9"/>
    <w:rsid w:val="019329D2"/>
    <w:rsid w:val="01E23011"/>
    <w:rsid w:val="02DA23DE"/>
    <w:rsid w:val="04275653"/>
    <w:rsid w:val="04402F45"/>
    <w:rsid w:val="05D10FE3"/>
    <w:rsid w:val="06750027"/>
    <w:rsid w:val="06DC76F6"/>
    <w:rsid w:val="07B43019"/>
    <w:rsid w:val="083D56C4"/>
    <w:rsid w:val="09973B47"/>
    <w:rsid w:val="0BA237A6"/>
    <w:rsid w:val="0BFE5009"/>
    <w:rsid w:val="0C013A1E"/>
    <w:rsid w:val="0CC45D13"/>
    <w:rsid w:val="0CD72664"/>
    <w:rsid w:val="0D1C07E9"/>
    <w:rsid w:val="0D3C36C5"/>
    <w:rsid w:val="0DCD2DC7"/>
    <w:rsid w:val="0E5054A5"/>
    <w:rsid w:val="0EDE16C6"/>
    <w:rsid w:val="0F9E3A4E"/>
    <w:rsid w:val="0FF743B1"/>
    <w:rsid w:val="11934328"/>
    <w:rsid w:val="12A6008B"/>
    <w:rsid w:val="135769F3"/>
    <w:rsid w:val="135D4BEE"/>
    <w:rsid w:val="138D6B5A"/>
    <w:rsid w:val="13BB1914"/>
    <w:rsid w:val="149A777C"/>
    <w:rsid w:val="14C31286"/>
    <w:rsid w:val="152D77B0"/>
    <w:rsid w:val="15D55AB8"/>
    <w:rsid w:val="1757489D"/>
    <w:rsid w:val="198F09DD"/>
    <w:rsid w:val="19B72B7E"/>
    <w:rsid w:val="1A4F2DB6"/>
    <w:rsid w:val="1AD80FFE"/>
    <w:rsid w:val="1AE62DD5"/>
    <w:rsid w:val="1B177D78"/>
    <w:rsid w:val="1B4B3723"/>
    <w:rsid w:val="1BB630ED"/>
    <w:rsid w:val="1BCC0B62"/>
    <w:rsid w:val="1BD42B01"/>
    <w:rsid w:val="1C9C7EE7"/>
    <w:rsid w:val="1D660757"/>
    <w:rsid w:val="1D743260"/>
    <w:rsid w:val="1E0C680F"/>
    <w:rsid w:val="1E7159FF"/>
    <w:rsid w:val="1EA27958"/>
    <w:rsid w:val="1F105188"/>
    <w:rsid w:val="1F977001"/>
    <w:rsid w:val="205C7FDB"/>
    <w:rsid w:val="20AE2DE9"/>
    <w:rsid w:val="22E542B8"/>
    <w:rsid w:val="23C8323E"/>
    <w:rsid w:val="247C6E9E"/>
    <w:rsid w:val="250C6366"/>
    <w:rsid w:val="25F11C47"/>
    <w:rsid w:val="26663961"/>
    <w:rsid w:val="27FC27CF"/>
    <w:rsid w:val="285337E8"/>
    <w:rsid w:val="2A2A086D"/>
    <w:rsid w:val="2A6A6763"/>
    <w:rsid w:val="2BA2163E"/>
    <w:rsid w:val="2BD80913"/>
    <w:rsid w:val="2C11436F"/>
    <w:rsid w:val="2D6B0B0E"/>
    <w:rsid w:val="2D7D4F89"/>
    <w:rsid w:val="2DF20CDE"/>
    <w:rsid w:val="2DFB0D4A"/>
    <w:rsid w:val="2EF41C49"/>
    <w:rsid w:val="30372088"/>
    <w:rsid w:val="31FC33CC"/>
    <w:rsid w:val="32953940"/>
    <w:rsid w:val="34433534"/>
    <w:rsid w:val="34794263"/>
    <w:rsid w:val="34A44496"/>
    <w:rsid w:val="34F21A60"/>
    <w:rsid w:val="365D272B"/>
    <w:rsid w:val="36C73FA8"/>
    <w:rsid w:val="37922808"/>
    <w:rsid w:val="38714065"/>
    <w:rsid w:val="3971606F"/>
    <w:rsid w:val="3A5C0347"/>
    <w:rsid w:val="3B20012B"/>
    <w:rsid w:val="3C0B577D"/>
    <w:rsid w:val="3D512523"/>
    <w:rsid w:val="3D7C5602"/>
    <w:rsid w:val="3E0C4997"/>
    <w:rsid w:val="3F214472"/>
    <w:rsid w:val="411F21AA"/>
    <w:rsid w:val="41A05B22"/>
    <w:rsid w:val="42440BA3"/>
    <w:rsid w:val="44D77AAC"/>
    <w:rsid w:val="453851FB"/>
    <w:rsid w:val="45891EF3"/>
    <w:rsid w:val="46A041D5"/>
    <w:rsid w:val="46A64080"/>
    <w:rsid w:val="47016D6E"/>
    <w:rsid w:val="47220AC2"/>
    <w:rsid w:val="48054931"/>
    <w:rsid w:val="482E7137"/>
    <w:rsid w:val="48CE5E8B"/>
    <w:rsid w:val="490F5240"/>
    <w:rsid w:val="497004D0"/>
    <w:rsid w:val="49C0715E"/>
    <w:rsid w:val="4A1277D9"/>
    <w:rsid w:val="4A654B57"/>
    <w:rsid w:val="4A9C2959"/>
    <w:rsid w:val="4C415022"/>
    <w:rsid w:val="4CE358D6"/>
    <w:rsid w:val="4E2875CB"/>
    <w:rsid w:val="4E2B5F1C"/>
    <w:rsid w:val="4E6B03CC"/>
    <w:rsid w:val="4F302766"/>
    <w:rsid w:val="4F4B5762"/>
    <w:rsid w:val="4FE02829"/>
    <w:rsid w:val="5119144D"/>
    <w:rsid w:val="51526CE4"/>
    <w:rsid w:val="5365047D"/>
    <w:rsid w:val="55067F3A"/>
    <w:rsid w:val="55345504"/>
    <w:rsid w:val="554C2F4D"/>
    <w:rsid w:val="55B34783"/>
    <w:rsid w:val="57F41A32"/>
    <w:rsid w:val="598E5CDE"/>
    <w:rsid w:val="59A72D2F"/>
    <w:rsid w:val="59AB1971"/>
    <w:rsid w:val="5A495E54"/>
    <w:rsid w:val="5BAB6A3A"/>
    <w:rsid w:val="5D213B63"/>
    <w:rsid w:val="5D9B58D7"/>
    <w:rsid w:val="5F5445E4"/>
    <w:rsid w:val="5F9F3465"/>
    <w:rsid w:val="60057DD5"/>
    <w:rsid w:val="61CE51D5"/>
    <w:rsid w:val="621B1D3E"/>
    <w:rsid w:val="63543E6F"/>
    <w:rsid w:val="636B7D72"/>
    <w:rsid w:val="6377272F"/>
    <w:rsid w:val="63E94779"/>
    <w:rsid w:val="67C5164F"/>
    <w:rsid w:val="67D16185"/>
    <w:rsid w:val="682965B4"/>
    <w:rsid w:val="6B1F5D51"/>
    <w:rsid w:val="6B581776"/>
    <w:rsid w:val="6B6E044D"/>
    <w:rsid w:val="6B737C7F"/>
    <w:rsid w:val="6BF07522"/>
    <w:rsid w:val="6CED3A62"/>
    <w:rsid w:val="6EBE7765"/>
    <w:rsid w:val="6F9504D4"/>
    <w:rsid w:val="6FDC4C41"/>
    <w:rsid w:val="72A10618"/>
    <w:rsid w:val="73C7563A"/>
    <w:rsid w:val="75513E25"/>
    <w:rsid w:val="75E37678"/>
    <w:rsid w:val="79140857"/>
    <w:rsid w:val="79914B94"/>
    <w:rsid w:val="7A901FDE"/>
    <w:rsid w:val="7AAD7310"/>
    <w:rsid w:val="7BAA554F"/>
    <w:rsid w:val="7DEB23D6"/>
    <w:rsid w:val="7E432A1E"/>
    <w:rsid w:val="7E7A0ECD"/>
    <w:rsid w:val="7EB826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0" w:leftChars="205" w:firstLine="480" w:firstLineChars="200"/>
      <w:jc w:val="left"/>
      <w:outlineLvl w:val="1"/>
    </w:pPr>
    <w:rPr>
      <w:rFonts w:ascii="宋体" w:hAnsi="宋体" w:eastAsia="仿宋" w:cs="宋体"/>
      <w:sz w:val="24"/>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8"/>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2"/>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autoRedefine/>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next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9"/>
    <w:autoRedefine/>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autoRedefine/>
    <w:qFormat/>
    <w:uiPriority w:val="0"/>
    <w:rPr>
      <w:rFonts w:ascii="仿宋_GB2312" w:eastAsia="仿宋_GB2312"/>
      <w:sz w:val="28"/>
      <w:szCs w:val="20"/>
    </w:rPr>
  </w:style>
  <w:style w:type="paragraph" w:styleId="21">
    <w:name w:val="Body Text 3"/>
    <w:basedOn w:val="1"/>
    <w:link w:val="330"/>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link w:val="430"/>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5"/>
    <w:link w:val="265"/>
    <w:autoRedefine/>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33"/>
    <w:link w:val="125"/>
    <w:qFormat/>
    <w:uiPriority w:val="0"/>
    <w:rPr>
      <w:rFonts w:ascii="宋体" w:hAnsi="Courier New" w:cs="Arial"/>
      <w:snapToGrid w:val="0"/>
      <w:szCs w:val="21"/>
    </w:rPr>
  </w:style>
  <w:style w:type="paragraph" w:styleId="33">
    <w:name w:val="Date"/>
    <w:basedOn w:val="1"/>
    <w:next w:val="1"/>
    <w:link w:val="181"/>
    <w:qFormat/>
    <w:uiPriority w:val="0"/>
    <w:pPr>
      <w:ind w:left="100" w:leftChars="2500"/>
    </w:pPr>
    <w:rPr>
      <w:rFonts w:ascii="宋体"/>
      <w:sz w:val="24"/>
      <w:szCs w:val="21"/>
      <w:lang w:val="zh-CN"/>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7">
    <w:name w:val="endnote text"/>
    <w:basedOn w:val="1"/>
    <w:link w:val="932"/>
    <w:qFormat/>
    <w:uiPriority w:val="0"/>
    <w:rPr>
      <w:lang w:val="zh-CN"/>
    </w:rPr>
  </w:style>
  <w:style w:type="paragraph" w:styleId="38">
    <w:name w:val="Balloon Text"/>
    <w:basedOn w:val="1"/>
    <w:link w:val="188"/>
    <w:qFormat/>
    <w:uiPriority w:val="0"/>
    <w:rPr>
      <w:sz w:val="18"/>
      <w:szCs w:val="18"/>
    </w:rPr>
  </w:style>
  <w:style w:type="paragraph" w:styleId="39">
    <w:name w:val="footer"/>
    <w:basedOn w:val="1"/>
    <w:link w:val="383"/>
    <w:qFormat/>
    <w:uiPriority w:val="99"/>
    <w:pPr>
      <w:tabs>
        <w:tab w:val="center" w:pos="4153"/>
        <w:tab w:val="right" w:pos="8306"/>
      </w:tabs>
      <w:snapToGrid w:val="0"/>
      <w:jc w:val="left"/>
    </w:pPr>
    <w:rPr>
      <w:sz w:val="18"/>
      <w:szCs w:val="18"/>
    </w:rPr>
  </w:style>
  <w:style w:type="paragraph" w:styleId="40">
    <w:name w:val="envelope return"/>
    <w:basedOn w:val="1"/>
    <w:qFormat/>
    <w:uiPriority w:val="0"/>
    <w:pPr>
      <w:snapToGrid w:val="0"/>
    </w:pPr>
    <w:rPr>
      <w:rFonts w:ascii="Arial" w:hAnsi="Arial" w:eastAsia="微软雅黑"/>
      <w:sz w:val="22"/>
      <w:szCs w:val="22"/>
    </w:rPr>
  </w:style>
  <w:style w:type="paragraph" w:styleId="41">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310"/>
    <w:qFormat/>
    <w:uiPriority w:val="0"/>
    <w:pPr>
      <w:adjustRightInd/>
      <w:snapToGrid/>
      <w:spacing w:before="60" w:after="60" w:line="300" w:lineRule="exact"/>
      <w:ind w:firstLine="0"/>
    </w:pPr>
    <w:rPr>
      <w:rFonts w:ascii="Calibri"/>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6"/>
    <w:qFormat/>
    <w:uiPriority w:val="0"/>
    <w:rPr>
      <w:b/>
      <w:bCs/>
    </w:rPr>
  </w:style>
  <w:style w:type="paragraph" w:styleId="61">
    <w:name w:val="Body Text First Indent"/>
    <w:basedOn w:val="23"/>
    <w:next w:val="51"/>
    <w:link w:val="321"/>
    <w:autoRedefine/>
    <w:qFormat/>
    <w:uiPriority w:val="0"/>
    <w:pPr>
      <w:ind w:firstLine="420"/>
    </w:pPr>
    <w:rPr>
      <w:rFonts w:hAnsi="Calibri"/>
      <w:szCs w:val="20"/>
    </w:rPr>
  </w:style>
  <w:style w:type="paragraph" w:styleId="62">
    <w:name w:val="Body Text First Indent 2"/>
    <w:basedOn w:val="24"/>
    <w:next w:val="63"/>
    <w:link w:val="121"/>
    <w:autoRedefine/>
    <w:qFormat/>
    <w:uiPriority w:val="0"/>
    <w:pPr>
      <w:adjustRightInd/>
      <w:spacing w:after="120" w:line="240" w:lineRule="auto"/>
      <w:ind w:left="420" w:leftChars="200" w:firstLine="210"/>
    </w:pPr>
    <w:rPr>
      <w:sz w:val="21"/>
    </w:rPr>
  </w:style>
  <w:style w:type="paragraph" w:customStyle="1" w:styleId="63">
    <w:name w:val="xl53"/>
    <w:next w:val="1"/>
    <w:autoRedefine/>
    <w:qFormat/>
    <w:uiPriority w:val="0"/>
    <w:pPr>
      <w:spacing w:before="280" w:after="280" w:line="100" w:lineRule="exact"/>
      <w:ind w:firstLine="480" w:firstLineChars="200"/>
      <w:jc w:val="center"/>
    </w:pPr>
    <w:rPr>
      <w:rFonts w:ascii="宋体" w:hAnsi="Times New Roman" w:eastAsia="宋体" w:cs="黑体"/>
      <w:b/>
      <w:szCs w:val="22"/>
      <w:lang w:val="en-US" w:eastAsia="zh-CN" w:bidi="ar-SA"/>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styleId="81">
    <w:name w:val="List Paragraph"/>
    <w:basedOn w:val="1"/>
    <w:qFormat/>
    <w:uiPriority w:val="0"/>
    <w:pPr>
      <w:ind w:firstLine="420" w:firstLineChars="200"/>
    </w:p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2"/>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1"/>
    <w:qFormat/>
    <w:uiPriority w:val="0"/>
    <w:rPr>
      <w:rFonts w:ascii="Arial" w:hAnsi="Arial" w:eastAsia="黑体" w:cs="Arial"/>
      <w:snapToGrid w:val="0"/>
      <w:kern w:val="0"/>
      <w:szCs w:val="21"/>
    </w:rPr>
  </w:style>
  <w:style w:type="character" w:customStyle="1" w:styleId="125">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7"/>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basedOn w:val="71"/>
    <w:qFormat/>
    <w:uiPriority w:val="0"/>
    <w:rPr>
      <w:rFonts w:hint="eastAsia" w:ascii="仿宋_GB2312" w:eastAsia="仿宋_GB2312" w:cs="仿宋_GB2312"/>
      <w:color w:val="000000"/>
      <w:sz w:val="22"/>
      <w:szCs w:val="22"/>
      <w:u w:val="none"/>
    </w:rPr>
  </w:style>
  <w:style w:type="character" w:customStyle="1" w:styleId="147">
    <w:name w:val="标题 6 Char"/>
    <w:link w:val="7"/>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jc w:val="center"/>
    </w:pPr>
    <w:rPr>
      <w:rFonts w:ascii="Calibri" w:hAnsi="Calibri" w:eastAsia="宋体"/>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autoRedefine/>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3"/>
    <w:qFormat/>
    <w:uiPriority w:val="0"/>
    <w:rPr>
      <w:rFonts w:ascii="宋体"/>
      <w:kern w:val="2"/>
      <w:sz w:val="24"/>
      <w:szCs w:val="21"/>
      <w:lang w:val="zh-CN"/>
    </w:rPr>
  </w:style>
  <w:style w:type="character" w:customStyle="1" w:styleId="182">
    <w:name w:val="标题 9 Char"/>
    <w:link w:val="10"/>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8"/>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1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z w:val="28"/>
    </w:rPr>
  </w:style>
  <w:style w:type="paragraph" w:customStyle="1" w:styleId="199">
    <w:name w:val="3级"/>
    <w:basedOn w:val="200"/>
    <w:link w:val="198"/>
    <w:qFormat/>
    <w:uiPriority w:val="0"/>
    <w:pPr>
      <w:ind w:left="0" w:right="466" w:firstLine="288"/>
    </w:pPr>
    <w:rPr>
      <w:rFonts w:hAnsi="宋体"/>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1"/>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29"/>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5"/>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autoRedefine/>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列出段落1"/>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4"/>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6"/>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7"/>
    <w:qFormat/>
    <w:uiPriority w:val="0"/>
    <w:rPr>
      <w:rFonts w:ascii="黑体" w:hAnsi="Courier New" w:eastAsia="黑体"/>
    </w:rPr>
  </w:style>
  <w:style w:type="character" w:customStyle="1" w:styleId="302">
    <w:name w:val="正文文本 2 Char1"/>
    <w:link w:val="56"/>
    <w:qFormat/>
    <w:uiPriority w:val="0"/>
    <w:rPr>
      <w:kern w:val="2"/>
      <w:sz w:val="21"/>
      <w:szCs w:val="24"/>
    </w:rPr>
  </w:style>
  <w:style w:type="character" w:customStyle="1" w:styleId="303">
    <w:name w:val="样式 样式 标题 4h4H4Fab-4T5Ref Heading 1rh1Heading sqlsect 1.2.3.... +... Char"/>
    <w:link w:val="304"/>
    <w:autoRedefine/>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5"/>
    <w:link w:val="413"/>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8"/>
    <w:qFormat/>
    <w:uiPriority w:val="0"/>
    <w:rPr>
      <w:b/>
      <w:bCs/>
      <w:kern w:val="2"/>
      <w:sz w:val="24"/>
      <w:szCs w:val="24"/>
    </w:rPr>
  </w:style>
  <w:style w:type="character" w:customStyle="1" w:styleId="308">
    <w:name w:val="正文文本缩进 2 Char"/>
    <w:link w:val="36"/>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0"/>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1"/>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5"/>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0"/>
    <w:rPr>
      <w:kern w:val="2"/>
      <w:sz w:val="21"/>
      <w:szCs w:val="24"/>
    </w:rPr>
  </w:style>
  <w:style w:type="character" w:customStyle="1" w:styleId="345">
    <w:name w:val="签名 Char"/>
    <w:link w:val="42"/>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autoRedefine/>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9"/>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1"/>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1"/>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5"/>
    <w:link w:val="428"/>
    <w:qFormat/>
    <w:uiPriority w:val="0"/>
    <w:pPr>
      <w:widowControl w:val="0"/>
      <w:adjustRightInd/>
      <w:snapToGrid/>
      <w:spacing w:line="360" w:lineRule="auto"/>
      <w:ind w:firstLine="200" w:firstLineChars="200"/>
    </w:pPr>
    <w:rPr>
      <w:rFonts w:ascii="Calibri"/>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71"/>
    <w:qFormat/>
    <w:uiPriority w:val="0"/>
    <w:rPr>
      <w:rFonts w:ascii="Arial" w:hAnsi="Arial" w:eastAsia="黑体" w:cs="Arial"/>
      <w:snapToGrid w:val="0"/>
      <w:kern w:val="0"/>
      <w:szCs w:val="21"/>
    </w:rPr>
  </w:style>
  <w:style w:type="character" w:customStyle="1" w:styleId="432">
    <w:name w:val="hui"/>
    <w:basedOn w:val="71"/>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5"/>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hAnsi="Arial" w:eastAsia="宋体"/>
      <w:snapToGrid w:val="0"/>
      <w:kern w:val="0"/>
      <w:sz w:val="28"/>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outlineLvl w:val="5"/>
    </w:pPr>
  </w:style>
  <w:style w:type="paragraph" w:customStyle="1" w:styleId="474">
    <w:name w:val="5级标题"/>
    <w:basedOn w:val="475"/>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无间隔2"/>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6"/>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szCs w:val="20"/>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23"/>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1"/>
    <w:qFormat/>
    <w:uiPriority w:val="0"/>
    <w:pPr>
      <w:tabs>
        <w:tab w:val="left" w:pos="840"/>
      </w:tabs>
      <w:adjustRightInd/>
      <w:spacing w:before="20" w:after="20" w:line="300" w:lineRule="auto"/>
      <w:ind w:left="840" w:hanging="420"/>
    </w:pPr>
    <w:rPr>
      <w:rFonts w:ascii="Tahoma" w:hAnsi="Tahoma"/>
      <w:kern w:val="0"/>
      <w:szCs w:val="21"/>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5"/>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Lines="50"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jc w:val="both"/>
    </w:pPr>
    <w:rPr>
      <w:rFonts w:hAnsi="Cambria" w:eastAsia="宋体"/>
      <w:szCs w:val="20"/>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rPr>
  </w:style>
  <w:style w:type="paragraph" w:customStyle="1" w:styleId="59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Lines="0" w:afterLines="0"/>
      <w:ind w:left="1680"/>
      <w:outlineLvl w:val="2"/>
    </w:pPr>
  </w:style>
  <w:style w:type="paragraph" w:customStyle="1" w:styleId="658">
    <w:name w:val="章标题"/>
    <w:next w:val="640"/>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5"/>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Lines="50"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jc w:val="both"/>
    </w:pPr>
    <w:rPr>
      <w:rFonts w:hAnsi="Arial" w:eastAsia="宋体"/>
      <w:sz w:val="28"/>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autoRedefine/>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4"/>
    <w:qFormat/>
    <w:uiPriority w:val="2"/>
    <w:pPr>
      <w:tabs>
        <w:tab w:val="clear" w:pos="390"/>
        <w:tab w:val="clear" w:pos="454"/>
      </w:tabs>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6"/>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7"/>
    <w:qFormat/>
    <w:uiPriority w:val="0"/>
    <w:rPr>
      <w:kern w:val="2"/>
      <w:sz w:val="21"/>
      <w:szCs w:val="24"/>
      <w:lang w:val="zh-CN"/>
    </w:rPr>
  </w:style>
  <w:style w:type="character" w:customStyle="1" w:styleId="933">
    <w:name w:val="无间隔 字符"/>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jc w:val="center"/>
    </w:pPr>
    <w:rPr>
      <w:rFonts w:ascii="Arial" w:hAnsi="Arial" w:eastAsia="楷体"/>
      <w:color w:val="000000"/>
      <w:spacing w:val="14"/>
      <w:kern w:val="24"/>
      <w:sz w:val="28"/>
      <w:szCs w:val="20"/>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1"/>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character" w:customStyle="1" w:styleId="964">
    <w:name w:val="fontstyle01"/>
    <w:basedOn w:val="71"/>
    <w:qFormat/>
    <w:uiPriority w:val="0"/>
    <w:rPr>
      <w:rFonts w:hint="eastAsia" w:ascii="宋体" w:hAnsi="宋体" w:eastAsia="宋体"/>
      <w:color w:val="000000"/>
      <w:sz w:val="24"/>
      <w:szCs w:val="24"/>
    </w:rPr>
  </w:style>
  <w:style w:type="character" w:customStyle="1" w:styleId="965">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966">
    <w:name w:val="封面编号"/>
    <w:basedOn w:val="1"/>
    <w:qFormat/>
    <w:uiPriority w:val="0"/>
    <w:pPr>
      <w:spacing w:line="360" w:lineRule="auto"/>
      <w:jc w:val="center"/>
    </w:pPr>
    <w:rPr>
      <w:rFonts w:ascii="黑体" w:hAnsi="宋体" w:eastAsia="黑体" w:cs="宋体"/>
      <w:b/>
      <w:bCs/>
      <w:sz w:val="38"/>
      <w:szCs w:val="20"/>
    </w:rPr>
  </w:style>
  <w:style w:type="character" w:customStyle="1" w:styleId="967">
    <w:name w:val="无"/>
    <w:qFormat/>
    <w:uiPriority w:val="0"/>
  </w:style>
  <w:style w:type="character" w:customStyle="1" w:styleId="968">
    <w:name w:val="Hyperlink.0"/>
    <w:basedOn w:val="967"/>
    <w:qFormat/>
    <w:uiPriority w:val="0"/>
    <w:rPr>
      <w:lang w:val="en-US"/>
    </w:rPr>
  </w:style>
  <w:style w:type="paragraph" w:customStyle="1" w:styleId="96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970">
    <w:name w:val="header-title"/>
    <w:basedOn w:val="71"/>
    <w:qFormat/>
    <w:uiPriority w:val="0"/>
    <w:rPr>
      <w:b/>
      <w:bCs/>
      <w:color w:val="D71D21"/>
      <w:sz w:val="30"/>
      <w:szCs w:val="30"/>
    </w:rPr>
  </w:style>
  <w:style w:type="character" w:customStyle="1" w:styleId="971">
    <w:name w:val="line"/>
    <w:basedOn w:val="71"/>
    <w:qFormat/>
    <w:uiPriority w:val="0"/>
    <w:rPr>
      <w:sz w:val="15"/>
      <w:szCs w:val="15"/>
    </w:rPr>
  </w:style>
  <w:style w:type="paragraph" w:customStyle="1" w:styleId="972">
    <w:name w:val="Body text|1"/>
    <w:basedOn w:val="1"/>
    <w:qFormat/>
    <w:uiPriority w:val="0"/>
    <w:pPr>
      <w:spacing w:line="391" w:lineRule="auto"/>
      <w:ind w:firstLine="400"/>
    </w:pPr>
    <w:rPr>
      <w:rFonts w:ascii="宋体" w:hAnsi="宋体" w:cs="宋体"/>
      <w:lang w:val="zh-TW" w:eastAsia="zh-TW" w:bidi="zh-TW"/>
    </w:rPr>
  </w:style>
  <w:style w:type="paragraph" w:customStyle="1" w:styleId="973">
    <w:name w:val="样式 标题 3 + (中文) 黑体 小四 非加粗 段前: 7.8 磅 段后: 0 磅 行距: 固定值 20 磅"/>
    <w:basedOn w:val="4"/>
    <w:qFormat/>
    <w:uiPriority w:val="99"/>
    <w:pPr>
      <w:spacing w:before="0" w:after="0" w:line="400" w:lineRule="exact"/>
    </w:pPr>
    <w:rPr>
      <w:rFonts w:eastAsia="黑体" w:cs="宋体"/>
      <w:b w:val="0"/>
      <w:bCs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47</Pages>
  <Words>2701</Words>
  <Characters>2999</Characters>
  <Lines>172</Lines>
  <Paragraphs>48</Paragraphs>
  <TotalTime>9</TotalTime>
  <ScaleCrop>false</ScaleCrop>
  <LinksUpToDate>false</LinksUpToDate>
  <CharactersWithSpaces>3161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Administrator</dc:creator>
  <cp:lastModifiedBy>瞿家小二</cp:lastModifiedBy>
  <cp:lastPrinted>2022-11-25T10:44:00Z</cp:lastPrinted>
  <dcterms:modified xsi:type="dcterms:W3CDTF">2025-07-10T01:58:32Z</dcterms:modified>
  <cp:revision>210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3728F45E17784F16827BA5651EA46EBE_13</vt:lpwstr>
  </property>
  <property fmtid="{D5CDD505-2E9C-101B-9397-08002B2CF9AE}" pid="5" name="KSOTemplateDocerSaveRecord">
    <vt:lpwstr>eyJoZGlkIjoiMGEyOWRjNTQ0NTk4NjVlNDEzNTBhNmEyMzdhNWIzMTUiLCJ1c2VySWQiOiI3MzE4MTAyODgifQ==</vt:lpwstr>
  </property>
</Properties>
</file>