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9F0C8">
      <w:pPr>
        <w:spacing w:line="360" w:lineRule="auto"/>
        <w:jc w:val="center"/>
        <w:rPr>
          <w:rFonts w:hint="eastAsia" w:ascii="仿宋" w:hAnsi="仿宋" w:eastAsia="仿宋" w:cs="仿宋"/>
          <w:b/>
          <w:color w:val="auto"/>
          <w:sz w:val="24"/>
        </w:rPr>
      </w:pPr>
    </w:p>
    <w:p w14:paraId="25C96300">
      <w:pPr>
        <w:adjustRightInd/>
        <w:spacing w:line="360" w:lineRule="auto"/>
        <w:jc w:val="center"/>
        <w:rPr>
          <w:rFonts w:hint="eastAsia" w:ascii="仿宋" w:hAnsi="仿宋" w:eastAsia="仿宋" w:cs="仿宋"/>
          <w:b/>
          <w:color w:val="auto"/>
          <w:sz w:val="48"/>
          <w:szCs w:val="48"/>
        </w:rPr>
      </w:pPr>
    </w:p>
    <w:p w14:paraId="1631281E">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杭州市萧山区中医院医共体总院（</w:t>
      </w:r>
      <w:r>
        <w:rPr>
          <w:rFonts w:hint="eastAsia" w:ascii="仿宋" w:hAnsi="仿宋" w:eastAsia="仿宋" w:cs="仿宋"/>
          <w:color w:val="auto"/>
          <w:sz w:val="48"/>
          <w:szCs w:val="48"/>
          <w:lang w:val="en-US" w:eastAsia="zh-CN"/>
        </w:rPr>
        <w:t>所前镇</w:t>
      </w:r>
      <w:r>
        <w:rPr>
          <w:rFonts w:hint="eastAsia" w:ascii="仿宋" w:hAnsi="仿宋" w:eastAsia="仿宋" w:cs="仿宋"/>
          <w:color w:val="auto"/>
          <w:sz w:val="48"/>
          <w:szCs w:val="48"/>
        </w:rPr>
        <w:t>社区卫生服务中心）</w:t>
      </w:r>
      <w:r>
        <w:rPr>
          <w:rFonts w:hint="eastAsia" w:ascii="仿宋" w:hAnsi="仿宋" w:eastAsia="仿宋" w:cs="仿宋"/>
          <w:color w:val="auto"/>
          <w:sz w:val="48"/>
          <w:szCs w:val="48"/>
          <w:lang w:val="en-US" w:eastAsia="zh-CN"/>
        </w:rPr>
        <w:t>数字式心电图机</w:t>
      </w:r>
      <w:r>
        <w:rPr>
          <w:rFonts w:hint="eastAsia" w:ascii="仿宋" w:hAnsi="仿宋" w:eastAsia="仿宋" w:cs="仿宋"/>
          <w:color w:val="auto"/>
          <w:sz w:val="48"/>
          <w:szCs w:val="48"/>
        </w:rPr>
        <w:t>采购项目</w:t>
      </w:r>
    </w:p>
    <w:p w14:paraId="30DDB8BC">
      <w:pPr>
        <w:adjustRightInd/>
        <w:spacing w:line="360" w:lineRule="auto"/>
        <w:jc w:val="center"/>
        <w:rPr>
          <w:rFonts w:hint="eastAsia" w:ascii="仿宋" w:hAnsi="仿宋" w:eastAsia="仿宋" w:cs="仿宋"/>
          <w:color w:val="auto"/>
          <w:sz w:val="48"/>
          <w:szCs w:val="48"/>
        </w:rPr>
      </w:pPr>
    </w:p>
    <w:p w14:paraId="3F623FC3">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交易文件</w:t>
      </w:r>
    </w:p>
    <w:p w14:paraId="2753ED9D">
      <w:pPr>
        <w:adjustRightInd/>
        <w:spacing w:line="360" w:lineRule="auto"/>
        <w:jc w:val="center"/>
        <w:rPr>
          <w:rFonts w:hint="eastAsia" w:ascii="仿宋" w:hAnsi="仿宋" w:eastAsia="仿宋" w:cs="仿宋"/>
          <w:color w:val="auto"/>
          <w:sz w:val="44"/>
          <w:szCs w:val="44"/>
        </w:rPr>
      </w:pPr>
      <w:r>
        <w:rPr>
          <w:rFonts w:hint="eastAsia" w:ascii="仿宋" w:hAnsi="仿宋" w:eastAsia="仿宋" w:cs="仿宋"/>
          <w:color w:val="auto"/>
          <w:sz w:val="44"/>
          <w:szCs w:val="44"/>
        </w:rPr>
        <w:t xml:space="preserve"> （电子交易标）</w:t>
      </w:r>
    </w:p>
    <w:p w14:paraId="02DA604F">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ZJHC(XS）-20250619（1）</w:t>
      </w:r>
    </w:p>
    <w:p w14:paraId="14F210A3">
      <w:pPr>
        <w:adjustRightInd/>
        <w:spacing w:line="360" w:lineRule="auto"/>
        <w:rPr>
          <w:rFonts w:hint="eastAsia" w:ascii="仿宋" w:hAnsi="仿宋" w:eastAsia="仿宋" w:cs="仿宋"/>
          <w:color w:val="auto"/>
          <w:sz w:val="28"/>
          <w:szCs w:val="20"/>
        </w:rPr>
      </w:pPr>
    </w:p>
    <w:p w14:paraId="3F89BE42">
      <w:pPr>
        <w:spacing w:line="360" w:lineRule="auto"/>
        <w:jc w:val="center"/>
        <w:rPr>
          <w:rFonts w:hint="eastAsia" w:ascii="仿宋" w:hAnsi="仿宋" w:eastAsia="仿宋" w:cs="仿宋"/>
          <w:b/>
          <w:color w:val="auto"/>
          <w:sz w:val="44"/>
          <w:szCs w:val="44"/>
        </w:rPr>
      </w:pPr>
    </w:p>
    <w:p w14:paraId="2BD81980">
      <w:pPr>
        <w:spacing w:line="360" w:lineRule="auto"/>
        <w:jc w:val="center"/>
        <w:rPr>
          <w:rFonts w:hint="eastAsia" w:ascii="仿宋" w:hAnsi="仿宋" w:eastAsia="仿宋" w:cs="仿宋"/>
          <w:b/>
          <w:color w:val="auto"/>
          <w:sz w:val="44"/>
          <w:szCs w:val="44"/>
        </w:rPr>
      </w:pPr>
    </w:p>
    <w:p w14:paraId="5FAD7C27">
      <w:pPr>
        <w:pStyle w:val="3"/>
        <w:rPr>
          <w:rFonts w:hint="eastAsia" w:ascii="仿宋" w:hAnsi="仿宋" w:eastAsia="仿宋" w:cs="仿宋"/>
          <w:color w:val="auto"/>
        </w:rPr>
      </w:pPr>
    </w:p>
    <w:p w14:paraId="40156DD5">
      <w:pPr>
        <w:spacing w:line="360" w:lineRule="auto"/>
        <w:jc w:val="center"/>
        <w:rPr>
          <w:rFonts w:hint="eastAsia" w:ascii="仿宋" w:hAnsi="仿宋" w:eastAsia="仿宋" w:cs="仿宋"/>
          <w:color w:val="auto"/>
          <w:sz w:val="24"/>
        </w:rPr>
      </w:pPr>
    </w:p>
    <w:p w14:paraId="105A0949">
      <w:pPr>
        <w:pStyle w:val="16"/>
        <w:rPr>
          <w:rFonts w:hint="eastAsia" w:ascii="仿宋" w:hAnsi="仿宋" w:eastAsia="仿宋" w:cs="仿宋"/>
          <w:color w:val="auto"/>
        </w:rPr>
      </w:pPr>
    </w:p>
    <w:p w14:paraId="0EE25B87">
      <w:pPr>
        <w:spacing w:line="360" w:lineRule="auto"/>
        <w:jc w:val="center"/>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rPr>
        <w:t>采购人：杭州市萧山区中医院医共体总院</w:t>
      </w:r>
    </w:p>
    <w:p w14:paraId="370F0ACA">
      <w:pPr>
        <w:spacing w:line="360" w:lineRule="auto"/>
        <w:jc w:val="center"/>
        <w:rPr>
          <w:rFonts w:hint="eastAsia" w:ascii="仿宋" w:hAnsi="仿宋" w:eastAsia="仿宋" w:cs="仿宋"/>
          <w:bCs/>
          <w:color w:val="auto"/>
          <w:sz w:val="32"/>
          <w:szCs w:val="32"/>
        </w:rPr>
      </w:pPr>
    </w:p>
    <w:p w14:paraId="16EE33F6">
      <w:pPr>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采购代理机构：</w:t>
      </w:r>
      <w:r>
        <w:rPr>
          <w:rFonts w:hint="eastAsia" w:ascii="仿宋" w:hAnsi="仿宋" w:eastAsia="仿宋" w:cs="仿宋"/>
          <w:bCs/>
          <w:color w:val="auto"/>
          <w:sz w:val="32"/>
          <w:szCs w:val="32"/>
          <w:lang w:eastAsia="zh-CN"/>
        </w:rPr>
        <w:t>华诚工程咨询集团有限公司</w:t>
      </w:r>
    </w:p>
    <w:p w14:paraId="63197B0F">
      <w:pPr>
        <w:snapToGrid w:val="0"/>
        <w:spacing w:line="360" w:lineRule="auto"/>
        <w:jc w:val="center"/>
        <w:rPr>
          <w:rFonts w:hint="eastAsia" w:ascii="仿宋" w:hAnsi="仿宋" w:eastAsia="仿宋" w:cs="仿宋"/>
          <w:bCs/>
          <w:color w:val="auto"/>
          <w:sz w:val="32"/>
          <w:szCs w:val="32"/>
        </w:rPr>
      </w:pPr>
    </w:p>
    <w:p w14:paraId="1FEF5A54">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月</w:t>
      </w:r>
    </w:p>
    <w:p w14:paraId="226CEBA2">
      <w:pPr>
        <w:snapToGrid w:val="0"/>
        <w:spacing w:line="360" w:lineRule="auto"/>
        <w:jc w:val="center"/>
        <w:rPr>
          <w:rFonts w:hint="eastAsia" w:ascii="仿宋" w:hAnsi="仿宋" w:eastAsia="仿宋" w:cs="仿宋"/>
          <w:color w:val="auto"/>
          <w:sz w:val="24"/>
        </w:rPr>
      </w:pPr>
    </w:p>
    <w:p w14:paraId="19FB6915">
      <w:pPr>
        <w:snapToGrid w:val="0"/>
        <w:spacing w:line="360" w:lineRule="auto"/>
        <w:jc w:val="center"/>
        <w:rPr>
          <w:rFonts w:hint="eastAsia" w:ascii="仿宋" w:hAnsi="仿宋" w:eastAsia="仿宋" w:cs="仿宋"/>
          <w:color w:val="auto"/>
          <w:sz w:val="24"/>
        </w:rPr>
      </w:pPr>
      <w:bookmarkStart w:id="0" w:name="_Hlt67893495"/>
      <w:bookmarkEnd w:id="0"/>
    </w:p>
    <w:p w14:paraId="3958E73B">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51B8E945">
      <w:pPr>
        <w:spacing w:line="360" w:lineRule="auto"/>
        <w:rPr>
          <w:rFonts w:hint="eastAsia" w:ascii="仿宋" w:hAnsi="仿宋" w:eastAsia="仿宋" w:cs="仿宋"/>
          <w:color w:val="auto"/>
          <w:sz w:val="32"/>
          <w:szCs w:val="32"/>
        </w:rPr>
      </w:pPr>
    </w:p>
    <w:p w14:paraId="38090075">
      <w:pPr>
        <w:spacing w:line="360" w:lineRule="auto"/>
        <w:rPr>
          <w:rFonts w:hint="eastAsia" w:ascii="仿宋" w:hAnsi="仿宋" w:eastAsia="仿宋" w:cs="仿宋"/>
          <w:color w:val="auto"/>
          <w:sz w:val="32"/>
          <w:szCs w:val="32"/>
        </w:rPr>
      </w:pPr>
    </w:p>
    <w:p w14:paraId="54DA83F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交易公告</w:t>
      </w:r>
    </w:p>
    <w:p w14:paraId="5D83370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供应商须知</w:t>
      </w:r>
    </w:p>
    <w:p w14:paraId="7C00AAA1">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527BB6C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评审办法</w:t>
      </w:r>
    </w:p>
    <w:p w14:paraId="5C71688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应提交的有关格式范例</w:t>
      </w:r>
    </w:p>
    <w:p w14:paraId="266D0804">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492E3B45">
      <w:pPr>
        <w:spacing w:line="360" w:lineRule="auto"/>
        <w:ind w:firstLine="549" w:firstLineChars="229"/>
        <w:rPr>
          <w:rFonts w:hint="eastAsia" w:ascii="仿宋" w:hAnsi="仿宋" w:eastAsia="仿宋" w:cs="仿宋"/>
          <w:color w:val="auto"/>
          <w:sz w:val="24"/>
        </w:rPr>
      </w:pPr>
    </w:p>
    <w:p w14:paraId="186EA8BB">
      <w:pPr>
        <w:spacing w:line="360" w:lineRule="auto"/>
        <w:ind w:firstLine="549" w:firstLineChars="229"/>
        <w:rPr>
          <w:rFonts w:hint="eastAsia" w:ascii="仿宋" w:hAnsi="仿宋" w:eastAsia="仿宋" w:cs="仿宋"/>
          <w:color w:val="auto"/>
          <w:sz w:val="24"/>
        </w:rPr>
      </w:pPr>
    </w:p>
    <w:p w14:paraId="23DC2ED8">
      <w:pPr>
        <w:spacing w:line="360" w:lineRule="auto"/>
        <w:ind w:firstLine="549" w:firstLineChars="229"/>
        <w:rPr>
          <w:rFonts w:hint="eastAsia" w:ascii="仿宋" w:hAnsi="仿宋" w:eastAsia="仿宋" w:cs="仿宋"/>
          <w:color w:val="auto"/>
          <w:sz w:val="24"/>
        </w:rPr>
      </w:pPr>
    </w:p>
    <w:p w14:paraId="4E9B54DA">
      <w:pPr>
        <w:spacing w:line="360" w:lineRule="auto"/>
        <w:ind w:firstLine="549" w:firstLineChars="229"/>
        <w:rPr>
          <w:rFonts w:hint="eastAsia" w:ascii="仿宋" w:hAnsi="仿宋" w:eastAsia="仿宋" w:cs="仿宋"/>
          <w:color w:val="auto"/>
          <w:sz w:val="24"/>
        </w:rPr>
      </w:pPr>
    </w:p>
    <w:p w14:paraId="43F77026">
      <w:pPr>
        <w:spacing w:line="360" w:lineRule="auto"/>
        <w:ind w:firstLine="549" w:firstLineChars="229"/>
        <w:rPr>
          <w:rFonts w:hint="eastAsia" w:ascii="仿宋" w:hAnsi="仿宋" w:eastAsia="仿宋" w:cs="仿宋"/>
          <w:color w:val="auto"/>
          <w:sz w:val="24"/>
        </w:rPr>
      </w:pPr>
    </w:p>
    <w:p w14:paraId="738D0519">
      <w:pPr>
        <w:spacing w:line="360" w:lineRule="auto"/>
        <w:ind w:firstLine="549" w:firstLineChars="229"/>
        <w:rPr>
          <w:rFonts w:hint="eastAsia" w:ascii="仿宋" w:hAnsi="仿宋" w:eastAsia="仿宋" w:cs="仿宋"/>
          <w:color w:val="auto"/>
          <w:sz w:val="24"/>
        </w:rPr>
      </w:pPr>
    </w:p>
    <w:p w14:paraId="04263539">
      <w:pPr>
        <w:spacing w:line="360" w:lineRule="auto"/>
        <w:ind w:firstLine="549" w:firstLineChars="229"/>
        <w:rPr>
          <w:rFonts w:hint="eastAsia" w:ascii="仿宋" w:hAnsi="仿宋" w:eastAsia="仿宋" w:cs="仿宋"/>
          <w:color w:val="auto"/>
          <w:sz w:val="24"/>
        </w:rPr>
      </w:pPr>
    </w:p>
    <w:p w14:paraId="6663753C">
      <w:pPr>
        <w:spacing w:line="360" w:lineRule="auto"/>
        <w:ind w:firstLine="549" w:firstLineChars="229"/>
        <w:rPr>
          <w:rFonts w:hint="eastAsia" w:ascii="仿宋" w:hAnsi="仿宋" w:eastAsia="仿宋" w:cs="仿宋"/>
          <w:color w:val="auto"/>
          <w:sz w:val="24"/>
        </w:rPr>
      </w:pPr>
    </w:p>
    <w:p w14:paraId="2B005FB9">
      <w:pPr>
        <w:spacing w:line="360" w:lineRule="auto"/>
        <w:ind w:firstLine="549" w:firstLineChars="229"/>
        <w:rPr>
          <w:rFonts w:hint="eastAsia" w:ascii="仿宋" w:hAnsi="仿宋" w:eastAsia="仿宋" w:cs="仿宋"/>
          <w:color w:val="auto"/>
          <w:sz w:val="24"/>
        </w:rPr>
      </w:pPr>
    </w:p>
    <w:p w14:paraId="6CFF051B">
      <w:pPr>
        <w:spacing w:line="360" w:lineRule="auto"/>
        <w:ind w:firstLine="549" w:firstLineChars="229"/>
        <w:rPr>
          <w:rFonts w:hint="eastAsia" w:ascii="仿宋" w:hAnsi="仿宋" w:eastAsia="仿宋" w:cs="仿宋"/>
          <w:color w:val="auto"/>
          <w:sz w:val="24"/>
        </w:rPr>
      </w:pPr>
    </w:p>
    <w:p w14:paraId="1790DEAC">
      <w:pPr>
        <w:spacing w:line="360" w:lineRule="auto"/>
        <w:ind w:firstLine="549" w:firstLineChars="229"/>
        <w:rPr>
          <w:rFonts w:hint="eastAsia" w:ascii="仿宋" w:hAnsi="仿宋" w:eastAsia="仿宋" w:cs="仿宋"/>
          <w:color w:val="auto"/>
          <w:sz w:val="24"/>
        </w:rPr>
      </w:pPr>
    </w:p>
    <w:p w14:paraId="00DB40F9">
      <w:pPr>
        <w:spacing w:line="360" w:lineRule="auto"/>
        <w:ind w:firstLine="549" w:firstLineChars="229"/>
        <w:rPr>
          <w:rFonts w:hint="eastAsia" w:ascii="仿宋" w:hAnsi="仿宋" w:eastAsia="仿宋" w:cs="仿宋"/>
          <w:color w:val="auto"/>
          <w:sz w:val="24"/>
        </w:rPr>
      </w:pPr>
    </w:p>
    <w:p w14:paraId="47225A1E">
      <w:pPr>
        <w:spacing w:line="360" w:lineRule="auto"/>
        <w:rPr>
          <w:rFonts w:hint="eastAsia" w:ascii="仿宋" w:hAnsi="仿宋" w:eastAsia="仿宋" w:cs="仿宋"/>
          <w:color w:val="auto"/>
          <w:sz w:val="24"/>
        </w:rPr>
      </w:pPr>
    </w:p>
    <w:p w14:paraId="0065E40B">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rPr>
        <w:t>第一部分 交易公告</w:t>
      </w:r>
    </w:p>
    <w:p w14:paraId="4DB30B3F">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项目概况</w:t>
      </w:r>
    </w:p>
    <w:p w14:paraId="02A56A1F">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杭州市萧山区中医院医共体总院（所前镇社区卫生服务中心）数字式心电图机采购项目</w:t>
      </w:r>
      <w:r>
        <w:rPr>
          <w:rFonts w:hint="eastAsia" w:ascii="仿宋" w:hAnsi="仿宋" w:eastAsia="仿宋" w:cs="仿宋"/>
          <w:color w:val="auto"/>
          <w:sz w:val="24"/>
        </w:rPr>
        <w:t>的潜在供应商应在乐采云(萧采云)平台（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8"/>
          <w:rFonts w:hint="eastAsia" w:ascii="仿宋" w:hAnsi="仿宋" w:eastAsia="仿宋" w:cs="仿宋"/>
          <w:color w:val="auto"/>
          <w:kern w:val="2"/>
          <w:sz w:val="24"/>
          <w:szCs w:val="24"/>
        </w:rPr>
        <w:t>https://www.zcygov.cn/）获取（下载）交易文件，并于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递交（上传）响应文件。</w:t>
      </w:r>
    </w:p>
    <w:p w14:paraId="7BF8064E">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27FBA1C0">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项目编号：ZJHC(XS）-20250619</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0D919DAE">
      <w:pPr>
        <w:spacing w:line="360" w:lineRule="auto"/>
        <w:ind w:right="-388" w:rightChars="-185"/>
        <w:rPr>
          <w:rFonts w:hint="eastAsia" w:ascii="仿宋" w:hAnsi="仿宋" w:eastAsia="仿宋" w:cs="仿宋"/>
          <w:color w:val="auto"/>
          <w:sz w:val="24"/>
        </w:rPr>
      </w:pPr>
      <w:r>
        <w:rPr>
          <w:rFonts w:hint="eastAsia" w:ascii="仿宋" w:hAnsi="仿宋" w:eastAsia="仿宋" w:cs="仿宋"/>
          <w:color w:val="auto"/>
          <w:sz w:val="24"/>
        </w:rPr>
        <w:t xml:space="preserve">    项目名称：</w:t>
      </w:r>
      <w:r>
        <w:rPr>
          <w:rFonts w:hint="eastAsia" w:ascii="仿宋" w:hAnsi="仿宋" w:eastAsia="仿宋" w:cs="仿宋"/>
          <w:color w:val="auto"/>
          <w:sz w:val="24"/>
          <w:lang w:val="en-US" w:eastAsia="zh-CN"/>
        </w:rPr>
        <w:t>杭州市萧山区中医院医共体总院（所前镇社区卫生服务中心）数字式心电图机采购项目</w:t>
      </w:r>
    </w:p>
    <w:p w14:paraId="2DA778B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预算金额（元）：</w:t>
      </w:r>
      <w:r>
        <w:rPr>
          <w:rFonts w:hint="eastAsia" w:ascii="仿宋" w:hAnsi="仿宋" w:eastAsia="仿宋" w:cs="仿宋"/>
          <w:color w:val="auto"/>
          <w:sz w:val="24"/>
          <w:lang w:val="en-US" w:eastAsia="zh-CN"/>
        </w:rPr>
        <w:t>50000</w:t>
      </w:r>
      <w:r>
        <w:rPr>
          <w:rFonts w:hint="eastAsia" w:ascii="仿宋" w:hAnsi="仿宋" w:eastAsia="仿宋" w:cs="仿宋"/>
          <w:color w:val="auto"/>
          <w:sz w:val="24"/>
        </w:rPr>
        <w:t xml:space="preserve">.00 </w:t>
      </w:r>
    </w:p>
    <w:p w14:paraId="4D25D518">
      <w:pPr>
        <w:tabs>
          <w:tab w:val="center" w:pos="4535"/>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最高限价（元）：</w:t>
      </w:r>
      <w:r>
        <w:rPr>
          <w:rFonts w:hint="eastAsia" w:ascii="仿宋" w:hAnsi="仿宋" w:eastAsia="仿宋" w:cs="仿宋"/>
          <w:color w:val="auto"/>
          <w:sz w:val="24"/>
          <w:lang w:val="en-US" w:eastAsia="zh-CN"/>
        </w:rPr>
        <w:t>25000</w:t>
      </w:r>
      <w:r>
        <w:rPr>
          <w:rFonts w:hint="eastAsia" w:ascii="仿宋" w:hAnsi="仿宋" w:eastAsia="仿宋" w:cs="仿宋"/>
          <w:color w:val="auto"/>
          <w:sz w:val="24"/>
        </w:rPr>
        <w:t xml:space="preserve">.00 </w:t>
      </w:r>
    </w:p>
    <w:p w14:paraId="67CF4628">
      <w:pPr>
        <w:tabs>
          <w:tab w:val="center" w:pos="4535"/>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lang w:val="en-US" w:eastAsia="zh-CN"/>
        </w:rPr>
        <w:t>杭州市萧山区中医院医共体总院（所前镇社区卫生服务中心）数字式心电图机采购项目,</w:t>
      </w:r>
      <w:r>
        <w:rPr>
          <w:rFonts w:hint="eastAsia" w:ascii="仿宋" w:hAnsi="仿宋" w:eastAsia="仿宋" w:cs="仿宋"/>
          <w:color w:val="auto"/>
          <w:sz w:val="24"/>
        </w:rPr>
        <w:t>详见交易文件第三部分采购需求。</w:t>
      </w:r>
    </w:p>
    <w:p w14:paraId="7CA32385">
      <w:pPr>
        <w:tabs>
          <w:tab w:val="center" w:pos="4535"/>
        </w:tabs>
        <w:spacing w:line="360" w:lineRule="auto"/>
        <w:ind w:firstLine="480"/>
        <w:rPr>
          <w:rFonts w:hint="eastAsia" w:ascii="仿宋" w:hAnsi="仿宋" w:eastAsia="仿宋" w:cs="仿宋"/>
          <w:color w:val="auto"/>
          <w:sz w:val="24"/>
          <w:szCs w:val="28"/>
        </w:rPr>
      </w:pPr>
      <w:r>
        <w:rPr>
          <w:rFonts w:hint="eastAsia" w:ascii="仿宋" w:hAnsi="仿宋" w:eastAsia="仿宋" w:cs="仿宋"/>
          <w:color w:val="auto"/>
          <w:sz w:val="24"/>
        </w:rPr>
        <w:t>合同履约期限：</w:t>
      </w:r>
      <w:r>
        <w:rPr>
          <w:rFonts w:hint="eastAsia" w:ascii="仿宋" w:hAnsi="仿宋" w:eastAsia="仿宋" w:cs="仿宋"/>
          <w:color w:val="auto"/>
          <w:sz w:val="24"/>
          <w:szCs w:val="28"/>
        </w:rPr>
        <w:t>详见交易文件</w:t>
      </w:r>
    </w:p>
    <w:p w14:paraId="1A9607F7">
      <w:pPr>
        <w:tabs>
          <w:tab w:val="center" w:pos="4535"/>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本项目接受联合体响应：（ ）是；（√）否 </w:t>
      </w:r>
      <w:r>
        <w:rPr>
          <w:rFonts w:hint="eastAsia" w:ascii="仿宋" w:hAnsi="仿宋" w:eastAsia="仿宋" w:cs="仿宋"/>
          <w:color w:val="auto"/>
          <w:kern w:val="0"/>
          <w:sz w:val="24"/>
        </w:rPr>
        <w:t>。</w:t>
      </w:r>
    </w:p>
    <w:p w14:paraId="085B6023">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20DE0F08">
      <w:pPr>
        <w:spacing w:line="360" w:lineRule="auto"/>
        <w:ind w:firstLine="480"/>
        <w:rPr>
          <w:rFonts w:ascii="仿宋" w:hAnsi="仿宋" w:eastAsia="仿宋" w:cs="仿宋"/>
          <w:snapToGrid w:val="0"/>
          <w:color w:val="auto"/>
          <w:kern w:val="28"/>
          <w:sz w:val="24"/>
          <w:szCs w:val="20"/>
          <w:highlight w:val="none"/>
        </w:rPr>
      </w:pPr>
      <w:bookmarkStart w:id="11" w:name="OLE_LINK50"/>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82EBE8">
      <w:pPr>
        <w:snapToGrid w:val="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w:t>
      </w:r>
    </w:p>
    <w:bookmarkEnd w:id="11"/>
    <w:p w14:paraId="535F9B59">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三、获取交易文件 </w:t>
      </w:r>
    </w:p>
    <w:p w14:paraId="6B8C1F8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 xml:space="preserve"> 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，每天上午00:00至12:00，下午12:00至23:59（北京时间，线上获取法定节假日均可，线下获取文件法定节假日除外）</w:t>
      </w:r>
    </w:p>
    <w:p w14:paraId="764114A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乐采云(萧采云)平台（https://www.zcygov.cn/） </w:t>
      </w:r>
    </w:p>
    <w:p w14:paraId="06F4531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供应商登录乐采云(萧采云)平台https://www.zcygov.cn/在线申请获取采购文件（进入“项目采购”应用，在获取采购文件菜单中选择项目，申请获取采购文件）。 </w:t>
      </w:r>
    </w:p>
    <w:p w14:paraId="56DF9AF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BCDA8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四、提交响应文件截止时间、交易时间和地点</w:t>
      </w:r>
    </w:p>
    <w:p w14:paraId="4601704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color w:val="auto"/>
          <w:sz w:val="24"/>
        </w:rPr>
        <w:t>（北京时间）</w:t>
      </w:r>
    </w:p>
    <w:p w14:paraId="75EF72E0">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交易地点（网址）：</w:t>
      </w:r>
      <w:r>
        <w:rPr>
          <w:rFonts w:hint="eastAsia" w:ascii="仿宋" w:hAnsi="仿宋" w:eastAsia="仿宋" w:cs="仿宋"/>
          <w:color w:val="auto"/>
          <w:sz w:val="24"/>
        </w:rPr>
        <w:t xml:space="preserve">乐采云(萧采云)平台（https://www.zcygov.cn/） </w:t>
      </w:r>
    </w:p>
    <w:p w14:paraId="76486ADC">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交易时间：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bookmarkStart w:id="392" w:name="_GoBack"/>
      <w:bookmarkEnd w:id="392"/>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p>
    <w:p w14:paraId="1E90491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交易地点（网址）：</w:t>
      </w:r>
      <w:r>
        <w:rPr>
          <w:rFonts w:hint="eastAsia" w:ascii="仿宋" w:hAnsi="仿宋" w:eastAsia="仿宋" w:cs="仿宋"/>
          <w:color w:val="auto"/>
          <w:sz w:val="24"/>
        </w:rPr>
        <w:t>乐采云(萧采云)平台（https://www.zcygov.cn/）</w:t>
      </w:r>
      <w:r>
        <w:rPr>
          <w:rFonts w:hint="eastAsia" w:ascii="仿宋" w:hAnsi="仿宋" w:eastAsia="仿宋" w:cs="仿宋"/>
          <w:color w:val="auto"/>
          <w:sz w:val="24"/>
          <w:highlight w:val="none"/>
        </w:rPr>
        <w:t>（杭州市萧山区新塘街道通货路365号杭州火车南站东广场产业园1栋902室）</w:t>
      </w:r>
      <w:r>
        <w:rPr>
          <w:rFonts w:hint="eastAsia" w:ascii="仿宋" w:hAnsi="仿宋" w:eastAsia="仿宋" w:cs="仿宋"/>
          <w:color w:val="auto"/>
          <w:sz w:val="24"/>
          <w:szCs w:val="28"/>
        </w:rPr>
        <w:t>。</w:t>
      </w:r>
    </w:p>
    <w:p w14:paraId="001ACB3F">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2934DC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自本公告发布之日起3日。</w:t>
      </w:r>
    </w:p>
    <w:p w14:paraId="29E831F7">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615469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交易标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 w:val="24"/>
          <w:lang w:val="en-US" w:eastAsia="zh-CN"/>
        </w:rPr>
        <w:t>上级</w:t>
      </w:r>
      <w:r>
        <w:rPr>
          <w:rFonts w:hint="eastAsia" w:ascii="仿宋" w:hAnsi="仿宋" w:eastAsia="仿宋" w:cs="仿宋"/>
          <w:color w:val="auto"/>
          <w:sz w:val="24"/>
        </w:rPr>
        <w:t>管理部门投诉。质疑函范本、投诉书范本请到浙江政府采购网下载专区下载。</w:t>
      </w:r>
    </w:p>
    <w:p w14:paraId="7CC526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乐采云(萧采云)电子交易客户端”----前往“浙江政府采购网-下载专区-电子交易客户端”进行下载并安装；③交易（采购）文件的获取：使用账号登录或者使用CA登录乐采云(萧采云)平台；进入“项目采购”应用，在获取采购文件菜单中选择项目，获取交易文件；④响应文件的制作：在“乐采云(萧采云)电子交易客户端”中完成“填写基本信息”、“导入响应文件”、“标书关联”、“标书检查”、“电子签名”、“生成电子标书”等操作；⑤采购人、采购机构将依托乐采云(萧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乐采云(萧采云)平台“服务中心-帮助文档-项目采购-操作流程-电子招投标-政府采购项目电子交易管理操作指南-供应商”。</w:t>
      </w:r>
    </w:p>
    <w:p w14:paraId="1932DA52">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1BE6346C">
      <w:pPr>
        <w:widowControl/>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1.交易发起人信息</w:t>
      </w:r>
    </w:p>
    <w:p w14:paraId="2F92A04C">
      <w:pPr>
        <w:spacing w:line="360" w:lineRule="auto"/>
        <w:ind w:firstLine="480" w:firstLineChars="200"/>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名称：杭州市萧山区中医院医共体总院</w:t>
      </w:r>
    </w:p>
    <w:p w14:paraId="35954C7E">
      <w:pPr>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地址：</w:t>
      </w:r>
      <w:r>
        <w:rPr>
          <w:rFonts w:hint="eastAsia" w:ascii="仿宋" w:hAnsi="仿宋" w:eastAsia="仿宋" w:cs="仿宋"/>
          <w:color w:val="auto"/>
          <w:sz w:val="24"/>
          <w:szCs w:val="28"/>
          <w:highlight w:val="none"/>
        </w:rPr>
        <w:t>杭州市萧山区育才路152号</w:t>
      </w:r>
    </w:p>
    <w:p w14:paraId="44085630">
      <w:pPr>
        <w:spacing w:line="360" w:lineRule="auto"/>
        <w:ind w:firstLine="480" w:firstLineChars="200"/>
        <w:jc w:val="left"/>
        <w:rPr>
          <w:rFonts w:hint="eastAsia" w:ascii="仿宋" w:hAnsi="仿宋" w:eastAsia="仿宋" w:cs="仿宋"/>
          <w:color w:val="auto"/>
          <w:sz w:val="24"/>
          <w:szCs w:val="28"/>
          <w:lang w:val="en-US" w:eastAsia="zh-CN"/>
        </w:rPr>
      </w:pPr>
      <w:bookmarkStart w:id="12" w:name="_Toc28359009"/>
      <w:bookmarkStart w:id="13" w:name="_Toc28359086"/>
      <w:r>
        <w:rPr>
          <w:rFonts w:hint="eastAsia" w:ascii="仿宋" w:hAnsi="仿宋" w:eastAsia="仿宋" w:cs="仿宋"/>
          <w:color w:val="auto"/>
          <w:sz w:val="24"/>
          <w:szCs w:val="28"/>
          <w:lang w:val="en-US" w:eastAsia="zh-CN"/>
        </w:rPr>
        <w:t xml:space="preserve">项目联系人（询问）：徐亦生  </w:t>
      </w:r>
    </w:p>
    <w:p w14:paraId="1946AF5E">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lang w:val="en-US" w:eastAsia="zh-CN"/>
        </w:rPr>
        <w:t xml:space="preserve">项目联系方式（询问）：0571-83812050 </w:t>
      </w:r>
    </w:p>
    <w:bookmarkEnd w:id="12"/>
    <w:bookmarkEnd w:id="13"/>
    <w:p w14:paraId="58878B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126A0B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称：华诚工程咨询集团有限公司</w:t>
      </w:r>
    </w:p>
    <w:p w14:paraId="5F75B58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址：杭州市萧山区新塘街道通货路365号杭州火车南站东广场产业园1栋902室</w:t>
      </w:r>
    </w:p>
    <w:p w14:paraId="34198B1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56B65B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项目联系人（询问）：孔益平 </w:t>
      </w:r>
    </w:p>
    <w:p w14:paraId="68E987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项目联系方式（询问）：15167164267</w:t>
      </w:r>
    </w:p>
    <w:p w14:paraId="2E28478A">
      <w:pPr>
        <w:spacing w:line="360" w:lineRule="auto"/>
        <w:ind w:firstLine="480" w:firstLineChars="200"/>
        <w:rPr>
          <w:rFonts w:hint="eastAsia" w:ascii="仿宋" w:hAnsi="仿宋" w:eastAsia="仿宋" w:cs="仿宋"/>
          <w:bCs/>
          <w:snapToGrid w:val="0"/>
          <w:color w:val="auto"/>
          <w:kern w:val="28"/>
          <w:sz w:val="24"/>
        </w:rPr>
      </w:pPr>
    </w:p>
    <w:p w14:paraId="7394B43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若对项目采购电子交易系统操作有疑问，可登录乐采云(萧采云)（https://www.zcygov.cn/），点击右侧咨询小采，获取采小蜜智能服务管家帮助，或拨打乐采云(萧采云)服务热线400-881-7190获取热线服务帮助。</w:t>
      </w:r>
    </w:p>
    <w:p w14:paraId="3A81A2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1470699">
      <w:pPr>
        <w:pStyle w:val="32"/>
        <w:spacing w:line="360" w:lineRule="auto"/>
        <w:ind w:firstLine="480" w:firstLineChars="200"/>
        <w:rPr>
          <w:rFonts w:hint="eastAsia" w:ascii="仿宋" w:hAnsi="仿宋" w:eastAsia="仿宋" w:cs="仿宋"/>
          <w:color w:val="auto"/>
          <w:sz w:val="24"/>
          <w:szCs w:val="24"/>
        </w:rPr>
      </w:pPr>
    </w:p>
    <w:p w14:paraId="586540A0">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3C1218B">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供应商须知</w:t>
      </w:r>
      <w:bookmarkEnd w:id="9"/>
    </w:p>
    <w:p w14:paraId="6FAB645B">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529D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rPr>
        <w:tc>
          <w:tcPr>
            <w:tcW w:w="629" w:type="dxa"/>
            <w:tcBorders>
              <w:top w:val="single" w:color="auto" w:sz="4" w:space="0"/>
              <w:left w:val="single" w:color="auto" w:sz="4" w:space="0"/>
              <w:bottom w:val="single" w:color="auto" w:sz="4" w:space="0"/>
              <w:right w:val="single" w:color="auto" w:sz="4" w:space="0"/>
            </w:tcBorders>
            <w:vAlign w:val="center"/>
          </w:tcPr>
          <w:p w14:paraId="615F2F4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1DD9FE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7C98D99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F517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029E13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BEF7A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1AD40684">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b/>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lang w:val="en-US" w:eastAsia="zh-CN"/>
              </w:rPr>
              <w:t>货物</w:t>
            </w:r>
            <w:r>
              <w:rPr>
                <w:rFonts w:hint="eastAsia" w:ascii="仿宋" w:hAnsi="仿宋" w:eastAsia="仿宋" w:cs="仿宋"/>
                <w:color w:val="auto"/>
                <w:sz w:val="24"/>
              </w:rPr>
              <w:t>类。</w:t>
            </w:r>
          </w:p>
        </w:tc>
      </w:tr>
      <w:tr w14:paraId="464C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00F4A2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D2685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CFCB626">
            <w:pPr>
              <w:pageBreakBefore w:val="0"/>
              <w:kinsoku/>
              <w:wordWrap/>
              <w:overflowPunct/>
              <w:topLinePunct w:val="0"/>
              <w:autoSpaceDE/>
              <w:autoSpaceDN/>
              <w:bidi w:val="0"/>
              <w:spacing w:line="420" w:lineRule="exact"/>
              <w:textAlignment w:val="auto"/>
              <w:rPr>
                <w:rFonts w:hint="eastAsia" w:ascii="仿宋" w:hAnsi="仿宋" w:eastAsia="仿宋" w:cs="仿宋"/>
                <w:color w:val="auto"/>
                <w:lang w:eastAsia="zh-CN"/>
              </w:rPr>
            </w:pPr>
            <w:r>
              <w:rPr>
                <w:rFonts w:hint="eastAsia" w:ascii="仿宋" w:hAnsi="仿宋" w:eastAsia="仿宋" w:cs="仿宋"/>
                <w:color w:val="auto"/>
                <w:sz w:val="24"/>
                <w:lang w:val="en-US" w:eastAsia="zh-CN"/>
              </w:rPr>
              <w:t>/</w:t>
            </w:r>
          </w:p>
        </w:tc>
      </w:tr>
      <w:tr w14:paraId="49EF3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36B017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444D4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2C955BB5">
            <w:pPr>
              <w:pStyle w:val="3"/>
              <w:pageBreakBefore w:val="0"/>
              <w:kinsoku/>
              <w:wordWrap/>
              <w:overflowPunct/>
              <w:topLinePunct w:val="0"/>
              <w:autoSpaceDE/>
              <w:autoSpaceDN/>
              <w:bidi w:val="0"/>
              <w:spacing w:line="420" w:lineRule="exact"/>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kern w:val="0"/>
              </w:rPr>
              <w:t>(</w:t>
            </w:r>
            <w:r>
              <w:rPr>
                <w:rFonts w:hint="eastAsia" w:ascii="仿宋" w:hAnsi="仿宋" w:eastAsia="仿宋" w:cs="仿宋"/>
                <w:b/>
                <w:color w:val="auto"/>
              </w:rPr>
              <w:t xml:space="preserve">√ </w:t>
            </w:r>
            <w:r>
              <w:rPr>
                <w:rFonts w:hint="eastAsia" w:ascii="仿宋" w:hAnsi="仿宋" w:eastAsia="仿宋" w:cs="仿宋"/>
                <w:color w:val="auto"/>
                <w:kern w:val="0"/>
              </w:rPr>
              <w:t>)</w:t>
            </w:r>
            <w:r>
              <w:rPr>
                <w:rFonts w:hint="eastAsia" w:ascii="仿宋" w:hAnsi="仿宋" w:eastAsia="仿宋" w:cs="仿宋"/>
                <w:color w:val="auto"/>
              </w:rPr>
              <w:t>本项目不允许采购进口产品。</w:t>
            </w:r>
          </w:p>
        </w:tc>
      </w:tr>
      <w:tr w14:paraId="56AE5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9F6B80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B40E0A">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59853973">
            <w:pPr>
              <w:pageBreakBefore w:val="0"/>
              <w:kinsoku/>
              <w:wordWrap/>
              <w:overflowPunct/>
              <w:topLinePunct w:val="0"/>
              <w:autoSpaceDE/>
              <w:autoSpaceDN/>
              <w:bidi w:val="0"/>
              <w:snapToGrid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7A61FD5">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2DCFE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AC541AB">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F9F0B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665FB885">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0"/>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153BE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rPr>
        <w:tc>
          <w:tcPr>
            <w:tcW w:w="629" w:type="dxa"/>
            <w:tcBorders>
              <w:top w:val="single" w:color="auto" w:sz="4" w:space="0"/>
              <w:left w:val="single" w:color="auto" w:sz="4" w:space="0"/>
              <w:bottom w:val="single" w:color="auto" w:sz="4" w:space="0"/>
              <w:right w:val="single" w:color="auto" w:sz="4" w:space="0"/>
            </w:tcBorders>
            <w:vAlign w:val="center"/>
          </w:tcPr>
          <w:p w14:paraId="5D44258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E1D89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26E9F147">
            <w:pPr>
              <w:pageBreakBefore w:val="0"/>
              <w:kinsoku/>
              <w:wordWrap/>
              <w:overflowPunct/>
              <w:topLinePunct w:val="0"/>
              <w:autoSpaceDE/>
              <w:autoSpaceDN/>
              <w:bidi w:val="0"/>
              <w:spacing w:line="420" w:lineRule="exact"/>
              <w:textAlignment w:val="auto"/>
              <w:rPr>
                <w:rFonts w:hint="eastAsia" w:ascii="仿宋" w:hAnsi="仿宋" w:eastAsia="仿宋" w:cs="仿宋"/>
                <w:b/>
                <w:color w:val="auto"/>
                <w:sz w:val="24"/>
              </w:rPr>
            </w:pPr>
            <w:r>
              <w:rPr>
                <w:rFonts w:hint="eastAsia" w:ascii="仿宋" w:hAnsi="仿宋" w:eastAsia="仿宋" w:cs="仿宋"/>
                <w:bCs/>
                <w:color w:val="auto"/>
                <w:sz w:val="24"/>
              </w:rPr>
              <w:t>（</w:t>
            </w:r>
            <w:r>
              <w:rPr>
                <w:rFonts w:hint="eastAsia" w:ascii="仿宋" w:hAnsi="仿宋" w:eastAsia="仿宋" w:cs="仿宋"/>
                <w:b/>
                <w:color w:val="auto"/>
                <w:sz w:val="24"/>
              </w:rPr>
              <w:t>√</w:t>
            </w:r>
            <w:r>
              <w:rPr>
                <w:rFonts w:hint="eastAsia" w:ascii="仿宋" w:hAnsi="仿宋" w:eastAsia="仿宋" w:cs="仿宋"/>
                <w:bCs/>
                <w:color w:val="auto"/>
                <w:sz w:val="24"/>
              </w:rPr>
              <w:t>）A不要求提供。</w:t>
            </w:r>
          </w:p>
        </w:tc>
      </w:tr>
      <w:tr w14:paraId="24627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rPr>
        <w:tc>
          <w:tcPr>
            <w:tcW w:w="629" w:type="dxa"/>
            <w:tcBorders>
              <w:top w:val="single" w:color="auto" w:sz="4" w:space="0"/>
              <w:left w:val="single" w:color="auto" w:sz="4" w:space="0"/>
              <w:bottom w:val="single" w:color="auto" w:sz="4" w:space="0"/>
              <w:right w:val="single" w:color="auto" w:sz="4" w:space="0"/>
            </w:tcBorders>
            <w:vAlign w:val="center"/>
          </w:tcPr>
          <w:p w14:paraId="044D389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A2B672">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2BB24A27">
            <w:pPr>
              <w:pageBreakBefore w:val="0"/>
              <w:kinsoku/>
              <w:wordWrap/>
              <w:overflowPunct/>
              <w:topLinePunct w:val="0"/>
              <w:autoSpaceDE/>
              <w:autoSpaceDN/>
              <w:bidi w:val="0"/>
              <w:spacing w:line="420" w:lineRule="exact"/>
              <w:textAlignment w:val="auto"/>
              <w:rPr>
                <w:rFonts w:hint="eastAsia" w:ascii="仿宋" w:hAnsi="仿宋" w:eastAsia="仿宋" w:cs="仿宋"/>
                <w:b/>
                <w:color w:val="auto"/>
                <w:kern w:val="0"/>
                <w:sz w:val="24"/>
                <w:lang w:val="zh-CN"/>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20686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4506057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0DCB02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A56DB1">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（1）资格证明文件：见交易文件第二部分11.1。</w:t>
            </w:r>
          </w:p>
          <w:p w14:paraId="43BF14B0">
            <w:pPr>
              <w:pageBreakBefore w:val="0"/>
              <w:kinsoku/>
              <w:wordWrap/>
              <w:overflowPunct/>
              <w:topLinePunct w:val="0"/>
              <w:autoSpaceDE/>
              <w:autoSpaceDN/>
              <w:bidi w:val="0"/>
              <w:spacing w:line="420" w:lineRule="exact"/>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供应商未提供有效的资格证明文件的，视为供应商不具备交易文件中规定的资格要求，响应无效。</w:t>
            </w:r>
          </w:p>
        </w:tc>
      </w:tr>
      <w:tr w14:paraId="4A654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vAlign w:val="center"/>
          </w:tcPr>
          <w:p w14:paraId="46B5E4B0">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7688D8B">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69CFDB9">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（2）资信证明文件：根据交易文件第四部分评审标准提供。</w:t>
            </w:r>
          </w:p>
        </w:tc>
      </w:tr>
      <w:tr w14:paraId="6341E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7D59FD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49AA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1E33A9BC">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有关本项目实施所需的所有费用（含税费）均计入报价。</w:t>
            </w:r>
            <w:r>
              <w:rPr>
                <w:rFonts w:hint="eastAsia" w:ascii="仿宋" w:hAnsi="仿宋" w:eastAsia="仿宋" w:cs="仿宋"/>
                <w:bCs/>
                <w:color w:val="auto"/>
                <w:kern w:val="0"/>
                <w:sz w:val="24"/>
              </w:rPr>
              <w:t>交易一览表（报价表）是报价的唯一载体</w:t>
            </w:r>
            <w:r>
              <w:rPr>
                <w:rFonts w:hint="eastAsia" w:ascii="仿宋" w:hAnsi="仿宋" w:eastAsia="仿宋" w:cs="仿宋"/>
                <w:bCs/>
                <w:color w:val="auto"/>
                <w:kern w:val="0"/>
                <w:sz w:val="24"/>
                <w:lang w:val="zh-CN"/>
              </w:rPr>
              <w:t>。响应文件中价格全部采用人民币报价。交易文件未列明，而供应商认为必需的费用也需列入报价。</w:t>
            </w:r>
          </w:p>
          <w:p w14:paraId="455E751F">
            <w:pPr>
              <w:pageBreakBefore w:val="0"/>
              <w:kinsoku/>
              <w:wordWrap/>
              <w:overflowPunct/>
              <w:topLinePunct w:val="0"/>
              <w:autoSpaceDE/>
              <w:autoSpaceDN/>
              <w:bidi w:val="0"/>
              <w:spacing w:line="420" w:lineRule="exact"/>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响应报价出现下列情形的，响应无效：</w:t>
            </w:r>
          </w:p>
          <w:p w14:paraId="639AA913">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响应文件出现不是唯一的、有选择性响应报价的；</w:t>
            </w:r>
          </w:p>
          <w:p w14:paraId="5A7BBA06">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响应报价超过交易文件中规定的预算金额或者最高限价的；</w:t>
            </w:r>
          </w:p>
          <w:p w14:paraId="6DB06944">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rPr>
            </w:pPr>
            <w:r>
              <w:rPr>
                <w:rFonts w:hint="eastAsia" w:ascii="仿宋" w:hAnsi="仿宋" w:eastAsia="仿宋" w:cs="仿宋"/>
                <w:bCs/>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Cs/>
                <w:color w:val="auto"/>
                <w:kern w:val="0"/>
                <w:sz w:val="24"/>
                <w:lang w:val="zh-CN"/>
              </w:rPr>
              <w:t>；</w:t>
            </w:r>
          </w:p>
          <w:p w14:paraId="34FC14FA">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rPr>
            </w:pPr>
            <w:r>
              <w:rPr>
                <w:rFonts w:hint="eastAsia" w:ascii="仿宋" w:hAnsi="仿宋" w:eastAsia="仿宋" w:cs="仿宋"/>
                <w:bCs/>
                <w:color w:val="auto"/>
                <w:kern w:val="0"/>
                <w:sz w:val="24"/>
              </w:rPr>
              <w:t>供应商对根据修正原则修正后的报价不确认的。</w:t>
            </w:r>
          </w:p>
          <w:p w14:paraId="55AA4FE4">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kern w:val="0"/>
                <w:sz w:val="24"/>
              </w:rPr>
              <w:t>资格文件、商务技术文件与报价文件未分开制作</w:t>
            </w:r>
            <w:r>
              <w:rPr>
                <w:rFonts w:hint="eastAsia" w:ascii="仿宋" w:hAnsi="仿宋" w:eastAsia="仿宋" w:cs="仿宋"/>
                <w:bCs/>
                <w:color w:val="auto"/>
                <w:sz w:val="24"/>
              </w:rPr>
              <w:t>。</w:t>
            </w:r>
          </w:p>
        </w:tc>
      </w:tr>
      <w:tr w14:paraId="586F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543F29">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E70EA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40C138EE">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备份文件是否收取：不收取。</w:t>
            </w:r>
          </w:p>
        </w:tc>
      </w:tr>
      <w:tr w14:paraId="7B02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16329D">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6EAC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213092E0">
            <w:pPr>
              <w:pageBreakBefore w:val="0"/>
              <w:widowControl/>
              <w:kinsoku/>
              <w:wordWrap/>
              <w:overflowPunct/>
              <w:topLinePunct w:val="0"/>
              <w:autoSpaceDE/>
              <w:autoSpaceDN/>
              <w:bidi w:val="0"/>
              <w:spacing w:line="420" w:lineRule="exact"/>
              <w:jc w:val="left"/>
              <w:textAlignment w:val="auto"/>
              <w:rPr>
                <w:rFonts w:hint="eastAsia" w:ascii="仿宋" w:hAnsi="仿宋" w:eastAsia="仿宋" w:cs="仿宋"/>
                <w:b/>
                <w:color w:val="auto"/>
                <w:sz w:val="24"/>
              </w:rPr>
            </w:pPr>
            <w:r>
              <w:rPr>
                <w:rFonts w:hint="eastAsia" w:ascii="仿宋" w:hAnsi="仿宋" w:eastAsia="仿宋" w:cs="仿宋"/>
                <w:color w:val="auto"/>
                <w:sz w:val="24"/>
              </w:rPr>
              <w:t>本项目代理服务费由成交供应商支付，根据“发改价格【2011】534号文件”规定的70%计取</w:t>
            </w:r>
            <w:r>
              <w:rPr>
                <w:rFonts w:hint="eastAsia" w:ascii="仿宋" w:hAnsi="仿宋" w:eastAsia="仿宋" w:cs="仿宋"/>
                <w:color w:val="auto"/>
                <w:sz w:val="24"/>
                <w:lang w:eastAsia="zh-CN"/>
              </w:rPr>
              <w:t>。</w:t>
            </w:r>
            <w:r>
              <w:rPr>
                <w:rFonts w:hint="eastAsia" w:ascii="仿宋" w:hAnsi="仿宋" w:eastAsia="仿宋" w:cs="仿宋"/>
                <w:color w:val="auto"/>
                <w:sz w:val="24"/>
              </w:rPr>
              <w:t>以合同金额为计费基准。招标代理收费不足</w:t>
            </w:r>
            <w:r>
              <w:rPr>
                <w:rFonts w:hint="eastAsia" w:ascii="仿宋" w:hAnsi="仿宋" w:eastAsia="仿宋" w:cs="仿宋"/>
                <w:color w:val="auto"/>
                <w:sz w:val="24"/>
                <w:lang w:val="en-US" w:eastAsia="zh-CN"/>
              </w:rPr>
              <w:t>3</w:t>
            </w:r>
            <w:r>
              <w:rPr>
                <w:rFonts w:hint="eastAsia" w:ascii="仿宋" w:hAnsi="仿宋" w:eastAsia="仿宋" w:cs="仿宋"/>
                <w:color w:val="auto"/>
                <w:sz w:val="24"/>
              </w:rPr>
              <w:t>000元，按</w:t>
            </w:r>
            <w:r>
              <w:rPr>
                <w:rFonts w:hint="eastAsia" w:ascii="仿宋" w:hAnsi="仿宋" w:eastAsia="仿宋" w:cs="仿宋"/>
                <w:color w:val="auto"/>
                <w:sz w:val="24"/>
                <w:lang w:val="en-US" w:eastAsia="zh-CN"/>
              </w:rPr>
              <w:t>3</w:t>
            </w:r>
            <w:r>
              <w:rPr>
                <w:rFonts w:hint="eastAsia" w:ascii="仿宋" w:hAnsi="仿宋" w:eastAsia="仿宋" w:cs="仿宋"/>
                <w:color w:val="auto"/>
                <w:sz w:val="24"/>
              </w:rPr>
              <w:t>000元计算。</w:t>
            </w:r>
          </w:p>
        </w:tc>
      </w:tr>
      <w:tr w14:paraId="476D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383A4B">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9ABF440">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交易保证金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71DE19EF">
            <w:pPr>
              <w:pageBreakBefore w:val="0"/>
              <w:widowControl/>
              <w:kinsoku/>
              <w:wordWrap/>
              <w:overflowPunct/>
              <w:topLinePunct w:val="0"/>
              <w:autoSpaceDE/>
              <w:autoSpaceDN/>
              <w:bidi w:val="0"/>
              <w:spacing w:line="420" w:lineRule="exact"/>
              <w:jc w:val="left"/>
              <w:textAlignment w:val="auto"/>
              <w:rPr>
                <w:rFonts w:hint="eastAsia" w:ascii="仿宋" w:hAnsi="仿宋" w:eastAsia="仿宋" w:cs="仿宋"/>
                <w:b/>
                <w:color w:val="auto"/>
                <w:sz w:val="24"/>
              </w:rPr>
            </w:pPr>
            <w:r>
              <w:rPr>
                <w:rFonts w:hint="eastAsia" w:ascii="仿宋" w:hAnsi="仿宋" w:eastAsia="仿宋" w:cs="仿宋"/>
                <w:snapToGrid w:val="0"/>
                <w:color w:val="auto"/>
                <w:kern w:val="28"/>
                <w:sz w:val="24"/>
              </w:rPr>
              <w:t>不收取</w:t>
            </w:r>
          </w:p>
        </w:tc>
      </w:tr>
      <w:tr w14:paraId="0D2C4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27FAE1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Cs/>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482A169">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5416E656">
            <w:pPr>
              <w:pageBreakBefore w:val="0"/>
              <w:kinsoku/>
              <w:wordWrap/>
              <w:overflowPunct/>
              <w:topLinePunct w:val="0"/>
              <w:autoSpaceDE/>
              <w:autoSpaceDN/>
              <w:bidi w:val="0"/>
              <w:spacing w:line="420" w:lineRule="exact"/>
              <w:textAlignment w:val="auto"/>
              <w:rPr>
                <w:rFonts w:hint="default" w:ascii="仿宋" w:hAnsi="仿宋" w:eastAsia="仿宋" w:cs="仿宋"/>
                <w:color w:val="auto"/>
                <w:lang w:val="en-US" w:eastAsia="zh-CN"/>
              </w:rPr>
            </w:pPr>
            <w:r>
              <w:rPr>
                <w:rFonts w:hint="eastAsia" w:ascii="仿宋" w:hAnsi="仿宋" w:eastAsia="仿宋" w:cs="仿宋"/>
                <w:snapToGrid w:val="0"/>
                <w:color w:val="auto"/>
                <w:kern w:val="28"/>
                <w:sz w:val="24"/>
              </w:rPr>
              <w:t>履约保证金：</w:t>
            </w:r>
            <w:r>
              <w:rPr>
                <w:rFonts w:hint="eastAsia" w:ascii="仿宋" w:hAnsi="仿宋" w:eastAsia="仿宋" w:cs="仿宋"/>
                <w:snapToGrid w:val="0"/>
                <w:color w:val="auto"/>
                <w:kern w:val="28"/>
                <w:sz w:val="24"/>
                <w:lang w:val="en-US" w:eastAsia="zh-CN"/>
              </w:rPr>
              <w:t>不缴纳。</w:t>
            </w:r>
          </w:p>
        </w:tc>
      </w:tr>
      <w:tr w14:paraId="01BC6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10A265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C378B9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资格审查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08778E9A">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本项目由评审小组进行资格文件审查。</w:t>
            </w:r>
          </w:p>
        </w:tc>
      </w:tr>
      <w:tr w14:paraId="77983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D5D24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089824F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2BECA19C">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采购人、采购机构质疑接收人、联系方式：详见公告</w:t>
            </w:r>
          </w:p>
          <w:p w14:paraId="24E2115E">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线上提交质疑方式：乐采云(萧采云)线上质疑路径：项目采购-询问质疑投诉-质疑列表。请使用ca签章在每一页质疑文件中加盖电子公章，上传完整附件。</w:t>
            </w:r>
          </w:p>
          <w:p w14:paraId="09C98D06">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本项目涉及资格条件、采购需求、评分办法及采购过程中有关现场考察或开标前答疑会等事项由采购人进行答复。</w:t>
            </w:r>
          </w:p>
          <w:p w14:paraId="3523AC5A">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涉及流程规范性、组织程序等相关事项，由采购机构进行答复。</w:t>
            </w:r>
          </w:p>
        </w:tc>
      </w:tr>
      <w:tr w14:paraId="25CA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AA1053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32BDD014">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5082E4F7">
            <w:pPr>
              <w:pageBreakBefore w:val="0"/>
              <w:shd w:val="clear" w:color="auto" w:fill="auto"/>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如发现交易文件中存在含糊不清、相互矛盾、多种含义及歧视性不公正条款或违法违规等内容时，请在规定时间内同时向采购人、代理机构书面提出异议，逾期不得再对交易文件的条款提出质疑。如在交易现场发现交易文件中发现上述问题并影响评审的，由采购人现场给予澄清，并经评审委员会、所有参会响应人一致同意后，按澄清后的内容继续进行评审。</w:t>
            </w:r>
          </w:p>
          <w:p w14:paraId="3976B950">
            <w:pPr>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snapToGrid w:val="0"/>
                <w:color w:val="auto"/>
                <w:kern w:val="28"/>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本项目通用总则条款与前附表等专用特别规定有冲突之处，以专用条款（特别规定）为准</w:t>
            </w:r>
          </w:p>
        </w:tc>
      </w:tr>
    </w:tbl>
    <w:p w14:paraId="0E06FB9D">
      <w:pPr>
        <w:snapToGrid w:val="0"/>
        <w:spacing w:line="360" w:lineRule="auto"/>
        <w:jc w:val="center"/>
        <w:rPr>
          <w:rFonts w:hint="eastAsia" w:ascii="仿宋" w:hAnsi="仿宋" w:eastAsia="仿宋" w:cs="仿宋"/>
          <w:b/>
          <w:color w:val="auto"/>
          <w:sz w:val="32"/>
          <w:szCs w:val="20"/>
        </w:rPr>
      </w:pPr>
    </w:p>
    <w:bookmarkEnd w:id="10"/>
    <w:p w14:paraId="71D9EFAF">
      <w:pPr>
        <w:rPr>
          <w:rFonts w:hint="eastAsia" w:ascii="仿宋" w:hAnsi="仿宋" w:eastAsia="仿宋" w:cs="仿宋"/>
          <w:b/>
          <w:color w:val="auto"/>
          <w:sz w:val="32"/>
          <w:szCs w:val="20"/>
        </w:rPr>
      </w:pPr>
      <w:bookmarkStart w:id="14" w:name="_Toc164416483"/>
      <w:bookmarkStart w:id="15" w:name="第三部分"/>
      <w:r>
        <w:rPr>
          <w:rFonts w:hint="eastAsia" w:ascii="仿宋" w:hAnsi="仿宋" w:eastAsia="仿宋" w:cs="仿宋"/>
          <w:b/>
          <w:color w:val="auto"/>
          <w:sz w:val="32"/>
          <w:szCs w:val="20"/>
        </w:rPr>
        <w:br w:type="page"/>
      </w:r>
    </w:p>
    <w:p w14:paraId="51A2A8A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67E4AF18">
      <w:pPr>
        <w:snapToGrid w:val="0"/>
        <w:spacing w:line="360" w:lineRule="auto"/>
        <w:ind w:firstLine="482" w:firstLineChars="20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37E4628">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本交易文件适用于该项目的交易、资格审查及信用信息查询、评审、定标、合同、验收等行为（法律、法规另有规定的，从其规定）。</w:t>
      </w:r>
    </w:p>
    <w:p w14:paraId="3C8722AD">
      <w:pPr>
        <w:snapToGrid w:val="0"/>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2.定义</w:t>
      </w:r>
    </w:p>
    <w:p w14:paraId="49146F7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“采购人”系指交易公告中载明的本项目的采购人。</w:t>
      </w:r>
    </w:p>
    <w:p w14:paraId="250352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“采购机构”系指交易公告中载明的本项目的采购机构。</w:t>
      </w:r>
    </w:p>
    <w:p w14:paraId="38DE395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“供应商”系指是指响应交易、参加交易竞争的法人、其他组织或者自然人。</w:t>
      </w:r>
    </w:p>
    <w:p w14:paraId="49E62FA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5A1E6D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0BE6C90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2.6“电子交易平台”是指本项目采购活动所依托的政府采购云平台（https://www.zcygov.cn/）。</w:t>
      </w:r>
    </w:p>
    <w:p w14:paraId="06A3AB4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Cs/>
          <w:color w:val="auto"/>
          <w:sz w:val="24"/>
        </w:rPr>
        <w:t>√</w:t>
      </w:r>
      <w:r>
        <w:rPr>
          <w:rFonts w:hint="eastAsia" w:ascii="仿宋" w:hAnsi="仿宋" w:eastAsia="仿宋" w:cs="仿宋"/>
          <w:color w:val="auto"/>
          <w:sz w:val="24"/>
        </w:rPr>
        <w:t>）” 系指适用本项目的要求，“（  ）”系指不适用本项目的要求。</w:t>
      </w:r>
    </w:p>
    <w:p w14:paraId="5AACA99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 询问、质疑、投诉</w:t>
      </w:r>
    </w:p>
    <w:p w14:paraId="0DFF94C7">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.1供应商询问</w:t>
      </w:r>
    </w:p>
    <w:p w14:paraId="46F422F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6C5893">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.2供应商质疑</w:t>
      </w:r>
    </w:p>
    <w:p w14:paraId="76665C8F">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.1提出质疑的供应商应当是参与所质疑项目采购活动的供应商。潜在供应商已依法获取其可质疑的交易文件的，可以对该文件提出质疑。</w:t>
      </w:r>
    </w:p>
    <w:p w14:paraId="19B4CB8E">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2A72A35">
      <w:pPr>
        <w:pStyle w:val="1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3.2.2.1对交易文件提出质疑的，质疑期限为供应商获得交易文件之日或者交易文件公告期限届满之日起计算。</w:t>
      </w:r>
    </w:p>
    <w:p w14:paraId="379ECDBA">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3.2.2.2对采购过程提出质疑的，质疑期限为各采购程序环节结束之日起计算。对同一采购程序环节的质疑，供应商须一次性提出。</w:t>
      </w:r>
    </w:p>
    <w:p w14:paraId="5B762547">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3.2.2.3对采购结果提出质疑的，质疑期限自采购结果公告期限届满之日起计算。</w:t>
      </w:r>
    </w:p>
    <w:p w14:paraId="69D7D2E3">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3.2.3</w:t>
      </w:r>
      <w:r>
        <w:rPr>
          <w:rFonts w:hint="eastAsia" w:ascii="仿宋" w:hAnsi="仿宋" w:eastAsia="仿宋" w:cs="仿宋"/>
          <w:color w:val="auto"/>
          <w:sz w:val="24"/>
        </w:rPr>
        <w:t>供应商提出质疑应当提交质疑函和必要的证明材料。质疑函应当包括下列内容：</w:t>
      </w:r>
    </w:p>
    <w:p w14:paraId="43B58F45">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3.2.3.1供应商的姓名或者名称、地址、邮编、联系人及联系电话；</w:t>
      </w:r>
    </w:p>
    <w:p w14:paraId="68EC7D6A">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3.2.3.2质疑项目的名称、编号；</w:t>
      </w:r>
    </w:p>
    <w:p w14:paraId="65FF1BD0">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3.2.3.3具体、明确的质疑事项和与质疑事项相关的请求；</w:t>
      </w:r>
    </w:p>
    <w:p w14:paraId="4AC1337F">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3.2.3.4事实依据；</w:t>
      </w:r>
    </w:p>
    <w:p w14:paraId="2A48C33A">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3.2.3.5必要的法律依据；</w:t>
      </w:r>
    </w:p>
    <w:p w14:paraId="67F50290">
      <w:pPr>
        <w:pStyle w:val="32"/>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3.2.3.6提出质疑的日期。</w:t>
      </w:r>
    </w:p>
    <w:p w14:paraId="1DBA2B22">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744097B9">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14:paraId="55F50732">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lang w:val="zh-CN"/>
        </w:rPr>
        <w:t>3.2</w:t>
      </w:r>
      <w:r>
        <w:rPr>
          <w:rFonts w:hint="eastAsia" w:ascii="仿宋" w:hAnsi="仿宋" w:eastAsia="仿宋" w:cs="仿宋"/>
          <w:color w:val="auto"/>
        </w:rPr>
        <w:t>.4采购人或者采购机构应当在收到供应商的书面质疑后2日内作出答复，并以书面形式通知质疑供应商和其他与质疑处理结果有利害关系的采购当事人，但答复的内容不得涉及商业秘密。</w:t>
      </w:r>
    </w:p>
    <w:p w14:paraId="2D4293BB">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lang w:val="zh-CN"/>
        </w:rPr>
        <w:t>3.2</w:t>
      </w:r>
      <w:r>
        <w:rPr>
          <w:rFonts w:hint="eastAsia" w:ascii="仿宋" w:hAnsi="仿宋" w:eastAsia="仿宋" w:cs="仿宋"/>
          <w:color w:val="auto"/>
        </w:rPr>
        <w:t>.5询问或者质疑事项可能影响采购结果的，采购人应当暂停签订合同，已经签订合同的，应当中止履行合同。</w:t>
      </w:r>
    </w:p>
    <w:p w14:paraId="5EC149B5">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3.3供应商投诉</w:t>
      </w:r>
    </w:p>
    <w:p w14:paraId="0EFE61D3">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3.3.1质疑供应商对采购人、采购机构的答复不满意或者采购人、采购机构未在规定的时间内作出答复的，可以在答复期满后十五个工作日内向</w:t>
      </w:r>
      <w:r>
        <w:rPr>
          <w:rFonts w:hint="eastAsia" w:ascii="仿宋" w:hAnsi="仿宋" w:eastAsia="仿宋" w:cs="仿宋"/>
          <w:color w:val="auto"/>
          <w:lang w:val="en-US" w:eastAsia="zh-CN"/>
        </w:rPr>
        <w:t>上级</w:t>
      </w:r>
      <w:r>
        <w:rPr>
          <w:rFonts w:hint="eastAsia" w:ascii="仿宋" w:hAnsi="仿宋" w:eastAsia="仿宋" w:cs="仿宋"/>
          <w:color w:val="auto"/>
        </w:rPr>
        <w:t>管理部门提出投诉。</w:t>
      </w:r>
    </w:p>
    <w:p w14:paraId="689CCBC7">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3.3.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7517B9BE">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3.3.3供应商投诉应当有明确的请求和必要的证明材料。</w:t>
      </w:r>
    </w:p>
    <w:p w14:paraId="66E604C3">
      <w:pPr>
        <w:pStyle w:val="130"/>
        <w:snapToGrid w:val="0"/>
        <w:spacing w:before="0"/>
        <w:ind w:firstLine="360"/>
        <w:rPr>
          <w:rFonts w:hint="eastAsia" w:ascii="仿宋" w:hAnsi="仿宋" w:eastAsia="仿宋" w:cs="仿宋"/>
          <w:color w:val="auto"/>
          <w:sz w:val="18"/>
          <w:szCs w:val="18"/>
        </w:rPr>
      </w:pPr>
    </w:p>
    <w:p w14:paraId="588AE76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二、交易文件的构成、澄清、修改</w:t>
      </w:r>
    </w:p>
    <w:p w14:paraId="37AAE076">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4．交易文件的构成</w:t>
      </w:r>
    </w:p>
    <w:p w14:paraId="62BFD6C2">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交易文件包括下列文件及附件：</w:t>
      </w:r>
    </w:p>
    <w:p w14:paraId="4F40507F">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4.1.1交易公告；</w:t>
      </w:r>
    </w:p>
    <w:p w14:paraId="23B5087D">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4.1.2供应商须知；</w:t>
      </w:r>
    </w:p>
    <w:p w14:paraId="55A80417">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4.1.3采购需求；</w:t>
      </w:r>
    </w:p>
    <w:p w14:paraId="4C4F0A0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4.1.4评审办法；</w:t>
      </w:r>
    </w:p>
    <w:p w14:paraId="0DB85191">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4.1.5拟签订的合同文本；</w:t>
      </w:r>
    </w:p>
    <w:p w14:paraId="292FEB3B">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4.1.6</w:t>
      </w:r>
      <w:r>
        <w:rPr>
          <w:rFonts w:hint="eastAsia" w:ascii="仿宋" w:hAnsi="仿宋" w:eastAsia="仿宋" w:cs="仿宋"/>
          <w:color w:val="auto"/>
          <w:sz w:val="24"/>
          <w:szCs w:val="24"/>
        </w:rPr>
        <w:t>应提交的有关格式范例。</w:t>
      </w:r>
    </w:p>
    <w:p w14:paraId="65CC49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4.2与本项目有关的</w:t>
      </w:r>
      <w:r>
        <w:rPr>
          <w:rFonts w:hint="eastAsia" w:ascii="仿宋" w:hAnsi="仿宋" w:eastAsia="仿宋" w:cs="仿宋"/>
          <w:bCs/>
          <w:color w:val="auto"/>
          <w:sz w:val="24"/>
        </w:rPr>
        <w:t>澄清或者修改的内容为交易文件的组成部分</w:t>
      </w:r>
      <w:r>
        <w:rPr>
          <w:rFonts w:hint="eastAsia" w:ascii="仿宋" w:hAnsi="仿宋" w:eastAsia="仿宋" w:cs="仿宋"/>
          <w:color w:val="auto"/>
          <w:sz w:val="24"/>
        </w:rPr>
        <w:t>。</w:t>
      </w:r>
    </w:p>
    <w:p w14:paraId="5185BBC1">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 交易文件的澄清、修改</w:t>
      </w:r>
    </w:p>
    <w:p w14:paraId="7E3BA1CA">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5.1已获取交易文件的潜在供应商，若有问题需要澄清，应于交易截止时间前，以书面形式向采购机构提出。</w:t>
      </w:r>
    </w:p>
    <w:p w14:paraId="0F30A25C">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E5A0A43">
      <w:pPr>
        <w:pStyle w:val="24"/>
        <w:rPr>
          <w:rFonts w:hint="eastAsia" w:ascii="仿宋" w:hAnsi="仿宋" w:eastAsia="仿宋" w:cs="仿宋"/>
          <w:color w:val="auto"/>
          <w:sz w:val="18"/>
          <w:szCs w:val="18"/>
          <w:lang w:val="en-US"/>
        </w:rPr>
      </w:pPr>
    </w:p>
    <w:p w14:paraId="5CDD47FB">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三、交易</w:t>
      </w:r>
    </w:p>
    <w:p w14:paraId="7153FCF8">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 交易文件的获取</w:t>
      </w:r>
    </w:p>
    <w:p w14:paraId="0C757DCC">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11D77D53">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5E606080">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采购人组织潜在供应商现场考察或者召开交易前答疑会的，潜在供应商按第二部分供应商须知前附表的规定参加现场考察或者交易前答疑会。</w:t>
      </w:r>
    </w:p>
    <w:p w14:paraId="0C8CCE63">
      <w:pPr>
        <w:pStyle w:val="32"/>
        <w:spacing w:line="360" w:lineRule="auto"/>
        <w:ind w:firstLine="482" w:firstLineChars="200"/>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5675BFD0">
      <w:pPr>
        <w:pStyle w:val="32"/>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color w:val="auto"/>
          <w:sz w:val="24"/>
          <w:szCs w:val="20"/>
        </w:rPr>
        <w:t>不收取</w:t>
      </w:r>
    </w:p>
    <w:p w14:paraId="29FC4C02">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14BE97E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5D4C33C4">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5D14CCD8">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10.1资格文件：</w:t>
      </w:r>
    </w:p>
    <w:p w14:paraId="2C7E5B0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6F045388">
      <w:pPr>
        <w:pStyle w:val="3"/>
        <w:rPr>
          <w:rFonts w:hint="eastAsia" w:ascii="仿宋" w:hAnsi="仿宋" w:eastAsia="仿宋" w:cs="仿宋"/>
          <w:color w:val="auto"/>
        </w:rPr>
      </w:pPr>
      <w:r>
        <w:rPr>
          <w:rFonts w:hint="eastAsia" w:ascii="仿宋" w:hAnsi="仿宋" w:eastAsia="仿宋" w:cs="仿宋"/>
          <w:color w:val="auto"/>
        </w:rPr>
        <w:t>10.1.2落实采购政策需满足的资格要求</w:t>
      </w:r>
      <w:r>
        <w:rPr>
          <w:rFonts w:hint="eastAsia" w:ascii="仿宋" w:hAnsi="仿宋" w:eastAsia="仿宋" w:cs="仿宋"/>
          <w:b/>
          <w:bCs/>
          <w:color w:val="auto"/>
          <w:sz w:val="24"/>
          <w:highlight w:val="none"/>
        </w:rPr>
        <w:t>（本项目不适用）</w:t>
      </w:r>
      <w:r>
        <w:rPr>
          <w:rFonts w:hint="eastAsia" w:ascii="仿宋" w:hAnsi="仿宋" w:eastAsia="仿宋" w:cs="仿宋"/>
          <w:color w:val="auto"/>
        </w:rPr>
        <w:t>；</w:t>
      </w:r>
    </w:p>
    <w:p w14:paraId="0BEC5D76">
      <w:pPr>
        <w:pStyle w:val="61"/>
        <w:autoSpaceDE/>
        <w:autoSpaceDN/>
        <w:ind w:firstLine="960" w:firstLineChars="400"/>
        <w:rPr>
          <w:rFonts w:hint="eastAsia" w:ascii="仿宋" w:hAnsi="仿宋" w:eastAsia="仿宋" w:cs="仿宋"/>
          <w:color w:val="auto"/>
        </w:rPr>
      </w:pPr>
      <w:r>
        <w:rPr>
          <w:rFonts w:hint="eastAsia" w:ascii="仿宋" w:hAnsi="仿宋" w:eastAsia="仿宋" w:cs="仿宋"/>
          <w:color w:val="auto"/>
        </w:rPr>
        <w:t>10.1.</w:t>
      </w:r>
      <w:r>
        <w:rPr>
          <w:rFonts w:hint="eastAsia" w:ascii="仿宋" w:hAnsi="仿宋" w:eastAsia="仿宋" w:cs="仿宋"/>
          <w:color w:val="auto"/>
          <w:lang w:val="en-US"/>
        </w:rPr>
        <w:t>3</w:t>
      </w:r>
      <w:r>
        <w:rPr>
          <w:rFonts w:hint="eastAsia" w:ascii="仿宋" w:hAnsi="仿宋" w:eastAsia="仿宋" w:cs="仿宋"/>
          <w:color w:val="auto"/>
        </w:rPr>
        <w:t>本项目的特定资格要求</w:t>
      </w:r>
      <w:r>
        <w:rPr>
          <w:rFonts w:hint="eastAsia" w:ascii="仿宋" w:hAnsi="仿宋" w:eastAsia="仿宋" w:cs="仿宋"/>
          <w:color w:val="auto"/>
          <w:lang w:eastAsia="zh-CN"/>
        </w:rPr>
        <w:t>（如果有）</w:t>
      </w:r>
      <w:r>
        <w:rPr>
          <w:rFonts w:hint="eastAsia" w:ascii="仿宋" w:hAnsi="仿宋" w:eastAsia="仿宋" w:cs="仿宋"/>
          <w:color w:val="auto"/>
        </w:rPr>
        <w:t>。</w:t>
      </w:r>
    </w:p>
    <w:p w14:paraId="47DAFBEA">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w:t>
      </w:r>
      <w:r>
        <w:rPr>
          <w:rFonts w:hint="eastAsia" w:ascii="仿宋" w:hAnsi="仿宋" w:eastAsia="仿宋" w:cs="仿宋"/>
          <w:b/>
          <w:bCs/>
          <w:color w:val="auto"/>
          <w:sz w:val="24"/>
        </w:rPr>
        <w:t>0</w:t>
      </w:r>
      <w:r>
        <w:rPr>
          <w:rFonts w:hint="eastAsia" w:ascii="仿宋" w:hAnsi="仿宋" w:eastAsia="仿宋" w:cs="仿宋"/>
          <w:b/>
          <w:bCs/>
          <w:color w:val="auto"/>
          <w:sz w:val="24"/>
          <w:lang w:val="zh-CN"/>
        </w:rPr>
        <w:t>.</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14:paraId="1D45E74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10.2.1响应函；</w:t>
      </w:r>
    </w:p>
    <w:p w14:paraId="5DDCA40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51D595D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2C1283D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4</w:t>
      </w:r>
      <w:r>
        <w:rPr>
          <w:rFonts w:hint="eastAsia" w:ascii="仿宋" w:hAnsi="仿宋" w:eastAsia="仿宋" w:cs="仿宋"/>
          <w:color w:val="auto"/>
          <w:sz w:val="24"/>
        </w:rPr>
        <w:t>评审标准相应的商务技术资料；</w:t>
      </w:r>
    </w:p>
    <w:p w14:paraId="096E4B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6</w:t>
      </w:r>
      <w:r>
        <w:rPr>
          <w:rFonts w:hint="eastAsia" w:ascii="仿宋" w:hAnsi="仿宋" w:eastAsia="仿宋" w:cs="仿宋"/>
          <w:color w:val="auto"/>
          <w:sz w:val="24"/>
        </w:rPr>
        <w:t>交易标的清单；</w:t>
      </w:r>
    </w:p>
    <w:p w14:paraId="603125F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2D28168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采购供应商廉洁自律承诺书；</w:t>
      </w:r>
    </w:p>
    <w:p w14:paraId="27D65F40">
      <w:pPr>
        <w:snapToGrid w:val="0"/>
        <w:spacing w:line="360" w:lineRule="auto"/>
        <w:ind w:firstLine="482" w:firstLineChars="200"/>
        <w:rPr>
          <w:rFonts w:hint="eastAsia" w:ascii="仿宋" w:hAnsi="仿宋" w:eastAsia="仿宋" w:cs="仿宋"/>
          <w:b/>
          <w:bCs/>
          <w:color w:val="auto"/>
          <w:sz w:val="24"/>
          <w:u w:val="single"/>
          <w:lang w:val="zh-CN"/>
        </w:rPr>
      </w:pPr>
      <w:r>
        <w:rPr>
          <w:rFonts w:hint="eastAsia" w:ascii="仿宋" w:hAnsi="仿宋" w:eastAsia="仿宋" w:cs="仿宋"/>
          <w:b/>
          <w:bCs/>
          <w:color w:val="auto"/>
          <w:kern w:val="0"/>
          <w:sz w:val="24"/>
          <w:lang w:val="zh-CN"/>
        </w:rPr>
        <w:t>1</w:t>
      </w:r>
      <w:r>
        <w:rPr>
          <w:rFonts w:hint="eastAsia" w:ascii="仿宋" w:hAnsi="仿宋" w:eastAsia="仿宋" w:cs="仿宋"/>
          <w:b/>
          <w:bCs/>
          <w:color w:val="auto"/>
          <w:kern w:val="0"/>
          <w:sz w:val="24"/>
        </w:rPr>
        <w:t>0</w:t>
      </w:r>
      <w:r>
        <w:rPr>
          <w:rFonts w:hint="eastAsia" w:ascii="仿宋" w:hAnsi="仿宋" w:eastAsia="仿宋" w:cs="仿宋"/>
          <w:b/>
          <w:bCs/>
          <w:color w:val="auto"/>
          <w:kern w:val="0"/>
          <w:sz w:val="24"/>
          <w:lang w:val="zh-CN"/>
        </w:rPr>
        <w:t>.</w:t>
      </w:r>
      <w:r>
        <w:rPr>
          <w:rFonts w:hint="eastAsia" w:ascii="仿宋" w:hAnsi="仿宋" w:eastAsia="仿宋" w:cs="仿宋"/>
          <w:b/>
          <w:bCs/>
          <w:color w:val="auto"/>
          <w:kern w:val="0"/>
          <w:sz w:val="24"/>
        </w:rPr>
        <w:t>3</w:t>
      </w:r>
      <w:r>
        <w:rPr>
          <w:rFonts w:hint="eastAsia" w:ascii="仿宋" w:hAnsi="仿宋" w:eastAsia="仿宋" w:cs="仿宋"/>
          <w:b/>
          <w:bCs/>
          <w:color w:val="auto"/>
          <w:sz w:val="24"/>
        </w:rPr>
        <w:t xml:space="preserve">报价文件： </w:t>
      </w:r>
    </w:p>
    <w:p w14:paraId="44FCF41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098BE7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.3.2报价情况说明（如供应商报价低于项目预算50%的，应当提交本文档，详细阐述不影响产品质量或者诚信履约的具体原因）；</w:t>
      </w:r>
    </w:p>
    <w:p w14:paraId="6E5B396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.3.3供应商针对报价需要说明的其他文件和资料（格式自拟）。</w:t>
      </w:r>
    </w:p>
    <w:p w14:paraId="1F0CF44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响应文件含有采购人不能接受的附加条件的，交易无效；</w:t>
      </w:r>
    </w:p>
    <w:p w14:paraId="4610120B">
      <w:pPr>
        <w:spacing w:line="360" w:lineRule="auto"/>
        <w:ind w:firstLine="482" w:firstLineChars="200"/>
        <w:rPr>
          <w:rFonts w:hint="eastAsia" w:ascii="仿宋" w:hAnsi="仿宋" w:eastAsia="仿宋" w:cs="仿宋"/>
          <w:b/>
          <w:color w:val="auto"/>
          <w:sz w:val="24"/>
          <w:szCs w:val="21"/>
        </w:rPr>
      </w:pPr>
      <w:r>
        <w:rPr>
          <w:rFonts w:hint="eastAsia" w:ascii="仿宋" w:hAnsi="仿宋" w:eastAsia="仿宋" w:cs="仿宋"/>
          <w:b/>
          <w:color w:val="auto"/>
          <w:sz w:val="24"/>
        </w:rPr>
        <w:t>供应商提供虚假材料交易的，交易无效。</w:t>
      </w:r>
    </w:p>
    <w:p w14:paraId="7D6B014B">
      <w:pPr>
        <w:pStyle w:val="130"/>
        <w:snapToGrid w:val="0"/>
        <w:spacing w:before="0"/>
        <w:ind w:firstLine="482"/>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响应文件的编制</w:t>
      </w:r>
    </w:p>
    <w:p w14:paraId="71CEB828">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A6BA495">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1822A654">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.3使用“乐采云(萧采云)电子交易客户端”需要提前申领CA数字证书，申领流程请自行前往“浙江政府采购网-下载专区-电子交易客户端-CA驱动和申领流程”进行查阅。</w:t>
      </w:r>
    </w:p>
    <w:p w14:paraId="46409DD7">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6C2C67B8">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▲供应商的响应文件未按照交易文件要求签署、盖章的，其交易无效</w:t>
      </w:r>
      <w:r>
        <w:rPr>
          <w:rFonts w:hint="eastAsia" w:ascii="仿宋" w:hAnsi="仿宋" w:eastAsia="仿宋" w:cs="仿宋"/>
          <w:color w:val="auto"/>
          <w:szCs w:val="24"/>
        </w:rPr>
        <w:t>。</w:t>
      </w:r>
    </w:p>
    <w:p w14:paraId="32A19720">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12.2为确保网上操作合法、有效和安全，供应商应当在交易截止时间前完成在“政府采购云平台”的身份认证，确保在电子交易（投标）过程中能够对相关数据电文进行加密和使用电子签名。</w:t>
      </w:r>
    </w:p>
    <w:p w14:paraId="31225C79">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664ADA14">
      <w:pPr>
        <w:pStyle w:val="13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0D7464EC">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701160D">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13.2电子交易平台收到响应文件，将妥善保存并及时向供应商发出确认回执通知。在交易截止时间前，除供应商补充、修改或者撤回响应文件外，任何单位和个人不得解密或提取响应文件。</w:t>
      </w:r>
    </w:p>
    <w:p w14:paraId="36CFDA82">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13.3采购人、采购机构可以视情况延长响应文件提交的截止时间。在上述情况下，采购机构与供应商以前在交易截止期方面的全部权利、责任和义务，将适用于延长至新的交易截止期。</w:t>
      </w:r>
    </w:p>
    <w:p w14:paraId="7594A7DC">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14.备份响应文件</w:t>
      </w:r>
    </w:p>
    <w:p w14:paraId="1E0DB7DC">
      <w:pPr>
        <w:pStyle w:val="32"/>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本项目不收取备份响应文件</w:t>
      </w:r>
    </w:p>
    <w:p w14:paraId="36436538">
      <w:pPr>
        <w:pStyle w:val="13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68B1A471">
      <w:pPr>
        <w:pStyle w:val="16"/>
        <w:spacing w:line="360" w:lineRule="auto"/>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3851CB39">
      <w:pPr>
        <w:pStyle w:val="13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16.交易有效期</w:t>
      </w:r>
    </w:p>
    <w:p w14:paraId="297A58DE">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16.1交易有效期为从提交响应文件的截止之日起90天。▲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诺的交易有效期少于交易文件中载明的交易有效期的，交易无效。</w:t>
      </w:r>
    </w:p>
    <w:p w14:paraId="728F9B69">
      <w:pPr>
        <w:pStyle w:val="130"/>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16.2响应文件合格投递后，自交易截止日期起，在交易有效期内有效。</w:t>
      </w:r>
    </w:p>
    <w:p w14:paraId="275E1B45">
      <w:pPr>
        <w:pStyle w:val="130"/>
        <w:spacing w:before="0"/>
        <w:ind w:firstLine="480"/>
        <w:rPr>
          <w:rFonts w:hint="eastAsia" w:ascii="仿宋" w:hAnsi="仿宋" w:eastAsia="仿宋" w:cs="仿宋"/>
          <w:color w:val="auto"/>
        </w:rPr>
      </w:pPr>
      <w:r>
        <w:rPr>
          <w:rFonts w:hint="eastAsia" w:ascii="仿宋" w:hAnsi="仿宋" w:eastAsia="仿宋" w:cs="仿宋"/>
          <w:color w:val="auto"/>
        </w:rPr>
        <w:t>16.3在原定交易有效期满之前，如果出现特殊情况，采购机构可以以书面形式通知供应商延长交易有效期。供应商同意延长的，不得要求或被允许修改其响应文件，供应商拒绝延长的，其交易无效。</w:t>
      </w:r>
    </w:p>
    <w:p w14:paraId="3C65F442">
      <w:pPr>
        <w:pStyle w:val="130"/>
        <w:spacing w:before="0"/>
        <w:ind w:firstLine="643"/>
        <w:rPr>
          <w:rFonts w:hint="eastAsia" w:ascii="仿宋" w:hAnsi="仿宋" w:eastAsia="仿宋" w:cs="仿宋"/>
          <w:b/>
          <w:color w:val="auto"/>
          <w:sz w:val="32"/>
        </w:rPr>
      </w:pPr>
    </w:p>
    <w:p w14:paraId="40915F5F">
      <w:pPr>
        <w:pStyle w:val="130"/>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四、交易、资格审查</w:t>
      </w:r>
    </w:p>
    <w:p w14:paraId="483B3C5E">
      <w:pPr>
        <w:pStyle w:val="556"/>
        <w:spacing w:before="0" w:line="360" w:lineRule="auto"/>
        <w:ind w:left="0" w:firstLine="482" w:firstLineChars="200"/>
        <w:contextualSpacing/>
        <w:rPr>
          <w:rFonts w:hint="eastAsia" w:ascii="仿宋" w:hAnsi="仿宋" w:eastAsia="仿宋" w:cs="仿宋"/>
          <w:color w:val="auto"/>
          <w:sz w:val="24"/>
        </w:rPr>
      </w:pPr>
      <w:r>
        <w:rPr>
          <w:rFonts w:hint="eastAsia" w:ascii="仿宋" w:hAnsi="仿宋" w:eastAsia="仿宋" w:cs="仿宋"/>
          <w:b/>
          <w:color w:val="auto"/>
          <w:sz w:val="24"/>
          <w:szCs w:val="24"/>
        </w:rPr>
        <w:t>17.交易</w:t>
      </w:r>
    </w:p>
    <w:p w14:paraId="174B4432">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17.1采购机构按照交易文件规定的时间通过电子交易平台组织开标，所有供应商均应当准时在线参加。供应商不足3家的，不得交易。</w:t>
      </w:r>
    </w:p>
    <w:p w14:paraId="5A950A5E">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17.2交易时，电子交易平台按交易时间自动提取所有响应文件。采购机构依托电子交易平台发起开始解密指令，供应商按照平台提示和交易文件的规定在半小时内完成在线解密。</w:t>
      </w:r>
    </w:p>
    <w:p w14:paraId="3A9D4804">
      <w:pPr>
        <w:pStyle w:val="556"/>
        <w:spacing w:before="0" w:line="360" w:lineRule="auto"/>
        <w:ind w:left="0"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17.3</w:t>
      </w:r>
      <w:r>
        <w:rPr>
          <w:rFonts w:hint="eastAsia" w:ascii="仿宋" w:hAnsi="仿宋" w:eastAsia="仿宋" w:cs="仿宋"/>
          <w:b/>
          <w:color w:val="auto"/>
          <w:sz w:val="24"/>
        </w:rPr>
        <w:t>响应文件未按时解密，供应商提供了备份响应文件的，以备份响应文件作为依据，否则视为响应文件撤回。响应文件已按时解密的，备份响应文件自动失效。</w:t>
      </w:r>
    </w:p>
    <w:p w14:paraId="4603525F">
      <w:pPr>
        <w:pStyle w:val="556"/>
        <w:spacing w:before="0" w:line="360" w:lineRule="auto"/>
        <w:ind w:left="0" w:firstLine="482" w:firstLineChars="200"/>
        <w:contextualSpacing/>
        <w:rPr>
          <w:rFonts w:hint="eastAsia" w:ascii="仿宋" w:hAnsi="仿宋" w:eastAsia="仿宋" w:cs="仿宋"/>
          <w:b/>
          <w:color w:val="auto"/>
          <w:sz w:val="24"/>
        </w:rPr>
      </w:pPr>
      <w:r>
        <w:rPr>
          <w:rFonts w:hint="eastAsia" w:ascii="仿宋" w:hAnsi="仿宋" w:eastAsia="仿宋" w:cs="仿宋"/>
          <w:b/>
          <w:color w:val="auto"/>
          <w:sz w:val="24"/>
        </w:rPr>
        <w:t>18、资格审查</w:t>
      </w:r>
    </w:p>
    <w:p w14:paraId="1D426C67">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18.1交易后，采购人或采购机构将依法对供应商的资格进行审查。</w:t>
      </w:r>
    </w:p>
    <w:p w14:paraId="0F13CB58">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18.2采购人或采购机构依据法律法规和交易文件的规定，对供应商的基本资格条件、特定资格条件进行审查。</w:t>
      </w:r>
    </w:p>
    <w:p w14:paraId="634A3FEC">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18.3供应商未按照交易文件要求提供与基本资格条件、特定资格条件相应的有效资格证明材料的，视为供应商不具备交易文件中规定的资格要求，其响应无效。</w:t>
      </w:r>
    </w:p>
    <w:p w14:paraId="16359C8C">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18.4对未通过资格审查的供应商，采购人或采购机构告知其未通过的原因。</w:t>
      </w:r>
    </w:p>
    <w:p w14:paraId="6A1C3421">
      <w:pPr>
        <w:pStyle w:val="556"/>
        <w:spacing w:before="0" w:line="360" w:lineRule="auto"/>
        <w:ind w:left="0" w:firstLine="480" w:firstLineChars="200"/>
        <w:contextualSpacing/>
        <w:rPr>
          <w:rFonts w:hint="eastAsia" w:ascii="仿宋" w:hAnsi="仿宋" w:eastAsia="仿宋" w:cs="仿宋"/>
          <w:color w:val="auto"/>
          <w:szCs w:val="24"/>
        </w:rPr>
      </w:pPr>
      <w:r>
        <w:rPr>
          <w:rFonts w:hint="eastAsia" w:ascii="仿宋" w:hAnsi="仿宋" w:eastAsia="仿宋" w:cs="仿宋"/>
          <w:color w:val="auto"/>
          <w:sz w:val="24"/>
          <w:szCs w:val="22"/>
        </w:rPr>
        <w:t>18.5合格供应商不足3家的，不再评标。</w:t>
      </w:r>
    </w:p>
    <w:p w14:paraId="1C54CD84">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14:paraId="716DBD92">
      <w:pPr>
        <w:spacing w:line="360" w:lineRule="auto"/>
        <w:ind w:firstLine="482" w:firstLineChars="200"/>
        <w:rPr>
          <w:rFonts w:hint="eastAsia" w:ascii="仿宋" w:hAnsi="仿宋" w:eastAsia="仿宋" w:cs="仿宋"/>
          <w:b/>
          <w:color w:val="auto"/>
          <w:sz w:val="24"/>
        </w:rPr>
      </w:pPr>
      <w:bookmarkStart w:id="16" w:name="_Toc91899903"/>
      <w:r>
        <w:rPr>
          <w:rFonts w:hint="eastAsia" w:ascii="仿宋" w:hAnsi="仿宋" w:eastAsia="仿宋" w:cs="仿宋"/>
          <w:b/>
          <w:color w:val="auto"/>
          <w:sz w:val="24"/>
        </w:rPr>
        <w:t>19.</w:t>
      </w:r>
      <w:r>
        <w:rPr>
          <w:rFonts w:hint="eastAsia" w:ascii="仿宋" w:hAnsi="仿宋" w:eastAsia="仿宋" w:cs="仿宋"/>
          <w:color w:val="auto"/>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rPr>
        <w:t>详见交易文件第四部分评标办法。</w:t>
      </w:r>
    </w:p>
    <w:p w14:paraId="3DE2FA07">
      <w:pPr>
        <w:spacing w:line="360" w:lineRule="auto"/>
        <w:rPr>
          <w:rFonts w:hint="eastAsia" w:ascii="仿宋" w:hAnsi="仿宋" w:eastAsia="仿宋" w:cs="仿宋"/>
          <w:b/>
          <w:color w:val="auto"/>
          <w:sz w:val="24"/>
        </w:rPr>
      </w:pPr>
    </w:p>
    <w:p w14:paraId="3E12A4A4">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2DED98FD">
      <w:pPr>
        <w:pStyle w:val="16"/>
        <w:spacing w:line="360" w:lineRule="auto"/>
        <w:ind w:left="479" w:leftChars="228" w:firstLine="0" w:firstLineChars="0"/>
        <w:rPr>
          <w:rFonts w:hint="eastAsia" w:ascii="仿宋" w:hAnsi="仿宋" w:eastAsia="仿宋" w:cs="仿宋"/>
          <w:b/>
          <w:color w:val="auto"/>
        </w:rPr>
      </w:pPr>
      <w:r>
        <w:rPr>
          <w:rFonts w:hint="eastAsia" w:ascii="仿宋" w:hAnsi="仿宋" w:eastAsia="仿宋" w:cs="仿宋"/>
          <w:b/>
          <w:color w:val="auto"/>
        </w:rPr>
        <w:t>20. 确定成交供应商</w:t>
      </w:r>
    </w:p>
    <w:p w14:paraId="5ADEA3F0">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采购人将自收到评审报告之日起5个工作日内通过电子交易平台在评审报告推荐的成交候选人中按顺序确定成交供应商。</w:t>
      </w:r>
    </w:p>
    <w:p w14:paraId="4A1B0D0C">
      <w:pPr>
        <w:pStyle w:val="130"/>
        <w:snapToGrid w:val="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21. 成交通知与成交结果公告</w:t>
      </w:r>
    </w:p>
    <w:p w14:paraId="319F0EE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21.1自成交人确定之日起2个工作日内，采购机构通过电子交易平台向成交人发出成交通知书，同时编制发布采购结果公告。采购机构也可以以纸质形式进行成交通知。</w:t>
      </w:r>
    </w:p>
    <w:p w14:paraId="4D0F0ECA">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21.2成交结果公告内容包括采购人及其委托的采购机构的名称、地址、联系方式，项目名称和项目编号，成交人名称、地址和成交金额，主要成交标的的名称、规格型号、数量、单价、服务要求。</w:t>
      </w:r>
    </w:p>
    <w:p w14:paraId="4D7614E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21.3公告期限为1个工作日。</w:t>
      </w:r>
    </w:p>
    <w:p w14:paraId="093600F0">
      <w:pPr>
        <w:snapToGrid w:val="0"/>
        <w:spacing w:line="360" w:lineRule="auto"/>
        <w:ind w:left="120" w:leftChars="57" w:firstLine="482" w:firstLineChars="150"/>
        <w:jc w:val="center"/>
        <w:rPr>
          <w:rFonts w:hint="eastAsia" w:ascii="仿宋" w:hAnsi="仿宋" w:eastAsia="仿宋" w:cs="仿宋"/>
          <w:b/>
          <w:color w:val="auto"/>
          <w:sz w:val="32"/>
        </w:rPr>
      </w:pPr>
    </w:p>
    <w:p w14:paraId="2C59D35F">
      <w:pPr>
        <w:snapToGrid w:val="0"/>
        <w:spacing w:line="360" w:lineRule="auto"/>
        <w:ind w:left="120" w:leftChars="57" w:firstLine="482" w:firstLineChars="150"/>
        <w:jc w:val="center"/>
        <w:rPr>
          <w:rFonts w:hint="eastAsia" w:ascii="仿宋" w:hAnsi="仿宋" w:eastAsia="仿宋" w:cs="仿宋"/>
          <w:b/>
          <w:color w:val="auto"/>
        </w:rPr>
      </w:pPr>
      <w:r>
        <w:rPr>
          <w:rFonts w:hint="eastAsia" w:ascii="仿宋" w:hAnsi="仿宋" w:eastAsia="仿宋" w:cs="仿宋"/>
          <w:b/>
          <w:color w:val="auto"/>
          <w:sz w:val="32"/>
        </w:rPr>
        <w:t>七、合同授予</w:t>
      </w:r>
    </w:p>
    <w:p w14:paraId="2D570B91">
      <w:pPr>
        <w:pStyle w:val="16"/>
        <w:spacing w:line="360" w:lineRule="auto"/>
        <w:ind w:left="479" w:leftChars="228" w:firstLine="0" w:firstLineChars="0"/>
        <w:rPr>
          <w:rFonts w:hint="eastAsia" w:ascii="仿宋" w:hAnsi="仿宋" w:eastAsia="仿宋" w:cs="仿宋"/>
          <w:b/>
          <w:color w:val="auto"/>
        </w:rPr>
      </w:pPr>
      <w:r>
        <w:rPr>
          <w:rFonts w:hint="eastAsia" w:ascii="仿宋" w:hAnsi="仿宋" w:eastAsia="仿宋" w:cs="仿宋"/>
          <w:b/>
          <w:color w:val="auto"/>
        </w:rPr>
        <w:t>22. 合同的签订</w:t>
      </w:r>
    </w:p>
    <w:p w14:paraId="0713DF01">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22.1</w:t>
      </w:r>
      <w:r>
        <w:rPr>
          <w:rFonts w:hint="eastAsia" w:ascii="仿宋" w:hAnsi="仿宋" w:eastAsia="仿宋" w:cs="仿宋"/>
          <w:color w:val="auto"/>
          <w:kern w:val="0"/>
          <w:sz w:val="24"/>
        </w:rPr>
        <w:t xml:space="preserve"> 采购人与成交人应当通过电子交易平台在成交通知书发出之日起三十日内，按照交易文件确定的事项签订采购合同。</w:t>
      </w:r>
    </w:p>
    <w:p w14:paraId="3BBB9B2A">
      <w:pPr>
        <w:widowControl/>
        <w:shd w:val="clear" w:color="auto" w:fill="FFFFFF"/>
        <w:spacing w:line="360" w:lineRule="auto"/>
        <w:ind w:firstLine="480"/>
        <w:jc w:val="left"/>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2</w:t>
      </w:r>
      <w:r>
        <w:rPr>
          <w:rFonts w:hint="eastAsia" w:ascii="仿宋" w:hAnsi="仿宋" w:eastAsia="仿宋" w:cs="仿宋"/>
          <w:color w:val="auto"/>
          <w:kern w:val="0"/>
          <w:lang w:val="zh-CN"/>
        </w:rPr>
        <w:t>.2</w:t>
      </w:r>
      <w:r>
        <w:rPr>
          <w:rFonts w:hint="eastAsia" w:ascii="仿宋" w:hAnsi="仿宋" w:eastAsia="仿宋" w:cs="仿宋"/>
          <w:color w:val="auto"/>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4653C8E4">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22.3如签订合同并生效后，供应商无故拒绝或延期，除按照合同条款处理外，列入不良行为记录一次，并给予通报。</w:t>
      </w:r>
    </w:p>
    <w:p w14:paraId="6062DCE3">
      <w:pPr>
        <w:pStyle w:val="130"/>
        <w:snapToGrid w:val="0"/>
        <w:spacing w:before="0"/>
        <w:ind w:firstLine="480"/>
        <w:rPr>
          <w:rFonts w:hint="eastAsia" w:ascii="仿宋" w:hAnsi="仿宋" w:eastAsia="仿宋" w:cs="仿宋"/>
          <w:color w:val="auto"/>
          <w:kern w:val="0"/>
          <w:szCs w:val="24"/>
        </w:rPr>
      </w:pPr>
      <w:r>
        <w:rPr>
          <w:rFonts w:hint="eastAsia" w:ascii="仿宋" w:hAnsi="仿宋" w:eastAsia="仿宋" w:cs="仿宋"/>
          <w:color w:val="auto"/>
        </w:rPr>
        <w:t>22.4成交</w:t>
      </w:r>
      <w:r>
        <w:rPr>
          <w:rFonts w:hint="eastAsia" w:ascii="仿宋" w:hAnsi="仿宋" w:eastAsia="仿宋" w:cs="仿宋"/>
          <w:color w:val="auto"/>
          <w:kern w:val="0"/>
          <w:szCs w:val="24"/>
        </w:rPr>
        <w:t>供应商拒绝与采购人签订合同的，采购人可以按照评审报告推荐的成交或者成交候选人名单排序，确定下一候选人为成交供应商，也可以重新开展采购活动。</w:t>
      </w:r>
    </w:p>
    <w:p w14:paraId="4A7609D2">
      <w:pPr>
        <w:pStyle w:val="130"/>
        <w:snapToGrid w:val="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22.5采购合同由采购人与成交供应商根据交易文件、响应文件等内容通过采购电子交易平台在线签订，自动备案。</w:t>
      </w:r>
    </w:p>
    <w:p w14:paraId="61E81522">
      <w:pPr>
        <w:pStyle w:val="16"/>
        <w:spacing w:line="360" w:lineRule="auto"/>
        <w:ind w:left="479" w:leftChars="228" w:firstLine="0" w:firstLineChars="0"/>
        <w:rPr>
          <w:rFonts w:hint="eastAsia" w:ascii="仿宋" w:hAnsi="仿宋" w:eastAsia="仿宋" w:cs="仿宋"/>
          <w:b/>
          <w:color w:val="auto"/>
        </w:rPr>
      </w:pPr>
      <w:r>
        <w:rPr>
          <w:rFonts w:hint="eastAsia" w:ascii="仿宋" w:hAnsi="仿宋" w:eastAsia="仿宋" w:cs="仿宋"/>
          <w:b/>
          <w:color w:val="auto"/>
        </w:rPr>
        <w:t>23. 履约保证金</w:t>
      </w:r>
    </w:p>
    <w:p w14:paraId="243E0C39">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采购人不得拒收履约保函，项目验收结束后应及时退还。</w:t>
      </w:r>
    </w:p>
    <w:p w14:paraId="36ADA4E2">
      <w:pPr>
        <w:pStyle w:val="59"/>
        <w:rPr>
          <w:rFonts w:hint="eastAsia" w:ascii="仿宋" w:hAnsi="仿宋" w:eastAsia="仿宋" w:cs="仿宋"/>
          <w:color w:val="auto"/>
        </w:rPr>
      </w:pPr>
    </w:p>
    <w:p w14:paraId="14F5796C">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7F07CC52">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Cs/>
          <w:color w:val="auto"/>
          <w:szCs w:val="24"/>
        </w:rPr>
        <w:t>4.</w:t>
      </w:r>
      <w:r>
        <w:rPr>
          <w:rFonts w:hint="eastAsia" w:ascii="仿宋" w:hAnsi="仿宋" w:eastAsia="仿宋" w:cs="仿宋"/>
          <w:b/>
          <w:color w:val="auto"/>
          <w:szCs w:val="24"/>
        </w:rPr>
        <w:t xml:space="preserve">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12323D1C">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24.1电子交易平台发生故障而无法登录访问的； </w:t>
      </w:r>
    </w:p>
    <w:p w14:paraId="0176B7C1">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24.2电子交易平台应用或数据库出现错误，不能进行正常操作的；</w:t>
      </w:r>
    </w:p>
    <w:p w14:paraId="6A49F3C4">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24.3电子交易平台发现严重安全漏洞，有潜在泄密危险的；</w:t>
      </w:r>
    </w:p>
    <w:p w14:paraId="69A460A9">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24.4病毒发作导致不能进行正常操作的； </w:t>
      </w:r>
    </w:p>
    <w:p w14:paraId="0FB08DCB">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24.5其他无法保证电子交易的公平、公正和安全的情况。</w:t>
      </w:r>
    </w:p>
    <w:p w14:paraId="75E456D0">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25.出现以上情形，不影响采购公平、公正性的，采购组织机构可以待上述情形消除后继续组织电子交易活动，也可以决定某些环节以纸质形式进行；影响或可能影响采购公平、公正性的，应当重新采购。</w:t>
      </w:r>
    </w:p>
    <w:p w14:paraId="10A81FAD">
      <w:pPr>
        <w:tabs>
          <w:tab w:val="left" w:pos="0"/>
        </w:tabs>
        <w:spacing w:line="360" w:lineRule="auto"/>
        <w:ind w:firstLine="480"/>
        <w:rPr>
          <w:rFonts w:hint="eastAsia" w:ascii="仿宋" w:hAnsi="仿宋" w:eastAsia="仿宋" w:cs="仿宋"/>
          <w:color w:val="auto"/>
          <w:sz w:val="24"/>
        </w:rPr>
      </w:pPr>
    </w:p>
    <w:p w14:paraId="52CB5C2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2935DDDA">
      <w:pPr>
        <w:pStyle w:val="16"/>
        <w:spacing w:line="360" w:lineRule="auto"/>
        <w:ind w:firstLine="482"/>
        <w:rPr>
          <w:rFonts w:hint="eastAsia" w:ascii="仿宋" w:hAnsi="仿宋" w:eastAsia="仿宋" w:cs="仿宋"/>
          <w:b/>
          <w:color w:val="auto"/>
        </w:rPr>
      </w:pPr>
      <w:r>
        <w:rPr>
          <w:rFonts w:hint="eastAsia" w:ascii="仿宋" w:hAnsi="仿宋" w:eastAsia="仿宋" w:cs="仿宋"/>
          <w:b/>
          <w:color w:val="auto"/>
        </w:rPr>
        <w:t>26.验收</w:t>
      </w:r>
    </w:p>
    <w:bookmarkEnd w:id="14"/>
    <w:bookmarkEnd w:id="15"/>
    <w:bookmarkEnd w:id="16"/>
    <w:p w14:paraId="55D524EC">
      <w:pPr>
        <w:tabs>
          <w:tab w:val="left" w:pos="0"/>
        </w:tabs>
        <w:spacing w:line="360" w:lineRule="auto"/>
        <w:ind w:firstLine="480"/>
        <w:rPr>
          <w:rFonts w:ascii="仿宋" w:hAnsi="仿宋" w:eastAsia="仿宋" w:cs="仿宋"/>
          <w:color w:val="auto"/>
          <w:kern w:val="0"/>
          <w:sz w:val="24"/>
          <w:highlight w:val="none"/>
        </w:rPr>
      </w:pPr>
      <w:bookmarkStart w:id="17" w:name="第四部分"/>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.1采购人组织对供应商履约的验收。验收方成员应当在验收书上签字，并承担相应的法律责任。如果发现与合同中要求不符，供应商须承担由此发生的一切损失和费用，并接受相应的处理。</w:t>
      </w:r>
    </w:p>
    <w:p w14:paraId="31C34337">
      <w:pPr>
        <w:tabs>
          <w:tab w:val="left" w:pos="0"/>
        </w:tabs>
        <w:spacing w:line="360" w:lineRule="auto"/>
        <w:ind w:firstLine="480"/>
        <w:rPr>
          <w:rFonts w:hint="eastAsia" w:ascii="仿宋" w:hAnsi="仿宋" w:eastAsia="仿宋" w:cs="仿宋"/>
          <w:b/>
          <w:color w:val="auto"/>
          <w:sz w:val="36"/>
          <w:szCs w:val="36"/>
        </w:rPr>
      </w:pPr>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严格按照采购合同开展履约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02A2B1">
      <w:pPr>
        <w:spacing w:line="360" w:lineRule="auto"/>
        <w:jc w:val="center"/>
        <w:outlineLvl w:val="0"/>
        <w:rPr>
          <w:rFonts w:hint="eastAsia" w:ascii="仿宋" w:hAnsi="仿宋" w:eastAsia="仿宋" w:cs="仿宋"/>
          <w:b/>
          <w:color w:val="auto"/>
          <w:sz w:val="36"/>
          <w:szCs w:val="36"/>
        </w:rPr>
      </w:pPr>
    </w:p>
    <w:p w14:paraId="69F90DF5">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069623B0">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46F6812E">
      <w:pPr>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属于实质性要求条款的，请用符号“▲”标明，否则属于非实质性要求。</w:t>
      </w:r>
    </w:p>
    <w:p w14:paraId="537C3DEE">
      <w:pPr>
        <w:snapToGrid w:val="0"/>
        <w:spacing w:line="360" w:lineRule="auto"/>
        <w:ind w:firstLine="480"/>
        <w:jc w:val="center"/>
        <w:rPr>
          <w:rFonts w:hint="eastAsia" w:ascii="仿宋" w:hAnsi="仿宋" w:eastAsia="仿宋" w:cs="仿宋"/>
          <w:color w:val="auto"/>
          <w:sz w:val="24"/>
        </w:rPr>
      </w:pPr>
      <w:r>
        <w:rPr>
          <w:rFonts w:hint="eastAsia" w:ascii="仿宋" w:hAnsi="仿宋" w:eastAsia="仿宋" w:cs="仿宋"/>
          <w:color w:val="auto"/>
          <w:sz w:val="24"/>
        </w:rPr>
        <w:t>“★”系产品采购项目中单一产品或核心产品。</w:t>
      </w:r>
    </w:p>
    <w:p w14:paraId="02E3573F">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一、交易一览表</w:t>
      </w:r>
    </w:p>
    <w:p w14:paraId="709D1085">
      <w:pPr>
        <w:pStyle w:val="3"/>
        <w:numPr>
          <w:ilvl w:val="0"/>
          <w:numId w:val="1"/>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4"/>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3125"/>
        <w:gridCol w:w="863"/>
        <w:gridCol w:w="2525"/>
        <w:gridCol w:w="1980"/>
      </w:tblGrid>
      <w:tr w14:paraId="30B9B6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81" w:type="dxa"/>
            <w:noWrap w:val="0"/>
            <w:vAlign w:val="center"/>
          </w:tcPr>
          <w:p w14:paraId="75630A0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125" w:type="dxa"/>
            <w:noWrap w:val="0"/>
            <w:vAlign w:val="center"/>
          </w:tcPr>
          <w:p w14:paraId="70A3638F">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863" w:type="dxa"/>
            <w:noWrap w:val="0"/>
            <w:vAlign w:val="center"/>
          </w:tcPr>
          <w:p w14:paraId="1E2C7E37">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525" w:type="dxa"/>
            <w:noWrap w:val="0"/>
            <w:vAlign w:val="center"/>
          </w:tcPr>
          <w:p w14:paraId="0F198292">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1980" w:type="dxa"/>
            <w:noWrap w:val="0"/>
            <w:vAlign w:val="center"/>
          </w:tcPr>
          <w:p w14:paraId="67F29CAA">
            <w:pPr>
              <w:shd w:val="clear"/>
              <w:spacing w:line="360" w:lineRule="auto"/>
              <w:ind w:firstLine="0" w:firstLineChars="0"/>
              <w:jc w:val="center"/>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highlight w:val="none"/>
                <w:lang w:val="en-US" w:eastAsia="zh-CN"/>
              </w:rPr>
              <w:t>备注</w:t>
            </w:r>
          </w:p>
        </w:tc>
      </w:tr>
      <w:tr w14:paraId="7F3B7B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781" w:type="dxa"/>
            <w:noWrap w:val="0"/>
            <w:vAlign w:val="center"/>
          </w:tcPr>
          <w:p w14:paraId="6BF7C79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125" w:type="dxa"/>
            <w:noWrap w:val="0"/>
            <w:vAlign w:val="center"/>
          </w:tcPr>
          <w:p w14:paraId="7B8D5AEB">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★数字式</w:t>
            </w:r>
            <w:r>
              <w:rPr>
                <w:rFonts w:hint="eastAsia" w:ascii="仿宋" w:hAnsi="仿宋" w:eastAsia="仿宋" w:cs="仿宋"/>
                <w:color w:val="auto"/>
                <w:sz w:val="24"/>
                <w:szCs w:val="24"/>
                <w:highlight w:val="none"/>
                <w:lang w:eastAsia="zh-CN"/>
              </w:rPr>
              <w:t xml:space="preserve">数字式心电图机 </w:t>
            </w:r>
          </w:p>
        </w:tc>
        <w:tc>
          <w:tcPr>
            <w:tcW w:w="863" w:type="dxa"/>
            <w:noWrap w:val="0"/>
            <w:vAlign w:val="center"/>
          </w:tcPr>
          <w:p w14:paraId="2E56C54F">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25" w:type="dxa"/>
            <w:vMerge w:val="restart"/>
            <w:noWrap w:val="0"/>
            <w:vAlign w:val="center"/>
          </w:tcPr>
          <w:p w14:paraId="02033393">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签订合同后根据招标方通知</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个工作日内，在招标人指定地点交货安装及设备调试。</w:t>
            </w:r>
          </w:p>
        </w:tc>
        <w:tc>
          <w:tcPr>
            <w:tcW w:w="1980" w:type="dxa"/>
            <w:vMerge w:val="restart"/>
            <w:noWrap w:val="0"/>
            <w:vAlign w:val="center"/>
          </w:tcPr>
          <w:p w14:paraId="5A38CD3D">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所前镇社区卫生服务中心1台</w:t>
            </w:r>
          </w:p>
        </w:tc>
      </w:tr>
      <w:tr w14:paraId="6CC71F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81" w:type="dxa"/>
            <w:shd w:val="clear" w:color="auto" w:fill="auto"/>
            <w:noWrap w:val="0"/>
            <w:vAlign w:val="center"/>
          </w:tcPr>
          <w:p w14:paraId="29E0A902">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3125" w:type="dxa"/>
            <w:shd w:val="clear" w:color="auto" w:fill="auto"/>
            <w:noWrap w:val="0"/>
            <w:vAlign w:val="center"/>
          </w:tcPr>
          <w:p w14:paraId="3C065A2A">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技术资料</w:t>
            </w:r>
          </w:p>
        </w:tc>
        <w:tc>
          <w:tcPr>
            <w:tcW w:w="863" w:type="dxa"/>
            <w:shd w:val="clear" w:color="auto" w:fill="auto"/>
            <w:noWrap w:val="0"/>
            <w:vAlign w:val="center"/>
          </w:tcPr>
          <w:p w14:paraId="30A136C5">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全套</w:t>
            </w:r>
          </w:p>
        </w:tc>
        <w:tc>
          <w:tcPr>
            <w:tcW w:w="2525" w:type="dxa"/>
            <w:vMerge w:val="continue"/>
            <w:noWrap w:val="0"/>
            <w:vAlign w:val="center"/>
          </w:tcPr>
          <w:p w14:paraId="3D198B58">
            <w:pPr>
              <w:shd w:val="clear"/>
              <w:spacing w:line="360" w:lineRule="auto"/>
              <w:ind w:firstLine="0" w:firstLineChars="0"/>
              <w:jc w:val="center"/>
              <w:rPr>
                <w:rFonts w:hint="eastAsia" w:ascii="仿宋" w:hAnsi="仿宋" w:eastAsia="仿宋" w:cs="仿宋"/>
                <w:color w:val="auto"/>
                <w:sz w:val="24"/>
                <w:highlight w:val="none"/>
              </w:rPr>
            </w:pPr>
          </w:p>
        </w:tc>
        <w:tc>
          <w:tcPr>
            <w:tcW w:w="1980" w:type="dxa"/>
            <w:vMerge w:val="continue"/>
            <w:noWrap w:val="0"/>
            <w:vAlign w:val="center"/>
          </w:tcPr>
          <w:p w14:paraId="45F9E23D">
            <w:pPr>
              <w:shd w:val="clear"/>
              <w:spacing w:line="360" w:lineRule="auto"/>
              <w:ind w:firstLine="0" w:firstLineChars="0"/>
              <w:jc w:val="center"/>
              <w:rPr>
                <w:rFonts w:hint="eastAsia" w:ascii="仿宋" w:hAnsi="仿宋" w:eastAsia="仿宋" w:cs="仿宋"/>
                <w:color w:val="auto"/>
                <w:sz w:val="24"/>
                <w:highlight w:val="none"/>
                <w:lang w:val="en-US" w:eastAsia="zh-CN"/>
              </w:rPr>
            </w:pPr>
          </w:p>
        </w:tc>
      </w:tr>
      <w:tr w14:paraId="0A0B84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81" w:type="dxa"/>
            <w:noWrap w:val="0"/>
            <w:vAlign w:val="center"/>
          </w:tcPr>
          <w:p w14:paraId="2A9E227F">
            <w:pPr>
              <w:shd w:val="clea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3988" w:type="dxa"/>
            <w:gridSpan w:val="2"/>
            <w:noWrap w:val="0"/>
            <w:vAlign w:val="center"/>
          </w:tcPr>
          <w:p w14:paraId="4EA3991A">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525" w:type="dxa"/>
            <w:vMerge w:val="continue"/>
            <w:noWrap w:val="0"/>
            <w:vAlign w:val="center"/>
          </w:tcPr>
          <w:p w14:paraId="524E415D">
            <w:pPr>
              <w:shd w:val="clear"/>
              <w:spacing w:line="360" w:lineRule="auto"/>
              <w:jc w:val="center"/>
              <w:rPr>
                <w:rFonts w:hint="eastAsia" w:ascii="仿宋" w:hAnsi="仿宋" w:eastAsia="仿宋" w:cs="仿宋"/>
                <w:color w:val="auto"/>
                <w:highlight w:val="none"/>
              </w:rPr>
            </w:pPr>
          </w:p>
        </w:tc>
        <w:tc>
          <w:tcPr>
            <w:tcW w:w="1980" w:type="dxa"/>
            <w:vMerge w:val="continue"/>
            <w:noWrap w:val="0"/>
            <w:vAlign w:val="center"/>
          </w:tcPr>
          <w:p w14:paraId="67F2CEAC">
            <w:pPr>
              <w:shd w:val="clear"/>
              <w:spacing w:line="360" w:lineRule="auto"/>
              <w:jc w:val="center"/>
              <w:rPr>
                <w:rFonts w:hint="eastAsia" w:ascii="仿宋" w:hAnsi="仿宋" w:eastAsia="仿宋" w:cs="仿宋"/>
                <w:color w:val="auto"/>
                <w:highlight w:val="none"/>
              </w:rPr>
            </w:pPr>
          </w:p>
        </w:tc>
      </w:tr>
    </w:tbl>
    <w:p w14:paraId="73AEFDEF">
      <w:pPr>
        <w:pStyle w:val="3"/>
        <w:numPr>
          <w:ilvl w:val="0"/>
          <w:numId w:val="1"/>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p w14:paraId="1BC8AC65">
      <w:pPr>
        <w:jc w:val="center"/>
        <w:rPr>
          <w:rFonts w:eastAsia="黑体"/>
          <w:b/>
          <w:color w:val="auto"/>
          <w:sz w:val="32"/>
          <w:szCs w:val="32"/>
        </w:rPr>
      </w:pPr>
    </w:p>
    <w:p w14:paraId="3CE92FA6">
      <w:pPr>
        <w:ind w:firstLine="2570" w:firstLineChars="800"/>
        <w:jc w:val="both"/>
        <w:rPr>
          <w:rFonts w:hint="eastAsia" w:ascii="仿宋" w:hAnsi="仿宋" w:eastAsia="仿宋" w:cs="仿宋"/>
          <w:b/>
          <w:color w:val="auto"/>
          <w:sz w:val="32"/>
          <w:szCs w:val="32"/>
        </w:rPr>
      </w:pPr>
      <w:r>
        <w:rPr>
          <w:rFonts w:hint="eastAsia" w:ascii="仿宋" w:hAnsi="仿宋" w:eastAsia="仿宋" w:cs="仿宋"/>
          <w:b/>
          <w:color w:val="auto"/>
          <w:sz w:val="32"/>
          <w:szCs w:val="32"/>
        </w:rPr>
        <w:t>数字式</w:t>
      </w:r>
      <w:r>
        <w:rPr>
          <w:rFonts w:hint="eastAsia" w:ascii="仿宋" w:hAnsi="仿宋" w:eastAsia="仿宋" w:cs="仿宋"/>
          <w:b/>
          <w:color w:val="auto"/>
          <w:sz w:val="32"/>
          <w:szCs w:val="32"/>
          <w:lang w:eastAsia="zh-CN"/>
        </w:rPr>
        <w:t>数字式心电图机</w:t>
      </w:r>
      <w:r>
        <w:rPr>
          <w:rFonts w:hint="eastAsia" w:ascii="仿宋" w:hAnsi="仿宋" w:eastAsia="仿宋" w:cs="仿宋"/>
          <w:b/>
          <w:color w:val="auto"/>
          <w:sz w:val="32"/>
          <w:szCs w:val="32"/>
        </w:rPr>
        <w:t>招标参数</w:t>
      </w:r>
    </w:p>
    <w:p w14:paraId="299F2230">
      <w:pPr>
        <w:spacing w:line="360" w:lineRule="exact"/>
        <w:rPr>
          <w:rFonts w:hint="eastAsia" w:ascii="仿宋" w:hAnsi="仿宋" w:eastAsia="仿宋" w:cs="仿宋"/>
          <w:color w:val="auto"/>
          <w:szCs w:val="21"/>
        </w:rPr>
      </w:pPr>
    </w:p>
    <w:p w14:paraId="0580CCAD">
      <w:pPr>
        <w:pageBreakBefore w:val="0"/>
        <w:kinsoku/>
        <w:wordWrap/>
        <w:overflowPunct/>
        <w:topLinePunct w:val="0"/>
        <w:bidi w:val="0"/>
        <w:snapToGrid/>
        <w:spacing w:line="440" w:lineRule="exact"/>
        <w:textAlignment w:val="auto"/>
        <w:outlineLvl w:val="0"/>
        <w:rPr>
          <w:rFonts w:hint="eastAsia" w:ascii="仿宋" w:hAnsi="仿宋" w:eastAsia="仿宋" w:cs="仿宋"/>
          <w:b/>
          <w:color w:val="auto"/>
          <w:kern w:val="0"/>
          <w:sz w:val="24"/>
          <w:szCs w:val="24"/>
        </w:rPr>
      </w:pPr>
      <w:r>
        <w:rPr>
          <w:rFonts w:hint="eastAsia" w:ascii="仿宋" w:hAnsi="仿宋" w:eastAsia="仿宋" w:cs="仿宋"/>
          <w:b/>
          <w:color w:val="auto"/>
          <w:kern w:val="0"/>
          <w:szCs w:val="21"/>
        </w:rPr>
        <w:t>一、</w:t>
      </w:r>
      <w:r>
        <w:rPr>
          <w:rFonts w:hint="eastAsia" w:ascii="仿宋" w:hAnsi="仿宋" w:eastAsia="仿宋" w:cs="仿宋"/>
          <w:b/>
          <w:color w:val="auto"/>
          <w:kern w:val="0"/>
          <w:sz w:val="24"/>
          <w:szCs w:val="24"/>
        </w:rPr>
        <w:t xml:space="preserve"> ECG输入及波形处理</w:t>
      </w:r>
    </w:p>
    <w:p w14:paraId="547546E8">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1.1 </w:t>
      </w:r>
      <w:r>
        <w:rPr>
          <w:rFonts w:hint="eastAsia" w:ascii="仿宋" w:hAnsi="仿宋" w:eastAsia="仿宋" w:cs="仿宋"/>
          <w:color w:val="auto"/>
          <w:sz w:val="24"/>
          <w:szCs w:val="24"/>
        </w:rPr>
        <w:t>标准12导联心电信号同步采集，支持9导联采集模式</w:t>
      </w:r>
    </w:p>
    <w:p w14:paraId="152EC778">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1.2</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具有12导联同步自动分析及</w:t>
      </w:r>
      <w:r>
        <w:rPr>
          <w:rFonts w:hint="eastAsia" w:ascii="仿宋" w:hAnsi="仿宋" w:eastAsia="仿宋" w:cs="仿宋"/>
          <w:color w:val="auto"/>
          <w:kern w:val="0"/>
          <w:sz w:val="24"/>
          <w:szCs w:val="24"/>
          <w:highlight w:val="none"/>
          <w:lang w:val="en-US" w:eastAsia="zh-CN"/>
        </w:rPr>
        <w:t>可升级</w:t>
      </w:r>
      <w:r>
        <w:rPr>
          <w:rFonts w:hint="eastAsia" w:ascii="仿宋" w:hAnsi="仿宋" w:eastAsia="仿宋" w:cs="仿宋"/>
          <w:color w:val="auto"/>
          <w:kern w:val="0"/>
          <w:sz w:val="24"/>
          <w:szCs w:val="24"/>
          <w:highlight w:val="none"/>
        </w:rPr>
        <w:t>18导联心电图分析功能</w:t>
      </w:r>
    </w:p>
    <w:p w14:paraId="24B70EEF">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1.3 </w:t>
      </w:r>
      <w:r>
        <w:rPr>
          <w:rFonts w:hint="eastAsia" w:ascii="仿宋" w:hAnsi="仿宋" w:eastAsia="仿宋" w:cs="仿宋"/>
          <w:color w:val="auto"/>
          <w:sz w:val="24"/>
          <w:szCs w:val="24"/>
        </w:rPr>
        <w:t>输入阻抗：≥90 MΩ</w:t>
      </w:r>
    </w:p>
    <w:p w14:paraId="7B217642">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1.4 </w:t>
      </w:r>
      <w:r>
        <w:rPr>
          <w:rFonts w:hint="eastAsia" w:ascii="仿宋" w:hAnsi="仿宋" w:eastAsia="仿宋" w:cs="仿宋"/>
          <w:color w:val="auto"/>
          <w:sz w:val="24"/>
          <w:szCs w:val="24"/>
        </w:rPr>
        <w:t>A/D转换：24bit</w:t>
      </w:r>
    </w:p>
    <w:p w14:paraId="4723A94D">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1.5 </w:t>
      </w:r>
      <w:r>
        <w:rPr>
          <w:rFonts w:hint="eastAsia" w:ascii="仿宋" w:hAnsi="仿宋" w:eastAsia="仿宋" w:cs="仿宋"/>
          <w:color w:val="auto"/>
          <w:sz w:val="24"/>
          <w:szCs w:val="24"/>
        </w:rPr>
        <w:t xml:space="preserve">采样率：≥60k Hz </w:t>
      </w:r>
    </w:p>
    <w:p w14:paraId="3EF897D8">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1.6 </w:t>
      </w:r>
      <w:r>
        <w:rPr>
          <w:rFonts w:hint="eastAsia" w:ascii="仿宋" w:hAnsi="仿宋" w:eastAsia="仿宋" w:cs="仿宋"/>
          <w:color w:val="auto"/>
          <w:sz w:val="24"/>
          <w:szCs w:val="24"/>
        </w:rPr>
        <w:t>独立起搏通道，起搏采样率≥60k Hz</w:t>
      </w:r>
    </w:p>
    <w:p w14:paraId="4A38E2D4">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1.7</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 xml:space="preserve"> </w:t>
      </w:r>
      <w:r>
        <w:rPr>
          <w:rFonts w:hint="eastAsia" w:ascii="仿宋" w:hAnsi="仿宋" w:eastAsia="仿宋" w:cs="仿宋"/>
          <w:color w:val="auto"/>
          <w:sz w:val="24"/>
          <w:szCs w:val="24"/>
        </w:rPr>
        <w:t>频率响应：至少包含0.05Hz-500Hz</w:t>
      </w:r>
    </w:p>
    <w:p w14:paraId="25213642">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1.8 </w:t>
      </w:r>
      <w:r>
        <w:rPr>
          <w:rFonts w:hint="eastAsia" w:ascii="仿宋" w:hAnsi="仿宋" w:eastAsia="仿宋" w:cs="仿宋"/>
          <w:color w:val="auto"/>
          <w:sz w:val="24"/>
          <w:szCs w:val="24"/>
        </w:rPr>
        <w:t>耐极化电压：</w:t>
      </w:r>
      <w:r>
        <w:rPr>
          <w:rFonts w:hint="eastAsia" w:ascii="仿宋" w:hAnsi="仿宋" w:eastAsia="仿宋" w:cs="仿宋"/>
          <w:bCs/>
          <w:color w:val="auto"/>
          <w:sz w:val="24"/>
          <w:szCs w:val="24"/>
        </w:rPr>
        <w:t>≥±</w:t>
      </w:r>
      <w:r>
        <w:rPr>
          <w:rFonts w:hint="eastAsia" w:ascii="仿宋" w:hAnsi="仿宋" w:eastAsia="仿宋" w:cs="仿宋"/>
          <w:color w:val="auto"/>
          <w:sz w:val="24"/>
          <w:szCs w:val="24"/>
        </w:rPr>
        <w:t xml:space="preserve">955mV </w:t>
      </w:r>
    </w:p>
    <w:p w14:paraId="4E2E94A4">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1.9 </w:t>
      </w:r>
      <w:r>
        <w:rPr>
          <w:rFonts w:hint="eastAsia" w:ascii="仿宋" w:hAnsi="仿宋" w:eastAsia="仿宋" w:cs="仿宋"/>
          <w:color w:val="auto"/>
          <w:sz w:val="24"/>
          <w:szCs w:val="24"/>
        </w:rPr>
        <w:t>时间常数：≥5s</w:t>
      </w:r>
    </w:p>
    <w:p w14:paraId="03CEA3E7">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 xml:space="preserve">1.10 </w:t>
      </w:r>
      <w:r>
        <w:rPr>
          <w:rFonts w:hint="eastAsia" w:ascii="仿宋" w:hAnsi="仿宋" w:eastAsia="仿宋" w:cs="仿宋"/>
          <w:color w:val="auto"/>
          <w:sz w:val="24"/>
          <w:szCs w:val="24"/>
        </w:rPr>
        <w:t>共模抑制比：≥135dB</w:t>
      </w:r>
    </w:p>
    <w:p w14:paraId="5C071EDB">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 xml:space="preserve">1.11 </w:t>
      </w:r>
      <w:r>
        <w:rPr>
          <w:rFonts w:hint="eastAsia" w:ascii="仿宋" w:hAnsi="仿宋" w:eastAsia="仿宋" w:cs="仿宋"/>
          <w:color w:val="auto"/>
          <w:sz w:val="24"/>
          <w:szCs w:val="24"/>
        </w:rPr>
        <w:t>定标电压：1mV±1%</w:t>
      </w:r>
    </w:p>
    <w:p w14:paraId="37029DD5">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1.12 </w:t>
      </w:r>
      <w:r>
        <w:rPr>
          <w:rFonts w:hint="eastAsia" w:ascii="仿宋" w:hAnsi="仿宋" w:eastAsia="仿宋" w:cs="仿宋"/>
          <w:color w:val="auto"/>
          <w:kern w:val="0"/>
          <w:sz w:val="24"/>
          <w:szCs w:val="24"/>
        </w:rPr>
        <w:t>抗干扰滤波：具有交流滤波、肌电滤波、基线漂移滤波、低通滤波功能</w:t>
      </w:r>
    </w:p>
    <w:p w14:paraId="15C7DBE0">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 xml:space="preserve">1.13 </w:t>
      </w:r>
      <w:r>
        <w:rPr>
          <w:rFonts w:hint="eastAsia" w:ascii="仿宋" w:hAnsi="仿宋" w:eastAsia="仿宋" w:cs="仿宋"/>
          <w:color w:val="auto"/>
          <w:sz w:val="24"/>
        </w:rPr>
        <w:t>增益：1.25、2.5、5、10、20、10/5、自动（AGC）mm/mV可选</w:t>
      </w:r>
    </w:p>
    <w:p w14:paraId="523F4DE9">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 xml:space="preserve">1.14 </w:t>
      </w:r>
      <w:r>
        <w:rPr>
          <w:rFonts w:hint="eastAsia" w:ascii="仿宋" w:hAnsi="仿宋" w:eastAsia="仿宋" w:cs="仿宋"/>
          <w:color w:val="auto"/>
          <w:sz w:val="24"/>
          <w:szCs w:val="24"/>
        </w:rPr>
        <w:t>走速：5mm/s、6.25 mm/s、10 mm/s、12.5mm/s、25mm/s、50mm/s可选</w:t>
      </w:r>
    </w:p>
    <w:p w14:paraId="429C2D16">
      <w:pPr>
        <w:pageBreakBefore w:val="0"/>
        <w:numPr>
          <w:ilvl w:val="0"/>
          <w:numId w:val="0"/>
        </w:numPr>
        <w:kinsoku/>
        <w:wordWrap/>
        <w:overflowPunct/>
        <w:topLinePunct w:val="0"/>
        <w:bidi w:val="0"/>
        <w:snapToGrid/>
        <w:spacing w:line="440" w:lineRule="exact"/>
        <w:ind w:left="0" w:firstLine="0"/>
        <w:textAlignment w:val="auto"/>
        <w:rPr>
          <w:rFonts w:hint="eastAsia" w:ascii="仿宋" w:hAnsi="仿宋" w:eastAsia="仿宋" w:cs="仿宋"/>
          <w:b/>
          <w:color w:val="auto"/>
          <w:kern w:val="0"/>
          <w:sz w:val="24"/>
          <w:szCs w:val="24"/>
        </w:rPr>
      </w:pPr>
      <w:r>
        <w:rPr>
          <w:rFonts w:hint="default" w:ascii="仿宋" w:hAnsi="仿宋" w:eastAsia="仿宋" w:cs="仿宋"/>
          <w:b/>
          <w:color w:val="auto"/>
          <w:kern w:val="0"/>
          <w:sz w:val="24"/>
          <w:szCs w:val="24"/>
          <w:lang w:val="en-US" w:eastAsia="zh-CN" w:bidi="ar-SA"/>
        </w:rPr>
        <w:t>二、</w:t>
      </w:r>
      <w:r>
        <w:rPr>
          <w:rFonts w:hint="eastAsia" w:ascii="仿宋" w:hAnsi="仿宋" w:eastAsia="仿宋" w:cs="仿宋"/>
          <w:b/>
          <w:color w:val="auto"/>
          <w:kern w:val="0"/>
          <w:sz w:val="24"/>
          <w:szCs w:val="24"/>
        </w:rPr>
        <w:t>整机配置</w:t>
      </w:r>
    </w:p>
    <w:p w14:paraId="3728ADF6">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2.1</w:t>
      </w:r>
      <w:r>
        <w:rPr>
          <w:rFonts w:hint="eastAsia" w:ascii="仿宋" w:hAnsi="仿宋" w:eastAsia="仿宋" w:cs="仿宋"/>
          <w:b/>
          <w:color w:val="auto"/>
          <w:sz w:val="24"/>
          <w:szCs w:val="24"/>
        </w:rPr>
        <w:t>▲</w:t>
      </w:r>
      <w:r>
        <w:rPr>
          <w:rFonts w:hint="eastAsia" w:ascii="仿宋" w:hAnsi="仿宋" w:eastAsia="仿宋" w:cs="仿宋"/>
          <w:bCs/>
          <w:color w:val="auto"/>
          <w:sz w:val="24"/>
          <w:szCs w:val="24"/>
        </w:rPr>
        <w:t xml:space="preserve"> ≥10英寸彩色液晶电容触摸屏，屏幕可翻转，分辨率≥1280×800</w:t>
      </w:r>
    </w:p>
    <w:p w14:paraId="6E028C94">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2.2</w:t>
      </w:r>
      <w:r>
        <w:rPr>
          <w:rFonts w:hint="eastAsia" w:ascii="仿宋" w:hAnsi="仿宋" w:eastAsia="仿宋" w:cs="仿宋"/>
          <w:color w:val="auto"/>
          <w:sz w:val="24"/>
          <w:szCs w:val="24"/>
        </w:rPr>
        <w:t>整机重量≤4kg</w:t>
      </w:r>
    </w:p>
    <w:p w14:paraId="43D3504C">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2.3</w:t>
      </w:r>
      <w:r>
        <w:rPr>
          <w:rFonts w:hint="eastAsia" w:ascii="仿宋" w:hAnsi="仿宋" w:eastAsia="仿宋" w:cs="仿宋"/>
          <w:b/>
          <w:color w:val="auto"/>
          <w:sz w:val="24"/>
          <w:szCs w:val="24"/>
        </w:rPr>
        <w:t xml:space="preserve">▲ </w:t>
      </w:r>
      <w:r>
        <w:rPr>
          <w:rFonts w:hint="eastAsia" w:ascii="仿宋" w:hAnsi="仿宋" w:eastAsia="仿宋" w:cs="仿宋"/>
          <w:bCs/>
          <w:color w:val="auto"/>
          <w:sz w:val="24"/>
          <w:szCs w:val="24"/>
        </w:rPr>
        <w:t>内置热敏</w:t>
      </w:r>
      <w:r>
        <w:rPr>
          <w:rFonts w:hint="eastAsia" w:ascii="仿宋" w:hAnsi="仿宋" w:eastAsia="仿宋" w:cs="仿宋"/>
          <w:color w:val="auto"/>
          <w:kern w:val="0"/>
          <w:sz w:val="24"/>
          <w:szCs w:val="24"/>
        </w:rPr>
        <w:t>点阵打印机（非外置模块），并支持通过有线/无线方式外接激光打印机打印A4报告</w:t>
      </w:r>
    </w:p>
    <w:p w14:paraId="41C0F330">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2.4</w:t>
      </w:r>
      <w:r>
        <w:rPr>
          <w:rFonts w:hint="eastAsia" w:ascii="仿宋" w:hAnsi="仿宋" w:eastAsia="仿宋" w:cs="仿宋"/>
          <w:color w:val="auto"/>
          <w:kern w:val="0"/>
          <w:sz w:val="24"/>
          <w:szCs w:val="24"/>
        </w:rPr>
        <w:t>设备内置存储器</w:t>
      </w:r>
      <w:r>
        <w:rPr>
          <w:rFonts w:hint="eastAsia" w:ascii="仿宋" w:hAnsi="仿宋" w:eastAsia="仿宋" w:cs="仿宋"/>
          <w:bCs/>
          <w:color w:val="auto"/>
          <w:sz w:val="24"/>
          <w:szCs w:val="24"/>
        </w:rPr>
        <w:t>可支持</w:t>
      </w:r>
      <w:r>
        <w:rPr>
          <w:rFonts w:hint="eastAsia" w:ascii="仿宋" w:hAnsi="仿宋" w:eastAsia="仿宋" w:cs="仿宋"/>
          <w:color w:val="auto"/>
          <w:sz w:val="24"/>
          <w:szCs w:val="24"/>
        </w:rPr>
        <w:t>≥100000例病例储存</w:t>
      </w:r>
      <w:r>
        <w:rPr>
          <w:rFonts w:hint="eastAsia" w:ascii="仿宋" w:hAnsi="仿宋" w:eastAsia="仿宋" w:cs="仿宋"/>
          <w:bCs/>
          <w:color w:val="auto"/>
          <w:sz w:val="24"/>
          <w:szCs w:val="24"/>
        </w:rPr>
        <w:t>，并</w:t>
      </w:r>
      <w:r>
        <w:rPr>
          <w:rFonts w:hint="eastAsia" w:ascii="仿宋" w:hAnsi="仿宋" w:eastAsia="仿宋" w:cs="仿宋"/>
          <w:color w:val="auto"/>
          <w:sz w:val="24"/>
          <w:szCs w:val="24"/>
        </w:rPr>
        <w:t>支持外接U盘和SD卡扩展存储空间</w:t>
      </w:r>
    </w:p>
    <w:p w14:paraId="2F822D41">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2.5</w:t>
      </w:r>
      <w:r>
        <w:rPr>
          <w:rFonts w:hint="eastAsia" w:ascii="仿宋" w:hAnsi="仿宋" w:eastAsia="仿宋" w:cs="仿宋"/>
          <w:bCs/>
          <w:color w:val="auto"/>
          <w:sz w:val="24"/>
          <w:szCs w:val="24"/>
        </w:rPr>
        <w:t>可支持通过有线、无线、移动网络的方式进行联网，内置WIFI模块，可支持2.4GHz/5G Hz双频带传输</w:t>
      </w:r>
    </w:p>
    <w:p w14:paraId="2FB93862">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2.6</w:t>
      </w:r>
      <w:r>
        <w:rPr>
          <w:rFonts w:hint="eastAsia" w:ascii="仿宋" w:hAnsi="仿宋" w:eastAsia="仿宋" w:cs="仿宋"/>
          <w:bCs/>
          <w:color w:val="auto"/>
          <w:sz w:val="24"/>
          <w:szCs w:val="24"/>
        </w:rPr>
        <w:t>内置蓝牙模块，支持通过蓝牙分享报告，实现远程会诊</w:t>
      </w:r>
    </w:p>
    <w:p w14:paraId="675D98D6">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2.7</w:t>
      </w:r>
      <w:r>
        <w:rPr>
          <w:rFonts w:hint="eastAsia" w:ascii="仿宋" w:hAnsi="仿宋" w:eastAsia="仿宋" w:cs="仿宋"/>
          <w:bCs/>
          <w:color w:val="auto"/>
          <w:sz w:val="24"/>
          <w:szCs w:val="24"/>
        </w:rPr>
        <w:t>支持升级内置红外扫描仪，通过一维码及二维码获取病人信息</w:t>
      </w:r>
    </w:p>
    <w:p w14:paraId="25786344">
      <w:pPr>
        <w:pageBreakBefore w:val="0"/>
        <w:widowControl/>
        <w:numPr>
          <w:ilvl w:val="0"/>
          <w:numId w:val="0"/>
        </w:numPr>
        <w:kinsoku/>
        <w:wordWrap/>
        <w:overflowPunct/>
        <w:topLinePunct w:val="0"/>
        <w:bidi w:val="0"/>
        <w:snapToGrid/>
        <w:spacing w:line="440" w:lineRule="exact"/>
        <w:ind w:left="0" w:firstLine="0"/>
        <w:textAlignment w:val="auto"/>
        <w:outlineLvl w:val="0"/>
        <w:rPr>
          <w:rFonts w:hint="eastAsia" w:ascii="仿宋" w:hAnsi="仿宋" w:eastAsia="仿宋" w:cs="仿宋"/>
          <w:b/>
          <w:color w:val="auto"/>
          <w:sz w:val="24"/>
          <w:szCs w:val="24"/>
        </w:rPr>
      </w:pPr>
      <w:r>
        <w:rPr>
          <w:rFonts w:hint="default" w:ascii="仿宋" w:hAnsi="仿宋" w:eastAsia="仿宋" w:cs="仿宋"/>
          <w:b/>
          <w:color w:val="auto"/>
          <w:kern w:val="2"/>
          <w:sz w:val="24"/>
          <w:szCs w:val="24"/>
          <w:lang w:val="en-US" w:eastAsia="zh-CN" w:bidi="ar-SA"/>
        </w:rPr>
        <w:t>三、</w:t>
      </w:r>
      <w:r>
        <w:rPr>
          <w:rFonts w:hint="eastAsia" w:ascii="仿宋" w:hAnsi="仿宋" w:eastAsia="仿宋" w:cs="仿宋"/>
          <w:b/>
          <w:color w:val="auto"/>
          <w:sz w:val="24"/>
          <w:szCs w:val="24"/>
        </w:rPr>
        <w:t>系统功能</w:t>
      </w:r>
    </w:p>
    <w:p w14:paraId="38FBA917">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 </w:t>
      </w:r>
      <w:r>
        <w:rPr>
          <w:rFonts w:hint="eastAsia" w:ascii="仿宋" w:hAnsi="仿宋" w:eastAsia="仿宋" w:cs="仿宋"/>
          <w:color w:val="auto"/>
          <w:sz w:val="24"/>
          <w:szCs w:val="24"/>
        </w:rPr>
        <w:t>中文输入、中文操作提示和中文报告语言</w:t>
      </w:r>
    </w:p>
    <w:p w14:paraId="2EF439E5">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3.2 </w:t>
      </w:r>
      <w:r>
        <w:rPr>
          <w:rFonts w:hint="eastAsia" w:ascii="仿宋" w:hAnsi="仿宋" w:eastAsia="仿宋" w:cs="仿宋"/>
          <w:color w:val="auto"/>
          <w:kern w:val="0"/>
          <w:sz w:val="24"/>
          <w:szCs w:val="24"/>
        </w:rPr>
        <w:t>手动、自动、节律等检查模式可选，并支持实时采样、预采样及触发采样等采样模式</w:t>
      </w:r>
    </w:p>
    <w:p w14:paraId="04CAD54A">
      <w:pPr>
        <w:pageBreakBefore w:val="0"/>
        <w:numPr>
          <w:ilvl w:val="0"/>
          <w:numId w:val="0"/>
        </w:numPr>
        <w:kinsoku/>
        <w:wordWrap/>
        <w:overflowPunct/>
        <w:topLinePunct w:val="0"/>
        <w:autoSpaceDE w:val="0"/>
        <w:autoSpaceDN w:val="0"/>
        <w:bidi w:val="0"/>
        <w:adjustRightInd w:val="0"/>
        <w:snapToGrid/>
        <w:spacing w:line="440" w:lineRule="exact"/>
        <w:ind w:left="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 xml:space="preserve">3.3 </w:t>
      </w:r>
      <w:r>
        <w:rPr>
          <w:rFonts w:hint="eastAsia" w:ascii="仿宋" w:hAnsi="仿宋" w:eastAsia="仿宋" w:cs="仿宋"/>
          <w:color w:val="auto"/>
          <w:kern w:val="0"/>
          <w:sz w:val="24"/>
          <w:szCs w:val="24"/>
        </w:rPr>
        <w:t>具有导联信号质量检测功能，以不同颜色标记信号质量，提醒医生对相应导联进行处理</w:t>
      </w:r>
    </w:p>
    <w:p w14:paraId="422CEB58">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3.4 </w:t>
      </w:r>
      <w:r>
        <w:rPr>
          <w:rFonts w:hint="eastAsia" w:ascii="仿宋" w:hAnsi="仿宋" w:eastAsia="仿宋" w:cs="仿宋"/>
          <w:color w:val="auto"/>
          <w:kern w:val="0"/>
          <w:szCs w:val="24"/>
        </w:rPr>
        <w:t>具有智能采集功能，可根据导联信号质量自动开始/停止心电采集</w:t>
      </w:r>
    </w:p>
    <w:p w14:paraId="52AEE9B7">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3.5 </w:t>
      </w:r>
      <w:r>
        <w:rPr>
          <w:rFonts w:hint="eastAsia" w:ascii="仿宋" w:hAnsi="仿宋" w:eastAsia="仿宋" w:cs="仿宋"/>
          <w:color w:val="auto"/>
          <w:szCs w:val="24"/>
        </w:rPr>
        <w:t>支持≥30min数据采集及冻结功能，方便医生对所需区间的波形进行更好的观察、分析并选择所需要的时间段进行记录</w:t>
      </w:r>
    </w:p>
    <w:p w14:paraId="1CF5FA30">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3.6 </w:t>
      </w:r>
      <w:r>
        <w:rPr>
          <w:rFonts w:hint="eastAsia" w:ascii="仿宋" w:hAnsi="仿宋" w:eastAsia="仿宋" w:cs="仿宋"/>
          <w:color w:val="auto"/>
          <w:szCs w:val="24"/>
        </w:rPr>
        <w:t>采集过程中可自动检测心律失常并予以提示</w:t>
      </w:r>
    </w:p>
    <w:p w14:paraId="4B01750D">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3.7 </w:t>
      </w:r>
      <w:r>
        <w:rPr>
          <w:rFonts w:hint="eastAsia" w:ascii="仿宋" w:hAnsi="仿宋" w:eastAsia="仿宋" w:cs="仿宋"/>
          <w:color w:val="auto"/>
          <w:szCs w:val="24"/>
        </w:rPr>
        <w:t>具有严重疾病提示功能，可对心肌梗死等危急重症心电图进行突出标识</w:t>
      </w:r>
    </w:p>
    <w:p w14:paraId="0E7A53C0">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3.8 </w:t>
      </w:r>
      <w:r>
        <w:rPr>
          <w:rFonts w:hint="eastAsia" w:ascii="仿宋" w:hAnsi="仿宋" w:eastAsia="仿宋" w:cs="仿宋"/>
          <w:color w:val="auto"/>
          <w:szCs w:val="24"/>
        </w:rPr>
        <w:t>具有在屏诊断功能，可在屏幕上进行报告查看、报告编辑、波形放大、数据测量等操作</w:t>
      </w:r>
    </w:p>
    <w:p w14:paraId="7160BF8D">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3.9 </w:t>
      </w:r>
      <w:r>
        <w:rPr>
          <w:rFonts w:hint="eastAsia" w:ascii="仿宋" w:hAnsi="仿宋" w:eastAsia="仿宋" w:cs="仿宋"/>
          <w:color w:val="auto"/>
          <w:sz w:val="24"/>
          <w:szCs w:val="24"/>
        </w:rPr>
        <w:t>具有病历管理功能，可进行</w:t>
      </w:r>
      <w:bookmarkStart w:id="18" w:name="OLE_LINK4"/>
      <w:bookmarkStart w:id="19" w:name="OLE_LINK5"/>
      <w:r>
        <w:rPr>
          <w:rFonts w:hint="eastAsia" w:ascii="仿宋" w:hAnsi="仿宋" w:eastAsia="仿宋" w:cs="仿宋"/>
          <w:color w:val="auto"/>
          <w:sz w:val="24"/>
          <w:szCs w:val="24"/>
        </w:rPr>
        <w:t>病历查询</w:t>
      </w:r>
      <w:bookmarkEnd w:id="18"/>
      <w:bookmarkEnd w:id="19"/>
      <w:r>
        <w:rPr>
          <w:rFonts w:hint="eastAsia" w:ascii="仿宋" w:hAnsi="仿宋" w:eastAsia="仿宋" w:cs="仿宋"/>
          <w:color w:val="auto"/>
          <w:sz w:val="24"/>
          <w:szCs w:val="24"/>
        </w:rPr>
        <w:t>、预览、修改、传输、打印，方便医生调阅病人信息</w:t>
      </w:r>
    </w:p>
    <w:p w14:paraId="0E4C8D48">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3.10 </w:t>
      </w:r>
      <w:r>
        <w:rPr>
          <w:rFonts w:hint="eastAsia" w:ascii="仿宋" w:hAnsi="仿宋" w:eastAsia="仿宋" w:cs="仿宋"/>
          <w:color w:val="auto"/>
          <w:sz w:val="24"/>
          <w:szCs w:val="24"/>
        </w:rPr>
        <w:t>具有心电向量、晚电位、时间心向量、心率变异性、频谱心电等多种高级分析功能，辅助全面了解患者情况</w:t>
      </w:r>
    </w:p>
    <w:p w14:paraId="6E5F7595">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3.11 </w:t>
      </w:r>
      <w:r>
        <w:rPr>
          <w:rFonts w:hint="eastAsia" w:ascii="仿宋" w:hAnsi="仿宋" w:eastAsia="仿宋" w:cs="仿宋"/>
          <w:color w:val="auto"/>
          <w:sz w:val="24"/>
          <w:szCs w:val="24"/>
        </w:rPr>
        <w:t>具有ST-MAP及ST-VIEW功能，提示心肌梗死相关信息，并可打印相关报告</w:t>
      </w:r>
    </w:p>
    <w:p w14:paraId="662E0150">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3.12 </w:t>
      </w:r>
      <w:r>
        <w:rPr>
          <w:rFonts w:hint="eastAsia" w:ascii="仿宋" w:hAnsi="仿宋" w:eastAsia="仿宋" w:cs="仿宋"/>
          <w:color w:val="auto"/>
          <w:sz w:val="24"/>
          <w:szCs w:val="24"/>
        </w:rPr>
        <w:t>支持用户登录设置，并针对不同用户分权限管理</w:t>
      </w:r>
    </w:p>
    <w:p w14:paraId="180C1C4A">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3.13 </w:t>
      </w:r>
      <w:r>
        <w:rPr>
          <w:rFonts w:hint="eastAsia" w:ascii="仿宋" w:hAnsi="仿宋" w:eastAsia="仿宋" w:cs="仿宋"/>
          <w:color w:val="auto"/>
          <w:szCs w:val="24"/>
        </w:rPr>
        <w:t>可以与同品牌心电网络相连，实现病人预约信息的下载，检查数据自动上传，实现全方位信息化管理，优化医院工作流程，减少医生工作量</w:t>
      </w:r>
    </w:p>
    <w:p w14:paraId="736DC42D">
      <w:pPr>
        <w:pageBreakBefore w:val="0"/>
        <w:widowControl/>
        <w:kinsoku/>
        <w:wordWrap/>
        <w:overflowPunct/>
        <w:topLinePunct w:val="0"/>
        <w:bidi w:val="0"/>
        <w:snapToGrid/>
        <w:spacing w:line="440" w:lineRule="exact"/>
        <w:textAlignment w:val="auto"/>
        <w:outlineLvl w:val="0"/>
        <w:rPr>
          <w:rFonts w:hint="eastAsia" w:ascii="仿宋" w:hAnsi="仿宋" w:eastAsia="仿宋" w:cs="仿宋"/>
          <w:color w:val="auto"/>
          <w:sz w:val="24"/>
          <w:szCs w:val="24"/>
        </w:rPr>
      </w:pPr>
    </w:p>
    <w:p w14:paraId="23057462">
      <w:pPr>
        <w:pageBreakBefore w:val="0"/>
        <w:widowControl/>
        <w:numPr>
          <w:ilvl w:val="0"/>
          <w:numId w:val="0"/>
        </w:numPr>
        <w:kinsoku/>
        <w:wordWrap/>
        <w:overflowPunct/>
        <w:topLinePunct w:val="0"/>
        <w:bidi w:val="0"/>
        <w:snapToGrid/>
        <w:spacing w:line="440" w:lineRule="exact"/>
        <w:ind w:left="0" w:firstLine="0"/>
        <w:textAlignment w:val="auto"/>
        <w:outlineLvl w:val="0"/>
        <w:rPr>
          <w:rFonts w:hint="eastAsia" w:ascii="仿宋" w:hAnsi="仿宋" w:eastAsia="仿宋" w:cs="仿宋"/>
          <w:b/>
          <w:color w:val="auto"/>
          <w:kern w:val="0"/>
          <w:sz w:val="24"/>
          <w:szCs w:val="24"/>
        </w:rPr>
      </w:pPr>
      <w:r>
        <w:rPr>
          <w:rFonts w:hint="default" w:ascii="仿宋" w:hAnsi="仿宋" w:eastAsia="仿宋" w:cs="仿宋"/>
          <w:b/>
          <w:color w:val="auto"/>
          <w:kern w:val="0"/>
          <w:sz w:val="24"/>
          <w:szCs w:val="24"/>
          <w:lang w:val="en-US" w:eastAsia="zh-CN" w:bidi="ar-SA"/>
        </w:rPr>
        <w:t>四、</w:t>
      </w:r>
      <w:r>
        <w:rPr>
          <w:rFonts w:hint="eastAsia" w:ascii="仿宋" w:hAnsi="仿宋" w:eastAsia="仿宋" w:cs="仿宋"/>
          <w:b/>
          <w:color w:val="auto"/>
          <w:kern w:val="0"/>
          <w:sz w:val="24"/>
          <w:szCs w:val="24"/>
        </w:rPr>
        <w:t>电源：</w:t>
      </w:r>
    </w:p>
    <w:p w14:paraId="1CF71711">
      <w:pPr>
        <w:pageBreakBefore w:val="0"/>
        <w:widowControl/>
        <w:numPr>
          <w:ilvl w:val="0"/>
          <w:numId w:val="0"/>
        </w:numPr>
        <w:kinsoku/>
        <w:wordWrap/>
        <w:overflowPunct/>
        <w:topLinePunct w:val="0"/>
        <w:bidi w:val="0"/>
        <w:snapToGrid/>
        <w:spacing w:line="440" w:lineRule="exact"/>
        <w:ind w:left="0" w:firstLine="480" w:firstLineChars="200"/>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4.1</w:t>
      </w:r>
      <w:r>
        <w:rPr>
          <w:rFonts w:hint="eastAsia" w:ascii="仿宋" w:hAnsi="仿宋" w:eastAsia="仿宋" w:cs="仿宋"/>
          <w:color w:val="auto"/>
          <w:kern w:val="0"/>
          <w:sz w:val="24"/>
          <w:szCs w:val="24"/>
        </w:rPr>
        <w:t>交直流两用，自动转换</w:t>
      </w:r>
    </w:p>
    <w:p w14:paraId="5471A9F7">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bidi="ar-SA"/>
        </w:rPr>
        <w:t>4.2</w:t>
      </w:r>
      <w:r>
        <w:rPr>
          <w:rFonts w:hint="eastAsia" w:ascii="仿宋" w:hAnsi="仿宋" w:eastAsia="仿宋" w:cs="仿宋"/>
          <w:b/>
          <w:color w:val="auto"/>
          <w:sz w:val="24"/>
          <w:szCs w:val="24"/>
        </w:rPr>
        <w:t xml:space="preserve"> </w:t>
      </w:r>
      <w:r>
        <w:rPr>
          <w:rFonts w:hint="eastAsia" w:ascii="仿宋" w:hAnsi="仿宋" w:eastAsia="仿宋" w:cs="仿宋"/>
          <w:color w:val="auto"/>
          <w:kern w:val="0"/>
          <w:sz w:val="24"/>
          <w:szCs w:val="24"/>
        </w:rPr>
        <w:t>直流电源：内置可充电锂离子电池，充足后可正常工作时间≥4小时</w:t>
      </w:r>
      <w:r>
        <w:rPr>
          <w:rFonts w:hint="eastAsia" w:ascii="仿宋" w:hAnsi="仿宋" w:eastAsia="仿宋" w:cs="仿宋"/>
          <w:color w:val="auto"/>
          <w:kern w:val="0"/>
          <w:sz w:val="24"/>
          <w:szCs w:val="24"/>
          <w:lang w:eastAsia="zh-CN"/>
        </w:rPr>
        <w:t>。</w:t>
      </w:r>
    </w:p>
    <w:p w14:paraId="3AABACED">
      <w:pPr>
        <w:pageBreakBefore w:val="0"/>
        <w:widowControl/>
        <w:numPr>
          <w:ilvl w:val="0"/>
          <w:numId w:val="0"/>
        </w:numPr>
        <w:kinsoku/>
        <w:wordWrap/>
        <w:overflowPunct/>
        <w:topLinePunct w:val="0"/>
        <w:bidi w:val="0"/>
        <w:snapToGrid/>
        <w:spacing w:line="440" w:lineRule="exact"/>
        <w:textAlignment w:val="auto"/>
        <w:outlineLvl w:val="0"/>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五、其他要求</w:t>
      </w:r>
    </w:p>
    <w:p w14:paraId="4EFD23B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11F8B288">
      <w:pPr>
        <w:pageBreakBefore w:val="0"/>
        <w:widowControl/>
        <w:numPr>
          <w:ilvl w:val="0"/>
          <w:numId w:val="0"/>
        </w:numPr>
        <w:kinsoku/>
        <w:wordWrap/>
        <w:overflowPunct/>
        <w:topLinePunct w:val="0"/>
        <w:bidi w:val="0"/>
        <w:snapToGrid/>
        <w:spacing w:line="440" w:lineRule="exact"/>
        <w:ind w:firstLine="480" w:firstLineChars="200"/>
        <w:textAlignment w:val="auto"/>
        <w:outlineLvl w:val="0"/>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16920DDD">
      <w:pPr>
        <w:pStyle w:val="3"/>
        <w:pageBreakBefore w:val="0"/>
        <w:numPr>
          <w:ilvl w:val="0"/>
          <w:numId w:val="0"/>
        </w:numPr>
        <w:shd w:val="clear"/>
        <w:kinsoku/>
        <w:wordWrap/>
        <w:overflowPunct/>
        <w:topLinePunct w:val="0"/>
        <w:bidi w:val="0"/>
        <w:snapToGrid/>
        <w:spacing w:line="440" w:lineRule="exact"/>
        <w:ind w:left="854" w:firstLine="0"/>
        <w:jc w:val="center"/>
        <w:textAlignment w:val="auto"/>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DD87334">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34B8F40D">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w:t>
      </w:r>
    </w:p>
    <w:p w14:paraId="17573C1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1.2质保期内的各类配件损耗，由投标人承担。</w:t>
      </w:r>
    </w:p>
    <w:p w14:paraId="043F83A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3</w:t>
      </w:r>
      <w:r>
        <w:rPr>
          <w:rFonts w:hint="eastAsia" w:ascii="仿宋" w:hAnsi="仿宋" w:eastAsia="仿宋" w:cs="仿宋"/>
          <w:i w:val="0"/>
          <w:iCs w:val="0"/>
          <w:color w:val="auto"/>
          <w:kern w:val="0"/>
          <w:sz w:val="24"/>
          <w:szCs w:val="24"/>
          <w:u w:val="none"/>
          <w:lang w:val="en-US" w:eastAsia="zh-CN" w:bidi="ar"/>
        </w:rPr>
        <w:t>中标方负责免费接入医共体心电会诊平台等系统（承担接口费）</w:t>
      </w:r>
      <w:r>
        <w:rPr>
          <w:rFonts w:hint="eastAsia" w:ascii="仿宋" w:hAnsi="仿宋" w:eastAsia="仿宋" w:cs="仿宋"/>
          <w:bCs/>
          <w:color w:val="auto"/>
          <w:sz w:val="24"/>
          <w:highlight w:val="none"/>
          <w:lang w:eastAsia="zh-CN"/>
        </w:rPr>
        <w:t>，</w:t>
      </w:r>
      <w:r>
        <w:rPr>
          <w:rFonts w:hint="eastAsia" w:ascii="仿宋" w:hAnsi="仿宋" w:eastAsia="仿宋" w:cs="仿宋"/>
          <w:i w:val="0"/>
          <w:iCs w:val="0"/>
          <w:color w:val="auto"/>
          <w:kern w:val="0"/>
          <w:sz w:val="24"/>
          <w:szCs w:val="24"/>
          <w:u w:val="none"/>
          <w:lang w:val="en-US" w:eastAsia="zh-CN" w:bidi="ar"/>
        </w:rPr>
        <w:t>中标方负责免费提供5年4G流量费。</w:t>
      </w:r>
    </w:p>
    <w:p w14:paraId="3230B08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 xml:space="preserve">4 </w:t>
      </w:r>
      <w:r>
        <w:rPr>
          <w:rFonts w:hint="eastAsia" w:ascii="仿宋" w:hAnsi="仿宋" w:eastAsia="仿宋" w:cs="仿宋"/>
          <w:i w:val="0"/>
          <w:iCs w:val="0"/>
          <w:color w:val="auto"/>
          <w:kern w:val="0"/>
          <w:sz w:val="24"/>
          <w:szCs w:val="24"/>
          <w:u w:val="none"/>
          <w:lang w:val="en-US" w:eastAsia="zh-CN" w:bidi="ar"/>
        </w:rPr>
        <w:t>提供投标产品的彩页资料、维修手册何操作手册、详细技术指标</w:t>
      </w:r>
      <w:r>
        <w:rPr>
          <w:rFonts w:hint="eastAsia" w:ascii="仿宋" w:hAnsi="仿宋" w:eastAsia="仿宋" w:cs="仿宋"/>
          <w:bCs/>
          <w:color w:val="auto"/>
          <w:sz w:val="24"/>
          <w:highlight w:val="none"/>
        </w:rPr>
        <w:t>。</w:t>
      </w:r>
    </w:p>
    <w:p w14:paraId="38B42D4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560C2B56">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合同签订生效，</w:t>
      </w:r>
      <w:r>
        <w:rPr>
          <w:rFonts w:hint="eastAsia" w:ascii="仿宋" w:hAnsi="仿宋" w:eastAsia="仿宋" w:cs="仿宋"/>
          <w:bCs/>
          <w:color w:val="auto"/>
          <w:sz w:val="24"/>
          <w:highlight w:val="none"/>
          <w:lang w:val="en-US" w:eastAsia="zh-CN"/>
        </w:rPr>
        <w:t>供货</w:t>
      </w:r>
      <w:r>
        <w:rPr>
          <w:rFonts w:hint="eastAsia" w:ascii="仿宋" w:hAnsi="仿宋" w:eastAsia="仿宋" w:cs="仿宋"/>
          <w:bCs/>
          <w:color w:val="auto"/>
          <w:sz w:val="24"/>
          <w:highlight w:val="none"/>
        </w:rPr>
        <w:t>实施安装且设备验收合格，合同发票开具后5个工作日内，一次性支付合同价款。</w:t>
      </w:r>
    </w:p>
    <w:p w14:paraId="71794FC2">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27FC4853">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3F878D1">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089F2E2E">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3A0B7DC2">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0DE5A3A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574A2A7">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3.6投标人应在投标文件中提供巡检方案，如巡检的频次、巡检的内容等，以便设备更好的运行。</w:t>
      </w:r>
    </w:p>
    <w:p w14:paraId="01469E7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5D236A42">
      <w:pPr>
        <w:pageBreakBefore w:val="0"/>
        <w:shd w:val="clear"/>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1550717E">
      <w:pPr>
        <w:pageBreakBefore w:val="0"/>
        <w:shd w:val="clear"/>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50E7A46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19AE0D85">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1DC92ED9">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0260AAD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0740C2F0">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3A46F90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现场条件</w:t>
      </w:r>
    </w:p>
    <w:p w14:paraId="46EF2B0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项目实施</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lang w:val="en-US" w:eastAsia="zh-CN"/>
        </w:rPr>
        <w:t>配合采购人</w:t>
      </w:r>
      <w:r>
        <w:rPr>
          <w:rFonts w:hint="eastAsia" w:ascii="仿宋" w:hAnsi="仿宋" w:eastAsia="仿宋" w:cs="仿宋"/>
          <w:color w:val="auto"/>
          <w:sz w:val="24"/>
          <w:szCs w:val="24"/>
          <w:highlight w:val="none"/>
        </w:rPr>
        <w:t>正常的医疗工作。</w:t>
      </w:r>
    </w:p>
    <w:p w14:paraId="6A4EFE2E">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1E905180">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054D6F0A">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2CA52F04">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.2安装完成时间：签订合同后根据招标方通知</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个工作日内，在招标人指定地点交货安装及设备调试。如在规定的时间内由于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7A21B783">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72D8144D">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7912891A">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6D35F59A">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5B78D5F4">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59116C6">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4FA257CF">
      <w:pPr>
        <w:keepNext w:val="0"/>
        <w:keepLines w:val="0"/>
        <w:pageBreakBefore w:val="0"/>
        <w:widowControl/>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5DDE7D1">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323E7A73">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3FDA8E4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交货期：签订合同后根据招标方通知</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个工作日内，在招标人指定地点交货安装及设备调试。</w:t>
      </w:r>
    </w:p>
    <w:p w14:paraId="564A1069">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6A94E80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5F1732E5">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69FB4AF7">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6B571D90">
      <w:pPr>
        <w:pageBreakBefore w:val="0"/>
        <w:numPr>
          <w:ilvl w:val="0"/>
          <w:numId w:val="2"/>
        </w:numPr>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rPr>
        <w:t>要求并使</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可以接受。</w:t>
      </w:r>
    </w:p>
    <w:p w14:paraId="0FE1231F">
      <w:pPr>
        <w:pageBreakBefore w:val="0"/>
        <w:numPr>
          <w:ilvl w:val="0"/>
          <w:numId w:val="2"/>
        </w:numPr>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w:t>
      </w:r>
      <w:r>
        <w:rPr>
          <w:rFonts w:hint="eastAsia" w:ascii="仿宋" w:hAnsi="仿宋" w:eastAsia="仿宋" w:cs="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0183F02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FDE49A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7AB33B34">
      <w:pPr>
        <w:pStyle w:val="61"/>
        <w:pageBreakBefore w:val="0"/>
        <w:shd w:val="clear"/>
        <w:kinsoku/>
        <w:wordWrap/>
        <w:overflowPunct/>
        <w:topLinePunct w:val="0"/>
        <w:bidi w:val="0"/>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66099CE3">
      <w:pPr>
        <w:snapToGrid w:val="0"/>
        <w:spacing w:line="360" w:lineRule="auto"/>
        <w:jc w:val="center"/>
        <w:rPr>
          <w:rFonts w:hint="eastAsia" w:ascii="仿宋" w:hAnsi="仿宋" w:eastAsia="仿宋" w:cs="仿宋"/>
          <w:b/>
          <w:bCs/>
          <w:color w:val="auto"/>
          <w:sz w:val="32"/>
          <w:szCs w:val="32"/>
        </w:rPr>
      </w:pPr>
    </w:p>
    <w:p w14:paraId="5C2DAAE5">
      <w:pPr>
        <w:snapToGrid w:val="0"/>
        <w:spacing w:line="360" w:lineRule="auto"/>
        <w:jc w:val="center"/>
        <w:rPr>
          <w:rFonts w:hint="eastAsia" w:ascii="仿宋" w:hAnsi="仿宋" w:eastAsia="仿宋" w:cs="仿宋"/>
          <w:b/>
          <w:bCs/>
          <w:color w:val="auto"/>
          <w:sz w:val="32"/>
          <w:szCs w:val="32"/>
        </w:rPr>
      </w:pPr>
    </w:p>
    <w:p w14:paraId="52A89D10">
      <w:pPr>
        <w:snapToGrid w:val="0"/>
        <w:spacing w:line="360" w:lineRule="auto"/>
        <w:jc w:val="center"/>
        <w:rPr>
          <w:rFonts w:hint="eastAsia" w:ascii="仿宋" w:hAnsi="仿宋" w:eastAsia="仿宋" w:cs="仿宋"/>
          <w:b/>
          <w:bCs/>
          <w:color w:val="auto"/>
          <w:sz w:val="32"/>
          <w:szCs w:val="32"/>
        </w:rPr>
      </w:pPr>
    </w:p>
    <w:p w14:paraId="6A42E8F0">
      <w:pPr>
        <w:snapToGrid w:val="0"/>
        <w:spacing w:line="360" w:lineRule="auto"/>
        <w:jc w:val="center"/>
        <w:rPr>
          <w:rFonts w:hint="eastAsia" w:ascii="仿宋" w:hAnsi="仿宋" w:eastAsia="仿宋" w:cs="仿宋"/>
          <w:b/>
          <w:bCs/>
          <w:color w:val="auto"/>
          <w:sz w:val="32"/>
          <w:szCs w:val="32"/>
        </w:rPr>
      </w:pPr>
    </w:p>
    <w:p w14:paraId="644B2037">
      <w:pPr>
        <w:snapToGrid w:val="0"/>
        <w:spacing w:line="360" w:lineRule="auto"/>
        <w:jc w:val="center"/>
        <w:rPr>
          <w:rFonts w:hint="eastAsia" w:ascii="仿宋" w:hAnsi="仿宋" w:eastAsia="仿宋" w:cs="仿宋"/>
          <w:b/>
          <w:bCs/>
          <w:color w:val="auto"/>
          <w:sz w:val="32"/>
          <w:szCs w:val="32"/>
        </w:rPr>
      </w:pPr>
    </w:p>
    <w:p w14:paraId="631C346F">
      <w:pPr>
        <w:snapToGrid w:val="0"/>
        <w:spacing w:line="360" w:lineRule="auto"/>
        <w:jc w:val="center"/>
        <w:rPr>
          <w:rFonts w:hint="eastAsia" w:ascii="仿宋" w:hAnsi="仿宋" w:eastAsia="仿宋" w:cs="仿宋"/>
          <w:b/>
          <w:bCs/>
          <w:color w:val="auto"/>
          <w:sz w:val="32"/>
          <w:szCs w:val="32"/>
        </w:rPr>
      </w:pPr>
    </w:p>
    <w:p w14:paraId="4D23DBEE">
      <w:pPr>
        <w:snapToGrid w:val="0"/>
        <w:spacing w:line="360" w:lineRule="auto"/>
        <w:jc w:val="center"/>
        <w:rPr>
          <w:rFonts w:hint="eastAsia" w:ascii="仿宋" w:hAnsi="仿宋" w:eastAsia="仿宋" w:cs="仿宋"/>
          <w:b/>
          <w:bCs/>
          <w:color w:val="auto"/>
          <w:sz w:val="32"/>
          <w:szCs w:val="32"/>
        </w:rPr>
      </w:pPr>
    </w:p>
    <w:p w14:paraId="3EA013A0">
      <w:pPr>
        <w:snapToGrid w:val="0"/>
        <w:spacing w:line="360" w:lineRule="auto"/>
        <w:jc w:val="center"/>
        <w:rPr>
          <w:rFonts w:hint="eastAsia" w:ascii="仿宋" w:hAnsi="仿宋" w:eastAsia="仿宋" w:cs="仿宋"/>
          <w:b/>
          <w:bCs/>
          <w:color w:val="auto"/>
          <w:sz w:val="32"/>
          <w:szCs w:val="32"/>
        </w:rPr>
      </w:pPr>
    </w:p>
    <w:p w14:paraId="3E6EAC1A">
      <w:pPr>
        <w:snapToGrid w:val="0"/>
        <w:spacing w:line="360" w:lineRule="auto"/>
        <w:jc w:val="center"/>
        <w:rPr>
          <w:rFonts w:hint="eastAsia" w:ascii="仿宋" w:hAnsi="仿宋" w:eastAsia="仿宋" w:cs="仿宋"/>
          <w:b/>
          <w:bCs/>
          <w:color w:val="auto"/>
          <w:sz w:val="32"/>
          <w:szCs w:val="32"/>
        </w:rPr>
      </w:pPr>
    </w:p>
    <w:p w14:paraId="7273D0AB">
      <w:pPr>
        <w:snapToGrid w:val="0"/>
        <w:spacing w:line="360" w:lineRule="auto"/>
        <w:jc w:val="center"/>
        <w:rPr>
          <w:rFonts w:hint="eastAsia" w:ascii="仿宋" w:hAnsi="仿宋" w:eastAsia="仿宋" w:cs="仿宋"/>
          <w:b/>
          <w:bCs/>
          <w:color w:val="auto"/>
          <w:sz w:val="32"/>
          <w:szCs w:val="32"/>
        </w:rPr>
      </w:pPr>
    </w:p>
    <w:p w14:paraId="2A99B948">
      <w:pPr>
        <w:snapToGrid w:val="0"/>
        <w:spacing w:line="360" w:lineRule="auto"/>
        <w:jc w:val="center"/>
        <w:rPr>
          <w:rFonts w:hint="eastAsia" w:ascii="仿宋" w:hAnsi="仿宋" w:eastAsia="仿宋" w:cs="仿宋"/>
          <w:b/>
          <w:bCs/>
          <w:color w:val="auto"/>
          <w:sz w:val="32"/>
          <w:szCs w:val="32"/>
        </w:rPr>
      </w:pPr>
    </w:p>
    <w:p w14:paraId="73FA08D2">
      <w:pPr>
        <w:snapToGrid w:val="0"/>
        <w:spacing w:line="360" w:lineRule="auto"/>
        <w:jc w:val="center"/>
        <w:rPr>
          <w:rFonts w:hint="eastAsia" w:ascii="仿宋" w:hAnsi="仿宋" w:eastAsia="仿宋" w:cs="仿宋"/>
          <w:b/>
          <w:bCs/>
          <w:color w:val="auto"/>
          <w:sz w:val="32"/>
          <w:szCs w:val="32"/>
        </w:rPr>
      </w:pPr>
    </w:p>
    <w:p w14:paraId="08F375C2">
      <w:pPr>
        <w:snapToGrid w:val="0"/>
        <w:spacing w:line="360" w:lineRule="auto"/>
        <w:jc w:val="center"/>
        <w:rPr>
          <w:rFonts w:hint="eastAsia" w:ascii="仿宋" w:hAnsi="仿宋" w:eastAsia="仿宋" w:cs="仿宋"/>
          <w:b/>
          <w:bCs/>
          <w:color w:val="auto"/>
          <w:sz w:val="32"/>
          <w:szCs w:val="32"/>
        </w:rPr>
      </w:pPr>
    </w:p>
    <w:p w14:paraId="593DA7AD">
      <w:pPr>
        <w:snapToGrid w:val="0"/>
        <w:spacing w:line="360" w:lineRule="auto"/>
        <w:jc w:val="center"/>
        <w:rPr>
          <w:rFonts w:hint="eastAsia" w:ascii="仿宋" w:hAnsi="仿宋" w:eastAsia="仿宋" w:cs="仿宋"/>
          <w:b/>
          <w:bCs/>
          <w:color w:val="auto"/>
          <w:sz w:val="32"/>
          <w:szCs w:val="32"/>
        </w:rPr>
      </w:pPr>
    </w:p>
    <w:p w14:paraId="2DA396AD">
      <w:pPr>
        <w:snapToGrid w:val="0"/>
        <w:spacing w:line="360" w:lineRule="auto"/>
        <w:jc w:val="center"/>
        <w:rPr>
          <w:rFonts w:hint="eastAsia" w:ascii="仿宋" w:hAnsi="仿宋" w:eastAsia="仿宋" w:cs="仿宋"/>
          <w:b/>
          <w:bCs/>
          <w:color w:val="auto"/>
          <w:sz w:val="32"/>
          <w:szCs w:val="32"/>
        </w:rPr>
      </w:pPr>
    </w:p>
    <w:p w14:paraId="2665FFC4">
      <w:pPr>
        <w:pStyle w:val="62"/>
        <w:rPr>
          <w:rFonts w:hint="eastAsia"/>
          <w:color w:val="auto"/>
        </w:rPr>
      </w:pPr>
    </w:p>
    <w:p w14:paraId="7504E795">
      <w:pPr>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第四部分   </w:t>
      </w:r>
      <w:bookmarkStart w:id="20" w:name="_Toc184312107"/>
      <w:bookmarkEnd w:id="20"/>
      <w:bookmarkStart w:id="21" w:name="_Toc184313253"/>
      <w:bookmarkEnd w:id="21"/>
      <w:bookmarkStart w:id="22" w:name="_Toc184314420"/>
      <w:bookmarkEnd w:id="22"/>
      <w:bookmarkStart w:id="23" w:name="_Toc184313259"/>
      <w:bookmarkEnd w:id="23"/>
      <w:bookmarkStart w:id="24" w:name="_Toc184313302"/>
      <w:bookmarkEnd w:id="24"/>
      <w:bookmarkStart w:id="25" w:name="_Toc184310306"/>
      <w:bookmarkEnd w:id="25"/>
      <w:bookmarkStart w:id="26" w:name="_Toc184314481"/>
      <w:bookmarkEnd w:id="26"/>
      <w:bookmarkStart w:id="27" w:name="_Toc184313241"/>
      <w:bookmarkEnd w:id="27"/>
      <w:bookmarkStart w:id="28" w:name="_Toc184314457"/>
      <w:bookmarkEnd w:id="28"/>
      <w:bookmarkStart w:id="29" w:name="_Toc184313284"/>
      <w:bookmarkEnd w:id="29"/>
      <w:bookmarkStart w:id="30" w:name="_Toc184313294"/>
      <w:bookmarkEnd w:id="30"/>
      <w:bookmarkStart w:id="31" w:name="_Toc184308037"/>
      <w:bookmarkEnd w:id="31"/>
      <w:bookmarkStart w:id="32" w:name="_Toc184308041"/>
      <w:bookmarkEnd w:id="32"/>
      <w:bookmarkStart w:id="33" w:name="_Toc184314458"/>
      <w:bookmarkEnd w:id="33"/>
      <w:bookmarkStart w:id="34" w:name="_Toc184310304"/>
      <w:bookmarkEnd w:id="34"/>
      <w:bookmarkStart w:id="35" w:name="_Toc184308052"/>
      <w:bookmarkEnd w:id="35"/>
      <w:bookmarkStart w:id="36" w:name="_Toc184310333"/>
      <w:bookmarkEnd w:id="36"/>
      <w:bookmarkStart w:id="37" w:name="_Toc184310288"/>
      <w:bookmarkEnd w:id="37"/>
      <w:bookmarkStart w:id="38" w:name="_Toc184308036"/>
      <w:bookmarkEnd w:id="38"/>
      <w:bookmarkStart w:id="39" w:name="_Toc184312081"/>
      <w:bookmarkEnd w:id="39"/>
      <w:bookmarkStart w:id="40" w:name="_Toc184308092"/>
      <w:bookmarkEnd w:id="40"/>
      <w:bookmarkStart w:id="41" w:name="_Toc184313282"/>
      <w:bookmarkEnd w:id="41"/>
      <w:bookmarkStart w:id="42" w:name="_Toc184310319"/>
      <w:bookmarkEnd w:id="42"/>
      <w:bookmarkStart w:id="43" w:name="_Toc184308104"/>
      <w:bookmarkEnd w:id="43"/>
      <w:bookmarkStart w:id="44" w:name="_Toc184312074"/>
      <w:bookmarkEnd w:id="44"/>
      <w:bookmarkStart w:id="45" w:name="_Toc184314414"/>
      <w:bookmarkEnd w:id="45"/>
      <w:bookmarkStart w:id="46" w:name="_Toc184313245"/>
      <w:bookmarkEnd w:id="46"/>
      <w:bookmarkStart w:id="47" w:name="_Toc184308083"/>
      <w:bookmarkEnd w:id="47"/>
      <w:bookmarkStart w:id="48" w:name="_Toc184314467"/>
      <w:bookmarkEnd w:id="48"/>
      <w:bookmarkStart w:id="49" w:name="_Toc184313300"/>
      <w:bookmarkEnd w:id="49"/>
      <w:bookmarkStart w:id="50" w:name="_Toc184312129"/>
      <w:bookmarkEnd w:id="50"/>
      <w:bookmarkStart w:id="51" w:name="_Toc184310316"/>
      <w:bookmarkEnd w:id="51"/>
      <w:bookmarkStart w:id="52" w:name="_Toc184312114"/>
      <w:bookmarkEnd w:id="52"/>
      <w:bookmarkStart w:id="53" w:name="_Toc184313247"/>
      <w:bookmarkEnd w:id="53"/>
      <w:bookmarkStart w:id="54" w:name="_Toc184308057"/>
      <w:bookmarkEnd w:id="54"/>
      <w:bookmarkStart w:id="55" w:name="_Toc184308047"/>
      <w:bookmarkEnd w:id="55"/>
      <w:bookmarkStart w:id="56" w:name="_Toc184314475"/>
      <w:bookmarkEnd w:id="56"/>
      <w:bookmarkStart w:id="57" w:name="_Toc184313288"/>
      <w:bookmarkEnd w:id="57"/>
      <w:bookmarkStart w:id="58" w:name="_Toc184310285"/>
      <w:bookmarkEnd w:id="58"/>
      <w:bookmarkStart w:id="59" w:name="_Toc184310309"/>
      <w:bookmarkEnd w:id="59"/>
      <w:bookmarkStart w:id="60" w:name="_Toc184312102"/>
      <w:bookmarkEnd w:id="60"/>
      <w:bookmarkStart w:id="61" w:name="_Toc184312071"/>
      <w:bookmarkEnd w:id="61"/>
      <w:bookmarkStart w:id="62" w:name="_Toc184310325"/>
      <w:bookmarkEnd w:id="62"/>
      <w:bookmarkStart w:id="63" w:name="_Toc184312082"/>
      <w:bookmarkEnd w:id="63"/>
      <w:bookmarkStart w:id="64" w:name="_Toc184308105"/>
      <w:bookmarkEnd w:id="64"/>
      <w:bookmarkStart w:id="65" w:name="_Toc184314428"/>
      <w:bookmarkEnd w:id="65"/>
      <w:bookmarkStart w:id="66" w:name="_Toc184312133"/>
      <w:bookmarkEnd w:id="66"/>
      <w:bookmarkStart w:id="67" w:name="_Toc184308054"/>
      <w:bookmarkEnd w:id="67"/>
      <w:bookmarkStart w:id="68" w:name="_Toc184313272"/>
      <w:bookmarkEnd w:id="68"/>
      <w:bookmarkStart w:id="69" w:name="_Toc184312138"/>
      <w:bookmarkEnd w:id="69"/>
      <w:bookmarkStart w:id="70" w:name="_Toc184308100"/>
      <w:bookmarkEnd w:id="70"/>
      <w:bookmarkStart w:id="71" w:name="_Toc184308088"/>
      <w:bookmarkEnd w:id="71"/>
      <w:bookmarkStart w:id="72" w:name="_Toc184312132"/>
      <w:bookmarkEnd w:id="72"/>
      <w:bookmarkStart w:id="73" w:name="_Toc184308082"/>
      <w:bookmarkEnd w:id="73"/>
      <w:bookmarkStart w:id="74" w:name="_Toc184312067"/>
      <w:bookmarkEnd w:id="74"/>
      <w:bookmarkStart w:id="75" w:name="_Toc184313256"/>
      <w:bookmarkEnd w:id="75"/>
      <w:bookmarkStart w:id="76" w:name="_Toc184312137"/>
      <w:bookmarkEnd w:id="76"/>
      <w:bookmarkStart w:id="77" w:name="_Toc184314443"/>
      <w:bookmarkEnd w:id="77"/>
      <w:bookmarkStart w:id="78" w:name="_Toc184312101"/>
      <w:bookmarkEnd w:id="78"/>
      <w:bookmarkStart w:id="79" w:name="_Toc184313250"/>
      <w:bookmarkEnd w:id="79"/>
      <w:bookmarkStart w:id="80" w:name="_Toc184308062"/>
      <w:bookmarkEnd w:id="80"/>
      <w:bookmarkStart w:id="81" w:name="_Toc184310323"/>
      <w:bookmarkEnd w:id="81"/>
      <w:bookmarkStart w:id="82" w:name="_Toc184312118"/>
      <w:bookmarkEnd w:id="82"/>
      <w:bookmarkStart w:id="83" w:name="_Toc184313292"/>
      <w:bookmarkEnd w:id="83"/>
      <w:bookmarkStart w:id="84" w:name="_Toc184312100"/>
      <w:bookmarkEnd w:id="84"/>
      <w:bookmarkStart w:id="85" w:name="_Toc184308076"/>
      <w:bookmarkEnd w:id="85"/>
      <w:bookmarkStart w:id="86" w:name="_Toc184314435"/>
      <w:bookmarkEnd w:id="86"/>
      <w:bookmarkStart w:id="87" w:name="_Toc184314476"/>
      <w:bookmarkEnd w:id="87"/>
      <w:bookmarkStart w:id="88" w:name="_Toc184313304"/>
      <w:bookmarkEnd w:id="88"/>
      <w:bookmarkStart w:id="89" w:name="_Toc184310294"/>
      <w:bookmarkEnd w:id="89"/>
      <w:bookmarkStart w:id="90" w:name="_Toc184308044"/>
      <w:bookmarkEnd w:id="90"/>
      <w:bookmarkStart w:id="91" w:name="_Toc184313289"/>
      <w:bookmarkEnd w:id="91"/>
      <w:bookmarkStart w:id="92" w:name="_Toc184312125"/>
      <w:bookmarkEnd w:id="92"/>
      <w:bookmarkStart w:id="93" w:name="_Toc184313293"/>
      <w:bookmarkEnd w:id="93"/>
      <w:bookmarkStart w:id="94" w:name="_Toc184314451"/>
      <w:bookmarkEnd w:id="94"/>
      <w:bookmarkStart w:id="95" w:name="_Toc184308055"/>
      <w:bookmarkEnd w:id="95"/>
      <w:bookmarkStart w:id="96" w:name="_Toc184310311"/>
      <w:bookmarkEnd w:id="96"/>
      <w:bookmarkStart w:id="97" w:name="_Toc184312122"/>
      <w:bookmarkEnd w:id="97"/>
      <w:bookmarkStart w:id="98" w:name="_Toc184312086"/>
      <w:bookmarkEnd w:id="98"/>
      <w:bookmarkStart w:id="99" w:name="_Toc184312080"/>
      <w:bookmarkEnd w:id="99"/>
      <w:bookmarkStart w:id="100" w:name="_Toc184314416"/>
      <w:bookmarkEnd w:id="100"/>
      <w:bookmarkStart w:id="101" w:name="_Toc184308043"/>
      <w:bookmarkEnd w:id="101"/>
      <w:bookmarkStart w:id="102" w:name="_Toc184310278"/>
      <w:bookmarkEnd w:id="102"/>
      <w:bookmarkStart w:id="103" w:name="_Toc184314422"/>
      <w:bookmarkEnd w:id="103"/>
      <w:bookmarkStart w:id="104" w:name="_Toc184308090"/>
      <w:bookmarkEnd w:id="104"/>
      <w:bookmarkStart w:id="105" w:name="_Toc184310289"/>
      <w:bookmarkEnd w:id="105"/>
      <w:bookmarkStart w:id="106" w:name="_Toc184308096"/>
      <w:bookmarkEnd w:id="106"/>
      <w:bookmarkStart w:id="107" w:name="_Toc184308095"/>
      <w:bookmarkEnd w:id="107"/>
      <w:bookmarkStart w:id="108" w:name="_Toc184312077"/>
      <w:bookmarkEnd w:id="108"/>
      <w:bookmarkStart w:id="109" w:name="_Toc184308045"/>
      <w:bookmarkEnd w:id="109"/>
      <w:bookmarkStart w:id="110" w:name="_Toc184310277"/>
      <w:bookmarkEnd w:id="110"/>
      <w:bookmarkStart w:id="111" w:name="_Toc184314423"/>
      <w:bookmarkEnd w:id="111"/>
      <w:bookmarkStart w:id="112" w:name="_Toc184313298"/>
      <w:bookmarkEnd w:id="112"/>
      <w:bookmarkStart w:id="113" w:name="_Toc184312108"/>
      <w:bookmarkEnd w:id="113"/>
      <w:bookmarkStart w:id="114" w:name="_Toc184308049"/>
      <w:bookmarkEnd w:id="114"/>
      <w:bookmarkStart w:id="115" w:name="_Toc184310292"/>
      <w:bookmarkEnd w:id="115"/>
      <w:bookmarkStart w:id="116" w:name="_Toc184310317"/>
      <w:bookmarkEnd w:id="116"/>
      <w:bookmarkStart w:id="117" w:name="_Toc184310343"/>
      <w:bookmarkEnd w:id="117"/>
      <w:bookmarkStart w:id="118" w:name="_Toc184314432"/>
      <w:bookmarkEnd w:id="118"/>
      <w:bookmarkStart w:id="119" w:name="_Toc184312131"/>
      <w:bookmarkEnd w:id="119"/>
      <w:bookmarkStart w:id="120" w:name="_Toc184312135"/>
      <w:bookmarkEnd w:id="120"/>
      <w:bookmarkStart w:id="121" w:name="_Toc184313243"/>
      <w:bookmarkEnd w:id="121"/>
      <w:bookmarkStart w:id="122" w:name="_Toc184308046"/>
      <w:bookmarkEnd w:id="122"/>
      <w:bookmarkStart w:id="123" w:name="_Toc184313275"/>
      <w:bookmarkEnd w:id="123"/>
      <w:bookmarkStart w:id="124" w:name="_Toc184310293"/>
      <w:bookmarkEnd w:id="124"/>
      <w:bookmarkStart w:id="125" w:name="_Toc184308063"/>
      <w:bookmarkEnd w:id="125"/>
      <w:bookmarkStart w:id="126" w:name="_Toc184312115"/>
      <w:bookmarkEnd w:id="126"/>
      <w:bookmarkStart w:id="127" w:name="_Toc184308066"/>
      <w:bookmarkEnd w:id="127"/>
      <w:bookmarkStart w:id="128" w:name="_Toc184308086"/>
      <w:bookmarkEnd w:id="128"/>
      <w:bookmarkStart w:id="129" w:name="_Toc184308108"/>
      <w:bookmarkEnd w:id="129"/>
      <w:bookmarkStart w:id="130" w:name="_Toc184314470"/>
      <w:bookmarkEnd w:id="130"/>
      <w:bookmarkStart w:id="131" w:name="_Toc184312084"/>
      <w:bookmarkEnd w:id="131"/>
      <w:bookmarkStart w:id="132" w:name="_Toc184308073"/>
      <w:bookmarkEnd w:id="132"/>
      <w:bookmarkStart w:id="133" w:name="_Toc184312111"/>
      <w:bookmarkEnd w:id="133"/>
      <w:bookmarkStart w:id="134" w:name="_Toc184308101"/>
      <w:bookmarkEnd w:id="134"/>
      <w:bookmarkStart w:id="135" w:name="_Toc184312097"/>
      <w:bookmarkEnd w:id="135"/>
      <w:bookmarkStart w:id="136" w:name="_Toc184314410"/>
      <w:bookmarkEnd w:id="136"/>
      <w:bookmarkStart w:id="137" w:name="_Toc184308064"/>
      <w:bookmarkEnd w:id="137"/>
      <w:bookmarkStart w:id="138" w:name="_Toc184310326"/>
      <w:bookmarkEnd w:id="138"/>
      <w:bookmarkStart w:id="139" w:name="_Toc184308097"/>
      <w:bookmarkEnd w:id="139"/>
      <w:bookmarkStart w:id="140" w:name="_Toc184313261"/>
      <w:bookmarkEnd w:id="140"/>
      <w:bookmarkStart w:id="141" w:name="_Toc184310274"/>
      <w:bookmarkEnd w:id="141"/>
      <w:bookmarkStart w:id="142" w:name="_Toc184313251"/>
      <w:bookmarkEnd w:id="142"/>
      <w:bookmarkStart w:id="143" w:name="_Toc184308077"/>
      <w:bookmarkEnd w:id="143"/>
      <w:bookmarkStart w:id="144" w:name="_Toc184314466"/>
      <w:bookmarkEnd w:id="144"/>
      <w:bookmarkStart w:id="145" w:name="_Toc184310340"/>
      <w:bookmarkEnd w:id="145"/>
      <w:bookmarkStart w:id="146" w:name="_Toc184312136"/>
      <w:bookmarkEnd w:id="146"/>
      <w:bookmarkStart w:id="147" w:name="_Toc184312091"/>
      <w:bookmarkEnd w:id="147"/>
      <w:bookmarkStart w:id="148" w:name="_Toc184308065"/>
      <w:bookmarkEnd w:id="148"/>
      <w:bookmarkStart w:id="149" w:name="_Toc184310344"/>
      <w:bookmarkEnd w:id="149"/>
      <w:bookmarkStart w:id="150" w:name="_Toc184310334"/>
      <w:bookmarkEnd w:id="150"/>
      <w:bookmarkStart w:id="151" w:name="_Toc184313238"/>
      <w:bookmarkEnd w:id="151"/>
      <w:bookmarkStart w:id="152" w:name="_Toc184308048"/>
      <w:bookmarkEnd w:id="152"/>
      <w:bookmarkStart w:id="153" w:name="_Toc184308085"/>
      <w:bookmarkEnd w:id="153"/>
      <w:bookmarkStart w:id="154" w:name="_Toc184313280"/>
      <w:bookmarkEnd w:id="154"/>
      <w:bookmarkStart w:id="155" w:name="_Toc184314464"/>
      <w:bookmarkEnd w:id="155"/>
      <w:bookmarkStart w:id="156" w:name="_Toc184308079"/>
      <w:bookmarkEnd w:id="156"/>
      <w:bookmarkStart w:id="157" w:name="_Toc184313285"/>
      <w:bookmarkEnd w:id="157"/>
      <w:bookmarkStart w:id="158" w:name="_Toc184314446"/>
      <w:bookmarkEnd w:id="158"/>
      <w:bookmarkStart w:id="159" w:name="_Toc184312109"/>
      <w:bookmarkEnd w:id="159"/>
      <w:bookmarkStart w:id="160" w:name="_Toc184308094"/>
      <w:bookmarkEnd w:id="160"/>
      <w:bookmarkStart w:id="161" w:name="_Toc184308075"/>
      <w:bookmarkEnd w:id="161"/>
      <w:bookmarkStart w:id="162" w:name="_Toc184312094"/>
      <w:bookmarkEnd w:id="162"/>
      <w:bookmarkStart w:id="163" w:name="_Toc184313306"/>
      <w:bookmarkEnd w:id="163"/>
      <w:bookmarkStart w:id="164" w:name="_Toc184313310"/>
      <w:bookmarkEnd w:id="164"/>
      <w:bookmarkStart w:id="165" w:name="_Toc184313252"/>
      <w:bookmarkEnd w:id="165"/>
      <w:bookmarkStart w:id="166" w:name="_Toc184313276"/>
      <w:bookmarkEnd w:id="166"/>
      <w:bookmarkStart w:id="167" w:name="_Toc184314424"/>
      <w:bookmarkEnd w:id="167"/>
      <w:bookmarkStart w:id="168" w:name="_Toc184308099"/>
      <w:bookmarkEnd w:id="168"/>
      <w:bookmarkStart w:id="169" w:name="_Toc184312070"/>
      <w:bookmarkEnd w:id="169"/>
      <w:bookmarkStart w:id="170" w:name="_Toc184310283"/>
      <w:bookmarkEnd w:id="170"/>
      <w:bookmarkStart w:id="171" w:name="_Toc184313278"/>
      <w:bookmarkEnd w:id="171"/>
      <w:bookmarkStart w:id="172" w:name="_Toc184313249"/>
      <w:bookmarkEnd w:id="172"/>
      <w:bookmarkStart w:id="173" w:name="_Toc184313303"/>
      <w:bookmarkEnd w:id="173"/>
      <w:bookmarkStart w:id="174" w:name="_Toc184313277"/>
      <w:bookmarkEnd w:id="174"/>
      <w:bookmarkStart w:id="175" w:name="_Toc184313309"/>
      <w:bookmarkEnd w:id="175"/>
      <w:bookmarkStart w:id="176" w:name="_Toc184312088"/>
      <w:bookmarkEnd w:id="176"/>
      <w:bookmarkStart w:id="177" w:name="_Toc184308087"/>
      <w:bookmarkEnd w:id="177"/>
      <w:bookmarkStart w:id="178" w:name="_Toc184313274"/>
      <w:bookmarkEnd w:id="178"/>
      <w:bookmarkStart w:id="179" w:name="_Toc184314465"/>
      <w:bookmarkEnd w:id="179"/>
      <w:bookmarkStart w:id="180" w:name="_Toc184313301"/>
      <w:bookmarkEnd w:id="180"/>
      <w:bookmarkStart w:id="181" w:name="_Toc184314448"/>
      <w:bookmarkEnd w:id="181"/>
      <w:bookmarkStart w:id="182" w:name="_Toc184312073"/>
      <w:bookmarkEnd w:id="182"/>
      <w:bookmarkStart w:id="183" w:name="_Toc184314473"/>
      <w:bookmarkEnd w:id="183"/>
      <w:bookmarkStart w:id="184" w:name="_Toc184313286"/>
      <w:bookmarkEnd w:id="184"/>
      <w:bookmarkStart w:id="185" w:name="_Toc184314445"/>
      <w:bookmarkEnd w:id="185"/>
      <w:bookmarkStart w:id="186" w:name="_Toc184308061"/>
      <w:bookmarkEnd w:id="186"/>
      <w:bookmarkStart w:id="187" w:name="_Toc184312134"/>
      <w:bookmarkEnd w:id="187"/>
      <w:bookmarkStart w:id="188" w:name="_Toc184308071"/>
      <w:bookmarkEnd w:id="188"/>
      <w:bookmarkStart w:id="189" w:name="_Toc184314434"/>
      <w:bookmarkEnd w:id="189"/>
      <w:bookmarkStart w:id="190" w:name="_Toc184308059"/>
      <w:bookmarkEnd w:id="190"/>
      <w:bookmarkStart w:id="191" w:name="_Toc184314433"/>
      <w:bookmarkEnd w:id="191"/>
      <w:bookmarkStart w:id="192" w:name="_Toc184312090"/>
      <w:bookmarkEnd w:id="192"/>
      <w:bookmarkStart w:id="193" w:name="_Toc184308074"/>
      <w:bookmarkEnd w:id="193"/>
      <w:bookmarkStart w:id="194" w:name="_Toc184313257"/>
      <w:bookmarkEnd w:id="194"/>
      <w:bookmarkStart w:id="195" w:name="_Toc184313271"/>
      <w:bookmarkEnd w:id="195"/>
      <w:bookmarkStart w:id="196" w:name="_Toc184310321"/>
      <w:bookmarkEnd w:id="196"/>
      <w:bookmarkStart w:id="197" w:name="_Toc184312079"/>
      <w:bookmarkEnd w:id="197"/>
      <w:bookmarkStart w:id="198" w:name="_Toc184312139"/>
      <w:bookmarkEnd w:id="198"/>
      <w:bookmarkStart w:id="199" w:name="_Toc184314480"/>
      <w:bookmarkEnd w:id="199"/>
      <w:bookmarkStart w:id="200" w:name="_Toc184312112"/>
      <w:bookmarkEnd w:id="200"/>
      <w:bookmarkStart w:id="201" w:name="_Toc184310300"/>
      <w:bookmarkEnd w:id="201"/>
      <w:bookmarkStart w:id="202" w:name="_Toc184312095"/>
      <w:bookmarkEnd w:id="202"/>
      <w:bookmarkStart w:id="203" w:name="_Toc184308080"/>
      <w:bookmarkEnd w:id="203"/>
      <w:bookmarkStart w:id="204" w:name="_Toc184312113"/>
      <w:bookmarkEnd w:id="204"/>
      <w:bookmarkStart w:id="205" w:name="_Toc184312126"/>
      <w:bookmarkEnd w:id="205"/>
      <w:bookmarkStart w:id="206" w:name="_Toc184308078"/>
      <w:bookmarkEnd w:id="206"/>
      <w:bookmarkStart w:id="207" w:name="_Toc184314440"/>
      <w:bookmarkEnd w:id="207"/>
      <w:bookmarkStart w:id="208" w:name="_Toc184314421"/>
      <w:bookmarkEnd w:id="208"/>
      <w:bookmarkStart w:id="209" w:name="_Toc184310282"/>
      <w:bookmarkEnd w:id="209"/>
      <w:bookmarkStart w:id="210" w:name="_Toc184313279"/>
      <w:bookmarkEnd w:id="210"/>
      <w:bookmarkStart w:id="211" w:name="_Toc184314425"/>
      <w:bookmarkEnd w:id="211"/>
      <w:bookmarkStart w:id="212" w:name="_Toc184310322"/>
      <w:bookmarkEnd w:id="212"/>
      <w:bookmarkStart w:id="213" w:name="_Toc184310342"/>
      <w:bookmarkEnd w:id="213"/>
      <w:bookmarkStart w:id="214" w:name="_Toc184310327"/>
      <w:bookmarkEnd w:id="214"/>
      <w:bookmarkStart w:id="215" w:name="_Toc184314454"/>
      <w:bookmarkEnd w:id="215"/>
      <w:bookmarkStart w:id="216" w:name="_Toc184313264"/>
      <w:bookmarkEnd w:id="216"/>
      <w:bookmarkStart w:id="217" w:name="_Toc184310287"/>
      <w:bookmarkEnd w:id="217"/>
      <w:bookmarkStart w:id="218" w:name="_Toc184308093"/>
      <w:bookmarkEnd w:id="218"/>
      <w:bookmarkStart w:id="219" w:name="_Toc184310279"/>
      <w:bookmarkEnd w:id="219"/>
      <w:bookmarkStart w:id="220" w:name="_Toc184314461"/>
      <w:bookmarkEnd w:id="220"/>
      <w:bookmarkStart w:id="221" w:name="_Toc184314453"/>
      <w:bookmarkEnd w:id="221"/>
      <w:bookmarkStart w:id="222" w:name="_Toc184313287"/>
      <w:bookmarkEnd w:id="222"/>
      <w:bookmarkStart w:id="223" w:name="_Toc184313295"/>
      <w:bookmarkEnd w:id="223"/>
      <w:bookmarkStart w:id="224" w:name="_Toc184314415"/>
      <w:bookmarkEnd w:id="224"/>
      <w:bookmarkStart w:id="225" w:name="_Toc184312128"/>
      <w:bookmarkEnd w:id="225"/>
      <w:bookmarkStart w:id="226" w:name="_Toc184314437"/>
      <w:bookmarkEnd w:id="226"/>
      <w:bookmarkStart w:id="227" w:name="_Toc184312105"/>
      <w:bookmarkEnd w:id="227"/>
      <w:bookmarkStart w:id="228" w:name="_Toc184310320"/>
      <w:bookmarkEnd w:id="228"/>
      <w:bookmarkStart w:id="229" w:name="_Toc184313262"/>
      <w:bookmarkEnd w:id="229"/>
      <w:bookmarkStart w:id="230" w:name="_Toc184310331"/>
      <w:bookmarkEnd w:id="230"/>
      <w:bookmarkStart w:id="231" w:name="_Toc184314474"/>
      <w:bookmarkEnd w:id="231"/>
      <w:bookmarkStart w:id="232" w:name="_Toc184313307"/>
      <w:bookmarkEnd w:id="232"/>
      <w:bookmarkStart w:id="233" w:name="_Toc184308102"/>
      <w:bookmarkEnd w:id="233"/>
      <w:bookmarkStart w:id="234" w:name="_Toc184313258"/>
      <w:bookmarkEnd w:id="234"/>
      <w:bookmarkStart w:id="235" w:name="_Toc184313281"/>
      <w:bookmarkEnd w:id="235"/>
      <w:bookmarkStart w:id="236" w:name="_Toc184313239"/>
      <w:bookmarkEnd w:id="236"/>
      <w:bookmarkStart w:id="237" w:name="_Toc184310280"/>
      <w:bookmarkEnd w:id="237"/>
      <w:bookmarkStart w:id="238" w:name="_Toc184314450"/>
      <w:bookmarkEnd w:id="238"/>
      <w:bookmarkStart w:id="239" w:name="_Toc184310273"/>
      <w:bookmarkEnd w:id="239"/>
      <w:bookmarkStart w:id="240" w:name="_Toc184313260"/>
      <w:bookmarkEnd w:id="240"/>
      <w:bookmarkStart w:id="241" w:name="_Toc184314418"/>
      <w:bookmarkEnd w:id="241"/>
      <w:bookmarkStart w:id="242" w:name="_Toc184312103"/>
      <w:bookmarkEnd w:id="242"/>
      <w:bookmarkStart w:id="243" w:name="_Toc184312096"/>
      <w:bookmarkEnd w:id="243"/>
      <w:bookmarkStart w:id="244" w:name="_Toc184312068"/>
      <w:bookmarkEnd w:id="244"/>
      <w:bookmarkStart w:id="245" w:name="_Toc184310303"/>
      <w:bookmarkEnd w:id="245"/>
      <w:bookmarkStart w:id="246" w:name="_Toc184314463"/>
      <w:bookmarkEnd w:id="246"/>
      <w:bookmarkStart w:id="247" w:name="_Toc184312116"/>
      <w:bookmarkEnd w:id="247"/>
      <w:bookmarkStart w:id="248" w:name="_Toc184313283"/>
      <w:bookmarkEnd w:id="248"/>
      <w:bookmarkStart w:id="249" w:name="_Toc184313268"/>
      <w:bookmarkEnd w:id="249"/>
      <w:bookmarkStart w:id="250" w:name="_Toc184314447"/>
      <w:bookmarkEnd w:id="250"/>
      <w:bookmarkStart w:id="251" w:name="_Toc184314426"/>
      <w:bookmarkEnd w:id="251"/>
      <w:bookmarkStart w:id="252" w:name="_Toc184310330"/>
      <w:bookmarkEnd w:id="252"/>
      <w:bookmarkStart w:id="253" w:name="_Toc184310297"/>
      <w:bookmarkEnd w:id="253"/>
      <w:bookmarkStart w:id="254" w:name="_Toc184310341"/>
      <w:bookmarkEnd w:id="254"/>
      <w:bookmarkStart w:id="255" w:name="_Toc184313240"/>
      <w:bookmarkEnd w:id="255"/>
      <w:bookmarkStart w:id="256" w:name="_Toc184308069"/>
      <w:bookmarkEnd w:id="256"/>
      <w:bookmarkStart w:id="257" w:name="_Toc184312123"/>
      <w:bookmarkEnd w:id="257"/>
      <w:bookmarkStart w:id="258" w:name="_Toc184310298"/>
      <w:bookmarkEnd w:id="258"/>
      <w:bookmarkStart w:id="259" w:name="_Toc184314477"/>
      <w:bookmarkEnd w:id="259"/>
      <w:bookmarkStart w:id="260" w:name="_Toc184312106"/>
      <w:bookmarkEnd w:id="260"/>
      <w:bookmarkStart w:id="261" w:name="_Toc184313308"/>
      <w:bookmarkEnd w:id="261"/>
      <w:bookmarkStart w:id="262" w:name="_Toc184312099"/>
      <w:bookmarkEnd w:id="262"/>
      <w:bookmarkStart w:id="263" w:name="_Toc184310339"/>
      <w:bookmarkEnd w:id="263"/>
      <w:bookmarkStart w:id="264" w:name="_Toc184314449"/>
      <w:bookmarkEnd w:id="264"/>
      <w:bookmarkStart w:id="265" w:name="_Toc184314413"/>
      <w:bookmarkEnd w:id="265"/>
      <w:bookmarkStart w:id="266" w:name="_Toc184310286"/>
      <w:bookmarkEnd w:id="266"/>
      <w:bookmarkStart w:id="267" w:name="_Toc184313254"/>
      <w:bookmarkEnd w:id="267"/>
      <w:bookmarkStart w:id="268" w:name="_Toc184314441"/>
      <w:bookmarkEnd w:id="268"/>
      <w:bookmarkStart w:id="269" w:name="_Toc184313299"/>
      <w:bookmarkEnd w:id="269"/>
      <w:bookmarkStart w:id="270" w:name="_Toc184313248"/>
      <w:bookmarkEnd w:id="270"/>
      <w:bookmarkStart w:id="271" w:name="_Toc184314442"/>
      <w:bookmarkEnd w:id="271"/>
      <w:bookmarkStart w:id="272" w:name="_Toc184308067"/>
      <w:bookmarkEnd w:id="272"/>
      <w:bookmarkStart w:id="273" w:name="_Toc184310305"/>
      <w:bookmarkEnd w:id="273"/>
      <w:bookmarkStart w:id="274" w:name="_Toc184308107"/>
      <w:bookmarkEnd w:id="274"/>
      <w:bookmarkStart w:id="275" w:name="_Toc184313267"/>
      <w:bookmarkEnd w:id="275"/>
      <w:bookmarkStart w:id="276" w:name="_Toc184308103"/>
      <w:bookmarkEnd w:id="276"/>
      <w:bookmarkStart w:id="277" w:name="_Toc184314469"/>
      <w:bookmarkEnd w:id="277"/>
      <w:bookmarkStart w:id="278" w:name="_Toc184313305"/>
      <w:bookmarkEnd w:id="278"/>
      <w:bookmarkStart w:id="279" w:name="_Toc184310276"/>
      <w:bookmarkEnd w:id="279"/>
      <w:bookmarkStart w:id="280" w:name="_Toc184314455"/>
      <w:bookmarkEnd w:id="280"/>
      <w:bookmarkStart w:id="281" w:name="_Toc184310329"/>
      <w:bookmarkEnd w:id="281"/>
      <w:bookmarkStart w:id="282" w:name="_Toc184310307"/>
      <w:bookmarkEnd w:id="282"/>
      <w:bookmarkStart w:id="283" w:name="_Toc184308084"/>
      <w:bookmarkEnd w:id="283"/>
      <w:bookmarkStart w:id="284" w:name="_Toc184312087"/>
      <w:bookmarkEnd w:id="284"/>
      <w:bookmarkStart w:id="285" w:name="_Toc184310336"/>
      <w:bookmarkEnd w:id="285"/>
      <w:bookmarkStart w:id="286" w:name="_Toc184313265"/>
      <w:bookmarkEnd w:id="286"/>
      <w:bookmarkStart w:id="287" w:name="_Toc184310315"/>
      <w:bookmarkEnd w:id="287"/>
      <w:bookmarkStart w:id="288" w:name="_Toc184314479"/>
      <w:bookmarkEnd w:id="288"/>
      <w:bookmarkStart w:id="289" w:name="_Toc184308058"/>
      <w:bookmarkEnd w:id="289"/>
      <w:bookmarkStart w:id="290" w:name="_Toc184313297"/>
      <w:bookmarkEnd w:id="290"/>
      <w:bookmarkStart w:id="291" w:name="_Toc184314482"/>
      <w:bookmarkEnd w:id="291"/>
      <w:bookmarkStart w:id="292" w:name="_Toc184313270"/>
      <w:bookmarkEnd w:id="292"/>
      <w:bookmarkStart w:id="293" w:name="_Toc184312098"/>
      <w:bookmarkEnd w:id="293"/>
      <w:bookmarkStart w:id="294" w:name="_Toc184308053"/>
      <w:bookmarkEnd w:id="294"/>
      <w:bookmarkStart w:id="295" w:name="_Toc184313263"/>
      <w:bookmarkEnd w:id="295"/>
      <w:bookmarkStart w:id="296" w:name="_Toc184314478"/>
      <w:bookmarkEnd w:id="296"/>
      <w:bookmarkStart w:id="297" w:name="_Toc184314459"/>
      <w:bookmarkEnd w:id="297"/>
      <w:bookmarkStart w:id="298" w:name="_Toc184314419"/>
      <w:bookmarkEnd w:id="298"/>
      <w:bookmarkStart w:id="299" w:name="_Toc184313255"/>
      <w:bookmarkEnd w:id="299"/>
      <w:bookmarkStart w:id="300" w:name="_Toc184312085"/>
      <w:bookmarkEnd w:id="300"/>
      <w:bookmarkStart w:id="301" w:name="_Toc184314462"/>
      <w:bookmarkEnd w:id="301"/>
      <w:bookmarkStart w:id="302" w:name="_Toc184310324"/>
      <w:bookmarkEnd w:id="302"/>
      <w:bookmarkStart w:id="303" w:name="_Toc184314427"/>
      <w:bookmarkEnd w:id="303"/>
      <w:bookmarkStart w:id="304" w:name="_Toc184314412"/>
      <w:bookmarkEnd w:id="304"/>
      <w:bookmarkStart w:id="305" w:name="_Toc184310310"/>
      <w:bookmarkEnd w:id="305"/>
      <w:bookmarkStart w:id="306" w:name="_Toc184308091"/>
      <w:bookmarkEnd w:id="306"/>
      <w:bookmarkStart w:id="307" w:name="_Toc184308089"/>
      <w:bookmarkEnd w:id="307"/>
      <w:bookmarkStart w:id="308" w:name="_Toc184314439"/>
      <w:bookmarkEnd w:id="308"/>
      <w:bookmarkStart w:id="309" w:name="_Toc184313291"/>
      <w:bookmarkEnd w:id="309"/>
      <w:bookmarkStart w:id="310" w:name="_Toc184314472"/>
      <w:bookmarkEnd w:id="310"/>
      <w:bookmarkStart w:id="311" w:name="_Toc184310328"/>
      <w:bookmarkEnd w:id="311"/>
      <w:bookmarkStart w:id="312" w:name="_Toc184312127"/>
      <w:bookmarkEnd w:id="312"/>
      <w:bookmarkStart w:id="313" w:name="_Toc184314471"/>
      <w:bookmarkEnd w:id="313"/>
      <w:bookmarkStart w:id="314" w:name="_Toc184314429"/>
      <w:bookmarkEnd w:id="314"/>
      <w:bookmarkStart w:id="315" w:name="_Toc184312072"/>
      <w:bookmarkEnd w:id="315"/>
      <w:bookmarkStart w:id="316" w:name="_Toc184310308"/>
      <w:bookmarkEnd w:id="316"/>
      <w:bookmarkStart w:id="317" w:name="_Toc184310291"/>
      <w:bookmarkEnd w:id="317"/>
      <w:bookmarkStart w:id="318" w:name="_Toc184313296"/>
      <w:bookmarkEnd w:id="318"/>
      <w:bookmarkStart w:id="319" w:name="_Toc184312110"/>
      <w:bookmarkEnd w:id="319"/>
      <w:bookmarkStart w:id="320" w:name="_Toc184308098"/>
      <w:bookmarkEnd w:id="320"/>
      <w:bookmarkStart w:id="321" w:name="_Toc184308068"/>
      <w:bookmarkEnd w:id="321"/>
      <w:bookmarkStart w:id="322" w:name="_Toc184308039"/>
      <w:bookmarkEnd w:id="322"/>
      <w:bookmarkStart w:id="323" w:name="_Toc184312120"/>
      <w:bookmarkEnd w:id="323"/>
      <w:bookmarkStart w:id="324" w:name="_Toc184308072"/>
      <w:bookmarkEnd w:id="324"/>
      <w:bookmarkStart w:id="325" w:name="_Toc184314431"/>
      <w:bookmarkEnd w:id="325"/>
      <w:bookmarkStart w:id="326" w:name="_Toc184308106"/>
      <w:bookmarkEnd w:id="326"/>
      <w:bookmarkStart w:id="327" w:name="_Toc184308040"/>
      <w:bookmarkEnd w:id="327"/>
      <w:bookmarkStart w:id="328" w:name="_Toc184308038"/>
      <w:bookmarkEnd w:id="328"/>
      <w:bookmarkStart w:id="329" w:name="_Toc184310290"/>
      <w:bookmarkEnd w:id="329"/>
      <w:bookmarkStart w:id="330" w:name="_Toc184314430"/>
      <w:bookmarkEnd w:id="330"/>
      <w:bookmarkStart w:id="331" w:name="_Toc184308050"/>
      <w:bookmarkEnd w:id="331"/>
      <w:bookmarkStart w:id="332" w:name="_Toc184308042"/>
      <w:bookmarkEnd w:id="332"/>
      <w:bookmarkStart w:id="333" w:name="_Toc184312089"/>
      <w:bookmarkEnd w:id="333"/>
      <w:bookmarkStart w:id="334" w:name="_Toc184314456"/>
      <w:bookmarkEnd w:id="334"/>
      <w:bookmarkStart w:id="335" w:name="_Toc184312093"/>
      <w:bookmarkEnd w:id="335"/>
      <w:bookmarkStart w:id="336" w:name="_Toc184308060"/>
      <w:bookmarkEnd w:id="336"/>
      <w:bookmarkStart w:id="337" w:name="_Toc184312092"/>
      <w:bookmarkEnd w:id="337"/>
      <w:bookmarkStart w:id="338" w:name="_Toc184313269"/>
      <w:bookmarkEnd w:id="338"/>
      <w:bookmarkStart w:id="339" w:name="_Toc184310332"/>
      <w:bookmarkEnd w:id="339"/>
      <w:bookmarkStart w:id="340" w:name="_Toc184308070"/>
      <w:bookmarkEnd w:id="340"/>
      <w:bookmarkStart w:id="341" w:name="_Toc184314436"/>
      <w:bookmarkEnd w:id="341"/>
      <w:bookmarkStart w:id="342" w:name="_Toc184312124"/>
      <w:bookmarkEnd w:id="342"/>
      <w:bookmarkStart w:id="343" w:name="_Toc184312078"/>
      <w:bookmarkEnd w:id="343"/>
      <w:bookmarkStart w:id="344" w:name="_Toc184308056"/>
      <w:bookmarkEnd w:id="344"/>
      <w:bookmarkStart w:id="345" w:name="_Toc184310318"/>
      <w:bookmarkEnd w:id="345"/>
      <w:bookmarkStart w:id="346" w:name="_Toc184313244"/>
      <w:bookmarkEnd w:id="346"/>
      <w:bookmarkStart w:id="347" w:name="_Toc184308051"/>
      <w:bookmarkEnd w:id="347"/>
      <w:bookmarkStart w:id="348" w:name="_Toc184313290"/>
      <w:bookmarkEnd w:id="348"/>
      <w:bookmarkStart w:id="349" w:name="_Toc184314417"/>
      <w:bookmarkEnd w:id="349"/>
      <w:bookmarkStart w:id="350" w:name="_Toc184310313"/>
      <w:bookmarkEnd w:id="350"/>
      <w:bookmarkStart w:id="351" w:name="_Toc184313242"/>
      <w:bookmarkEnd w:id="351"/>
      <w:bookmarkStart w:id="352" w:name="_Toc184310312"/>
      <w:bookmarkEnd w:id="352"/>
      <w:bookmarkStart w:id="353" w:name="_Toc184314468"/>
      <w:bookmarkEnd w:id="353"/>
      <w:bookmarkStart w:id="354" w:name="_Toc184308081"/>
      <w:bookmarkEnd w:id="354"/>
      <w:bookmarkStart w:id="355" w:name="_Toc184310296"/>
      <w:bookmarkEnd w:id="355"/>
      <w:bookmarkStart w:id="356" w:name="_Toc184314444"/>
      <w:bookmarkEnd w:id="356"/>
      <w:bookmarkStart w:id="357" w:name="_Toc184312117"/>
      <w:bookmarkEnd w:id="357"/>
      <w:bookmarkStart w:id="358" w:name="_Toc184314460"/>
      <w:bookmarkEnd w:id="358"/>
      <w:bookmarkStart w:id="359" w:name="_Toc184310314"/>
      <w:bookmarkEnd w:id="359"/>
      <w:bookmarkStart w:id="360" w:name="_Toc184310299"/>
      <w:bookmarkEnd w:id="360"/>
      <w:bookmarkStart w:id="361" w:name="_Toc184313246"/>
      <w:bookmarkEnd w:id="361"/>
      <w:bookmarkStart w:id="362" w:name="_Toc184310281"/>
      <w:bookmarkEnd w:id="362"/>
      <w:bookmarkStart w:id="363" w:name="_Toc184312076"/>
      <w:bookmarkEnd w:id="363"/>
      <w:bookmarkStart w:id="364" w:name="_Toc184310302"/>
      <w:bookmarkEnd w:id="364"/>
      <w:bookmarkStart w:id="365" w:name="_Toc184310272"/>
      <w:bookmarkEnd w:id="365"/>
      <w:bookmarkStart w:id="366" w:name="_Toc184310301"/>
      <w:bookmarkEnd w:id="366"/>
      <w:bookmarkStart w:id="367" w:name="_Toc184310335"/>
      <w:bookmarkEnd w:id="367"/>
      <w:bookmarkStart w:id="368" w:name="_Toc184314411"/>
      <w:bookmarkEnd w:id="368"/>
      <w:bookmarkStart w:id="369" w:name="_Toc184314452"/>
      <w:bookmarkEnd w:id="369"/>
      <w:bookmarkStart w:id="370" w:name="_Toc184312130"/>
      <w:bookmarkEnd w:id="370"/>
      <w:bookmarkStart w:id="371" w:name="_Toc184313266"/>
      <w:bookmarkEnd w:id="371"/>
      <w:bookmarkStart w:id="372" w:name="_Toc184313273"/>
      <w:bookmarkEnd w:id="372"/>
      <w:bookmarkStart w:id="373" w:name="_Toc184314438"/>
      <w:bookmarkEnd w:id="373"/>
      <w:bookmarkStart w:id="374" w:name="_Toc184310275"/>
      <w:bookmarkEnd w:id="374"/>
      <w:bookmarkStart w:id="375" w:name="_Toc184312069"/>
      <w:bookmarkEnd w:id="375"/>
      <w:bookmarkStart w:id="376" w:name="_Toc184310338"/>
      <w:bookmarkEnd w:id="376"/>
      <w:bookmarkStart w:id="377" w:name="_Toc184312083"/>
      <w:bookmarkEnd w:id="377"/>
      <w:bookmarkStart w:id="378" w:name="_Toc184312075"/>
      <w:bookmarkEnd w:id="378"/>
      <w:bookmarkStart w:id="379" w:name="_Toc184310284"/>
      <w:bookmarkEnd w:id="379"/>
      <w:bookmarkStart w:id="380" w:name="_Toc184310337"/>
      <w:bookmarkEnd w:id="380"/>
      <w:bookmarkStart w:id="381" w:name="_Toc184310295"/>
      <w:bookmarkEnd w:id="381"/>
      <w:bookmarkStart w:id="382" w:name="_Toc184312104"/>
      <w:bookmarkEnd w:id="382"/>
      <w:bookmarkStart w:id="383" w:name="_Toc184312121"/>
      <w:bookmarkEnd w:id="383"/>
      <w:bookmarkStart w:id="384" w:name="_Toc184312119"/>
      <w:bookmarkEnd w:id="384"/>
      <w:r>
        <w:rPr>
          <w:rFonts w:hint="eastAsia" w:ascii="仿宋" w:hAnsi="仿宋" w:eastAsia="仿宋" w:cs="仿宋"/>
          <w:b/>
          <w:bCs/>
          <w:color w:val="auto"/>
          <w:sz w:val="32"/>
          <w:szCs w:val="32"/>
        </w:rPr>
        <w:t>评标办法</w:t>
      </w:r>
    </w:p>
    <w:tbl>
      <w:tblPr>
        <w:tblStyle w:val="64"/>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6EAE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267" w:type="dxa"/>
            <w:vAlign w:val="center"/>
          </w:tcPr>
          <w:p w14:paraId="565CE161">
            <w:pPr>
              <w:autoSpaceDE w:val="0"/>
              <w:autoSpaceDN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本项目采用综合评分法</w:t>
            </w:r>
            <w:r>
              <w:rPr>
                <w:rFonts w:hint="eastAsia" w:ascii="仿宋" w:hAnsi="仿宋" w:eastAsia="仿宋" w:cs="仿宋"/>
                <w:color w:val="auto"/>
                <w:sz w:val="24"/>
              </w:rPr>
              <w:t>：</w:t>
            </w:r>
          </w:p>
          <w:p w14:paraId="5A7A23A5">
            <w:pPr>
              <w:autoSpaceDE w:val="0"/>
              <w:autoSpaceDN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将对各供应商的响应报价、供应商提供的资信与商务部分、技术部分等方面进行综合评审，评标委员会各成员应当独立对每个有效供应商的响应文件进行评价、打分。经统计，得出各供应商的最终评审分,按最终评审分由高到低顺序排列。得分相同的，按响应报价由低到高顺序排列，</w:t>
            </w:r>
            <w:r>
              <w:rPr>
                <w:rFonts w:hint="eastAsia" w:ascii="仿宋" w:hAnsi="仿宋" w:eastAsia="仿宋" w:cs="仿宋"/>
                <w:color w:val="auto"/>
                <w:sz w:val="24"/>
                <w:szCs w:val="21"/>
              </w:rPr>
              <w:t>得分且响应报价相同的并列</w:t>
            </w:r>
            <w:r>
              <w:rPr>
                <w:rFonts w:hint="eastAsia" w:ascii="仿宋" w:hAnsi="仿宋" w:eastAsia="仿宋" w:cs="仿宋"/>
                <w:color w:val="auto"/>
                <w:sz w:val="24"/>
              </w:rPr>
              <w:t xml:space="preserve">，并形成评标意见。 </w:t>
            </w:r>
          </w:p>
          <w:p w14:paraId="535B02F2">
            <w:pPr>
              <w:spacing w:line="360" w:lineRule="auto"/>
              <w:ind w:left="105" w:leftChars="50" w:firstLine="427" w:firstLineChars="178"/>
              <w:rPr>
                <w:rFonts w:hint="eastAsia" w:ascii="仿宋" w:hAnsi="仿宋" w:eastAsia="仿宋" w:cs="仿宋"/>
                <w:color w:val="auto"/>
                <w:sz w:val="24"/>
              </w:rPr>
            </w:pPr>
            <w:r>
              <w:rPr>
                <w:rFonts w:hint="eastAsia" w:ascii="仿宋" w:hAnsi="仿宋" w:eastAsia="仿宋" w:cs="仿宋"/>
                <w:color w:val="auto"/>
                <w:sz w:val="24"/>
              </w:rPr>
              <w:t>各供应商的综合得分为：价格得分+</w:t>
            </w:r>
            <w:r>
              <w:rPr>
                <w:rFonts w:hint="eastAsia" w:ascii="仿宋" w:hAnsi="仿宋" w:eastAsia="仿宋" w:cs="仿宋"/>
                <w:bCs/>
                <w:color w:val="auto"/>
                <w:sz w:val="24"/>
              </w:rPr>
              <w:t>技术部分</w:t>
            </w:r>
            <w:r>
              <w:rPr>
                <w:rFonts w:hint="eastAsia" w:ascii="仿宋" w:hAnsi="仿宋" w:eastAsia="仿宋" w:cs="仿宋"/>
                <w:color w:val="auto"/>
                <w:sz w:val="24"/>
              </w:rPr>
              <w:t>得分+资信与商务部分得分之和，总和为</w:t>
            </w:r>
            <w:r>
              <w:rPr>
                <w:rFonts w:hint="eastAsia" w:ascii="仿宋" w:hAnsi="仿宋" w:eastAsia="仿宋" w:cs="仿宋"/>
                <w:color w:val="auto"/>
                <w:sz w:val="24"/>
                <w:u w:val="single"/>
              </w:rPr>
              <w:t>100</w:t>
            </w:r>
            <w:r>
              <w:rPr>
                <w:rFonts w:hint="eastAsia" w:ascii="仿宋" w:hAnsi="仿宋" w:eastAsia="仿宋" w:cs="仿宋"/>
                <w:color w:val="auto"/>
                <w:sz w:val="24"/>
              </w:rPr>
              <w:t>分</w:t>
            </w:r>
          </w:p>
          <w:p w14:paraId="2F2C0231">
            <w:pPr>
              <w:autoSpaceDE w:val="0"/>
              <w:autoSpaceDN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各供应商的技术、资信与商务部分得分为：评标委员会各成员评分的算术平均值。各供应商的价格得分按价格评分公式由代理机构计算，评标委员会审核。</w:t>
            </w:r>
            <w:r>
              <w:rPr>
                <w:rFonts w:hint="eastAsia" w:ascii="仿宋" w:hAnsi="仿宋" w:eastAsia="仿宋" w:cs="仿宋"/>
                <w:color w:val="auto"/>
                <w:sz w:val="24"/>
              </w:rPr>
              <w:t>根据上述评标原则，分值安排如下：</w:t>
            </w:r>
          </w:p>
        </w:tc>
      </w:tr>
    </w:tbl>
    <w:p w14:paraId="30292DE5">
      <w:pPr>
        <w:widowControl/>
        <w:spacing w:line="360" w:lineRule="auto"/>
        <w:ind w:firstLine="482" w:firstLineChars="200"/>
        <w:rPr>
          <w:rFonts w:hint="eastAsia" w:ascii="仿宋" w:hAnsi="仿宋" w:eastAsia="仿宋" w:cs="仿宋"/>
          <w:b/>
          <w:bCs/>
          <w:color w:val="auto"/>
          <w:sz w:val="24"/>
        </w:rPr>
      </w:pPr>
    </w:p>
    <w:p w14:paraId="1E77D983">
      <w:pPr>
        <w:widowControl/>
        <w:spacing w:line="360" w:lineRule="auto"/>
        <w:rPr>
          <w:rFonts w:hint="eastAsia" w:ascii="仿宋" w:hAnsi="仿宋" w:eastAsia="仿宋" w:cs="仿宋"/>
          <w:color w:val="auto"/>
          <w:sz w:val="24"/>
        </w:rPr>
      </w:pPr>
    </w:p>
    <w:p w14:paraId="2C4B55D8">
      <w:pPr>
        <w:widowControl/>
        <w:spacing w:line="360" w:lineRule="auto"/>
        <w:rPr>
          <w:rFonts w:hint="eastAsia" w:ascii="仿宋" w:hAnsi="仿宋" w:eastAsia="仿宋" w:cs="仿宋"/>
          <w:color w:val="auto"/>
          <w:sz w:val="24"/>
        </w:rPr>
      </w:pPr>
    </w:p>
    <w:p w14:paraId="32AB19A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bl>
      <w:tblPr>
        <w:tblStyle w:val="64"/>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524"/>
        <w:gridCol w:w="938"/>
        <w:gridCol w:w="1175"/>
      </w:tblGrid>
      <w:tr w14:paraId="2B2C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67879D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524" w:type="dxa"/>
            <w:tcBorders>
              <w:tl2br w:val="nil"/>
              <w:tr2bl w:val="nil"/>
            </w:tcBorders>
            <w:shd w:val="clear" w:color="auto" w:fill="auto"/>
            <w:vAlign w:val="center"/>
          </w:tcPr>
          <w:p w14:paraId="260F326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938" w:type="dxa"/>
            <w:tcBorders>
              <w:tl2br w:val="nil"/>
              <w:tr2bl w:val="nil"/>
            </w:tcBorders>
            <w:shd w:val="clear" w:color="auto" w:fill="auto"/>
            <w:vAlign w:val="center"/>
          </w:tcPr>
          <w:p w14:paraId="5AC9BC8F">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75" w:type="dxa"/>
            <w:tcBorders>
              <w:tl2br w:val="nil"/>
              <w:tr2bl w:val="nil"/>
            </w:tcBorders>
            <w:vAlign w:val="center"/>
          </w:tcPr>
          <w:p w14:paraId="026B667A">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31485030">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746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369996AC">
            <w:pPr>
              <w:widowControl/>
              <w:shd w:val="clea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524" w:type="dxa"/>
            <w:tcBorders>
              <w:tl2br w:val="nil"/>
              <w:tr2bl w:val="nil"/>
            </w:tcBorders>
            <w:shd w:val="clear" w:color="auto" w:fill="auto"/>
            <w:vAlign w:val="center"/>
          </w:tcPr>
          <w:p w14:paraId="01CA2D40">
            <w:pPr>
              <w:widowControl/>
              <w:shd w:val="clea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同类项目业绩：2022年5月1日（以合同签订日期为准）以来同类产品项目业绩情况，每提供1个有效业绩得1分，最高3分，（投标文件中提供合同复印件并加盖公章，否则不得分。）</w:t>
            </w:r>
          </w:p>
          <w:p w14:paraId="21C398A7">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04E6A317">
            <w:pPr>
              <w:widowControl/>
              <w:shd w:val="clea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
                <w:color w:val="auto"/>
                <w:sz w:val="24"/>
                <w:highlight w:val="none"/>
              </w:rPr>
              <w:t>投标产品为对省级以上主管部门认定的首台套产品，自纳入《省推广应用指导目录》起三年内参加采购活动，视同已具备相应销售业绩，本项得满分。</w:t>
            </w:r>
          </w:p>
        </w:tc>
        <w:tc>
          <w:tcPr>
            <w:tcW w:w="938" w:type="dxa"/>
            <w:tcBorders>
              <w:tl2br w:val="nil"/>
              <w:tr2bl w:val="nil"/>
            </w:tcBorders>
            <w:shd w:val="clear" w:color="auto" w:fill="auto"/>
            <w:vAlign w:val="center"/>
          </w:tcPr>
          <w:p w14:paraId="5F9097F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175" w:type="dxa"/>
            <w:tcBorders>
              <w:tl2br w:val="nil"/>
              <w:tr2bl w:val="nil"/>
            </w:tcBorders>
            <w:shd w:val="clear" w:color="auto" w:fill="auto"/>
            <w:vAlign w:val="center"/>
          </w:tcPr>
          <w:p w14:paraId="5E7329F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6614C0ED">
      <w:pPr>
        <w:widowControl/>
        <w:shd w:val="clear"/>
        <w:adjustRightInd/>
        <w:spacing w:line="360" w:lineRule="auto"/>
        <w:jc w:val="left"/>
        <w:rPr>
          <w:rFonts w:hint="eastAsia" w:ascii="仿宋" w:hAnsi="仿宋" w:eastAsia="仿宋" w:cs="仿宋"/>
          <w:color w:val="auto"/>
          <w:sz w:val="24"/>
          <w:highlight w:val="none"/>
        </w:rPr>
      </w:pPr>
    </w:p>
    <w:p w14:paraId="00A0F87D">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67</w:t>
      </w:r>
      <w:r>
        <w:rPr>
          <w:rFonts w:hint="eastAsia" w:ascii="仿宋" w:hAnsi="仿宋" w:eastAsia="仿宋" w:cs="仿宋"/>
          <w:color w:val="auto"/>
          <w:sz w:val="24"/>
          <w:highlight w:val="none"/>
        </w:rPr>
        <w:t>分）</w:t>
      </w:r>
    </w:p>
    <w:tbl>
      <w:tblPr>
        <w:tblStyle w:val="64"/>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45"/>
        <w:gridCol w:w="808"/>
        <w:gridCol w:w="3989"/>
        <w:gridCol w:w="937"/>
        <w:gridCol w:w="1175"/>
      </w:tblGrid>
      <w:tr w14:paraId="2B28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70E56E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1B90344D">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7ABAB0EA">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AA8C63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9505065">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56689BAC">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19BC4528">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18B7041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797" w:type="dxa"/>
            <w:gridSpan w:val="2"/>
            <w:tcBorders>
              <w:tl2br w:val="nil"/>
              <w:tr2bl w:val="nil"/>
            </w:tcBorders>
            <w:shd w:val="clear" w:color="auto" w:fill="auto"/>
            <w:vAlign w:val="center"/>
          </w:tcPr>
          <w:p w14:paraId="56D43065">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37" w:type="dxa"/>
            <w:tcBorders>
              <w:tl2br w:val="nil"/>
              <w:tr2bl w:val="nil"/>
            </w:tcBorders>
            <w:shd w:val="clear" w:color="auto" w:fill="auto"/>
            <w:vAlign w:val="center"/>
          </w:tcPr>
          <w:p w14:paraId="4DB40733">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175" w:type="dxa"/>
            <w:tcBorders>
              <w:tl2br w:val="nil"/>
              <w:tr2bl w:val="nil"/>
            </w:tcBorders>
            <w:shd w:val="clear" w:color="auto" w:fill="auto"/>
            <w:vAlign w:val="center"/>
          </w:tcPr>
          <w:p w14:paraId="440BF386">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4038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59478999">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4F0BDFC4">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2</w:t>
            </w:r>
          </w:p>
        </w:tc>
        <w:tc>
          <w:tcPr>
            <w:tcW w:w="4797" w:type="dxa"/>
            <w:gridSpan w:val="2"/>
            <w:tcBorders>
              <w:tl2br w:val="nil"/>
              <w:tr2bl w:val="nil"/>
            </w:tcBorders>
            <w:shd w:val="clear" w:color="auto" w:fill="auto"/>
            <w:vAlign w:val="center"/>
          </w:tcPr>
          <w:p w14:paraId="5F77AECF">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带“△”重要指标负偏离的，扣4分，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0015A32E">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40</w:t>
            </w:r>
          </w:p>
        </w:tc>
        <w:tc>
          <w:tcPr>
            <w:tcW w:w="1175" w:type="dxa"/>
            <w:tcBorders>
              <w:tl2br w:val="nil"/>
              <w:tr2bl w:val="nil"/>
            </w:tcBorders>
            <w:shd w:val="clear" w:color="auto" w:fill="auto"/>
            <w:vAlign w:val="center"/>
          </w:tcPr>
          <w:p w14:paraId="3640154F">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57BE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560A940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7D84EF00">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3</w:t>
            </w:r>
          </w:p>
        </w:tc>
        <w:tc>
          <w:tcPr>
            <w:tcW w:w="4797" w:type="dxa"/>
            <w:gridSpan w:val="2"/>
            <w:tcBorders>
              <w:tl2br w:val="nil"/>
              <w:tr2bl w:val="nil"/>
            </w:tcBorders>
            <w:shd w:val="clear" w:color="auto" w:fill="auto"/>
            <w:vAlign w:val="center"/>
          </w:tcPr>
          <w:p w14:paraId="3D5FA21F">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37" w:type="dxa"/>
            <w:tcBorders>
              <w:tl2br w:val="nil"/>
              <w:tr2bl w:val="nil"/>
            </w:tcBorders>
            <w:shd w:val="clear" w:color="auto" w:fill="auto"/>
            <w:vAlign w:val="center"/>
          </w:tcPr>
          <w:p w14:paraId="5238D16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175" w:type="dxa"/>
            <w:tcBorders>
              <w:tl2br w:val="nil"/>
              <w:tr2bl w:val="nil"/>
            </w:tcBorders>
            <w:shd w:val="clear" w:color="auto" w:fill="auto"/>
            <w:vAlign w:val="center"/>
          </w:tcPr>
          <w:p w14:paraId="1DEDCB4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7BD0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2BFB53C8">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19582E06">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4797" w:type="dxa"/>
            <w:gridSpan w:val="2"/>
            <w:tcBorders>
              <w:tl2br w:val="nil"/>
              <w:tr2bl w:val="nil"/>
            </w:tcBorders>
            <w:shd w:val="clear" w:color="auto" w:fill="auto"/>
            <w:vAlign w:val="center"/>
          </w:tcPr>
          <w:p w14:paraId="689A2E7C">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供货质量控制制度：供货质量控制制度的健全及合理性。制度与公司实际相符，内容全面而简要，可操作性强等综合评定。内容完整、表述准确、无前后矛盾的得3分；</w:t>
            </w:r>
          </w:p>
          <w:p w14:paraId="1D1DBFB1">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内容基本齐全、表述较准确、前后矛盾较少的得2分；</w:t>
            </w:r>
          </w:p>
          <w:p w14:paraId="5D895AD2">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内容欠缺、表述不准确、内容前后矛盾多的得1分。不提供不得分。</w:t>
            </w:r>
          </w:p>
        </w:tc>
        <w:tc>
          <w:tcPr>
            <w:tcW w:w="937" w:type="dxa"/>
            <w:tcBorders>
              <w:tl2br w:val="nil"/>
              <w:tr2bl w:val="nil"/>
            </w:tcBorders>
            <w:shd w:val="clear" w:color="auto" w:fill="auto"/>
            <w:vAlign w:val="center"/>
          </w:tcPr>
          <w:p w14:paraId="7AB0B9A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5506FD4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127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13F26A2D">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459B51C6">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eastAsia="仿宋"/>
                <w:color w:val="auto"/>
                <w:szCs w:val="21"/>
                <w:lang w:val="en-US" w:eastAsia="zh-CN"/>
              </w:rPr>
              <w:t>5</w:t>
            </w:r>
          </w:p>
        </w:tc>
        <w:tc>
          <w:tcPr>
            <w:tcW w:w="4797" w:type="dxa"/>
            <w:gridSpan w:val="2"/>
            <w:tcBorders>
              <w:tl2br w:val="nil"/>
              <w:tr2bl w:val="nil"/>
            </w:tcBorders>
            <w:shd w:val="clear" w:color="auto" w:fill="auto"/>
            <w:vAlign w:val="center"/>
          </w:tcPr>
          <w:p w14:paraId="1E53351E">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供应商根据招标技术方案要求，提供详细的项目调试、安装方案，方案是否合理、准确、详尽，是否满足业务需求且描述准确。①方案内容完整、合理、可行的，得3分；</w:t>
            </w:r>
          </w:p>
          <w:p w14:paraId="5F92365E">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②方案内容基本完整、具有一定可行性的，得2分；</w:t>
            </w:r>
          </w:p>
          <w:p w14:paraId="7D393111">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③方案内容一般的，得1分；</w:t>
            </w:r>
          </w:p>
          <w:p w14:paraId="3A6DCAC5">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④方案内容存在欠缺或有待完善的或未提供的不得分。</w:t>
            </w:r>
          </w:p>
        </w:tc>
        <w:tc>
          <w:tcPr>
            <w:tcW w:w="937" w:type="dxa"/>
            <w:tcBorders>
              <w:tl2br w:val="nil"/>
              <w:tr2bl w:val="nil"/>
            </w:tcBorders>
            <w:shd w:val="clear" w:color="auto" w:fill="auto"/>
            <w:vAlign w:val="center"/>
          </w:tcPr>
          <w:p w14:paraId="55481487">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1DCF0766">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主观分</w:t>
            </w:r>
          </w:p>
        </w:tc>
      </w:tr>
      <w:tr w14:paraId="0548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32DD14A1">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68BF4D03">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lang w:val="en-US" w:eastAsia="zh-CN"/>
              </w:rPr>
              <w:t>6</w:t>
            </w:r>
          </w:p>
        </w:tc>
        <w:tc>
          <w:tcPr>
            <w:tcW w:w="4797" w:type="dxa"/>
            <w:gridSpan w:val="2"/>
            <w:tcBorders>
              <w:tl2br w:val="nil"/>
              <w:tr2bl w:val="nil"/>
            </w:tcBorders>
            <w:shd w:val="clear" w:color="auto" w:fill="auto"/>
            <w:vAlign w:val="center"/>
          </w:tcPr>
          <w:p w14:paraId="6B763F14">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根据人员配置方案的合理性、科学性以及人员调度的便捷性、综合素质、技术能力、专业公布、实施经验等情况综合打分。</w:t>
            </w:r>
          </w:p>
          <w:p w14:paraId="13F2BFAC">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配置合理且针对性强的得3分；配置较合理且针对性较强的得2分；配置一般且针对性一般的得1分；配置较差且针对性较差的不得分。</w:t>
            </w:r>
          </w:p>
        </w:tc>
        <w:tc>
          <w:tcPr>
            <w:tcW w:w="937" w:type="dxa"/>
            <w:tcBorders>
              <w:tl2br w:val="nil"/>
              <w:tr2bl w:val="nil"/>
            </w:tcBorders>
            <w:shd w:val="clear" w:color="auto" w:fill="auto"/>
            <w:vAlign w:val="center"/>
          </w:tcPr>
          <w:p w14:paraId="2773C0EC">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3C3CED1C">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主观分</w:t>
            </w:r>
          </w:p>
        </w:tc>
      </w:tr>
      <w:tr w14:paraId="6E74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45" w:type="dxa"/>
            <w:vMerge w:val="continue"/>
            <w:tcBorders>
              <w:tl2br w:val="nil"/>
              <w:tr2bl w:val="nil"/>
            </w:tcBorders>
            <w:shd w:val="clear" w:color="auto" w:fill="auto"/>
            <w:vAlign w:val="center"/>
          </w:tcPr>
          <w:p w14:paraId="43691D5D">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5725A378">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restart"/>
            <w:tcBorders>
              <w:tl2br w:val="nil"/>
              <w:tr2bl w:val="nil"/>
            </w:tcBorders>
            <w:shd w:val="clear" w:color="auto" w:fill="auto"/>
            <w:vAlign w:val="center"/>
          </w:tcPr>
          <w:p w14:paraId="29BD2755">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3284C8E8">
            <w:pPr>
              <w:widowControl/>
              <w:shd w:val="clear"/>
              <w:spacing w:line="360" w:lineRule="auto"/>
              <w:jc w:val="center"/>
              <w:rPr>
                <w:rFonts w:hint="eastAsia" w:ascii="仿宋" w:hAnsi="仿宋" w:eastAsia="仿宋" w:cs="仿宋_GB2312"/>
                <w:color w:val="auto"/>
                <w:sz w:val="24"/>
                <w:highlight w:val="none"/>
                <w:lang w:eastAsia="zh-CN"/>
              </w:rPr>
            </w:pPr>
          </w:p>
        </w:tc>
        <w:tc>
          <w:tcPr>
            <w:tcW w:w="3989" w:type="dxa"/>
            <w:tcBorders>
              <w:tl2br w:val="nil"/>
              <w:tr2bl w:val="nil"/>
            </w:tcBorders>
            <w:shd w:val="clear" w:color="auto" w:fill="auto"/>
            <w:vAlign w:val="center"/>
          </w:tcPr>
          <w:p w14:paraId="286C0058">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方案完整、内容齐全、各项实施内容切实可行的得4分；</w:t>
            </w:r>
            <w:r>
              <w:rPr>
                <w:rFonts w:hint="eastAsia" w:ascii="仿宋" w:hAnsi="仿宋" w:eastAsia="仿宋" w:cs="仿宋"/>
                <w:color w:val="auto"/>
                <w:sz w:val="24"/>
                <w:szCs w:val="24"/>
                <w:highlight w:val="none"/>
                <w:u w:val="none"/>
                <w:lang w:val="en-US" w:eastAsia="zh-CN"/>
              </w:rPr>
              <w:t>方案基本完整、可操作性较强得3分；方案内容较完整、实施内容针对性弱的得2分；内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29B6589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175" w:type="dxa"/>
            <w:tcBorders>
              <w:tl2br w:val="nil"/>
              <w:tr2bl w:val="nil"/>
            </w:tcBorders>
            <w:shd w:val="clear" w:color="auto" w:fill="auto"/>
            <w:vAlign w:val="center"/>
          </w:tcPr>
          <w:p w14:paraId="51BB6033">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050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2C2BAE8">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3891CF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7ECAD5BB">
            <w:pPr>
              <w:widowControl/>
              <w:shd w:val="clear"/>
              <w:spacing w:line="360" w:lineRule="auto"/>
              <w:jc w:val="center"/>
              <w:rPr>
                <w:rFonts w:hint="eastAsia" w:ascii="仿宋" w:hAnsi="仿宋" w:eastAsia="仿宋" w:cs="仿宋_GB2312"/>
                <w:color w:val="auto"/>
                <w:sz w:val="24"/>
                <w:highlight w:val="none"/>
                <w:lang w:eastAsia="zh-CN"/>
              </w:rPr>
            </w:pPr>
          </w:p>
        </w:tc>
        <w:tc>
          <w:tcPr>
            <w:tcW w:w="3989" w:type="dxa"/>
            <w:tcBorders>
              <w:tl2br w:val="nil"/>
              <w:tr2bl w:val="nil"/>
            </w:tcBorders>
            <w:shd w:val="clear" w:color="auto" w:fill="auto"/>
            <w:vAlign w:val="center"/>
          </w:tcPr>
          <w:p w14:paraId="1D384CC8">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37" w:type="dxa"/>
            <w:tcBorders>
              <w:tl2br w:val="nil"/>
              <w:tr2bl w:val="nil"/>
            </w:tcBorders>
            <w:shd w:val="clear" w:color="auto" w:fill="auto"/>
            <w:vAlign w:val="center"/>
          </w:tcPr>
          <w:p w14:paraId="2C75C7B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054AAD50">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72F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D2F6667">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4D12B04">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808" w:type="dxa"/>
            <w:vMerge w:val="continue"/>
            <w:tcBorders>
              <w:tl2br w:val="nil"/>
              <w:tr2bl w:val="nil"/>
            </w:tcBorders>
            <w:shd w:val="clear" w:color="auto" w:fill="auto"/>
            <w:vAlign w:val="center"/>
          </w:tcPr>
          <w:p w14:paraId="53CDD0CF">
            <w:pPr>
              <w:widowControl/>
              <w:shd w:val="clear"/>
              <w:spacing w:line="360" w:lineRule="auto"/>
              <w:jc w:val="center"/>
              <w:rPr>
                <w:rFonts w:hint="eastAsia" w:ascii="仿宋" w:hAnsi="仿宋" w:eastAsia="仿宋" w:cs="仿宋_GB2312"/>
                <w:color w:val="auto"/>
                <w:sz w:val="24"/>
                <w:highlight w:val="none"/>
                <w:lang w:eastAsia="zh-CN"/>
              </w:rPr>
            </w:pPr>
          </w:p>
        </w:tc>
        <w:tc>
          <w:tcPr>
            <w:tcW w:w="3989" w:type="dxa"/>
            <w:tcBorders>
              <w:tl2br w:val="nil"/>
              <w:tr2bl w:val="nil"/>
            </w:tcBorders>
            <w:shd w:val="clear" w:color="auto" w:fill="auto"/>
            <w:vAlign w:val="center"/>
          </w:tcPr>
          <w:p w14:paraId="35708871">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无人员配备得0分。</w:t>
            </w:r>
          </w:p>
        </w:tc>
        <w:tc>
          <w:tcPr>
            <w:tcW w:w="937" w:type="dxa"/>
            <w:tcBorders>
              <w:tl2br w:val="nil"/>
              <w:tr2bl w:val="nil"/>
            </w:tcBorders>
            <w:shd w:val="clear" w:color="auto" w:fill="auto"/>
            <w:vAlign w:val="center"/>
          </w:tcPr>
          <w:p w14:paraId="3FD5676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5FD4E4C5">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7E1A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5" w:type="dxa"/>
            <w:vMerge w:val="continue"/>
            <w:tcBorders>
              <w:tl2br w:val="nil"/>
              <w:tr2bl w:val="nil"/>
            </w:tcBorders>
            <w:vAlign w:val="center"/>
          </w:tcPr>
          <w:p w14:paraId="2EB7560D">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0A4C14B1">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4797" w:type="dxa"/>
            <w:gridSpan w:val="2"/>
            <w:tcBorders>
              <w:tl2br w:val="nil"/>
              <w:tr2bl w:val="nil"/>
            </w:tcBorders>
            <w:shd w:val="clear" w:color="auto" w:fill="auto"/>
            <w:vAlign w:val="center"/>
          </w:tcPr>
          <w:p w14:paraId="0B00776F">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方案合理安排一般得1分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5056DF85">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175" w:type="dxa"/>
            <w:tcBorders>
              <w:tl2br w:val="nil"/>
              <w:tr2bl w:val="nil"/>
            </w:tcBorders>
            <w:shd w:val="clear" w:color="auto" w:fill="auto"/>
            <w:vAlign w:val="center"/>
          </w:tcPr>
          <w:p w14:paraId="4622F9A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89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Merge w:val="continue"/>
            <w:tcBorders>
              <w:tl2br w:val="nil"/>
              <w:tr2bl w:val="nil"/>
            </w:tcBorders>
            <w:vAlign w:val="center"/>
          </w:tcPr>
          <w:p w14:paraId="4D2CEDAA">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E11B0CB">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4797" w:type="dxa"/>
            <w:gridSpan w:val="2"/>
            <w:tcBorders>
              <w:tl2br w:val="nil"/>
              <w:tr2bl w:val="nil"/>
            </w:tcBorders>
            <w:shd w:val="clear" w:color="auto" w:fill="auto"/>
            <w:vAlign w:val="center"/>
          </w:tcPr>
          <w:p w14:paraId="40B1A26A">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方案合理措施一般得1分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方案有缺陷的得0.5分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6774E1C3">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175" w:type="dxa"/>
            <w:tcBorders>
              <w:tl2br w:val="nil"/>
              <w:tr2bl w:val="nil"/>
            </w:tcBorders>
            <w:shd w:val="clear" w:color="auto" w:fill="auto"/>
            <w:vAlign w:val="center"/>
          </w:tcPr>
          <w:p w14:paraId="414D0797">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00E88ACF">
      <w:pPr>
        <w:spacing w:line="360" w:lineRule="auto"/>
        <w:rPr>
          <w:rFonts w:hint="eastAsia" w:ascii="仿宋" w:hAnsi="仿宋" w:eastAsia="仿宋" w:cs="仿宋"/>
          <w:b w:val="0"/>
          <w:bCs w:val="0"/>
          <w:color w:val="auto"/>
          <w:sz w:val="20"/>
          <w:szCs w:val="20"/>
          <w:shd w:val="clear" w:color="auto" w:fill="FFFFFF"/>
        </w:rPr>
      </w:pPr>
    </w:p>
    <w:p w14:paraId="201C6CEF">
      <w:pPr>
        <w:spacing w:line="360" w:lineRule="auto"/>
        <w:rPr>
          <w:rFonts w:hint="eastAsia" w:ascii="仿宋" w:hAnsi="仿宋" w:eastAsia="仿宋" w:cs="仿宋"/>
          <w:b/>
          <w:color w:val="auto"/>
          <w:sz w:val="24"/>
        </w:rPr>
      </w:pPr>
      <w:r>
        <w:rPr>
          <w:rFonts w:hint="eastAsia" w:ascii="仿宋" w:hAnsi="仿宋" w:eastAsia="仿宋" w:cs="仿宋"/>
          <w:b/>
          <w:color w:val="auto"/>
          <w:sz w:val="24"/>
        </w:rPr>
        <w:t>备注：</w:t>
      </w:r>
    </w:p>
    <w:p w14:paraId="22236F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、评分条款中涉及的业绩、荣誉、人员、社保等分公司均有效。</w:t>
      </w:r>
    </w:p>
    <w:p w14:paraId="4FBACE6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FE6C19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、供应商编制响应文件（商务技术文件部分）时，建议按此目录（序号和内容）提供评标标准相应的商务技术资料。 </w:t>
      </w:r>
    </w:p>
    <w:p w14:paraId="786060D0">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价格分（</w:t>
      </w: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p>
    <w:tbl>
      <w:tblPr>
        <w:tblStyle w:val="64"/>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B7C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33593B5">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A90944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4152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4649DD8A">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35B6675A">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6A5643D6">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7B5184B5">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674EA5B8">
      <w:pPr>
        <w:widowControl/>
        <w:spacing w:line="360" w:lineRule="auto"/>
        <w:rPr>
          <w:rFonts w:hint="eastAsia" w:ascii="仿宋" w:hAnsi="仿宋" w:eastAsia="仿宋" w:cs="仿宋"/>
          <w:color w:val="auto"/>
          <w:sz w:val="24"/>
        </w:rPr>
      </w:pPr>
    </w:p>
    <w:p w14:paraId="38493FF8">
      <w:pPr>
        <w:pStyle w:val="51"/>
        <w:rPr>
          <w:rFonts w:hint="eastAsia" w:ascii="仿宋" w:hAnsi="仿宋" w:eastAsia="仿宋" w:cs="仿宋"/>
          <w:color w:val="auto"/>
        </w:rPr>
      </w:pPr>
    </w:p>
    <w:p w14:paraId="21B9D8FD">
      <w:pPr>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4D48671E">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综合评分法，是指响应文件满足交易文件全部实质性要求，且按照评审因素的量化指标评审得分最高的供应商为成交候选人的评标方法。</w:t>
      </w:r>
    </w:p>
    <w:p w14:paraId="705C674B">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34DEC9DD">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14:paraId="714AF18F">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5AF310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评标委员会应当对符合资格的供应商的响应文件进行符合性审查，以确定其是否满足交易文件的实质性要求。不满足交易文件的实质性要求的，交易无效。</w:t>
      </w:r>
    </w:p>
    <w:p w14:paraId="50AE0441">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评标委员会应当按照交易文件中规定的评标方法和标准，对符合性审查合格的响应文件进行商务和技术评估，综合比较与评价。</w:t>
      </w:r>
    </w:p>
    <w:p w14:paraId="7D4FD6A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评标委员会各成员应当独立对每个供应商的商务和技术文件进行评价，并汇总商务技术得分情况。</w:t>
      </w:r>
    </w:p>
    <w:p w14:paraId="7668D5BD">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19C5DA4">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3.4.1响应文件报价出现前后不一致的，按照下列规定修正：</w:t>
      </w:r>
    </w:p>
    <w:p w14:paraId="03EAEA1D">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3.4.1.1响应文件中交易一览表(报价表)内容与响应文件中相应内容不一致的，以交易一览表(报价表)为准;</w:t>
      </w:r>
    </w:p>
    <w:p w14:paraId="6902BF30">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22ADB73D">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3.4.1.3单价金额小数点或者百分比有明显错位的，以交易一览表的总价为准，并修改单价;</w:t>
      </w:r>
    </w:p>
    <w:p w14:paraId="6614DA78">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53B23207">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5CF0294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3.4.2响应文件出现不是唯一的、有选择性响应报价的，交易无效。</w:t>
      </w:r>
    </w:p>
    <w:p w14:paraId="767F8BE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3.4.3响应报价超过交易文件中规定的预算金额或者最高限价的，交易无效。</w:t>
      </w:r>
    </w:p>
    <w:p w14:paraId="2CFF459E">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CF1F883">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3B5F2322">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B7B1A73">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47C342">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254308AB">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4.1供应商澄清、说明或者补正。</w:t>
      </w:r>
      <w:r>
        <w:rPr>
          <w:rFonts w:hint="eastAsia" w:ascii="仿宋" w:hAnsi="仿宋" w:eastAsia="仿宋" w:cs="仿宋"/>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4C00AA">
      <w:pPr>
        <w:pStyle w:val="1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4.2交易无效。</w:t>
      </w:r>
      <w:r>
        <w:rPr>
          <w:rFonts w:hint="eastAsia" w:ascii="仿宋" w:hAnsi="仿宋" w:eastAsia="仿宋" w:cs="仿宋"/>
          <w:color w:val="auto"/>
          <w:szCs w:val="21"/>
        </w:rPr>
        <w:t>有下列情形之一的，交易无效：</w:t>
      </w:r>
    </w:p>
    <w:p w14:paraId="6AC9B23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4.2.1供应商不具备交易文件中规定的资格要求的（供应商未提供有效的资格文件的，视为供应商不具备交易文件中规定的资格要求）；</w:t>
      </w:r>
    </w:p>
    <w:p w14:paraId="7F06995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4.2.2响应文件未按照交易文件要求签署、盖章的；</w:t>
      </w:r>
    </w:p>
    <w:p w14:paraId="7528F40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4.2.3响应文件含有采购人不能接受的附加条件的；</w:t>
      </w:r>
    </w:p>
    <w:p w14:paraId="42F2A57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4.2.4响应文件中承诺的交易有效期少于交易文件中载明的交易有效期的；</w:t>
      </w:r>
    </w:p>
    <w:p w14:paraId="015C77C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4.2.5响应文件出现不是唯一的、有选择性响应报价的;</w:t>
      </w:r>
    </w:p>
    <w:p w14:paraId="64B76474">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4.2.6响应报价超过交易文件中规定的预算金额或者最高限价的;</w:t>
      </w:r>
    </w:p>
    <w:p w14:paraId="204C33C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4.2.7报价明显低于其他通过符合性审查供应商的报价，有可能影响产品质量或者不能诚信履约的，未能按要求提供书面说明或者提交相关证明材料，不能证明其报价合理性的;</w:t>
      </w:r>
    </w:p>
    <w:p w14:paraId="1855023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4.2.8供应商对根据修正原则修正后的报价不确认的；</w:t>
      </w:r>
    </w:p>
    <w:p w14:paraId="227AD1F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4.2.9供应商提供虚假材料响应的；</w:t>
      </w:r>
    </w:p>
    <w:p w14:paraId="2FA085E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4.2.10供应商有恶意串通、妨碍其他供应商的竞争行为、损害采购人或者其他供应商的合法权益情形的；</w:t>
      </w:r>
    </w:p>
    <w:p w14:paraId="31D848D8">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4.2.11供应商仅提交备份响应文件，未在电子交易平台传输递交响应文件的，交易无效；</w:t>
      </w:r>
    </w:p>
    <w:p w14:paraId="18BF3E4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4.2.12响应文件不满足交易文件的其它实质性要求的；</w:t>
      </w:r>
    </w:p>
    <w:p w14:paraId="5653754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4.2.13 法律、法规、规章（适用本市的）及省级以上规范性文件（适用本市的）规定的其他无效情形。</w:t>
      </w:r>
    </w:p>
    <w:p w14:paraId="469C7964">
      <w:pPr>
        <w:pStyle w:val="1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在采购中，出现下列情形之一的，应予废标：</w:t>
      </w:r>
    </w:p>
    <w:p w14:paraId="45149FC7">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5.1符合专业条件的供应商或者对交易文件作实质响应的供应商不足3家的；</w:t>
      </w:r>
    </w:p>
    <w:p w14:paraId="190F2B04">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0C650E76">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5.3供应商的报价均超过了采购预算，采购人不能支付的；</w:t>
      </w:r>
    </w:p>
    <w:p w14:paraId="79309AC3">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754057EF">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废标后，采购机构应当将废标理由通知所有供应商。</w:t>
      </w:r>
    </w:p>
    <w:p w14:paraId="07325E12">
      <w:pPr>
        <w:pStyle w:val="16"/>
        <w:snapToGrid w:val="0"/>
        <w:spacing w:line="360" w:lineRule="auto"/>
        <w:ind w:firstLine="482"/>
        <w:rPr>
          <w:rFonts w:hint="eastAsia" w:ascii="仿宋" w:hAnsi="仿宋" w:eastAsia="仿宋" w:cs="仿宋"/>
          <w:color w:val="auto"/>
        </w:rPr>
      </w:pPr>
      <w:r>
        <w:rPr>
          <w:rFonts w:hint="eastAsia" w:ascii="仿宋" w:hAnsi="仿宋" w:eastAsia="仿宋" w:cs="仿宋"/>
          <w:b/>
          <w:color w:val="auto"/>
        </w:rPr>
        <w:t>6.修改交易文件，重新组织采购活动。</w:t>
      </w:r>
      <w:r>
        <w:rPr>
          <w:rFonts w:hint="eastAsia" w:ascii="仿宋" w:hAnsi="仿宋" w:eastAsia="仿宋" w:cs="仿宋"/>
          <w:color w:val="auto"/>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4E227C2">
      <w:pPr>
        <w:pStyle w:val="16"/>
        <w:snapToGrid w:val="0"/>
        <w:spacing w:line="360" w:lineRule="auto"/>
        <w:ind w:firstLine="0" w:firstLineChars="0"/>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有影响或者可能影响成交、成交结果的，依照下列规定处理：</w:t>
      </w:r>
    </w:p>
    <w:p w14:paraId="79A8F42E">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7.1未确定成交或者成交人的，终止本次采购活动，重新开展采购活动。</w:t>
      </w:r>
    </w:p>
    <w:p w14:paraId="3D9A4FA7">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7.2已确定成交或者成交人但尚未签订采购合同的，成交或者成交结果无效，从合格的成交或者成交候选人中另行确定成交或者成交人；没有合格的成交或者成交候选人的，重新开展采购活动。</w:t>
      </w:r>
    </w:p>
    <w:p w14:paraId="3472BAA3">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7.3采购合同已签订但尚未履行的，撤销合同，从合格的成交或者成交候选人中另行确定成交或者成交人；没有合格的成交或者成交候选人的，重新开展采购活动。</w:t>
      </w:r>
    </w:p>
    <w:p w14:paraId="4AE7EC6F">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7.4采购合同已经履行，给采购人、供应商造成损失的，由责任人承担赔偿责任。</w:t>
      </w:r>
    </w:p>
    <w:p w14:paraId="5EC5B41D">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7.5采购当事人有其他违反相关</w:t>
      </w:r>
      <w:r>
        <w:rPr>
          <w:rFonts w:hint="eastAsia" w:ascii="仿宋" w:hAnsi="仿宋" w:eastAsia="仿宋" w:cs="仿宋"/>
          <w:color w:val="auto"/>
          <w:kern w:val="0"/>
        </w:rPr>
        <w:t>法律法规规定</w:t>
      </w:r>
      <w:r>
        <w:rPr>
          <w:rFonts w:hint="eastAsia" w:ascii="仿宋" w:hAnsi="仿宋" w:eastAsia="仿宋" w:cs="仿宋"/>
          <w:color w:val="auto"/>
        </w:rPr>
        <w:t>的行为，经改正后仍然影响或者可能影响成交、成交结果或者依法被认定为成交、成交无效的，依照7.1-7.4规定处理。</w:t>
      </w:r>
    </w:p>
    <w:bookmarkEnd w:id="17"/>
    <w:p w14:paraId="2954EBEF">
      <w:pPr>
        <w:spacing w:line="360" w:lineRule="auto"/>
        <w:ind w:left="720" w:leftChars="343" w:firstLine="1084" w:firstLineChars="300"/>
        <w:outlineLvl w:val="0"/>
        <w:rPr>
          <w:rFonts w:hint="eastAsia" w:ascii="仿宋" w:hAnsi="仿宋" w:eastAsia="仿宋" w:cs="仿宋"/>
          <w:b/>
          <w:color w:val="auto"/>
          <w:sz w:val="36"/>
          <w:szCs w:val="36"/>
        </w:rPr>
      </w:pPr>
      <w:bookmarkStart w:id="385" w:name="_Toc86217003"/>
      <w:bookmarkStart w:id="386" w:name="第五部分"/>
    </w:p>
    <w:p w14:paraId="26B13069">
      <w:pPr>
        <w:spacing w:line="360" w:lineRule="auto"/>
        <w:ind w:left="720" w:leftChars="343" w:firstLine="1084" w:firstLineChars="300"/>
        <w:outlineLvl w:val="0"/>
        <w:rPr>
          <w:rFonts w:hint="eastAsia" w:ascii="仿宋" w:hAnsi="仿宋" w:eastAsia="仿宋" w:cs="仿宋"/>
          <w:b/>
          <w:color w:val="auto"/>
          <w:sz w:val="36"/>
          <w:szCs w:val="36"/>
        </w:rPr>
      </w:pPr>
    </w:p>
    <w:p w14:paraId="53E6EFF6">
      <w:pPr>
        <w:pStyle w:val="24"/>
        <w:rPr>
          <w:rFonts w:hint="eastAsia" w:ascii="仿宋" w:hAnsi="仿宋" w:eastAsia="仿宋" w:cs="仿宋"/>
          <w:b/>
          <w:color w:val="auto"/>
          <w:sz w:val="36"/>
          <w:szCs w:val="36"/>
        </w:rPr>
      </w:pPr>
    </w:p>
    <w:p w14:paraId="4597B5D1">
      <w:pPr>
        <w:pStyle w:val="61"/>
        <w:rPr>
          <w:rFonts w:hint="eastAsia" w:ascii="仿宋" w:hAnsi="仿宋" w:eastAsia="仿宋" w:cs="仿宋"/>
          <w:color w:val="auto"/>
        </w:rPr>
      </w:pPr>
    </w:p>
    <w:p w14:paraId="69D70142">
      <w:pPr>
        <w:pStyle w:val="51"/>
        <w:rPr>
          <w:rFonts w:hint="eastAsia" w:ascii="仿宋" w:hAnsi="仿宋" w:eastAsia="仿宋" w:cs="仿宋"/>
          <w:color w:val="auto"/>
        </w:rPr>
      </w:pPr>
    </w:p>
    <w:p w14:paraId="749F313E">
      <w:pPr>
        <w:rPr>
          <w:rFonts w:hint="eastAsia" w:ascii="仿宋" w:hAnsi="仿宋" w:eastAsia="仿宋" w:cs="仿宋"/>
          <w:color w:val="auto"/>
        </w:rPr>
      </w:pPr>
    </w:p>
    <w:p w14:paraId="5FC91147">
      <w:pPr>
        <w:rPr>
          <w:rFonts w:hint="eastAsia" w:ascii="仿宋" w:hAnsi="仿宋" w:eastAsia="仿宋" w:cs="仿宋"/>
          <w:color w:val="auto"/>
        </w:rPr>
      </w:pPr>
    </w:p>
    <w:p w14:paraId="14BBAF11">
      <w:pPr>
        <w:rPr>
          <w:rFonts w:hint="eastAsia" w:ascii="仿宋" w:hAnsi="仿宋" w:eastAsia="仿宋" w:cs="仿宋"/>
          <w:color w:val="auto"/>
        </w:rPr>
      </w:pPr>
    </w:p>
    <w:p w14:paraId="2F8EE156">
      <w:pPr>
        <w:rPr>
          <w:rFonts w:hint="eastAsia" w:ascii="仿宋" w:hAnsi="仿宋" w:eastAsia="仿宋" w:cs="仿宋"/>
          <w:color w:val="auto"/>
        </w:rPr>
      </w:pPr>
    </w:p>
    <w:p w14:paraId="780256E3">
      <w:pPr>
        <w:rPr>
          <w:rFonts w:hint="eastAsia" w:ascii="仿宋" w:hAnsi="仿宋" w:eastAsia="仿宋" w:cs="仿宋"/>
          <w:color w:val="auto"/>
        </w:rPr>
      </w:pPr>
    </w:p>
    <w:p w14:paraId="42BF9B5E">
      <w:pPr>
        <w:rPr>
          <w:rFonts w:hint="eastAsia" w:ascii="仿宋" w:hAnsi="仿宋" w:eastAsia="仿宋" w:cs="仿宋"/>
          <w:color w:val="auto"/>
        </w:rPr>
      </w:pPr>
    </w:p>
    <w:p w14:paraId="2F50DC16">
      <w:pPr>
        <w:rPr>
          <w:rFonts w:hint="eastAsia" w:ascii="仿宋" w:hAnsi="仿宋" w:eastAsia="仿宋" w:cs="仿宋"/>
          <w:color w:val="auto"/>
        </w:rPr>
      </w:pPr>
    </w:p>
    <w:p w14:paraId="76EE119A">
      <w:pPr>
        <w:rPr>
          <w:rFonts w:hint="eastAsia" w:ascii="仿宋" w:hAnsi="仿宋" w:eastAsia="仿宋" w:cs="仿宋"/>
          <w:color w:val="auto"/>
        </w:rPr>
      </w:pPr>
    </w:p>
    <w:p w14:paraId="1E0A385C">
      <w:pPr>
        <w:rPr>
          <w:rFonts w:hint="eastAsia" w:ascii="仿宋" w:hAnsi="仿宋" w:eastAsia="仿宋" w:cs="仿宋"/>
          <w:color w:val="auto"/>
        </w:rPr>
      </w:pPr>
    </w:p>
    <w:p w14:paraId="051B50CD">
      <w:pPr>
        <w:rPr>
          <w:rFonts w:hint="eastAsia" w:ascii="仿宋" w:hAnsi="仿宋" w:eastAsia="仿宋" w:cs="仿宋"/>
          <w:color w:val="auto"/>
        </w:rPr>
      </w:pPr>
    </w:p>
    <w:p w14:paraId="58F49DA7">
      <w:pPr>
        <w:rPr>
          <w:rFonts w:hint="eastAsia" w:ascii="仿宋" w:hAnsi="仿宋" w:eastAsia="仿宋" w:cs="仿宋"/>
          <w:color w:val="auto"/>
        </w:rPr>
      </w:pPr>
    </w:p>
    <w:p w14:paraId="1F7204F2">
      <w:pPr>
        <w:rPr>
          <w:rFonts w:hint="eastAsia" w:ascii="仿宋" w:hAnsi="仿宋" w:eastAsia="仿宋" w:cs="仿宋"/>
          <w:color w:val="auto"/>
        </w:rPr>
      </w:pPr>
    </w:p>
    <w:p w14:paraId="77857AAA">
      <w:pPr>
        <w:rPr>
          <w:rFonts w:hint="eastAsia" w:ascii="仿宋" w:hAnsi="仿宋" w:eastAsia="仿宋" w:cs="仿宋"/>
          <w:color w:val="auto"/>
        </w:rPr>
      </w:pPr>
    </w:p>
    <w:p w14:paraId="209D437B">
      <w:pPr>
        <w:rPr>
          <w:rFonts w:hint="eastAsia" w:ascii="仿宋" w:hAnsi="仿宋" w:eastAsia="仿宋" w:cs="仿宋"/>
          <w:color w:val="auto"/>
        </w:rPr>
      </w:pPr>
    </w:p>
    <w:p w14:paraId="602054EC">
      <w:pPr>
        <w:rPr>
          <w:rFonts w:hint="eastAsia" w:ascii="仿宋" w:hAnsi="仿宋" w:eastAsia="仿宋" w:cs="仿宋"/>
          <w:color w:val="auto"/>
        </w:rPr>
      </w:pPr>
    </w:p>
    <w:p w14:paraId="41982A3E">
      <w:pPr>
        <w:rPr>
          <w:rFonts w:hint="eastAsia" w:ascii="仿宋" w:hAnsi="仿宋" w:eastAsia="仿宋" w:cs="仿宋"/>
          <w:color w:val="auto"/>
        </w:rPr>
      </w:pPr>
    </w:p>
    <w:p w14:paraId="4F036329">
      <w:pPr>
        <w:rPr>
          <w:rFonts w:hint="eastAsia" w:ascii="仿宋" w:hAnsi="仿宋" w:eastAsia="仿宋" w:cs="仿宋"/>
          <w:color w:val="auto"/>
        </w:rPr>
      </w:pPr>
    </w:p>
    <w:p w14:paraId="2969E13F">
      <w:pPr>
        <w:rPr>
          <w:rFonts w:hint="eastAsia" w:ascii="仿宋" w:hAnsi="仿宋" w:eastAsia="仿宋" w:cs="仿宋"/>
          <w:color w:val="auto"/>
        </w:rPr>
      </w:pPr>
    </w:p>
    <w:p w14:paraId="53C4AC35">
      <w:pPr>
        <w:rPr>
          <w:rFonts w:hint="eastAsia" w:ascii="仿宋" w:hAnsi="仿宋" w:eastAsia="仿宋" w:cs="仿宋"/>
          <w:color w:val="auto"/>
        </w:rPr>
      </w:pPr>
    </w:p>
    <w:p w14:paraId="13C50201">
      <w:pPr>
        <w:rPr>
          <w:rFonts w:hint="eastAsia" w:ascii="仿宋" w:hAnsi="仿宋" w:eastAsia="仿宋" w:cs="仿宋"/>
          <w:color w:val="auto"/>
        </w:rPr>
      </w:pPr>
    </w:p>
    <w:p w14:paraId="782A7574">
      <w:pPr>
        <w:rPr>
          <w:rFonts w:hint="eastAsia" w:ascii="仿宋" w:hAnsi="仿宋" w:eastAsia="仿宋" w:cs="仿宋"/>
          <w:color w:val="auto"/>
        </w:rPr>
      </w:pPr>
    </w:p>
    <w:p w14:paraId="04E2A844">
      <w:pPr>
        <w:rPr>
          <w:rFonts w:hint="eastAsia" w:ascii="仿宋" w:hAnsi="仿宋" w:eastAsia="仿宋" w:cs="仿宋"/>
          <w:color w:val="auto"/>
        </w:rPr>
      </w:pPr>
    </w:p>
    <w:p w14:paraId="4BBA00B9">
      <w:pPr>
        <w:rPr>
          <w:rFonts w:hint="eastAsia" w:ascii="仿宋" w:hAnsi="仿宋" w:eastAsia="仿宋" w:cs="仿宋"/>
          <w:color w:val="auto"/>
        </w:rPr>
      </w:pPr>
    </w:p>
    <w:p w14:paraId="6F43ED6D">
      <w:pPr>
        <w:rPr>
          <w:rFonts w:hint="eastAsia" w:ascii="仿宋" w:hAnsi="仿宋" w:eastAsia="仿宋" w:cs="仿宋"/>
          <w:color w:val="auto"/>
        </w:rPr>
      </w:pPr>
    </w:p>
    <w:p w14:paraId="19F87D0A">
      <w:pPr>
        <w:pStyle w:val="24"/>
        <w:rPr>
          <w:rFonts w:hint="eastAsia" w:ascii="仿宋" w:hAnsi="仿宋" w:eastAsia="仿宋" w:cs="仿宋"/>
          <w:color w:val="auto"/>
        </w:rPr>
      </w:pPr>
    </w:p>
    <w:p w14:paraId="3D415393">
      <w:pPr>
        <w:rPr>
          <w:rFonts w:hint="eastAsia" w:ascii="仿宋" w:hAnsi="仿宋" w:eastAsia="仿宋" w:cs="仿宋"/>
          <w:color w:val="auto"/>
        </w:rPr>
      </w:pPr>
    </w:p>
    <w:p w14:paraId="40C50D6D">
      <w:pPr>
        <w:pStyle w:val="2"/>
        <w:keepNext/>
        <w:keepLines/>
        <w:pageBreakBefore w:val="0"/>
        <w:widowControl w:val="0"/>
        <w:kinsoku/>
        <w:wordWrap/>
        <w:overflowPunct/>
        <w:topLinePunct w:val="0"/>
        <w:autoSpaceDE/>
        <w:autoSpaceDN/>
        <w:bidi w:val="0"/>
        <w:adjustRightInd w:val="0"/>
        <w:snapToGrid/>
        <w:spacing w:line="440" w:lineRule="exact"/>
        <w:ind w:left="431" w:hanging="431"/>
        <w:jc w:val="center"/>
        <w:textAlignment w:val="auto"/>
        <w:rPr>
          <w:rFonts w:hint="eastAsia" w:ascii="仿宋" w:hAnsi="仿宋" w:eastAsia="仿宋" w:cs="仿宋"/>
          <w:b w:val="0"/>
          <w:color w:val="auto"/>
          <w:highlight w:val="none"/>
        </w:rPr>
      </w:pPr>
      <w:bookmarkStart w:id="387" w:name="_Toc331323743"/>
      <w:r>
        <w:rPr>
          <w:rFonts w:hint="eastAsia" w:ascii="仿宋" w:hAnsi="仿宋" w:eastAsia="仿宋" w:cs="仿宋"/>
          <w:b/>
          <w:bCs w:val="0"/>
          <w:color w:val="auto"/>
          <w:sz w:val="36"/>
          <w:szCs w:val="36"/>
          <w:highlight w:val="none"/>
        </w:rPr>
        <w:t>第五部分  采购合同</w:t>
      </w:r>
      <w:bookmarkEnd w:id="387"/>
    </w:p>
    <w:p w14:paraId="6E324D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（货物类样本）</w:t>
      </w:r>
    </w:p>
    <w:p w14:paraId="6EE3A6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14:paraId="3F197A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                                  签订时间：</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  月  日</w:t>
      </w:r>
    </w:p>
    <w:p w14:paraId="5BB108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CB46F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甲方（需方）：                                     </w:t>
      </w:r>
    </w:p>
    <w:p w14:paraId="45E9F4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乙方（供方）：                                     </w:t>
      </w:r>
    </w:p>
    <w:p w14:paraId="3DC475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）成交结果和交易文件的要求，并经双方协调一致，订立本采购合同。</w:t>
      </w:r>
    </w:p>
    <w:p w14:paraId="0A8528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一、合同文件：</w:t>
      </w:r>
    </w:p>
    <w:p w14:paraId="48E72C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1、合同条款。</w:t>
      </w:r>
    </w:p>
    <w:p w14:paraId="40BAB5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2、成交通知书。</w:t>
      </w:r>
    </w:p>
    <w:p w14:paraId="183673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3、交易文件。</w:t>
      </w:r>
    </w:p>
    <w:p w14:paraId="45DD62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4、更正公告。</w:t>
      </w:r>
    </w:p>
    <w:p w14:paraId="409A84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5、成交单位响应文件。</w:t>
      </w:r>
    </w:p>
    <w:p w14:paraId="19656C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w:t>
      </w:r>
    </w:p>
    <w:p w14:paraId="0AF0A5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二、合同金额:合同金额为(大写)_________________元（￥</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元）人民币。</w:t>
      </w:r>
    </w:p>
    <w:p w14:paraId="334091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附《采购项目清单内容》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212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08F3F1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EBD75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E3ED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5E9A6E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F9B87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04BB7C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合计</w:t>
            </w:r>
            <w:r>
              <w:rPr>
                <w:rFonts w:hint="eastAsia" w:ascii="仿宋" w:hAnsi="仿宋" w:eastAsia="仿宋" w:cs="仿宋"/>
                <w:color w:val="auto"/>
                <w:sz w:val="24"/>
                <w:highlight w:val="none"/>
              </w:rPr>
              <w:t>（元）</w:t>
            </w:r>
          </w:p>
        </w:tc>
      </w:tr>
      <w:tr w14:paraId="154F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E2CAD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4007EEA">
            <w:pPr>
              <w:spacing w:line="360" w:lineRule="auto"/>
              <w:ind w:firstLine="480" w:firstLineChars="200"/>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3B4165">
            <w:pPr>
              <w:spacing w:line="360" w:lineRule="auto"/>
              <w:ind w:firstLine="480" w:firstLineChars="200"/>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2627690">
            <w:pPr>
              <w:spacing w:line="360" w:lineRule="auto"/>
              <w:ind w:firstLine="480" w:firstLineChars="200"/>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3D0A035">
            <w:pPr>
              <w:spacing w:line="360" w:lineRule="auto"/>
              <w:ind w:firstLine="480" w:firstLineChars="200"/>
              <w:rPr>
                <w:rFonts w:hint="eastAsia" w:ascii="仿宋" w:hAnsi="仿宋" w:eastAsia="仿宋" w:cs="仿宋"/>
                <w:color w:val="auto"/>
                <w:sz w:val="24"/>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top"/>
          </w:tcPr>
          <w:p w14:paraId="572316F9">
            <w:pPr>
              <w:spacing w:line="360" w:lineRule="auto"/>
              <w:ind w:firstLine="480" w:firstLineChars="200"/>
              <w:rPr>
                <w:rFonts w:hint="eastAsia" w:ascii="仿宋" w:hAnsi="仿宋" w:eastAsia="仿宋" w:cs="仿宋"/>
                <w:color w:val="auto"/>
                <w:sz w:val="24"/>
                <w:highlight w:val="none"/>
              </w:rPr>
            </w:pPr>
          </w:p>
        </w:tc>
      </w:tr>
      <w:tr w14:paraId="1070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75235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A8C6AE4">
            <w:pPr>
              <w:spacing w:line="360" w:lineRule="auto"/>
              <w:ind w:firstLine="480" w:firstLineChars="200"/>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F86D56">
            <w:pPr>
              <w:spacing w:line="360" w:lineRule="auto"/>
              <w:ind w:firstLine="480" w:firstLineChars="200"/>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6A36163">
            <w:pPr>
              <w:spacing w:line="360" w:lineRule="auto"/>
              <w:ind w:firstLine="480" w:firstLineChars="200"/>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79040ED">
            <w:pPr>
              <w:spacing w:line="360" w:lineRule="auto"/>
              <w:ind w:firstLine="480" w:firstLineChars="200"/>
              <w:rPr>
                <w:rFonts w:hint="eastAsia" w:ascii="仿宋" w:hAnsi="仿宋" w:eastAsia="仿宋" w:cs="仿宋"/>
                <w:color w:val="auto"/>
                <w:sz w:val="24"/>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top"/>
          </w:tcPr>
          <w:p w14:paraId="0ECD044B">
            <w:pPr>
              <w:spacing w:line="360" w:lineRule="auto"/>
              <w:ind w:firstLine="480" w:firstLineChars="200"/>
              <w:rPr>
                <w:rFonts w:hint="eastAsia" w:ascii="仿宋" w:hAnsi="仿宋" w:eastAsia="仿宋" w:cs="仿宋"/>
                <w:color w:val="auto"/>
                <w:sz w:val="24"/>
                <w:highlight w:val="none"/>
              </w:rPr>
            </w:pPr>
          </w:p>
        </w:tc>
      </w:tr>
      <w:tr w14:paraId="72FA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7" w:type="dxa"/>
            <w:gridSpan w:val="3"/>
            <w:tcBorders>
              <w:top w:val="single" w:color="auto" w:sz="4" w:space="0"/>
              <w:left w:val="single" w:color="auto" w:sz="4" w:space="0"/>
              <w:bottom w:val="single" w:color="auto" w:sz="4" w:space="0"/>
              <w:right w:val="single" w:color="auto" w:sz="4" w:space="0"/>
            </w:tcBorders>
            <w:noWrap w:val="0"/>
            <w:vAlign w:val="center"/>
          </w:tcPr>
          <w:p w14:paraId="3BF82D81">
            <w:pPr>
              <w:spacing w:line="360" w:lineRule="auto"/>
              <w:ind w:firstLine="480" w:firstLineChars="2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成交总价（元）</w:t>
            </w:r>
          </w:p>
        </w:tc>
        <w:tc>
          <w:tcPr>
            <w:tcW w:w="4052" w:type="dxa"/>
            <w:gridSpan w:val="3"/>
            <w:tcBorders>
              <w:top w:val="single" w:color="auto" w:sz="4" w:space="0"/>
              <w:left w:val="single" w:color="auto" w:sz="4" w:space="0"/>
              <w:bottom w:val="single" w:color="auto" w:sz="4" w:space="0"/>
              <w:right w:val="single" w:color="auto" w:sz="4" w:space="0"/>
            </w:tcBorders>
            <w:noWrap w:val="0"/>
            <w:vAlign w:val="top"/>
          </w:tcPr>
          <w:p w14:paraId="7337860A">
            <w:pPr>
              <w:spacing w:line="360" w:lineRule="auto"/>
              <w:ind w:firstLine="480" w:firstLineChars="200"/>
              <w:rPr>
                <w:rFonts w:hint="eastAsia" w:ascii="仿宋" w:hAnsi="仿宋" w:eastAsia="仿宋" w:cs="仿宋"/>
                <w:color w:val="auto"/>
                <w:sz w:val="24"/>
                <w:highlight w:val="none"/>
              </w:rPr>
            </w:pPr>
          </w:p>
        </w:tc>
      </w:tr>
    </w:tbl>
    <w:p w14:paraId="58EC7F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三、质量要求及供方对质量负责条件和期限：</w:t>
      </w:r>
    </w:p>
    <w:p w14:paraId="01C7F3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1、供方提供的货物必须是现货、全新，符合采购要求的规格型号和技术指标。供方对货物提供</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年的免费保修期（货物厂家另有超过此质保期的按原规定执行），保修期内非因需方的人为原因而出现质量问题的，由供方负责包修、包换或者包退，并承担调换或退货的实际费用。</w:t>
      </w:r>
    </w:p>
    <w:p w14:paraId="4A36E8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2、供方在维保期内接到用户单位的电话后，在**小时内响应，**小时以内到现场，**小时以内解决问题，不能修复的，必须采取无偿提供备品、备件或备机等措施，以保证用户单位的正常使用。</w:t>
      </w:r>
    </w:p>
    <w:p w14:paraId="43134D41">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1A0088E8">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r>
        <w:rPr>
          <w:rFonts w:hint="eastAsia" w:ascii="仿宋" w:hAnsi="仿宋" w:eastAsia="仿宋" w:cs="仿宋"/>
          <w:color w:val="auto"/>
          <w:sz w:val="24"/>
          <w:highlight w:val="none"/>
          <w:u w:val="single"/>
        </w:rPr>
        <w:t xml:space="preserve">                       </w:t>
      </w:r>
    </w:p>
    <w:p w14:paraId="545883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五、货款支付</w:t>
      </w:r>
    </w:p>
    <w:p w14:paraId="092C08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23A76C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六、履约保证金、质量保证金</w:t>
      </w:r>
    </w:p>
    <w:p w14:paraId="4A7F1A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1、履约保证金：为保证政府采购项目合同的顺利执行，供方在本合同签订之前，其成交价的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%作为履约保证金（供应商应当以支票、汇票、本票或者金融机构、担保机构出具的保函等非现金形式提交）交付采购人。待项目验收合格和供方交纳质量保证金后，由采购人将履约保证金无息退还供方。</w:t>
      </w:r>
    </w:p>
    <w:p w14:paraId="15B7C9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2、质量保证金：采购项目验收合格后，需方向供方收取质量保证金（成交价的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%）。质保期结束且无质量问题，由需方将质量保证金无息退还供方。</w:t>
      </w:r>
    </w:p>
    <w:p w14:paraId="6F5452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七、违约责任</w:t>
      </w:r>
    </w:p>
    <w:p w14:paraId="723E4C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1、甲方无正当理由拒收货物的，甲方向乙方偿付拒收货款总值的百分之</w:t>
      </w:r>
      <w:r>
        <w:rPr>
          <w:rFonts w:hint="eastAsia" w:ascii="仿宋" w:hAnsi="仿宋" w:eastAsia="仿宋" w:cs="仿宋"/>
          <w:color w:val="auto"/>
          <w:sz w:val="24"/>
          <w:highlight w:val="none"/>
          <w:u w:val="single"/>
        </w:rPr>
        <w:t xml:space="preserve"> 五 </w:t>
      </w:r>
      <w:r>
        <w:rPr>
          <w:rFonts w:hint="eastAsia" w:ascii="仿宋" w:hAnsi="仿宋" w:eastAsia="仿宋" w:cs="仿宋"/>
          <w:color w:val="auto"/>
          <w:sz w:val="24"/>
          <w:highlight w:val="none"/>
        </w:rPr>
        <w:t>违约金。</w:t>
      </w:r>
    </w:p>
    <w:p w14:paraId="531D3B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2、乙方逾期交付货物的，乙方应按逾期交付货款总额每日千分之</w:t>
      </w:r>
      <w:r>
        <w:rPr>
          <w:rFonts w:hint="eastAsia" w:ascii="仿宋" w:hAnsi="仿宋" w:eastAsia="仿宋" w:cs="仿宋"/>
          <w:color w:val="auto"/>
          <w:sz w:val="24"/>
          <w:highlight w:val="none"/>
          <w:u w:val="single"/>
        </w:rPr>
        <w:t xml:space="preserve"> 六  </w:t>
      </w:r>
      <w:r>
        <w:rPr>
          <w:rFonts w:hint="eastAsia" w:ascii="仿宋" w:hAnsi="仿宋" w:eastAsia="仿宋" w:cs="仿宋"/>
          <w:color w:val="auto"/>
          <w:sz w:val="24"/>
          <w:highlight w:val="none"/>
        </w:rPr>
        <w:t>向甲方支付违约金，由甲方从待付货款中扣除。逾期超过约定日期</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个工作日不能交货的，甲方可解除本合同，履约保证金不予退还，如造成甲方损失超过履约保证金的，超出部分由乙方继续承担赔偿责任。</w:t>
      </w:r>
    </w:p>
    <w:p w14:paraId="2202B0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14:paraId="4113A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4、因需方原因逾期支付合同款，自逾期之日起，向供方每日偿付合同总价千分之 二的滞纳金；需方无正当理由拒付货款的，应向供方偿付合同总价百分之五的违约金。</w:t>
      </w:r>
    </w:p>
    <w:p w14:paraId="03D9F0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5、供方在项目验收合格之日起保修期内违反本合同有关承诺保证的，需方将有权不予退还质量保证金，损失赔偿不足部分，按合同第九条处理。</w:t>
      </w:r>
    </w:p>
    <w:p w14:paraId="78B4DC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6、如发现乙方违反交易文件、响应文件和合同的有关规定，甲方有权根据约定和《杭州市政府采购供应商合同履行和售后服务考核暂行办法》，对乙方进行处罚，并有权提前终止合同。</w:t>
      </w:r>
    </w:p>
    <w:p w14:paraId="013C76F2">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八、调试和验收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以采购人要求为准，最终能通过相关部门的验收工作。</w:t>
      </w:r>
    </w:p>
    <w:p w14:paraId="443BF5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九、争议的解决</w:t>
      </w:r>
    </w:p>
    <w:p w14:paraId="687328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1E082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（1）提请杭州仲裁委员会按照该会仲裁规则进行仲裁，仲裁裁决是终局的，对合同双方均有约束力。</w:t>
      </w:r>
    </w:p>
    <w:p w14:paraId="5B0F8E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（2）向有管辖权的人民法院提起诉讼。</w:t>
      </w:r>
    </w:p>
    <w:p w14:paraId="52E424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十、合同生效</w:t>
      </w:r>
    </w:p>
    <w:p w14:paraId="4DD508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1、成交方持成交通知书作为与需方签订合同的凭证。</w:t>
      </w:r>
    </w:p>
    <w:p w14:paraId="452DE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2、本合同经需、供双方法定代表人（符合浙财采监【2013】24号第六条规定的为负责人）或其授权委托人签名并加盖单位公章后生效。</w:t>
      </w:r>
    </w:p>
    <w:p w14:paraId="3E40AD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3、本合同一式四份，需、供双方各执二份，</w:t>
      </w:r>
    </w:p>
    <w:p w14:paraId="5F220B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需方（加盖公章）：                  供方（加盖公章）：</w:t>
      </w:r>
    </w:p>
    <w:p w14:paraId="23E1AB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630CDA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法定代表人（或委托代理人）签名：   法定代表人（或委托代理人）签名：</w:t>
      </w:r>
    </w:p>
    <w:p w14:paraId="78A14F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DA81E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14:paraId="77E811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14:paraId="2F39B3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    </w:t>
      </w:r>
    </w:p>
    <w:p w14:paraId="7A793B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14:paraId="5FB22077">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0D41D53E">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25209598">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01801859">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4D3DED46">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46326522">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54BD61EA">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523FE9B4">
      <w:pPr>
        <w:spacing w:line="360" w:lineRule="auto"/>
        <w:ind w:left="-420" w:leftChars="-200" w:right="-420" w:rightChars="-200" w:firstLine="723" w:firstLineChars="200"/>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六</w:t>
      </w:r>
      <w:r>
        <w:rPr>
          <w:rFonts w:hint="eastAsia" w:ascii="仿宋" w:hAnsi="仿宋" w:eastAsia="仿宋" w:cs="仿宋"/>
          <w:b/>
          <w:color w:val="auto"/>
          <w:sz w:val="36"/>
          <w:szCs w:val="36"/>
        </w:rPr>
        <w:t xml:space="preserve">部分 </w:t>
      </w:r>
      <w:bookmarkEnd w:id="385"/>
      <w:bookmarkEnd w:id="386"/>
      <w:r>
        <w:rPr>
          <w:rFonts w:hint="eastAsia" w:ascii="仿宋" w:hAnsi="仿宋" w:eastAsia="仿宋" w:cs="仿宋"/>
          <w:b/>
          <w:color w:val="auto"/>
          <w:sz w:val="36"/>
          <w:szCs w:val="20"/>
        </w:rPr>
        <w:t>应提交的有关格式范例</w:t>
      </w:r>
    </w:p>
    <w:p w14:paraId="10EC98A1">
      <w:pPr>
        <w:spacing w:line="360" w:lineRule="auto"/>
        <w:jc w:val="center"/>
        <w:outlineLvl w:val="0"/>
        <w:rPr>
          <w:rFonts w:hint="eastAsia" w:ascii="仿宋" w:hAnsi="仿宋" w:eastAsia="仿宋" w:cs="仿宋"/>
          <w:b/>
          <w:color w:val="auto"/>
          <w:kern w:val="0"/>
          <w:sz w:val="36"/>
          <w:szCs w:val="36"/>
        </w:rPr>
      </w:pPr>
    </w:p>
    <w:p w14:paraId="1F47186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A01EFEF">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461DDAD6">
      <w:pPr>
        <w:spacing w:line="360" w:lineRule="auto"/>
        <w:jc w:val="center"/>
        <w:outlineLvl w:val="0"/>
        <w:rPr>
          <w:rFonts w:hint="eastAsia" w:ascii="仿宋" w:hAnsi="仿宋" w:eastAsia="仿宋" w:cs="仿宋"/>
          <w:b/>
          <w:color w:val="auto"/>
          <w:kern w:val="0"/>
          <w:sz w:val="36"/>
          <w:szCs w:val="36"/>
        </w:rPr>
      </w:pPr>
    </w:p>
    <w:p w14:paraId="3F496000">
      <w:pPr>
        <w:numPr>
          <w:ilvl w:val="0"/>
          <w:numId w:val="3"/>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符合参加采购活动应当具备的一般条件的承诺函……………（页码）</w:t>
      </w:r>
    </w:p>
    <w:p w14:paraId="24695C32">
      <w:pPr>
        <w:snapToGrid w:val="0"/>
        <w:spacing w:line="360" w:lineRule="auto"/>
        <w:rPr>
          <w:rFonts w:hint="eastAsia" w:ascii="仿宋" w:hAnsi="仿宋" w:eastAsia="仿宋" w:cs="仿宋"/>
          <w:color w:val="auto"/>
        </w:rPr>
      </w:pPr>
      <w:r>
        <w:rPr>
          <w:rFonts w:hint="eastAsia" w:ascii="仿宋" w:hAnsi="仿宋" w:eastAsia="仿宋" w:cs="仿宋"/>
          <w:color w:val="auto"/>
          <w:sz w:val="24"/>
        </w:rPr>
        <w:t>（2）落实采购政策需满足的资格要求；……………………………（页码）</w:t>
      </w:r>
    </w:p>
    <w:p w14:paraId="5967B65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14:paraId="7CE6F752">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符合参加采购活动应当具备的一般条件的承诺函</w:t>
      </w:r>
    </w:p>
    <w:p w14:paraId="5398C0B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5F9B38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我方参与（项目名称）【交易编号：       】采购活动，郑重承诺：</w:t>
      </w:r>
    </w:p>
    <w:p w14:paraId="05674411">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（一）具备以下条件：</w:t>
      </w:r>
    </w:p>
    <w:p w14:paraId="55A75E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12661D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0EC3CD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A162D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2394EF8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5、参加采购活动前三年内，在经营活动中没有重大违法记录；</w:t>
      </w:r>
    </w:p>
    <w:p w14:paraId="5542682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3E9BBF5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（二）不存在以下情况：</w:t>
      </w:r>
    </w:p>
    <w:p w14:paraId="55DD155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1、单位负责人为同一人或者存在直接控股、管理关系的不同供应商参加同一合同项下的采购活动的；</w:t>
      </w:r>
    </w:p>
    <w:p w14:paraId="1107B53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B1E836E">
      <w:pPr>
        <w:pStyle w:val="3"/>
        <w:rPr>
          <w:rFonts w:hint="eastAsia" w:ascii="仿宋" w:hAnsi="仿宋" w:eastAsia="仿宋" w:cs="仿宋"/>
          <w:color w:val="auto"/>
        </w:rPr>
      </w:pPr>
    </w:p>
    <w:p w14:paraId="47FD728F">
      <w:pPr>
        <w:spacing w:line="360" w:lineRule="auto"/>
        <w:rPr>
          <w:rFonts w:hint="eastAsia" w:ascii="仿宋" w:hAnsi="仿宋" w:eastAsia="仿宋" w:cs="仿宋"/>
          <w:color w:val="auto"/>
        </w:rPr>
      </w:pPr>
    </w:p>
    <w:p w14:paraId="568D7071">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1AE3FE77">
      <w:pPr>
        <w:snapToGrid w:val="0"/>
        <w:spacing w:line="360" w:lineRule="auto"/>
        <w:jc w:val="center"/>
        <w:rPr>
          <w:rFonts w:hint="eastAsia" w:ascii="仿宋" w:hAnsi="仿宋" w:eastAsia="仿宋" w:cs="仿宋"/>
          <w:color w:val="auto"/>
          <w:kern w:val="0"/>
          <w:sz w:val="24"/>
          <w:lang w:val="zh-CN"/>
        </w:rPr>
      </w:pPr>
    </w:p>
    <w:p w14:paraId="72FEF782">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月日</w:t>
      </w:r>
    </w:p>
    <w:p w14:paraId="502F3D8E">
      <w:pPr>
        <w:snapToGrid w:val="0"/>
        <w:spacing w:line="360" w:lineRule="auto"/>
        <w:ind w:right="480"/>
        <w:jc w:val="center"/>
        <w:rPr>
          <w:rFonts w:hint="eastAsia" w:ascii="仿宋" w:hAnsi="仿宋" w:eastAsia="仿宋" w:cs="仿宋"/>
          <w:b/>
          <w:color w:val="auto"/>
          <w:kern w:val="0"/>
          <w:sz w:val="32"/>
          <w:szCs w:val="32"/>
        </w:rPr>
      </w:pPr>
    </w:p>
    <w:p w14:paraId="79516694">
      <w:pPr>
        <w:snapToGrid w:val="0"/>
        <w:spacing w:line="360" w:lineRule="auto"/>
        <w:ind w:right="480"/>
        <w:jc w:val="center"/>
        <w:rPr>
          <w:rFonts w:hint="eastAsia" w:ascii="仿宋" w:hAnsi="仿宋" w:eastAsia="仿宋" w:cs="仿宋"/>
          <w:b/>
          <w:color w:val="auto"/>
          <w:kern w:val="0"/>
          <w:sz w:val="32"/>
          <w:szCs w:val="32"/>
        </w:rPr>
      </w:pPr>
    </w:p>
    <w:p w14:paraId="3C156F2A">
      <w:pPr>
        <w:rPr>
          <w:rFonts w:hint="eastAsia" w:ascii="仿宋" w:hAnsi="仿宋" w:eastAsia="仿宋" w:cs="仿宋"/>
          <w:color w:val="auto"/>
        </w:rPr>
      </w:pPr>
    </w:p>
    <w:p w14:paraId="38F70711">
      <w:pPr>
        <w:snapToGrid w:val="0"/>
        <w:spacing w:line="360" w:lineRule="auto"/>
        <w:ind w:right="480"/>
        <w:jc w:val="center"/>
        <w:rPr>
          <w:rFonts w:hint="eastAsia" w:ascii="仿宋" w:hAnsi="仿宋" w:eastAsia="仿宋" w:cs="仿宋"/>
          <w:b/>
          <w:color w:val="auto"/>
          <w:kern w:val="0"/>
          <w:sz w:val="32"/>
          <w:szCs w:val="32"/>
        </w:rPr>
      </w:pPr>
    </w:p>
    <w:p w14:paraId="6EA4E721">
      <w:pPr>
        <w:snapToGrid w:val="0"/>
        <w:spacing w:line="360" w:lineRule="auto"/>
        <w:ind w:right="480"/>
        <w:jc w:val="center"/>
        <w:rPr>
          <w:rFonts w:hint="eastAsia" w:ascii="仿宋" w:hAnsi="仿宋" w:eastAsia="仿宋" w:cs="仿宋"/>
          <w:b/>
          <w:color w:val="auto"/>
          <w:kern w:val="0"/>
          <w:sz w:val="32"/>
          <w:szCs w:val="32"/>
        </w:rPr>
      </w:pPr>
    </w:p>
    <w:p w14:paraId="4D5FA7DA">
      <w:pPr>
        <w:snapToGrid w:val="0"/>
        <w:spacing w:line="360" w:lineRule="auto"/>
        <w:ind w:right="480"/>
        <w:jc w:val="center"/>
        <w:rPr>
          <w:rFonts w:hint="eastAsia" w:ascii="仿宋" w:hAnsi="仿宋" w:eastAsia="仿宋" w:cs="仿宋"/>
          <w:b/>
          <w:color w:val="auto"/>
          <w:kern w:val="0"/>
          <w:sz w:val="32"/>
          <w:szCs w:val="32"/>
        </w:rPr>
      </w:pPr>
    </w:p>
    <w:p w14:paraId="495F998D">
      <w:pPr>
        <w:rPr>
          <w:rFonts w:hint="eastAsia" w:ascii="仿宋" w:hAnsi="仿宋" w:eastAsia="仿宋" w:cs="仿宋"/>
          <w:b/>
          <w:color w:val="auto"/>
          <w:sz w:val="32"/>
          <w:szCs w:val="32"/>
        </w:rPr>
      </w:pPr>
      <w:r>
        <w:rPr>
          <w:rFonts w:hint="eastAsia" w:ascii="仿宋" w:hAnsi="仿宋" w:eastAsia="仿宋" w:cs="仿宋"/>
          <w:b/>
          <w:color w:val="auto"/>
          <w:kern w:val="0"/>
          <w:sz w:val="32"/>
          <w:szCs w:val="32"/>
        </w:rPr>
        <w:br w:type="page"/>
      </w:r>
    </w:p>
    <w:p w14:paraId="47DE9D05">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二、落实采购政策需满足的资格要求</w:t>
      </w:r>
    </w:p>
    <w:p w14:paraId="5386E18B">
      <w:pPr>
        <w:spacing w:line="360" w:lineRule="auto"/>
        <w:rPr>
          <w:rFonts w:hint="eastAsia" w:ascii="仿宋" w:hAnsi="仿宋" w:eastAsia="仿宋" w:cs="仿宋"/>
          <w:color w:val="auto"/>
          <w:sz w:val="24"/>
        </w:rPr>
      </w:pPr>
      <w:r>
        <w:rPr>
          <w:rFonts w:hint="eastAsia" w:ascii="仿宋" w:hAnsi="仿宋" w:eastAsia="仿宋" w:cs="仿宋"/>
          <w:color w:val="auto"/>
          <w:sz w:val="24"/>
        </w:rPr>
        <w:t>（根据交易公告落实采购政策需满足的资格要求选择提供相应的材料</w:t>
      </w:r>
      <w:r>
        <w:rPr>
          <w:rFonts w:hint="eastAsia" w:ascii="仿宋" w:hAnsi="仿宋" w:eastAsia="仿宋" w:cs="仿宋"/>
          <w:color w:val="auto"/>
          <w:sz w:val="24"/>
          <w:lang w:eastAsia="zh-CN"/>
        </w:rPr>
        <w:t>，</w:t>
      </w:r>
      <w:r>
        <w:rPr>
          <w:rFonts w:hint="eastAsia" w:ascii="仿宋" w:hAnsi="仿宋" w:eastAsia="仿宋" w:cs="仿宋"/>
          <w:color w:val="auto"/>
          <w:sz w:val="24"/>
        </w:rPr>
        <w:t>未要求的，无需提供）</w:t>
      </w:r>
    </w:p>
    <w:p w14:paraId="1031C104">
      <w:pPr>
        <w:snapToGrid w:val="0"/>
        <w:spacing w:before="50" w:after="50" w:line="360" w:lineRule="auto"/>
        <w:ind w:firstLine="470" w:firstLineChars="196"/>
        <w:jc w:val="left"/>
        <w:rPr>
          <w:rFonts w:hint="eastAsia" w:ascii="仿宋" w:hAnsi="仿宋" w:eastAsia="仿宋" w:cs="仿宋"/>
          <w:color w:val="auto"/>
          <w:sz w:val="24"/>
          <w:highlight w:val="none"/>
        </w:rPr>
      </w:pPr>
    </w:p>
    <w:p w14:paraId="4C0561B3">
      <w:pPr>
        <w:snapToGrid w:val="0"/>
        <w:spacing w:before="50" w:after="50"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highlight w:val="none"/>
        </w:rPr>
        <w:t xml:space="preserve"> </w:t>
      </w:r>
    </w:p>
    <w:p w14:paraId="49A22B6B">
      <w:pPr>
        <w:widowControl/>
        <w:spacing w:line="360" w:lineRule="auto"/>
        <w:ind w:firstLine="2249" w:firstLineChars="700"/>
        <w:rPr>
          <w:rFonts w:hint="eastAsia" w:ascii="仿宋" w:hAnsi="仿宋" w:eastAsia="仿宋" w:cs="仿宋"/>
          <w:b/>
          <w:color w:val="auto"/>
          <w:kern w:val="0"/>
          <w:sz w:val="32"/>
          <w:szCs w:val="32"/>
        </w:rPr>
      </w:pPr>
    </w:p>
    <w:p w14:paraId="212380C5">
      <w:pPr>
        <w:widowControl/>
        <w:spacing w:line="360" w:lineRule="auto"/>
        <w:ind w:firstLine="2249" w:firstLineChars="700"/>
        <w:rPr>
          <w:rFonts w:hint="eastAsia" w:ascii="仿宋" w:hAnsi="仿宋" w:eastAsia="仿宋" w:cs="仿宋"/>
          <w:b/>
          <w:color w:val="auto"/>
          <w:kern w:val="0"/>
          <w:sz w:val="32"/>
          <w:szCs w:val="32"/>
        </w:rPr>
      </w:pPr>
    </w:p>
    <w:p w14:paraId="768B12CD">
      <w:pPr>
        <w:widowControl/>
        <w:spacing w:line="360" w:lineRule="auto"/>
        <w:ind w:firstLine="2249" w:firstLineChars="7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14:paraId="5C69F50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（根据交易公告本项目的特定资格要求提供相应的材料；未要求的，无需提供）</w:t>
      </w:r>
    </w:p>
    <w:p w14:paraId="3C954A95">
      <w:pPr>
        <w:pStyle w:val="61"/>
        <w:rPr>
          <w:rFonts w:hint="eastAsia" w:ascii="仿宋" w:hAnsi="仿宋" w:eastAsia="仿宋" w:cs="仿宋"/>
          <w:color w:val="auto"/>
        </w:rPr>
      </w:pPr>
    </w:p>
    <w:p w14:paraId="08747B95">
      <w:pPr>
        <w:rPr>
          <w:rFonts w:hint="eastAsia" w:ascii="仿宋" w:hAnsi="仿宋" w:eastAsia="仿宋" w:cs="仿宋"/>
          <w:color w:val="auto"/>
        </w:rPr>
      </w:pPr>
    </w:p>
    <w:p w14:paraId="6119E84F">
      <w:pPr>
        <w:snapToGrid w:val="0"/>
        <w:spacing w:line="360" w:lineRule="auto"/>
        <w:ind w:right="480"/>
        <w:jc w:val="center"/>
        <w:rPr>
          <w:rFonts w:hint="eastAsia" w:ascii="仿宋" w:hAnsi="仿宋" w:eastAsia="仿宋" w:cs="仿宋"/>
          <w:b/>
          <w:color w:val="auto"/>
          <w:kern w:val="0"/>
          <w:sz w:val="32"/>
          <w:szCs w:val="32"/>
        </w:rPr>
      </w:pPr>
    </w:p>
    <w:p w14:paraId="6A3F9F64">
      <w:pPr>
        <w:snapToGrid w:val="0"/>
        <w:spacing w:line="360" w:lineRule="auto"/>
        <w:ind w:right="480"/>
        <w:jc w:val="center"/>
        <w:rPr>
          <w:rFonts w:hint="eastAsia" w:ascii="仿宋" w:hAnsi="仿宋" w:eastAsia="仿宋" w:cs="仿宋"/>
          <w:b/>
          <w:color w:val="auto"/>
          <w:kern w:val="0"/>
          <w:sz w:val="32"/>
          <w:szCs w:val="32"/>
        </w:rPr>
      </w:pPr>
    </w:p>
    <w:p w14:paraId="660E1558">
      <w:pPr>
        <w:rPr>
          <w:rFonts w:hint="eastAsia" w:ascii="仿宋" w:hAnsi="仿宋" w:eastAsia="仿宋" w:cs="仿宋"/>
          <w:color w:val="auto"/>
        </w:rPr>
      </w:pPr>
    </w:p>
    <w:p w14:paraId="468F6ABA">
      <w:pPr>
        <w:snapToGrid w:val="0"/>
        <w:spacing w:line="360" w:lineRule="auto"/>
        <w:ind w:right="480"/>
        <w:jc w:val="center"/>
        <w:rPr>
          <w:rFonts w:hint="eastAsia" w:ascii="仿宋" w:hAnsi="仿宋" w:eastAsia="仿宋" w:cs="仿宋"/>
          <w:b/>
          <w:color w:val="auto"/>
          <w:kern w:val="0"/>
          <w:sz w:val="32"/>
          <w:szCs w:val="32"/>
        </w:rPr>
      </w:pPr>
    </w:p>
    <w:p w14:paraId="5250C4C9">
      <w:pPr>
        <w:snapToGrid w:val="0"/>
        <w:spacing w:line="360" w:lineRule="auto"/>
        <w:ind w:right="480"/>
        <w:jc w:val="center"/>
        <w:rPr>
          <w:rFonts w:hint="eastAsia" w:ascii="仿宋" w:hAnsi="仿宋" w:eastAsia="仿宋" w:cs="仿宋"/>
          <w:b/>
          <w:color w:val="auto"/>
          <w:kern w:val="0"/>
          <w:sz w:val="32"/>
          <w:szCs w:val="32"/>
        </w:rPr>
      </w:pPr>
    </w:p>
    <w:p w14:paraId="3907ECC5">
      <w:pPr>
        <w:snapToGrid w:val="0"/>
        <w:spacing w:line="360" w:lineRule="auto"/>
        <w:ind w:right="480"/>
        <w:jc w:val="center"/>
        <w:rPr>
          <w:rFonts w:hint="eastAsia" w:ascii="仿宋" w:hAnsi="仿宋" w:eastAsia="仿宋" w:cs="仿宋"/>
          <w:b/>
          <w:color w:val="auto"/>
          <w:kern w:val="0"/>
          <w:sz w:val="32"/>
          <w:szCs w:val="32"/>
        </w:rPr>
      </w:pPr>
    </w:p>
    <w:p w14:paraId="4C5BD921">
      <w:pPr>
        <w:snapToGrid w:val="0"/>
        <w:spacing w:line="360" w:lineRule="auto"/>
        <w:ind w:right="480"/>
        <w:jc w:val="center"/>
        <w:rPr>
          <w:rFonts w:hint="eastAsia" w:ascii="仿宋" w:hAnsi="仿宋" w:eastAsia="仿宋" w:cs="仿宋"/>
          <w:b/>
          <w:color w:val="auto"/>
          <w:kern w:val="0"/>
          <w:sz w:val="32"/>
          <w:szCs w:val="32"/>
        </w:rPr>
      </w:pPr>
    </w:p>
    <w:p w14:paraId="4458FB9A">
      <w:pPr>
        <w:snapToGrid w:val="0"/>
        <w:spacing w:line="360" w:lineRule="auto"/>
        <w:ind w:right="480"/>
        <w:jc w:val="center"/>
        <w:rPr>
          <w:rFonts w:hint="eastAsia" w:ascii="仿宋" w:hAnsi="仿宋" w:eastAsia="仿宋" w:cs="仿宋"/>
          <w:b/>
          <w:color w:val="auto"/>
          <w:kern w:val="0"/>
          <w:sz w:val="32"/>
          <w:szCs w:val="32"/>
        </w:rPr>
      </w:pPr>
    </w:p>
    <w:p w14:paraId="1E6112DA">
      <w:pPr>
        <w:rPr>
          <w:rFonts w:hint="eastAsia" w:ascii="仿宋" w:hAnsi="仿宋" w:eastAsia="仿宋" w:cs="仿宋"/>
          <w:b/>
          <w:color w:val="auto"/>
          <w:kern w:val="0"/>
          <w:sz w:val="36"/>
          <w:szCs w:val="36"/>
        </w:rPr>
      </w:pPr>
    </w:p>
    <w:p w14:paraId="4BFF8D87">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2343A43B">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15B01139">
      <w:pPr>
        <w:spacing w:line="360" w:lineRule="auto"/>
        <w:jc w:val="center"/>
        <w:outlineLvl w:val="0"/>
        <w:rPr>
          <w:rFonts w:hint="eastAsia" w:ascii="仿宋" w:hAnsi="仿宋" w:eastAsia="仿宋" w:cs="仿宋"/>
          <w:b/>
          <w:color w:val="auto"/>
          <w:kern w:val="0"/>
          <w:sz w:val="24"/>
        </w:rPr>
      </w:pPr>
    </w:p>
    <w:p w14:paraId="1E29AFAD">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39408BE">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（1）响应函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653A774F">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 xml:space="preserve">（3）符合性审查资料 </w:t>
      </w:r>
      <w:r>
        <w:rPr>
          <w:rFonts w:hint="eastAsia" w:ascii="仿宋" w:hAnsi="仿宋" w:eastAsia="仿宋" w:cs="仿宋"/>
          <w:color w:val="auto"/>
        </w:rPr>
        <w:t>……………………………………………………………………（页码）</w:t>
      </w:r>
    </w:p>
    <w:p w14:paraId="066CF21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 评标标准相应的商务技术资料……………………………………………（页码）</w:t>
      </w:r>
    </w:p>
    <w:p w14:paraId="4DF23BC8">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（5）交易标的清单………………………………………………………………（页码）</w:t>
      </w:r>
    </w:p>
    <w:p w14:paraId="5B28157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（6）商务技术偏离表……………………………………………………………（页码）</w:t>
      </w:r>
    </w:p>
    <w:p w14:paraId="26D55E0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采购供应商廉洁自律承诺书</w:t>
      </w:r>
      <w:r>
        <w:rPr>
          <w:rFonts w:hint="eastAsia" w:ascii="仿宋" w:hAnsi="仿宋" w:eastAsia="仿宋" w:cs="仿宋"/>
          <w:color w:val="auto"/>
          <w:sz w:val="24"/>
        </w:rPr>
        <w:t>………………………………………………（页码）</w:t>
      </w:r>
    </w:p>
    <w:p w14:paraId="5963F1EA">
      <w:pPr>
        <w:snapToGrid w:val="0"/>
        <w:spacing w:line="360" w:lineRule="auto"/>
        <w:jc w:val="center"/>
        <w:rPr>
          <w:rFonts w:hint="eastAsia" w:ascii="仿宋" w:hAnsi="仿宋" w:eastAsia="仿宋" w:cs="仿宋"/>
          <w:b/>
          <w:color w:val="auto"/>
          <w:kern w:val="0"/>
          <w:sz w:val="32"/>
          <w:szCs w:val="32"/>
          <w:lang w:val="zh-CN"/>
        </w:rPr>
      </w:pPr>
    </w:p>
    <w:p w14:paraId="265715F1">
      <w:pPr>
        <w:snapToGrid w:val="0"/>
        <w:spacing w:line="360" w:lineRule="auto"/>
        <w:jc w:val="center"/>
        <w:rPr>
          <w:rFonts w:hint="eastAsia" w:ascii="仿宋" w:hAnsi="仿宋" w:eastAsia="仿宋" w:cs="仿宋"/>
          <w:b/>
          <w:color w:val="auto"/>
          <w:kern w:val="0"/>
          <w:sz w:val="32"/>
          <w:szCs w:val="32"/>
          <w:lang w:val="zh-CN"/>
        </w:rPr>
      </w:pPr>
    </w:p>
    <w:p w14:paraId="1A8F8338">
      <w:pPr>
        <w:snapToGrid w:val="0"/>
        <w:spacing w:line="360" w:lineRule="auto"/>
        <w:jc w:val="center"/>
        <w:rPr>
          <w:rFonts w:hint="eastAsia" w:ascii="仿宋" w:hAnsi="仿宋" w:eastAsia="仿宋" w:cs="仿宋"/>
          <w:b/>
          <w:color w:val="auto"/>
          <w:kern w:val="0"/>
          <w:sz w:val="32"/>
          <w:szCs w:val="32"/>
          <w:lang w:val="zh-CN"/>
        </w:rPr>
      </w:pPr>
    </w:p>
    <w:p w14:paraId="370D2E24">
      <w:pPr>
        <w:snapToGrid w:val="0"/>
        <w:spacing w:line="360" w:lineRule="auto"/>
        <w:jc w:val="center"/>
        <w:rPr>
          <w:rFonts w:hint="eastAsia" w:ascii="仿宋" w:hAnsi="仿宋" w:eastAsia="仿宋" w:cs="仿宋"/>
          <w:b/>
          <w:color w:val="auto"/>
          <w:kern w:val="0"/>
          <w:sz w:val="32"/>
          <w:szCs w:val="32"/>
          <w:lang w:val="zh-CN"/>
        </w:rPr>
      </w:pPr>
    </w:p>
    <w:p w14:paraId="0CA3FEBB">
      <w:pPr>
        <w:snapToGrid w:val="0"/>
        <w:spacing w:line="360" w:lineRule="auto"/>
        <w:jc w:val="center"/>
        <w:rPr>
          <w:rFonts w:hint="eastAsia" w:ascii="仿宋" w:hAnsi="仿宋" w:eastAsia="仿宋" w:cs="仿宋"/>
          <w:b/>
          <w:color w:val="auto"/>
          <w:kern w:val="0"/>
          <w:sz w:val="32"/>
          <w:szCs w:val="32"/>
          <w:lang w:val="zh-CN"/>
        </w:rPr>
      </w:pPr>
    </w:p>
    <w:p w14:paraId="457862F1">
      <w:pPr>
        <w:snapToGrid w:val="0"/>
        <w:spacing w:line="360" w:lineRule="auto"/>
        <w:jc w:val="center"/>
        <w:outlineLvl w:val="0"/>
        <w:rPr>
          <w:rFonts w:hint="eastAsia" w:ascii="仿宋" w:hAnsi="仿宋" w:eastAsia="仿宋" w:cs="仿宋"/>
          <w:b/>
          <w:color w:val="auto"/>
          <w:kern w:val="0"/>
          <w:sz w:val="32"/>
          <w:szCs w:val="32"/>
        </w:rPr>
      </w:pPr>
    </w:p>
    <w:p w14:paraId="152AD83A">
      <w:pPr>
        <w:snapToGrid w:val="0"/>
        <w:spacing w:line="360" w:lineRule="auto"/>
        <w:jc w:val="center"/>
        <w:outlineLvl w:val="0"/>
        <w:rPr>
          <w:rFonts w:hint="eastAsia" w:ascii="仿宋" w:hAnsi="仿宋" w:eastAsia="仿宋" w:cs="仿宋"/>
          <w:b/>
          <w:color w:val="auto"/>
          <w:kern w:val="0"/>
          <w:sz w:val="32"/>
          <w:szCs w:val="32"/>
        </w:rPr>
      </w:pPr>
    </w:p>
    <w:p w14:paraId="6BE9D8B8">
      <w:pPr>
        <w:rPr>
          <w:rFonts w:hint="eastAsia" w:ascii="仿宋" w:hAnsi="仿宋" w:eastAsia="仿宋" w:cs="仿宋"/>
          <w:color w:val="auto"/>
        </w:rPr>
      </w:pPr>
    </w:p>
    <w:p w14:paraId="18700EA0">
      <w:pPr>
        <w:snapToGrid w:val="0"/>
        <w:spacing w:line="360" w:lineRule="auto"/>
        <w:jc w:val="center"/>
        <w:outlineLvl w:val="0"/>
        <w:rPr>
          <w:rFonts w:hint="eastAsia" w:ascii="仿宋" w:hAnsi="仿宋" w:eastAsia="仿宋" w:cs="仿宋"/>
          <w:b/>
          <w:color w:val="auto"/>
          <w:kern w:val="0"/>
          <w:sz w:val="32"/>
          <w:szCs w:val="32"/>
        </w:rPr>
      </w:pPr>
    </w:p>
    <w:p w14:paraId="30EA987B">
      <w:pPr>
        <w:snapToGrid w:val="0"/>
        <w:spacing w:line="360" w:lineRule="auto"/>
        <w:jc w:val="center"/>
        <w:outlineLvl w:val="0"/>
        <w:rPr>
          <w:rFonts w:hint="eastAsia" w:ascii="仿宋" w:hAnsi="仿宋" w:eastAsia="仿宋" w:cs="仿宋"/>
          <w:b/>
          <w:color w:val="auto"/>
          <w:kern w:val="0"/>
          <w:sz w:val="32"/>
          <w:szCs w:val="32"/>
        </w:rPr>
      </w:pPr>
    </w:p>
    <w:p w14:paraId="02D8F970">
      <w:pPr>
        <w:snapToGrid w:val="0"/>
        <w:spacing w:line="360" w:lineRule="auto"/>
        <w:jc w:val="center"/>
        <w:outlineLvl w:val="0"/>
        <w:rPr>
          <w:rFonts w:hint="eastAsia" w:ascii="仿宋" w:hAnsi="仿宋" w:eastAsia="仿宋" w:cs="仿宋"/>
          <w:b/>
          <w:color w:val="auto"/>
          <w:kern w:val="0"/>
          <w:sz w:val="32"/>
          <w:szCs w:val="32"/>
        </w:rPr>
      </w:pPr>
    </w:p>
    <w:p w14:paraId="7BCEF997">
      <w:pPr>
        <w:snapToGrid w:val="0"/>
        <w:spacing w:line="360" w:lineRule="auto"/>
        <w:jc w:val="center"/>
        <w:outlineLvl w:val="0"/>
        <w:rPr>
          <w:rFonts w:hint="eastAsia" w:ascii="仿宋" w:hAnsi="仿宋" w:eastAsia="仿宋" w:cs="仿宋"/>
          <w:b/>
          <w:color w:val="auto"/>
          <w:kern w:val="0"/>
          <w:sz w:val="32"/>
          <w:szCs w:val="32"/>
        </w:rPr>
      </w:pPr>
    </w:p>
    <w:p w14:paraId="61AFD3F3">
      <w:pPr>
        <w:snapToGrid w:val="0"/>
        <w:spacing w:line="360" w:lineRule="auto"/>
        <w:jc w:val="center"/>
        <w:outlineLvl w:val="0"/>
        <w:rPr>
          <w:rFonts w:hint="eastAsia" w:ascii="仿宋" w:hAnsi="仿宋" w:eastAsia="仿宋" w:cs="仿宋"/>
          <w:b/>
          <w:color w:val="auto"/>
          <w:kern w:val="0"/>
          <w:sz w:val="32"/>
          <w:szCs w:val="32"/>
        </w:rPr>
      </w:pPr>
    </w:p>
    <w:p w14:paraId="6855462F">
      <w:pPr>
        <w:snapToGrid w:val="0"/>
        <w:spacing w:line="360" w:lineRule="auto"/>
        <w:jc w:val="center"/>
        <w:outlineLvl w:val="0"/>
        <w:rPr>
          <w:rFonts w:hint="eastAsia" w:ascii="仿宋" w:hAnsi="仿宋" w:eastAsia="仿宋" w:cs="仿宋"/>
          <w:b/>
          <w:color w:val="auto"/>
          <w:kern w:val="0"/>
          <w:sz w:val="32"/>
          <w:szCs w:val="32"/>
        </w:rPr>
      </w:pPr>
    </w:p>
    <w:p w14:paraId="585A02B2">
      <w:pPr>
        <w:jc w:val="center"/>
        <w:rPr>
          <w:rFonts w:hint="eastAsia" w:ascii="仿宋" w:hAnsi="仿宋" w:eastAsia="仿宋" w:cs="仿宋"/>
          <w:b/>
          <w:color w:val="auto"/>
          <w:kern w:val="0"/>
          <w:sz w:val="32"/>
          <w:szCs w:val="32"/>
        </w:rPr>
      </w:pPr>
    </w:p>
    <w:p w14:paraId="4C0B5661">
      <w:pPr>
        <w:jc w:val="center"/>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68940FC8">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274B42F1">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（项目名称）【交易编号：       】</w:t>
      </w:r>
      <w:r>
        <w:rPr>
          <w:rFonts w:hint="eastAsia" w:ascii="仿宋" w:hAnsi="仿宋" w:eastAsia="仿宋" w:cs="仿宋"/>
          <w:color w:val="auto"/>
          <w:sz w:val="24"/>
        </w:rPr>
        <w:t>交易的有关活动，并对此项目进行响应。为此：</w:t>
      </w:r>
    </w:p>
    <w:p w14:paraId="74C53A67">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1、我方承诺交易有效期从提交响应文件的截止之日起天（不少于90天）</w:t>
      </w:r>
      <w:r>
        <w:rPr>
          <w:rFonts w:hint="eastAsia" w:ascii="仿宋" w:hAnsi="仿宋" w:eastAsia="仿宋" w:cs="仿宋"/>
          <w:color w:val="auto"/>
        </w:rPr>
        <w:t>，</w:t>
      </w:r>
      <w:r>
        <w:rPr>
          <w:rFonts w:hint="eastAsia" w:ascii="仿宋" w:hAnsi="仿宋" w:eastAsia="仿宋" w:cs="仿宋"/>
          <w:color w:val="auto"/>
          <w:sz w:val="24"/>
        </w:rPr>
        <w:t>本响应文件在交易有效期满之前均具有约束力。</w:t>
      </w:r>
    </w:p>
    <w:p w14:paraId="70911FA1">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68647C1B">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6A71FC0F">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14D2EF96">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2.1.2落实采购政策需满足的资格要求</w:t>
      </w:r>
    </w:p>
    <w:p w14:paraId="6B7FBCA5">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14:paraId="0FF672E3">
      <w:pPr>
        <w:snapToGrid w:val="0"/>
        <w:spacing w:line="440" w:lineRule="exact"/>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1C7031C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2.2.1响应函；</w:t>
      </w:r>
    </w:p>
    <w:p w14:paraId="2D2D7E1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0F64162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2.2.3符合性审查资料；</w:t>
      </w:r>
    </w:p>
    <w:p w14:paraId="07411F48">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2.2.4评标标准相应的商务技术资料；</w:t>
      </w:r>
    </w:p>
    <w:p w14:paraId="04D4D5C7">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2.2.5交易标的清单；</w:t>
      </w:r>
    </w:p>
    <w:p w14:paraId="18263BF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2.2.6商务技术偏离表；</w:t>
      </w:r>
    </w:p>
    <w:p w14:paraId="54086B3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w:t>
      </w:r>
      <w:r>
        <w:rPr>
          <w:rFonts w:hint="eastAsia" w:ascii="仿宋" w:hAnsi="仿宋" w:eastAsia="仿宋" w:cs="仿宋"/>
          <w:color w:val="auto"/>
          <w:sz w:val="24"/>
          <w:lang w:val="zh-CN"/>
        </w:rPr>
        <w:t>采购供应商廉洁自律承诺书。</w:t>
      </w:r>
    </w:p>
    <w:p w14:paraId="33D90779">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82D8E82">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2.3.1交易一览表（报价表）。</w:t>
      </w:r>
    </w:p>
    <w:p w14:paraId="49484AC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2.3.2供应商针对报价需要说明的其他文件和资料（格式自拟）。</w:t>
      </w:r>
    </w:p>
    <w:p w14:paraId="05147895">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3、我方承诺除商务技术偏离表列出的偏离外，我方响应交易文件的全部要求。</w:t>
      </w:r>
    </w:p>
    <w:p w14:paraId="4AE61F33">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6DA8364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64E6DB10">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2A93DD5B">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4.3在合同约定的期限内完成合同规定的全部义务。 </w:t>
      </w:r>
    </w:p>
    <w:p w14:paraId="6BCD982C">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p>
    <w:p w14:paraId="5763D8D0">
      <w:pPr>
        <w:spacing w:line="44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3A5F982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B459E35">
      <w:pPr>
        <w:jc w:val="left"/>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462C468">
      <w:pPr>
        <w:rPr>
          <w:rFonts w:hint="eastAsia" w:ascii="仿宋" w:hAnsi="仿宋" w:eastAsia="仿宋" w:cs="仿宋"/>
          <w:color w:val="auto"/>
          <w:sz w:val="24"/>
        </w:rPr>
      </w:pPr>
      <w:r>
        <w:rPr>
          <w:rFonts w:hint="eastAsia" w:ascii="仿宋" w:hAnsi="仿宋" w:eastAsia="仿宋" w:cs="仿宋"/>
          <w:color w:val="auto"/>
          <w:sz w:val="24"/>
        </w:rPr>
        <w:br w:type="page"/>
      </w:r>
    </w:p>
    <w:p w14:paraId="0F556439">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050AA9D2">
      <w:pPr>
        <w:snapToGrid w:val="0"/>
        <w:spacing w:line="360" w:lineRule="auto"/>
        <w:rPr>
          <w:rFonts w:hint="eastAsia" w:ascii="仿宋" w:hAnsi="仿宋" w:eastAsia="仿宋" w:cs="仿宋"/>
          <w:color w:val="auto"/>
          <w:sz w:val="24"/>
        </w:rPr>
      </w:pPr>
    </w:p>
    <w:p w14:paraId="24643E33">
      <w:pPr>
        <w:snapToGrid w:val="0"/>
        <w:spacing w:line="360" w:lineRule="auto"/>
        <w:jc w:val="center"/>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w:t>
      </w:r>
    </w:p>
    <w:p w14:paraId="2A92B2F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2B64783C">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委托（姓名）为我方代理人（身份证号码：，手机：），以我方名义处理</w:t>
      </w:r>
      <w:r>
        <w:rPr>
          <w:rFonts w:hint="eastAsia" w:ascii="仿宋" w:hAnsi="仿宋" w:eastAsia="仿宋" w:cs="仿宋"/>
          <w:color w:val="auto"/>
          <w:sz w:val="24"/>
        </w:rPr>
        <w:t>（项目名称）【交易编号：    】</w:t>
      </w:r>
      <w:r>
        <w:rPr>
          <w:rFonts w:hint="eastAsia" w:ascii="仿宋" w:hAnsi="仿宋" w:eastAsia="仿宋" w:cs="仿宋"/>
          <w:color w:val="auto"/>
          <w:kern w:val="0"/>
          <w:sz w:val="24"/>
          <w:lang w:val="zh-CN"/>
        </w:rPr>
        <w:t>交易的一切事项，其法律后果由我方承担。</w:t>
      </w:r>
    </w:p>
    <w:p w14:paraId="15F914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自年月日起至年月日止。</w:t>
      </w:r>
    </w:p>
    <w:p w14:paraId="5EFAEC2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498E84E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04515DE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2CECB094">
      <w:pPr>
        <w:snapToGrid w:val="0"/>
        <w:spacing w:line="360" w:lineRule="auto"/>
        <w:rPr>
          <w:rFonts w:hint="eastAsia" w:ascii="仿宋" w:hAnsi="仿宋" w:eastAsia="仿宋" w:cs="仿宋"/>
          <w:color w:val="auto"/>
          <w:sz w:val="24"/>
        </w:rPr>
      </w:pPr>
    </w:p>
    <w:p w14:paraId="59B684AE">
      <w:pPr>
        <w:snapToGrid w:val="0"/>
        <w:spacing w:line="360" w:lineRule="auto"/>
        <w:rPr>
          <w:rFonts w:hint="eastAsia" w:ascii="仿宋" w:hAnsi="仿宋" w:eastAsia="仿宋" w:cs="仿宋"/>
          <w:color w:val="auto"/>
          <w:kern w:val="0"/>
          <w:sz w:val="24"/>
          <w:lang w:val="zh-CN"/>
        </w:rPr>
      </w:pPr>
    </w:p>
    <w:p w14:paraId="40792858">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的身份证明（适用于法定代表人、单位负责人或者自然人本人代表供应商参加交易）</w:t>
      </w:r>
    </w:p>
    <w:p w14:paraId="7051814A">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C4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4952A941">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4A6B1D68">
            <w:pPr>
              <w:pStyle w:val="148"/>
              <w:adjustRightInd w:val="0"/>
              <w:spacing w:line="360" w:lineRule="auto"/>
              <w:rPr>
                <w:rFonts w:hint="eastAsia" w:ascii="仿宋" w:hAnsi="仿宋" w:eastAsia="仿宋" w:cs="仿宋"/>
                <w:bCs/>
                <w:color w:val="auto"/>
                <w:sz w:val="24"/>
              </w:rPr>
            </w:pPr>
          </w:p>
        </w:tc>
      </w:tr>
    </w:tbl>
    <w:p w14:paraId="343B0369">
      <w:pPr>
        <w:snapToGrid w:val="0"/>
        <w:spacing w:line="360" w:lineRule="auto"/>
        <w:ind w:firstLine="576"/>
        <w:jc w:val="center"/>
        <w:rPr>
          <w:rFonts w:hint="eastAsia" w:ascii="仿宋" w:hAnsi="仿宋" w:eastAsia="仿宋" w:cs="仿宋"/>
          <w:color w:val="auto"/>
          <w:kern w:val="0"/>
          <w:sz w:val="24"/>
          <w:lang w:val="zh-CN"/>
        </w:rPr>
      </w:pPr>
    </w:p>
    <w:p w14:paraId="4D718157">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10556D48">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CDAA43B">
      <w:pPr>
        <w:snapToGrid w:val="0"/>
        <w:spacing w:line="360" w:lineRule="auto"/>
        <w:rPr>
          <w:rFonts w:hint="eastAsia" w:ascii="仿宋" w:hAnsi="仿宋" w:eastAsia="仿宋" w:cs="仿宋"/>
          <w:color w:val="auto"/>
          <w:kern w:val="0"/>
          <w:sz w:val="24"/>
        </w:rPr>
      </w:pPr>
    </w:p>
    <w:p w14:paraId="1E91A68A">
      <w:pPr>
        <w:pStyle w:val="62"/>
        <w:ind w:firstLine="420"/>
        <w:rPr>
          <w:rFonts w:hint="eastAsia" w:ascii="仿宋" w:hAnsi="仿宋" w:eastAsia="仿宋" w:cs="仿宋"/>
          <w:color w:val="auto"/>
        </w:rPr>
      </w:pPr>
    </w:p>
    <w:p w14:paraId="5764548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三、符合性审查资料</w:t>
      </w:r>
    </w:p>
    <w:p w14:paraId="4C9A0365">
      <w:pPr>
        <w:jc w:val="center"/>
        <w:rPr>
          <w:rFonts w:hint="eastAsia" w:ascii="仿宋" w:hAnsi="仿宋" w:eastAsia="仿宋" w:cs="仿宋"/>
          <w:b/>
          <w:color w:val="auto"/>
          <w:kern w:val="0"/>
          <w:sz w:val="32"/>
          <w:szCs w:val="32"/>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5AF1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BCCBC0">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672" w:type="dxa"/>
            <w:vAlign w:val="center"/>
          </w:tcPr>
          <w:p w14:paraId="489D954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1D17D6EF">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7D6D7CE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响应文件中的</w:t>
            </w:r>
          </w:p>
          <w:p w14:paraId="7B97B252">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51D6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A379F">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672" w:type="dxa"/>
            <w:vAlign w:val="center"/>
          </w:tcPr>
          <w:p w14:paraId="3643A970">
            <w:pPr>
              <w:jc w:val="left"/>
              <w:rPr>
                <w:rFonts w:hint="eastAsia" w:ascii="仿宋" w:hAnsi="仿宋" w:eastAsia="仿宋" w:cs="仿宋"/>
                <w:color w:val="auto"/>
                <w:sz w:val="24"/>
              </w:rPr>
            </w:pPr>
            <w:r>
              <w:rPr>
                <w:rFonts w:hint="eastAsia" w:ascii="仿宋" w:hAnsi="仿宋" w:eastAsia="仿宋" w:cs="仿宋"/>
                <w:color w:val="auto"/>
                <w:sz w:val="24"/>
              </w:rPr>
              <w:t>响应文件按照交易文件要求签署、盖章。</w:t>
            </w:r>
          </w:p>
        </w:tc>
        <w:tc>
          <w:tcPr>
            <w:tcW w:w="2551" w:type="dxa"/>
            <w:vAlign w:val="center"/>
          </w:tcPr>
          <w:p w14:paraId="778D85D8">
            <w:pPr>
              <w:jc w:val="left"/>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1418" w:type="dxa"/>
            <w:vAlign w:val="center"/>
          </w:tcPr>
          <w:p w14:paraId="331206E6">
            <w:pPr>
              <w:jc w:val="center"/>
              <w:rPr>
                <w:rFonts w:hint="eastAsia" w:ascii="仿宋" w:hAnsi="仿宋" w:eastAsia="仿宋" w:cs="仿宋"/>
                <w:color w:val="auto"/>
                <w:sz w:val="24"/>
              </w:rPr>
            </w:pPr>
            <w:r>
              <w:rPr>
                <w:rFonts w:hint="eastAsia" w:ascii="仿宋" w:hAnsi="仿宋" w:eastAsia="仿宋" w:cs="仿宋"/>
                <w:color w:val="auto"/>
                <w:sz w:val="24"/>
              </w:rPr>
              <w:t>见响应文件</w:t>
            </w:r>
          </w:p>
          <w:p w14:paraId="0C173129">
            <w:pPr>
              <w:jc w:val="center"/>
              <w:rPr>
                <w:rFonts w:hint="eastAsia" w:ascii="仿宋" w:hAnsi="仿宋" w:eastAsia="仿宋" w:cs="仿宋"/>
                <w:color w:val="auto"/>
              </w:rPr>
            </w:pPr>
            <w:r>
              <w:rPr>
                <w:rFonts w:hint="eastAsia" w:ascii="仿宋" w:hAnsi="仿宋" w:eastAsia="仿宋" w:cs="仿宋"/>
                <w:color w:val="auto"/>
                <w:sz w:val="24"/>
              </w:rPr>
              <w:t>第页</w:t>
            </w:r>
          </w:p>
        </w:tc>
      </w:tr>
      <w:tr w14:paraId="3200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0387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672" w:type="dxa"/>
            <w:vAlign w:val="center"/>
          </w:tcPr>
          <w:p w14:paraId="5095E2B0">
            <w:pPr>
              <w:jc w:val="left"/>
              <w:rPr>
                <w:rFonts w:hint="eastAsia" w:ascii="仿宋" w:hAnsi="仿宋" w:eastAsia="仿宋" w:cs="仿宋"/>
                <w:color w:val="auto"/>
                <w:sz w:val="24"/>
              </w:rPr>
            </w:pPr>
            <w:r>
              <w:rPr>
                <w:rFonts w:hint="eastAsia" w:ascii="仿宋" w:hAnsi="仿宋" w:eastAsia="仿宋" w:cs="仿宋"/>
                <w:color w:val="auto"/>
                <w:sz w:val="24"/>
              </w:rPr>
              <w:t>响应文件中承诺的交易有效期不少于交易文件中载明的交易有效期。</w:t>
            </w:r>
          </w:p>
        </w:tc>
        <w:tc>
          <w:tcPr>
            <w:tcW w:w="2551" w:type="dxa"/>
            <w:vAlign w:val="center"/>
          </w:tcPr>
          <w:p w14:paraId="4E125399">
            <w:pPr>
              <w:jc w:val="left"/>
              <w:rPr>
                <w:rFonts w:hint="eastAsia" w:ascii="仿宋" w:hAnsi="仿宋" w:eastAsia="仿宋" w:cs="仿宋"/>
                <w:color w:val="auto"/>
                <w:sz w:val="24"/>
              </w:rPr>
            </w:pPr>
            <w:r>
              <w:rPr>
                <w:rFonts w:hint="eastAsia" w:ascii="仿宋" w:hAnsi="仿宋" w:eastAsia="仿宋" w:cs="仿宋"/>
                <w:color w:val="auto"/>
                <w:sz w:val="24"/>
              </w:rPr>
              <w:t>响应函</w:t>
            </w:r>
          </w:p>
        </w:tc>
        <w:tc>
          <w:tcPr>
            <w:tcW w:w="1418" w:type="dxa"/>
            <w:vAlign w:val="center"/>
          </w:tcPr>
          <w:p w14:paraId="4EB2C851">
            <w:pPr>
              <w:jc w:val="center"/>
              <w:rPr>
                <w:rFonts w:hint="eastAsia" w:ascii="仿宋" w:hAnsi="仿宋" w:eastAsia="仿宋" w:cs="仿宋"/>
                <w:color w:val="auto"/>
              </w:rPr>
            </w:pPr>
            <w:r>
              <w:rPr>
                <w:rFonts w:hint="eastAsia" w:ascii="仿宋" w:hAnsi="仿宋" w:eastAsia="仿宋" w:cs="仿宋"/>
                <w:color w:val="auto"/>
                <w:sz w:val="24"/>
              </w:rPr>
              <w:t>见响应文件第页</w:t>
            </w:r>
          </w:p>
        </w:tc>
      </w:tr>
      <w:tr w14:paraId="427A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6AC934">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672" w:type="dxa"/>
            <w:vAlign w:val="center"/>
          </w:tcPr>
          <w:p w14:paraId="632B9948">
            <w:pPr>
              <w:jc w:val="left"/>
              <w:rPr>
                <w:rFonts w:hint="eastAsia" w:ascii="仿宋" w:hAnsi="仿宋" w:eastAsia="仿宋" w:cs="仿宋"/>
                <w:color w:val="auto"/>
                <w:sz w:val="24"/>
              </w:rPr>
            </w:pPr>
            <w:r>
              <w:rPr>
                <w:rFonts w:hint="eastAsia" w:ascii="仿宋" w:hAnsi="仿宋" w:eastAsia="仿宋" w:cs="仿宋"/>
                <w:color w:val="auto"/>
                <w:sz w:val="24"/>
              </w:rPr>
              <w:t>响应文件满足交易文件的其它实质性要求。</w:t>
            </w:r>
          </w:p>
        </w:tc>
        <w:tc>
          <w:tcPr>
            <w:tcW w:w="2551" w:type="dxa"/>
            <w:vAlign w:val="center"/>
          </w:tcPr>
          <w:p w14:paraId="422BB834">
            <w:pPr>
              <w:jc w:val="left"/>
              <w:rPr>
                <w:rFonts w:hint="eastAsia" w:ascii="仿宋" w:hAnsi="仿宋" w:eastAsia="仿宋" w:cs="仿宋"/>
                <w:color w:val="auto"/>
                <w:sz w:val="24"/>
              </w:rPr>
            </w:pPr>
            <w:r>
              <w:rPr>
                <w:rFonts w:hint="eastAsia" w:ascii="仿宋" w:hAnsi="仿宋" w:eastAsia="仿宋" w:cs="仿宋"/>
                <w:color w:val="auto"/>
                <w:kern w:val="0"/>
                <w:sz w:val="24"/>
              </w:rPr>
              <w:t>交易文件其它实质性要求相应的材料（“▲” 系指实质性要求条款，交易文件无其它实质性要求的，无需提供）</w:t>
            </w:r>
          </w:p>
        </w:tc>
        <w:tc>
          <w:tcPr>
            <w:tcW w:w="1418" w:type="dxa"/>
            <w:vAlign w:val="center"/>
          </w:tcPr>
          <w:p w14:paraId="60670C0A">
            <w:pPr>
              <w:jc w:val="center"/>
              <w:rPr>
                <w:rFonts w:hint="eastAsia" w:ascii="仿宋" w:hAnsi="仿宋" w:eastAsia="仿宋" w:cs="仿宋"/>
                <w:color w:val="auto"/>
              </w:rPr>
            </w:pPr>
            <w:r>
              <w:rPr>
                <w:rFonts w:hint="eastAsia" w:ascii="仿宋" w:hAnsi="仿宋" w:eastAsia="仿宋" w:cs="仿宋"/>
                <w:color w:val="auto"/>
                <w:sz w:val="24"/>
              </w:rPr>
              <w:t>见响应文件第页</w:t>
            </w:r>
          </w:p>
        </w:tc>
      </w:tr>
    </w:tbl>
    <w:p w14:paraId="646D296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A5C39CE">
      <w:pPr>
        <w:jc w:val="center"/>
        <w:rPr>
          <w:rFonts w:hint="eastAsia" w:ascii="仿宋" w:hAnsi="仿宋" w:eastAsia="仿宋" w:cs="仿宋"/>
          <w:b/>
          <w:color w:val="auto"/>
          <w:kern w:val="0"/>
          <w:sz w:val="32"/>
          <w:szCs w:val="32"/>
        </w:rPr>
      </w:pPr>
    </w:p>
    <w:p w14:paraId="74018DA8">
      <w:pPr>
        <w:jc w:val="center"/>
        <w:rPr>
          <w:rFonts w:hint="eastAsia" w:ascii="仿宋" w:hAnsi="仿宋" w:eastAsia="仿宋" w:cs="仿宋"/>
          <w:b/>
          <w:color w:val="auto"/>
          <w:kern w:val="0"/>
          <w:sz w:val="32"/>
          <w:szCs w:val="32"/>
        </w:rPr>
      </w:pPr>
    </w:p>
    <w:p w14:paraId="1C6A1043">
      <w:pPr>
        <w:jc w:val="center"/>
        <w:rPr>
          <w:rFonts w:hint="eastAsia" w:ascii="仿宋" w:hAnsi="仿宋" w:eastAsia="仿宋" w:cs="仿宋"/>
          <w:b/>
          <w:color w:val="auto"/>
          <w:kern w:val="0"/>
          <w:sz w:val="32"/>
          <w:szCs w:val="32"/>
        </w:rPr>
      </w:pPr>
    </w:p>
    <w:p w14:paraId="3A551066">
      <w:pPr>
        <w:jc w:val="center"/>
        <w:rPr>
          <w:rFonts w:hint="eastAsia" w:ascii="仿宋" w:hAnsi="仿宋" w:eastAsia="仿宋" w:cs="仿宋"/>
          <w:b/>
          <w:color w:val="auto"/>
          <w:kern w:val="0"/>
          <w:sz w:val="32"/>
          <w:szCs w:val="32"/>
        </w:rPr>
      </w:pPr>
    </w:p>
    <w:p w14:paraId="6A110916">
      <w:pPr>
        <w:jc w:val="center"/>
        <w:rPr>
          <w:rFonts w:hint="eastAsia" w:ascii="仿宋" w:hAnsi="仿宋" w:eastAsia="仿宋" w:cs="仿宋"/>
          <w:b/>
          <w:color w:val="auto"/>
          <w:kern w:val="0"/>
          <w:sz w:val="32"/>
          <w:szCs w:val="32"/>
        </w:rPr>
      </w:pPr>
    </w:p>
    <w:p w14:paraId="5CFAD97F">
      <w:pPr>
        <w:jc w:val="center"/>
        <w:rPr>
          <w:rFonts w:hint="eastAsia" w:ascii="仿宋" w:hAnsi="仿宋" w:eastAsia="仿宋" w:cs="仿宋"/>
          <w:b/>
          <w:color w:val="auto"/>
          <w:kern w:val="0"/>
          <w:sz w:val="32"/>
          <w:szCs w:val="32"/>
        </w:rPr>
      </w:pPr>
    </w:p>
    <w:p w14:paraId="0E1DE8CC">
      <w:pPr>
        <w:jc w:val="center"/>
        <w:rPr>
          <w:rFonts w:hint="eastAsia" w:ascii="仿宋" w:hAnsi="仿宋" w:eastAsia="仿宋" w:cs="仿宋"/>
          <w:b/>
          <w:color w:val="auto"/>
          <w:kern w:val="0"/>
          <w:sz w:val="32"/>
          <w:szCs w:val="32"/>
        </w:rPr>
      </w:pPr>
    </w:p>
    <w:p w14:paraId="2DDA256F">
      <w:pPr>
        <w:jc w:val="center"/>
        <w:rPr>
          <w:rFonts w:hint="eastAsia" w:ascii="仿宋" w:hAnsi="仿宋" w:eastAsia="仿宋" w:cs="仿宋"/>
          <w:b/>
          <w:color w:val="auto"/>
          <w:kern w:val="0"/>
          <w:sz w:val="32"/>
          <w:szCs w:val="32"/>
        </w:rPr>
      </w:pPr>
    </w:p>
    <w:p w14:paraId="7D60A05A">
      <w:pPr>
        <w:jc w:val="center"/>
        <w:rPr>
          <w:rFonts w:hint="eastAsia" w:ascii="仿宋" w:hAnsi="仿宋" w:eastAsia="仿宋" w:cs="仿宋"/>
          <w:color w:val="auto"/>
        </w:rPr>
      </w:pPr>
      <w:r>
        <w:rPr>
          <w:rFonts w:hint="eastAsia" w:ascii="仿宋" w:hAnsi="仿宋" w:eastAsia="仿宋" w:cs="仿宋"/>
          <w:b/>
          <w:color w:val="auto"/>
          <w:kern w:val="0"/>
          <w:sz w:val="32"/>
          <w:szCs w:val="32"/>
        </w:rPr>
        <w:t>四、评标标准相应的商务技术资料</w:t>
      </w:r>
    </w:p>
    <w:p w14:paraId="6BF3BFE5">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（按交易文件第四部分评标办法前附表中“响应文件中评标标准相应的商务技术资料目录”提供资料。）</w:t>
      </w:r>
    </w:p>
    <w:p w14:paraId="735A6AFB">
      <w:pPr>
        <w:jc w:val="center"/>
        <w:rPr>
          <w:rFonts w:hint="eastAsia" w:ascii="仿宋" w:hAnsi="仿宋" w:eastAsia="仿宋" w:cs="仿宋"/>
          <w:b/>
          <w:color w:val="auto"/>
          <w:kern w:val="0"/>
          <w:sz w:val="32"/>
          <w:szCs w:val="32"/>
        </w:rPr>
      </w:pPr>
    </w:p>
    <w:p w14:paraId="10364DCB">
      <w:pPr>
        <w:jc w:val="center"/>
        <w:rPr>
          <w:rFonts w:hint="eastAsia" w:ascii="仿宋" w:hAnsi="仿宋" w:eastAsia="仿宋" w:cs="仿宋"/>
          <w:b/>
          <w:color w:val="auto"/>
          <w:kern w:val="0"/>
          <w:sz w:val="32"/>
          <w:szCs w:val="32"/>
        </w:rPr>
      </w:pPr>
    </w:p>
    <w:p w14:paraId="02B0AF4A">
      <w:pPr>
        <w:jc w:val="center"/>
        <w:rPr>
          <w:rFonts w:hint="eastAsia" w:ascii="仿宋" w:hAnsi="仿宋" w:eastAsia="仿宋" w:cs="仿宋"/>
          <w:b/>
          <w:color w:val="auto"/>
          <w:kern w:val="0"/>
          <w:sz w:val="32"/>
          <w:szCs w:val="32"/>
        </w:rPr>
      </w:pPr>
    </w:p>
    <w:p w14:paraId="4FF15270">
      <w:pPr>
        <w:pStyle w:val="24"/>
        <w:rPr>
          <w:rFonts w:hint="eastAsia" w:ascii="仿宋" w:hAnsi="仿宋" w:eastAsia="仿宋" w:cs="仿宋"/>
          <w:color w:val="auto"/>
        </w:rPr>
      </w:pPr>
    </w:p>
    <w:p w14:paraId="73D63DAC">
      <w:pPr>
        <w:jc w:val="center"/>
        <w:rPr>
          <w:rFonts w:hint="eastAsia" w:ascii="仿宋" w:hAnsi="仿宋" w:eastAsia="仿宋" w:cs="仿宋"/>
          <w:b/>
          <w:color w:val="auto"/>
          <w:kern w:val="0"/>
          <w:sz w:val="32"/>
          <w:szCs w:val="32"/>
        </w:rPr>
      </w:pPr>
    </w:p>
    <w:p w14:paraId="0F6FDDBB">
      <w:pPr>
        <w:jc w:val="center"/>
        <w:rPr>
          <w:rFonts w:hint="eastAsia" w:ascii="仿宋" w:hAnsi="仿宋" w:eastAsia="仿宋" w:cs="仿宋"/>
          <w:b/>
          <w:color w:val="auto"/>
          <w:kern w:val="0"/>
          <w:sz w:val="32"/>
          <w:szCs w:val="32"/>
        </w:rPr>
      </w:pPr>
    </w:p>
    <w:p w14:paraId="497855C2">
      <w:pPr>
        <w:jc w:val="center"/>
        <w:rPr>
          <w:rFonts w:hint="eastAsia" w:ascii="仿宋" w:hAnsi="仿宋" w:eastAsia="仿宋" w:cs="仿宋"/>
          <w:b/>
          <w:color w:val="auto"/>
          <w:kern w:val="0"/>
          <w:sz w:val="32"/>
          <w:szCs w:val="32"/>
        </w:rPr>
      </w:pPr>
    </w:p>
    <w:p w14:paraId="53A9FAB2">
      <w:pPr>
        <w:jc w:val="center"/>
        <w:rPr>
          <w:rFonts w:hint="eastAsia" w:ascii="仿宋" w:hAnsi="仿宋" w:eastAsia="仿宋" w:cs="仿宋"/>
          <w:b/>
          <w:color w:val="auto"/>
          <w:kern w:val="0"/>
          <w:sz w:val="32"/>
          <w:szCs w:val="32"/>
        </w:rPr>
      </w:pPr>
    </w:p>
    <w:p w14:paraId="51565D4C">
      <w:pPr>
        <w:ind w:firstLine="2891" w:firstLineChars="900"/>
        <w:rPr>
          <w:rFonts w:hint="eastAsia" w:ascii="仿宋" w:hAnsi="仿宋" w:eastAsia="仿宋" w:cs="仿宋"/>
          <w:b/>
          <w:color w:val="auto"/>
          <w:kern w:val="0"/>
          <w:sz w:val="32"/>
          <w:szCs w:val="32"/>
        </w:rPr>
      </w:pPr>
    </w:p>
    <w:p w14:paraId="71F03107">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五、交易标的清单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7D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5DFC8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44D68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68897C7">
            <w:pPr>
              <w:spacing w:line="360" w:lineRule="auto"/>
              <w:jc w:val="center"/>
              <w:rPr>
                <w:rFonts w:hint="eastAsia" w:ascii="仿宋" w:hAnsi="仿宋" w:eastAsia="仿宋" w:cs="仿宋"/>
                <w:b/>
                <w:color w:val="auto"/>
                <w:sz w:val="24"/>
              </w:rPr>
            </w:pPr>
          </w:p>
          <w:p w14:paraId="615B349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6E0D2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7971E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9AB45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5D67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3B182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815F2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F3955E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BAAE08">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DFA7A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BE6A2D">
            <w:pPr>
              <w:spacing w:line="360" w:lineRule="auto"/>
              <w:jc w:val="center"/>
              <w:rPr>
                <w:rFonts w:hint="eastAsia" w:ascii="仿宋" w:hAnsi="仿宋" w:eastAsia="仿宋" w:cs="仿宋"/>
                <w:color w:val="auto"/>
                <w:sz w:val="24"/>
              </w:rPr>
            </w:pPr>
          </w:p>
        </w:tc>
      </w:tr>
      <w:tr w14:paraId="0F39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82315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8B09F2">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84FD7A">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B0B23C">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87F2A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0539C2">
            <w:pPr>
              <w:spacing w:line="360" w:lineRule="auto"/>
              <w:jc w:val="center"/>
              <w:rPr>
                <w:rFonts w:hint="eastAsia" w:ascii="仿宋" w:hAnsi="仿宋" w:eastAsia="仿宋" w:cs="仿宋"/>
                <w:color w:val="auto"/>
                <w:sz w:val="24"/>
              </w:rPr>
            </w:pPr>
          </w:p>
        </w:tc>
      </w:tr>
      <w:tr w14:paraId="0F3B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B84FA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8A7D20C">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57E05C">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2BF463">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75E2D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767AC3D">
            <w:pPr>
              <w:spacing w:line="360" w:lineRule="auto"/>
              <w:jc w:val="center"/>
              <w:rPr>
                <w:rFonts w:hint="eastAsia" w:ascii="仿宋" w:hAnsi="仿宋" w:eastAsia="仿宋" w:cs="仿宋"/>
                <w:color w:val="auto"/>
                <w:sz w:val="24"/>
              </w:rPr>
            </w:pPr>
          </w:p>
        </w:tc>
      </w:tr>
    </w:tbl>
    <w:p w14:paraId="0889A64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1541E89">
      <w:pPr>
        <w:jc w:val="center"/>
        <w:rPr>
          <w:rFonts w:hint="eastAsia" w:ascii="仿宋" w:hAnsi="仿宋" w:eastAsia="仿宋" w:cs="仿宋"/>
          <w:b/>
          <w:color w:val="auto"/>
          <w:kern w:val="0"/>
          <w:sz w:val="32"/>
          <w:szCs w:val="32"/>
        </w:rPr>
      </w:pPr>
    </w:p>
    <w:p w14:paraId="25EB317A">
      <w:pPr>
        <w:jc w:val="center"/>
        <w:rPr>
          <w:rFonts w:hint="eastAsia" w:ascii="仿宋" w:hAnsi="仿宋" w:eastAsia="仿宋" w:cs="仿宋"/>
          <w:b/>
          <w:color w:val="auto"/>
          <w:kern w:val="0"/>
          <w:sz w:val="32"/>
          <w:szCs w:val="32"/>
        </w:rPr>
      </w:pPr>
    </w:p>
    <w:p w14:paraId="7E6A6BE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B5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F6959C">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7FF97074">
            <w:pPr>
              <w:jc w:val="center"/>
              <w:rPr>
                <w:rFonts w:hint="eastAsia" w:ascii="仿宋" w:hAnsi="仿宋" w:eastAsia="仿宋" w:cs="仿宋"/>
                <w:b/>
                <w:bCs/>
                <w:color w:val="auto"/>
                <w:sz w:val="24"/>
              </w:rPr>
            </w:pPr>
            <w:r>
              <w:rPr>
                <w:rFonts w:hint="eastAsia" w:ascii="仿宋" w:hAnsi="仿宋" w:eastAsia="仿宋" w:cs="仿宋"/>
                <w:b/>
                <w:bCs/>
                <w:color w:val="auto"/>
                <w:sz w:val="24"/>
              </w:rPr>
              <w:t>交易文件章节及具体内容</w:t>
            </w:r>
          </w:p>
        </w:tc>
        <w:tc>
          <w:tcPr>
            <w:tcW w:w="3546" w:type="dxa"/>
          </w:tcPr>
          <w:p w14:paraId="75CF3407">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247CBED1">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A4A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D74BDA">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F812951">
            <w:pPr>
              <w:jc w:val="center"/>
              <w:rPr>
                <w:rFonts w:hint="eastAsia" w:ascii="仿宋" w:hAnsi="仿宋" w:eastAsia="仿宋" w:cs="仿宋"/>
                <w:b/>
                <w:color w:val="auto"/>
                <w:kern w:val="0"/>
                <w:sz w:val="32"/>
                <w:szCs w:val="32"/>
              </w:rPr>
            </w:pPr>
          </w:p>
        </w:tc>
        <w:tc>
          <w:tcPr>
            <w:tcW w:w="3546" w:type="dxa"/>
          </w:tcPr>
          <w:p w14:paraId="390BFC56">
            <w:pPr>
              <w:jc w:val="center"/>
              <w:rPr>
                <w:rFonts w:hint="eastAsia" w:ascii="仿宋" w:hAnsi="仿宋" w:eastAsia="仿宋" w:cs="仿宋"/>
                <w:b/>
                <w:color w:val="auto"/>
                <w:kern w:val="0"/>
                <w:sz w:val="32"/>
                <w:szCs w:val="32"/>
              </w:rPr>
            </w:pPr>
          </w:p>
        </w:tc>
        <w:tc>
          <w:tcPr>
            <w:tcW w:w="1276" w:type="dxa"/>
          </w:tcPr>
          <w:p w14:paraId="6F4E800C">
            <w:pPr>
              <w:jc w:val="center"/>
              <w:rPr>
                <w:rFonts w:hint="eastAsia" w:ascii="仿宋" w:hAnsi="仿宋" w:eastAsia="仿宋" w:cs="仿宋"/>
                <w:b/>
                <w:color w:val="auto"/>
                <w:kern w:val="0"/>
                <w:sz w:val="32"/>
                <w:szCs w:val="32"/>
              </w:rPr>
            </w:pPr>
          </w:p>
        </w:tc>
      </w:tr>
      <w:tr w14:paraId="0F6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C21F1B">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6F7E3408">
            <w:pPr>
              <w:jc w:val="center"/>
              <w:rPr>
                <w:rFonts w:hint="eastAsia" w:ascii="仿宋" w:hAnsi="仿宋" w:eastAsia="仿宋" w:cs="仿宋"/>
                <w:b/>
                <w:color w:val="auto"/>
                <w:kern w:val="0"/>
                <w:sz w:val="32"/>
                <w:szCs w:val="32"/>
              </w:rPr>
            </w:pPr>
          </w:p>
        </w:tc>
        <w:tc>
          <w:tcPr>
            <w:tcW w:w="3546" w:type="dxa"/>
          </w:tcPr>
          <w:p w14:paraId="4D715CBD">
            <w:pPr>
              <w:jc w:val="center"/>
              <w:rPr>
                <w:rFonts w:hint="eastAsia" w:ascii="仿宋" w:hAnsi="仿宋" w:eastAsia="仿宋" w:cs="仿宋"/>
                <w:b/>
                <w:color w:val="auto"/>
                <w:kern w:val="0"/>
                <w:sz w:val="32"/>
                <w:szCs w:val="32"/>
              </w:rPr>
            </w:pPr>
          </w:p>
        </w:tc>
        <w:tc>
          <w:tcPr>
            <w:tcW w:w="1276" w:type="dxa"/>
          </w:tcPr>
          <w:p w14:paraId="30A11E9E">
            <w:pPr>
              <w:jc w:val="center"/>
              <w:rPr>
                <w:rFonts w:hint="eastAsia" w:ascii="仿宋" w:hAnsi="仿宋" w:eastAsia="仿宋" w:cs="仿宋"/>
                <w:b/>
                <w:color w:val="auto"/>
                <w:kern w:val="0"/>
                <w:sz w:val="32"/>
                <w:szCs w:val="32"/>
              </w:rPr>
            </w:pPr>
          </w:p>
        </w:tc>
      </w:tr>
      <w:tr w14:paraId="2B0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61E91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797E666E">
            <w:pPr>
              <w:jc w:val="center"/>
              <w:rPr>
                <w:rFonts w:hint="eastAsia" w:ascii="仿宋" w:hAnsi="仿宋" w:eastAsia="仿宋" w:cs="仿宋"/>
                <w:b/>
                <w:color w:val="auto"/>
                <w:kern w:val="0"/>
                <w:sz w:val="32"/>
                <w:szCs w:val="32"/>
              </w:rPr>
            </w:pPr>
          </w:p>
        </w:tc>
        <w:tc>
          <w:tcPr>
            <w:tcW w:w="3546" w:type="dxa"/>
          </w:tcPr>
          <w:p w14:paraId="4D57ACE5">
            <w:pPr>
              <w:jc w:val="center"/>
              <w:rPr>
                <w:rFonts w:hint="eastAsia" w:ascii="仿宋" w:hAnsi="仿宋" w:eastAsia="仿宋" w:cs="仿宋"/>
                <w:b/>
                <w:color w:val="auto"/>
                <w:kern w:val="0"/>
                <w:sz w:val="32"/>
                <w:szCs w:val="32"/>
              </w:rPr>
            </w:pPr>
          </w:p>
        </w:tc>
        <w:tc>
          <w:tcPr>
            <w:tcW w:w="1276" w:type="dxa"/>
          </w:tcPr>
          <w:p w14:paraId="258452EE">
            <w:pPr>
              <w:jc w:val="center"/>
              <w:rPr>
                <w:rFonts w:hint="eastAsia" w:ascii="仿宋" w:hAnsi="仿宋" w:eastAsia="仿宋" w:cs="仿宋"/>
                <w:b/>
                <w:color w:val="auto"/>
                <w:kern w:val="0"/>
                <w:sz w:val="32"/>
                <w:szCs w:val="32"/>
              </w:rPr>
            </w:pPr>
          </w:p>
        </w:tc>
      </w:tr>
    </w:tbl>
    <w:p w14:paraId="03465129">
      <w:pPr>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供应商保证：除商务技术偏离表列出的偏离外，供应商响应交易文件的全部要求</w:t>
      </w:r>
    </w:p>
    <w:p w14:paraId="7A612E80">
      <w:pPr>
        <w:jc w:val="center"/>
        <w:rPr>
          <w:rFonts w:hint="eastAsia" w:ascii="仿宋" w:hAnsi="仿宋" w:eastAsia="仿宋" w:cs="仿宋"/>
          <w:b/>
          <w:color w:val="auto"/>
          <w:kern w:val="0"/>
          <w:sz w:val="32"/>
          <w:szCs w:val="32"/>
        </w:rPr>
      </w:pPr>
    </w:p>
    <w:p w14:paraId="73991EC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9DC9B65">
      <w:pPr>
        <w:jc w:val="center"/>
        <w:rPr>
          <w:rFonts w:hint="eastAsia" w:ascii="仿宋" w:hAnsi="仿宋" w:eastAsia="仿宋" w:cs="仿宋"/>
          <w:b/>
          <w:color w:val="auto"/>
          <w:kern w:val="0"/>
          <w:sz w:val="32"/>
          <w:szCs w:val="32"/>
        </w:rPr>
      </w:pPr>
    </w:p>
    <w:p w14:paraId="111CD744">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2C56B27B">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采购供应商廉洁自律承诺书</w:t>
      </w:r>
    </w:p>
    <w:p w14:paraId="5BF618A0">
      <w:pPr>
        <w:snapToGrid w:val="0"/>
        <w:spacing w:line="360" w:lineRule="auto"/>
        <w:rPr>
          <w:rFonts w:hint="eastAsia" w:ascii="仿宋" w:hAnsi="仿宋" w:eastAsia="仿宋" w:cs="仿宋"/>
          <w:color w:val="auto"/>
          <w:sz w:val="24"/>
        </w:rPr>
      </w:pPr>
    </w:p>
    <w:p w14:paraId="76739AC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4F0D1B8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项目交易要求参加响应。在这次响应过程中和成交后，我们将严格遵守国家法律法规要求，并郑重承诺：</w:t>
      </w:r>
    </w:p>
    <w:p w14:paraId="1EC25DA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257F665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D66793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068D7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39FA94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0C6508D">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6D17EE8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六、严格遵守相关法律法规，诚实守信，合法经营，坚决抵制各种违法违纪行为。 </w:t>
      </w:r>
    </w:p>
    <w:p w14:paraId="58FFC524">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w:t>
      </w:r>
      <w:r>
        <w:rPr>
          <w:rFonts w:hint="eastAsia" w:ascii="仿宋" w:hAnsi="仿宋" w:eastAsia="仿宋" w:cs="仿宋"/>
          <w:color w:val="auto"/>
          <w:kern w:val="0"/>
          <w:sz w:val="24"/>
          <w:lang w:val="en-US" w:eastAsia="zh-CN"/>
        </w:rPr>
        <w:t>相关管理部门</w:t>
      </w:r>
      <w:r>
        <w:rPr>
          <w:rFonts w:hint="eastAsia" w:ascii="仿宋" w:hAnsi="仿宋" w:eastAsia="仿宋" w:cs="仿宋"/>
          <w:color w:val="auto"/>
          <w:kern w:val="0"/>
          <w:sz w:val="24"/>
          <w:lang w:val="zh-CN"/>
        </w:rPr>
        <w:t>。由此引起的相应损失均由我单位承担。</w:t>
      </w:r>
    </w:p>
    <w:p w14:paraId="7CD0D1E9">
      <w:pPr>
        <w:autoSpaceDE w:val="0"/>
        <w:autoSpaceDN w:val="0"/>
        <w:spacing w:line="360" w:lineRule="auto"/>
        <w:ind w:left="2"/>
        <w:jc w:val="left"/>
        <w:rPr>
          <w:rFonts w:hint="eastAsia" w:ascii="仿宋" w:hAnsi="仿宋" w:eastAsia="仿宋" w:cs="仿宋"/>
          <w:color w:val="auto"/>
          <w:kern w:val="0"/>
          <w:sz w:val="24"/>
          <w:lang w:val="zh-CN"/>
        </w:rPr>
      </w:pPr>
    </w:p>
    <w:p w14:paraId="035448FD">
      <w:pPr>
        <w:autoSpaceDE w:val="0"/>
        <w:autoSpaceDN w:val="0"/>
        <w:spacing w:line="360" w:lineRule="auto"/>
        <w:ind w:left="2"/>
        <w:jc w:val="left"/>
        <w:rPr>
          <w:rFonts w:hint="eastAsia" w:ascii="仿宋" w:hAnsi="仿宋" w:eastAsia="仿宋" w:cs="仿宋"/>
          <w:color w:val="auto"/>
          <w:kern w:val="0"/>
          <w:sz w:val="24"/>
          <w:lang w:val="zh-CN"/>
        </w:rPr>
      </w:pPr>
    </w:p>
    <w:p w14:paraId="7BA00A22">
      <w:pPr>
        <w:autoSpaceDE w:val="0"/>
        <w:autoSpaceDN w:val="0"/>
        <w:spacing w:line="360" w:lineRule="auto"/>
        <w:ind w:left="2"/>
        <w:jc w:val="left"/>
        <w:rPr>
          <w:rFonts w:hint="eastAsia" w:ascii="仿宋" w:hAnsi="仿宋" w:eastAsia="仿宋" w:cs="仿宋"/>
          <w:color w:val="auto"/>
          <w:kern w:val="0"/>
          <w:sz w:val="24"/>
          <w:lang w:val="zh-CN"/>
        </w:rPr>
      </w:pPr>
    </w:p>
    <w:p w14:paraId="462FE093">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C48C874">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30602662">
      <w:pPr>
        <w:spacing w:line="360" w:lineRule="auto"/>
        <w:jc w:val="center"/>
        <w:rPr>
          <w:rFonts w:hint="eastAsia" w:ascii="仿宋" w:hAnsi="仿宋" w:eastAsia="仿宋" w:cs="仿宋"/>
          <w:b/>
          <w:bCs/>
          <w:color w:val="auto"/>
          <w:sz w:val="24"/>
        </w:rPr>
      </w:pPr>
    </w:p>
    <w:p w14:paraId="3ACCE2B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BCEAAE7">
      <w:pPr>
        <w:spacing w:line="360" w:lineRule="auto"/>
        <w:jc w:val="center"/>
        <w:rPr>
          <w:rFonts w:hint="eastAsia" w:ascii="仿宋" w:hAnsi="仿宋" w:eastAsia="仿宋" w:cs="仿宋"/>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75A7723">
      <w:pPr>
        <w:spacing w:line="360" w:lineRule="auto"/>
        <w:jc w:val="center"/>
        <w:outlineLvl w:val="0"/>
        <w:rPr>
          <w:rFonts w:hint="eastAsia" w:ascii="仿宋" w:hAnsi="仿宋" w:eastAsia="仿宋" w:cs="仿宋"/>
          <w:b/>
          <w:color w:val="auto"/>
          <w:kern w:val="0"/>
          <w:sz w:val="36"/>
          <w:szCs w:val="36"/>
        </w:rPr>
      </w:pPr>
    </w:p>
    <w:p w14:paraId="221F31F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5A06C52D">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CEF829F">
      <w:pPr>
        <w:spacing w:line="360" w:lineRule="auto"/>
        <w:jc w:val="center"/>
        <w:outlineLvl w:val="0"/>
        <w:rPr>
          <w:rFonts w:hint="eastAsia" w:ascii="仿宋" w:hAnsi="仿宋" w:eastAsia="仿宋" w:cs="仿宋"/>
          <w:b/>
          <w:color w:val="auto"/>
          <w:kern w:val="0"/>
          <w:sz w:val="36"/>
          <w:szCs w:val="36"/>
        </w:rPr>
      </w:pPr>
    </w:p>
    <w:p w14:paraId="3CBDE318">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交易一览表（报价表）………………………………………………………（页码）</w:t>
      </w:r>
    </w:p>
    <w:p w14:paraId="7D58CBD8">
      <w:pPr>
        <w:pStyle w:val="3"/>
        <w:rPr>
          <w:rFonts w:hint="eastAsia" w:ascii="仿宋" w:hAnsi="仿宋" w:eastAsia="仿宋" w:cs="仿宋"/>
          <w:color w:val="auto"/>
        </w:rPr>
      </w:pPr>
    </w:p>
    <w:p w14:paraId="0ECA11C1">
      <w:pPr>
        <w:snapToGrid w:val="0"/>
        <w:spacing w:line="360" w:lineRule="auto"/>
        <w:ind w:right="480"/>
        <w:jc w:val="center"/>
        <w:rPr>
          <w:rFonts w:hint="eastAsia" w:ascii="仿宋" w:hAnsi="仿宋" w:eastAsia="仿宋" w:cs="仿宋"/>
          <w:b/>
          <w:color w:val="auto"/>
          <w:kern w:val="0"/>
          <w:sz w:val="32"/>
          <w:szCs w:val="32"/>
        </w:rPr>
      </w:pPr>
    </w:p>
    <w:p w14:paraId="7CF637EC">
      <w:pPr>
        <w:snapToGrid w:val="0"/>
        <w:spacing w:line="360" w:lineRule="auto"/>
        <w:ind w:right="480"/>
        <w:jc w:val="center"/>
        <w:rPr>
          <w:rFonts w:hint="eastAsia" w:ascii="仿宋" w:hAnsi="仿宋" w:eastAsia="仿宋" w:cs="仿宋"/>
          <w:b/>
          <w:color w:val="auto"/>
          <w:kern w:val="0"/>
          <w:sz w:val="32"/>
          <w:szCs w:val="32"/>
        </w:rPr>
      </w:pPr>
    </w:p>
    <w:p w14:paraId="0B8F272D">
      <w:pPr>
        <w:snapToGrid w:val="0"/>
        <w:spacing w:line="360" w:lineRule="auto"/>
        <w:ind w:right="480"/>
        <w:jc w:val="center"/>
        <w:rPr>
          <w:rFonts w:hint="eastAsia" w:ascii="仿宋" w:hAnsi="仿宋" w:eastAsia="仿宋" w:cs="仿宋"/>
          <w:b/>
          <w:color w:val="auto"/>
          <w:kern w:val="0"/>
          <w:sz w:val="32"/>
          <w:szCs w:val="32"/>
        </w:rPr>
      </w:pPr>
    </w:p>
    <w:p w14:paraId="007FD936">
      <w:pPr>
        <w:snapToGrid w:val="0"/>
        <w:spacing w:line="360" w:lineRule="auto"/>
        <w:ind w:right="480"/>
        <w:jc w:val="center"/>
        <w:rPr>
          <w:rFonts w:hint="eastAsia" w:ascii="仿宋" w:hAnsi="仿宋" w:eastAsia="仿宋" w:cs="仿宋"/>
          <w:b/>
          <w:color w:val="auto"/>
          <w:kern w:val="0"/>
          <w:sz w:val="32"/>
          <w:szCs w:val="32"/>
        </w:rPr>
      </w:pPr>
    </w:p>
    <w:p w14:paraId="16AB9351">
      <w:pPr>
        <w:snapToGrid w:val="0"/>
        <w:spacing w:line="360" w:lineRule="auto"/>
        <w:ind w:right="480"/>
        <w:jc w:val="center"/>
        <w:rPr>
          <w:rFonts w:hint="eastAsia" w:ascii="仿宋" w:hAnsi="仿宋" w:eastAsia="仿宋" w:cs="仿宋"/>
          <w:b/>
          <w:color w:val="auto"/>
          <w:kern w:val="0"/>
          <w:sz w:val="32"/>
          <w:szCs w:val="32"/>
        </w:rPr>
      </w:pPr>
    </w:p>
    <w:p w14:paraId="3FAE6A6A">
      <w:pPr>
        <w:snapToGrid w:val="0"/>
        <w:spacing w:line="360" w:lineRule="auto"/>
        <w:ind w:right="480"/>
        <w:jc w:val="center"/>
        <w:rPr>
          <w:rFonts w:hint="eastAsia" w:ascii="仿宋" w:hAnsi="仿宋" w:eastAsia="仿宋" w:cs="仿宋"/>
          <w:b/>
          <w:color w:val="auto"/>
          <w:kern w:val="0"/>
          <w:sz w:val="32"/>
          <w:szCs w:val="32"/>
        </w:rPr>
      </w:pPr>
    </w:p>
    <w:p w14:paraId="01DCEAAE">
      <w:pPr>
        <w:snapToGrid w:val="0"/>
        <w:spacing w:line="360" w:lineRule="auto"/>
        <w:ind w:right="480"/>
        <w:jc w:val="center"/>
        <w:rPr>
          <w:rFonts w:hint="eastAsia" w:ascii="仿宋" w:hAnsi="仿宋" w:eastAsia="仿宋" w:cs="仿宋"/>
          <w:b/>
          <w:color w:val="auto"/>
          <w:kern w:val="0"/>
          <w:sz w:val="32"/>
          <w:szCs w:val="32"/>
        </w:rPr>
      </w:pPr>
    </w:p>
    <w:p w14:paraId="34BDBB25">
      <w:pPr>
        <w:snapToGrid w:val="0"/>
        <w:spacing w:line="360" w:lineRule="auto"/>
        <w:ind w:right="480"/>
        <w:jc w:val="center"/>
        <w:rPr>
          <w:rFonts w:hint="eastAsia" w:ascii="仿宋" w:hAnsi="仿宋" w:eastAsia="仿宋" w:cs="仿宋"/>
          <w:b/>
          <w:color w:val="auto"/>
          <w:kern w:val="0"/>
          <w:sz w:val="32"/>
          <w:szCs w:val="32"/>
        </w:rPr>
      </w:pPr>
    </w:p>
    <w:p w14:paraId="2953DCA2">
      <w:pPr>
        <w:snapToGrid w:val="0"/>
        <w:spacing w:line="360" w:lineRule="auto"/>
        <w:ind w:right="480"/>
        <w:jc w:val="center"/>
        <w:rPr>
          <w:rFonts w:hint="eastAsia" w:ascii="仿宋" w:hAnsi="仿宋" w:eastAsia="仿宋" w:cs="仿宋"/>
          <w:b/>
          <w:color w:val="auto"/>
          <w:kern w:val="0"/>
          <w:sz w:val="32"/>
          <w:szCs w:val="32"/>
        </w:rPr>
      </w:pPr>
    </w:p>
    <w:p w14:paraId="53DB1CE2">
      <w:pPr>
        <w:snapToGrid w:val="0"/>
        <w:spacing w:line="360" w:lineRule="auto"/>
        <w:ind w:right="480"/>
        <w:jc w:val="center"/>
        <w:rPr>
          <w:rFonts w:hint="eastAsia" w:ascii="仿宋" w:hAnsi="仿宋" w:eastAsia="仿宋" w:cs="仿宋"/>
          <w:b/>
          <w:color w:val="auto"/>
          <w:kern w:val="0"/>
          <w:sz w:val="32"/>
          <w:szCs w:val="32"/>
        </w:rPr>
      </w:pPr>
    </w:p>
    <w:p w14:paraId="1B21CE35">
      <w:pPr>
        <w:snapToGrid w:val="0"/>
        <w:spacing w:line="360" w:lineRule="auto"/>
        <w:ind w:right="480"/>
        <w:jc w:val="center"/>
        <w:rPr>
          <w:rFonts w:hint="eastAsia" w:ascii="仿宋" w:hAnsi="仿宋" w:eastAsia="仿宋" w:cs="仿宋"/>
          <w:b/>
          <w:color w:val="auto"/>
          <w:kern w:val="0"/>
          <w:sz w:val="32"/>
          <w:szCs w:val="32"/>
        </w:rPr>
      </w:pPr>
    </w:p>
    <w:p w14:paraId="2B0AD059">
      <w:pPr>
        <w:snapToGrid w:val="0"/>
        <w:spacing w:line="360" w:lineRule="auto"/>
        <w:ind w:right="480"/>
        <w:jc w:val="center"/>
        <w:rPr>
          <w:rFonts w:hint="eastAsia" w:ascii="仿宋" w:hAnsi="仿宋" w:eastAsia="仿宋" w:cs="仿宋"/>
          <w:b/>
          <w:color w:val="auto"/>
          <w:kern w:val="0"/>
          <w:sz w:val="32"/>
          <w:szCs w:val="32"/>
        </w:rPr>
      </w:pPr>
    </w:p>
    <w:p w14:paraId="5B6A6BBB">
      <w:pPr>
        <w:snapToGrid w:val="0"/>
        <w:spacing w:line="360" w:lineRule="auto"/>
        <w:ind w:right="480"/>
        <w:jc w:val="center"/>
        <w:rPr>
          <w:rFonts w:hint="eastAsia" w:ascii="仿宋" w:hAnsi="仿宋" w:eastAsia="仿宋" w:cs="仿宋"/>
          <w:b/>
          <w:color w:val="auto"/>
          <w:kern w:val="0"/>
          <w:sz w:val="32"/>
          <w:szCs w:val="32"/>
        </w:rPr>
      </w:pPr>
    </w:p>
    <w:p w14:paraId="26AEFB8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D4AA93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一、交易一览表（报价表）</w:t>
      </w:r>
    </w:p>
    <w:p w14:paraId="78F825D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6718A2F9">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【交易编号：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3842EF8">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交易一览表（报价表）(单位均为人民币元)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295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AE92BB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14:paraId="1E15E8F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14:paraId="0CA0A185">
            <w:pPr>
              <w:spacing w:line="360" w:lineRule="auto"/>
              <w:jc w:val="center"/>
              <w:rPr>
                <w:rFonts w:hint="eastAsia" w:ascii="仿宋" w:hAnsi="仿宋" w:eastAsia="仿宋" w:cs="仿宋"/>
                <w:b/>
                <w:color w:val="auto"/>
                <w:sz w:val="24"/>
              </w:rPr>
            </w:pPr>
          </w:p>
          <w:p w14:paraId="41BBCB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14:paraId="6B1CA34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14:paraId="415FC14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14:paraId="25BB5AD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14:paraId="3B91605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14:paraId="390DC72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1CDE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0ECBF9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0F105909">
            <w:pPr>
              <w:snapToGrid w:val="0"/>
              <w:spacing w:line="360" w:lineRule="auto"/>
              <w:jc w:val="center"/>
              <w:rPr>
                <w:rFonts w:hint="eastAsia" w:ascii="仿宋" w:hAnsi="仿宋" w:eastAsia="仿宋" w:cs="仿宋"/>
                <w:color w:val="auto"/>
                <w:sz w:val="24"/>
              </w:rPr>
            </w:pPr>
          </w:p>
        </w:tc>
        <w:tc>
          <w:tcPr>
            <w:tcW w:w="1843" w:type="dxa"/>
            <w:vAlign w:val="center"/>
          </w:tcPr>
          <w:p w14:paraId="32EFD567">
            <w:pPr>
              <w:snapToGrid w:val="0"/>
              <w:spacing w:line="360" w:lineRule="auto"/>
              <w:jc w:val="center"/>
              <w:rPr>
                <w:rFonts w:hint="eastAsia" w:ascii="仿宋" w:hAnsi="仿宋" w:eastAsia="仿宋" w:cs="仿宋"/>
                <w:color w:val="auto"/>
                <w:sz w:val="24"/>
              </w:rPr>
            </w:pPr>
          </w:p>
        </w:tc>
        <w:tc>
          <w:tcPr>
            <w:tcW w:w="3118" w:type="dxa"/>
            <w:vAlign w:val="center"/>
          </w:tcPr>
          <w:p w14:paraId="70508E8D">
            <w:pPr>
              <w:snapToGrid w:val="0"/>
              <w:spacing w:line="360" w:lineRule="auto"/>
              <w:jc w:val="center"/>
              <w:rPr>
                <w:rFonts w:hint="eastAsia" w:ascii="仿宋" w:hAnsi="仿宋" w:eastAsia="仿宋" w:cs="仿宋"/>
                <w:color w:val="auto"/>
                <w:sz w:val="24"/>
              </w:rPr>
            </w:pPr>
          </w:p>
        </w:tc>
        <w:tc>
          <w:tcPr>
            <w:tcW w:w="993" w:type="dxa"/>
            <w:vAlign w:val="center"/>
          </w:tcPr>
          <w:p w14:paraId="3E7E8ED3">
            <w:pPr>
              <w:snapToGrid w:val="0"/>
              <w:spacing w:line="360" w:lineRule="auto"/>
              <w:jc w:val="center"/>
              <w:rPr>
                <w:rFonts w:hint="eastAsia" w:ascii="仿宋" w:hAnsi="仿宋" w:eastAsia="仿宋" w:cs="仿宋"/>
                <w:color w:val="auto"/>
                <w:sz w:val="24"/>
              </w:rPr>
            </w:pPr>
          </w:p>
        </w:tc>
        <w:tc>
          <w:tcPr>
            <w:tcW w:w="1559" w:type="dxa"/>
            <w:vAlign w:val="center"/>
          </w:tcPr>
          <w:p w14:paraId="636806C8">
            <w:pPr>
              <w:spacing w:line="360" w:lineRule="auto"/>
              <w:jc w:val="center"/>
              <w:rPr>
                <w:rFonts w:hint="eastAsia" w:ascii="仿宋" w:hAnsi="仿宋" w:eastAsia="仿宋" w:cs="仿宋"/>
                <w:color w:val="auto"/>
                <w:sz w:val="24"/>
              </w:rPr>
            </w:pPr>
          </w:p>
        </w:tc>
        <w:tc>
          <w:tcPr>
            <w:tcW w:w="1984" w:type="dxa"/>
            <w:vAlign w:val="center"/>
          </w:tcPr>
          <w:p w14:paraId="62F37A2D">
            <w:pPr>
              <w:spacing w:line="360" w:lineRule="auto"/>
              <w:jc w:val="center"/>
              <w:rPr>
                <w:rFonts w:hint="eastAsia" w:ascii="仿宋" w:hAnsi="仿宋" w:eastAsia="仿宋" w:cs="仿宋"/>
                <w:color w:val="auto"/>
                <w:sz w:val="24"/>
              </w:rPr>
            </w:pPr>
          </w:p>
        </w:tc>
        <w:tc>
          <w:tcPr>
            <w:tcW w:w="3119" w:type="dxa"/>
            <w:vAlign w:val="center"/>
          </w:tcPr>
          <w:p w14:paraId="1FA098B8">
            <w:pPr>
              <w:spacing w:line="360" w:lineRule="auto"/>
              <w:jc w:val="center"/>
              <w:rPr>
                <w:rFonts w:hint="eastAsia" w:ascii="仿宋" w:hAnsi="仿宋" w:eastAsia="仿宋" w:cs="仿宋"/>
                <w:color w:val="auto"/>
                <w:sz w:val="24"/>
              </w:rPr>
            </w:pPr>
          </w:p>
        </w:tc>
      </w:tr>
      <w:tr w14:paraId="5C4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0D5D2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14:paraId="30DAF8DA">
            <w:pPr>
              <w:snapToGrid w:val="0"/>
              <w:spacing w:line="360" w:lineRule="auto"/>
              <w:jc w:val="center"/>
              <w:rPr>
                <w:rFonts w:hint="eastAsia" w:ascii="仿宋" w:hAnsi="仿宋" w:eastAsia="仿宋" w:cs="仿宋"/>
                <w:color w:val="auto"/>
                <w:sz w:val="24"/>
              </w:rPr>
            </w:pPr>
          </w:p>
        </w:tc>
        <w:tc>
          <w:tcPr>
            <w:tcW w:w="1843" w:type="dxa"/>
            <w:vAlign w:val="center"/>
          </w:tcPr>
          <w:p w14:paraId="6C854709">
            <w:pPr>
              <w:snapToGrid w:val="0"/>
              <w:spacing w:line="360" w:lineRule="auto"/>
              <w:jc w:val="center"/>
              <w:rPr>
                <w:rFonts w:hint="eastAsia" w:ascii="仿宋" w:hAnsi="仿宋" w:eastAsia="仿宋" w:cs="仿宋"/>
                <w:color w:val="auto"/>
                <w:sz w:val="24"/>
              </w:rPr>
            </w:pPr>
          </w:p>
        </w:tc>
        <w:tc>
          <w:tcPr>
            <w:tcW w:w="3118" w:type="dxa"/>
            <w:vAlign w:val="center"/>
          </w:tcPr>
          <w:p w14:paraId="1387ADD1">
            <w:pPr>
              <w:snapToGrid w:val="0"/>
              <w:spacing w:line="360" w:lineRule="auto"/>
              <w:jc w:val="center"/>
              <w:rPr>
                <w:rFonts w:hint="eastAsia" w:ascii="仿宋" w:hAnsi="仿宋" w:eastAsia="仿宋" w:cs="仿宋"/>
                <w:color w:val="auto"/>
                <w:sz w:val="24"/>
              </w:rPr>
            </w:pPr>
          </w:p>
        </w:tc>
        <w:tc>
          <w:tcPr>
            <w:tcW w:w="993" w:type="dxa"/>
            <w:vAlign w:val="center"/>
          </w:tcPr>
          <w:p w14:paraId="6DE81785">
            <w:pPr>
              <w:snapToGrid w:val="0"/>
              <w:spacing w:line="360" w:lineRule="auto"/>
              <w:jc w:val="center"/>
              <w:rPr>
                <w:rFonts w:hint="eastAsia" w:ascii="仿宋" w:hAnsi="仿宋" w:eastAsia="仿宋" w:cs="仿宋"/>
                <w:color w:val="auto"/>
                <w:sz w:val="24"/>
              </w:rPr>
            </w:pPr>
          </w:p>
        </w:tc>
        <w:tc>
          <w:tcPr>
            <w:tcW w:w="1559" w:type="dxa"/>
            <w:vAlign w:val="center"/>
          </w:tcPr>
          <w:p w14:paraId="2EC6FB77">
            <w:pPr>
              <w:spacing w:line="360" w:lineRule="auto"/>
              <w:jc w:val="center"/>
              <w:rPr>
                <w:rFonts w:hint="eastAsia" w:ascii="仿宋" w:hAnsi="仿宋" w:eastAsia="仿宋" w:cs="仿宋"/>
                <w:color w:val="auto"/>
                <w:sz w:val="24"/>
              </w:rPr>
            </w:pPr>
          </w:p>
        </w:tc>
        <w:tc>
          <w:tcPr>
            <w:tcW w:w="1984" w:type="dxa"/>
            <w:vAlign w:val="center"/>
          </w:tcPr>
          <w:p w14:paraId="3F61DF3C">
            <w:pPr>
              <w:spacing w:line="360" w:lineRule="auto"/>
              <w:jc w:val="center"/>
              <w:rPr>
                <w:rFonts w:hint="eastAsia" w:ascii="仿宋" w:hAnsi="仿宋" w:eastAsia="仿宋" w:cs="仿宋"/>
                <w:color w:val="auto"/>
                <w:sz w:val="24"/>
              </w:rPr>
            </w:pPr>
          </w:p>
        </w:tc>
        <w:tc>
          <w:tcPr>
            <w:tcW w:w="3119" w:type="dxa"/>
            <w:vAlign w:val="center"/>
          </w:tcPr>
          <w:p w14:paraId="53A52888">
            <w:pPr>
              <w:spacing w:line="360" w:lineRule="auto"/>
              <w:jc w:val="center"/>
              <w:rPr>
                <w:rFonts w:hint="eastAsia" w:ascii="仿宋" w:hAnsi="仿宋" w:eastAsia="仿宋" w:cs="仿宋"/>
                <w:color w:val="auto"/>
                <w:sz w:val="24"/>
              </w:rPr>
            </w:pPr>
          </w:p>
        </w:tc>
      </w:tr>
      <w:tr w14:paraId="479F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6059B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14:paraId="76AB62EF">
            <w:pPr>
              <w:snapToGrid w:val="0"/>
              <w:spacing w:line="360" w:lineRule="auto"/>
              <w:jc w:val="center"/>
              <w:rPr>
                <w:rFonts w:hint="eastAsia" w:ascii="仿宋" w:hAnsi="仿宋" w:eastAsia="仿宋" w:cs="仿宋"/>
                <w:color w:val="auto"/>
                <w:sz w:val="24"/>
              </w:rPr>
            </w:pPr>
          </w:p>
        </w:tc>
        <w:tc>
          <w:tcPr>
            <w:tcW w:w="1843" w:type="dxa"/>
            <w:vAlign w:val="center"/>
          </w:tcPr>
          <w:p w14:paraId="2E9C5E8E">
            <w:pPr>
              <w:snapToGrid w:val="0"/>
              <w:spacing w:line="360" w:lineRule="auto"/>
              <w:jc w:val="center"/>
              <w:rPr>
                <w:rFonts w:hint="eastAsia" w:ascii="仿宋" w:hAnsi="仿宋" w:eastAsia="仿宋" w:cs="仿宋"/>
                <w:color w:val="auto"/>
                <w:sz w:val="24"/>
              </w:rPr>
            </w:pPr>
          </w:p>
        </w:tc>
        <w:tc>
          <w:tcPr>
            <w:tcW w:w="3118" w:type="dxa"/>
            <w:vAlign w:val="center"/>
          </w:tcPr>
          <w:p w14:paraId="69FB4127">
            <w:pPr>
              <w:snapToGrid w:val="0"/>
              <w:spacing w:line="360" w:lineRule="auto"/>
              <w:jc w:val="center"/>
              <w:rPr>
                <w:rFonts w:hint="eastAsia" w:ascii="仿宋" w:hAnsi="仿宋" w:eastAsia="仿宋" w:cs="仿宋"/>
                <w:color w:val="auto"/>
                <w:sz w:val="24"/>
              </w:rPr>
            </w:pPr>
          </w:p>
        </w:tc>
        <w:tc>
          <w:tcPr>
            <w:tcW w:w="993" w:type="dxa"/>
            <w:vAlign w:val="center"/>
          </w:tcPr>
          <w:p w14:paraId="1E2FCC8A">
            <w:pPr>
              <w:snapToGrid w:val="0"/>
              <w:spacing w:line="360" w:lineRule="auto"/>
              <w:jc w:val="center"/>
              <w:rPr>
                <w:rFonts w:hint="eastAsia" w:ascii="仿宋" w:hAnsi="仿宋" w:eastAsia="仿宋" w:cs="仿宋"/>
                <w:color w:val="auto"/>
                <w:sz w:val="24"/>
              </w:rPr>
            </w:pPr>
          </w:p>
        </w:tc>
        <w:tc>
          <w:tcPr>
            <w:tcW w:w="1559" w:type="dxa"/>
            <w:vAlign w:val="center"/>
          </w:tcPr>
          <w:p w14:paraId="1601FAD1">
            <w:pPr>
              <w:spacing w:line="360" w:lineRule="auto"/>
              <w:jc w:val="center"/>
              <w:rPr>
                <w:rFonts w:hint="eastAsia" w:ascii="仿宋" w:hAnsi="仿宋" w:eastAsia="仿宋" w:cs="仿宋"/>
                <w:color w:val="auto"/>
                <w:sz w:val="24"/>
              </w:rPr>
            </w:pPr>
          </w:p>
        </w:tc>
        <w:tc>
          <w:tcPr>
            <w:tcW w:w="1984" w:type="dxa"/>
            <w:vAlign w:val="center"/>
          </w:tcPr>
          <w:p w14:paraId="44340F2C">
            <w:pPr>
              <w:spacing w:line="360" w:lineRule="auto"/>
              <w:jc w:val="center"/>
              <w:rPr>
                <w:rFonts w:hint="eastAsia" w:ascii="仿宋" w:hAnsi="仿宋" w:eastAsia="仿宋" w:cs="仿宋"/>
                <w:color w:val="auto"/>
                <w:sz w:val="24"/>
              </w:rPr>
            </w:pPr>
          </w:p>
        </w:tc>
        <w:tc>
          <w:tcPr>
            <w:tcW w:w="3119" w:type="dxa"/>
            <w:vAlign w:val="center"/>
          </w:tcPr>
          <w:p w14:paraId="5E227C51">
            <w:pPr>
              <w:spacing w:line="360" w:lineRule="auto"/>
              <w:jc w:val="center"/>
              <w:rPr>
                <w:rFonts w:hint="eastAsia" w:ascii="仿宋" w:hAnsi="仿宋" w:eastAsia="仿宋" w:cs="仿宋"/>
                <w:color w:val="auto"/>
                <w:sz w:val="24"/>
              </w:rPr>
            </w:pPr>
          </w:p>
        </w:tc>
      </w:tr>
      <w:tr w14:paraId="7C83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B96083">
            <w:pPr>
              <w:spacing w:line="360" w:lineRule="auto"/>
              <w:jc w:val="center"/>
              <w:rPr>
                <w:rFonts w:hint="eastAsia" w:ascii="仿宋" w:hAnsi="仿宋" w:eastAsia="仿宋" w:cs="仿宋"/>
                <w:color w:val="auto"/>
                <w:sz w:val="24"/>
              </w:rPr>
            </w:pPr>
          </w:p>
        </w:tc>
        <w:tc>
          <w:tcPr>
            <w:tcW w:w="1417" w:type="dxa"/>
            <w:vAlign w:val="center"/>
          </w:tcPr>
          <w:p w14:paraId="080A1A48">
            <w:pPr>
              <w:snapToGrid w:val="0"/>
              <w:spacing w:line="360" w:lineRule="auto"/>
              <w:jc w:val="center"/>
              <w:rPr>
                <w:rFonts w:hint="eastAsia" w:ascii="仿宋" w:hAnsi="仿宋" w:eastAsia="仿宋" w:cs="仿宋"/>
                <w:color w:val="auto"/>
                <w:sz w:val="24"/>
              </w:rPr>
            </w:pPr>
          </w:p>
        </w:tc>
        <w:tc>
          <w:tcPr>
            <w:tcW w:w="1843" w:type="dxa"/>
            <w:vAlign w:val="center"/>
          </w:tcPr>
          <w:p w14:paraId="0142ABCE">
            <w:pPr>
              <w:snapToGrid w:val="0"/>
              <w:spacing w:line="360" w:lineRule="auto"/>
              <w:jc w:val="center"/>
              <w:rPr>
                <w:rFonts w:hint="eastAsia" w:ascii="仿宋" w:hAnsi="仿宋" w:eastAsia="仿宋" w:cs="仿宋"/>
                <w:color w:val="auto"/>
                <w:sz w:val="24"/>
              </w:rPr>
            </w:pPr>
          </w:p>
        </w:tc>
        <w:tc>
          <w:tcPr>
            <w:tcW w:w="3118" w:type="dxa"/>
            <w:vAlign w:val="center"/>
          </w:tcPr>
          <w:p w14:paraId="2A9505A8">
            <w:pPr>
              <w:snapToGrid w:val="0"/>
              <w:spacing w:line="360" w:lineRule="auto"/>
              <w:jc w:val="center"/>
              <w:rPr>
                <w:rFonts w:hint="eastAsia" w:ascii="仿宋" w:hAnsi="仿宋" w:eastAsia="仿宋" w:cs="仿宋"/>
                <w:color w:val="auto"/>
                <w:sz w:val="24"/>
              </w:rPr>
            </w:pPr>
          </w:p>
        </w:tc>
        <w:tc>
          <w:tcPr>
            <w:tcW w:w="993" w:type="dxa"/>
            <w:vAlign w:val="center"/>
          </w:tcPr>
          <w:p w14:paraId="791E985C">
            <w:pPr>
              <w:snapToGrid w:val="0"/>
              <w:spacing w:line="360" w:lineRule="auto"/>
              <w:jc w:val="center"/>
              <w:rPr>
                <w:rFonts w:hint="eastAsia" w:ascii="仿宋" w:hAnsi="仿宋" w:eastAsia="仿宋" w:cs="仿宋"/>
                <w:color w:val="auto"/>
                <w:sz w:val="24"/>
              </w:rPr>
            </w:pPr>
          </w:p>
        </w:tc>
        <w:tc>
          <w:tcPr>
            <w:tcW w:w="1559" w:type="dxa"/>
            <w:vAlign w:val="center"/>
          </w:tcPr>
          <w:p w14:paraId="7687EC4D">
            <w:pPr>
              <w:spacing w:line="360" w:lineRule="auto"/>
              <w:jc w:val="center"/>
              <w:rPr>
                <w:rFonts w:hint="eastAsia" w:ascii="仿宋" w:hAnsi="仿宋" w:eastAsia="仿宋" w:cs="仿宋"/>
                <w:color w:val="auto"/>
                <w:sz w:val="24"/>
              </w:rPr>
            </w:pPr>
          </w:p>
        </w:tc>
        <w:tc>
          <w:tcPr>
            <w:tcW w:w="1984" w:type="dxa"/>
            <w:vAlign w:val="center"/>
          </w:tcPr>
          <w:p w14:paraId="0A923EDE">
            <w:pPr>
              <w:spacing w:line="360" w:lineRule="auto"/>
              <w:jc w:val="center"/>
              <w:rPr>
                <w:rFonts w:hint="eastAsia" w:ascii="仿宋" w:hAnsi="仿宋" w:eastAsia="仿宋" w:cs="仿宋"/>
                <w:color w:val="auto"/>
                <w:sz w:val="24"/>
              </w:rPr>
            </w:pPr>
          </w:p>
        </w:tc>
        <w:tc>
          <w:tcPr>
            <w:tcW w:w="3119" w:type="dxa"/>
            <w:vAlign w:val="center"/>
          </w:tcPr>
          <w:p w14:paraId="32661C97">
            <w:pPr>
              <w:spacing w:line="360" w:lineRule="auto"/>
              <w:jc w:val="center"/>
              <w:rPr>
                <w:rFonts w:hint="eastAsia" w:ascii="仿宋" w:hAnsi="仿宋" w:eastAsia="仿宋" w:cs="仿宋"/>
                <w:color w:val="auto"/>
                <w:sz w:val="24"/>
              </w:rPr>
            </w:pPr>
          </w:p>
        </w:tc>
      </w:tr>
      <w:tr w14:paraId="3A49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C6F3CB">
            <w:pPr>
              <w:spacing w:line="360" w:lineRule="auto"/>
              <w:jc w:val="center"/>
              <w:rPr>
                <w:rFonts w:hint="eastAsia" w:ascii="仿宋" w:hAnsi="仿宋" w:eastAsia="仿宋" w:cs="仿宋"/>
                <w:color w:val="auto"/>
                <w:sz w:val="24"/>
              </w:rPr>
            </w:pPr>
          </w:p>
        </w:tc>
        <w:tc>
          <w:tcPr>
            <w:tcW w:w="1417" w:type="dxa"/>
            <w:vAlign w:val="center"/>
          </w:tcPr>
          <w:p w14:paraId="57C1CF3F">
            <w:pPr>
              <w:snapToGrid w:val="0"/>
              <w:spacing w:line="360" w:lineRule="auto"/>
              <w:jc w:val="center"/>
              <w:rPr>
                <w:rFonts w:hint="eastAsia" w:ascii="仿宋" w:hAnsi="仿宋" w:eastAsia="仿宋" w:cs="仿宋"/>
                <w:color w:val="auto"/>
                <w:sz w:val="24"/>
              </w:rPr>
            </w:pPr>
          </w:p>
        </w:tc>
        <w:tc>
          <w:tcPr>
            <w:tcW w:w="1843" w:type="dxa"/>
            <w:vAlign w:val="center"/>
          </w:tcPr>
          <w:p w14:paraId="45236B6E">
            <w:pPr>
              <w:snapToGrid w:val="0"/>
              <w:spacing w:line="360" w:lineRule="auto"/>
              <w:jc w:val="center"/>
              <w:rPr>
                <w:rFonts w:hint="eastAsia" w:ascii="仿宋" w:hAnsi="仿宋" w:eastAsia="仿宋" w:cs="仿宋"/>
                <w:color w:val="auto"/>
                <w:sz w:val="24"/>
              </w:rPr>
            </w:pPr>
          </w:p>
        </w:tc>
        <w:tc>
          <w:tcPr>
            <w:tcW w:w="3118" w:type="dxa"/>
            <w:vAlign w:val="center"/>
          </w:tcPr>
          <w:p w14:paraId="62E3FE34">
            <w:pPr>
              <w:snapToGrid w:val="0"/>
              <w:spacing w:line="360" w:lineRule="auto"/>
              <w:jc w:val="center"/>
              <w:rPr>
                <w:rFonts w:hint="eastAsia" w:ascii="仿宋" w:hAnsi="仿宋" w:eastAsia="仿宋" w:cs="仿宋"/>
                <w:color w:val="auto"/>
                <w:sz w:val="24"/>
              </w:rPr>
            </w:pPr>
          </w:p>
        </w:tc>
        <w:tc>
          <w:tcPr>
            <w:tcW w:w="993" w:type="dxa"/>
            <w:vAlign w:val="center"/>
          </w:tcPr>
          <w:p w14:paraId="4EDB43E2">
            <w:pPr>
              <w:snapToGrid w:val="0"/>
              <w:spacing w:line="360" w:lineRule="auto"/>
              <w:jc w:val="center"/>
              <w:rPr>
                <w:rFonts w:hint="eastAsia" w:ascii="仿宋" w:hAnsi="仿宋" w:eastAsia="仿宋" w:cs="仿宋"/>
                <w:color w:val="auto"/>
                <w:sz w:val="24"/>
              </w:rPr>
            </w:pPr>
          </w:p>
        </w:tc>
        <w:tc>
          <w:tcPr>
            <w:tcW w:w="1559" w:type="dxa"/>
            <w:vAlign w:val="center"/>
          </w:tcPr>
          <w:p w14:paraId="3FE1C70C">
            <w:pPr>
              <w:spacing w:line="360" w:lineRule="auto"/>
              <w:jc w:val="center"/>
              <w:rPr>
                <w:rFonts w:hint="eastAsia" w:ascii="仿宋" w:hAnsi="仿宋" w:eastAsia="仿宋" w:cs="仿宋"/>
                <w:color w:val="auto"/>
                <w:sz w:val="24"/>
              </w:rPr>
            </w:pPr>
          </w:p>
        </w:tc>
        <w:tc>
          <w:tcPr>
            <w:tcW w:w="1984" w:type="dxa"/>
            <w:vAlign w:val="center"/>
          </w:tcPr>
          <w:p w14:paraId="00E073A1">
            <w:pPr>
              <w:spacing w:line="360" w:lineRule="auto"/>
              <w:jc w:val="center"/>
              <w:rPr>
                <w:rFonts w:hint="eastAsia" w:ascii="仿宋" w:hAnsi="仿宋" w:eastAsia="仿宋" w:cs="仿宋"/>
                <w:color w:val="auto"/>
                <w:sz w:val="24"/>
              </w:rPr>
            </w:pPr>
          </w:p>
        </w:tc>
        <w:tc>
          <w:tcPr>
            <w:tcW w:w="3119" w:type="dxa"/>
            <w:vAlign w:val="center"/>
          </w:tcPr>
          <w:p w14:paraId="2DBC155D">
            <w:pPr>
              <w:spacing w:line="360" w:lineRule="auto"/>
              <w:jc w:val="center"/>
              <w:rPr>
                <w:rFonts w:hint="eastAsia" w:ascii="仿宋" w:hAnsi="仿宋" w:eastAsia="仿宋" w:cs="仿宋"/>
                <w:color w:val="auto"/>
                <w:sz w:val="24"/>
              </w:rPr>
            </w:pPr>
          </w:p>
        </w:tc>
      </w:tr>
      <w:tr w14:paraId="7084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506E9E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响应报价（小写）</w:t>
            </w:r>
          </w:p>
        </w:tc>
        <w:tc>
          <w:tcPr>
            <w:tcW w:w="7655" w:type="dxa"/>
            <w:gridSpan w:val="4"/>
            <w:vAlign w:val="center"/>
          </w:tcPr>
          <w:p w14:paraId="4C736019">
            <w:pPr>
              <w:spacing w:line="360" w:lineRule="auto"/>
              <w:jc w:val="center"/>
              <w:rPr>
                <w:rFonts w:hint="eastAsia" w:ascii="仿宋" w:hAnsi="仿宋" w:eastAsia="仿宋" w:cs="仿宋"/>
                <w:color w:val="auto"/>
                <w:sz w:val="24"/>
              </w:rPr>
            </w:pPr>
          </w:p>
        </w:tc>
      </w:tr>
      <w:tr w14:paraId="10F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1B4116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响应报价（大写）</w:t>
            </w:r>
          </w:p>
        </w:tc>
        <w:tc>
          <w:tcPr>
            <w:tcW w:w="7655" w:type="dxa"/>
            <w:gridSpan w:val="4"/>
            <w:vAlign w:val="center"/>
          </w:tcPr>
          <w:p w14:paraId="22F50B50">
            <w:pPr>
              <w:spacing w:line="360" w:lineRule="auto"/>
              <w:jc w:val="center"/>
              <w:rPr>
                <w:rFonts w:hint="eastAsia" w:ascii="仿宋" w:hAnsi="仿宋" w:eastAsia="仿宋" w:cs="仿宋"/>
                <w:color w:val="auto"/>
                <w:sz w:val="24"/>
              </w:rPr>
            </w:pPr>
          </w:p>
        </w:tc>
      </w:tr>
    </w:tbl>
    <w:p w14:paraId="350A73FA">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CA2CCBF">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1、供应商须按本表格式填写，不得自行更改。</w:t>
      </w:r>
    </w:p>
    <w:p w14:paraId="17CBF37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响应文件含有采购人不能接受的附加条件的，交易无效</w:t>
      </w:r>
      <w:r>
        <w:rPr>
          <w:rFonts w:hint="eastAsia" w:ascii="仿宋" w:hAnsi="仿宋" w:eastAsia="仿宋" w:cs="仿宋"/>
          <w:b/>
          <w:color w:val="auto"/>
          <w:kern w:val="0"/>
          <w:sz w:val="24"/>
          <w:lang w:val="zh-CN"/>
        </w:rPr>
        <w:t>；采购内容未包含在《交易一览表（报价表）》名称栏中，供应商不能作出合理解释的，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响应文件含有采购人不能接受的附加条件的，交易无效。</w:t>
      </w:r>
    </w:p>
    <w:p w14:paraId="3C8CCF45">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14:paraId="37C917D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4、特别提示：采购机构将对项目名称和项目编号，成交供应商名称、地址和成交金额，主要成交标的的名称、规格型号、数量、单价、服务要求等予以公示。</w:t>
      </w:r>
    </w:p>
    <w:p w14:paraId="62897A87">
      <w:pPr>
        <w:spacing w:line="360" w:lineRule="auto"/>
        <w:ind w:firstLine="482" w:firstLineChars="200"/>
        <w:rPr>
          <w:rFonts w:hint="eastAsia" w:ascii="仿宋" w:hAnsi="仿宋" w:eastAsia="仿宋" w:cs="仿宋"/>
          <w:b/>
          <w:color w:val="auto"/>
          <w:kern w:val="0"/>
          <w:sz w:val="24"/>
        </w:rPr>
      </w:pPr>
    </w:p>
    <w:p w14:paraId="285486F8">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3AE6705D">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C2615C4">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24838951">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6D7F1138">
      <w:pPr>
        <w:snapToGrid w:val="0"/>
        <w:spacing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69251DD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p>
    <w:p w14:paraId="7BF779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地址：邮编：</w:t>
      </w:r>
    </w:p>
    <w:p w14:paraId="5C1212E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联系人：联系电话：</w:t>
      </w:r>
    </w:p>
    <w:p w14:paraId="3C61ABB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p>
    <w:p w14:paraId="1FB8A22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p>
    <w:p w14:paraId="570B37E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 邮编：</w:t>
      </w:r>
    </w:p>
    <w:p w14:paraId="1DB3F79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71437D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p>
    <w:p w14:paraId="498EE9C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质疑项目的编号：包号：</w:t>
      </w:r>
    </w:p>
    <w:p w14:paraId="732C563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p>
    <w:p w14:paraId="3FA0AF7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p>
    <w:p w14:paraId="143358DA">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284DD24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p>
    <w:p w14:paraId="3C98430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p>
    <w:p w14:paraId="3EE7F9F6">
      <w:pPr>
        <w:snapToGrid w:val="0"/>
        <w:spacing w:line="360" w:lineRule="auto"/>
        <w:rPr>
          <w:rFonts w:hint="eastAsia" w:ascii="仿宋" w:hAnsi="仿宋" w:eastAsia="仿宋" w:cs="仿宋"/>
          <w:color w:val="auto"/>
          <w:sz w:val="24"/>
        </w:rPr>
      </w:pPr>
    </w:p>
    <w:p w14:paraId="4443FB6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p>
    <w:p w14:paraId="73675540">
      <w:pPr>
        <w:snapToGrid w:val="0"/>
        <w:spacing w:line="360" w:lineRule="auto"/>
        <w:rPr>
          <w:rFonts w:hint="eastAsia" w:ascii="仿宋" w:hAnsi="仿宋" w:eastAsia="仿宋" w:cs="仿宋"/>
          <w:color w:val="auto"/>
          <w:sz w:val="24"/>
          <w:u w:val="dotted"/>
        </w:rPr>
      </w:pPr>
    </w:p>
    <w:p w14:paraId="76F8EF1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354F36E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8D241A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895B06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p>
    <w:p w14:paraId="05320C4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793579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14F96D5D">
      <w:pPr>
        <w:spacing w:line="360" w:lineRule="auto"/>
        <w:jc w:val="center"/>
        <w:rPr>
          <w:rFonts w:hint="eastAsia" w:ascii="仿宋" w:hAnsi="仿宋" w:eastAsia="仿宋" w:cs="仿宋"/>
          <w:b/>
          <w:bCs/>
          <w:color w:val="auto"/>
          <w:sz w:val="24"/>
        </w:rPr>
      </w:pPr>
    </w:p>
    <w:p w14:paraId="388EF36E">
      <w:pPr>
        <w:spacing w:line="360" w:lineRule="auto"/>
        <w:rPr>
          <w:rFonts w:hint="eastAsia" w:ascii="仿宋" w:hAnsi="仿宋" w:eastAsia="仿宋" w:cs="仿宋"/>
          <w:b/>
          <w:color w:val="auto"/>
          <w:sz w:val="24"/>
        </w:rPr>
      </w:pPr>
    </w:p>
    <w:p w14:paraId="37B1B7C9">
      <w:pPr>
        <w:spacing w:line="360" w:lineRule="auto"/>
        <w:rPr>
          <w:rFonts w:hint="eastAsia" w:ascii="仿宋" w:hAnsi="仿宋" w:eastAsia="仿宋" w:cs="仿宋"/>
          <w:b/>
          <w:color w:val="auto"/>
          <w:sz w:val="24"/>
        </w:rPr>
      </w:pPr>
    </w:p>
    <w:p w14:paraId="1EE7973F">
      <w:pPr>
        <w:spacing w:line="360" w:lineRule="auto"/>
        <w:rPr>
          <w:rFonts w:hint="eastAsia" w:ascii="仿宋" w:hAnsi="仿宋" w:eastAsia="仿宋" w:cs="仿宋"/>
          <w:b/>
          <w:color w:val="auto"/>
          <w:sz w:val="24"/>
        </w:rPr>
      </w:pPr>
    </w:p>
    <w:p w14:paraId="17C02DC8">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18C3635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6F4ADA0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5D2A5B3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734B945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1DD2942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6DCB5F3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60CE7B44">
      <w:pPr>
        <w:widowControl/>
        <w:spacing w:line="360" w:lineRule="auto"/>
        <w:ind w:firstLine="600" w:firstLineChars="200"/>
        <w:jc w:val="left"/>
        <w:rPr>
          <w:rFonts w:hint="eastAsia" w:ascii="仿宋" w:hAnsi="仿宋" w:eastAsia="仿宋" w:cs="仿宋"/>
          <w:color w:val="auto"/>
          <w:sz w:val="30"/>
          <w:szCs w:val="30"/>
        </w:rPr>
      </w:pPr>
    </w:p>
    <w:p w14:paraId="6606B205">
      <w:pPr>
        <w:spacing w:line="360" w:lineRule="auto"/>
        <w:jc w:val="center"/>
        <w:rPr>
          <w:rFonts w:hint="eastAsia" w:ascii="仿宋" w:hAnsi="仿宋" w:eastAsia="仿宋" w:cs="仿宋"/>
          <w:b/>
          <w:color w:val="auto"/>
          <w:spacing w:val="6"/>
          <w:sz w:val="32"/>
          <w:szCs w:val="32"/>
        </w:rPr>
      </w:pPr>
    </w:p>
    <w:p w14:paraId="1DB9AE27">
      <w:pPr>
        <w:spacing w:line="360" w:lineRule="auto"/>
        <w:jc w:val="center"/>
        <w:rPr>
          <w:rFonts w:hint="eastAsia" w:ascii="仿宋" w:hAnsi="仿宋" w:eastAsia="仿宋" w:cs="仿宋"/>
          <w:b/>
          <w:color w:val="auto"/>
          <w:spacing w:val="6"/>
          <w:sz w:val="32"/>
          <w:szCs w:val="32"/>
        </w:rPr>
      </w:pPr>
    </w:p>
    <w:p w14:paraId="4722B0D5">
      <w:pPr>
        <w:spacing w:line="360" w:lineRule="auto"/>
        <w:jc w:val="center"/>
        <w:rPr>
          <w:rFonts w:hint="eastAsia" w:ascii="仿宋" w:hAnsi="仿宋" w:eastAsia="仿宋" w:cs="仿宋"/>
          <w:b/>
          <w:color w:val="auto"/>
          <w:spacing w:val="6"/>
          <w:sz w:val="32"/>
          <w:szCs w:val="32"/>
        </w:rPr>
      </w:pPr>
    </w:p>
    <w:p w14:paraId="163333D8">
      <w:pPr>
        <w:spacing w:line="360" w:lineRule="auto"/>
        <w:jc w:val="center"/>
        <w:rPr>
          <w:rFonts w:hint="eastAsia" w:ascii="仿宋" w:hAnsi="仿宋" w:eastAsia="仿宋" w:cs="仿宋"/>
          <w:b/>
          <w:color w:val="auto"/>
          <w:spacing w:val="6"/>
          <w:sz w:val="32"/>
          <w:szCs w:val="32"/>
        </w:rPr>
      </w:pPr>
    </w:p>
    <w:p w14:paraId="2FEC3903">
      <w:pPr>
        <w:spacing w:line="360" w:lineRule="auto"/>
        <w:jc w:val="center"/>
        <w:rPr>
          <w:rFonts w:hint="eastAsia" w:ascii="仿宋" w:hAnsi="仿宋" w:eastAsia="仿宋" w:cs="仿宋"/>
          <w:b/>
          <w:color w:val="auto"/>
          <w:spacing w:val="6"/>
          <w:sz w:val="32"/>
          <w:szCs w:val="32"/>
        </w:rPr>
      </w:pPr>
    </w:p>
    <w:p w14:paraId="53AEAC6F">
      <w:pPr>
        <w:spacing w:line="360" w:lineRule="auto"/>
        <w:jc w:val="center"/>
        <w:rPr>
          <w:rFonts w:hint="eastAsia" w:ascii="仿宋" w:hAnsi="仿宋" w:eastAsia="仿宋" w:cs="仿宋"/>
          <w:b/>
          <w:color w:val="auto"/>
          <w:spacing w:val="6"/>
          <w:sz w:val="32"/>
          <w:szCs w:val="32"/>
        </w:rPr>
      </w:pPr>
    </w:p>
    <w:p w14:paraId="788AEFB2">
      <w:pPr>
        <w:spacing w:line="360" w:lineRule="auto"/>
        <w:jc w:val="center"/>
        <w:rPr>
          <w:rFonts w:hint="eastAsia" w:ascii="仿宋" w:hAnsi="仿宋" w:eastAsia="仿宋" w:cs="仿宋"/>
          <w:b/>
          <w:color w:val="auto"/>
          <w:spacing w:val="6"/>
          <w:sz w:val="32"/>
          <w:szCs w:val="32"/>
        </w:rPr>
      </w:pPr>
    </w:p>
    <w:p w14:paraId="6B2D981D">
      <w:pPr>
        <w:spacing w:line="360" w:lineRule="auto"/>
        <w:jc w:val="center"/>
        <w:rPr>
          <w:rFonts w:hint="eastAsia" w:ascii="仿宋" w:hAnsi="仿宋" w:eastAsia="仿宋" w:cs="仿宋"/>
          <w:b/>
          <w:color w:val="auto"/>
          <w:spacing w:val="6"/>
          <w:sz w:val="32"/>
          <w:szCs w:val="32"/>
        </w:rPr>
      </w:pPr>
    </w:p>
    <w:p w14:paraId="4C380EA2">
      <w:pPr>
        <w:spacing w:line="360" w:lineRule="auto"/>
        <w:jc w:val="center"/>
        <w:rPr>
          <w:rFonts w:hint="eastAsia" w:ascii="仿宋" w:hAnsi="仿宋" w:eastAsia="仿宋" w:cs="仿宋"/>
          <w:b/>
          <w:color w:val="auto"/>
          <w:spacing w:val="6"/>
          <w:sz w:val="32"/>
          <w:szCs w:val="32"/>
        </w:rPr>
      </w:pPr>
    </w:p>
    <w:p w14:paraId="33F3FC11">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79B96035">
      <w:pPr>
        <w:spacing w:line="360" w:lineRule="auto"/>
        <w:jc w:val="center"/>
        <w:rPr>
          <w:rFonts w:hint="eastAsia" w:ascii="仿宋" w:hAnsi="仿宋" w:eastAsia="仿宋" w:cs="仿宋"/>
          <w:b/>
          <w:color w:val="auto"/>
          <w:sz w:val="24"/>
        </w:rPr>
      </w:pPr>
    </w:p>
    <w:p w14:paraId="74CF363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F6B130F">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09EAC99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p>
    <w:p w14:paraId="73D6122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14CED19E">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p>
    <w:p w14:paraId="266A31F1">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p>
    <w:p w14:paraId="173BFEC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 xml:space="preserve">：                  </w:t>
      </w:r>
    </w:p>
    <w:p w14:paraId="5747894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址：邮编：</w:t>
      </w:r>
    </w:p>
    <w:p w14:paraId="06580A3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p>
    <w:p w14:paraId="3EC0670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4465E33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47C851AB">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D94406A">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BE9E46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p>
    <w:p w14:paraId="5CBC5B9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0321C9A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1C288653">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57F840A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p>
    <w:p w14:paraId="78ED441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采购项目编号：包号：</w:t>
      </w:r>
    </w:p>
    <w:p w14:paraId="7647D96B">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p>
    <w:p w14:paraId="71329FF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p>
    <w:p w14:paraId="07188E3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1CC5B7D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6C295675">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52AA9C75">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投诉人于年月日,向提出质疑，质疑事项为：</w:t>
      </w:r>
    </w:p>
    <w:p w14:paraId="17E91E08">
      <w:pPr>
        <w:spacing w:line="360" w:lineRule="auto"/>
        <w:rPr>
          <w:rFonts w:hint="eastAsia" w:ascii="仿宋" w:hAnsi="仿宋" w:eastAsia="仿宋" w:cs="仿宋"/>
          <w:color w:val="auto"/>
          <w:sz w:val="24"/>
          <w:u w:val="dotted"/>
        </w:rPr>
      </w:pPr>
    </w:p>
    <w:p w14:paraId="67F40502">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于年月日,就质疑事项作出了答复/没有在法定期限内作出答复。</w:t>
      </w:r>
    </w:p>
    <w:p w14:paraId="5908EBF7">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4F2BF8E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p>
    <w:p w14:paraId="7A7C1E7A">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p>
    <w:p w14:paraId="19002D01">
      <w:pPr>
        <w:spacing w:line="360" w:lineRule="auto"/>
        <w:rPr>
          <w:rFonts w:hint="eastAsia" w:ascii="仿宋" w:hAnsi="仿宋" w:eastAsia="仿宋" w:cs="仿宋"/>
          <w:color w:val="auto"/>
          <w:sz w:val="24"/>
          <w:u w:val="dotted"/>
        </w:rPr>
      </w:pPr>
    </w:p>
    <w:p w14:paraId="4CB1334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p>
    <w:p w14:paraId="7D951B14">
      <w:pPr>
        <w:spacing w:line="360" w:lineRule="auto"/>
        <w:rPr>
          <w:rFonts w:hint="eastAsia" w:ascii="仿宋" w:hAnsi="仿宋" w:eastAsia="仿宋" w:cs="仿宋"/>
          <w:color w:val="auto"/>
          <w:sz w:val="24"/>
          <w:u w:val="dotted"/>
        </w:rPr>
      </w:pPr>
    </w:p>
    <w:p w14:paraId="2ABF814E">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15CD257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B6C8D85">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0653AC24">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p>
    <w:p w14:paraId="09EF4CD4">
      <w:pPr>
        <w:spacing w:line="360" w:lineRule="auto"/>
        <w:rPr>
          <w:rFonts w:hint="eastAsia" w:ascii="仿宋" w:hAnsi="仿宋" w:eastAsia="仿宋" w:cs="仿宋"/>
          <w:color w:val="auto"/>
          <w:sz w:val="24"/>
          <w:u w:val="single"/>
        </w:rPr>
      </w:pPr>
    </w:p>
    <w:p w14:paraId="4BC0B6E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4917D4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F6BFD2F">
      <w:pPr>
        <w:spacing w:line="360" w:lineRule="auto"/>
        <w:rPr>
          <w:rFonts w:hint="eastAsia" w:ascii="仿宋" w:hAnsi="仿宋" w:eastAsia="仿宋" w:cs="仿宋"/>
          <w:b/>
          <w:color w:val="auto"/>
          <w:sz w:val="24"/>
        </w:rPr>
      </w:pPr>
    </w:p>
    <w:p w14:paraId="696D185C">
      <w:pPr>
        <w:spacing w:line="360" w:lineRule="auto"/>
        <w:rPr>
          <w:rFonts w:hint="eastAsia" w:ascii="仿宋" w:hAnsi="仿宋" w:eastAsia="仿宋" w:cs="仿宋"/>
          <w:b/>
          <w:color w:val="auto"/>
          <w:sz w:val="24"/>
        </w:rPr>
      </w:pPr>
    </w:p>
    <w:p w14:paraId="60E55D12">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F603BFC">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6651560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910C07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1A7FE9E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035510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D29071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483D3D0">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3B3A28F0">
      <w:pPr>
        <w:spacing w:line="360" w:lineRule="auto"/>
        <w:rPr>
          <w:rFonts w:hint="eastAsia" w:ascii="仿宋" w:hAnsi="仿宋" w:eastAsia="仿宋" w:cs="仿宋"/>
          <w:b/>
          <w:color w:val="auto"/>
          <w:sz w:val="24"/>
        </w:rPr>
      </w:pPr>
    </w:p>
    <w:p w14:paraId="3F54E2FB">
      <w:pPr>
        <w:autoSpaceDE w:val="0"/>
        <w:autoSpaceDN w:val="0"/>
        <w:jc w:val="center"/>
        <w:rPr>
          <w:rFonts w:hint="eastAsia" w:ascii="仿宋" w:hAnsi="仿宋" w:eastAsia="仿宋" w:cs="仿宋"/>
          <w:b/>
          <w:color w:val="auto"/>
          <w:spacing w:val="6"/>
          <w:sz w:val="32"/>
          <w:szCs w:val="32"/>
        </w:rPr>
      </w:pPr>
    </w:p>
    <w:p w14:paraId="3FBB3881">
      <w:pPr>
        <w:autoSpaceDE w:val="0"/>
        <w:autoSpaceDN w:val="0"/>
        <w:jc w:val="center"/>
        <w:rPr>
          <w:rFonts w:hint="eastAsia" w:ascii="仿宋" w:hAnsi="仿宋" w:eastAsia="仿宋" w:cs="仿宋"/>
          <w:b/>
          <w:color w:val="auto"/>
          <w:spacing w:val="6"/>
          <w:sz w:val="32"/>
          <w:szCs w:val="32"/>
        </w:rPr>
      </w:pPr>
    </w:p>
    <w:p w14:paraId="262C99B2">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03E0959F">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p>
    <w:p w14:paraId="40C90500">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1DB95F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u w:val="single"/>
        </w:rPr>
        <w:t>（项目名称）项目【交易编号：      】</w:t>
      </w:r>
      <w:r>
        <w:rPr>
          <w:rFonts w:hint="eastAsia" w:ascii="仿宋" w:hAnsi="仿宋" w:eastAsia="仿宋" w:cs="仿宋"/>
          <w:bCs/>
          <w:color w:val="auto"/>
          <w:sz w:val="24"/>
        </w:rPr>
        <w:t>交易活动中作如下说明：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5DDE5CC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47E9A788">
      <w:pPr>
        <w:spacing w:line="360" w:lineRule="auto"/>
        <w:ind w:firstLine="494"/>
        <w:rPr>
          <w:rFonts w:hint="eastAsia" w:ascii="仿宋" w:hAnsi="仿宋" w:eastAsia="仿宋" w:cs="仿宋"/>
          <w:color w:val="auto"/>
          <w:sz w:val="24"/>
        </w:rPr>
      </w:pPr>
    </w:p>
    <w:p w14:paraId="5778F882">
      <w:pPr>
        <w:spacing w:line="360" w:lineRule="auto"/>
        <w:ind w:firstLine="494"/>
        <w:rPr>
          <w:rFonts w:hint="eastAsia" w:ascii="仿宋" w:hAnsi="仿宋" w:eastAsia="仿宋" w:cs="仿宋"/>
          <w:color w:val="auto"/>
          <w:sz w:val="24"/>
        </w:rPr>
      </w:pPr>
    </w:p>
    <w:p w14:paraId="3C4F2ACB">
      <w:pPr>
        <w:spacing w:line="360" w:lineRule="auto"/>
        <w:ind w:firstLine="494"/>
        <w:rPr>
          <w:rFonts w:hint="eastAsia" w:ascii="仿宋" w:hAnsi="仿宋" w:eastAsia="仿宋" w:cs="仿宋"/>
          <w:color w:val="auto"/>
          <w:sz w:val="24"/>
        </w:rPr>
      </w:pPr>
    </w:p>
    <w:p w14:paraId="29929E01">
      <w:pPr>
        <w:spacing w:line="360" w:lineRule="auto"/>
        <w:ind w:firstLine="494"/>
        <w:rPr>
          <w:rFonts w:hint="eastAsia" w:ascii="仿宋" w:hAnsi="仿宋" w:eastAsia="仿宋" w:cs="仿宋"/>
          <w:color w:val="auto"/>
          <w:sz w:val="24"/>
        </w:rPr>
      </w:pPr>
    </w:p>
    <w:p w14:paraId="120C65AE">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响应单位（法定名称章）：</w:t>
      </w:r>
    </w:p>
    <w:p w14:paraId="604A9FCB">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AC70853">
      <w:pPr>
        <w:rPr>
          <w:rFonts w:hint="eastAsia" w:ascii="仿宋" w:hAnsi="仿宋" w:eastAsia="仿宋" w:cs="仿宋"/>
          <w:color w:val="auto"/>
          <w:sz w:val="24"/>
        </w:rPr>
      </w:pPr>
      <w:r>
        <w:rPr>
          <w:rFonts w:hint="eastAsia" w:ascii="仿宋" w:hAnsi="仿宋" w:eastAsia="仿宋" w:cs="仿宋"/>
          <w:color w:val="auto"/>
          <w:sz w:val="24"/>
        </w:rPr>
        <w:t>附：</w:t>
      </w:r>
    </w:p>
    <w:p w14:paraId="7970C608">
      <w:pPr>
        <w:spacing w:line="360" w:lineRule="auto"/>
        <w:rPr>
          <w:rFonts w:hint="eastAsia" w:ascii="仿宋" w:hAnsi="仿宋" w:eastAsia="仿宋" w:cs="仿宋"/>
          <w:bCs/>
          <w:color w:val="auto"/>
          <w:sz w:val="24"/>
        </w:rPr>
      </w:pPr>
      <w:r>
        <w:rPr>
          <w:rFonts w:hint="eastAsia" w:ascii="仿宋" w:hAnsi="仿宋" w:eastAsia="仿宋" w:cs="仿宋"/>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仿宋" w:hAnsi="仿宋" w:eastAsia="仿宋" w:cs="仿宋"/>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color w:val="auto"/>
          <w:sz w:val="24"/>
        </w:rPr>
        <w:t>响应单位法定名称章（印模）                响应单位“XX专用章”（印模）</w:t>
      </w:r>
    </w:p>
    <w:p w14:paraId="16D47373">
      <w:pPr>
        <w:autoSpaceDE w:val="0"/>
        <w:autoSpaceDN w:val="0"/>
        <w:jc w:val="center"/>
        <w:rPr>
          <w:rFonts w:hint="eastAsia" w:ascii="仿宋" w:hAnsi="仿宋" w:eastAsia="仿宋" w:cs="仿宋"/>
          <w:b/>
          <w:color w:val="auto"/>
          <w:spacing w:val="6"/>
          <w:sz w:val="32"/>
          <w:szCs w:val="32"/>
        </w:rPr>
      </w:pPr>
    </w:p>
    <w:p w14:paraId="6FD2BB41">
      <w:pPr>
        <w:autoSpaceDE w:val="0"/>
        <w:autoSpaceDN w:val="0"/>
        <w:jc w:val="center"/>
        <w:rPr>
          <w:rFonts w:hint="eastAsia" w:ascii="仿宋" w:hAnsi="仿宋" w:eastAsia="仿宋" w:cs="仿宋"/>
          <w:b/>
          <w:color w:val="auto"/>
          <w:spacing w:val="6"/>
          <w:sz w:val="32"/>
          <w:szCs w:val="32"/>
        </w:rPr>
      </w:pPr>
    </w:p>
    <w:p w14:paraId="5538AC28">
      <w:pPr>
        <w:autoSpaceDE w:val="0"/>
        <w:autoSpaceDN w:val="0"/>
        <w:jc w:val="center"/>
        <w:rPr>
          <w:rFonts w:hint="eastAsia" w:ascii="仿宋" w:hAnsi="仿宋" w:eastAsia="仿宋" w:cs="仿宋"/>
          <w:b/>
          <w:color w:val="auto"/>
          <w:spacing w:val="6"/>
          <w:sz w:val="32"/>
          <w:szCs w:val="32"/>
        </w:rPr>
      </w:pPr>
    </w:p>
    <w:p w14:paraId="4B607611">
      <w:pPr>
        <w:autoSpaceDE w:val="0"/>
        <w:autoSpaceDN w:val="0"/>
        <w:jc w:val="center"/>
        <w:rPr>
          <w:rFonts w:hint="eastAsia" w:ascii="仿宋" w:hAnsi="仿宋" w:eastAsia="仿宋" w:cs="仿宋"/>
          <w:b/>
          <w:color w:val="auto"/>
          <w:spacing w:val="6"/>
          <w:sz w:val="32"/>
          <w:szCs w:val="32"/>
        </w:rPr>
      </w:pPr>
    </w:p>
    <w:p w14:paraId="20126C22">
      <w:pPr>
        <w:autoSpaceDE w:val="0"/>
        <w:autoSpaceDN w:val="0"/>
        <w:jc w:val="center"/>
        <w:rPr>
          <w:rFonts w:hint="eastAsia" w:ascii="仿宋" w:hAnsi="仿宋" w:eastAsia="仿宋" w:cs="仿宋"/>
          <w:b/>
          <w:color w:val="auto"/>
          <w:spacing w:val="6"/>
          <w:sz w:val="32"/>
          <w:szCs w:val="32"/>
        </w:rPr>
      </w:pPr>
    </w:p>
    <w:p w14:paraId="3D963C40">
      <w:pPr>
        <w:autoSpaceDE w:val="0"/>
        <w:autoSpaceDN w:val="0"/>
        <w:jc w:val="center"/>
        <w:rPr>
          <w:rFonts w:hint="eastAsia" w:ascii="仿宋" w:hAnsi="仿宋" w:eastAsia="仿宋" w:cs="仿宋"/>
          <w:b/>
          <w:color w:val="auto"/>
          <w:spacing w:val="6"/>
          <w:sz w:val="32"/>
          <w:szCs w:val="32"/>
        </w:rPr>
      </w:pPr>
    </w:p>
    <w:p w14:paraId="527A0A4C">
      <w:pPr>
        <w:autoSpaceDE w:val="0"/>
        <w:autoSpaceDN w:val="0"/>
        <w:jc w:val="center"/>
        <w:rPr>
          <w:rFonts w:hint="eastAsia" w:ascii="仿宋" w:hAnsi="仿宋" w:eastAsia="仿宋" w:cs="仿宋"/>
          <w:b/>
          <w:color w:val="auto"/>
          <w:spacing w:val="6"/>
          <w:sz w:val="32"/>
          <w:szCs w:val="32"/>
        </w:rPr>
      </w:pPr>
    </w:p>
    <w:p w14:paraId="08C75DA7">
      <w:pPr>
        <w:autoSpaceDE w:val="0"/>
        <w:autoSpaceDN w:val="0"/>
        <w:jc w:val="center"/>
        <w:rPr>
          <w:rFonts w:hint="eastAsia" w:ascii="仿宋" w:hAnsi="仿宋" w:eastAsia="仿宋" w:cs="仿宋"/>
          <w:b/>
          <w:color w:val="auto"/>
          <w:spacing w:val="6"/>
          <w:sz w:val="32"/>
          <w:szCs w:val="32"/>
        </w:rPr>
      </w:pPr>
    </w:p>
    <w:p w14:paraId="274B4EA4">
      <w:pPr>
        <w:autoSpaceDE w:val="0"/>
        <w:autoSpaceDN w:val="0"/>
        <w:jc w:val="center"/>
        <w:rPr>
          <w:rFonts w:hint="eastAsia" w:ascii="仿宋" w:hAnsi="仿宋" w:eastAsia="仿宋" w:cs="仿宋"/>
          <w:b/>
          <w:color w:val="auto"/>
          <w:spacing w:val="6"/>
          <w:sz w:val="32"/>
          <w:szCs w:val="32"/>
        </w:rPr>
      </w:pPr>
    </w:p>
    <w:p w14:paraId="7CD0DF1C">
      <w:pPr>
        <w:autoSpaceDE w:val="0"/>
        <w:autoSpaceDN w:val="0"/>
        <w:jc w:val="center"/>
        <w:rPr>
          <w:rFonts w:hint="eastAsia" w:ascii="仿宋" w:hAnsi="仿宋" w:eastAsia="仿宋" w:cs="仿宋"/>
          <w:b/>
          <w:color w:val="auto"/>
          <w:spacing w:val="6"/>
          <w:sz w:val="32"/>
          <w:szCs w:val="32"/>
        </w:rPr>
      </w:pPr>
    </w:p>
    <w:p w14:paraId="34041535">
      <w:pPr>
        <w:autoSpaceDE w:val="0"/>
        <w:autoSpaceDN w:val="0"/>
        <w:jc w:val="center"/>
        <w:rPr>
          <w:rFonts w:hint="eastAsia" w:ascii="仿宋" w:hAnsi="仿宋" w:eastAsia="仿宋" w:cs="仿宋"/>
          <w:b/>
          <w:color w:val="auto"/>
          <w:spacing w:val="6"/>
          <w:sz w:val="32"/>
          <w:szCs w:val="32"/>
        </w:rPr>
      </w:pPr>
    </w:p>
    <w:p w14:paraId="123FB6CC">
      <w:pPr>
        <w:autoSpaceDE w:val="0"/>
        <w:autoSpaceDN w:val="0"/>
        <w:jc w:val="center"/>
        <w:rPr>
          <w:rFonts w:hint="eastAsia" w:ascii="仿宋" w:hAnsi="仿宋" w:eastAsia="仿宋" w:cs="仿宋"/>
          <w:b/>
          <w:color w:val="auto"/>
          <w:spacing w:val="6"/>
          <w:sz w:val="32"/>
          <w:szCs w:val="32"/>
        </w:rPr>
      </w:pPr>
    </w:p>
    <w:p w14:paraId="3A583A2E">
      <w:pPr>
        <w:rPr>
          <w:rFonts w:hint="eastAsia" w:ascii="仿宋" w:hAnsi="仿宋" w:eastAsia="仿宋" w:cs="仿宋"/>
          <w:color w:val="auto"/>
          <w:sz w:val="24"/>
        </w:rPr>
      </w:pPr>
    </w:p>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55C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755D09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FA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6A61C9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3B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6B1EAC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FFE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B0368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264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7F06EC"/>
  <w:p w14:paraId="2FDCA82C"/>
  <w:p w14:paraId="71F4460F"/>
  <w:p w14:paraId="2022027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116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388" w:name="_Toc131845147"/>
    <w:bookmarkStart w:id="389" w:name="_Toc36110187"/>
    <w:bookmarkStart w:id="390" w:name="_Toc164085800"/>
    <w:bookmarkStart w:id="391" w:name="_Toc91899912"/>
    <w:r>
      <w:rPr>
        <w:rFonts w:hint="eastAsia" w:ascii="仿宋_GB2312" w:eastAsia="仿宋_GB2312"/>
        <w:kern w:val="0"/>
        <w:szCs w:val="21"/>
      </w:rPr>
      <w:t xml:space="preserve"> 页</w:t>
    </w:r>
    <w:bookmarkEnd w:id="388"/>
    <w:bookmarkEnd w:id="389"/>
    <w:bookmarkEnd w:id="390"/>
    <w:bookmarkEnd w:id="391"/>
  </w:p>
  <w:p w14:paraId="21168EF2"/>
  <w:p w14:paraId="0AFED02F"/>
  <w:p w14:paraId="2AA11541"/>
  <w:p w14:paraId="48832C1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4431">
    <w:pPr>
      <w:pStyle w:val="41"/>
      <w:jc w:val="right"/>
      <w:rPr>
        <w:rFonts w:ascii="仿宋_GB2312"/>
        <w:b/>
        <w:i/>
        <w:u w:val="single"/>
      </w:rPr>
    </w:pPr>
    <w:r>
      <w:t>公开</w:t>
    </w:r>
    <w:r>
      <w:rPr>
        <w:rFonts w:hint="eastAsia"/>
      </w:rPr>
      <w:t>交易文件</w:t>
    </w:r>
  </w:p>
  <w:p w14:paraId="668E907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E1DC">
    <w:pPr>
      <w:pStyle w:val="41"/>
    </w:pPr>
    <w:r>
      <w:t></w:t>
    </w:r>
  </w:p>
  <w:p w14:paraId="1120E553">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DEB0">
    <w:pPr>
      <w:pStyle w:val="41"/>
      <w:jc w:val="right"/>
      <w:rPr>
        <w:rFonts w:ascii="仿宋_GB2312"/>
        <w:b/>
        <w:i/>
        <w:u w:val="single"/>
      </w:rPr>
    </w:pPr>
    <w:r>
      <w:t>公开</w:t>
    </w:r>
    <w:r>
      <w:rPr>
        <w:rFonts w:hint="eastAsia"/>
      </w:rPr>
      <w:t>交易文件</w:t>
    </w:r>
  </w:p>
  <w:p w14:paraId="1B5B66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22849">
    <w:pPr>
      <w:pStyle w:val="41"/>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366B">
    <w:pPr>
      <w:pStyle w:val="41"/>
      <w:jc w:val="right"/>
      <w:rPr>
        <w:rFonts w:ascii="仿宋_GB2312"/>
        <w:b/>
        <w:i/>
        <w:iCs/>
        <w:u w:val="single"/>
      </w:rPr>
    </w:pPr>
    <w:r>
      <w:t>公开</w:t>
    </w:r>
    <w:r>
      <w:rPr>
        <w:rFonts w:hint="eastAsia"/>
      </w:rPr>
      <w:t>交易文件</w:t>
    </w:r>
  </w:p>
  <w:p w14:paraId="7899D5CD"/>
  <w:p w14:paraId="43A0C7BC"/>
  <w:p w14:paraId="2E892C9F"/>
  <w:p w14:paraId="72BD7D8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C3AF">
    <w:pPr>
      <w:pStyle w:val="41"/>
      <w:jc w:val="right"/>
    </w:pPr>
    <w:r>
      <w:t>公开</w:t>
    </w:r>
    <w:r>
      <w:rPr>
        <w:rFonts w:hint="eastAsia"/>
      </w:rPr>
      <w:t>交易文件</w:t>
    </w:r>
  </w:p>
  <w:p w14:paraId="6FC71649"/>
  <w:p w14:paraId="1816D9A9"/>
  <w:p w14:paraId="63416FD8"/>
  <w:p w14:paraId="16A47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1B0693A8"/>
    <w:multiLevelType w:val="singleLevel"/>
    <w:tmpl w:val="1B0693A8"/>
    <w:lvl w:ilvl="0" w:tentative="0">
      <w:start w:val="1"/>
      <w:numFmt w:val="decimal"/>
      <w:suff w:val="nothing"/>
      <w:lvlText w:val="（%1）"/>
      <w:lvlJc w:val="left"/>
    </w:lvl>
  </w:abstractNum>
  <w:abstractNum w:abstractNumId="2">
    <w:nsid w:val="749B1130"/>
    <w:multiLevelType w:val="singleLevel"/>
    <w:tmpl w:val="749B1130"/>
    <w:lvl w:ilvl="0" w:tentative="0">
      <w:start w:val="1"/>
      <w:numFmt w:val="decimal"/>
      <w:suff w:val="nothing"/>
      <w:lvlText w:val="（%1）"/>
      <w:lvlJc w:val="left"/>
    </w:lvl>
  </w:abstractNum>
  <w:abstractNum w:abstractNumId="3">
    <w:nsid w:val="789E45E7"/>
    <w:multiLevelType w:val="singleLevel"/>
    <w:tmpl w:val="789E45E7"/>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2MWNkNjEwZjU1NmVkODk3MzNkNmZmMGRkZjMxNjkifQ=="/>
  </w:docVars>
  <w:rsids>
    <w:rsidRoot w:val="008570AB"/>
    <w:rsid w:val="001D365B"/>
    <w:rsid w:val="002E5E7D"/>
    <w:rsid w:val="00347D37"/>
    <w:rsid w:val="00350BCD"/>
    <w:rsid w:val="007A2776"/>
    <w:rsid w:val="008570AB"/>
    <w:rsid w:val="008D53A7"/>
    <w:rsid w:val="00C96AFF"/>
    <w:rsid w:val="00CB3CBE"/>
    <w:rsid w:val="00E911E9"/>
    <w:rsid w:val="019329D2"/>
    <w:rsid w:val="05D10FE3"/>
    <w:rsid w:val="06DC76F6"/>
    <w:rsid w:val="07B43019"/>
    <w:rsid w:val="083D56C4"/>
    <w:rsid w:val="0BA237A6"/>
    <w:rsid w:val="0CD72664"/>
    <w:rsid w:val="0D3C36C5"/>
    <w:rsid w:val="0EDE16C6"/>
    <w:rsid w:val="0F9E3A4E"/>
    <w:rsid w:val="0FF743B1"/>
    <w:rsid w:val="12A6008B"/>
    <w:rsid w:val="135769F3"/>
    <w:rsid w:val="138D6B5A"/>
    <w:rsid w:val="13BB1914"/>
    <w:rsid w:val="14C31286"/>
    <w:rsid w:val="152D77B0"/>
    <w:rsid w:val="15D55AB8"/>
    <w:rsid w:val="16C03980"/>
    <w:rsid w:val="198F09DD"/>
    <w:rsid w:val="1AD80FFE"/>
    <w:rsid w:val="1AE62DD5"/>
    <w:rsid w:val="1C9C7EE7"/>
    <w:rsid w:val="1D660757"/>
    <w:rsid w:val="1D743260"/>
    <w:rsid w:val="1E0C680F"/>
    <w:rsid w:val="1E7159FF"/>
    <w:rsid w:val="1F105188"/>
    <w:rsid w:val="20AE2DE9"/>
    <w:rsid w:val="23A73E47"/>
    <w:rsid w:val="23C8323E"/>
    <w:rsid w:val="250C6366"/>
    <w:rsid w:val="25797CBE"/>
    <w:rsid w:val="26663961"/>
    <w:rsid w:val="28305FD5"/>
    <w:rsid w:val="285337E8"/>
    <w:rsid w:val="2A2A086D"/>
    <w:rsid w:val="2BA2163E"/>
    <w:rsid w:val="2BD80913"/>
    <w:rsid w:val="2C11436F"/>
    <w:rsid w:val="2DFB0D4A"/>
    <w:rsid w:val="2EF41C49"/>
    <w:rsid w:val="30F63A91"/>
    <w:rsid w:val="31FC33CC"/>
    <w:rsid w:val="3252028C"/>
    <w:rsid w:val="34A44496"/>
    <w:rsid w:val="34F21A60"/>
    <w:rsid w:val="3971606F"/>
    <w:rsid w:val="39B0607F"/>
    <w:rsid w:val="3A5C0347"/>
    <w:rsid w:val="3B20012B"/>
    <w:rsid w:val="3C0B577D"/>
    <w:rsid w:val="3D512523"/>
    <w:rsid w:val="3D7C5602"/>
    <w:rsid w:val="411F21AA"/>
    <w:rsid w:val="41A05B22"/>
    <w:rsid w:val="453851FB"/>
    <w:rsid w:val="46A64080"/>
    <w:rsid w:val="47016D6E"/>
    <w:rsid w:val="48054931"/>
    <w:rsid w:val="482E7137"/>
    <w:rsid w:val="48CE5E8B"/>
    <w:rsid w:val="49C0715E"/>
    <w:rsid w:val="4A654B57"/>
    <w:rsid w:val="4A9C2959"/>
    <w:rsid w:val="4AE051E1"/>
    <w:rsid w:val="4C415022"/>
    <w:rsid w:val="4E2B5F1C"/>
    <w:rsid w:val="4E6B03CC"/>
    <w:rsid w:val="4F4B5762"/>
    <w:rsid w:val="5119144D"/>
    <w:rsid w:val="51526CE4"/>
    <w:rsid w:val="5365047D"/>
    <w:rsid w:val="55345504"/>
    <w:rsid w:val="554C2F4D"/>
    <w:rsid w:val="598E5CDE"/>
    <w:rsid w:val="59A72D2F"/>
    <w:rsid w:val="59AB1971"/>
    <w:rsid w:val="5A6279C1"/>
    <w:rsid w:val="5BAB6A3A"/>
    <w:rsid w:val="5D213B63"/>
    <w:rsid w:val="5D9B58D7"/>
    <w:rsid w:val="5F5445E4"/>
    <w:rsid w:val="61CE51D5"/>
    <w:rsid w:val="621B1D3E"/>
    <w:rsid w:val="63543E6F"/>
    <w:rsid w:val="636B7D72"/>
    <w:rsid w:val="63E94779"/>
    <w:rsid w:val="67C5164F"/>
    <w:rsid w:val="67D16185"/>
    <w:rsid w:val="6A5847F0"/>
    <w:rsid w:val="6B1F5D51"/>
    <w:rsid w:val="6B581776"/>
    <w:rsid w:val="6B6E044D"/>
    <w:rsid w:val="6BF07522"/>
    <w:rsid w:val="6EBE7765"/>
    <w:rsid w:val="6F9504D4"/>
    <w:rsid w:val="6FFF7D02"/>
    <w:rsid w:val="73C7563A"/>
    <w:rsid w:val="75513E25"/>
    <w:rsid w:val="79140857"/>
    <w:rsid w:val="79914B94"/>
    <w:rsid w:val="7A901FDE"/>
    <w:rsid w:val="7BAA554F"/>
    <w:rsid w:val="7DEB23D6"/>
    <w:rsid w:val="7E7A0ECD"/>
    <w:rsid w:val="7EB82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0" w:leftChars="205" w:firstLine="480" w:firstLineChars="200"/>
      <w:jc w:val="left"/>
      <w:outlineLvl w:val="1"/>
    </w:pPr>
    <w:rPr>
      <w:rFonts w:ascii="宋体" w:hAnsi="宋体" w:eastAsia="仿宋" w:cs="宋体"/>
      <w:sz w:val="24"/>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4"/>
    <w:autoRedefine/>
    <w:qFormat/>
    <w:uiPriority w:val="0"/>
    <w:pPr>
      <w:spacing w:line="480" w:lineRule="exact"/>
      <w:ind w:firstLine="480" w:firstLineChars="200"/>
    </w:pPr>
    <w:rPr>
      <w:rFonts w:ascii="宋体" w:hAnsi="宋体"/>
      <w:sz w:val="24"/>
    </w:rPr>
  </w:style>
  <w:style w:type="paragraph" w:styleId="17">
    <w:name w:val="caption"/>
    <w:basedOn w:val="1"/>
    <w:next w:val="1"/>
    <w:link w:val="228"/>
    <w:autoRedefine/>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qFormat/>
    <w:uiPriority w:val="0"/>
    <w:rPr>
      <w:rFonts w:ascii="宋体" w:hAnsi="Courier New" w:cs="Arial"/>
      <w:snapToGrid w:val="0"/>
      <w:szCs w:val="21"/>
    </w:rPr>
  </w:style>
  <w:style w:type="paragraph" w:styleId="33">
    <w:name w:val="Date"/>
    <w:basedOn w:val="1"/>
    <w:next w:val="1"/>
    <w:link w:val="180"/>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eastAsia="微软雅黑"/>
      <w:sz w:val="22"/>
      <w:szCs w:val="22"/>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link w:val="320"/>
    <w:autoRedefine/>
    <w:qFormat/>
    <w:uiPriority w:val="0"/>
    <w:pPr>
      <w:ind w:firstLine="420"/>
    </w:pPr>
    <w:rPr>
      <w:rFonts w:hAnsi="Calibri"/>
      <w:szCs w:val="20"/>
    </w:rPr>
  </w:style>
  <w:style w:type="paragraph" w:styleId="62">
    <w:name w:val="Body Text First Indent 2"/>
    <w:basedOn w:val="16"/>
    <w:next w:val="63"/>
    <w:link w:val="120"/>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spacing w:before="280" w:after="280" w:line="100" w:lineRule="exact"/>
      <w:ind w:firstLine="480" w:firstLineChars="200"/>
      <w:jc w:val="center"/>
    </w:pPr>
    <w:rPr>
      <w:rFonts w:ascii="宋体" w:hAnsi="Times New Roman" w:eastAsia="宋体" w:cs="黑体"/>
      <w:b/>
      <w:szCs w:val="22"/>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jc w:val="center"/>
    </w:pPr>
    <w:rPr>
      <w:rFonts w:ascii="Calibri" w:hAnsi="Calibri" w:eastAsia="宋体"/>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3"/>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hAnsi="Arial" w:eastAsia="宋体"/>
      <w:snapToGrid w:val="0"/>
      <w:kern w:val="0"/>
      <w:sz w:val="28"/>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szCs w:val="20"/>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jc w:val="both"/>
    </w:pPr>
    <w:rPr>
      <w:rFonts w:hAnsi="Cambria" w:eastAsia="宋体"/>
      <w:szCs w:val="20"/>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jc w:val="both"/>
    </w:pPr>
    <w:rPr>
      <w:rFonts w:hAnsi="Arial" w:eastAsia="宋体"/>
      <w:sz w:val="28"/>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jc w:val="center"/>
    </w:pPr>
    <w:rPr>
      <w:rFonts w:ascii="Arial" w:hAnsi="Arial" w:eastAsia="楷体"/>
      <w:color w:val="000000"/>
      <w:spacing w:val="14"/>
      <w:kern w:val="24"/>
      <w:sz w:val="28"/>
      <w:szCs w:val="20"/>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style01"/>
    <w:basedOn w:val="71"/>
    <w:qFormat/>
    <w:uiPriority w:val="0"/>
    <w:rPr>
      <w:rFonts w:hint="eastAsia" w:ascii="宋体" w:hAnsi="宋体" w:eastAsia="宋体"/>
      <w:color w:val="000000"/>
      <w:sz w:val="24"/>
      <w:szCs w:val="24"/>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5">
    <w:name w:val="封面编号"/>
    <w:basedOn w:val="1"/>
    <w:qFormat/>
    <w:uiPriority w:val="0"/>
    <w:pPr>
      <w:spacing w:line="360" w:lineRule="auto"/>
      <w:jc w:val="center"/>
    </w:pPr>
    <w:rPr>
      <w:rFonts w:ascii="黑体" w:hAnsi="宋体" w:eastAsia="黑体" w:cs="宋体"/>
      <w:b/>
      <w:bCs/>
      <w:sz w:val="38"/>
      <w:szCs w:val="20"/>
    </w:rPr>
  </w:style>
  <w:style w:type="character" w:customStyle="1" w:styleId="966">
    <w:name w:val="无"/>
    <w:qFormat/>
    <w:uiPriority w:val="0"/>
  </w:style>
  <w:style w:type="character" w:customStyle="1" w:styleId="967">
    <w:name w:val="Hyperlink.0"/>
    <w:basedOn w:val="966"/>
    <w:qFormat/>
    <w:uiPriority w:val="0"/>
    <w:rPr>
      <w:lang w:val="en-US"/>
    </w:r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9">
    <w:name w:val="header-title"/>
    <w:basedOn w:val="71"/>
    <w:qFormat/>
    <w:uiPriority w:val="0"/>
    <w:rPr>
      <w:b/>
      <w:bCs/>
      <w:color w:val="D71D21"/>
      <w:sz w:val="30"/>
      <w:szCs w:val="30"/>
    </w:rPr>
  </w:style>
  <w:style w:type="character" w:customStyle="1" w:styleId="970">
    <w:name w:val="line"/>
    <w:basedOn w:val="71"/>
    <w:qFormat/>
    <w:uiPriority w:val="0"/>
    <w:rPr>
      <w:sz w:val="15"/>
      <w:szCs w:val="15"/>
    </w:rPr>
  </w:style>
  <w:style w:type="paragraph" w:customStyle="1" w:styleId="971">
    <w:name w:val="Body text|1"/>
    <w:basedOn w:val="1"/>
    <w:qFormat/>
    <w:uiPriority w:val="0"/>
    <w:pPr>
      <w:spacing w:line="391" w:lineRule="auto"/>
      <w:ind w:firstLine="400"/>
    </w:pPr>
    <w:rPr>
      <w:rFonts w:ascii="宋体" w:hAnsi="宋体" w:cs="宋体"/>
      <w:lang w:val="zh-TW" w:eastAsia="zh-TW" w:bidi="zh-TW"/>
    </w:rPr>
  </w:style>
  <w:style w:type="paragraph" w:customStyle="1" w:styleId="972">
    <w:name w:val="正文空2字"/>
    <w:basedOn w:val="9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3">
    <w:name w:val="左对齐正文"/>
    <w:qFormat/>
    <w:uiPriority w:val="99"/>
    <w:rPr>
      <w:rFonts w:ascii="Calibri" w:hAnsi="Calibri" w:eastAsia="仿宋_GB2312" w:cs="Calibri"/>
      <w:kern w:val="2"/>
      <w:sz w:val="32"/>
      <w:szCs w:val="32"/>
      <w:lang w:val="en-US" w:eastAsia="zh-CN" w:bidi="ar-SA"/>
    </w:rPr>
  </w:style>
  <w:style w:type="paragraph" w:styleId="974">
    <w:name w:val="No Spacing"/>
    <w:basedOn w:val="1"/>
    <w:qFormat/>
    <w:uiPriority w:val="99"/>
    <w:rPr>
      <w:szCs w:val="22"/>
    </w:rPr>
  </w:style>
  <w:style w:type="paragraph" w:styleId="975">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20414</Words>
  <Characters>21733</Characters>
  <Lines>172</Lines>
  <Paragraphs>48</Paragraphs>
  <TotalTime>16</TotalTime>
  <ScaleCrop>false</ScaleCrop>
  <LinksUpToDate>false</LinksUpToDate>
  <CharactersWithSpaces>22981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瞿家小二</cp:lastModifiedBy>
  <cp:lastPrinted>2022-11-25T10:44:00Z</cp:lastPrinted>
  <dcterms:modified xsi:type="dcterms:W3CDTF">2025-07-07T00:49:25Z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C4B3B3B5F81F46C9AB2B8627F5F01333_13</vt:lpwstr>
  </property>
  <property fmtid="{D5CDD505-2E9C-101B-9397-08002B2CF9AE}" pid="5" name="KSOTemplateDocerSaveRecord">
    <vt:lpwstr>eyJoZGlkIjoiMGEyOWRjNTQ0NTk4NjVlNDEzNTBhNmEyMzdhNWIzMTUiLCJ1c2VySWQiOiI3MzE4MTAyODgifQ==</vt:lpwstr>
  </property>
</Properties>
</file>