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9F0C8">
      <w:pPr>
        <w:spacing w:line="360" w:lineRule="auto"/>
        <w:jc w:val="center"/>
        <w:rPr>
          <w:rFonts w:hint="eastAsia" w:ascii="仿宋" w:hAnsi="仿宋" w:eastAsia="仿宋" w:cs="仿宋"/>
          <w:b/>
          <w:color w:val="auto"/>
          <w:sz w:val="24"/>
        </w:rPr>
      </w:pPr>
    </w:p>
    <w:p w14:paraId="25C96300">
      <w:pPr>
        <w:adjustRightInd/>
        <w:spacing w:line="360" w:lineRule="auto"/>
        <w:jc w:val="center"/>
        <w:rPr>
          <w:rFonts w:hint="eastAsia" w:ascii="仿宋" w:hAnsi="仿宋" w:eastAsia="仿宋" w:cs="仿宋"/>
          <w:b/>
          <w:color w:val="auto"/>
          <w:sz w:val="48"/>
          <w:szCs w:val="48"/>
        </w:rPr>
      </w:pPr>
    </w:p>
    <w:p w14:paraId="1631281E">
      <w:pPr>
        <w:adjustRightInd/>
        <w:spacing w:line="36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rPr>
        <w:t>杭州市萧山区中医院医共体总院（</w:t>
      </w:r>
      <w:r>
        <w:rPr>
          <w:rFonts w:hint="eastAsia" w:ascii="仿宋" w:hAnsi="仿宋" w:eastAsia="仿宋" w:cs="仿宋"/>
          <w:color w:val="auto"/>
          <w:sz w:val="48"/>
          <w:szCs w:val="48"/>
          <w:lang w:val="en-US" w:eastAsia="zh-CN"/>
        </w:rPr>
        <w:t>所前镇</w:t>
      </w:r>
      <w:r>
        <w:rPr>
          <w:rFonts w:hint="eastAsia" w:ascii="仿宋" w:hAnsi="仿宋" w:eastAsia="仿宋" w:cs="仿宋"/>
          <w:color w:val="auto"/>
          <w:sz w:val="48"/>
          <w:szCs w:val="48"/>
        </w:rPr>
        <w:t>社区卫生服务中心）</w:t>
      </w:r>
      <w:r>
        <w:rPr>
          <w:rFonts w:hint="eastAsia" w:ascii="仿宋" w:hAnsi="仿宋" w:eastAsia="仿宋" w:cs="仿宋"/>
          <w:color w:val="auto"/>
          <w:sz w:val="48"/>
          <w:szCs w:val="48"/>
          <w:lang w:val="en-US" w:eastAsia="zh-CN"/>
        </w:rPr>
        <w:t>数字式心电图机</w:t>
      </w:r>
      <w:r>
        <w:rPr>
          <w:rFonts w:hint="eastAsia" w:ascii="仿宋" w:hAnsi="仿宋" w:eastAsia="仿宋" w:cs="仿宋"/>
          <w:color w:val="auto"/>
          <w:sz w:val="48"/>
          <w:szCs w:val="48"/>
        </w:rPr>
        <w:t>采购项目</w:t>
      </w:r>
    </w:p>
    <w:p w14:paraId="30DDB8BC">
      <w:pPr>
        <w:adjustRightInd/>
        <w:spacing w:line="360" w:lineRule="auto"/>
        <w:jc w:val="center"/>
        <w:rPr>
          <w:rFonts w:hint="eastAsia" w:ascii="仿宋" w:hAnsi="仿宋" w:eastAsia="仿宋" w:cs="仿宋"/>
          <w:color w:val="auto"/>
          <w:sz w:val="48"/>
          <w:szCs w:val="48"/>
        </w:rPr>
      </w:pPr>
    </w:p>
    <w:p w14:paraId="3F623FC3">
      <w:pPr>
        <w:adjustRightInd/>
        <w:spacing w:line="36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rPr>
        <w:t>交易文件</w:t>
      </w:r>
    </w:p>
    <w:p w14:paraId="2753ED9D">
      <w:pPr>
        <w:adjustRightInd/>
        <w:spacing w:line="360" w:lineRule="auto"/>
        <w:jc w:val="center"/>
        <w:rPr>
          <w:rFonts w:hint="eastAsia" w:ascii="仿宋" w:hAnsi="仿宋" w:eastAsia="仿宋" w:cs="仿宋"/>
          <w:color w:val="auto"/>
          <w:sz w:val="44"/>
          <w:szCs w:val="44"/>
        </w:rPr>
      </w:pPr>
      <w:r>
        <w:rPr>
          <w:rFonts w:hint="eastAsia" w:ascii="仿宋" w:hAnsi="仿宋" w:eastAsia="仿宋" w:cs="仿宋"/>
          <w:color w:val="auto"/>
          <w:sz w:val="44"/>
          <w:szCs w:val="44"/>
        </w:rPr>
        <w:t xml:space="preserve"> （电子交易标）</w:t>
      </w:r>
    </w:p>
    <w:p w14:paraId="02DA604F">
      <w:pPr>
        <w:snapToGrid w:val="0"/>
        <w:spacing w:line="360" w:lineRule="auto"/>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编号：</w:t>
      </w:r>
      <w:r>
        <w:rPr>
          <w:rFonts w:hint="eastAsia" w:ascii="仿宋" w:hAnsi="仿宋" w:eastAsia="仿宋" w:cs="仿宋"/>
          <w:color w:val="auto"/>
          <w:sz w:val="30"/>
          <w:szCs w:val="30"/>
          <w:lang w:val="en-US" w:eastAsia="zh-CN"/>
        </w:rPr>
        <w:t>ZJHC(XS）-20250619</w:t>
      </w:r>
    </w:p>
    <w:p w14:paraId="14F210A3">
      <w:pPr>
        <w:adjustRightInd/>
        <w:spacing w:line="360" w:lineRule="auto"/>
        <w:rPr>
          <w:rFonts w:hint="eastAsia" w:ascii="仿宋" w:hAnsi="仿宋" w:eastAsia="仿宋" w:cs="仿宋"/>
          <w:color w:val="auto"/>
          <w:sz w:val="28"/>
          <w:szCs w:val="20"/>
        </w:rPr>
      </w:pPr>
    </w:p>
    <w:p w14:paraId="3F89BE42">
      <w:pPr>
        <w:spacing w:line="360" w:lineRule="auto"/>
        <w:jc w:val="center"/>
        <w:rPr>
          <w:rFonts w:hint="eastAsia" w:ascii="仿宋" w:hAnsi="仿宋" w:eastAsia="仿宋" w:cs="仿宋"/>
          <w:b/>
          <w:color w:val="auto"/>
          <w:sz w:val="44"/>
          <w:szCs w:val="44"/>
        </w:rPr>
      </w:pPr>
    </w:p>
    <w:p w14:paraId="2BD81980">
      <w:pPr>
        <w:spacing w:line="360" w:lineRule="auto"/>
        <w:jc w:val="center"/>
        <w:rPr>
          <w:rFonts w:hint="eastAsia" w:ascii="仿宋" w:hAnsi="仿宋" w:eastAsia="仿宋" w:cs="仿宋"/>
          <w:b/>
          <w:color w:val="auto"/>
          <w:sz w:val="44"/>
          <w:szCs w:val="44"/>
        </w:rPr>
      </w:pPr>
    </w:p>
    <w:p w14:paraId="5FAD7C27">
      <w:pPr>
        <w:pStyle w:val="3"/>
        <w:rPr>
          <w:rFonts w:hint="eastAsia" w:ascii="仿宋" w:hAnsi="仿宋" w:eastAsia="仿宋" w:cs="仿宋"/>
          <w:color w:val="auto"/>
        </w:rPr>
      </w:pPr>
    </w:p>
    <w:p w14:paraId="40156DD5">
      <w:pPr>
        <w:spacing w:line="360" w:lineRule="auto"/>
        <w:jc w:val="center"/>
        <w:rPr>
          <w:rFonts w:hint="eastAsia" w:ascii="仿宋" w:hAnsi="仿宋" w:eastAsia="仿宋" w:cs="仿宋"/>
          <w:color w:val="auto"/>
          <w:sz w:val="24"/>
        </w:rPr>
      </w:pPr>
    </w:p>
    <w:p w14:paraId="105A0949">
      <w:pPr>
        <w:pStyle w:val="16"/>
        <w:rPr>
          <w:rFonts w:hint="eastAsia" w:ascii="仿宋" w:hAnsi="仿宋" w:eastAsia="仿宋" w:cs="仿宋"/>
          <w:color w:val="auto"/>
        </w:rPr>
      </w:pPr>
    </w:p>
    <w:p w14:paraId="0EE25B87">
      <w:pPr>
        <w:spacing w:line="360" w:lineRule="auto"/>
        <w:jc w:val="center"/>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rPr>
        <w:t>采购人：杭州市萧山区中医院医共体总院</w:t>
      </w:r>
    </w:p>
    <w:p w14:paraId="370F0ACA">
      <w:pPr>
        <w:spacing w:line="360" w:lineRule="auto"/>
        <w:jc w:val="center"/>
        <w:rPr>
          <w:rFonts w:hint="eastAsia" w:ascii="仿宋" w:hAnsi="仿宋" w:eastAsia="仿宋" w:cs="仿宋"/>
          <w:bCs/>
          <w:color w:val="auto"/>
          <w:sz w:val="32"/>
          <w:szCs w:val="32"/>
        </w:rPr>
      </w:pPr>
    </w:p>
    <w:p w14:paraId="16EE33F6">
      <w:pPr>
        <w:spacing w:line="360" w:lineRule="auto"/>
        <w:jc w:val="center"/>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采购代理机构：</w:t>
      </w:r>
      <w:r>
        <w:rPr>
          <w:rFonts w:hint="eastAsia" w:ascii="仿宋" w:hAnsi="仿宋" w:eastAsia="仿宋" w:cs="仿宋"/>
          <w:bCs/>
          <w:color w:val="auto"/>
          <w:sz w:val="32"/>
          <w:szCs w:val="32"/>
          <w:lang w:eastAsia="zh-CN"/>
        </w:rPr>
        <w:t>华诚工程咨询集团有限公司</w:t>
      </w:r>
    </w:p>
    <w:p w14:paraId="63197B0F">
      <w:pPr>
        <w:snapToGrid w:val="0"/>
        <w:spacing w:line="360" w:lineRule="auto"/>
        <w:jc w:val="center"/>
        <w:rPr>
          <w:rFonts w:hint="eastAsia" w:ascii="仿宋" w:hAnsi="仿宋" w:eastAsia="仿宋" w:cs="仿宋"/>
          <w:bCs/>
          <w:color w:val="auto"/>
          <w:sz w:val="32"/>
          <w:szCs w:val="32"/>
        </w:rPr>
      </w:pPr>
    </w:p>
    <w:p w14:paraId="1FEF5A54">
      <w:pPr>
        <w:snapToGrid w:val="0"/>
        <w:spacing w:line="360" w:lineRule="auto"/>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二〇二</w:t>
      </w:r>
      <w:r>
        <w:rPr>
          <w:rFonts w:hint="eastAsia" w:ascii="仿宋" w:hAnsi="仿宋" w:eastAsia="仿宋" w:cs="仿宋"/>
          <w:bCs/>
          <w:color w:val="auto"/>
          <w:sz w:val="32"/>
          <w:szCs w:val="32"/>
          <w:lang w:val="en-US" w:eastAsia="zh-CN"/>
        </w:rPr>
        <w:t>五</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六</w:t>
      </w:r>
      <w:r>
        <w:rPr>
          <w:rFonts w:hint="eastAsia" w:ascii="仿宋" w:hAnsi="仿宋" w:eastAsia="仿宋" w:cs="仿宋"/>
          <w:bCs/>
          <w:color w:val="auto"/>
          <w:sz w:val="32"/>
          <w:szCs w:val="32"/>
        </w:rPr>
        <w:t>月</w:t>
      </w:r>
    </w:p>
    <w:p w14:paraId="226CEBA2">
      <w:pPr>
        <w:snapToGrid w:val="0"/>
        <w:spacing w:line="360" w:lineRule="auto"/>
        <w:jc w:val="center"/>
        <w:rPr>
          <w:rFonts w:hint="eastAsia" w:ascii="仿宋" w:hAnsi="仿宋" w:eastAsia="仿宋" w:cs="仿宋"/>
          <w:color w:val="auto"/>
          <w:sz w:val="24"/>
        </w:rPr>
      </w:pPr>
    </w:p>
    <w:p w14:paraId="19FB6915">
      <w:pPr>
        <w:snapToGrid w:val="0"/>
        <w:spacing w:line="360" w:lineRule="auto"/>
        <w:jc w:val="center"/>
        <w:rPr>
          <w:rFonts w:hint="eastAsia" w:ascii="仿宋" w:hAnsi="仿宋" w:eastAsia="仿宋" w:cs="仿宋"/>
          <w:color w:val="auto"/>
          <w:sz w:val="24"/>
        </w:rPr>
      </w:pPr>
      <w:bookmarkStart w:id="0" w:name="_Hlt67893495"/>
      <w:bookmarkEnd w:id="0"/>
    </w:p>
    <w:p w14:paraId="3958E73B">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14:paraId="51B8E945">
      <w:pPr>
        <w:spacing w:line="360" w:lineRule="auto"/>
        <w:rPr>
          <w:rFonts w:hint="eastAsia" w:ascii="仿宋" w:hAnsi="仿宋" w:eastAsia="仿宋" w:cs="仿宋"/>
          <w:color w:val="auto"/>
          <w:sz w:val="32"/>
          <w:szCs w:val="32"/>
        </w:rPr>
      </w:pPr>
    </w:p>
    <w:p w14:paraId="38090075">
      <w:pPr>
        <w:spacing w:line="360" w:lineRule="auto"/>
        <w:rPr>
          <w:rFonts w:hint="eastAsia" w:ascii="仿宋" w:hAnsi="仿宋" w:eastAsia="仿宋" w:cs="仿宋"/>
          <w:color w:val="auto"/>
          <w:sz w:val="32"/>
          <w:szCs w:val="32"/>
        </w:rPr>
      </w:pPr>
    </w:p>
    <w:p w14:paraId="54DA83F8">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交易公告</w:t>
      </w:r>
    </w:p>
    <w:p w14:paraId="5D833700">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供应商须知</w:t>
      </w:r>
    </w:p>
    <w:p w14:paraId="7C00AAA1">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14:paraId="527BB6C7">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评审办法</w:t>
      </w:r>
    </w:p>
    <w:p w14:paraId="5C716888">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应提交的有关格式范例</w:t>
      </w:r>
    </w:p>
    <w:p w14:paraId="266D0804">
      <w:pPr>
        <w:spacing w:line="360" w:lineRule="auto"/>
        <w:ind w:firstLine="549" w:firstLineChars="229"/>
        <w:rPr>
          <w:rFonts w:hint="eastAsia" w:ascii="仿宋" w:hAnsi="仿宋" w:eastAsia="仿宋" w:cs="仿宋"/>
          <w:color w:val="auto"/>
          <w:sz w:val="24"/>
        </w:rPr>
      </w:pPr>
      <w:bookmarkStart w:id="1" w:name="_Hlt91233176"/>
      <w:bookmarkEnd w:id="1"/>
      <w:bookmarkStart w:id="2" w:name="_Toc91899869"/>
    </w:p>
    <w:p w14:paraId="492E3B45">
      <w:pPr>
        <w:spacing w:line="360" w:lineRule="auto"/>
        <w:ind w:firstLine="549" w:firstLineChars="229"/>
        <w:rPr>
          <w:rFonts w:hint="eastAsia" w:ascii="仿宋" w:hAnsi="仿宋" w:eastAsia="仿宋" w:cs="仿宋"/>
          <w:color w:val="auto"/>
          <w:sz w:val="24"/>
        </w:rPr>
      </w:pPr>
    </w:p>
    <w:p w14:paraId="186EA8BB">
      <w:pPr>
        <w:spacing w:line="360" w:lineRule="auto"/>
        <w:ind w:firstLine="549" w:firstLineChars="229"/>
        <w:rPr>
          <w:rFonts w:hint="eastAsia" w:ascii="仿宋" w:hAnsi="仿宋" w:eastAsia="仿宋" w:cs="仿宋"/>
          <w:color w:val="auto"/>
          <w:sz w:val="24"/>
        </w:rPr>
      </w:pPr>
    </w:p>
    <w:p w14:paraId="23DC2ED8">
      <w:pPr>
        <w:spacing w:line="360" w:lineRule="auto"/>
        <w:ind w:firstLine="549" w:firstLineChars="229"/>
        <w:rPr>
          <w:rFonts w:hint="eastAsia" w:ascii="仿宋" w:hAnsi="仿宋" w:eastAsia="仿宋" w:cs="仿宋"/>
          <w:color w:val="auto"/>
          <w:sz w:val="24"/>
        </w:rPr>
      </w:pPr>
    </w:p>
    <w:p w14:paraId="4E9B54DA">
      <w:pPr>
        <w:spacing w:line="360" w:lineRule="auto"/>
        <w:ind w:firstLine="549" w:firstLineChars="229"/>
        <w:rPr>
          <w:rFonts w:hint="eastAsia" w:ascii="仿宋" w:hAnsi="仿宋" w:eastAsia="仿宋" w:cs="仿宋"/>
          <w:color w:val="auto"/>
          <w:sz w:val="24"/>
        </w:rPr>
      </w:pPr>
    </w:p>
    <w:p w14:paraId="43F77026">
      <w:pPr>
        <w:spacing w:line="360" w:lineRule="auto"/>
        <w:ind w:firstLine="549" w:firstLineChars="229"/>
        <w:rPr>
          <w:rFonts w:hint="eastAsia" w:ascii="仿宋" w:hAnsi="仿宋" w:eastAsia="仿宋" w:cs="仿宋"/>
          <w:color w:val="auto"/>
          <w:sz w:val="24"/>
        </w:rPr>
      </w:pPr>
    </w:p>
    <w:p w14:paraId="738D0519">
      <w:pPr>
        <w:spacing w:line="360" w:lineRule="auto"/>
        <w:ind w:firstLine="549" w:firstLineChars="229"/>
        <w:rPr>
          <w:rFonts w:hint="eastAsia" w:ascii="仿宋" w:hAnsi="仿宋" w:eastAsia="仿宋" w:cs="仿宋"/>
          <w:color w:val="auto"/>
          <w:sz w:val="24"/>
        </w:rPr>
      </w:pPr>
    </w:p>
    <w:p w14:paraId="04263539">
      <w:pPr>
        <w:spacing w:line="360" w:lineRule="auto"/>
        <w:ind w:firstLine="549" w:firstLineChars="229"/>
        <w:rPr>
          <w:rFonts w:hint="eastAsia" w:ascii="仿宋" w:hAnsi="仿宋" w:eastAsia="仿宋" w:cs="仿宋"/>
          <w:color w:val="auto"/>
          <w:sz w:val="24"/>
        </w:rPr>
      </w:pPr>
    </w:p>
    <w:p w14:paraId="6663753C">
      <w:pPr>
        <w:spacing w:line="360" w:lineRule="auto"/>
        <w:ind w:firstLine="549" w:firstLineChars="229"/>
        <w:rPr>
          <w:rFonts w:hint="eastAsia" w:ascii="仿宋" w:hAnsi="仿宋" w:eastAsia="仿宋" w:cs="仿宋"/>
          <w:color w:val="auto"/>
          <w:sz w:val="24"/>
        </w:rPr>
      </w:pPr>
    </w:p>
    <w:p w14:paraId="2B005FB9">
      <w:pPr>
        <w:spacing w:line="360" w:lineRule="auto"/>
        <w:ind w:firstLine="549" w:firstLineChars="229"/>
        <w:rPr>
          <w:rFonts w:hint="eastAsia" w:ascii="仿宋" w:hAnsi="仿宋" w:eastAsia="仿宋" w:cs="仿宋"/>
          <w:color w:val="auto"/>
          <w:sz w:val="24"/>
        </w:rPr>
      </w:pPr>
    </w:p>
    <w:p w14:paraId="6CFF051B">
      <w:pPr>
        <w:spacing w:line="360" w:lineRule="auto"/>
        <w:ind w:firstLine="549" w:firstLineChars="229"/>
        <w:rPr>
          <w:rFonts w:hint="eastAsia" w:ascii="仿宋" w:hAnsi="仿宋" w:eastAsia="仿宋" w:cs="仿宋"/>
          <w:color w:val="auto"/>
          <w:sz w:val="24"/>
        </w:rPr>
      </w:pPr>
    </w:p>
    <w:p w14:paraId="1790DEAC">
      <w:pPr>
        <w:spacing w:line="360" w:lineRule="auto"/>
        <w:ind w:firstLine="549" w:firstLineChars="229"/>
        <w:rPr>
          <w:rFonts w:hint="eastAsia" w:ascii="仿宋" w:hAnsi="仿宋" w:eastAsia="仿宋" w:cs="仿宋"/>
          <w:color w:val="auto"/>
          <w:sz w:val="24"/>
        </w:rPr>
      </w:pPr>
    </w:p>
    <w:p w14:paraId="00DB40F9">
      <w:pPr>
        <w:spacing w:line="360" w:lineRule="auto"/>
        <w:ind w:firstLine="549" w:firstLineChars="229"/>
        <w:rPr>
          <w:rFonts w:hint="eastAsia" w:ascii="仿宋" w:hAnsi="仿宋" w:eastAsia="仿宋" w:cs="仿宋"/>
          <w:color w:val="auto"/>
          <w:sz w:val="24"/>
        </w:rPr>
      </w:pPr>
    </w:p>
    <w:p w14:paraId="47225A1E">
      <w:pPr>
        <w:spacing w:line="360" w:lineRule="auto"/>
        <w:rPr>
          <w:rFonts w:hint="eastAsia" w:ascii="仿宋" w:hAnsi="仿宋" w:eastAsia="仿宋" w:cs="仿宋"/>
          <w:color w:val="auto"/>
          <w:sz w:val="24"/>
        </w:rPr>
      </w:pPr>
    </w:p>
    <w:p w14:paraId="0065E40B">
      <w:pPr>
        <w:adjustRightInd/>
        <w:spacing w:line="360" w:lineRule="auto"/>
        <w:jc w:val="center"/>
        <w:outlineLvl w:val="0"/>
        <w:rPr>
          <w:rFonts w:hint="eastAsia" w:ascii="仿宋" w:hAnsi="仿宋" w:eastAsia="仿宋" w:cs="仿宋"/>
          <w:b/>
          <w:color w:val="auto"/>
          <w:sz w:val="36"/>
          <w:szCs w:val="20"/>
        </w:rPr>
      </w:pPr>
      <w:bookmarkStart w:id="3" w:name="第一部分"/>
      <w:r>
        <w:rPr>
          <w:rFonts w:hint="eastAsia" w:ascii="仿宋" w:hAnsi="仿宋" w:eastAsia="仿宋" w:cs="仿宋"/>
          <w:b/>
          <w:color w:val="auto"/>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rPr>
        <w:t>第一部分 交易公告</w:t>
      </w:r>
    </w:p>
    <w:p w14:paraId="4DB30B3F">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项目概况</w:t>
      </w:r>
    </w:p>
    <w:p w14:paraId="02A56A1F">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hint="eastAsia" w:ascii="仿宋" w:hAnsi="仿宋" w:eastAsia="仿宋" w:cs="仿宋"/>
          <w:color w:val="auto"/>
          <w:sz w:val="24"/>
          <w:u w:val="single"/>
        </w:rPr>
      </w:pPr>
      <w:r>
        <w:rPr>
          <w:rFonts w:hint="eastAsia" w:ascii="仿宋" w:hAnsi="仿宋" w:eastAsia="仿宋" w:cs="仿宋"/>
          <w:color w:val="auto"/>
          <w:sz w:val="24"/>
          <w:u w:val="single"/>
          <w:lang w:val="en-US" w:eastAsia="zh-CN"/>
        </w:rPr>
        <w:t>杭州市萧山区中医院医共体总院（所前镇社区卫生服务中心）数字式心电图机采购项目</w:t>
      </w:r>
      <w:r>
        <w:rPr>
          <w:rFonts w:hint="eastAsia" w:ascii="仿宋" w:hAnsi="仿宋" w:eastAsia="仿宋" w:cs="仿宋"/>
          <w:color w:val="auto"/>
          <w:sz w:val="24"/>
        </w:rPr>
        <w:t>的潜在供应商应在乐采云(萧采云)平台（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Style w:val="78"/>
          <w:rFonts w:hint="eastAsia" w:ascii="仿宋" w:hAnsi="仿宋" w:eastAsia="仿宋" w:cs="仿宋"/>
          <w:color w:val="auto"/>
          <w:kern w:val="2"/>
          <w:sz w:val="24"/>
          <w:szCs w:val="24"/>
        </w:rPr>
        <w:t>https://www.zcygov.cn/）获取（下载）交易文件，并于</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06</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w:t>
      </w:r>
      <w:r>
        <w:rPr>
          <w:rFonts w:hint="eastAsia" w:ascii="仿宋" w:hAnsi="仿宋" w:eastAsia="仿宋" w:cs="仿宋"/>
          <w:color w:val="auto"/>
          <w:sz w:val="24"/>
          <w:u w:val="single"/>
        </w:rPr>
        <w:t>0分</w:t>
      </w:r>
      <w:r>
        <w:rPr>
          <w:rFonts w:hint="eastAsia" w:ascii="仿宋" w:hAnsi="仿宋" w:eastAsia="仿宋" w:cs="仿宋"/>
          <w:bCs/>
          <w:color w:val="auto"/>
          <w:sz w:val="24"/>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递交（上传）响应文件。</w:t>
      </w:r>
    </w:p>
    <w:p w14:paraId="7BF8064E">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p>
    <w:p w14:paraId="27FBA1C0">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项目编号：ZJHC(XS）-20250619</w:t>
      </w:r>
      <w:r>
        <w:rPr>
          <w:rFonts w:hint="eastAsia" w:ascii="仿宋" w:hAnsi="仿宋" w:eastAsia="仿宋" w:cs="仿宋"/>
          <w:color w:val="auto"/>
          <w:sz w:val="24"/>
          <w:lang w:val="en-US" w:eastAsia="zh-CN"/>
        </w:rPr>
        <w:t xml:space="preserve"> </w:t>
      </w:r>
    </w:p>
    <w:p w14:paraId="0D919DAE">
      <w:pPr>
        <w:spacing w:line="360" w:lineRule="auto"/>
        <w:ind w:right="-388" w:rightChars="-185"/>
        <w:rPr>
          <w:rFonts w:hint="eastAsia" w:ascii="仿宋" w:hAnsi="仿宋" w:eastAsia="仿宋" w:cs="仿宋"/>
          <w:color w:val="auto"/>
          <w:sz w:val="24"/>
        </w:rPr>
      </w:pPr>
      <w:r>
        <w:rPr>
          <w:rFonts w:hint="eastAsia" w:ascii="仿宋" w:hAnsi="仿宋" w:eastAsia="仿宋" w:cs="仿宋"/>
          <w:color w:val="auto"/>
          <w:sz w:val="24"/>
        </w:rPr>
        <w:t xml:space="preserve">    项目名称：</w:t>
      </w:r>
      <w:r>
        <w:rPr>
          <w:rFonts w:hint="eastAsia" w:ascii="仿宋" w:hAnsi="仿宋" w:eastAsia="仿宋" w:cs="仿宋"/>
          <w:color w:val="auto"/>
          <w:sz w:val="24"/>
          <w:lang w:val="en-US" w:eastAsia="zh-CN"/>
        </w:rPr>
        <w:t>杭州市萧山区中医院医共体总院（所前镇社区卫生服务中心）数字式心电图机采购项目</w:t>
      </w:r>
    </w:p>
    <w:p w14:paraId="2DA778BB">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预算金额（元）：</w:t>
      </w:r>
      <w:r>
        <w:rPr>
          <w:rFonts w:hint="eastAsia" w:ascii="仿宋" w:hAnsi="仿宋" w:eastAsia="仿宋" w:cs="仿宋"/>
          <w:color w:val="auto"/>
          <w:sz w:val="24"/>
          <w:lang w:val="en-US" w:eastAsia="zh-CN"/>
        </w:rPr>
        <w:t>50000</w:t>
      </w:r>
      <w:r>
        <w:rPr>
          <w:rFonts w:hint="eastAsia" w:ascii="仿宋" w:hAnsi="仿宋" w:eastAsia="仿宋" w:cs="仿宋"/>
          <w:color w:val="auto"/>
          <w:sz w:val="24"/>
        </w:rPr>
        <w:t xml:space="preserve">.00 </w:t>
      </w:r>
    </w:p>
    <w:p w14:paraId="4D25D518">
      <w:pPr>
        <w:tabs>
          <w:tab w:val="center" w:pos="4535"/>
        </w:tabs>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最高限价（元）：</w:t>
      </w:r>
      <w:r>
        <w:rPr>
          <w:rFonts w:hint="eastAsia" w:ascii="仿宋" w:hAnsi="仿宋" w:eastAsia="仿宋" w:cs="仿宋"/>
          <w:color w:val="auto"/>
          <w:sz w:val="24"/>
          <w:lang w:val="en-US" w:eastAsia="zh-CN"/>
        </w:rPr>
        <w:t>25000</w:t>
      </w:r>
      <w:r>
        <w:rPr>
          <w:rFonts w:hint="eastAsia" w:ascii="仿宋" w:hAnsi="仿宋" w:eastAsia="仿宋" w:cs="仿宋"/>
          <w:color w:val="auto"/>
          <w:sz w:val="24"/>
        </w:rPr>
        <w:t xml:space="preserve">.00 </w:t>
      </w:r>
    </w:p>
    <w:p w14:paraId="67CF4628">
      <w:pPr>
        <w:tabs>
          <w:tab w:val="center" w:pos="4535"/>
        </w:tabs>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采购需求：</w:t>
      </w:r>
      <w:r>
        <w:rPr>
          <w:rFonts w:hint="eastAsia" w:ascii="仿宋" w:hAnsi="仿宋" w:eastAsia="仿宋" w:cs="仿宋"/>
          <w:color w:val="auto"/>
          <w:sz w:val="24"/>
          <w:lang w:val="en-US" w:eastAsia="zh-CN"/>
        </w:rPr>
        <w:t>杭州市萧山区中医院医共体总院（所前镇社区卫生服务中心）数字式心电图机采购项目,</w:t>
      </w:r>
      <w:r>
        <w:rPr>
          <w:rFonts w:hint="eastAsia" w:ascii="仿宋" w:hAnsi="仿宋" w:eastAsia="仿宋" w:cs="仿宋"/>
          <w:color w:val="auto"/>
          <w:sz w:val="24"/>
        </w:rPr>
        <w:t>详见交易文件第三部分采购需求。</w:t>
      </w:r>
    </w:p>
    <w:p w14:paraId="7CA32385">
      <w:pPr>
        <w:tabs>
          <w:tab w:val="center" w:pos="4535"/>
        </w:tabs>
        <w:spacing w:line="360" w:lineRule="auto"/>
        <w:ind w:firstLine="480"/>
        <w:rPr>
          <w:rFonts w:hint="eastAsia" w:ascii="仿宋" w:hAnsi="仿宋" w:eastAsia="仿宋" w:cs="仿宋"/>
          <w:color w:val="auto"/>
          <w:sz w:val="24"/>
          <w:szCs w:val="28"/>
        </w:rPr>
      </w:pPr>
      <w:r>
        <w:rPr>
          <w:rFonts w:hint="eastAsia" w:ascii="仿宋" w:hAnsi="仿宋" w:eastAsia="仿宋" w:cs="仿宋"/>
          <w:color w:val="auto"/>
          <w:sz w:val="24"/>
        </w:rPr>
        <w:t>合同履约期限：</w:t>
      </w:r>
      <w:r>
        <w:rPr>
          <w:rFonts w:hint="eastAsia" w:ascii="仿宋" w:hAnsi="仿宋" w:eastAsia="仿宋" w:cs="仿宋"/>
          <w:color w:val="auto"/>
          <w:sz w:val="24"/>
          <w:szCs w:val="28"/>
        </w:rPr>
        <w:t>详见交易文件</w:t>
      </w:r>
    </w:p>
    <w:p w14:paraId="1A9607F7">
      <w:pPr>
        <w:tabs>
          <w:tab w:val="center" w:pos="4535"/>
        </w:tabs>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本项目接受联合体响应：（ ）是；（√）否 </w:t>
      </w:r>
      <w:r>
        <w:rPr>
          <w:rFonts w:hint="eastAsia" w:ascii="仿宋" w:hAnsi="仿宋" w:eastAsia="仿宋" w:cs="仿宋"/>
          <w:color w:val="auto"/>
          <w:kern w:val="0"/>
          <w:sz w:val="24"/>
        </w:rPr>
        <w:t>。</w:t>
      </w:r>
    </w:p>
    <w:p w14:paraId="085B6023">
      <w:pPr>
        <w:spacing w:line="360" w:lineRule="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14:paraId="20DE0F08">
      <w:pPr>
        <w:spacing w:line="360" w:lineRule="auto"/>
        <w:ind w:firstLine="480"/>
        <w:rPr>
          <w:rFonts w:ascii="仿宋" w:hAnsi="仿宋" w:eastAsia="仿宋" w:cs="仿宋"/>
          <w:snapToGrid w:val="0"/>
          <w:color w:val="auto"/>
          <w:kern w:val="28"/>
          <w:sz w:val="24"/>
          <w:szCs w:val="20"/>
          <w:highlight w:val="none"/>
        </w:rPr>
      </w:pPr>
      <w:bookmarkStart w:id="11" w:name="OLE_LINK50"/>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182EBE8">
      <w:pPr>
        <w:snapToGrid w:val="0"/>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.本项目的特定资格要求：</w:t>
      </w:r>
      <w:r>
        <w:rPr>
          <w:rFonts w:hint="eastAsia" w:ascii="仿宋" w:hAnsi="仿宋" w:eastAsia="仿宋" w:cs="仿宋"/>
          <w:b/>
          <w:bCs/>
          <w:color w:val="auto"/>
          <w:sz w:val="24"/>
          <w:highlight w:val="none"/>
          <w:lang w:val="en-US" w:eastAsia="zh-CN"/>
        </w:rPr>
        <w:t>无</w:t>
      </w:r>
      <w:r>
        <w:rPr>
          <w:rFonts w:hint="eastAsia" w:ascii="仿宋" w:hAnsi="仿宋" w:eastAsia="仿宋" w:cs="仿宋"/>
          <w:b/>
          <w:bCs/>
          <w:color w:val="auto"/>
          <w:sz w:val="24"/>
          <w:highlight w:val="none"/>
        </w:rPr>
        <w:t>。</w:t>
      </w:r>
    </w:p>
    <w:bookmarkEnd w:id="11"/>
    <w:p w14:paraId="535F9B59">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三、获取交易文件 </w:t>
      </w:r>
    </w:p>
    <w:p w14:paraId="6B8C1F8F">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 xml:space="preserve"> 06</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，每天上午00:00至12:00，下午12:00至23:59（北京时间，线上获取法定节假日均可，线下获取文件法定节假日除外）</w:t>
      </w:r>
    </w:p>
    <w:p w14:paraId="764114A4">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乐采云(萧采云)平台（https://www.zcygov.cn/） </w:t>
      </w:r>
    </w:p>
    <w:p w14:paraId="06F4531F">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供应商登录乐采云(萧采云)平台https://www.zcygov.cn/在线申请获取采购文件（进入“项目采购”应用，在获取采购文件菜单中选择项目，申请获取采购文件）。 </w:t>
      </w:r>
    </w:p>
    <w:p w14:paraId="56DF9AFA">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4BCDA8A6">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四、提交响应文件截止时间、交易时间和地点</w:t>
      </w:r>
    </w:p>
    <w:p w14:paraId="46017049">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提交响应文件截止时间：</w:t>
      </w:r>
      <w:r>
        <w:rPr>
          <w:rFonts w:hint="eastAsia" w:ascii="仿宋" w:hAnsi="仿宋" w:eastAsia="仿宋" w:cs="仿宋"/>
          <w:color w:val="auto"/>
          <w:sz w:val="24"/>
          <w:u w:val="single"/>
        </w:rPr>
        <w:t xml:space="preserve"> 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06</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w:t>
      </w:r>
      <w:r>
        <w:rPr>
          <w:rFonts w:hint="eastAsia" w:ascii="仿宋" w:hAnsi="仿宋" w:eastAsia="仿宋" w:cs="仿宋"/>
          <w:color w:val="auto"/>
          <w:sz w:val="24"/>
          <w:u w:val="single"/>
        </w:rPr>
        <w:t>0分</w:t>
      </w:r>
      <w:r>
        <w:rPr>
          <w:rFonts w:hint="eastAsia" w:ascii="仿宋" w:hAnsi="仿宋" w:eastAsia="仿宋" w:cs="仿宋"/>
          <w:color w:val="auto"/>
          <w:sz w:val="24"/>
        </w:rPr>
        <w:t>（北京时间）</w:t>
      </w:r>
    </w:p>
    <w:p w14:paraId="75EF72E0">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交易地点（网址）：</w:t>
      </w:r>
      <w:r>
        <w:rPr>
          <w:rFonts w:hint="eastAsia" w:ascii="仿宋" w:hAnsi="仿宋" w:eastAsia="仿宋" w:cs="仿宋"/>
          <w:color w:val="auto"/>
          <w:sz w:val="24"/>
        </w:rPr>
        <w:t xml:space="preserve">乐采云(萧采云)平台（https://www.zcygov.cn/） </w:t>
      </w:r>
    </w:p>
    <w:p w14:paraId="76486ADC">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交易时间：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年0</w:t>
      </w:r>
      <w:r>
        <w:rPr>
          <w:rFonts w:hint="eastAsia" w:ascii="仿宋" w:hAnsi="仿宋" w:eastAsia="仿宋" w:cs="仿宋"/>
          <w:color w:val="auto"/>
          <w:sz w:val="24"/>
          <w:u w:val="single"/>
          <w:lang w:val="en-US" w:eastAsia="zh-CN"/>
        </w:rPr>
        <w:t>6</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w:t>
      </w:r>
      <w:r>
        <w:rPr>
          <w:rFonts w:hint="eastAsia" w:ascii="仿宋" w:hAnsi="仿宋" w:eastAsia="仿宋" w:cs="仿宋"/>
          <w:color w:val="auto"/>
          <w:sz w:val="24"/>
          <w:u w:val="single"/>
        </w:rPr>
        <w:t>0分</w:t>
      </w:r>
    </w:p>
    <w:p w14:paraId="1E90491C">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交易地点（网址）：</w:t>
      </w:r>
      <w:r>
        <w:rPr>
          <w:rFonts w:hint="eastAsia" w:ascii="仿宋" w:hAnsi="仿宋" w:eastAsia="仿宋" w:cs="仿宋"/>
          <w:color w:val="auto"/>
          <w:sz w:val="24"/>
        </w:rPr>
        <w:t>乐采云(萧采云)平台（https://www.zcygov.cn/）</w:t>
      </w:r>
      <w:r>
        <w:rPr>
          <w:rFonts w:hint="eastAsia" w:ascii="仿宋" w:hAnsi="仿宋" w:eastAsia="仿宋" w:cs="仿宋"/>
          <w:color w:val="auto"/>
          <w:sz w:val="24"/>
          <w:highlight w:val="none"/>
        </w:rPr>
        <w:t>（杭州市萧山区新塘街道通货路365号杭州火车南站东广场产业园1栋902室）</w:t>
      </w:r>
      <w:r>
        <w:rPr>
          <w:rFonts w:hint="eastAsia" w:ascii="仿宋" w:hAnsi="仿宋" w:eastAsia="仿宋" w:cs="仿宋"/>
          <w:color w:val="auto"/>
          <w:sz w:val="24"/>
          <w:szCs w:val="28"/>
        </w:rPr>
        <w:t>。</w:t>
      </w:r>
    </w:p>
    <w:p w14:paraId="001ACB3F">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22934DC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自本公告发布之日起3日。</w:t>
      </w:r>
    </w:p>
    <w:p w14:paraId="29E831F7">
      <w:pPr>
        <w:spacing w:line="360" w:lineRule="auto"/>
        <w:rPr>
          <w:rFonts w:hint="eastAsia" w:ascii="仿宋" w:hAnsi="仿宋" w:eastAsia="仿宋" w:cs="仿宋"/>
          <w:b/>
          <w:color w:val="auto"/>
          <w:sz w:val="24"/>
        </w:rPr>
      </w:pPr>
      <w:r>
        <w:rPr>
          <w:rFonts w:hint="eastAsia" w:ascii="仿宋" w:hAnsi="仿宋" w:eastAsia="仿宋" w:cs="仿宋"/>
          <w:b/>
          <w:color w:val="auto"/>
          <w:sz w:val="24"/>
        </w:rPr>
        <w:t>六、其他补充事宜</w:t>
      </w:r>
    </w:p>
    <w:p w14:paraId="6154695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供应商认为交易标文件使自己的权益受到损害的，可以自获取交易文件之日或者交易文件公告期限届满之日（公告期限届满后获取交易文件的，以公告期限届满之日为准）起3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仿宋" w:hAnsi="仿宋" w:eastAsia="仿宋" w:cs="仿宋"/>
          <w:color w:val="auto"/>
          <w:sz w:val="24"/>
          <w:lang w:val="en-US" w:eastAsia="zh-CN"/>
        </w:rPr>
        <w:t>上级</w:t>
      </w:r>
      <w:r>
        <w:rPr>
          <w:rFonts w:hint="eastAsia" w:ascii="仿宋" w:hAnsi="仿宋" w:eastAsia="仿宋" w:cs="仿宋"/>
          <w:color w:val="auto"/>
          <w:sz w:val="24"/>
        </w:rPr>
        <w:t>管理部门投诉。质疑函范本、投诉书范本请到浙江政府采购网下载专区下载。</w:t>
      </w:r>
    </w:p>
    <w:p w14:paraId="7CC5261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其他事项：电子交易（招投标）的说明：①电子交易：本项目以数据电文形式，依托“政府采购云平台（www.zcygov.cn）”进行交易活动，不接受纸质响应文件；②交易准备：注册账号--点击“商家入驻”，进行政府采购供应商资料填写；申领CA数字证书---申领流程详见“浙江政府采购网-下载专区-电子交易客户端-CA驱动和申领流程”；安装“乐采云(萧采云)电子交易客户端”----前往“浙江政府采购网-下载专区-电子交易客户端”进行下载并安装；③交易（采购）文件的获取：使用账号登录或者使用CA登录乐采云(萧采云)平台；进入“项目采购”应用，在获取采购文件菜单中选择项目，获取交易文件；④响应文件的制作：在“乐采云(萧采云)电子交易客户端”中完成“填写基本信息”、“导入响应文件”、“标书关联”、“标书检查”、“电子签名”、“生成电子标书”等操作；⑤采购人、采购机构将依托乐采云(萧采云)平台完成本项目的电子交易活动，平台不接受未按上述方式获取交易文件的供应商进行交易活动； ⑥对未按上述方式获取交易文件的供应商对该文件提出的质疑，采购人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交易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乐采云(萧采云)平台“服务中心-帮助文档-项目采购-操作流程-电子招投标-政府采购项目电子交易管理操作指南-供应商”。</w:t>
      </w:r>
    </w:p>
    <w:p w14:paraId="1932DA52">
      <w:pPr>
        <w:spacing w:line="360" w:lineRule="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14:paraId="1BE6346C">
      <w:pPr>
        <w:widowControl/>
        <w:spacing w:line="360" w:lineRule="auto"/>
        <w:ind w:firstLine="480" w:firstLineChars="200"/>
        <w:jc w:val="left"/>
        <w:rPr>
          <w:rFonts w:hint="eastAsia" w:ascii="仿宋" w:hAnsi="仿宋" w:eastAsia="仿宋" w:cs="仿宋"/>
          <w:color w:val="auto"/>
          <w:sz w:val="24"/>
          <w:szCs w:val="28"/>
        </w:rPr>
      </w:pPr>
      <w:r>
        <w:rPr>
          <w:rFonts w:hint="eastAsia" w:ascii="仿宋" w:hAnsi="仿宋" w:eastAsia="仿宋" w:cs="仿宋"/>
          <w:color w:val="auto"/>
          <w:sz w:val="24"/>
          <w:szCs w:val="28"/>
        </w:rPr>
        <w:t>1.交易发起人信息</w:t>
      </w:r>
    </w:p>
    <w:p w14:paraId="2F92A04C">
      <w:pPr>
        <w:spacing w:line="360" w:lineRule="auto"/>
        <w:ind w:firstLine="480" w:firstLineChars="200"/>
        <w:jc w:val="left"/>
        <w:rPr>
          <w:rFonts w:hint="default" w:ascii="仿宋" w:hAnsi="仿宋" w:eastAsia="仿宋" w:cs="仿宋"/>
          <w:color w:val="auto"/>
          <w:sz w:val="24"/>
          <w:szCs w:val="28"/>
          <w:lang w:val="en-US" w:eastAsia="zh-CN"/>
        </w:rPr>
      </w:pPr>
      <w:r>
        <w:rPr>
          <w:rFonts w:hint="eastAsia" w:ascii="仿宋" w:hAnsi="仿宋" w:eastAsia="仿宋" w:cs="仿宋"/>
          <w:color w:val="auto"/>
          <w:sz w:val="24"/>
          <w:szCs w:val="28"/>
        </w:rPr>
        <w:t>名称：杭州市萧山区中医院医共体总院</w:t>
      </w:r>
    </w:p>
    <w:p w14:paraId="35954C7E">
      <w:pPr>
        <w:spacing w:line="360" w:lineRule="auto"/>
        <w:ind w:firstLine="480" w:firstLineChars="200"/>
        <w:jc w:val="left"/>
        <w:rPr>
          <w:rFonts w:hint="eastAsia" w:ascii="仿宋" w:hAnsi="仿宋" w:eastAsia="仿宋" w:cs="仿宋"/>
          <w:color w:val="auto"/>
          <w:sz w:val="24"/>
          <w:szCs w:val="28"/>
        </w:rPr>
      </w:pPr>
      <w:r>
        <w:rPr>
          <w:rFonts w:hint="eastAsia" w:ascii="仿宋" w:hAnsi="仿宋" w:eastAsia="仿宋" w:cs="仿宋"/>
          <w:color w:val="auto"/>
          <w:sz w:val="24"/>
          <w:szCs w:val="28"/>
        </w:rPr>
        <w:t>地址：</w:t>
      </w:r>
      <w:r>
        <w:rPr>
          <w:rFonts w:hint="eastAsia" w:ascii="仿宋" w:hAnsi="仿宋" w:eastAsia="仿宋" w:cs="仿宋"/>
          <w:color w:val="auto"/>
          <w:sz w:val="24"/>
          <w:szCs w:val="28"/>
          <w:highlight w:val="none"/>
        </w:rPr>
        <w:t>杭州市萧山区育才路152号</w:t>
      </w:r>
    </w:p>
    <w:p w14:paraId="44085630">
      <w:pPr>
        <w:spacing w:line="360" w:lineRule="auto"/>
        <w:ind w:firstLine="480" w:firstLineChars="200"/>
        <w:jc w:val="left"/>
        <w:rPr>
          <w:rFonts w:hint="eastAsia" w:ascii="仿宋" w:hAnsi="仿宋" w:eastAsia="仿宋" w:cs="仿宋"/>
          <w:color w:val="auto"/>
          <w:sz w:val="24"/>
          <w:szCs w:val="28"/>
          <w:lang w:val="en-US" w:eastAsia="zh-CN"/>
        </w:rPr>
      </w:pPr>
      <w:bookmarkStart w:id="12" w:name="_Toc28359009"/>
      <w:bookmarkStart w:id="13" w:name="_Toc28359086"/>
      <w:r>
        <w:rPr>
          <w:rFonts w:hint="eastAsia" w:ascii="仿宋" w:hAnsi="仿宋" w:eastAsia="仿宋" w:cs="仿宋"/>
          <w:color w:val="auto"/>
          <w:sz w:val="24"/>
          <w:szCs w:val="28"/>
          <w:lang w:val="en-US" w:eastAsia="zh-CN"/>
        </w:rPr>
        <w:t xml:space="preserve">项目联系人（询问）：徐亦生  </w:t>
      </w:r>
    </w:p>
    <w:p w14:paraId="1946AF5E">
      <w:pPr>
        <w:spacing w:line="360" w:lineRule="auto"/>
        <w:ind w:firstLine="480" w:firstLineChars="200"/>
        <w:jc w:val="left"/>
        <w:rPr>
          <w:rFonts w:hint="eastAsia" w:ascii="仿宋" w:hAnsi="仿宋" w:eastAsia="仿宋" w:cs="仿宋"/>
          <w:color w:val="auto"/>
          <w:sz w:val="24"/>
          <w:szCs w:val="28"/>
          <w:lang w:eastAsia="zh-CN"/>
        </w:rPr>
      </w:pPr>
      <w:r>
        <w:rPr>
          <w:rFonts w:hint="eastAsia" w:ascii="仿宋" w:hAnsi="仿宋" w:eastAsia="仿宋" w:cs="仿宋"/>
          <w:color w:val="auto"/>
          <w:sz w:val="24"/>
          <w:szCs w:val="28"/>
          <w:lang w:val="en-US" w:eastAsia="zh-CN"/>
        </w:rPr>
        <w:t xml:space="preserve">项目联系方式（询问）：0571-83812050 </w:t>
      </w:r>
    </w:p>
    <w:bookmarkEnd w:id="12"/>
    <w:bookmarkEnd w:id="13"/>
    <w:p w14:paraId="58878B2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5126A0B8">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名    称：华诚工程咨询集团有限公司</w:t>
      </w:r>
    </w:p>
    <w:p w14:paraId="5F75B581">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地    址：杭州市萧山区新塘街道通货路365号杭州火车南站东广场产业园1栋902室</w:t>
      </w:r>
    </w:p>
    <w:p w14:paraId="34198B1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传    真：/</w:t>
      </w:r>
    </w:p>
    <w:p w14:paraId="56B65B5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项目联系人（询问）：孔益平 </w:t>
      </w:r>
    </w:p>
    <w:p w14:paraId="68E9874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项目联系方式（询问）：15167164267</w:t>
      </w:r>
    </w:p>
    <w:p w14:paraId="2E28478A">
      <w:pPr>
        <w:spacing w:line="360" w:lineRule="auto"/>
        <w:ind w:firstLine="480" w:firstLineChars="200"/>
        <w:rPr>
          <w:rFonts w:hint="eastAsia" w:ascii="仿宋" w:hAnsi="仿宋" w:eastAsia="仿宋" w:cs="仿宋"/>
          <w:bCs/>
          <w:snapToGrid w:val="0"/>
          <w:color w:val="auto"/>
          <w:kern w:val="28"/>
          <w:sz w:val="24"/>
        </w:rPr>
      </w:pPr>
    </w:p>
    <w:p w14:paraId="7394B43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若对项目采购电子交易系统操作有疑问，可登录乐采云(萧采云)（https://www.zcygov.cn/），点击右侧咨询小采，获取采小蜜智能服务管家帮助，或拨打乐采云(萧采云)服务热线400-881-7190获取热线服务帮助。</w:t>
      </w:r>
    </w:p>
    <w:p w14:paraId="3A81A22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14:paraId="51470699">
      <w:pPr>
        <w:pStyle w:val="32"/>
        <w:spacing w:line="360" w:lineRule="auto"/>
        <w:ind w:firstLine="480" w:firstLineChars="200"/>
        <w:rPr>
          <w:rFonts w:hint="eastAsia" w:ascii="仿宋" w:hAnsi="仿宋" w:eastAsia="仿宋" w:cs="仿宋"/>
          <w:color w:val="auto"/>
          <w:sz w:val="24"/>
          <w:szCs w:val="24"/>
        </w:rPr>
      </w:pPr>
    </w:p>
    <w:p w14:paraId="586540A0">
      <w:pPr>
        <w:rPr>
          <w:rFonts w:hint="eastAsia" w:ascii="仿宋" w:hAnsi="仿宋" w:eastAsia="仿宋" w:cs="仿宋"/>
          <w:b/>
          <w:color w:val="auto"/>
          <w:sz w:val="36"/>
          <w:szCs w:val="20"/>
        </w:rPr>
      </w:pPr>
      <w:bookmarkStart w:id="392" w:name="_GoBack"/>
      <w:bookmarkEnd w:id="392"/>
      <w:r>
        <w:rPr>
          <w:rFonts w:hint="eastAsia" w:ascii="仿宋" w:hAnsi="仿宋" w:eastAsia="仿宋" w:cs="仿宋"/>
          <w:b/>
          <w:color w:val="auto"/>
          <w:sz w:val="36"/>
          <w:szCs w:val="20"/>
        </w:rPr>
        <w:br w:type="page"/>
      </w:r>
    </w:p>
    <w:p w14:paraId="43C1218B">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第二部分</w:t>
      </w:r>
      <w:bookmarkEnd w:id="8"/>
      <w:r>
        <w:rPr>
          <w:rFonts w:hint="eastAsia" w:ascii="仿宋" w:hAnsi="仿宋" w:eastAsia="仿宋" w:cs="仿宋"/>
          <w:b/>
          <w:color w:val="auto"/>
          <w:sz w:val="36"/>
          <w:szCs w:val="20"/>
        </w:rPr>
        <w:t xml:space="preserve"> 供应商须知</w:t>
      </w:r>
      <w:bookmarkEnd w:id="9"/>
    </w:p>
    <w:p w14:paraId="6FAB645B">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4"/>
        <w:tblW w:w="869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25"/>
      </w:tblGrid>
      <w:tr w14:paraId="529DE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1" w:hRule="atLeast"/>
        </w:trPr>
        <w:tc>
          <w:tcPr>
            <w:tcW w:w="629" w:type="dxa"/>
            <w:tcBorders>
              <w:top w:val="single" w:color="auto" w:sz="4" w:space="0"/>
              <w:left w:val="single" w:color="auto" w:sz="4" w:space="0"/>
              <w:bottom w:val="single" w:color="auto" w:sz="4" w:space="0"/>
              <w:right w:val="single" w:color="auto" w:sz="4" w:space="0"/>
            </w:tcBorders>
            <w:vAlign w:val="center"/>
          </w:tcPr>
          <w:p w14:paraId="615F2F41">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1DD9FEF">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事项</w:t>
            </w:r>
          </w:p>
        </w:tc>
        <w:tc>
          <w:tcPr>
            <w:tcW w:w="6225" w:type="dxa"/>
            <w:tcBorders>
              <w:top w:val="single" w:color="000000" w:sz="8" w:space="0"/>
              <w:left w:val="single" w:color="000000" w:sz="2" w:space="0"/>
              <w:bottom w:val="single" w:color="000000" w:sz="8" w:space="0"/>
              <w:right w:val="single" w:color="000000" w:sz="8" w:space="0"/>
            </w:tcBorders>
            <w:vAlign w:val="center"/>
          </w:tcPr>
          <w:p w14:paraId="7C98D996">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14:paraId="5F5172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4029E13F">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2BEF7A3">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1AD40684">
            <w:pPr>
              <w:pageBreakBefore w:val="0"/>
              <w:kinsoku/>
              <w:wordWrap/>
              <w:overflowPunct/>
              <w:topLinePunct w:val="0"/>
              <w:autoSpaceDE/>
              <w:autoSpaceDN/>
              <w:bidi w:val="0"/>
              <w:spacing w:line="420" w:lineRule="exact"/>
              <w:textAlignment w:val="auto"/>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b/>
                <w:color w:val="auto"/>
                <w:sz w:val="24"/>
              </w:rPr>
              <w:t>√</w:t>
            </w:r>
            <w:r>
              <w:rPr>
                <w:rFonts w:hint="eastAsia" w:ascii="仿宋" w:hAnsi="仿宋" w:eastAsia="仿宋" w:cs="仿宋"/>
                <w:color w:val="auto"/>
                <w:kern w:val="0"/>
                <w:sz w:val="24"/>
              </w:rPr>
              <w:t>)B</w:t>
            </w:r>
            <w:r>
              <w:rPr>
                <w:rFonts w:hint="eastAsia" w:ascii="仿宋" w:hAnsi="仿宋" w:eastAsia="仿宋" w:cs="仿宋"/>
                <w:color w:val="auto"/>
                <w:sz w:val="24"/>
                <w:lang w:val="en-US" w:eastAsia="zh-CN"/>
              </w:rPr>
              <w:t>货物</w:t>
            </w:r>
            <w:r>
              <w:rPr>
                <w:rFonts w:hint="eastAsia" w:ascii="仿宋" w:hAnsi="仿宋" w:eastAsia="仿宋" w:cs="仿宋"/>
                <w:color w:val="auto"/>
                <w:sz w:val="24"/>
              </w:rPr>
              <w:t>类。</w:t>
            </w:r>
          </w:p>
        </w:tc>
      </w:tr>
      <w:tr w14:paraId="464CB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300F4A2F">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DD2685C">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225" w:type="dxa"/>
            <w:tcBorders>
              <w:top w:val="single" w:color="000000" w:sz="8" w:space="0"/>
              <w:left w:val="single" w:color="000000" w:sz="2" w:space="0"/>
              <w:bottom w:val="single" w:color="000000" w:sz="8" w:space="0"/>
              <w:right w:val="single" w:color="000000" w:sz="8" w:space="0"/>
            </w:tcBorders>
            <w:vAlign w:val="center"/>
          </w:tcPr>
          <w:p w14:paraId="2CFCB626">
            <w:pPr>
              <w:pageBreakBefore w:val="0"/>
              <w:kinsoku/>
              <w:wordWrap/>
              <w:overflowPunct/>
              <w:topLinePunct w:val="0"/>
              <w:autoSpaceDE/>
              <w:autoSpaceDN/>
              <w:bidi w:val="0"/>
              <w:spacing w:line="420" w:lineRule="exact"/>
              <w:textAlignment w:val="auto"/>
              <w:rPr>
                <w:rFonts w:hint="eastAsia" w:ascii="仿宋" w:hAnsi="仿宋" w:eastAsia="仿宋" w:cs="仿宋"/>
                <w:color w:val="auto"/>
                <w:lang w:eastAsia="zh-CN"/>
              </w:rPr>
            </w:pPr>
            <w:r>
              <w:rPr>
                <w:rFonts w:hint="eastAsia" w:ascii="仿宋" w:hAnsi="仿宋" w:eastAsia="仿宋" w:cs="仿宋"/>
                <w:color w:val="auto"/>
                <w:sz w:val="24"/>
                <w:lang w:val="en-US" w:eastAsia="zh-CN"/>
              </w:rPr>
              <w:t>/</w:t>
            </w:r>
          </w:p>
        </w:tc>
      </w:tr>
      <w:tr w14:paraId="49EF3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636B0173">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C444D4C">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2C955BB5">
            <w:pPr>
              <w:pStyle w:val="3"/>
              <w:pageBreakBefore w:val="0"/>
              <w:kinsoku/>
              <w:wordWrap/>
              <w:overflowPunct/>
              <w:topLinePunct w:val="0"/>
              <w:autoSpaceDE/>
              <w:autoSpaceDN/>
              <w:bidi w:val="0"/>
              <w:spacing w:line="420" w:lineRule="exact"/>
              <w:ind w:left="0" w:leftChars="0" w:firstLine="0" w:firstLineChars="0"/>
              <w:textAlignment w:val="auto"/>
              <w:rPr>
                <w:rFonts w:hint="eastAsia" w:ascii="仿宋" w:hAnsi="仿宋" w:eastAsia="仿宋" w:cs="仿宋"/>
                <w:color w:val="auto"/>
              </w:rPr>
            </w:pPr>
            <w:r>
              <w:rPr>
                <w:rFonts w:hint="eastAsia" w:ascii="仿宋" w:hAnsi="仿宋" w:eastAsia="仿宋" w:cs="仿宋"/>
                <w:color w:val="auto"/>
                <w:kern w:val="0"/>
              </w:rPr>
              <w:t>(</w:t>
            </w:r>
            <w:r>
              <w:rPr>
                <w:rFonts w:hint="eastAsia" w:ascii="仿宋" w:hAnsi="仿宋" w:eastAsia="仿宋" w:cs="仿宋"/>
                <w:b/>
                <w:color w:val="auto"/>
              </w:rPr>
              <w:t xml:space="preserve">√ </w:t>
            </w:r>
            <w:r>
              <w:rPr>
                <w:rFonts w:hint="eastAsia" w:ascii="仿宋" w:hAnsi="仿宋" w:eastAsia="仿宋" w:cs="仿宋"/>
                <w:color w:val="auto"/>
                <w:kern w:val="0"/>
              </w:rPr>
              <w:t>)</w:t>
            </w:r>
            <w:r>
              <w:rPr>
                <w:rFonts w:hint="eastAsia" w:ascii="仿宋" w:hAnsi="仿宋" w:eastAsia="仿宋" w:cs="仿宋"/>
                <w:color w:val="auto"/>
              </w:rPr>
              <w:t>本项目不允许采购进口产品。</w:t>
            </w:r>
          </w:p>
        </w:tc>
      </w:tr>
      <w:tr w14:paraId="56AE5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49F6B80C">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AB40E0A">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225" w:type="dxa"/>
            <w:tcBorders>
              <w:top w:val="single" w:color="000000" w:sz="8" w:space="0"/>
              <w:left w:val="single" w:color="000000" w:sz="2" w:space="0"/>
              <w:bottom w:val="single" w:color="000000" w:sz="8" w:space="0"/>
              <w:right w:val="single" w:color="000000" w:sz="8" w:space="0"/>
            </w:tcBorders>
            <w:vAlign w:val="center"/>
          </w:tcPr>
          <w:p w14:paraId="59853973">
            <w:pPr>
              <w:pageBreakBefore w:val="0"/>
              <w:kinsoku/>
              <w:wordWrap/>
              <w:overflowPunct/>
              <w:topLinePunct w:val="0"/>
              <w:autoSpaceDE/>
              <w:autoSpaceDN/>
              <w:bidi w:val="0"/>
              <w:snapToGrid w:val="0"/>
              <w:spacing w:line="42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27A61FD5">
            <w:pPr>
              <w:pageBreakBefore w:val="0"/>
              <w:kinsoku/>
              <w:wordWrap/>
              <w:overflowPunct/>
              <w:topLinePunct w:val="0"/>
              <w:autoSpaceDE/>
              <w:autoSpaceDN/>
              <w:bidi w:val="0"/>
              <w:spacing w:line="42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2DCFE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4AC541AB">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0F9F0BE">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交易前答疑会或现场考察</w:t>
            </w:r>
          </w:p>
        </w:tc>
        <w:tc>
          <w:tcPr>
            <w:tcW w:w="6225" w:type="dxa"/>
            <w:tcBorders>
              <w:top w:val="single" w:color="000000" w:sz="8" w:space="0"/>
              <w:left w:val="single" w:color="000000" w:sz="2" w:space="0"/>
              <w:bottom w:val="single" w:color="000000" w:sz="8" w:space="0"/>
              <w:right w:val="single" w:color="000000" w:sz="8" w:space="0"/>
            </w:tcBorders>
            <w:vAlign w:val="center"/>
          </w:tcPr>
          <w:p w14:paraId="665FB885">
            <w:pPr>
              <w:pageBreakBefore w:val="0"/>
              <w:kinsoku/>
              <w:wordWrap/>
              <w:overflowPunct/>
              <w:topLinePunct w:val="0"/>
              <w:autoSpaceDE/>
              <w:autoSpaceDN/>
              <w:bidi w:val="0"/>
              <w:spacing w:line="420" w:lineRule="exact"/>
              <w:textAlignment w:val="auto"/>
              <w:rPr>
                <w:rFonts w:hint="eastAsia" w:ascii="仿宋" w:hAnsi="仿宋" w:eastAsia="仿宋" w:cs="仿宋"/>
                <w:color w:val="auto"/>
                <w:sz w:val="24"/>
                <w:szCs w:val="20"/>
              </w:rPr>
            </w:pPr>
            <w:r>
              <w:rPr>
                <w:rFonts w:hint="eastAsia" w:ascii="仿宋" w:hAnsi="仿宋" w:eastAsia="仿宋" w:cs="仿宋"/>
                <w:b/>
                <w:color w:val="auto"/>
                <w:sz w:val="24"/>
              </w:rPr>
              <w:t>（√）</w:t>
            </w:r>
            <w:r>
              <w:rPr>
                <w:rFonts w:hint="eastAsia" w:ascii="仿宋" w:hAnsi="仿宋" w:eastAsia="仿宋" w:cs="仿宋"/>
                <w:color w:val="auto"/>
                <w:kern w:val="0"/>
                <w:sz w:val="24"/>
              </w:rPr>
              <w:t>A</w:t>
            </w:r>
            <w:r>
              <w:rPr>
                <w:rFonts w:hint="eastAsia" w:ascii="仿宋" w:hAnsi="仿宋" w:eastAsia="仿宋" w:cs="仿宋"/>
                <w:color w:val="auto"/>
                <w:sz w:val="24"/>
              </w:rPr>
              <w:t>不组织。</w:t>
            </w:r>
          </w:p>
        </w:tc>
      </w:tr>
      <w:tr w14:paraId="153BE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6" w:hRule="atLeast"/>
        </w:trPr>
        <w:tc>
          <w:tcPr>
            <w:tcW w:w="629" w:type="dxa"/>
            <w:tcBorders>
              <w:top w:val="single" w:color="auto" w:sz="4" w:space="0"/>
              <w:left w:val="single" w:color="auto" w:sz="4" w:space="0"/>
              <w:bottom w:val="single" w:color="auto" w:sz="4" w:space="0"/>
              <w:right w:val="single" w:color="auto" w:sz="4" w:space="0"/>
            </w:tcBorders>
            <w:vAlign w:val="center"/>
          </w:tcPr>
          <w:p w14:paraId="5D442588">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EE1D898">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225" w:type="dxa"/>
            <w:tcBorders>
              <w:top w:val="single" w:color="000000" w:sz="8" w:space="0"/>
              <w:left w:val="single" w:color="000000" w:sz="2" w:space="0"/>
              <w:bottom w:val="single" w:color="000000" w:sz="8" w:space="0"/>
              <w:right w:val="single" w:color="000000" w:sz="8" w:space="0"/>
            </w:tcBorders>
            <w:vAlign w:val="center"/>
          </w:tcPr>
          <w:p w14:paraId="26E9F147">
            <w:pPr>
              <w:pageBreakBefore w:val="0"/>
              <w:kinsoku/>
              <w:wordWrap/>
              <w:overflowPunct/>
              <w:topLinePunct w:val="0"/>
              <w:autoSpaceDE/>
              <w:autoSpaceDN/>
              <w:bidi w:val="0"/>
              <w:spacing w:line="420" w:lineRule="exact"/>
              <w:textAlignment w:val="auto"/>
              <w:rPr>
                <w:rFonts w:hint="eastAsia" w:ascii="仿宋" w:hAnsi="仿宋" w:eastAsia="仿宋" w:cs="仿宋"/>
                <w:b/>
                <w:color w:val="auto"/>
                <w:sz w:val="24"/>
              </w:rPr>
            </w:pPr>
            <w:r>
              <w:rPr>
                <w:rFonts w:hint="eastAsia" w:ascii="仿宋" w:hAnsi="仿宋" w:eastAsia="仿宋" w:cs="仿宋"/>
                <w:bCs/>
                <w:color w:val="auto"/>
                <w:sz w:val="24"/>
              </w:rPr>
              <w:t>（</w:t>
            </w:r>
            <w:r>
              <w:rPr>
                <w:rFonts w:hint="eastAsia" w:ascii="仿宋" w:hAnsi="仿宋" w:eastAsia="仿宋" w:cs="仿宋"/>
                <w:b/>
                <w:color w:val="auto"/>
                <w:sz w:val="24"/>
              </w:rPr>
              <w:t>√</w:t>
            </w:r>
            <w:r>
              <w:rPr>
                <w:rFonts w:hint="eastAsia" w:ascii="仿宋" w:hAnsi="仿宋" w:eastAsia="仿宋" w:cs="仿宋"/>
                <w:bCs/>
                <w:color w:val="auto"/>
                <w:sz w:val="24"/>
              </w:rPr>
              <w:t>）A不要求提供。</w:t>
            </w:r>
          </w:p>
        </w:tc>
      </w:tr>
      <w:tr w14:paraId="24627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1" w:hRule="atLeast"/>
        </w:trPr>
        <w:tc>
          <w:tcPr>
            <w:tcW w:w="629" w:type="dxa"/>
            <w:tcBorders>
              <w:top w:val="single" w:color="auto" w:sz="4" w:space="0"/>
              <w:left w:val="single" w:color="auto" w:sz="4" w:space="0"/>
              <w:bottom w:val="single" w:color="auto" w:sz="4" w:space="0"/>
              <w:right w:val="single" w:color="auto" w:sz="4" w:space="0"/>
            </w:tcBorders>
            <w:vAlign w:val="center"/>
          </w:tcPr>
          <w:p w14:paraId="044D3897">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0A2B672">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225" w:type="dxa"/>
            <w:tcBorders>
              <w:top w:val="single" w:color="000000" w:sz="8" w:space="0"/>
              <w:left w:val="single" w:color="000000" w:sz="2" w:space="0"/>
              <w:bottom w:val="single" w:color="000000" w:sz="8" w:space="0"/>
              <w:right w:val="single" w:color="000000" w:sz="8" w:space="0"/>
            </w:tcBorders>
            <w:vAlign w:val="center"/>
          </w:tcPr>
          <w:p w14:paraId="2BB24A27">
            <w:pPr>
              <w:pageBreakBefore w:val="0"/>
              <w:kinsoku/>
              <w:wordWrap/>
              <w:overflowPunct/>
              <w:topLinePunct w:val="0"/>
              <w:autoSpaceDE/>
              <w:autoSpaceDN/>
              <w:bidi w:val="0"/>
              <w:spacing w:line="420" w:lineRule="exact"/>
              <w:textAlignment w:val="auto"/>
              <w:rPr>
                <w:rFonts w:hint="eastAsia" w:ascii="仿宋" w:hAnsi="仿宋" w:eastAsia="仿宋" w:cs="仿宋"/>
                <w:b/>
                <w:color w:val="auto"/>
                <w:kern w:val="0"/>
                <w:sz w:val="24"/>
                <w:lang w:val="zh-CN"/>
              </w:rPr>
            </w:pPr>
            <w:r>
              <w:rPr>
                <w:rFonts w:hint="eastAsia" w:ascii="仿宋" w:hAnsi="仿宋" w:eastAsia="仿宋" w:cs="仿宋"/>
                <w:b/>
                <w:color w:val="auto"/>
                <w:sz w:val="24"/>
              </w:rPr>
              <w:t>（√）</w:t>
            </w:r>
            <w:r>
              <w:rPr>
                <w:rFonts w:hint="eastAsia" w:ascii="仿宋" w:hAnsi="仿宋" w:eastAsia="仿宋" w:cs="仿宋"/>
                <w:color w:val="auto"/>
                <w:kern w:val="0"/>
                <w:sz w:val="24"/>
              </w:rPr>
              <w:t>A</w:t>
            </w:r>
            <w:r>
              <w:rPr>
                <w:rFonts w:hint="eastAsia" w:ascii="仿宋" w:hAnsi="仿宋" w:eastAsia="仿宋" w:cs="仿宋"/>
                <w:color w:val="auto"/>
                <w:sz w:val="24"/>
              </w:rPr>
              <w:t>不组织。</w:t>
            </w:r>
          </w:p>
        </w:tc>
      </w:tr>
      <w:tr w14:paraId="20686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restart"/>
            <w:tcBorders>
              <w:top w:val="single" w:color="auto" w:sz="4" w:space="0"/>
              <w:left w:val="single" w:color="auto" w:sz="4" w:space="0"/>
              <w:right w:val="single" w:color="auto" w:sz="4" w:space="0"/>
            </w:tcBorders>
            <w:vAlign w:val="center"/>
          </w:tcPr>
          <w:p w14:paraId="4506057E">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50DCB02E">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供应商应当提供的资格、资信证明文件</w:t>
            </w:r>
          </w:p>
        </w:tc>
        <w:tc>
          <w:tcPr>
            <w:tcW w:w="6225" w:type="dxa"/>
            <w:tcBorders>
              <w:top w:val="single" w:color="000000" w:sz="8" w:space="0"/>
              <w:left w:val="single" w:color="000000" w:sz="2" w:space="0"/>
              <w:bottom w:val="single" w:color="auto" w:sz="4" w:space="0"/>
              <w:right w:val="single" w:color="000000" w:sz="8" w:space="0"/>
            </w:tcBorders>
            <w:vAlign w:val="center"/>
          </w:tcPr>
          <w:p w14:paraId="2CA56DB1">
            <w:pPr>
              <w:pageBreakBefore w:val="0"/>
              <w:kinsoku/>
              <w:wordWrap/>
              <w:overflowPunct/>
              <w:topLinePunct w:val="0"/>
              <w:autoSpaceDE/>
              <w:autoSpaceDN/>
              <w:bidi w:val="0"/>
              <w:spacing w:line="420" w:lineRule="exact"/>
              <w:textAlignment w:val="auto"/>
              <w:rPr>
                <w:rFonts w:hint="eastAsia" w:ascii="仿宋" w:hAnsi="仿宋" w:eastAsia="仿宋" w:cs="仿宋"/>
                <w:color w:val="auto"/>
                <w:sz w:val="24"/>
              </w:rPr>
            </w:pPr>
            <w:r>
              <w:rPr>
                <w:rFonts w:hint="eastAsia" w:ascii="仿宋" w:hAnsi="仿宋" w:eastAsia="仿宋" w:cs="仿宋"/>
                <w:color w:val="auto"/>
                <w:sz w:val="24"/>
              </w:rPr>
              <w:t>（1）资格证明文件：见交易文件第二部分11.1。</w:t>
            </w:r>
          </w:p>
          <w:p w14:paraId="43BF14B0">
            <w:pPr>
              <w:pageBreakBefore w:val="0"/>
              <w:kinsoku/>
              <w:wordWrap/>
              <w:overflowPunct/>
              <w:topLinePunct w:val="0"/>
              <w:autoSpaceDE/>
              <w:autoSpaceDN/>
              <w:bidi w:val="0"/>
              <w:spacing w:line="420" w:lineRule="exact"/>
              <w:textAlignment w:val="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供应商未提供有效的资格证明文件的，视为供应商不具备交易文件中规定的资格要求，响应无效。</w:t>
            </w:r>
          </w:p>
        </w:tc>
      </w:tr>
      <w:tr w14:paraId="4A654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3" w:hRule="atLeast"/>
        </w:trPr>
        <w:tc>
          <w:tcPr>
            <w:tcW w:w="629" w:type="dxa"/>
            <w:vMerge w:val="continue"/>
            <w:tcBorders>
              <w:left w:val="single" w:color="auto" w:sz="4" w:space="0"/>
              <w:bottom w:val="single" w:color="auto" w:sz="4" w:space="0"/>
              <w:right w:val="single" w:color="auto" w:sz="4" w:space="0"/>
            </w:tcBorders>
            <w:vAlign w:val="center"/>
          </w:tcPr>
          <w:p w14:paraId="46B5E4B0">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77688D8B">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p>
        </w:tc>
        <w:tc>
          <w:tcPr>
            <w:tcW w:w="6225" w:type="dxa"/>
            <w:tcBorders>
              <w:top w:val="single" w:color="auto" w:sz="4" w:space="0"/>
              <w:left w:val="single" w:color="000000" w:sz="2" w:space="0"/>
              <w:bottom w:val="single" w:color="000000" w:sz="8" w:space="0"/>
              <w:right w:val="single" w:color="000000" w:sz="8" w:space="0"/>
            </w:tcBorders>
            <w:vAlign w:val="center"/>
          </w:tcPr>
          <w:p w14:paraId="769CFDB9">
            <w:pPr>
              <w:pageBreakBefore w:val="0"/>
              <w:kinsoku/>
              <w:wordWrap/>
              <w:overflowPunct/>
              <w:topLinePunct w:val="0"/>
              <w:autoSpaceDE/>
              <w:autoSpaceDN/>
              <w:bidi w:val="0"/>
              <w:spacing w:line="420" w:lineRule="exact"/>
              <w:textAlignment w:val="auto"/>
              <w:rPr>
                <w:rFonts w:hint="eastAsia" w:ascii="仿宋" w:hAnsi="仿宋" w:eastAsia="仿宋" w:cs="仿宋"/>
                <w:color w:val="auto"/>
                <w:sz w:val="24"/>
              </w:rPr>
            </w:pPr>
            <w:r>
              <w:rPr>
                <w:rFonts w:hint="eastAsia" w:ascii="仿宋" w:hAnsi="仿宋" w:eastAsia="仿宋" w:cs="仿宋"/>
                <w:color w:val="auto"/>
                <w:sz w:val="24"/>
              </w:rPr>
              <w:t>（2）资信证明文件：根据交易文件第四部分评审标准提供。</w:t>
            </w:r>
          </w:p>
        </w:tc>
      </w:tr>
      <w:tr w14:paraId="6341E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7D59FD6">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8949AAF">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Cs/>
                <w:color w:val="auto"/>
                <w:sz w:val="24"/>
              </w:rPr>
            </w:pPr>
            <w:r>
              <w:rPr>
                <w:rFonts w:hint="eastAsia" w:ascii="仿宋" w:hAnsi="仿宋" w:eastAsia="仿宋" w:cs="仿宋"/>
                <w:b/>
                <w:color w:val="auto"/>
                <w:sz w:val="24"/>
              </w:rPr>
              <w:t>报价要求</w:t>
            </w:r>
          </w:p>
        </w:tc>
        <w:tc>
          <w:tcPr>
            <w:tcW w:w="6225" w:type="dxa"/>
            <w:tcBorders>
              <w:top w:val="single" w:color="000000" w:sz="8" w:space="0"/>
              <w:left w:val="single" w:color="000000" w:sz="2" w:space="0"/>
              <w:bottom w:val="single" w:color="000000" w:sz="8" w:space="0"/>
              <w:right w:val="single" w:color="000000" w:sz="8" w:space="0"/>
            </w:tcBorders>
            <w:vAlign w:val="center"/>
          </w:tcPr>
          <w:p w14:paraId="1E33A9BC">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Cs/>
                <w:color w:val="auto"/>
                <w:kern w:val="0"/>
                <w:sz w:val="24"/>
                <w:lang w:val="zh-CN"/>
              </w:rPr>
            </w:pPr>
            <w:r>
              <w:rPr>
                <w:rFonts w:hint="eastAsia" w:ascii="仿宋" w:hAnsi="仿宋" w:eastAsia="仿宋" w:cs="仿宋"/>
                <w:bCs/>
                <w:color w:val="auto"/>
                <w:kern w:val="0"/>
                <w:sz w:val="24"/>
                <w:lang w:val="zh-CN"/>
              </w:rPr>
              <w:t>有关本项目实施所需的所有费用（含税费）均计入报价。</w:t>
            </w:r>
            <w:r>
              <w:rPr>
                <w:rFonts w:hint="eastAsia" w:ascii="仿宋" w:hAnsi="仿宋" w:eastAsia="仿宋" w:cs="仿宋"/>
                <w:bCs/>
                <w:color w:val="auto"/>
                <w:kern w:val="0"/>
                <w:sz w:val="24"/>
              </w:rPr>
              <w:t>交易一览表（报价表）是报价的唯一载体</w:t>
            </w:r>
            <w:r>
              <w:rPr>
                <w:rFonts w:hint="eastAsia" w:ascii="仿宋" w:hAnsi="仿宋" w:eastAsia="仿宋" w:cs="仿宋"/>
                <w:bCs/>
                <w:color w:val="auto"/>
                <w:kern w:val="0"/>
                <w:sz w:val="24"/>
                <w:lang w:val="zh-CN"/>
              </w:rPr>
              <w:t>。响应文件中价格全部采用人民币报价。交易文件未列明，而供应商认为必需的费用也需列入报价。</w:t>
            </w:r>
          </w:p>
          <w:p w14:paraId="455E751F">
            <w:pPr>
              <w:pageBreakBefore w:val="0"/>
              <w:kinsoku/>
              <w:wordWrap/>
              <w:overflowPunct/>
              <w:topLinePunct w:val="0"/>
              <w:autoSpaceDE/>
              <w:autoSpaceDN/>
              <w:bidi w:val="0"/>
              <w:spacing w:line="420" w:lineRule="exact"/>
              <w:textAlignment w:val="auto"/>
              <w:rPr>
                <w:rFonts w:hint="eastAsia" w:ascii="仿宋" w:hAnsi="仿宋" w:eastAsia="仿宋" w:cs="仿宋"/>
                <w:bCs/>
                <w:color w:val="auto"/>
                <w:kern w:val="0"/>
                <w:sz w:val="24"/>
                <w:lang w:val="zh-CN"/>
              </w:rPr>
            </w:pPr>
            <w:r>
              <w:rPr>
                <w:rFonts w:hint="eastAsia" w:ascii="仿宋" w:hAnsi="仿宋" w:eastAsia="仿宋" w:cs="仿宋"/>
                <w:bCs/>
                <w:color w:val="auto"/>
                <w:kern w:val="0"/>
                <w:sz w:val="24"/>
                <w:lang w:val="zh-CN"/>
              </w:rPr>
              <w:t>响应报价出现下列情形的，响应无效：</w:t>
            </w:r>
          </w:p>
          <w:p w14:paraId="639AA913">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Cs/>
                <w:color w:val="auto"/>
                <w:kern w:val="0"/>
                <w:sz w:val="24"/>
                <w:lang w:val="zh-CN"/>
              </w:rPr>
            </w:pPr>
            <w:r>
              <w:rPr>
                <w:rFonts w:hint="eastAsia" w:ascii="仿宋" w:hAnsi="仿宋" w:eastAsia="仿宋" w:cs="仿宋"/>
                <w:bCs/>
                <w:color w:val="auto"/>
                <w:kern w:val="0"/>
                <w:sz w:val="24"/>
                <w:lang w:val="zh-CN"/>
              </w:rPr>
              <w:t>响应文件出现不是唯一的、有选择性响应报价的；</w:t>
            </w:r>
          </w:p>
          <w:p w14:paraId="5A7BBA06">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Cs/>
                <w:color w:val="auto"/>
                <w:kern w:val="0"/>
                <w:sz w:val="24"/>
                <w:lang w:val="zh-CN"/>
              </w:rPr>
            </w:pPr>
            <w:r>
              <w:rPr>
                <w:rFonts w:hint="eastAsia" w:ascii="仿宋" w:hAnsi="仿宋" w:eastAsia="仿宋" w:cs="仿宋"/>
                <w:bCs/>
                <w:color w:val="auto"/>
                <w:kern w:val="0"/>
                <w:sz w:val="24"/>
                <w:lang w:val="zh-CN"/>
              </w:rPr>
              <w:t>响应报价超过交易文件中规定的预算金额或者最高限价的；</w:t>
            </w:r>
          </w:p>
          <w:p w14:paraId="6DB06944">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Cs/>
                <w:color w:val="auto"/>
                <w:kern w:val="0"/>
                <w:sz w:val="24"/>
              </w:rPr>
            </w:pPr>
            <w:r>
              <w:rPr>
                <w:rFonts w:hint="eastAsia" w:ascii="仿宋" w:hAnsi="仿宋" w:eastAsia="仿宋" w:cs="仿宋"/>
                <w:bCs/>
                <w:color w:val="auto"/>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Cs/>
                <w:color w:val="auto"/>
                <w:kern w:val="0"/>
                <w:sz w:val="24"/>
                <w:lang w:val="zh-CN"/>
              </w:rPr>
              <w:t>；</w:t>
            </w:r>
          </w:p>
          <w:p w14:paraId="34FC14FA">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Cs/>
                <w:color w:val="auto"/>
                <w:kern w:val="0"/>
                <w:sz w:val="24"/>
              </w:rPr>
            </w:pPr>
            <w:r>
              <w:rPr>
                <w:rFonts w:hint="eastAsia" w:ascii="仿宋" w:hAnsi="仿宋" w:eastAsia="仿宋" w:cs="仿宋"/>
                <w:bCs/>
                <w:color w:val="auto"/>
                <w:kern w:val="0"/>
                <w:sz w:val="24"/>
              </w:rPr>
              <w:t>供应商对根据修正原则修正后的报价不确认的。</w:t>
            </w:r>
          </w:p>
          <w:p w14:paraId="55AA4FE4">
            <w:pPr>
              <w:pageBreakBefore w:val="0"/>
              <w:kinsoku/>
              <w:wordWrap/>
              <w:overflowPunct/>
              <w:topLinePunct w:val="0"/>
              <w:autoSpaceDE/>
              <w:autoSpaceDN/>
              <w:bidi w:val="0"/>
              <w:spacing w:line="420" w:lineRule="exact"/>
              <w:ind w:firstLine="480" w:firstLineChars="200"/>
              <w:textAlignment w:val="auto"/>
              <w:rPr>
                <w:rFonts w:hint="eastAsia" w:ascii="仿宋" w:hAnsi="仿宋" w:eastAsia="仿宋" w:cs="仿宋"/>
                <w:bCs/>
                <w:color w:val="auto"/>
              </w:rPr>
            </w:pPr>
            <w:r>
              <w:rPr>
                <w:rFonts w:hint="eastAsia" w:ascii="仿宋" w:hAnsi="仿宋" w:eastAsia="仿宋" w:cs="仿宋"/>
                <w:bCs/>
                <w:color w:val="auto"/>
                <w:kern w:val="0"/>
                <w:sz w:val="24"/>
              </w:rPr>
              <w:t>资格文件、商务技术文件与报价文件未分开制作</w:t>
            </w:r>
            <w:r>
              <w:rPr>
                <w:rFonts w:hint="eastAsia" w:ascii="仿宋" w:hAnsi="仿宋" w:eastAsia="仿宋" w:cs="仿宋"/>
                <w:bCs/>
                <w:color w:val="auto"/>
                <w:sz w:val="24"/>
              </w:rPr>
              <w:t>。</w:t>
            </w:r>
          </w:p>
        </w:tc>
      </w:tr>
      <w:tr w14:paraId="586F7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4543F29">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AE70EA6">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备份响应文件</w:t>
            </w:r>
          </w:p>
        </w:tc>
        <w:tc>
          <w:tcPr>
            <w:tcW w:w="6225" w:type="dxa"/>
            <w:tcBorders>
              <w:top w:val="single" w:color="000000" w:sz="8" w:space="0"/>
              <w:left w:val="single" w:color="000000" w:sz="2" w:space="0"/>
              <w:bottom w:val="single" w:color="000000" w:sz="8" w:space="0"/>
              <w:right w:val="single" w:color="000000" w:sz="8" w:space="0"/>
            </w:tcBorders>
            <w:vAlign w:val="center"/>
          </w:tcPr>
          <w:p w14:paraId="40C138EE">
            <w:pPr>
              <w:pStyle w:val="32"/>
              <w:pageBreakBefore w:val="0"/>
              <w:kinsoku/>
              <w:wordWrap/>
              <w:overflowPunct/>
              <w:topLinePunct w:val="0"/>
              <w:autoSpaceDE/>
              <w:autoSpaceDN/>
              <w:bidi w:val="0"/>
              <w:spacing w:line="420" w:lineRule="exact"/>
              <w:ind w:hanging="4"/>
              <w:textAlignment w:val="auto"/>
              <w:rPr>
                <w:rFonts w:hint="eastAsia" w:ascii="仿宋" w:hAnsi="仿宋" w:eastAsia="仿宋" w:cs="仿宋"/>
                <w:color w:val="auto"/>
                <w:kern w:val="28"/>
                <w:sz w:val="24"/>
              </w:rPr>
            </w:pPr>
            <w:r>
              <w:rPr>
                <w:rFonts w:hint="eastAsia" w:ascii="仿宋" w:hAnsi="仿宋" w:eastAsia="仿宋" w:cs="仿宋"/>
                <w:color w:val="auto"/>
                <w:kern w:val="28"/>
                <w:sz w:val="24"/>
                <w:szCs w:val="24"/>
              </w:rPr>
              <w:t>备份文件是否收取：不收取。</w:t>
            </w:r>
          </w:p>
        </w:tc>
      </w:tr>
      <w:tr w14:paraId="7B020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816329D">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056EAC1">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采购机构代理费用</w:t>
            </w:r>
          </w:p>
        </w:tc>
        <w:tc>
          <w:tcPr>
            <w:tcW w:w="6225" w:type="dxa"/>
            <w:tcBorders>
              <w:top w:val="single" w:color="000000" w:sz="8" w:space="0"/>
              <w:left w:val="single" w:color="000000" w:sz="2" w:space="0"/>
              <w:bottom w:val="single" w:color="000000" w:sz="8" w:space="0"/>
              <w:right w:val="single" w:color="000000" w:sz="8" w:space="0"/>
            </w:tcBorders>
            <w:vAlign w:val="center"/>
          </w:tcPr>
          <w:p w14:paraId="213092E0">
            <w:pPr>
              <w:pageBreakBefore w:val="0"/>
              <w:widowControl/>
              <w:kinsoku/>
              <w:wordWrap/>
              <w:overflowPunct/>
              <w:topLinePunct w:val="0"/>
              <w:autoSpaceDE/>
              <w:autoSpaceDN/>
              <w:bidi w:val="0"/>
              <w:spacing w:line="420" w:lineRule="exact"/>
              <w:jc w:val="left"/>
              <w:textAlignment w:val="auto"/>
              <w:rPr>
                <w:rFonts w:hint="eastAsia" w:ascii="仿宋" w:hAnsi="仿宋" w:eastAsia="仿宋" w:cs="仿宋"/>
                <w:b/>
                <w:color w:val="auto"/>
                <w:sz w:val="24"/>
              </w:rPr>
            </w:pPr>
            <w:r>
              <w:rPr>
                <w:rFonts w:hint="eastAsia" w:ascii="仿宋" w:hAnsi="仿宋" w:eastAsia="仿宋" w:cs="仿宋"/>
                <w:color w:val="auto"/>
                <w:sz w:val="24"/>
              </w:rPr>
              <w:t>本项目代理服务费由成交供应商支付，根据“发改价格【2011】534号文件”规定的70%计取</w:t>
            </w:r>
            <w:r>
              <w:rPr>
                <w:rFonts w:hint="eastAsia" w:ascii="仿宋" w:hAnsi="仿宋" w:eastAsia="仿宋" w:cs="仿宋"/>
                <w:color w:val="auto"/>
                <w:sz w:val="24"/>
                <w:lang w:eastAsia="zh-CN"/>
              </w:rPr>
              <w:t>。</w:t>
            </w:r>
            <w:r>
              <w:rPr>
                <w:rFonts w:hint="eastAsia" w:ascii="仿宋" w:hAnsi="仿宋" w:eastAsia="仿宋" w:cs="仿宋"/>
                <w:color w:val="auto"/>
                <w:sz w:val="24"/>
              </w:rPr>
              <w:t>以合同金额为计费基准。招标代理收费不足</w:t>
            </w:r>
            <w:r>
              <w:rPr>
                <w:rFonts w:hint="eastAsia" w:ascii="仿宋" w:hAnsi="仿宋" w:eastAsia="仿宋" w:cs="仿宋"/>
                <w:color w:val="auto"/>
                <w:sz w:val="24"/>
                <w:lang w:val="en-US" w:eastAsia="zh-CN"/>
              </w:rPr>
              <w:t>3</w:t>
            </w:r>
            <w:r>
              <w:rPr>
                <w:rFonts w:hint="eastAsia" w:ascii="仿宋" w:hAnsi="仿宋" w:eastAsia="仿宋" w:cs="仿宋"/>
                <w:color w:val="auto"/>
                <w:sz w:val="24"/>
              </w:rPr>
              <w:t>000元，按</w:t>
            </w:r>
            <w:r>
              <w:rPr>
                <w:rFonts w:hint="eastAsia" w:ascii="仿宋" w:hAnsi="仿宋" w:eastAsia="仿宋" w:cs="仿宋"/>
                <w:color w:val="auto"/>
                <w:sz w:val="24"/>
                <w:lang w:val="en-US" w:eastAsia="zh-CN"/>
              </w:rPr>
              <w:t>3</w:t>
            </w:r>
            <w:r>
              <w:rPr>
                <w:rFonts w:hint="eastAsia" w:ascii="仿宋" w:hAnsi="仿宋" w:eastAsia="仿宋" w:cs="仿宋"/>
                <w:color w:val="auto"/>
                <w:sz w:val="24"/>
              </w:rPr>
              <w:t>000元计算。</w:t>
            </w:r>
          </w:p>
        </w:tc>
      </w:tr>
      <w:tr w14:paraId="476D2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5383A4B">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rPr>
            </w:pPr>
            <w:r>
              <w:rPr>
                <w:rFonts w:hint="eastAsia" w:ascii="仿宋" w:hAnsi="仿宋" w:eastAsia="仿宋" w:cs="仿宋"/>
                <w:bCs/>
                <w:color w:val="auto"/>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9ABF440">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交易保证金</w:t>
            </w:r>
          </w:p>
        </w:tc>
        <w:tc>
          <w:tcPr>
            <w:tcW w:w="6225" w:type="dxa"/>
            <w:tcBorders>
              <w:top w:val="single" w:color="000000" w:sz="8" w:space="0"/>
              <w:left w:val="single" w:color="000000" w:sz="2" w:space="0"/>
              <w:bottom w:val="single" w:color="000000" w:sz="8" w:space="0"/>
              <w:right w:val="single" w:color="000000" w:sz="8" w:space="0"/>
            </w:tcBorders>
            <w:vAlign w:val="center"/>
          </w:tcPr>
          <w:p w14:paraId="71DE19EF">
            <w:pPr>
              <w:pageBreakBefore w:val="0"/>
              <w:widowControl/>
              <w:kinsoku/>
              <w:wordWrap/>
              <w:overflowPunct/>
              <w:topLinePunct w:val="0"/>
              <w:autoSpaceDE/>
              <w:autoSpaceDN/>
              <w:bidi w:val="0"/>
              <w:spacing w:line="420" w:lineRule="exact"/>
              <w:jc w:val="left"/>
              <w:textAlignment w:val="auto"/>
              <w:rPr>
                <w:rFonts w:hint="eastAsia" w:ascii="仿宋" w:hAnsi="仿宋" w:eastAsia="仿宋" w:cs="仿宋"/>
                <w:b/>
                <w:color w:val="auto"/>
                <w:sz w:val="24"/>
              </w:rPr>
            </w:pPr>
            <w:r>
              <w:rPr>
                <w:rFonts w:hint="eastAsia" w:ascii="仿宋" w:hAnsi="仿宋" w:eastAsia="仿宋" w:cs="仿宋"/>
                <w:snapToGrid w:val="0"/>
                <w:color w:val="auto"/>
                <w:kern w:val="28"/>
                <w:sz w:val="24"/>
              </w:rPr>
              <w:t>不收取</w:t>
            </w:r>
          </w:p>
        </w:tc>
      </w:tr>
      <w:tr w14:paraId="0D2C4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27FAE1E">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Cs/>
                <w:color w:val="auto"/>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2482A169">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履约保证金</w:t>
            </w:r>
          </w:p>
        </w:tc>
        <w:tc>
          <w:tcPr>
            <w:tcW w:w="6225" w:type="dxa"/>
            <w:tcBorders>
              <w:top w:val="single" w:color="000000" w:sz="8" w:space="0"/>
              <w:left w:val="single" w:color="000000" w:sz="2" w:space="0"/>
              <w:bottom w:val="single" w:color="000000" w:sz="8" w:space="0"/>
              <w:right w:val="single" w:color="000000" w:sz="8" w:space="0"/>
            </w:tcBorders>
            <w:vAlign w:val="center"/>
          </w:tcPr>
          <w:p w14:paraId="5416E656">
            <w:pPr>
              <w:pageBreakBefore w:val="0"/>
              <w:kinsoku/>
              <w:wordWrap/>
              <w:overflowPunct/>
              <w:topLinePunct w:val="0"/>
              <w:autoSpaceDE/>
              <w:autoSpaceDN/>
              <w:bidi w:val="0"/>
              <w:spacing w:line="420" w:lineRule="exact"/>
              <w:textAlignment w:val="auto"/>
              <w:rPr>
                <w:rFonts w:hint="default" w:ascii="仿宋" w:hAnsi="仿宋" w:eastAsia="仿宋" w:cs="仿宋"/>
                <w:color w:val="auto"/>
                <w:lang w:val="en-US" w:eastAsia="zh-CN"/>
              </w:rPr>
            </w:pPr>
            <w:r>
              <w:rPr>
                <w:rFonts w:hint="eastAsia" w:ascii="仿宋" w:hAnsi="仿宋" w:eastAsia="仿宋" w:cs="仿宋"/>
                <w:snapToGrid w:val="0"/>
                <w:color w:val="auto"/>
                <w:kern w:val="28"/>
                <w:sz w:val="24"/>
              </w:rPr>
              <w:t>履约保证金：</w:t>
            </w:r>
            <w:r>
              <w:rPr>
                <w:rFonts w:hint="eastAsia" w:ascii="仿宋" w:hAnsi="仿宋" w:eastAsia="仿宋" w:cs="仿宋"/>
                <w:snapToGrid w:val="0"/>
                <w:color w:val="auto"/>
                <w:kern w:val="28"/>
                <w:sz w:val="24"/>
                <w:lang w:val="en-US" w:eastAsia="zh-CN"/>
              </w:rPr>
              <w:t>不缴纳。</w:t>
            </w:r>
          </w:p>
        </w:tc>
      </w:tr>
      <w:tr w14:paraId="01BC6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10A2653">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Cs/>
                <w:color w:val="auto"/>
                <w:sz w:val="24"/>
              </w:rPr>
            </w:pPr>
            <w:r>
              <w:rPr>
                <w:rFonts w:hint="eastAsia" w:ascii="仿宋" w:hAnsi="仿宋" w:eastAsia="仿宋" w:cs="仿宋"/>
                <w:bCs/>
                <w:color w:val="auto"/>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5C378B98">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资格审查</w:t>
            </w:r>
          </w:p>
        </w:tc>
        <w:tc>
          <w:tcPr>
            <w:tcW w:w="6225" w:type="dxa"/>
            <w:tcBorders>
              <w:top w:val="single" w:color="000000" w:sz="8" w:space="0"/>
              <w:left w:val="single" w:color="000000" w:sz="2" w:space="0"/>
              <w:bottom w:val="single" w:color="000000" w:sz="8" w:space="0"/>
              <w:right w:val="single" w:color="000000" w:sz="8" w:space="0"/>
            </w:tcBorders>
            <w:vAlign w:val="center"/>
          </w:tcPr>
          <w:p w14:paraId="08778E9A">
            <w:pPr>
              <w:pStyle w:val="32"/>
              <w:pageBreakBefore w:val="0"/>
              <w:kinsoku/>
              <w:wordWrap/>
              <w:overflowPunct/>
              <w:topLinePunct w:val="0"/>
              <w:autoSpaceDE/>
              <w:autoSpaceDN/>
              <w:bidi w:val="0"/>
              <w:spacing w:line="420" w:lineRule="exact"/>
              <w:ind w:hanging="4"/>
              <w:textAlignment w:val="auto"/>
              <w:rPr>
                <w:rFonts w:hint="eastAsia" w:ascii="仿宋" w:hAnsi="仿宋" w:eastAsia="仿宋" w:cs="仿宋"/>
                <w:color w:val="auto"/>
                <w:sz w:val="24"/>
              </w:rPr>
            </w:pPr>
            <w:r>
              <w:rPr>
                <w:rFonts w:hint="eastAsia" w:ascii="仿宋" w:hAnsi="仿宋" w:eastAsia="仿宋" w:cs="仿宋"/>
                <w:color w:val="auto"/>
                <w:sz w:val="24"/>
              </w:rPr>
              <w:t>本项目由评审小组进行资格文件审查。</w:t>
            </w:r>
          </w:p>
        </w:tc>
      </w:tr>
      <w:tr w14:paraId="77983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9D5D247">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Cs/>
                <w:color w:val="auto"/>
                <w:sz w:val="24"/>
              </w:rPr>
            </w:pPr>
            <w:r>
              <w:rPr>
                <w:rFonts w:hint="eastAsia" w:ascii="仿宋" w:hAnsi="仿宋" w:eastAsia="仿宋" w:cs="仿宋"/>
                <w:bCs/>
                <w:color w:val="auto"/>
                <w:sz w:val="24"/>
              </w:rP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089824FC">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质疑接收人及答复</w:t>
            </w:r>
          </w:p>
        </w:tc>
        <w:tc>
          <w:tcPr>
            <w:tcW w:w="6225" w:type="dxa"/>
            <w:tcBorders>
              <w:top w:val="single" w:color="000000" w:sz="8" w:space="0"/>
              <w:left w:val="single" w:color="000000" w:sz="2" w:space="0"/>
              <w:bottom w:val="single" w:color="000000" w:sz="8" w:space="0"/>
              <w:right w:val="single" w:color="000000" w:sz="8" w:space="0"/>
            </w:tcBorders>
            <w:vAlign w:val="center"/>
          </w:tcPr>
          <w:p w14:paraId="2BECA19C">
            <w:pPr>
              <w:pStyle w:val="32"/>
              <w:pageBreakBefore w:val="0"/>
              <w:kinsoku/>
              <w:wordWrap/>
              <w:overflowPunct/>
              <w:topLinePunct w:val="0"/>
              <w:autoSpaceDE/>
              <w:autoSpaceDN/>
              <w:bidi w:val="0"/>
              <w:spacing w:line="420" w:lineRule="exact"/>
              <w:ind w:hanging="4"/>
              <w:textAlignment w:val="auto"/>
              <w:rPr>
                <w:rFonts w:hint="eastAsia" w:ascii="仿宋" w:hAnsi="仿宋" w:eastAsia="仿宋" w:cs="仿宋"/>
                <w:color w:val="auto"/>
                <w:sz w:val="24"/>
              </w:rPr>
            </w:pPr>
            <w:r>
              <w:rPr>
                <w:rFonts w:hint="eastAsia" w:ascii="仿宋" w:hAnsi="仿宋" w:eastAsia="仿宋" w:cs="仿宋"/>
                <w:color w:val="auto"/>
                <w:sz w:val="24"/>
              </w:rPr>
              <w:t>采购人、采购机构质疑接收人、联系方式：详见公告</w:t>
            </w:r>
          </w:p>
          <w:p w14:paraId="24E2115E">
            <w:pPr>
              <w:pStyle w:val="32"/>
              <w:pageBreakBefore w:val="0"/>
              <w:kinsoku/>
              <w:wordWrap/>
              <w:overflowPunct/>
              <w:topLinePunct w:val="0"/>
              <w:autoSpaceDE/>
              <w:autoSpaceDN/>
              <w:bidi w:val="0"/>
              <w:spacing w:line="420" w:lineRule="exact"/>
              <w:ind w:hanging="4"/>
              <w:textAlignment w:val="auto"/>
              <w:rPr>
                <w:rFonts w:hint="eastAsia" w:ascii="仿宋" w:hAnsi="仿宋" w:eastAsia="仿宋" w:cs="仿宋"/>
                <w:color w:val="auto"/>
                <w:sz w:val="24"/>
              </w:rPr>
            </w:pPr>
            <w:r>
              <w:rPr>
                <w:rFonts w:hint="eastAsia" w:ascii="仿宋" w:hAnsi="仿宋" w:eastAsia="仿宋" w:cs="仿宋"/>
                <w:color w:val="auto"/>
                <w:sz w:val="24"/>
              </w:rPr>
              <w:t>线上提交质疑方式：乐采云(萧采云)线上质疑路径：项目采购-询问质疑投诉-质疑列表。请使用ca签章在每一页质疑文件中加盖电子公章，上传完整附件。</w:t>
            </w:r>
          </w:p>
          <w:p w14:paraId="09C98D06">
            <w:pPr>
              <w:pStyle w:val="32"/>
              <w:pageBreakBefore w:val="0"/>
              <w:kinsoku/>
              <w:wordWrap/>
              <w:overflowPunct/>
              <w:topLinePunct w:val="0"/>
              <w:autoSpaceDE/>
              <w:autoSpaceDN/>
              <w:bidi w:val="0"/>
              <w:spacing w:line="420" w:lineRule="exact"/>
              <w:ind w:hanging="4"/>
              <w:textAlignment w:val="auto"/>
              <w:rPr>
                <w:rFonts w:hint="eastAsia" w:ascii="仿宋" w:hAnsi="仿宋" w:eastAsia="仿宋" w:cs="仿宋"/>
                <w:color w:val="auto"/>
                <w:sz w:val="24"/>
              </w:rPr>
            </w:pPr>
            <w:r>
              <w:rPr>
                <w:rFonts w:hint="eastAsia" w:ascii="仿宋" w:hAnsi="仿宋" w:eastAsia="仿宋" w:cs="仿宋"/>
                <w:color w:val="auto"/>
                <w:sz w:val="24"/>
              </w:rPr>
              <w:t>本项目涉及资格条件、采购需求、评分办法及采购过程中有关现场考察或开标前答疑会等事项由采购人进行答复。</w:t>
            </w:r>
          </w:p>
          <w:p w14:paraId="3523AC5A">
            <w:pPr>
              <w:pStyle w:val="32"/>
              <w:pageBreakBefore w:val="0"/>
              <w:kinsoku/>
              <w:wordWrap/>
              <w:overflowPunct/>
              <w:topLinePunct w:val="0"/>
              <w:autoSpaceDE/>
              <w:autoSpaceDN/>
              <w:bidi w:val="0"/>
              <w:spacing w:line="420" w:lineRule="exact"/>
              <w:ind w:hanging="4"/>
              <w:textAlignment w:val="auto"/>
              <w:rPr>
                <w:rFonts w:hint="eastAsia" w:ascii="仿宋" w:hAnsi="仿宋" w:eastAsia="仿宋" w:cs="仿宋"/>
                <w:color w:val="auto"/>
                <w:sz w:val="24"/>
              </w:rPr>
            </w:pPr>
            <w:r>
              <w:rPr>
                <w:rFonts w:hint="eastAsia" w:ascii="仿宋" w:hAnsi="仿宋" w:eastAsia="仿宋" w:cs="仿宋"/>
                <w:color w:val="auto"/>
                <w:sz w:val="24"/>
              </w:rPr>
              <w:t>涉及流程规范性、组织程序等相关事项，由采购机构进行答复。</w:t>
            </w:r>
          </w:p>
        </w:tc>
      </w:tr>
      <w:tr w14:paraId="25CAA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AA10531">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18</w:t>
            </w:r>
          </w:p>
        </w:tc>
        <w:tc>
          <w:tcPr>
            <w:tcW w:w="1843" w:type="dxa"/>
            <w:tcBorders>
              <w:top w:val="single" w:color="000000" w:sz="8" w:space="0"/>
              <w:left w:val="single" w:color="000000" w:sz="2" w:space="0"/>
              <w:bottom w:val="single" w:color="000000" w:sz="8" w:space="0"/>
              <w:right w:val="single" w:color="000000" w:sz="8" w:space="0"/>
            </w:tcBorders>
            <w:vAlign w:val="center"/>
          </w:tcPr>
          <w:p w14:paraId="32BDD014">
            <w:pPr>
              <w:pageBreakBefore w:val="0"/>
              <w:kinsoku/>
              <w:wordWrap/>
              <w:overflowPunct/>
              <w:topLinePunct w:val="0"/>
              <w:autoSpaceDE/>
              <w:autoSpaceDN/>
              <w:bidi w:val="0"/>
              <w:snapToGrid w:val="0"/>
              <w:spacing w:line="42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225" w:type="dxa"/>
            <w:tcBorders>
              <w:top w:val="single" w:color="000000" w:sz="8" w:space="0"/>
              <w:left w:val="single" w:color="000000" w:sz="2" w:space="0"/>
              <w:bottom w:val="single" w:color="000000" w:sz="8" w:space="0"/>
              <w:right w:val="single" w:color="000000" w:sz="8" w:space="0"/>
            </w:tcBorders>
            <w:vAlign w:val="center"/>
          </w:tcPr>
          <w:p w14:paraId="5082E4F7">
            <w:pPr>
              <w:pageBreakBefore w:val="0"/>
              <w:shd w:val="clear" w:color="auto" w:fill="auto"/>
              <w:kinsoku/>
              <w:wordWrap/>
              <w:overflowPunct/>
              <w:topLinePunct w:val="0"/>
              <w:autoSpaceDE/>
              <w:autoSpaceDN/>
              <w:bidi w:val="0"/>
              <w:spacing w:line="42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如发现交易文件中存在含糊不清、相互矛盾、多种含义及歧视性不公正条款或违法违规等内容时，请在规定时间内同时向采购人、代理机构书面提出异议，逾期不得再对交易文件的条款提出质疑。如在交易现场发现交易文件中发现上述问题并影响评审的，由采购人现场给予澄清，并经评审委员会、所有参会响应人一致同意后，按澄清后的内容继续进行评审。</w:t>
            </w:r>
          </w:p>
          <w:p w14:paraId="3976B950">
            <w:pPr>
              <w:pageBreakBefore w:val="0"/>
              <w:kinsoku/>
              <w:wordWrap/>
              <w:overflowPunct/>
              <w:topLinePunct w:val="0"/>
              <w:autoSpaceDE/>
              <w:autoSpaceDN/>
              <w:bidi w:val="0"/>
              <w:spacing w:line="420" w:lineRule="exact"/>
              <w:ind w:firstLine="482" w:firstLineChars="200"/>
              <w:textAlignment w:val="auto"/>
              <w:rPr>
                <w:rFonts w:hint="eastAsia" w:ascii="仿宋" w:hAnsi="仿宋" w:eastAsia="仿宋" w:cs="仿宋"/>
                <w:snapToGrid w:val="0"/>
                <w:color w:val="auto"/>
                <w:kern w:val="28"/>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本项目通用总则条款与前附表等专用特别规定有冲突之处，以专用条款（特别规定）为准</w:t>
            </w:r>
          </w:p>
        </w:tc>
      </w:tr>
    </w:tbl>
    <w:p w14:paraId="0E06FB9D">
      <w:pPr>
        <w:snapToGrid w:val="0"/>
        <w:spacing w:line="360" w:lineRule="auto"/>
        <w:jc w:val="center"/>
        <w:rPr>
          <w:rFonts w:hint="eastAsia" w:ascii="仿宋" w:hAnsi="仿宋" w:eastAsia="仿宋" w:cs="仿宋"/>
          <w:b/>
          <w:color w:val="auto"/>
          <w:sz w:val="32"/>
          <w:szCs w:val="20"/>
        </w:rPr>
      </w:pPr>
    </w:p>
    <w:bookmarkEnd w:id="10"/>
    <w:p w14:paraId="71D9EFAF">
      <w:pPr>
        <w:rPr>
          <w:rFonts w:hint="eastAsia" w:ascii="仿宋" w:hAnsi="仿宋" w:eastAsia="仿宋" w:cs="仿宋"/>
          <w:b/>
          <w:color w:val="auto"/>
          <w:sz w:val="32"/>
          <w:szCs w:val="20"/>
        </w:rPr>
      </w:pPr>
      <w:bookmarkStart w:id="14" w:name="第三部分"/>
      <w:bookmarkStart w:id="15" w:name="_Toc164416483"/>
      <w:r>
        <w:rPr>
          <w:rFonts w:hint="eastAsia" w:ascii="仿宋" w:hAnsi="仿宋" w:eastAsia="仿宋" w:cs="仿宋"/>
          <w:b/>
          <w:color w:val="auto"/>
          <w:sz w:val="32"/>
          <w:szCs w:val="20"/>
        </w:rPr>
        <w:br w:type="page"/>
      </w:r>
    </w:p>
    <w:p w14:paraId="51A2A8AB">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14:paraId="67E4AF18">
      <w:pPr>
        <w:snapToGrid w:val="0"/>
        <w:spacing w:line="360" w:lineRule="auto"/>
        <w:ind w:firstLine="482" w:firstLineChars="200"/>
        <w:jc w:val="left"/>
        <w:outlineLvl w:val="1"/>
        <w:rPr>
          <w:rFonts w:hint="eastAsia" w:ascii="仿宋" w:hAnsi="仿宋" w:eastAsia="仿宋" w:cs="仿宋"/>
          <w:b/>
          <w:color w:val="auto"/>
          <w:sz w:val="24"/>
        </w:rPr>
      </w:pPr>
      <w:r>
        <w:rPr>
          <w:rFonts w:hint="eastAsia" w:ascii="仿宋" w:hAnsi="仿宋" w:eastAsia="仿宋" w:cs="仿宋"/>
          <w:b/>
          <w:color w:val="auto"/>
          <w:sz w:val="24"/>
        </w:rPr>
        <w:t>1. 适用范围</w:t>
      </w:r>
    </w:p>
    <w:p w14:paraId="337E4628">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本交易文件适用于该项目的交易、资格审查及信用信息查询、评审、定标、合同、验收等行为（法律、法规另有规定的，从其规定）。</w:t>
      </w:r>
    </w:p>
    <w:p w14:paraId="3C8722AD">
      <w:pPr>
        <w:snapToGrid w:val="0"/>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2.定义</w:t>
      </w:r>
    </w:p>
    <w:p w14:paraId="49146F7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“采购人”系指交易公告中载明的本项目的采购人。</w:t>
      </w:r>
    </w:p>
    <w:p w14:paraId="2503523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“采购机构”系指交易公告中载明的本项目的采购机构。</w:t>
      </w:r>
    </w:p>
    <w:p w14:paraId="38DE395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“供应商”系指是指响应交易、参加交易竞争的法人、其他组织或者自然人。</w:t>
      </w:r>
    </w:p>
    <w:p w14:paraId="49E62FA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14:paraId="5A1E6DB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3）。</w:t>
      </w:r>
    </w:p>
    <w:p w14:paraId="0BE6C90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2.6“电子交易平台”是指本项目采购活动所依托的政府采购云平台（https://www.zcygov.cn/）。</w:t>
      </w:r>
    </w:p>
    <w:p w14:paraId="06A3AB4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w:t>
      </w:r>
      <w:r>
        <w:rPr>
          <w:rFonts w:hint="eastAsia" w:ascii="仿宋" w:hAnsi="仿宋" w:eastAsia="仿宋" w:cs="仿宋"/>
          <w:bCs/>
          <w:color w:val="auto"/>
          <w:sz w:val="24"/>
        </w:rPr>
        <w:t>√</w:t>
      </w:r>
      <w:r>
        <w:rPr>
          <w:rFonts w:hint="eastAsia" w:ascii="仿宋" w:hAnsi="仿宋" w:eastAsia="仿宋" w:cs="仿宋"/>
          <w:color w:val="auto"/>
          <w:sz w:val="24"/>
        </w:rPr>
        <w:t>）” 系指适用本项目的要求，“（  ）”系指不适用本项目的要求。</w:t>
      </w:r>
    </w:p>
    <w:p w14:paraId="5AACA993">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3. 询问、质疑、投诉</w:t>
      </w:r>
    </w:p>
    <w:p w14:paraId="0DFF94C7">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.1供应商询问</w:t>
      </w:r>
    </w:p>
    <w:p w14:paraId="46F422FF">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26C5893">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.2供应商质疑</w:t>
      </w:r>
    </w:p>
    <w:p w14:paraId="76665C8F">
      <w:pPr>
        <w:pStyle w:val="32"/>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w:t>
      </w:r>
      <w:r>
        <w:rPr>
          <w:rFonts w:hint="eastAsia" w:ascii="仿宋" w:hAnsi="仿宋" w:eastAsia="仿宋" w:cs="仿宋"/>
          <w:color w:val="auto"/>
          <w:sz w:val="24"/>
        </w:rPr>
        <w:t>.1提出质疑的供应商应当是参与所质疑项目采购活动的供应商。潜在供应商已依法获取其可质疑的交易文件的，可以对该文件提出质疑。</w:t>
      </w:r>
    </w:p>
    <w:p w14:paraId="19B4CB8E">
      <w:pPr>
        <w:pStyle w:val="32"/>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.2</w:t>
      </w:r>
      <w:r>
        <w:rPr>
          <w:rFonts w:hint="eastAsia" w:ascii="仿宋" w:hAnsi="仿宋" w:eastAsia="仿宋" w:cs="仿宋"/>
          <w:color w:val="auto"/>
          <w:sz w:val="24"/>
        </w:rPr>
        <w:t>.2供应商认为交易文件、采购过程和成交结果使自己的权益受到损害的，可以在知道或者应知其权益受到损害之日起3日内，以书面形式向采购人或者采购机构提出质疑，否则，采购人或者采购机构不予受理：</w:t>
      </w:r>
    </w:p>
    <w:p w14:paraId="62A72A35">
      <w:pPr>
        <w:pStyle w:val="15"/>
        <w:spacing w:line="360" w:lineRule="auto"/>
        <w:ind w:firstLine="480" w:firstLineChars="200"/>
        <w:rPr>
          <w:rFonts w:hint="eastAsia" w:ascii="仿宋" w:hAnsi="仿宋" w:eastAsia="仿宋" w:cs="仿宋"/>
          <w:color w:val="auto"/>
          <w:kern w:val="2"/>
          <w:sz w:val="24"/>
        </w:rPr>
      </w:pPr>
      <w:r>
        <w:rPr>
          <w:rFonts w:hint="eastAsia" w:ascii="仿宋" w:hAnsi="仿宋" w:eastAsia="仿宋" w:cs="仿宋"/>
          <w:color w:val="auto"/>
          <w:kern w:val="2"/>
          <w:sz w:val="24"/>
        </w:rPr>
        <w:t>3.2.2.1对交易文件提出质疑的，质疑期限为供应商获得交易文件之日或者交易文件公告期限届满之日起计算。</w:t>
      </w:r>
    </w:p>
    <w:p w14:paraId="379ECDBA">
      <w:pPr>
        <w:pStyle w:val="32"/>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3.2.2.2对采购过程提出质疑的，质疑期限为各采购程序环节结束之日起计算。对同一采购程序环节的质疑，供应商须一次性提出。</w:t>
      </w:r>
    </w:p>
    <w:p w14:paraId="5B762547">
      <w:pPr>
        <w:pStyle w:val="32"/>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3.2.2.3对采购结果提出质疑的，质疑期限自采购结果公告期限届满之日起计算。</w:t>
      </w:r>
    </w:p>
    <w:p w14:paraId="69D7D2E3">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3.2.3</w:t>
      </w:r>
      <w:r>
        <w:rPr>
          <w:rFonts w:hint="eastAsia" w:ascii="仿宋" w:hAnsi="仿宋" w:eastAsia="仿宋" w:cs="仿宋"/>
          <w:color w:val="auto"/>
          <w:sz w:val="24"/>
        </w:rPr>
        <w:t>供应商提出质疑应当提交质疑函和必要的证明材料。质疑函应当包括下列内容：</w:t>
      </w:r>
    </w:p>
    <w:p w14:paraId="43B58F45">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3.2.3.1供应商的姓名或者名称、地址、邮编、联系人及联系电话；</w:t>
      </w:r>
    </w:p>
    <w:p w14:paraId="68EC7D6A">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3.2.3.2质疑项目的名称、编号；</w:t>
      </w:r>
    </w:p>
    <w:p w14:paraId="65FF1BD0">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3.2.3.3具体、明确的质疑事项和与质疑事项相关的请求；</w:t>
      </w:r>
    </w:p>
    <w:p w14:paraId="4AC1337F">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3.2.3.4事实依据；</w:t>
      </w:r>
    </w:p>
    <w:p w14:paraId="2A48C33A">
      <w:pPr>
        <w:pStyle w:val="32"/>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3.2.3.5必要的法律依据；</w:t>
      </w:r>
    </w:p>
    <w:p w14:paraId="67F50290">
      <w:pPr>
        <w:pStyle w:val="32"/>
        <w:spacing w:line="360" w:lineRule="auto"/>
        <w:ind w:firstLine="960" w:firstLineChars="4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3.2.3.6提出质疑的日期。</w:t>
      </w:r>
    </w:p>
    <w:p w14:paraId="1DBA2B22">
      <w:pPr>
        <w:pStyle w:val="888"/>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14:paraId="744097B9">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auto"/>
        </w:rPr>
      </w:pPr>
      <w:r>
        <w:rPr>
          <w:rFonts w:hint="eastAsia" w:ascii="仿宋" w:hAnsi="仿宋" w:eastAsia="仿宋" w:cs="仿宋"/>
          <w:color w:val="auto"/>
        </w:rPr>
        <w:t>质疑函范本及制作说明详见附件2。</w:t>
      </w:r>
    </w:p>
    <w:p w14:paraId="55F50732">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auto"/>
        </w:rPr>
      </w:pPr>
      <w:r>
        <w:rPr>
          <w:rFonts w:hint="eastAsia" w:ascii="仿宋" w:hAnsi="仿宋" w:eastAsia="仿宋" w:cs="仿宋"/>
          <w:color w:val="auto"/>
          <w:lang w:val="zh-CN"/>
        </w:rPr>
        <w:t>3.2</w:t>
      </w:r>
      <w:r>
        <w:rPr>
          <w:rFonts w:hint="eastAsia" w:ascii="仿宋" w:hAnsi="仿宋" w:eastAsia="仿宋" w:cs="仿宋"/>
          <w:color w:val="auto"/>
        </w:rPr>
        <w:t>.4采购人或者采购机构应当在收到供应商的书面质疑后2日内作出答复，并以书面形式通知质疑供应商和其他与质疑处理结果有利害关系的采购当事人，但答复的内容不得涉及商业秘密。</w:t>
      </w:r>
    </w:p>
    <w:p w14:paraId="2D4293BB">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auto"/>
        </w:rPr>
      </w:pPr>
      <w:r>
        <w:rPr>
          <w:rFonts w:hint="eastAsia" w:ascii="仿宋" w:hAnsi="仿宋" w:eastAsia="仿宋" w:cs="仿宋"/>
          <w:color w:val="auto"/>
          <w:lang w:val="zh-CN"/>
        </w:rPr>
        <w:t>3.2</w:t>
      </w:r>
      <w:r>
        <w:rPr>
          <w:rFonts w:hint="eastAsia" w:ascii="仿宋" w:hAnsi="仿宋" w:eastAsia="仿宋" w:cs="仿宋"/>
          <w:color w:val="auto"/>
        </w:rPr>
        <w:t>.5询问或者质疑事项可能影响采购结果的，采购人应当暂停签订合同，已经签订合同的，应当中止履行合同。</w:t>
      </w:r>
    </w:p>
    <w:p w14:paraId="5EC149B5">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auto"/>
          <w:lang w:val="zh-CN"/>
        </w:rPr>
      </w:pPr>
      <w:r>
        <w:rPr>
          <w:rFonts w:hint="eastAsia" w:ascii="仿宋" w:hAnsi="仿宋" w:eastAsia="仿宋" w:cs="仿宋"/>
          <w:color w:val="auto"/>
          <w:lang w:val="zh-CN"/>
        </w:rPr>
        <w:t>3.3供应商投诉</w:t>
      </w:r>
    </w:p>
    <w:p w14:paraId="0EFE61D3">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auto"/>
        </w:rPr>
      </w:pPr>
      <w:r>
        <w:rPr>
          <w:rFonts w:hint="eastAsia" w:ascii="仿宋" w:hAnsi="仿宋" w:eastAsia="仿宋" w:cs="仿宋"/>
          <w:color w:val="auto"/>
        </w:rPr>
        <w:t>3.3.1质疑供应商对采购人、采购机构的答复不满意或者采购人、采购机构未在规定的时间内作出答复的，可以在答复期满后十五个工作日内向</w:t>
      </w:r>
      <w:r>
        <w:rPr>
          <w:rFonts w:hint="eastAsia" w:ascii="仿宋" w:hAnsi="仿宋" w:eastAsia="仿宋" w:cs="仿宋"/>
          <w:color w:val="auto"/>
          <w:lang w:val="en-US" w:eastAsia="zh-CN"/>
        </w:rPr>
        <w:t>上级</w:t>
      </w:r>
      <w:r>
        <w:rPr>
          <w:rFonts w:hint="eastAsia" w:ascii="仿宋" w:hAnsi="仿宋" w:eastAsia="仿宋" w:cs="仿宋"/>
          <w:color w:val="auto"/>
        </w:rPr>
        <w:t>管理部门提出投诉。</w:t>
      </w:r>
    </w:p>
    <w:p w14:paraId="689CCBC7">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auto"/>
        </w:rPr>
      </w:pPr>
      <w:r>
        <w:rPr>
          <w:rFonts w:hint="eastAsia" w:ascii="仿宋" w:hAnsi="仿宋" w:eastAsia="仿宋" w:cs="仿宋"/>
          <w:color w:val="auto"/>
        </w:rPr>
        <w:t>3.3.</w:t>
      </w:r>
      <w:r>
        <w:rPr>
          <w:rFonts w:hint="eastAsia"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14:paraId="7517B9BE">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auto"/>
        </w:rPr>
      </w:pPr>
      <w:r>
        <w:rPr>
          <w:rFonts w:hint="eastAsia" w:ascii="仿宋" w:hAnsi="仿宋" w:eastAsia="仿宋" w:cs="仿宋"/>
          <w:color w:val="auto"/>
        </w:rPr>
        <w:t>3.3.3供应商投诉应当有明确的请求和必要的证明材料。</w:t>
      </w:r>
    </w:p>
    <w:p w14:paraId="66E604C3">
      <w:pPr>
        <w:pStyle w:val="130"/>
        <w:snapToGrid w:val="0"/>
        <w:spacing w:before="0"/>
        <w:ind w:firstLine="360"/>
        <w:rPr>
          <w:rFonts w:hint="eastAsia" w:ascii="仿宋" w:hAnsi="仿宋" w:eastAsia="仿宋" w:cs="仿宋"/>
          <w:color w:val="auto"/>
          <w:sz w:val="18"/>
          <w:szCs w:val="18"/>
        </w:rPr>
      </w:pPr>
    </w:p>
    <w:p w14:paraId="588AE76E">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 xml:space="preserve">      二、交易文件的构成、澄清、修改</w:t>
      </w:r>
    </w:p>
    <w:p w14:paraId="37AAE076">
      <w:pPr>
        <w:pStyle w:val="32"/>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4．交易文件的构成</w:t>
      </w:r>
    </w:p>
    <w:p w14:paraId="62BFD6C2">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4.1 交易文件包括下列文件及附件：</w:t>
      </w:r>
    </w:p>
    <w:p w14:paraId="4F40507F">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4.1.1交易公告；</w:t>
      </w:r>
    </w:p>
    <w:p w14:paraId="23B5087D">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4.1.2供应商须知；</w:t>
      </w:r>
    </w:p>
    <w:p w14:paraId="55A80417">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4.1.3采购需求；</w:t>
      </w:r>
    </w:p>
    <w:p w14:paraId="4C4F0A08">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4.1.4评审办法；</w:t>
      </w:r>
    </w:p>
    <w:p w14:paraId="0DB85191">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4.1.5拟签订的合同文本；</w:t>
      </w:r>
    </w:p>
    <w:p w14:paraId="292FEB3B">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4.1.6</w:t>
      </w:r>
      <w:r>
        <w:rPr>
          <w:rFonts w:hint="eastAsia" w:ascii="仿宋" w:hAnsi="仿宋" w:eastAsia="仿宋" w:cs="仿宋"/>
          <w:color w:val="auto"/>
          <w:sz w:val="24"/>
          <w:szCs w:val="24"/>
        </w:rPr>
        <w:t>应提交的有关格式范例。</w:t>
      </w:r>
    </w:p>
    <w:p w14:paraId="65CC490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4.2与本项目有关的</w:t>
      </w:r>
      <w:r>
        <w:rPr>
          <w:rFonts w:hint="eastAsia" w:ascii="仿宋" w:hAnsi="仿宋" w:eastAsia="仿宋" w:cs="仿宋"/>
          <w:bCs/>
          <w:color w:val="auto"/>
          <w:sz w:val="24"/>
        </w:rPr>
        <w:t>澄清或者修改的内容为交易文件的组成部分</w:t>
      </w:r>
      <w:r>
        <w:rPr>
          <w:rFonts w:hint="eastAsia" w:ascii="仿宋" w:hAnsi="仿宋" w:eastAsia="仿宋" w:cs="仿宋"/>
          <w:color w:val="auto"/>
          <w:sz w:val="24"/>
        </w:rPr>
        <w:t>。</w:t>
      </w:r>
    </w:p>
    <w:p w14:paraId="5185BBC1">
      <w:pPr>
        <w:pStyle w:val="32"/>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5. 交易文件的澄清、修改</w:t>
      </w:r>
    </w:p>
    <w:p w14:paraId="7E3BA1CA">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5.1已获取交易文件的潜在供应商，若有问题需要澄清，应于交易截止时间前，以书面形式向采购机构提出。</w:t>
      </w:r>
    </w:p>
    <w:p w14:paraId="0F30A25C">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5.2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6E5A0A43">
      <w:pPr>
        <w:pStyle w:val="24"/>
        <w:rPr>
          <w:rFonts w:hint="eastAsia" w:ascii="仿宋" w:hAnsi="仿宋" w:eastAsia="仿宋" w:cs="仿宋"/>
          <w:color w:val="auto"/>
          <w:sz w:val="18"/>
          <w:szCs w:val="18"/>
          <w:lang w:val="en-US"/>
        </w:rPr>
      </w:pPr>
    </w:p>
    <w:p w14:paraId="5CDD47FB">
      <w:pPr>
        <w:adjustRightInd/>
        <w:spacing w:line="360" w:lineRule="auto"/>
        <w:jc w:val="center"/>
        <w:outlineLvl w:val="0"/>
        <w:rPr>
          <w:rFonts w:hint="eastAsia" w:ascii="仿宋" w:hAnsi="仿宋" w:eastAsia="仿宋" w:cs="仿宋"/>
          <w:b/>
          <w:color w:val="auto"/>
          <w:sz w:val="30"/>
          <w:szCs w:val="20"/>
        </w:rPr>
      </w:pPr>
      <w:r>
        <w:rPr>
          <w:rFonts w:hint="eastAsia" w:ascii="仿宋" w:hAnsi="仿宋" w:eastAsia="仿宋" w:cs="仿宋"/>
          <w:b/>
          <w:color w:val="auto"/>
          <w:sz w:val="30"/>
          <w:szCs w:val="20"/>
        </w:rPr>
        <w:t>三、交易</w:t>
      </w:r>
    </w:p>
    <w:p w14:paraId="7153FCF8">
      <w:pPr>
        <w:pStyle w:val="32"/>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6. 交易文件的获取</w:t>
      </w:r>
    </w:p>
    <w:p w14:paraId="0C757DCC">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详见交易公告中获取交易文件的时间期限、地点、方式及交易文件售价。</w:t>
      </w:r>
    </w:p>
    <w:p w14:paraId="11D77D53">
      <w:pPr>
        <w:pStyle w:val="32"/>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7.交易前答疑会或现场考察</w:t>
      </w:r>
    </w:p>
    <w:p w14:paraId="5E606080">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采购人组织潜在供应商现场考察或者召开交易前答疑会的，潜在供应商按第二部分供应商须知前附表的规定参加现场考察或者交易前答疑会。</w:t>
      </w:r>
    </w:p>
    <w:p w14:paraId="0C8CCE63">
      <w:pPr>
        <w:pStyle w:val="32"/>
        <w:spacing w:line="360" w:lineRule="auto"/>
        <w:ind w:firstLine="482" w:firstLineChars="200"/>
        <w:rPr>
          <w:rFonts w:hint="eastAsia" w:ascii="仿宋" w:hAnsi="仿宋" w:eastAsia="仿宋" w:cs="仿宋"/>
          <w:b/>
          <w:color w:val="auto"/>
          <w:szCs w:val="24"/>
        </w:rPr>
      </w:pPr>
      <w:r>
        <w:rPr>
          <w:rFonts w:hint="eastAsia" w:ascii="仿宋" w:hAnsi="仿宋" w:eastAsia="仿宋" w:cs="仿宋"/>
          <w:b/>
          <w:color w:val="auto"/>
          <w:kern w:val="28"/>
          <w:sz w:val="24"/>
          <w:szCs w:val="24"/>
        </w:rPr>
        <w:t>8.交易保证金</w:t>
      </w:r>
    </w:p>
    <w:p w14:paraId="5675BFD0">
      <w:pPr>
        <w:pStyle w:val="32"/>
        <w:spacing w:line="360" w:lineRule="auto"/>
        <w:ind w:firstLine="480" w:firstLineChars="200"/>
        <w:rPr>
          <w:rFonts w:hint="eastAsia" w:ascii="仿宋" w:hAnsi="仿宋" w:eastAsia="仿宋" w:cs="仿宋"/>
          <w:color w:val="auto"/>
          <w:sz w:val="24"/>
          <w:szCs w:val="20"/>
        </w:rPr>
      </w:pPr>
      <w:r>
        <w:rPr>
          <w:rFonts w:hint="eastAsia" w:ascii="仿宋" w:hAnsi="仿宋" w:eastAsia="仿宋" w:cs="仿宋"/>
          <w:color w:val="auto"/>
          <w:sz w:val="24"/>
          <w:szCs w:val="20"/>
        </w:rPr>
        <w:t>不收取</w:t>
      </w:r>
    </w:p>
    <w:p w14:paraId="29FC4C02">
      <w:pPr>
        <w:pStyle w:val="32"/>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9. 响应文件的语言</w:t>
      </w:r>
    </w:p>
    <w:p w14:paraId="14BE97E8">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响应文件及供应商与采购有关的来往通知、函件和文件均应使用中文。</w:t>
      </w:r>
    </w:p>
    <w:p w14:paraId="5D4C33C4">
      <w:pPr>
        <w:pStyle w:val="32"/>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10. 响应文件的组成</w:t>
      </w:r>
    </w:p>
    <w:p w14:paraId="5D14CCD8">
      <w:pPr>
        <w:snapToGrid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10.1资格文件：</w:t>
      </w:r>
    </w:p>
    <w:p w14:paraId="2C7E5B03">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10.1.1符合参加采购活动应当具备的一般条件的承诺函；</w:t>
      </w:r>
    </w:p>
    <w:p w14:paraId="6F045388">
      <w:pPr>
        <w:pStyle w:val="3"/>
        <w:rPr>
          <w:rFonts w:hint="eastAsia" w:ascii="仿宋" w:hAnsi="仿宋" w:eastAsia="仿宋" w:cs="仿宋"/>
          <w:color w:val="auto"/>
        </w:rPr>
      </w:pPr>
      <w:r>
        <w:rPr>
          <w:rFonts w:hint="eastAsia" w:ascii="仿宋" w:hAnsi="仿宋" w:eastAsia="仿宋" w:cs="仿宋"/>
          <w:color w:val="auto"/>
        </w:rPr>
        <w:t>10.1.2落实采购政策需满足的资格要求</w:t>
      </w:r>
      <w:r>
        <w:rPr>
          <w:rFonts w:hint="eastAsia" w:ascii="仿宋" w:hAnsi="仿宋" w:eastAsia="仿宋" w:cs="仿宋"/>
          <w:b/>
          <w:bCs/>
          <w:color w:val="auto"/>
          <w:sz w:val="24"/>
          <w:highlight w:val="none"/>
        </w:rPr>
        <w:t>（本项目不适用）</w:t>
      </w:r>
      <w:r>
        <w:rPr>
          <w:rFonts w:hint="eastAsia" w:ascii="仿宋" w:hAnsi="仿宋" w:eastAsia="仿宋" w:cs="仿宋"/>
          <w:color w:val="auto"/>
        </w:rPr>
        <w:t>；</w:t>
      </w:r>
    </w:p>
    <w:p w14:paraId="0BEC5D76">
      <w:pPr>
        <w:pStyle w:val="61"/>
        <w:autoSpaceDE/>
        <w:autoSpaceDN/>
        <w:ind w:firstLine="960" w:firstLineChars="400"/>
        <w:rPr>
          <w:rFonts w:hint="eastAsia" w:ascii="仿宋" w:hAnsi="仿宋" w:eastAsia="仿宋" w:cs="仿宋"/>
          <w:color w:val="auto"/>
        </w:rPr>
      </w:pPr>
      <w:r>
        <w:rPr>
          <w:rFonts w:hint="eastAsia" w:ascii="仿宋" w:hAnsi="仿宋" w:eastAsia="仿宋" w:cs="仿宋"/>
          <w:color w:val="auto"/>
        </w:rPr>
        <w:t>10.1.</w:t>
      </w:r>
      <w:r>
        <w:rPr>
          <w:rFonts w:hint="eastAsia" w:ascii="仿宋" w:hAnsi="仿宋" w:eastAsia="仿宋" w:cs="仿宋"/>
          <w:color w:val="auto"/>
          <w:lang w:val="en-US"/>
        </w:rPr>
        <w:t>3</w:t>
      </w:r>
      <w:r>
        <w:rPr>
          <w:rFonts w:hint="eastAsia" w:ascii="仿宋" w:hAnsi="仿宋" w:eastAsia="仿宋" w:cs="仿宋"/>
          <w:color w:val="auto"/>
        </w:rPr>
        <w:t>本项目的特定资格要求</w:t>
      </w:r>
      <w:r>
        <w:rPr>
          <w:rFonts w:hint="eastAsia" w:ascii="仿宋" w:hAnsi="仿宋" w:eastAsia="仿宋" w:cs="仿宋"/>
          <w:color w:val="auto"/>
          <w:lang w:eastAsia="zh-CN"/>
        </w:rPr>
        <w:t>（如果有）</w:t>
      </w:r>
      <w:r>
        <w:rPr>
          <w:rFonts w:hint="eastAsia" w:ascii="仿宋" w:hAnsi="仿宋" w:eastAsia="仿宋" w:cs="仿宋"/>
          <w:color w:val="auto"/>
        </w:rPr>
        <w:t>。</w:t>
      </w:r>
    </w:p>
    <w:p w14:paraId="47DAFBEA">
      <w:pPr>
        <w:snapToGrid w:val="0"/>
        <w:spacing w:line="360" w:lineRule="auto"/>
        <w:ind w:firstLine="482" w:firstLineChars="200"/>
        <w:rPr>
          <w:rFonts w:hint="eastAsia" w:ascii="仿宋" w:hAnsi="仿宋" w:eastAsia="仿宋" w:cs="仿宋"/>
          <w:b/>
          <w:bCs/>
          <w:color w:val="auto"/>
          <w:sz w:val="24"/>
          <w:lang w:val="zh-CN"/>
        </w:rPr>
      </w:pPr>
      <w:r>
        <w:rPr>
          <w:rFonts w:hint="eastAsia" w:ascii="仿宋" w:hAnsi="仿宋" w:eastAsia="仿宋" w:cs="仿宋"/>
          <w:b/>
          <w:bCs/>
          <w:color w:val="auto"/>
          <w:sz w:val="24"/>
          <w:lang w:val="zh-CN"/>
        </w:rPr>
        <w:t>1</w:t>
      </w:r>
      <w:r>
        <w:rPr>
          <w:rFonts w:hint="eastAsia" w:ascii="仿宋" w:hAnsi="仿宋" w:eastAsia="仿宋" w:cs="仿宋"/>
          <w:b/>
          <w:bCs/>
          <w:color w:val="auto"/>
          <w:sz w:val="24"/>
        </w:rPr>
        <w:t>0</w:t>
      </w:r>
      <w:r>
        <w:rPr>
          <w:rFonts w:hint="eastAsia" w:ascii="仿宋" w:hAnsi="仿宋" w:eastAsia="仿宋" w:cs="仿宋"/>
          <w:b/>
          <w:bCs/>
          <w:color w:val="auto"/>
          <w:sz w:val="24"/>
          <w:lang w:val="zh-CN"/>
        </w:rPr>
        <w:t>.</w:t>
      </w:r>
      <w:r>
        <w:rPr>
          <w:rFonts w:hint="eastAsia" w:ascii="仿宋" w:hAnsi="仿宋" w:eastAsia="仿宋" w:cs="仿宋"/>
          <w:b/>
          <w:bCs/>
          <w:color w:val="auto"/>
          <w:sz w:val="24"/>
        </w:rPr>
        <w:t>2商务技术</w:t>
      </w:r>
      <w:r>
        <w:rPr>
          <w:rFonts w:hint="eastAsia" w:ascii="仿宋" w:hAnsi="仿宋" w:eastAsia="仿宋" w:cs="仿宋"/>
          <w:b/>
          <w:bCs/>
          <w:color w:val="auto"/>
          <w:sz w:val="24"/>
          <w:lang w:val="zh-CN"/>
        </w:rPr>
        <w:t>文件：</w:t>
      </w:r>
    </w:p>
    <w:p w14:paraId="1D45E741">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10.2.1响应函；</w:t>
      </w:r>
    </w:p>
    <w:p w14:paraId="5DDCA40D">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10.2.2授权委托书或法定代表人（单位负责人、自然人本人）身份证明；</w:t>
      </w:r>
    </w:p>
    <w:p w14:paraId="51D595D8">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10.2.3符合性审查资料；</w:t>
      </w:r>
    </w:p>
    <w:p w14:paraId="2C1283DC">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w:t>
      </w:r>
      <w:r>
        <w:rPr>
          <w:rFonts w:hint="eastAsia" w:ascii="仿宋" w:hAnsi="仿宋" w:eastAsia="仿宋" w:cs="仿宋"/>
          <w:color w:val="auto"/>
          <w:sz w:val="24"/>
          <w:lang w:val="en-US" w:eastAsia="zh-CN"/>
        </w:rPr>
        <w:t>4</w:t>
      </w:r>
      <w:r>
        <w:rPr>
          <w:rFonts w:hint="eastAsia" w:ascii="仿宋" w:hAnsi="仿宋" w:eastAsia="仿宋" w:cs="仿宋"/>
          <w:color w:val="auto"/>
          <w:sz w:val="24"/>
        </w:rPr>
        <w:t>评审标准相应的商务技术资料；</w:t>
      </w:r>
    </w:p>
    <w:p w14:paraId="096E4B0E">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w:t>
      </w:r>
      <w:r>
        <w:rPr>
          <w:rFonts w:hint="eastAsia" w:ascii="仿宋" w:hAnsi="仿宋" w:eastAsia="仿宋" w:cs="仿宋"/>
          <w:color w:val="auto"/>
          <w:sz w:val="24"/>
          <w:lang w:val="en-US" w:eastAsia="zh-CN"/>
        </w:rPr>
        <w:t>6</w:t>
      </w:r>
      <w:r>
        <w:rPr>
          <w:rFonts w:hint="eastAsia" w:ascii="仿宋" w:hAnsi="仿宋" w:eastAsia="仿宋" w:cs="仿宋"/>
          <w:color w:val="auto"/>
          <w:sz w:val="24"/>
        </w:rPr>
        <w:t>交易标的清单；</w:t>
      </w:r>
    </w:p>
    <w:p w14:paraId="603125F7">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w:t>
      </w:r>
      <w:r>
        <w:rPr>
          <w:rFonts w:hint="eastAsia" w:ascii="仿宋" w:hAnsi="仿宋" w:eastAsia="仿宋" w:cs="仿宋"/>
          <w:color w:val="auto"/>
          <w:sz w:val="24"/>
          <w:lang w:val="en-US" w:eastAsia="zh-CN"/>
        </w:rPr>
        <w:t>6</w:t>
      </w:r>
      <w:r>
        <w:rPr>
          <w:rFonts w:hint="eastAsia" w:ascii="仿宋" w:hAnsi="仿宋" w:eastAsia="仿宋" w:cs="仿宋"/>
          <w:color w:val="auto"/>
          <w:sz w:val="24"/>
        </w:rPr>
        <w:t>商务技术偏离表；</w:t>
      </w:r>
    </w:p>
    <w:p w14:paraId="2D28168D">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10.2.</w:t>
      </w:r>
      <w:r>
        <w:rPr>
          <w:rFonts w:hint="eastAsia" w:ascii="仿宋" w:hAnsi="仿宋" w:eastAsia="仿宋" w:cs="仿宋"/>
          <w:color w:val="auto"/>
          <w:sz w:val="24"/>
          <w:lang w:val="en-US" w:eastAsia="zh-CN"/>
        </w:rPr>
        <w:t>7</w:t>
      </w:r>
      <w:r>
        <w:rPr>
          <w:rFonts w:hint="eastAsia" w:ascii="仿宋" w:hAnsi="仿宋" w:eastAsia="仿宋" w:cs="仿宋"/>
          <w:color w:val="auto"/>
          <w:sz w:val="24"/>
          <w:lang w:val="zh-CN"/>
        </w:rPr>
        <w:t>采购供应商廉洁自律承诺书；</w:t>
      </w:r>
    </w:p>
    <w:p w14:paraId="27D65F40">
      <w:pPr>
        <w:snapToGrid w:val="0"/>
        <w:spacing w:line="360" w:lineRule="auto"/>
        <w:ind w:firstLine="482" w:firstLineChars="200"/>
        <w:rPr>
          <w:rFonts w:hint="eastAsia" w:ascii="仿宋" w:hAnsi="仿宋" w:eastAsia="仿宋" w:cs="仿宋"/>
          <w:b/>
          <w:bCs/>
          <w:color w:val="auto"/>
          <w:sz w:val="24"/>
          <w:u w:val="single"/>
          <w:lang w:val="zh-CN"/>
        </w:rPr>
      </w:pPr>
      <w:r>
        <w:rPr>
          <w:rFonts w:hint="eastAsia" w:ascii="仿宋" w:hAnsi="仿宋" w:eastAsia="仿宋" w:cs="仿宋"/>
          <w:b/>
          <w:bCs/>
          <w:color w:val="auto"/>
          <w:kern w:val="0"/>
          <w:sz w:val="24"/>
          <w:lang w:val="zh-CN"/>
        </w:rPr>
        <w:t>1</w:t>
      </w:r>
      <w:r>
        <w:rPr>
          <w:rFonts w:hint="eastAsia" w:ascii="仿宋" w:hAnsi="仿宋" w:eastAsia="仿宋" w:cs="仿宋"/>
          <w:b/>
          <w:bCs/>
          <w:color w:val="auto"/>
          <w:kern w:val="0"/>
          <w:sz w:val="24"/>
        </w:rPr>
        <w:t>0</w:t>
      </w:r>
      <w:r>
        <w:rPr>
          <w:rFonts w:hint="eastAsia" w:ascii="仿宋" w:hAnsi="仿宋" w:eastAsia="仿宋" w:cs="仿宋"/>
          <w:b/>
          <w:bCs/>
          <w:color w:val="auto"/>
          <w:kern w:val="0"/>
          <w:sz w:val="24"/>
          <w:lang w:val="zh-CN"/>
        </w:rPr>
        <w:t>.</w:t>
      </w:r>
      <w:r>
        <w:rPr>
          <w:rFonts w:hint="eastAsia" w:ascii="仿宋" w:hAnsi="仿宋" w:eastAsia="仿宋" w:cs="仿宋"/>
          <w:b/>
          <w:bCs/>
          <w:color w:val="auto"/>
          <w:kern w:val="0"/>
          <w:sz w:val="24"/>
        </w:rPr>
        <w:t>3</w:t>
      </w:r>
      <w:r>
        <w:rPr>
          <w:rFonts w:hint="eastAsia" w:ascii="仿宋" w:hAnsi="仿宋" w:eastAsia="仿宋" w:cs="仿宋"/>
          <w:b/>
          <w:bCs/>
          <w:color w:val="auto"/>
          <w:sz w:val="24"/>
        </w:rPr>
        <w:t xml:space="preserve">报价文件： </w:t>
      </w:r>
    </w:p>
    <w:p w14:paraId="44FCF41C">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10.3.1交易一览表（报价表）；</w:t>
      </w:r>
    </w:p>
    <w:p w14:paraId="098BE747">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0</w:t>
      </w:r>
      <w:r>
        <w:rPr>
          <w:rFonts w:hint="eastAsia" w:ascii="仿宋" w:hAnsi="仿宋" w:eastAsia="仿宋" w:cs="仿宋"/>
          <w:color w:val="auto"/>
          <w:sz w:val="24"/>
        </w:rPr>
        <w:t>.3.2报价情况说明（如供应商报价低于项目预算50%的，应当提交本文档，详细阐述不影响产品质量或者诚信履约的具体原因）；</w:t>
      </w:r>
    </w:p>
    <w:p w14:paraId="6E5B396F">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0</w:t>
      </w:r>
      <w:r>
        <w:rPr>
          <w:rFonts w:hint="eastAsia" w:ascii="仿宋" w:hAnsi="仿宋" w:eastAsia="仿宋" w:cs="仿宋"/>
          <w:color w:val="auto"/>
          <w:sz w:val="24"/>
        </w:rPr>
        <w:t>.3.3供应商针对报价需要说明的其他文件和资料（格式自拟）。</w:t>
      </w:r>
    </w:p>
    <w:p w14:paraId="1F0CF44C">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响应文件含有采购人不能接受的附加条件的，交易无效；</w:t>
      </w:r>
    </w:p>
    <w:p w14:paraId="4610120B">
      <w:pPr>
        <w:spacing w:line="360" w:lineRule="auto"/>
        <w:ind w:firstLine="482" w:firstLineChars="200"/>
        <w:rPr>
          <w:rFonts w:hint="eastAsia" w:ascii="仿宋" w:hAnsi="仿宋" w:eastAsia="仿宋" w:cs="仿宋"/>
          <w:b/>
          <w:color w:val="auto"/>
          <w:sz w:val="24"/>
          <w:szCs w:val="21"/>
        </w:rPr>
      </w:pPr>
      <w:r>
        <w:rPr>
          <w:rFonts w:hint="eastAsia" w:ascii="仿宋" w:hAnsi="仿宋" w:eastAsia="仿宋" w:cs="仿宋"/>
          <w:b/>
          <w:color w:val="auto"/>
          <w:sz w:val="24"/>
        </w:rPr>
        <w:t>供应商提供虚假材料交易的，交易无效。</w:t>
      </w:r>
    </w:p>
    <w:p w14:paraId="7D6B014B">
      <w:pPr>
        <w:pStyle w:val="130"/>
        <w:snapToGrid w:val="0"/>
        <w:spacing w:before="0"/>
        <w:ind w:firstLine="482"/>
        <w:outlineLvl w:val="0"/>
        <w:rPr>
          <w:rFonts w:hint="eastAsia" w:ascii="仿宋" w:hAnsi="仿宋" w:eastAsia="仿宋" w:cs="仿宋"/>
          <w:b/>
          <w:color w:val="auto"/>
          <w:szCs w:val="24"/>
        </w:rPr>
      </w:pPr>
      <w:r>
        <w:rPr>
          <w:rFonts w:hint="eastAsia" w:ascii="仿宋" w:hAnsi="仿宋" w:eastAsia="仿宋" w:cs="仿宋"/>
          <w:b/>
          <w:color w:val="auto"/>
          <w:szCs w:val="24"/>
        </w:rPr>
        <w:t>11</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响应文件的编制</w:t>
      </w:r>
    </w:p>
    <w:p w14:paraId="71CEB828">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0A6BA495">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2供应商进行电子交易（投标）应安装客户端软件—“乐采云(萧采云)电子交易客户端”，并按照交易文件和电子交易平台的要求编制并加密响应文件。供应商未按规定加密的响应文件，电子交易平台将拒收并提示。</w:t>
      </w:r>
    </w:p>
    <w:p w14:paraId="1822A654">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rPr>
        <w:t>1</w:t>
      </w:r>
      <w:r>
        <w:rPr>
          <w:rFonts w:hint="eastAsia" w:ascii="仿宋" w:hAnsi="仿宋" w:eastAsia="仿宋" w:cs="仿宋"/>
          <w:color w:val="auto"/>
          <w:kern w:val="0"/>
          <w:sz w:val="24"/>
          <w:lang w:val="zh-CN"/>
        </w:rPr>
        <w:t>.3使用“乐采云(萧采云)电子交易客户端”需要提前申领CA数字证书，申领流程请自行前往“浙江政府采购网-下载专区-电子交易客户端-CA驱动和申领流程”进行查阅。</w:t>
      </w:r>
    </w:p>
    <w:p w14:paraId="46409DD7">
      <w:pPr>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12.响应文件的签署、盖章</w:t>
      </w:r>
    </w:p>
    <w:p w14:paraId="6C2C67B8">
      <w:pPr>
        <w:pStyle w:val="130"/>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12.1响应文件按照交易文件第六部分格式要</w:t>
      </w:r>
      <w:r>
        <w:rPr>
          <w:rFonts w:hint="eastAsia" w:ascii="仿宋" w:hAnsi="仿宋" w:eastAsia="仿宋" w:cs="仿宋"/>
          <w:color w:val="auto"/>
        </w:rPr>
        <w:t>求进行签署、盖章。</w:t>
      </w:r>
      <w:r>
        <w:rPr>
          <w:rFonts w:hint="eastAsia" w:ascii="仿宋" w:hAnsi="仿宋" w:eastAsia="仿宋" w:cs="仿宋"/>
          <w:b/>
          <w:color w:val="auto"/>
        </w:rPr>
        <w:t>▲供应商的响应文件未按照交易文件要求签署、盖章的，其交易无效</w:t>
      </w:r>
      <w:r>
        <w:rPr>
          <w:rFonts w:hint="eastAsia" w:ascii="仿宋" w:hAnsi="仿宋" w:eastAsia="仿宋" w:cs="仿宋"/>
          <w:color w:val="auto"/>
          <w:szCs w:val="24"/>
        </w:rPr>
        <w:t>。</w:t>
      </w:r>
    </w:p>
    <w:p w14:paraId="32A19720">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12.2为确保网上操作合法、有效和安全，供应商应当在交易截止时间前完成在“政府采购云平台”的身份认证，确保在电子交易（投标）过程中能够对相关数据电文进行加密和使用电子签名。</w:t>
      </w:r>
    </w:p>
    <w:p w14:paraId="31225C79">
      <w:pPr>
        <w:pStyle w:val="130"/>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12.3交易文件对响应文件签署、盖章的要求适用于电子签名。</w:t>
      </w:r>
    </w:p>
    <w:p w14:paraId="664ADA14">
      <w:pPr>
        <w:pStyle w:val="130"/>
        <w:spacing w:before="0"/>
        <w:ind w:firstLine="482"/>
        <w:rPr>
          <w:rFonts w:hint="eastAsia" w:ascii="仿宋" w:hAnsi="仿宋" w:eastAsia="仿宋" w:cs="仿宋"/>
          <w:b/>
          <w:color w:val="auto"/>
          <w:szCs w:val="24"/>
        </w:rPr>
      </w:pPr>
      <w:r>
        <w:rPr>
          <w:rFonts w:hint="eastAsia" w:ascii="仿宋" w:hAnsi="仿宋" w:eastAsia="仿宋" w:cs="仿宋"/>
          <w:b/>
          <w:color w:val="auto"/>
          <w:szCs w:val="24"/>
        </w:rPr>
        <w:t>13. 响应文件的提交、补充、修改、撤回</w:t>
      </w:r>
    </w:p>
    <w:p w14:paraId="0D7464EC">
      <w:pPr>
        <w:pStyle w:val="130"/>
        <w:spacing w:before="0"/>
        <w:ind w:firstLine="480"/>
        <w:rPr>
          <w:rFonts w:hint="eastAsia" w:ascii="仿宋" w:hAnsi="仿宋" w:eastAsia="仿宋" w:cs="仿宋"/>
          <w:color w:val="auto"/>
          <w:szCs w:val="24"/>
        </w:rPr>
      </w:pPr>
      <w:r>
        <w:rPr>
          <w:rFonts w:hint="eastAsia" w:ascii="仿宋" w:hAnsi="仿宋" w:eastAsia="仿宋" w:cs="仿宋"/>
          <w:color w:val="auto"/>
          <w:szCs w:val="24"/>
        </w:rPr>
        <w:t>13.1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7701160D">
      <w:pPr>
        <w:pStyle w:val="130"/>
        <w:spacing w:before="0"/>
        <w:ind w:firstLine="480"/>
        <w:rPr>
          <w:rFonts w:hint="eastAsia" w:ascii="仿宋" w:hAnsi="仿宋" w:eastAsia="仿宋" w:cs="仿宋"/>
          <w:color w:val="auto"/>
          <w:szCs w:val="24"/>
        </w:rPr>
      </w:pPr>
      <w:r>
        <w:rPr>
          <w:rFonts w:hint="eastAsia" w:ascii="仿宋" w:hAnsi="仿宋" w:eastAsia="仿宋" w:cs="仿宋"/>
          <w:color w:val="auto"/>
          <w:szCs w:val="24"/>
        </w:rPr>
        <w:t>13.2电子交易平台收到响应文件，将妥善保存并及时向供应商发出确认回执通知。在交易截止时间前，除供应商补充、修改或者撤回响应文件外，任何单位和个人不得解密或提取响应文件。</w:t>
      </w:r>
    </w:p>
    <w:p w14:paraId="36CFDA82">
      <w:pPr>
        <w:pStyle w:val="130"/>
        <w:spacing w:before="0"/>
        <w:ind w:firstLine="480"/>
        <w:rPr>
          <w:rFonts w:hint="eastAsia" w:ascii="仿宋" w:hAnsi="仿宋" w:eastAsia="仿宋" w:cs="仿宋"/>
          <w:color w:val="auto"/>
          <w:szCs w:val="24"/>
        </w:rPr>
      </w:pPr>
      <w:r>
        <w:rPr>
          <w:rFonts w:hint="eastAsia" w:ascii="仿宋" w:hAnsi="仿宋" w:eastAsia="仿宋" w:cs="仿宋"/>
          <w:color w:val="auto"/>
          <w:szCs w:val="24"/>
        </w:rPr>
        <w:t>13.3采购人、采购机构可以视情况延长响应文件提交的截止时间。在上述情况下，采购机构与供应商以前在交易截止期方面的全部权利、责任和义务，将适用于延长至新的交易截止期。</w:t>
      </w:r>
    </w:p>
    <w:p w14:paraId="7594A7DC">
      <w:pPr>
        <w:pStyle w:val="32"/>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14.备份响应文件</w:t>
      </w:r>
    </w:p>
    <w:p w14:paraId="1E0DB7DC">
      <w:pPr>
        <w:pStyle w:val="32"/>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本项目不收取备份响应文件</w:t>
      </w:r>
    </w:p>
    <w:p w14:paraId="36436538">
      <w:pPr>
        <w:pStyle w:val="130"/>
        <w:spacing w:before="0"/>
        <w:ind w:firstLine="482"/>
        <w:rPr>
          <w:rFonts w:hint="eastAsia" w:ascii="仿宋" w:hAnsi="仿宋" w:eastAsia="仿宋" w:cs="仿宋"/>
          <w:b/>
          <w:color w:val="auto"/>
          <w:szCs w:val="24"/>
        </w:rPr>
      </w:pPr>
      <w:r>
        <w:rPr>
          <w:rFonts w:hint="eastAsia" w:ascii="仿宋" w:hAnsi="仿宋" w:eastAsia="仿宋" w:cs="仿宋"/>
          <w:b/>
          <w:color w:val="auto"/>
          <w:szCs w:val="24"/>
        </w:rPr>
        <w:t>15.响应文件的无效处理</w:t>
      </w:r>
    </w:p>
    <w:p w14:paraId="68B1A471">
      <w:pPr>
        <w:pStyle w:val="16"/>
        <w:spacing w:line="360" w:lineRule="auto"/>
        <w:rPr>
          <w:rFonts w:hint="eastAsia" w:ascii="仿宋" w:hAnsi="仿宋" w:eastAsia="仿宋" w:cs="仿宋"/>
          <w:color w:val="auto"/>
          <w:szCs w:val="21"/>
        </w:rPr>
      </w:pPr>
      <w:r>
        <w:rPr>
          <w:rFonts w:hint="eastAsia" w:ascii="仿宋" w:hAnsi="仿宋" w:eastAsia="仿宋" w:cs="仿宋"/>
          <w:color w:val="auto"/>
          <w:szCs w:val="21"/>
        </w:rPr>
        <w:t>有交易文件第四部分</w:t>
      </w:r>
      <w:r>
        <w:rPr>
          <w:rFonts w:hint="eastAsia" w:ascii="仿宋" w:hAnsi="仿宋" w:eastAsia="仿宋" w:cs="仿宋"/>
          <w:color w:val="auto"/>
        </w:rPr>
        <w:t>4.2规定</w:t>
      </w:r>
      <w:r>
        <w:rPr>
          <w:rFonts w:hint="eastAsia" w:ascii="仿宋" w:hAnsi="仿宋" w:eastAsia="仿宋" w:cs="仿宋"/>
          <w:color w:val="auto"/>
          <w:szCs w:val="21"/>
        </w:rPr>
        <w:t>的情形之一的，交易无效：</w:t>
      </w:r>
    </w:p>
    <w:p w14:paraId="3851CB39">
      <w:pPr>
        <w:pStyle w:val="130"/>
        <w:spacing w:before="0"/>
        <w:ind w:firstLine="482"/>
        <w:rPr>
          <w:rFonts w:hint="eastAsia" w:ascii="仿宋" w:hAnsi="仿宋" w:eastAsia="仿宋" w:cs="仿宋"/>
          <w:b/>
          <w:color w:val="auto"/>
          <w:szCs w:val="24"/>
        </w:rPr>
      </w:pPr>
      <w:r>
        <w:rPr>
          <w:rFonts w:hint="eastAsia" w:ascii="仿宋" w:hAnsi="仿宋" w:eastAsia="仿宋" w:cs="仿宋"/>
          <w:b/>
          <w:color w:val="auto"/>
          <w:szCs w:val="24"/>
        </w:rPr>
        <w:t>16.交易有效期</w:t>
      </w:r>
    </w:p>
    <w:p w14:paraId="297A58DE">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16.1交易有效期为从提交响应文件的截止之日起90天。▲</w:t>
      </w:r>
      <w:r>
        <w:rPr>
          <w:rFonts w:hint="eastAsia" w:ascii="仿宋" w:hAnsi="仿宋" w:eastAsia="仿宋" w:cs="仿宋"/>
          <w:b/>
          <w:color w:val="auto"/>
          <w:sz w:val="24"/>
          <w:szCs w:val="20"/>
        </w:rPr>
        <w:t>供应商的响应文件中承</w:t>
      </w:r>
      <w:r>
        <w:rPr>
          <w:rFonts w:hint="eastAsia" w:ascii="仿宋" w:hAnsi="仿宋" w:eastAsia="仿宋" w:cs="仿宋"/>
          <w:b/>
          <w:color w:val="auto"/>
          <w:sz w:val="24"/>
          <w:szCs w:val="21"/>
        </w:rPr>
        <w:t>诺的交易有效期少于交易文件中载明的交易有效期的，交易无效。</w:t>
      </w:r>
    </w:p>
    <w:p w14:paraId="728F9B69">
      <w:pPr>
        <w:pStyle w:val="130"/>
        <w:spacing w:before="0"/>
        <w:ind w:firstLine="480"/>
        <w:rPr>
          <w:rFonts w:hint="eastAsia" w:ascii="仿宋" w:hAnsi="仿宋" w:eastAsia="仿宋" w:cs="仿宋"/>
          <w:color w:val="auto"/>
        </w:rPr>
      </w:pPr>
      <w:r>
        <w:rPr>
          <w:rFonts w:hint="eastAsia" w:ascii="仿宋" w:hAnsi="仿宋" w:eastAsia="仿宋" w:cs="仿宋"/>
          <w:color w:val="auto"/>
        </w:rPr>
        <w:t>16.2响应文件合格投递后，自交易截止日期起，在交易有效期内有效。</w:t>
      </w:r>
    </w:p>
    <w:p w14:paraId="275E1B45">
      <w:pPr>
        <w:pStyle w:val="130"/>
        <w:spacing w:before="0"/>
        <w:ind w:firstLine="480"/>
        <w:rPr>
          <w:rFonts w:hint="eastAsia" w:ascii="仿宋" w:hAnsi="仿宋" w:eastAsia="仿宋" w:cs="仿宋"/>
          <w:color w:val="auto"/>
        </w:rPr>
      </w:pPr>
      <w:r>
        <w:rPr>
          <w:rFonts w:hint="eastAsia" w:ascii="仿宋" w:hAnsi="仿宋" w:eastAsia="仿宋" w:cs="仿宋"/>
          <w:color w:val="auto"/>
        </w:rPr>
        <w:t>16.3在原定交易有效期满之前，如果出现特殊情况，采购机构可以以书面形式通知供应商延长交易有效期。供应商同意延长的，不得要求或被允许修改其响应文件，供应商拒绝延长的，其交易无效。</w:t>
      </w:r>
    </w:p>
    <w:p w14:paraId="3C65F442">
      <w:pPr>
        <w:pStyle w:val="130"/>
        <w:spacing w:before="0"/>
        <w:ind w:firstLine="643"/>
        <w:rPr>
          <w:rFonts w:hint="eastAsia" w:ascii="仿宋" w:hAnsi="仿宋" w:eastAsia="仿宋" w:cs="仿宋"/>
          <w:b/>
          <w:color w:val="auto"/>
          <w:sz w:val="32"/>
        </w:rPr>
      </w:pPr>
    </w:p>
    <w:p w14:paraId="40915F5F">
      <w:pPr>
        <w:pStyle w:val="130"/>
        <w:spacing w:before="0"/>
        <w:ind w:firstLine="0" w:firstLineChars="0"/>
        <w:jc w:val="center"/>
        <w:rPr>
          <w:rFonts w:hint="eastAsia" w:ascii="仿宋" w:hAnsi="仿宋" w:eastAsia="仿宋" w:cs="仿宋"/>
          <w:b/>
          <w:color w:val="auto"/>
          <w:sz w:val="32"/>
        </w:rPr>
      </w:pPr>
      <w:r>
        <w:rPr>
          <w:rFonts w:hint="eastAsia" w:ascii="仿宋" w:hAnsi="仿宋" w:eastAsia="仿宋" w:cs="仿宋"/>
          <w:b/>
          <w:color w:val="auto"/>
          <w:sz w:val="32"/>
        </w:rPr>
        <w:t>四、交易、资格审查</w:t>
      </w:r>
    </w:p>
    <w:p w14:paraId="483B3C5E">
      <w:pPr>
        <w:pStyle w:val="556"/>
        <w:spacing w:before="0" w:line="360" w:lineRule="auto"/>
        <w:ind w:left="0" w:firstLine="482" w:firstLineChars="200"/>
        <w:contextualSpacing/>
        <w:rPr>
          <w:rFonts w:hint="eastAsia" w:ascii="仿宋" w:hAnsi="仿宋" w:eastAsia="仿宋" w:cs="仿宋"/>
          <w:color w:val="auto"/>
          <w:sz w:val="24"/>
        </w:rPr>
      </w:pPr>
      <w:r>
        <w:rPr>
          <w:rFonts w:hint="eastAsia" w:ascii="仿宋" w:hAnsi="仿宋" w:eastAsia="仿宋" w:cs="仿宋"/>
          <w:b/>
          <w:color w:val="auto"/>
          <w:sz w:val="24"/>
          <w:szCs w:val="24"/>
        </w:rPr>
        <w:t>17.交易</w:t>
      </w:r>
    </w:p>
    <w:p w14:paraId="174B4432">
      <w:pPr>
        <w:pStyle w:val="556"/>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17.1采购机构按照交易文件规定的时间通过电子交易平台组织开标，所有供应商均应当准时在线参加。供应商不足3家的，不得交易。</w:t>
      </w:r>
    </w:p>
    <w:p w14:paraId="5A950A5E">
      <w:pPr>
        <w:pStyle w:val="556"/>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17.2交易时，电子交易平台按交易时间自动提取所有响应文件。采购机构依托电子交易平台发起开始解密指令，供应商按照平台提示和交易文件的规定在半小时内完成在线解密。</w:t>
      </w:r>
    </w:p>
    <w:p w14:paraId="3A9D4804">
      <w:pPr>
        <w:pStyle w:val="556"/>
        <w:spacing w:before="0" w:line="360" w:lineRule="auto"/>
        <w:ind w:left="0" w:firstLine="480" w:firstLineChars="200"/>
        <w:contextualSpacing/>
        <w:rPr>
          <w:rFonts w:hint="eastAsia" w:ascii="仿宋" w:hAnsi="仿宋" w:eastAsia="仿宋" w:cs="仿宋"/>
          <w:b/>
          <w:color w:val="auto"/>
          <w:sz w:val="24"/>
        </w:rPr>
      </w:pPr>
      <w:r>
        <w:rPr>
          <w:rFonts w:hint="eastAsia" w:ascii="仿宋" w:hAnsi="仿宋" w:eastAsia="仿宋" w:cs="仿宋"/>
          <w:color w:val="auto"/>
          <w:sz w:val="24"/>
        </w:rPr>
        <w:t>17.3</w:t>
      </w:r>
      <w:r>
        <w:rPr>
          <w:rFonts w:hint="eastAsia" w:ascii="仿宋" w:hAnsi="仿宋" w:eastAsia="仿宋" w:cs="仿宋"/>
          <w:b/>
          <w:color w:val="auto"/>
          <w:sz w:val="24"/>
        </w:rPr>
        <w:t>响应文件未按时解密，供应商提供了备份响应文件的，以备份响应文件作为依据，否则视为响应文件撤回。响应文件已按时解密的，备份响应文件自动失效。</w:t>
      </w:r>
    </w:p>
    <w:p w14:paraId="4603525F">
      <w:pPr>
        <w:pStyle w:val="556"/>
        <w:spacing w:before="0" w:line="360" w:lineRule="auto"/>
        <w:ind w:left="0" w:firstLine="482" w:firstLineChars="200"/>
        <w:contextualSpacing/>
        <w:rPr>
          <w:rFonts w:hint="eastAsia" w:ascii="仿宋" w:hAnsi="仿宋" w:eastAsia="仿宋" w:cs="仿宋"/>
          <w:b/>
          <w:color w:val="auto"/>
          <w:sz w:val="24"/>
        </w:rPr>
      </w:pPr>
      <w:r>
        <w:rPr>
          <w:rFonts w:hint="eastAsia" w:ascii="仿宋" w:hAnsi="仿宋" w:eastAsia="仿宋" w:cs="仿宋"/>
          <w:b/>
          <w:color w:val="auto"/>
          <w:sz w:val="24"/>
        </w:rPr>
        <w:t>18、资格审查</w:t>
      </w:r>
    </w:p>
    <w:p w14:paraId="1D426C67">
      <w:pPr>
        <w:pStyle w:val="556"/>
        <w:spacing w:before="0" w:line="360" w:lineRule="auto"/>
        <w:ind w:left="0" w:firstLine="480" w:firstLineChars="200"/>
        <w:contextualSpacing/>
        <w:rPr>
          <w:rFonts w:hint="eastAsia" w:ascii="仿宋" w:hAnsi="仿宋" w:eastAsia="仿宋" w:cs="仿宋"/>
          <w:color w:val="auto"/>
          <w:sz w:val="24"/>
          <w:szCs w:val="22"/>
        </w:rPr>
      </w:pPr>
      <w:r>
        <w:rPr>
          <w:rFonts w:hint="eastAsia" w:ascii="仿宋" w:hAnsi="仿宋" w:eastAsia="仿宋" w:cs="仿宋"/>
          <w:color w:val="auto"/>
          <w:sz w:val="24"/>
          <w:szCs w:val="22"/>
        </w:rPr>
        <w:t>18.1交易后，采购人或采购机构将依法对供应商的资格进行审查。</w:t>
      </w:r>
    </w:p>
    <w:p w14:paraId="0F13CB58">
      <w:pPr>
        <w:pStyle w:val="556"/>
        <w:spacing w:before="0" w:line="360" w:lineRule="auto"/>
        <w:ind w:left="0" w:firstLine="480" w:firstLineChars="200"/>
        <w:contextualSpacing/>
        <w:rPr>
          <w:rFonts w:hint="eastAsia" w:ascii="仿宋" w:hAnsi="仿宋" w:eastAsia="仿宋" w:cs="仿宋"/>
          <w:color w:val="auto"/>
          <w:sz w:val="24"/>
          <w:szCs w:val="22"/>
        </w:rPr>
      </w:pPr>
      <w:r>
        <w:rPr>
          <w:rFonts w:hint="eastAsia" w:ascii="仿宋" w:hAnsi="仿宋" w:eastAsia="仿宋" w:cs="仿宋"/>
          <w:color w:val="auto"/>
          <w:sz w:val="24"/>
          <w:szCs w:val="22"/>
        </w:rPr>
        <w:t>18.2采购人或采购机构依据法律法规和交易文件的规定，对供应商的基本资格条件、特定资格条件进行审查。</w:t>
      </w:r>
    </w:p>
    <w:p w14:paraId="634A3FEC">
      <w:pPr>
        <w:pStyle w:val="556"/>
        <w:spacing w:before="0" w:line="360" w:lineRule="auto"/>
        <w:ind w:left="0" w:firstLine="480" w:firstLineChars="200"/>
        <w:contextualSpacing/>
        <w:rPr>
          <w:rFonts w:hint="eastAsia" w:ascii="仿宋" w:hAnsi="仿宋" w:eastAsia="仿宋" w:cs="仿宋"/>
          <w:color w:val="auto"/>
          <w:sz w:val="24"/>
          <w:szCs w:val="22"/>
        </w:rPr>
      </w:pPr>
      <w:r>
        <w:rPr>
          <w:rFonts w:hint="eastAsia" w:ascii="仿宋" w:hAnsi="仿宋" w:eastAsia="仿宋" w:cs="仿宋"/>
          <w:color w:val="auto"/>
          <w:sz w:val="24"/>
          <w:szCs w:val="22"/>
        </w:rPr>
        <w:t>18.3供应商未按照交易文件要求提供与基本资格条件、特定资格条件相应的有效资格证明材料的，视为供应商不具备交易文件中规定的资格要求，其响应无效。</w:t>
      </w:r>
    </w:p>
    <w:p w14:paraId="16359C8C">
      <w:pPr>
        <w:pStyle w:val="556"/>
        <w:spacing w:before="0" w:line="360" w:lineRule="auto"/>
        <w:ind w:left="0" w:firstLine="480" w:firstLineChars="200"/>
        <w:contextualSpacing/>
        <w:rPr>
          <w:rFonts w:hint="eastAsia" w:ascii="仿宋" w:hAnsi="仿宋" w:eastAsia="仿宋" w:cs="仿宋"/>
          <w:color w:val="auto"/>
          <w:sz w:val="24"/>
          <w:szCs w:val="22"/>
        </w:rPr>
      </w:pPr>
      <w:r>
        <w:rPr>
          <w:rFonts w:hint="eastAsia" w:ascii="仿宋" w:hAnsi="仿宋" w:eastAsia="仿宋" w:cs="仿宋"/>
          <w:color w:val="auto"/>
          <w:sz w:val="24"/>
          <w:szCs w:val="22"/>
        </w:rPr>
        <w:t>18.4对未通过资格审查的供应商，采购人或采购机构告知其未通过的原因。</w:t>
      </w:r>
    </w:p>
    <w:p w14:paraId="6A1C3421">
      <w:pPr>
        <w:pStyle w:val="556"/>
        <w:spacing w:before="0" w:line="360" w:lineRule="auto"/>
        <w:ind w:left="0" w:firstLine="480" w:firstLineChars="200"/>
        <w:contextualSpacing/>
        <w:rPr>
          <w:rFonts w:hint="eastAsia" w:ascii="仿宋" w:hAnsi="仿宋" w:eastAsia="仿宋" w:cs="仿宋"/>
          <w:color w:val="auto"/>
          <w:szCs w:val="24"/>
        </w:rPr>
      </w:pPr>
      <w:r>
        <w:rPr>
          <w:rFonts w:hint="eastAsia" w:ascii="仿宋" w:hAnsi="仿宋" w:eastAsia="仿宋" w:cs="仿宋"/>
          <w:color w:val="auto"/>
          <w:sz w:val="24"/>
          <w:szCs w:val="22"/>
        </w:rPr>
        <w:t>18.5合格供应商不足3家的，不再评标。</w:t>
      </w:r>
    </w:p>
    <w:p w14:paraId="1C54CD84">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五、评标</w:t>
      </w:r>
    </w:p>
    <w:p w14:paraId="716DBD92">
      <w:pPr>
        <w:spacing w:line="360" w:lineRule="auto"/>
        <w:ind w:firstLine="482" w:firstLineChars="200"/>
        <w:rPr>
          <w:rFonts w:hint="eastAsia" w:ascii="仿宋" w:hAnsi="仿宋" w:eastAsia="仿宋" w:cs="仿宋"/>
          <w:b/>
          <w:color w:val="auto"/>
          <w:sz w:val="24"/>
        </w:rPr>
      </w:pPr>
      <w:bookmarkStart w:id="16" w:name="_Toc91899903"/>
      <w:r>
        <w:rPr>
          <w:rFonts w:hint="eastAsia" w:ascii="仿宋" w:hAnsi="仿宋" w:eastAsia="仿宋" w:cs="仿宋"/>
          <w:b/>
          <w:color w:val="auto"/>
          <w:sz w:val="24"/>
        </w:rPr>
        <w:t>19.</w:t>
      </w:r>
      <w:r>
        <w:rPr>
          <w:rFonts w:hint="eastAsia" w:ascii="仿宋" w:hAnsi="仿宋" w:eastAsia="仿宋" w:cs="仿宋"/>
          <w:color w:val="auto"/>
          <w:sz w:val="24"/>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仿宋" w:hAnsi="仿宋" w:eastAsia="仿宋" w:cs="仿宋"/>
          <w:b/>
          <w:color w:val="auto"/>
          <w:sz w:val="24"/>
        </w:rPr>
        <w:t>详见交易文件第四部分评标办法。</w:t>
      </w:r>
    </w:p>
    <w:p w14:paraId="3DE2FA07">
      <w:pPr>
        <w:spacing w:line="360" w:lineRule="auto"/>
        <w:rPr>
          <w:rFonts w:hint="eastAsia" w:ascii="仿宋" w:hAnsi="仿宋" w:eastAsia="仿宋" w:cs="仿宋"/>
          <w:b/>
          <w:color w:val="auto"/>
          <w:sz w:val="24"/>
        </w:rPr>
      </w:pPr>
    </w:p>
    <w:p w14:paraId="3E12A4A4">
      <w:pPr>
        <w:snapToGrid w:val="0"/>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六、定 标</w:t>
      </w:r>
    </w:p>
    <w:p w14:paraId="2DED98FD">
      <w:pPr>
        <w:pStyle w:val="16"/>
        <w:spacing w:line="360" w:lineRule="auto"/>
        <w:ind w:left="479" w:leftChars="228" w:firstLine="0" w:firstLineChars="0"/>
        <w:rPr>
          <w:rFonts w:hint="eastAsia" w:ascii="仿宋" w:hAnsi="仿宋" w:eastAsia="仿宋" w:cs="仿宋"/>
          <w:b/>
          <w:color w:val="auto"/>
        </w:rPr>
      </w:pPr>
      <w:r>
        <w:rPr>
          <w:rFonts w:hint="eastAsia" w:ascii="仿宋" w:hAnsi="仿宋" w:eastAsia="仿宋" w:cs="仿宋"/>
          <w:b/>
          <w:color w:val="auto"/>
        </w:rPr>
        <w:t>20. 确定成交供应商</w:t>
      </w:r>
    </w:p>
    <w:p w14:paraId="5ADEA3F0">
      <w:pPr>
        <w:pStyle w:val="130"/>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采购人将自收到评审报告之日起5个工作日内通过电子交易平台在评审报告推荐的成交候选人中按顺序确定成交供应商。</w:t>
      </w:r>
    </w:p>
    <w:p w14:paraId="4A1B0D0C">
      <w:pPr>
        <w:pStyle w:val="130"/>
        <w:snapToGrid w:val="0"/>
        <w:spacing w:before="0"/>
        <w:ind w:firstLine="482"/>
        <w:rPr>
          <w:rFonts w:hint="eastAsia" w:ascii="仿宋" w:hAnsi="仿宋" w:eastAsia="仿宋" w:cs="仿宋"/>
          <w:b/>
          <w:color w:val="auto"/>
          <w:szCs w:val="24"/>
        </w:rPr>
      </w:pPr>
      <w:r>
        <w:rPr>
          <w:rFonts w:hint="eastAsia" w:ascii="仿宋" w:hAnsi="仿宋" w:eastAsia="仿宋" w:cs="仿宋"/>
          <w:b/>
          <w:color w:val="auto"/>
          <w:szCs w:val="24"/>
        </w:rPr>
        <w:t>21. 成交通知与成交结果公告</w:t>
      </w:r>
    </w:p>
    <w:p w14:paraId="319F0EE2">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21.1自成交人确定之日起2个工作日内，采购机构通过电子交易平台向成交人发出成交通知书，同时编制发布采购结果公告。采购机构也可以以纸质形式进行成交通知。</w:t>
      </w:r>
    </w:p>
    <w:p w14:paraId="4D0F0ECA">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21.2成交结果公告内容包括采购人及其委托的采购机构的名称、地址、联系方式，项目名称和项目编号，成交人名称、地址和成交金额，主要成交标的的名称、规格型号、数量、单价、服务要求。</w:t>
      </w:r>
    </w:p>
    <w:p w14:paraId="4D7614E0">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21.3公告期限为1个工作日。</w:t>
      </w:r>
    </w:p>
    <w:p w14:paraId="093600F0">
      <w:pPr>
        <w:snapToGrid w:val="0"/>
        <w:spacing w:line="360" w:lineRule="auto"/>
        <w:ind w:left="120" w:leftChars="57" w:firstLine="482" w:firstLineChars="150"/>
        <w:jc w:val="center"/>
        <w:rPr>
          <w:rFonts w:hint="eastAsia" w:ascii="仿宋" w:hAnsi="仿宋" w:eastAsia="仿宋" w:cs="仿宋"/>
          <w:b/>
          <w:color w:val="auto"/>
          <w:sz w:val="32"/>
        </w:rPr>
      </w:pPr>
    </w:p>
    <w:p w14:paraId="2C59D35F">
      <w:pPr>
        <w:snapToGrid w:val="0"/>
        <w:spacing w:line="360" w:lineRule="auto"/>
        <w:ind w:left="120" w:leftChars="57" w:firstLine="482" w:firstLineChars="150"/>
        <w:jc w:val="center"/>
        <w:rPr>
          <w:rFonts w:hint="eastAsia" w:ascii="仿宋" w:hAnsi="仿宋" w:eastAsia="仿宋" w:cs="仿宋"/>
          <w:b/>
          <w:color w:val="auto"/>
        </w:rPr>
      </w:pPr>
      <w:r>
        <w:rPr>
          <w:rFonts w:hint="eastAsia" w:ascii="仿宋" w:hAnsi="仿宋" w:eastAsia="仿宋" w:cs="仿宋"/>
          <w:b/>
          <w:color w:val="auto"/>
          <w:sz w:val="32"/>
        </w:rPr>
        <w:t>七、合同授予</w:t>
      </w:r>
    </w:p>
    <w:p w14:paraId="2D570B91">
      <w:pPr>
        <w:pStyle w:val="16"/>
        <w:spacing w:line="360" w:lineRule="auto"/>
        <w:ind w:left="479" w:leftChars="228" w:firstLine="0" w:firstLineChars="0"/>
        <w:rPr>
          <w:rFonts w:hint="eastAsia" w:ascii="仿宋" w:hAnsi="仿宋" w:eastAsia="仿宋" w:cs="仿宋"/>
          <w:b/>
          <w:color w:val="auto"/>
        </w:rPr>
      </w:pPr>
      <w:r>
        <w:rPr>
          <w:rFonts w:hint="eastAsia" w:ascii="仿宋" w:hAnsi="仿宋" w:eastAsia="仿宋" w:cs="仿宋"/>
          <w:b/>
          <w:color w:val="auto"/>
        </w:rPr>
        <w:t>22. 合同的签订</w:t>
      </w:r>
    </w:p>
    <w:p w14:paraId="0713DF01">
      <w:pPr>
        <w:widowControl/>
        <w:shd w:val="clear" w:color="auto" w:fill="FFFFFF"/>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22.1</w:t>
      </w:r>
      <w:r>
        <w:rPr>
          <w:rFonts w:hint="eastAsia" w:ascii="仿宋" w:hAnsi="仿宋" w:eastAsia="仿宋" w:cs="仿宋"/>
          <w:color w:val="auto"/>
          <w:kern w:val="0"/>
          <w:sz w:val="24"/>
        </w:rPr>
        <w:t xml:space="preserve"> 采购人与成交人应当通过电子交易平台在成交通知书发出之日起三十日内，按照交易文件确定的事项签订采购合同。</w:t>
      </w:r>
    </w:p>
    <w:p w14:paraId="3BBB9B2A">
      <w:pPr>
        <w:widowControl/>
        <w:shd w:val="clear" w:color="auto" w:fill="FFFFFF"/>
        <w:spacing w:line="360" w:lineRule="auto"/>
        <w:ind w:firstLine="480"/>
        <w:jc w:val="left"/>
        <w:rPr>
          <w:rFonts w:hint="eastAsia" w:ascii="仿宋" w:hAnsi="仿宋" w:eastAsia="仿宋" w:cs="仿宋"/>
          <w:color w:val="auto"/>
          <w:kern w:val="0"/>
        </w:rPr>
      </w:pPr>
      <w:r>
        <w:rPr>
          <w:rFonts w:hint="eastAsia" w:ascii="仿宋" w:hAnsi="仿宋" w:eastAsia="仿宋" w:cs="仿宋"/>
          <w:color w:val="auto"/>
          <w:kern w:val="0"/>
          <w:lang w:val="zh-CN"/>
        </w:rPr>
        <w:t>2</w:t>
      </w:r>
      <w:r>
        <w:rPr>
          <w:rFonts w:hint="eastAsia" w:ascii="仿宋" w:hAnsi="仿宋" w:eastAsia="仿宋" w:cs="仿宋"/>
          <w:color w:val="auto"/>
          <w:kern w:val="0"/>
        </w:rPr>
        <w:t>2</w:t>
      </w:r>
      <w:r>
        <w:rPr>
          <w:rFonts w:hint="eastAsia" w:ascii="仿宋" w:hAnsi="仿宋" w:eastAsia="仿宋" w:cs="仿宋"/>
          <w:color w:val="auto"/>
          <w:kern w:val="0"/>
          <w:lang w:val="zh-CN"/>
        </w:rPr>
        <w:t>.2</w:t>
      </w:r>
      <w:r>
        <w:rPr>
          <w:rFonts w:hint="eastAsia" w:ascii="仿宋" w:hAnsi="仿宋" w:eastAsia="仿宋" w:cs="仿宋"/>
          <w:color w:val="auto"/>
          <w:kern w:val="0"/>
          <w:sz w:val="24"/>
          <w:lang w:val="zh-CN"/>
        </w:rPr>
        <w:t>成交人按规定的日期、时间、地点，由法定代表人或其授权代表与采购人代表签订合同。如成交人为联合体的，由联合体成员各方法定代表人或其授权代表与采购人代表签订合同。</w:t>
      </w:r>
    </w:p>
    <w:p w14:paraId="4653C8E4">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22.3如签订合同并生效后，供应商无故拒绝或延期，除按照合同条款处理外，列入不良行为记录一次，并给予通报。</w:t>
      </w:r>
    </w:p>
    <w:p w14:paraId="6062DCE3">
      <w:pPr>
        <w:pStyle w:val="130"/>
        <w:snapToGrid w:val="0"/>
        <w:spacing w:before="0"/>
        <w:ind w:firstLine="480"/>
        <w:rPr>
          <w:rFonts w:hint="eastAsia" w:ascii="仿宋" w:hAnsi="仿宋" w:eastAsia="仿宋" w:cs="仿宋"/>
          <w:color w:val="auto"/>
          <w:kern w:val="0"/>
          <w:szCs w:val="24"/>
        </w:rPr>
      </w:pPr>
      <w:r>
        <w:rPr>
          <w:rFonts w:hint="eastAsia" w:ascii="仿宋" w:hAnsi="仿宋" w:eastAsia="仿宋" w:cs="仿宋"/>
          <w:color w:val="auto"/>
        </w:rPr>
        <w:t>22.4成交</w:t>
      </w:r>
      <w:r>
        <w:rPr>
          <w:rFonts w:hint="eastAsia" w:ascii="仿宋" w:hAnsi="仿宋" w:eastAsia="仿宋" w:cs="仿宋"/>
          <w:color w:val="auto"/>
          <w:kern w:val="0"/>
          <w:szCs w:val="24"/>
        </w:rPr>
        <w:t>供应商拒绝与采购人签订合同的，采购人可以按照评审报告推荐的成交或者成交候选人名单排序，确定下一候选人为成交供应商，也可以重新开展采购活动。</w:t>
      </w:r>
    </w:p>
    <w:p w14:paraId="4A7609D2">
      <w:pPr>
        <w:pStyle w:val="130"/>
        <w:snapToGrid w:val="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22.5采购合同由采购人与成交供应商根据交易文件、响应文件等内容通过采购电子交易平台在线签订，自动备案。</w:t>
      </w:r>
    </w:p>
    <w:p w14:paraId="61E81522">
      <w:pPr>
        <w:pStyle w:val="16"/>
        <w:spacing w:line="360" w:lineRule="auto"/>
        <w:ind w:left="479" w:leftChars="228" w:firstLine="0" w:firstLineChars="0"/>
        <w:rPr>
          <w:rFonts w:hint="eastAsia" w:ascii="仿宋" w:hAnsi="仿宋" w:eastAsia="仿宋" w:cs="仿宋"/>
          <w:b/>
          <w:color w:val="auto"/>
        </w:rPr>
      </w:pPr>
      <w:r>
        <w:rPr>
          <w:rFonts w:hint="eastAsia" w:ascii="仿宋" w:hAnsi="仿宋" w:eastAsia="仿宋" w:cs="仿宋"/>
          <w:b/>
          <w:color w:val="auto"/>
        </w:rPr>
        <w:t>23. 履约保证金</w:t>
      </w:r>
    </w:p>
    <w:p w14:paraId="243E0C39">
      <w:pPr>
        <w:tabs>
          <w:tab w:val="left" w:pos="0"/>
        </w:tabs>
        <w:spacing w:line="360" w:lineRule="auto"/>
        <w:ind w:firstLine="482"/>
        <w:rPr>
          <w:rFonts w:hint="eastAsia" w:ascii="仿宋" w:hAnsi="仿宋" w:eastAsia="仿宋" w:cs="仿宋"/>
          <w:b/>
          <w:color w:val="auto"/>
          <w:sz w:val="24"/>
        </w:rPr>
      </w:pPr>
      <w:r>
        <w:rPr>
          <w:rFonts w:hint="eastAsia" w:ascii="仿宋" w:hAnsi="仿宋" w:eastAsia="仿宋" w:cs="仿宋"/>
          <w:color w:val="auto"/>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rPr>
        <w:t>。鼓励和支持供应商以银行、保险公司出具的保函形式提供履约保证金。</w:t>
      </w:r>
      <w:r>
        <w:rPr>
          <w:rFonts w:hint="eastAsia" w:ascii="仿宋" w:hAnsi="仿宋" w:eastAsia="仿宋" w:cs="仿宋"/>
          <w:b/>
          <w:color w:val="auto"/>
          <w:sz w:val="24"/>
        </w:rPr>
        <w:t>采购人不得拒收履约保函，项目验收结束后应及时退还。</w:t>
      </w:r>
    </w:p>
    <w:p w14:paraId="36ADA4E2">
      <w:pPr>
        <w:pStyle w:val="59"/>
        <w:rPr>
          <w:rFonts w:hint="eastAsia" w:ascii="仿宋" w:hAnsi="仿宋" w:eastAsia="仿宋" w:cs="仿宋"/>
          <w:color w:val="auto"/>
        </w:rPr>
      </w:pPr>
    </w:p>
    <w:p w14:paraId="14F5796C">
      <w:pPr>
        <w:snapToGrid w:val="0"/>
        <w:spacing w:line="36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14:paraId="7F07CC52">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bCs/>
          <w:color w:val="auto"/>
          <w:szCs w:val="24"/>
        </w:rPr>
        <w:t>4.</w:t>
      </w:r>
      <w:r>
        <w:rPr>
          <w:rFonts w:hint="eastAsia" w:ascii="仿宋" w:hAnsi="仿宋" w:eastAsia="仿宋" w:cs="仿宋"/>
          <w:b/>
          <w:color w:val="auto"/>
          <w:szCs w:val="24"/>
        </w:rPr>
        <w:t xml:space="preserve"> 电子交易活动的中止。</w:t>
      </w:r>
      <w:r>
        <w:rPr>
          <w:rFonts w:hint="eastAsia" w:ascii="仿宋" w:hAnsi="仿宋" w:eastAsia="仿宋" w:cs="仿宋"/>
          <w:color w:val="auto"/>
        </w:rPr>
        <w:t>采购过程中出现以下情形，导致电子交易平台无法正常运行，或者无法保证电子交易的公平、公正和安全时，采购机构可中止电子交易活动：</w:t>
      </w:r>
    </w:p>
    <w:p w14:paraId="12323D1C">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24.1电子交易平台发生故障而无法登录访问的； </w:t>
      </w:r>
    </w:p>
    <w:p w14:paraId="0176B7C1">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24.2电子交易平台应用或数据库出现错误，不能进行正常操作的；</w:t>
      </w:r>
    </w:p>
    <w:p w14:paraId="6A49F3C4">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24.3电子交易平台发现严重安全漏洞，有潜在泄密危险的；</w:t>
      </w:r>
    </w:p>
    <w:p w14:paraId="69A460A9">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24.4病毒发作导致不能进行正常操作的； </w:t>
      </w:r>
    </w:p>
    <w:p w14:paraId="0FB08DCB">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24.5其他无法保证电子交易的公平、公正和安全的情况。</w:t>
      </w:r>
    </w:p>
    <w:p w14:paraId="75E456D0">
      <w:pPr>
        <w:pStyle w:val="130"/>
        <w:snapToGrid w:val="0"/>
        <w:spacing w:before="0"/>
        <w:ind w:firstLine="480"/>
        <w:rPr>
          <w:rFonts w:hint="eastAsia" w:ascii="仿宋" w:hAnsi="仿宋" w:eastAsia="仿宋" w:cs="仿宋"/>
          <w:color w:val="auto"/>
        </w:rPr>
      </w:pPr>
      <w:r>
        <w:rPr>
          <w:rFonts w:hint="eastAsia" w:ascii="仿宋" w:hAnsi="仿宋" w:eastAsia="仿宋" w:cs="仿宋"/>
          <w:color w:val="auto"/>
        </w:rPr>
        <w:t>25.出现以上情形，不影响采购公平、公正性的，采购组织机构可以待上述情形消除后继续组织电子交易活动，也可以决定某些环节以纸质形式进行；影响或可能影响采购公平、公正性的，应当重新采购。</w:t>
      </w:r>
    </w:p>
    <w:p w14:paraId="10A81FAD">
      <w:pPr>
        <w:tabs>
          <w:tab w:val="left" w:pos="0"/>
        </w:tabs>
        <w:spacing w:line="360" w:lineRule="auto"/>
        <w:ind w:firstLine="480"/>
        <w:rPr>
          <w:rFonts w:hint="eastAsia" w:ascii="仿宋" w:hAnsi="仿宋" w:eastAsia="仿宋" w:cs="仿宋"/>
          <w:color w:val="auto"/>
          <w:sz w:val="24"/>
        </w:rPr>
      </w:pPr>
    </w:p>
    <w:p w14:paraId="52CB5C2C">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14:paraId="2935DDDA">
      <w:pPr>
        <w:pStyle w:val="16"/>
        <w:spacing w:line="360" w:lineRule="auto"/>
        <w:ind w:firstLine="482"/>
        <w:rPr>
          <w:rFonts w:hint="eastAsia" w:ascii="仿宋" w:hAnsi="仿宋" w:eastAsia="仿宋" w:cs="仿宋"/>
          <w:b/>
          <w:color w:val="auto"/>
        </w:rPr>
      </w:pPr>
      <w:r>
        <w:rPr>
          <w:rFonts w:hint="eastAsia" w:ascii="仿宋" w:hAnsi="仿宋" w:eastAsia="仿宋" w:cs="仿宋"/>
          <w:b/>
          <w:color w:val="auto"/>
        </w:rPr>
        <w:t>26.验收</w:t>
      </w:r>
    </w:p>
    <w:bookmarkEnd w:id="14"/>
    <w:bookmarkEnd w:id="15"/>
    <w:bookmarkEnd w:id="16"/>
    <w:p w14:paraId="55D524EC">
      <w:pPr>
        <w:tabs>
          <w:tab w:val="left" w:pos="0"/>
        </w:tabs>
        <w:spacing w:line="360" w:lineRule="auto"/>
        <w:ind w:firstLine="480"/>
        <w:rPr>
          <w:rFonts w:ascii="仿宋" w:hAnsi="仿宋" w:eastAsia="仿宋" w:cs="仿宋"/>
          <w:color w:val="auto"/>
          <w:kern w:val="0"/>
          <w:sz w:val="24"/>
          <w:highlight w:val="none"/>
        </w:rPr>
      </w:pPr>
      <w:bookmarkStart w:id="17" w:name="第四部分"/>
      <w:r>
        <w:rPr>
          <w:rFonts w:hint="eastAsia" w:ascii="仿宋" w:hAnsi="仿宋" w:eastAsia="仿宋" w:cs="仿宋"/>
          <w:color w:val="auto"/>
          <w:kern w:val="0"/>
          <w:sz w:val="24"/>
          <w:highlight w:val="none"/>
          <w:lang w:val="en-US" w:eastAsia="zh-CN"/>
        </w:rPr>
        <w:t>26</w:t>
      </w:r>
      <w:r>
        <w:rPr>
          <w:rFonts w:hint="eastAsia" w:ascii="仿宋" w:hAnsi="仿宋" w:eastAsia="仿宋" w:cs="仿宋"/>
          <w:color w:val="auto"/>
          <w:kern w:val="0"/>
          <w:sz w:val="24"/>
          <w:highlight w:val="none"/>
        </w:rPr>
        <w:t>.1采购人组织对供应商履约的验收。验收方成员应当在验收书上签字，并承担相应的法律责任。如果发现与合同中要求不符，供应商须承担由此发生的一切损失和费用，并接受相应的处理。</w:t>
      </w:r>
    </w:p>
    <w:p w14:paraId="31C34337">
      <w:pPr>
        <w:tabs>
          <w:tab w:val="left" w:pos="0"/>
        </w:tabs>
        <w:spacing w:line="360" w:lineRule="auto"/>
        <w:ind w:firstLine="480"/>
        <w:rPr>
          <w:rFonts w:hint="eastAsia" w:ascii="仿宋" w:hAnsi="仿宋" w:eastAsia="仿宋" w:cs="仿宋"/>
          <w:b/>
          <w:color w:val="auto"/>
          <w:sz w:val="36"/>
          <w:szCs w:val="36"/>
        </w:rPr>
      </w:pPr>
      <w:r>
        <w:rPr>
          <w:rFonts w:hint="eastAsia" w:ascii="仿宋" w:hAnsi="仿宋" w:eastAsia="仿宋" w:cs="仿宋"/>
          <w:color w:val="auto"/>
          <w:kern w:val="0"/>
          <w:sz w:val="24"/>
          <w:highlight w:val="none"/>
          <w:lang w:val="en-US" w:eastAsia="zh-CN"/>
        </w:rPr>
        <w:t>26</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严格按照采购合同开展履约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202A2B1">
      <w:pPr>
        <w:spacing w:line="360" w:lineRule="auto"/>
        <w:jc w:val="center"/>
        <w:outlineLvl w:val="0"/>
        <w:rPr>
          <w:rFonts w:hint="eastAsia" w:ascii="仿宋" w:hAnsi="仿宋" w:eastAsia="仿宋" w:cs="仿宋"/>
          <w:b/>
          <w:color w:val="auto"/>
          <w:sz w:val="36"/>
          <w:szCs w:val="36"/>
        </w:rPr>
      </w:pPr>
    </w:p>
    <w:p w14:paraId="69F90DF5">
      <w:pPr>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069623B0">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第三部分   采购需求</w:t>
      </w:r>
    </w:p>
    <w:p w14:paraId="46F6812E">
      <w:pPr>
        <w:snapToGrid w:val="0"/>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属于实质性要求条款的，请用符号“▲”标明，否则属于非实质性要求。</w:t>
      </w:r>
    </w:p>
    <w:p w14:paraId="537C3DEE">
      <w:pPr>
        <w:snapToGrid w:val="0"/>
        <w:spacing w:line="360" w:lineRule="auto"/>
        <w:ind w:firstLine="480"/>
        <w:jc w:val="center"/>
        <w:rPr>
          <w:rFonts w:hint="eastAsia" w:ascii="仿宋" w:hAnsi="仿宋" w:eastAsia="仿宋" w:cs="仿宋"/>
          <w:color w:val="auto"/>
          <w:sz w:val="24"/>
        </w:rPr>
      </w:pPr>
      <w:r>
        <w:rPr>
          <w:rFonts w:hint="eastAsia" w:ascii="仿宋" w:hAnsi="仿宋" w:eastAsia="仿宋" w:cs="仿宋"/>
          <w:color w:val="auto"/>
          <w:sz w:val="24"/>
        </w:rPr>
        <w:t>“★”系产品采购项目中单一产品或核心产品。</w:t>
      </w:r>
    </w:p>
    <w:p w14:paraId="02E3573F">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一、交易一览表</w:t>
      </w:r>
    </w:p>
    <w:p w14:paraId="709D1085">
      <w:pPr>
        <w:pStyle w:val="3"/>
        <w:numPr>
          <w:ilvl w:val="0"/>
          <w:numId w:val="1"/>
        </w:numPr>
        <w:shd w:val="clear"/>
        <w:spacing w:line="360" w:lineRule="auto"/>
        <w:ind w:firstLine="422"/>
        <w:rPr>
          <w:rFonts w:hint="eastAsia" w:ascii="仿宋" w:hAnsi="仿宋" w:eastAsia="仿宋" w:cs="仿宋"/>
          <w:color w:val="auto"/>
          <w:highlight w:val="none"/>
        </w:rPr>
      </w:pPr>
      <w:r>
        <w:rPr>
          <w:rFonts w:hint="eastAsia" w:ascii="仿宋" w:hAnsi="仿宋" w:eastAsia="仿宋" w:cs="仿宋"/>
          <w:color w:val="auto"/>
          <w:highlight w:val="none"/>
        </w:rPr>
        <w:t>采购内容一览表</w:t>
      </w:r>
    </w:p>
    <w:tbl>
      <w:tblPr>
        <w:tblStyle w:val="64"/>
        <w:tblW w:w="927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1"/>
        <w:gridCol w:w="3125"/>
        <w:gridCol w:w="863"/>
        <w:gridCol w:w="2525"/>
        <w:gridCol w:w="1980"/>
      </w:tblGrid>
      <w:tr w14:paraId="30B9B6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81" w:type="dxa"/>
            <w:noWrap w:val="0"/>
            <w:vAlign w:val="center"/>
          </w:tcPr>
          <w:p w14:paraId="75630A0C">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序号</w:t>
            </w:r>
          </w:p>
        </w:tc>
        <w:tc>
          <w:tcPr>
            <w:tcW w:w="3125" w:type="dxa"/>
            <w:noWrap w:val="0"/>
            <w:vAlign w:val="center"/>
          </w:tcPr>
          <w:p w14:paraId="70A3638F">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货物名称</w:t>
            </w:r>
          </w:p>
        </w:tc>
        <w:tc>
          <w:tcPr>
            <w:tcW w:w="863" w:type="dxa"/>
            <w:noWrap w:val="0"/>
            <w:vAlign w:val="center"/>
          </w:tcPr>
          <w:p w14:paraId="1E2C7E37">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数量</w:t>
            </w:r>
          </w:p>
        </w:tc>
        <w:tc>
          <w:tcPr>
            <w:tcW w:w="2525" w:type="dxa"/>
            <w:noWrap w:val="0"/>
            <w:vAlign w:val="center"/>
          </w:tcPr>
          <w:p w14:paraId="0F198292">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交货期</w:t>
            </w:r>
          </w:p>
        </w:tc>
        <w:tc>
          <w:tcPr>
            <w:tcW w:w="1980" w:type="dxa"/>
            <w:noWrap w:val="0"/>
            <w:vAlign w:val="center"/>
          </w:tcPr>
          <w:p w14:paraId="67F29CAA">
            <w:pPr>
              <w:shd w:val="clear"/>
              <w:spacing w:line="360" w:lineRule="auto"/>
              <w:ind w:firstLine="0" w:firstLineChars="0"/>
              <w:jc w:val="center"/>
              <w:rPr>
                <w:rFonts w:hint="eastAsia" w:ascii="仿宋" w:hAnsi="仿宋" w:eastAsia="仿宋" w:cs="仿宋"/>
                <w:caps w:val="0"/>
                <w:color w:val="auto"/>
                <w:sz w:val="24"/>
                <w:highlight w:val="none"/>
                <w:lang w:eastAsia="zh-CN"/>
              </w:rPr>
            </w:pPr>
            <w:r>
              <w:rPr>
                <w:rFonts w:hint="eastAsia" w:ascii="仿宋" w:hAnsi="仿宋" w:eastAsia="仿宋" w:cs="仿宋"/>
                <w:caps w:val="0"/>
                <w:color w:val="auto"/>
                <w:sz w:val="24"/>
                <w:highlight w:val="none"/>
                <w:lang w:val="en-US" w:eastAsia="zh-CN"/>
              </w:rPr>
              <w:t>备注</w:t>
            </w:r>
          </w:p>
        </w:tc>
      </w:tr>
      <w:tr w14:paraId="7F3B7B8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4" w:hRule="atLeast"/>
          <w:jc w:val="center"/>
        </w:trPr>
        <w:tc>
          <w:tcPr>
            <w:tcW w:w="781" w:type="dxa"/>
            <w:noWrap w:val="0"/>
            <w:vAlign w:val="center"/>
          </w:tcPr>
          <w:p w14:paraId="6BF7C795">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p>
        </w:tc>
        <w:tc>
          <w:tcPr>
            <w:tcW w:w="3125" w:type="dxa"/>
            <w:noWrap w:val="0"/>
            <w:vAlign w:val="center"/>
          </w:tcPr>
          <w:p w14:paraId="7B8D5AEB">
            <w:pPr>
              <w:shd w:val="clear"/>
              <w:spacing w:line="36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★数字式</w:t>
            </w:r>
            <w:r>
              <w:rPr>
                <w:rFonts w:hint="eastAsia" w:ascii="仿宋" w:hAnsi="仿宋" w:eastAsia="仿宋" w:cs="仿宋"/>
                <w:color w:val="auto"/>
                <w:sz w:val="24"/>
                <w:szCs w:val="24"/>
                <w:highlight w:val="none"/>
                <w:lang w:eastAsia="zh-CN"/>
              </w:rPr>
              <w:t xml:space="preserve">数字式心电图机 </w:t>
            </w:r>
          </w:p>
        </w:tc>
        <w:tc>
          <w:tcPr>
            <w:tcW w:w="863" w:type="dxa"/>
            <w:noWrap w:val="0"/>
            <w:vAlign w:val="center"/>
          </w:tcPr>
          <w:p w14:paraId="2E56C54F">
            <w:pPr>
              <w:shd w:val="clear"/>
              <w:spacing w:line="360" w:lineRule="auto"/>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525" w:type="dxa"/>
            <w:vMerge w:val="restart"/>
            <w:noWrap w:val="0"/>
            <w:vAlign w:val="center"/>
          </w:tcPr>
          <w:p w14:paraId="02033393">
            <w:pPr>
              <w:shd w:val="clea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签订合同后根据招标方通知</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个工作日内，在招标人指定地点交货安装及设备调试。</w:t>
            </w:r>
          </w:p>
        </w:tc>
        <w:tc>
          <w:tcPr>
            <w:tcW w:w="1980" w:type="dxa"/>
            <w:vMerge w:val="restart"/>
            <w:noWrap w:val="0"/>
            <w:vAlign w:val="center"/>
          </w:tcPr>
          <w:p w14:paraId="5A38CD3D">
            <w:pPr>
              <w:shd w:val="clear"/>
              <w:spacing w:line="360" w:lineRule="auto"/>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所前镇社区卫生服务中心1台</w:t>
            </w:r>
          </w:p>
        </w:tc>
      </w:tr>
      <w:tr w14:paraId="6CC71F6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81" w:type="dxa"/>
            <w:shd w:val="clear" w:color="auto" w:fill="auto"/>
            <w:noWrap w:val="0"/>
            <w:vAlign w:val="center"/>
          </w:tcPr>
          <w:p w14:paraId="29E0A902">
            <w:pPr>
              <w:shd w:val="clea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w:t>
            </w:r>
          </w:p>
        </w:tc>
        <w:tc>
          <w:tcPr>
            <w:tcW w:w="3125" w:type="dxa"/>
            <w:shd w:val="clear" w:color="auto" w:fill="auto"/>
            <w:noWrap w:val="0"/>
            <w:vAlign w:val="center"/>
          </w:tcPr>
          <w:p w14:paraId="3C065A2A">
            <w:pPr>
              <w:shd w:val="clea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技术资料</w:t>
            </w:r>
          </w:p>
        </w:tc>
        <w:tc>
          <w:tcPr>
            <w:tcW w:w="863" w:type="dxa"/>
            <w:shd w:val="clear" w:color="auto" w:fill="auto"/>
            <w:noWrap w:val="0"/>
            <w:vAlign w:val="center"/>
          </w:tcPr>
          <w:p w14:paraId="30A136C5">
            <w:pPr>
              <w:shd w:val="clea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全套</w:t>
            </w:r>
          </w:p>
        </w:tc>
        <w:tc>
          <w:tcPr>
            <w:tcW w:w="2525" w:type="dxa"/>
            <w:vMerge w:val="continue"/>
            <w:noWrap w:val="0"/>
            <w:vAlign w:val="center"/>
          </w:tcPr>
          <w:p w14:paraId="3D198B58">
            <w:pPr>
              <w:shd w:val="clear"/>
              <w:spacing w:line="360" w:lineRule="auto"/>
              <w:ind w:firstLine="0" w:firstLineChars="0"/>
              <w:jc w:val="center"/>
              <w:rPr>
                <w:rFonts w:hint="eastAsia" w:ascii="仿宋" w:hAnsi="仿宋" w:eastAsia="仿宋" w:cs="仿宋"/>
                <w:color w:val="auto"/>
                <w:sz w:val="24"/>
                <w:highlight w:val="none"/>
              </w:rPr>
            </w:pPr>
          </w:p>
        </w:tc>
        <w:tc>
          <w:tcPr>
            <w:tcW w:w="1980" w:type="dxa"/>
            <w:vMerge w:val="continue"/>
            <w:noWrap w:val="0"/>
            <w:vAlign w:val="center"/>
          </w:tcPr>
          <w:p w14:paraId="45F9E23D">
            <w:pPr>
              <w:shd w:val="clear"/>
              <w:spacing w:line="360" w:lineRule="auto"/>
              <w:ind w:firstLine="0" w:firstLineChars="0"/>
              <w:jc w:val="center"/>
              <w:rPr>
                <w:rFonts w:hint="eastAsia" w:ascii="仿宋" w:hAnsi="仿宋" w:eastAsia="仿宋" w:cs="仿宋"/>
                <w:color w:val="auto"/>
                <w:sz w:val="24"/>
                <w:highlight w:val="none"/>
                <w:lang w:val="en-US" w:eastAsia="zh-CN"/>
              </w:rPr>
            </w:pPr>
          </w:p>
        </w:tc>
      </w:tr>
      <w:tr w14:paraId="0A0B84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81" w:type="dxa"/>
            <w:noWrap w:val="0"/>
            <w:vAlign w:val="center"/>
          </w:tcPr>
          <w:p w14:paraId="2A9E227F">
            <w:pPr>
              <w:shd w:val="clea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3988" w:type="dxa"/>
            <w:gridSpan w:val="2"/>
            <w:noWrap w:val="0"/>
            <w:vAlign w:val="center"/>
          </w:tcPr>
          <w:p w14:paraId="4EA3991A">
            <w:pPr>
              <w:shd w:val="clear"/>
              <w:spacing w:line="360" w:lineRule="auto"/>
              <w:jc w:val="center"/>
              <w:rPr>
                <w:rFonts w:hint="eastAsia" w:ascii="仿宋" w:hAnsi="仿宋" w:eastAsia="仿宋" w:cs="仿宋"/>
                <w:color w:val="auto"/>
                <w:sz w:val="24"/>
                <w:highlight w:val="none"/>
                <w:lang w:val="en-GB"/>
              </w:rPr>
            </w:pPr>
            <w:r>
              <w:rPr>
                <w:rFonts w:hint="eastAsia" w:ascii="仿宋" w:hAnsi="仿宋" w:eastAsia="仿宋" w:cs="仿宋"/>
                <w:bCs/>
                <w:color w:val="auto"/>
                <w:sz w:val="24"/>
                <w:highlight w:val="none"/>
                <w:lang w:val="en-US" w:eastAsia="zh-CN"/>
              </w:rPr>
              <w:t>投标人</w:t>
            </w:r>
            <w:r>
              <w:rPr>
                <w:rFonts w:hint="eastAsia" w:ascii="仿宋" w:hAnsi="仿宋" w:eastAsia="仿宋" w:cs="仿宋"/>
                <w:color w:val="auto"/>
                <w:sz w:val="24"/>
                <w:highlight w:val="none"/>
              </w:rPr>
              <w:t>须提供的其他资料</w:t>
            </w:r>
          </w:p>
        </w:tc>
        <w:tc>
          <w:tcPr>
            <w:tcW w:w="2525" w:type="dxa"/>
            <w:vMerge w:val="continue"/>
            <w:noWrap w:val="0"/>
            <w:vAlign w:val="center"/>
          </w:tcPr>
          <w:p w14:paraId="524E415D">
            <w:pPr>
              <w:shd w:val="clear"/>
              <w:spacing w:line="360" w:lineRule="auto"/>
              <w:jc w:val="center"/>
              <w:rPr>
                <w:rFonts w:hint="eastAsia" w:ascii="仿宋" w:hAnsi="仿宋" w:eastAsia="仿宋" w:cs="仿宋"/>
                <w:color w:val="auto"/>
                <w:highlight w:val="none"/>
              </w:rPr>
            </w:pPr>
          </w:p>
        </w:tc>
        <w:tc>
          <w:tcPr>
            <w:tcW w:w="1980" w:type="dxa"/>
            <w:vMerge w:val="continue"/>
            <w:noWrap w:val="0"/>
            <w:vAlign w:val="center"/>
          </w:tcPr>
          <w:p w14:paraId="67F2CEAC">
            <w:pPr>
              <w:shd w:val="clear"/>
              <w:spacing w:line="360" w:lineRule="auto"/>
              <w:jc w:val="center"/>
              <w:rPr>
                <w:rFonts w:hint="eastAsia" w:ascii="仿宋" w:hAnsi="仿宋" w:eastAsia="仿宋" w:cs="仿宋"/>
                <w:color w:val="auto"/>
                <w:highlight w:val="none"/>
              </w:rPr>
            </w:pPr>
          </w:p>
        </w:tc>
      </w:tr>
    </w:tbl>
    <w:p w14:paraId="73AEFDEF">
      <w:pPr>
        <w:pStyle w:val="3"/>
        <w:numPr>
          <w:ilvl w:val="0"/>
          <w:numId w:val="1"/>
        </w:numPr>
        <w:shd w:val="clear"/>
        <w:spacing w:line="360" w:lineRule="auto"/>
        <w:ind w:firstLine="422"/>
        <w:rPr>
          <w:rFonts w:hint="eastAsia" w:ascii="仿宋" w:hAnsi="仿宋" w:eastAsia="仿宋" w:cs="仿宋"/>
          <w:color w:val="auto"/>
          <w:highlight w:val="none"/>
        </w:rPr>
      </w:pPr>
      <w:r>
        <w:rPr>
          <w:rFonts w:hint="eastAsia" w:ascii="仿宋" w:hAnsi="仿宋" w:eastAsia="仿宋" w:cs="仿宋"/>
          <w:color w:val="auto"/>
          <w:highlight w:val="none"/>
          <w:lang w:eastAsia="zh-CN"/>
        </w:rPr>
        <w:t>设备技术规格及要求</w:t>
      </w:r>
    </w:p>
    <w:p w14:paraId="1BC8AC65">
      <w:pPr>
        <w:jc w:val="center"/>
        <w:rPr>
          <w:rFonts w:eastAsia="黑体"/>
          <w:b/>
          <w:color w:val="auto"/>
          <w:sz w:val="32"/>
          <w:szCs w:val="32"/>
        </w:rPr>
      </w:pPr>
    </w:p>
    <w:p w14:paraId="3CE92FA6">
      <w:pPr>
        <w:ind w:firstLine="2570" w:firstLineChars="800"/>
        <w:jc w:val="both"/>
        <w:rPr>
          <w:rFonts w:hint="eastAsia" w:ascii="仿宋" w:hAnsi="仿宋" w:eastAsia="仿宋" w:cs="仿宋"/>
          <w:b/>
          <w:color w:val="auto"/>
          <w:sz w:val="32"/>
          <w:szCs w:val="32"/>
        </w:rPr>
      </w:pPr>
      <w:r>
        <w:rPr>
          <w:rFonts w:hint="eastAsia" w:ascii="仿宋" w:hAnsi="仿宋" w:eastAsia="仿宋" w:cs="仿宋"/>
          <w:b/>
          <w:color w:val="auto"/>
          <w:sz w:val="32"/>
          <w:szCs w:val="32"/>
        </w:rPr>
        <w:t>数字式</w:t>
      </w:r>
      <w:r>
        <w:rPr>
          <w:rFonts w:hint="eastAsia" w:ascii="仿宋" w:hAnsi="仿宋" w:eastAsia="仿宋" w:cs="仿宋"/>
          <w:b/>
          <w:color w:val="auto"/>
          <w:sz w:val="32"/>
          <w:szCs w:val="32"/>
          <w:lang w:eastAsia="zh-CN"/>
        </w:rPr>
        <w:t>数字式心电图机</w:t>
      </w:r>
      <w:r>
        <w:rPr>
          <w:rFonts w:hint="eastAsia" w:ascii="仿宋" w:hAnsi="仿宋" w:eastAsia="仿宋" w:cs="仿宋"/>
          <w:b/>
          <w:color w:val="auto"/>
          <w:sz w:val="32"/>
          <w:szCs w:val="32"/>
        </w:rPr>
        <w:t>招标参数</w:t>
      </w:r>
    </w:p>
    <w:p w14:paraId="299F2230">
      <w:pPr>
        <w:spacing w:line="360" w:lineRule="exact"/>
        <w:rPr>
          <w:rFonts w:hint="eastAsia" w:ascii="仿宋" w:hAnsi="仿宋" w:eastAsia="仿宋" w:cs="仿宋"/>
          <w:color w:val="auto"/>
          <w:szCs w:val="21"/>
        </w:rPr>
      </w:pPr>
    </w:p>
    <w:p w14:paraId="0580CCAD">
      <w:pPr>
        <w:pageBreakBefore w:val="0"/>
        <w:kinsoku/>
        <w:wordWrap/>
        <w:overflowPunct/>
        <w:topLinePunct w:val="0"/>
        <w:bidi w:val="0"/>
        <w:snapToGrid/>
        <w:spacing w:line="440" w:lineRule="exact"/>
        <w:textAlignment w:val="auto"/>
        <w:outlineLvl w:val="0"/>
        <w:rPr>
          <w:rFonts w:hint="eastAsia" w:ascii="仿宋" w:hAnsi="仿宋" w:eastAsia="仿宋" w:cs="仿宋"/>
          <w:b/>
          <w:color w:val="auto"/>
          <w:kern w:val="0"/>
          <w:sz w:val="24"/>
          <w:szCs w:val="24"/>
        </w:rPr>
      </w:pPr>
      <w:r>
        <w:rPr>
          <w:rFonts w:hint="eastAsia" w:ascii="仿宋" w:hAnsi="仿宋" w:eastAsia="仿宋" w:cs="仿宋"/>
          <w:b/>
          <w:color w:val="auto"/>
          <w:kern w:val="0"/>
          <w:szCs w:val="21"/>
        </w:rPr>
        <w:t>一、</w:t>
      </w:r>
      <w:r>
        <w:rPr>
          <w:rFonts w:hint="eastAsia" w:ascii="仿宋" w:hAnsi="仿宋" w:eastAsia="仿宋" w:cs="仿宋"/>
          <w:b/>
          <w:color w:val="auto"/>
          <w:kern w:val="0"/>
          <w:sz w:val="24"/>
          <w:szCs w:val="24"/>
        </w:rPr>
        <w:t xml:space="preserve"> ECG输入及波形处理</w:t>
      </w:r>
    </w:p>
    <w:p w14:paraId="547546E8">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 xml:space="preserve">1.1 </w:t>
      </w:r>
      <w:r>
        <w:rPr>
          <w:rFonts w:hint="eastAsia" w:ascii="仿宋" w:hAnsi="仿宋" w:eastAsia="仿宋" w:cs="仿宋"/>
          <w:color w:val="auto"/>
          <w:sz w:val="24"/>
          <w:szCs w:val="24"/>
        </w:rPr>
        <w:t>标准12导联心电信号同步采集，支持9导联采集模式</w:t>
      </w:r>
    </w:p>
    <w:p w14:paraId="152EC778">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lang w:val="en-US" w:eastAsia="zh-CN" w:bidi="ar-SA"/>
        </w:rPr>
        <w:t>1.2</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color w:val="auto"/>
          <w:kern w:val="0"/>
          <w:sz w:val="24"/>
          <w:szCs w:val="24"/>
          <w:highlight w:val="none"/>
        </w:rPr>
        <w:t>具有12导联同步自动分析及</w:t>
      </w:r>
      <w:r>
        <w:rPr>
          <w:rFonts w:hint="eastAsia" w:ascii="仿宋" w:hAnsi="仿宋" w:eastAsia="仿宋" w:cs="仿宋"/>
          <w:color w:val="auto"/>
          <w:kern w:val="0"/>
          <w:sz w:val="24"/>
          <w:szCs w:val="24"/>
          <w:highlight w:val="none"/>
          <w:lang w:val="en-US" w:eastAsia="zh-CN"/>
        </w:rPr>
        <w:t>可升级</w:t>
      </w:r>
      <w:r>
        <w:rPr>
          <w:rFonts w:hint="eastAsia" w:ascii="仿宋" w:hAnsi="仿宋" w:eastAsia="仿宋" w:cs="仿宋"/>
          <w:color w:val="auto"/>
          <w:kern w:val="0"/>
          <w:sz w:val="24"/>
          <w:szCs w:val="24"/>
          <w:highlight w:val="none"/>
        </w:rPr>
        <w:t>18导联心电图分析功能</w:t>
      </w:r>
    </w:p>
    <w:p w14:paraId="24B70EEF">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 xml:space="preserve">1.3 </w:t>
      </w:r>
      <w:r>
        <w:rPr>
          <w:rFonts w:hint="eastAsia" w:ascii="仿宋" w:hAnsi="仿宋" w:eastAsia="仿宋" w:cs="仿宋"/>
          <w:color w:val="auto"/>
          <w:sz w:val="24"/>
          <w:szCs w:val="24"/>
        </w:rPr>
        <w:t>输入阻抗：</w:t>
      </w:r>
      <w:r>
        <w:rPr>
          <w:rFonts w:hint="eastAsia" w:ascii="仿宋" w:hAnsi="仿宋" w:eastAsia="仿宋" w:cs="仿宋"/>
          <w:color w:val="auto"/>
          <w:sz w:val="24"/>
          <w:szCs w:val="24"/>
        </w:rPr>
        <w:t>≥90 MΩ</w:t>
      </w:r>
    </w:p>
    <w:p w14:paraId="7B217642">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 xml:space="preserve">1.4 </w:t>
      </w:r>
      <w:r>
        <w:rPr>
          <w:rFonts w:hint="eastAsia" w:ascii="仿宋" w:hAnsi="仿宋" w:eastAsia="仿宋" w:cs="仿宋"/>
          <w:color w:val="auto"/>
          <w:sz w:val="24"/>
          <w:szCs w:val="24"/>
        </w:rPr>
        <w:t>A/D转换：24bit</w:t>
      </w:r>
    </w:p>
    <w:p w14:paraId="4723A94D">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 xml:space="preserve">1.5 </w:t>
      </w:r>
      <w:r>
        <w:rPr>
          <w:rFonts w:hint="eastAsia" w:ascii="仿宋" w:hAnsi="仿宋" w:eastAsia="仿宋" w:cs="仿宋"/>
          <w:color w:val="auto"/>
          <w:sz w:val="24"/>
          <w:szCs w:val="24"/>
        </w:rPr>
        <w:t>采样率：</w:t>
      </w:r>
      <w:r>
        <w:rPr>
          <w:rFonts w:hint="eastAsia" w:ascii="仿宋" w:hAnsi="仿宋" w:eastAsia="仿宋" w:cs="仿宋"/>
          <w:color w:val="auto"/>
          <w:sz w:val="24"/>
          <w:szCs w:val="24"/>
        </w:rPr>
        <w:t xml:space="preserve">≥60k </w:t>
      </w:r>
      <w:r>
        <w:rPr>
          <w:rFonts w:hint="eastAsia" w:ascii="仿宋" w:hAnsi="仿宋" w:eastAsia="仿宋" w:cs="仿宋"/>
          <w:color w:val="auto"/>
          <w:sz w:val="24"/>
          <w:szCs w:val="24"/>
        </w:rPr>
        <w:t xml:space="preserve">Hz </w:t>
      </w:r>
    </w:p>
    <w:p w14:paraId="3EF897D8">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 xml:space="preserve">1.6 </w:t>
      </w:r>
      <w:r>
        <w:rPr>
          <w:rFonts w:hint="eastAsia" w:ascii="仿宋" w:hAnsi="仿宋" w:eastAsia="仿宋" w:cs="仿宋"/>
          <w:color w:val="auto"/>
          <w:sz w:val="24"/>
          <w:szCs w:val="24"/>
        </w:rPr>
        <w:t>独立起搏通道，起搏采样率≥60k Hz</w:t>
      </w:r>
    </w:p>
    <w:p w14:paraId="4A38E2D4">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1.7</w:t>
      </w:r>
      <w:r>
        <w:rPr>
          <w:rFonts w:hint="eastAsia" w:ascii="仿宋" w:hAnsi="仿宋" w:eastAsia="仿宋" w:cs="仿宋"/>
          <w:b/>
          <w:color w:val="auto"/>
          <w:sz w:val="24"/>
          <w:szCs w:val="24"/>
        </w:rPr>
        <w:t>▲</w:t>
      </w:r>
      <w:r>
        <w:rPr>
          <w:rFonts w:hint="eastAsia" w:ascii="仿宋" w:hAnsi="仿宋" w:eastAsia="仿宋" w:cs="仿宋"/>
          <w:b/>
          <w:color w:val="auto"/>
          <w:sz w:val="24"/>
          <w:szCs w:val="24"/>
          <w:lang w:val="en-US" w:eastAsia="zh-CN"/>
        </w:rPr>
        <w:t xml:space="preserve"> </w:t>
      </w:r>
      <w:r>
        <w:rPr>
          <w:rFonts w:hint="eastAsia" w:ascii="仿宋" w:hAnsi="仿宋" w:eastAsia="仿宋" w:cs="仿宋"/>
          <w:color w:val="auto"/>
          <w:sz w:val="24"/>
          <w:szCs w:val="24"/>
        </w:rPr>
        <w:t>频率响应：至少包含0.05Hz-500Hz</w:t>
      </w:r>
    </w:p>
    <w:p w14:paraId="25213642">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 xml:space="preserve">1.8 </w:t>
      </w:r>
      <w:r>
        <w:rPr>
          <w:rFonts w:hint="eastAsia" w:ascii="仿宋" w:hAnsi="仿宋" w:eastAsia="仿宋" w:cs="仿宋"/>
          <w:color w:val="auto"/>
          <w:sz w:val="24"/>
          <w:szCs w:val="24"/>
        </w:rPr>
        <w:t>耐极化电</w:t>
      </w:r>
      <w:r>
        <w:rPr>
          <w:rFonts w:hint="eastAsia" w:ascii="仿宋" w:hAnsi="仿宋" w:eastAsia="仿宋" w:cs="仿宋"/>
          <w:color w:val="auto"/>
          <w:sz w:val="24"/>
          <w:szCs w:val="24"/>
        </w:rPr>
        <w:t>压：</w:t>
      </w:r>
      <w:r>
        <w:rPr>
          <w:rFonts w:hint="eastAsia" w:ascii="仿宋" w:hAnsi="仿宋" w:eastAsia="仿宋" w:cs="仿宋"/>
          <w:bCs/>
          <w:color w:val="auto"/>
          <w:sz w:val="24"/>
          <w:szCs w:val="24"/>
        </w:rPr>
        <w:t>≥±</w:t>
      </w:r>
      <w:r>
        <w:rPr>
          <w:rFonts w:hint="eastAsia" w:ascii="仿宋" w:hAnsi="仿宋" w:eastAsia="仿宋" w:cs="仿宋"/>
          <w:color w:val="auto"/>
          <w:sz w:val="24"/>
          <w:szCs w:val="24"/>
        </w:rPr>
        <w:t>955mV</w:t>
      </w:r>
      <w:r>
        <w:rPr>
          <w:rFonts w:hint="eastAsia" w:ascii="仿宋" w:hAnsi="仿宋" w:eastAsia="仿宋" w:cs="仿宋"/>
          <w:color w:val="auto"/>
          <w:sz w:val="24"/>
          <w:szCs w:val="24"/>
        </w:rPr>
        <w:t xml:space="preserve"> </w:t>
      </w:r>
    </w:p>
    <w:p w14:paraId="4E2E94A4">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 xml:space="preserve">1.9 </w:t>
      </w:r>
      <w:r>
        <w:rPr>
          <w:rFonts w:hint="eastAsia" w:ascii="仿宋" w:hAnsi="仿宋" w:eastAsia="仿宋" w:cs="仿宋"/>
          <w:color w:val="auto"/>
          <w:sz w:val="24"/>
          <w:szCs w:val="24"/>
        </w:rPr>
        <w:t>时间常数：≥5s</w:t>
      </w:r>
    </w:p>
    <w:p w14:paraId="03CEA3E7">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lang w:val="en-US" w:eastAsia="zh-CN" w:bidi="ar-SA"/>
        </w:rPr>
        <w:t xml:space="preserve">1.10 </w:t>
      </w:r>
      <w:r>
        <w:rPr>
          <w:rFonts w:hint="eastAsia" w:ascii="仿宋" w:hAnsi="仿宋" w:eastAsia="仿宋" w:cs="仿宋"/>
          <w:color w:val="auto"/>
          <w:sz w:val="24"/>
          <w:szCs w:val="24"/>
        </w:rPr>
        <w:t>共模抑制比：</w:t>
      </w:r>
      <w:r>
        <w:rPr>
          <w:rFonts w:hint="eastAsia" w:ascii="仿宋" w:hAnsi="仿宋" w:eastAsia="仿宋" w:cs="仿宋"/>
          <w:color w:val="auto"/>
          <w:sz w:val="24"/>
          <w:szCs w:val="24"/>
        </w:rPr>
        <w:t>≥135dB</w:t>
      </w:r>
    </w:p>
    <w:p w14:paraId="5C071EDB">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lang w:val="en-US" w:eastAsia="zh-CN" w:bidi="ar-SA"/>
        </w:rPr>
        <w:t xml:space="preserve">1.11 </w:t>
      </w:r>
      <w:r>
        <w:rPr>
          <w:rFonts w:hint="eastAsia" w:ascii="仿宋" w:hAnsi="仿宋" w:eastAsia="仿宋" w:cs="仿宋"/>
          <w:color w:val="auto"/>
          <w:sz w:val="24"/>
          <w:szCs w:val="24"/>
        </w:rPr>
        <w:t>定标电压：1mV±1%</w:t>
      </w:r>
    </w:p>
    <w:p w14:paraId="37029DD5">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 xml:space="preserve">1.12 </w:t>
      </w:r>
      <w:r>
        <w:rPr>
          <w:rFonts w:hint="eastAsia" w:ascii="仿宋" w:hAnsi="仿宋" w:eastAsia="仿宋" w:cs="仿宋"/>
          <w:color w:val="auto"/>
          <w:kern w:val="0"/>
          <w:sz w:val="24"/>
          <w:szCs w:val="24"/>
        </w:rPr>
        <w:t>抗干扰滤波：具有交流滤波、肌电滤波、基线漂移滤波、低通滤波功能</w:t>
      </w:r>
    </w:p>
    <w:p w14:paraId="15C7DBE0">
      <w:pPr>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 xml:space="preserve">1.13 </w:t>
      </w:r>
      <w:r>
        <w:rPr>
          <w:rFonts w:hint="eastAsia" w:ascii="仿宋" w:hAnsi="仿宋" w:eastAsia="仿宋" w:cs="仿宋"/>
          <w:color w:val="auto"/>
          <w:sz w:val="24"/>
        </w:rPr>
        <w:t>增益：1.25、2.5、5、10、20、10/5、自动（AGC）mm/mV可选</w:t>
      </w:r>
    </w:p>
    <w:p w14:paraId="523F4DE9">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SA"/>
        </w:rPr>
        <w:t xml:space="preserve">1.14 </w:t>
      </w:r>
      <w:r>
        <w:rPr>
          <w:rFonts w:hint="eastAsia" w:ascii="仿宋" w:hAnsi="仿宋" w:eastAsia="仿宋" w:cs="仿宋"/>
          <w:color w:val="auto"/>
          <w:sz w:val="24"/>
          <w:szCs w:val="24"/>
        </w:rPr>
        <w:t>走速：5mm/s、6.25 mm/s、10 mm/s、12.5mm/s、25mm/s、50mm/s可选</w:t>
      </w:r>
    </w:p>
    <w:p w14:paraId="429C2D16">
      <w:pPr>
        <w:pageBreakBefore w:val="0"/>
        <w:numPr>
          <w:ilvl w:val="0"/>
          <w:numId w:val="0"/>
        </w:numPr>
        <w:kinsoku/>
        <w:wordWrap/>
        <w:overflowPunct/>
        <w:topLinePunct w:val="0"/>
        <w:bidi w:val="0"/>
        <w:snapToGrid/>
        <w:spacing w:line="440" w:lineRule="exact"/>
        <w:ind w:left="0" w:firstLine="0"/>
        <w:textAlignment w:val="auto"/>
        <w:rPr>
          <w:rFonts w:hint="eastAsia" w:ascii="仿宋" w:hAnsi="仿宋" w:eastAsia="仿宋" w:cs="仿宋"/>
          <w:b/>
          <w:color w:val="auto"/>
          <w:kern w:val="0"/>
          <w:sz w:val="24"/>
          <w:szCs w:val="24"/>
        </w:rPr>
      </w:pPr>
      <w:r>
        <w:rPr>
          <w:rFonts w:hint="default" w:ascii="仿宋" w:hAnsi="仿宋" w:eastAsia="仿宋" w:cs="仿宋"/>
          <w:b/>
          <w:color w:val="auto"/>
          <w:kern w:val="0"/>
          <w:sz w:val="24"/>
          <w:szCs w:val="24"/>
          <w:lang w:val="en-US" w:eastAsia="zh-CN" w:bidi="ar-SA"/>
        </w:rPr>
        <w:t>二、</w:t>
      </w:r>
      <w:r>
        <w:rPr>
          <w:rFonts w:hint="eastAsia" w:ascii="仿宋" w:hAnsi="仿宋" w:eastAsia="仿宋" w:cs="仿宋"/>
          <w:b/>
          <w:color w:val="auto"/>
          <w:kern w:val="0"/>
          <w:sz w:val="24"/>
          <w:szCs w:val="24"/>
        </w:rPr>
        <w:t>整机配置</w:t>
      </w:r>
    </w:p>
    <w:p w14:paraId="3728ADF6">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2.1</w:t>
      </w:r>
      <w:r>
        <w:rPr>
          <w:rFonts w:hint="eastAsia" w:ascii="仿宋" w:hAnsi="仿宋" w:eastAsia="仿宋" w:cs="仿宋"/>
          <w:b/>
          <w:color w:val="auto"/>
          <w:sz w:val="24"/>
          <w:szCs w:val="24"/>
        </w:rPr>
        <w:t>▲</w:t>
      </w:r>
      <w:r>
        <w:rPr>
          <w:rFonts w:hint="eastAsia" w:ascii="仿宋" w:hAnsi="仿宋" w:eastAsia="仿宋" w:cs="仿宋"/>
          <w:bCs/>
          <w:color w:val="auto"/>
          <w:sz w:val="24"/>
          <w:szCs w:val="24"/>
        </w:rPr>
        <w:t xml:space="preserve"> ≥10英寸彩色液晶电容触摸屏，屏幕可翻转，分辨率≥1280×800</w:t>
      </w:r>
    </w:p>
    <w:p w14:paraId="6E028C94">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lang w:val="en-US" w:eastAsia="zh-CN" w:bidi="ar-SA"/>
        </w:rPr>
        <w:t>2.2</w:t>
      </w:r>
      <w:r>
        <w:rPr>
          <w:rFonts w:hint="eastAsia" w:ascii="仿宋" w:hAnsi="仿宋" w:eastAsia="仿宋" w:cs="仿宋"/>
          <w:color w:val="auto"/>
          <w:sz w:val="24"/>
          <w:szCs w:val="24"/>
        </w:rPr>
        <w:t>整机重量≤4kg</w:t>
      </w:r>
    </w:p>
    <w:p w14:paraId="43D3504C">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2.3</w:t>
      </w:r>
      <w:r>
        <w:rPr>
          <w:rFonts w:hint="eastAsia" w:ascii="仿宋" w:hAnsi="仿宋" w:eastAsia="仿宋" w:cs="仿宋"/>
          <w:b/>
          <w:color w:val="auto"/>
          <w:sz w:val="24"/>
          <w:szCs w:val="24"/>
        </w:rPr>
        <w:t xml:space="preserve">▲ </w:t>
      </w:r>
      <w:r>
        <w:rPr>
          <w:rFonts w:hint="eastAsia" w:ascii="仿宋" w:hAnsi="仿宋" w:eastAsia="仿宋" w:cs="仿宋"/>
          <w:bCs/>
          <w:color w:val="auto"/>
          <w:sz w:val="24"/>
          <w:szCs w:val="24"/>
        </w:rPr>
        <w:t>内置热敏</w:t>
      </w:r>
      <w:r>
        <w:rPr>
          <w:rFonts w:hint="eastAsia" w:ascii="仿宋" w:hAnsi="仿宋" w:eastAsia="仿宋" w:cs="仿宋"/>
          <w:color w:val="auto"/>
          <w:kern w:val="0"/>
          <w:sz w:val="24"/>
          <w:szCs w:val="24"/>
        </w:rPr>
        <w:t>点阵打印机（非外置模块），并支持通过有线/无线方式外接激光打印机打印A4报告</w:t>
      </w:r>
    </w:p>
    <w:p w14:paraId="41C0F330">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2.4</w:t>
      </w:r>
      <w:r>
        <w:rPr>
          <w:rFonts w:hint="eastAsia" w:ascii="仿宋" w:hAnsi="仿宋" w:eastAsia="仿宋" w:cs="仿宋"/>
          <w:color w:val="auto"/>
          <w:kern w:val="0"/>
          <w:sz w:val="24"/>
          <w:szCs w:val="24"/>
        </w:rPr>
        <w:t>设备内置存储器</w:t>
      </w:r>
      <w:r>
        <w:rPr>
          <w:rFonts w:hint="eastAsia" w:ascii="仿宋" w:hAnsi="仿宋" w:eastAsia="仿宋" w:cs="仿宋"/>
          <w:bCs/>
          <w:color w:val="auto"/>
          <w:sz w:val="24"/>
          <w:szCs w:val="24"/>
        </w:rPr>
        <w:t>可支持</w:t>
      </w:r>
      <w:r>
        <w:rPr>
          <w:rFonts w:hint="eastAsia" w:ascii="仿宋" w:hAnsi="仿宋" w:eastAsia="仿宋" w:cs="仿宋"/>
          <w:color w:val="auto"/>
          <w:sz w:val="24"/>
          <w:szCs w:val="24"/>
        </w:rPr>
        <w:t>≥100000例病例储存</w:t>
      </w:r>
      <w:r>
        <w:rPr>
          <w:rFonts w:hint="eastAsia" w:ascii="仿宋" w:hAnsi="仿宋" w:eastAsia="仿宋" w:cs="仿宋"/>
          <w:bCs/>
          <w:color w:val="auto"/>
          <w:sz w:val="24"/>
          <w:szCs w:val="24"/>
        </w:rPr>
        <w:t>，并</w:t>
      </w:r>
      <w:r>
        <w:rPr>
          <w:rFonts w:hint="eastAsia" w:ascii="仿宋" w:hAnsi="仿宋" w:eastAsia="仿宋" w:cs="仿宋"/>
          <w:color w:val="auto"/>
          <w:sz w:val="24"/>
          <w:szCs w:val="24"/>
        </w:rPr>
        <w:t>支持外接U盘和SD卡扩展存储空间</w:t>
      </w:r>
    </w:p>
    <w:p w14:paraId="2F822D41">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2.5</w:t>
      </w:r>
      <w:r>
        <w:rPr>
          <w:rFonts w:hint="eastAsia" w:ascii="仿宋" w:hAnsi="仿宋" w:eastAsia="仿宋" w:cs="仿宋"/>
          <w:bCs/>
          <w:color w:val="auto"/>
          <w:sz w:val="24"/>
          <w:szCs w:val="24"/>
        </w:rPr>
        <w:t>可支持通过有线、无线、移动网络的方式进行联网，内置WIFI模块，可支持2.4GHz/5G Hz双频带传输</w:t>
      </w:r>
    </w:p>
    <w:p w14:paraId="2FB93862">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2.6</w:t>
      </w:r>
      <w:r>
        <w:rPr>
          <w:rFonts w:hint="eastAsia" w:ascii="仿宋" w:hAnsi="仿宋" w:eastAsia="仿宋" w:cs="仿宋"/>
          <w:bCs/>
          <w:color w:val="auto"/>
          <w:sz w:val="24"/>
          <w:szCs w:val="24"/>
        </w:rPr>
        <w:t>内置蓝牙模块，支持通过蓝牙分享报告，实现远程会诊</w:t>
      </w:r>
    </w:p>
    <w:p w14:paraId="675D98D6">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2.7</w:t>
      </w:r>
      <w:r>
        <w:rPr>
          <w:rFonts w:hint="eastAsia" w:ascii="仿宋" w:hAnsi="仿宋" w:eastAsia="仿宋" w:cs="仿宋"/>
          <w:bCs/>
          <w:color w:val="auto"/>
          <w:sz w:val="24"/>
          <w:szCs w:val="24"/>
        </w:rPr>
        <w:t>支持升级内置红外扫描仪，通过一维码及二维码获取病人信息</w:t>
      </w:r>
    </w:p>
    <w:p w14:paraId="25786344">
      <w:pPr>
        <w:pageBreakBefore w:val="0"/>
        <w:widowControl/>
        <w:numPr>
          <w:ilvl w:val="0"/>
          <w:numId w:val="0"/>
        </w:numPr>
        <w:kinsoku/>
        <w:wordWrap/>
        <w:overflowPunct/>
        <w:topLinePunct w:val="0"/>
        <w:bidi w:val="0"/>
        <w:snapToGrid/>
        <w:spacing w:line="440" w:lineRule="exact"/>
        <w:ind w:left="0" w:firstLine="0"/>
        <w:textAlignment w:val="auto"/>
        <w:outlineLvl w:val="0"/>
        <w:rPr>
          <w:rFonts w:hint="eastAsia" w:ascii="仿宋" w:hAnsi="仿宋" w:eastAsia="仿宋" w:cs="仿宋"/>
          <w:b/>
          <w:color w:val="auto"/>
          <w:sz w:val="24"/>
          <w:szCs w:val="24"/>
        </w:rPr>
      </w:pPr>
      <w:r>
        <w:rPr>
          <w:rFonts w:hint="default" w:ascii="仿宋" w:hAnsi="仿宋" w:eastAsia="仿宋" w:cs="仿宋"/>
          <w:b/>
          <w:color w:val="auto"/>
          <w:kern w:val="2"/>
          <w:sz w:val="24"/>
          <w:szCs w:val="24"/>
          <w:lang w:val="en-US" w:eastAsia="zh-CN" w:bidi="ar-SA"/>
        </w:rPr>
        <w:t>三、</w:t>
      </w:r>
      <w:r>
        <w:rPr>
          <w:rFonts w:hint="eastAsia" w:ascii="仿宋" w:hAnsi="仿宋" w:eastAsia="仿宋" w:cs="仿宋"/>
          <w:b/>
          <w:color w:val="auto"/>
          <w:sz w:val="24"/>
          <w:szCs w:val="24"/>
        </w:rPr>
        <w:t>系统功能</w:t>
      </w:r>
    </w:p>
    <w:p w14:paraId="38FBA917">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 xml:space="preserve">3.1 </w:t>
      </w:r>
      <w:r>
        <w:rPr>
          <w:rFonts w:hint="eastAsia" w:ascii="仿宋" w:hAnsi="仿宋" w:eastAsia="仿宋" w:cs="仿宋"/>
          <w:color w:val="auto"/>
          <w:sz w:val="24"/>
          <w:szCs w:val="24"/>
        </w:rPr>
        <w:t>中文输入、中文操作提示和中文报告语言</w:t>
      </w:r>
    </w:p>
    <w:p w14:paraId="2EF439E5">
      <w:pPr>
        <w:pStyle w:val="974"/>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 xml:space="preserve">3.2 </w:t>
      </w:r>
      <w:r>
        <w:rPr>
          <w:rFonts w:hint="eastAsia" w:ascii="仿宋" w:hAnsi="仿宋" w:eastAsia="仿宋" w:cs="仿宋"/>
          <w:color w:val="auto"/>
          <w:kern w:val="0"/>
          <w:sz w:val="24"/>
          <w:szCs w:val="24"/>
        </w:rPr>
        <w:t>手动、自动、节律等检查模式可选，并支持实时采样、预采样及触发采样等采样模式</w:t>
      </w:r>
    </w:p>
    <w:p w14:paraId="04CAD54A">
      <w:pPr>
        <w:pageBreakBefore w:val="0"/>
        <w:numPr>
          <w:ilvl w:val="0"/>
          <w:numId w:val="0"/>
        </w:numPr>
        <w:kinsoku/>
        <w:wordWrap/>
        <w:overflowPunct/>
        <w:topLinePunct w:val="0"/>
        <w:autoSpaceDE w:val="0"/>
        <w:autoSpaceDN w:val="0"/>
        <w:bidi w:val="0"/>
        <w:adjustRightInd w:val="0"/>
        <w:snapToGrid/>
        <w:spacing w:line="440" w:lineRule="exact"/>
        <w:ind w:left="0"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SA"/>
        </w:rPr>
        <w:t xml:space="preserve">3.3 </w:t>
      </w:r>
      <w:r>
        <w:rPr>
          <w:rFonts w:hint="eastAsia" w:ascii="仿宋" w:hAnsi="仿宋" w:eastAsia="仿宋" w:cs="仿宋"/>
          <w:color w:val="auto"/>
          <w:kern w:val="0"/>
          <w:sz w:val="24"/>
          <w:szCs w:val="24"/>
        </w:rPr>
        <w:t>具有导联信号质量检测功能，以不同颜色标记信号质量，提醒医生对相应导联进行处理</w:t>
      </w:r>
    </w:p>
    <w:p w14:paraId="422CEB58">
      <w:pPr>
        <w:pStyle w:val="975"/>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Cs w:val="24"/>
        </w:rPr>
      </w:pPr>
      <w:r>
        <w:rPr>
          <w:rFonts w:hint="eastAsia" w:ascii="仿宋" w:hAnsi="仿宋" w:eastAsia="仿宋" w:cs="仿宋"/>
          <w:color w:val="auto"/>
          <w:kern w:val="2"/>
          <w:sz w:val="24"/>
          <w:szCs w:val="24"/>
          <w:lang w:val="en-US" w:eastAsia="zh-CN" w:bidi="ar-SA"/>
        </w:rPr>
        <w:t xml:space="preserve">3.4 </w:t>
      </w:r>
      <w:r>
        <w:rPr>
          <w:rFonts w:hint="eastAsia" w:ascii="仿宋" w:hAnsi="仿宋" w:eastAsia="仿宋" w:cs="仿宋"/>
          <w:color w:val="auto"/>
          <w:kern w:val="0"/>
          <w:szCs w:val="24"/>
        </w:rPr>
        <w:t>具有智能采集功能，可根据导联信号质量自动开始/停止心电采集</w:t>
      </w:r>
    </w:p>
    <w:p w14:paraId="52AEE9B7">
      <w:pPr>
        <w:pStyle w:val="975"/>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Cs w:val="24"/>
        </w:rPr>
      </w:pPr>
      <w:r>
        <w:rPr>
          <w:rFonts w:hint="eastAsia" w:ascii="仿宋" w:hAnsi="仿宋" w:eastAsia="仿宋" w:cs="仿宋"/>
          <w:color w:val="auto"/>
          <w:kern w:val="2"/>
          <w:sz w:val="24"/>
          <w:szCs w:val="24"/>
          <w:lang w:val="en-US" w:eastAsia="zh-CN" w:bidi="ar-SA"/>
        </w:rPr>
        <w:t xml:space="preserve">3.5 </w:t>
      </w:r>
      <w:r>
        <w:rPr>
          <w:rFonts w:hint="eastAsia" w:ascii="仿宋" w:hAnsi="仿宋" w:eastAsia="仿宋" w:cs="仿宋"/>
          <w:color w:val="auto"/>
          <w:szCs w:val="24"/>
        </w:rPr>
        <w:t>支持≥30min数据采集及冻结功能，方便医生对所需区间的波形进行更好的观察、分析并选择所需要的时间段进行记录</w:t>
      </w:r>
    </w:p>
    <w:p w14:paraId="1CF5FA30">
      <w:pPr>
        <w:pStyle w:val="975"/>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Cs w:val="24"/>
        </w:rPr>
      </w:pPr>
      <w:r>
        <w:rPr>
          <w:rFonts w:hint="eastAsia" w:ascii="仿宋" w:hAnsi="仿宋" w:eastAsia="仿宋" w:cs="仿宋"/>
          <w:color w:val="auto"/>
          <w:kern w:val="2"/>
          <w:sz w:val="24"/>
          <w:szCs w:val="24"/>
          <w:lang w:val="en-US" w:eastAsia="zh-CN" w:bidi="ar-SA"/>
        </w:rPr>
        <w:t xml:space="preserve">3.6 </w:t>
      </w:r>
      <w:r>
        <w:rPr>
          <w:rFonts w:hint="eastAsia" w:ascii="仿宋" w:hAnsi="仿宋" w:eastAsia="仿宋" w:cs="仿宋"/>
          <w:color w:val="auto"/>
          <w:szCs w:val="24"/>
        </w:rPr>
        <w:t>采集过程中可自动检测心律失常并予以提示</w:t>
      </w:r>
    </w:p>
    <w:p w14:paraId="4B01750D">
      <w:pPr>
        <w:pStyle w:val="975"/>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Cs w:val="24"/>
        </w:rPr>
      </w:pPr>
      <w:r>
        <w:rPr>
          <w:rFonts w:hint="eastAsia" w:ascii="仿宋" w:hAnsi="仿宋" w:eastAsia="仿宋" w:cs="仿宋"/>
          <w:color w:val="auto"/>
          <w:kern w:val="2"/>
          <w:sz w:val="24"/>
          <w:szCs w:val="24"/>
          <w:lang w:val="en-US" w:eastAsia="zh-CN" w:bidi="ar-SA"/>
        </w:rPr>
        <w:t xml:space="preserve">3.7 </w:t>
      </w:r>
      <w:r>
        <w:rPr>
          <w:rFonts w:hint="eastAsia" w:ascii="仿宋" w:hAnsi="仿宋" w:eastAsia="仿宋" w:cs="仿宋"/>
          <w:color w:val="auto"/>
          <w:szCs w:val="24"/>
        </w:rPr>
        <w:t>具有严重疾病提示功能，可对心肌梗死等危急重症心电图进行突出标识</w:t>
      </w:r>
    </w:p>
    <w:p w14:paraId="0E7A53C0">
      <w:pPr>
        <w:pStyle w:val="975"/>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Cs w:val="24"/>
        </w:rPr>
      </w:pPr>
      <w:r>
        <w:rPr>
          <w:rFonts w:hint="eastAsia" w:ascii="仿宋" w:hAnsi="仿宋" w:eastAsia="仿宋" w:cs="仿宋"/>
          <w:color w:val="auto"/>
          <w:kern w:val="2"/>
          <w:sz w:val="24"/>
          <w:szCs w:val="24"/>
          <w:lang w:val="en-US" w:eastAsia="zh-CN" w:bidi="ar-SA"/>
        </w:rPr>
        <w:t xml:space="preserve">3.8 </w:t>
      </w:r>
      <w:r>
        <w:rPr>
          <w:rFonts w:hint="eastAsia" w:ascii="仿宋" w:hAnsi="仿宋" w:eastAsia="仿宋" w:cs="仿宋"/>
          <w:color w:val="auto"/>
          <w:szCs w:val="24"/>
        </w:rPr>
        <w:t>具有在屏诊断功能，可在屏幕上进行报告查看、报告编辑、波形放大、数据测量等操作</w:t>
      </w:r>
    </w:p>
    <w:p w14:paraId="7160BF8D">
      <w:pPr>
        <w:pageBreakBefore w:val="0"/>
        <w:widowControl/>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 xml:space="preserve">3.9 </w:t>
      </w:r>
      <w:r>
        <w:rPr>
          <w:rFonts w:hint="eastAsia" w:ascii="仿宋" w:hAnsi="仿宋" w:eastAsia="仿宋" w:cs="仿宋"/>
          <w:color w:val="auto"/>
          <w:sz w:val="24"/>
          <w:szCs w:val="24"/>
        </w:rPr>
        <w:t>具有病历管理功能，可进行</w:t>
      </w:r>
      <w:bookmarkStart w:id="18" w:name="OLE_LINK5"/>
      <w:bookmarkStart w:id="19" w:name="OLE_LINK4"/>
      <w:r>
        <w:rPr>
          <w:rFonts w:hint="eastAsia" w:ascii="仿宋" w:hAnsi="仿宋" w:eastAsia="仿宋" w:cs="仿宋"/>
          <w:color w:val="auto"/>
          <w:sz w:val="24"/>
          <w:szCs w:val="24"/>
        </w:rPr>
        <w:t>病历查询</w:t>
      </w:r>
      <w:bookmarkEnd w:id="18"/>
      <w:bookmarkEnd w:id="19"/>
      <w:r>
        <w:rPr>
          <w:rFonts w:hint="eastAsia" w:ascii="仿宋" w:hAnsi="仿宋" w:eastAsia="仿宋" w:cs="仿宋"/>
          <w:color w:val="auto"/>
          <w:sz w:val="24"/>
          <w:szCs w:val="24"/>
        </w:rPr>
        <w:t>、预览、修改、传输、打印，方便医生调阅病人信息</w:t>
      </w:r>
    </w:p>
    <w:p w14:paraId="0E4C8D48">
      <w:pPr>
        <w:pageBreakBefore w:val="0"/>
        <w:widowControl/>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 xml:space="preserve">3.10 </w:t>
      </w:r>
      <w:r>
        <w:rPr>
          <w:rFonts w:hint="eastAsia" w:ascii="仿宋" w:hAnsi="仿宋" w:eastAsia="仿宋" w:cs="仿宋"/>
          <w:color w:val="auto"/>
          <w:sz w:val="24"/>
          <w:szCs w:val="24"/>
        </w:rPr>
        <w:t>具有心电向量、晚电位、时间心向量、心率变异性、频谱心电等多种高级分析功能，辅助全面了解患者情况</w:t>
      </w:r>
    </w:p>
    <w:p w14:paraId="6E5F7595">
      <w:pPr>
        <w:pageBreakBefore w:val="0"/>
        <w:widowControl/>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 xml:space="preserve">3.11 </w:t>
      </w:r>
      <w:r>
        <w:rPr>
          <w:rFonts w:hint="eastAsia" w:ascii="仿宋" w:hAnsi="仿宋" w:eastAsia="仿宋" w:cs="仿宋"/>
          <w:color w:val="auto"/>
          <w:sz w:val="24"/>
          <w:szCs w:val="24"/>
        </w:rPr>
        <w:t>具有ST-MAP及ST-VIEW功能，提示心肌梗死相关信息，并可打印相关报告</w:t>
      </w:r>
    </w:p>
    <w:p w14:paraId="662E0150">
      <w:pPr>
        <w:pageBreakBefore w:val="0"/>
        <w:widowControl/>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 xml:space="preserve">3.12 </w:t>
      </w:r>
      <w:r>
        <w:rPr>
          <w:rFonts w:hint="eastAsia" w:ascii="仿宋" w:hAnsi="仿宋" w:eastAsia="仿宋" w:cs="仿宋"/>
          <w:color w:val="auto"/>
          <w:sz w:val="24"/>
          <w:szCs w:val="24"/>
        </w:rPr>
        <w:t>支持用户登录设置，并针对不同用户分权限管理</w:t>
      </w:r>
    </w:p>
    <w:p w14:paraId="180C1C4A">
      <w:pPr>
        <w:pStyle w:val="975"/>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szCs w:val="24"/>
        </w:rPr>
      </w:pPr>
      <w:r>
        <w:rPr>
          <w:rFonts w:hint="eastAsia" w:ascii="仿宋" w:hAnsi="仿宋" w:eastAsia="仿宋" w:cs="仿宋"/>
          <w:color w:val="auto"/>
          <w:kern w:val="2"/>
          <w:sz w:val="24"/>
          <w:szCs w:val="24"/>
          <w:lang w:val="en-US" w:eastAsia="zh-CN" w:bidi="ar-SA"/>
        </w:rPr>
        <w:t xml:space="preserve">3.13 </w:t>
      </w:r>
      <w:r>
        <w:rPr>
          <w:rFonts w:hint="eastAsia" w:ascii="仿宋" w:hAnsi="仿宋" w:eastAsia="仿宋" w:cs="仿宋"/>
          <w:color w:val="auto"/>
          <w:szCs w:val="24"/>
        </w:rPr>
        <w:t>可以与同品牌心电网络相连，实现病人预约信息的下载，检查数据自动上传，实现全方位信息化管理，优化医院工作流程，减少医生工作量</w:t>
      </w:r>
    </w:p>
    <w:p w14:paraId="736DC42D">
      <w:pPr>
        <w:pageBreakBefore w:val="0"/>
        <w:widowControl/>
        <w:kinsoku/>
        <w:wordWrap/>
        <w:overflowPunct/>
        <w:topLinePunct w:val="0"/>
        <w:bidi w:val="0"/>
        <w:snapToGrid/>
        <w:spacing w:line="440" w:lineRule="exact"/>
        <w:textAlignment w:val="auto"/>
        <w:outlineLvl w:val="0"/>
        <w:rPr>
          <w:rFonts w:hint="eastAsia" w:ascii="仿宋" w:hAnsi="仿宋" w:eastAsia="仿宋" w:cs="仿宋"/>
          <w:color w:val="auto"/>
          <w:sz w:val="24"/>
          <w:szCs w:val="24"/>
        </w:rPr>
      </w:pPr>
    </w:p>
    <w:p w14:paraId="23057462">
      <w:pPr>
        <w:pageBreakBefore w:val="0"/>
        <w:widowControl/>
        <w:numPr>
          <w:ilvl w:val="0"/>
          <w:numId w:val="0"/>
        </w:numPr>
        <w:kinsoku/>
        <w:wordWrap/>
        <w:overflowPunct/>
        <w:topLinePunct w:val="0"/>
        <w:bidi w:val="0"/>
        <w:snapToGrid/>
        <w:spacing w:line="440" w:lineRule="exact"/>
        <w:ind w:left="0" w:firstLine="0"/>
        <w:textAlignment w:val="auto"/>
        <w:outlineLvl w:val="0"/>
        <w:rPr>
          <w:rFonts w:hint="eastAsia" w:ascii="仿宋" w:hAnsi="仿宋" w:eastAsia="仿宋" w:cs="仿宋"/>
          <w:b/>
          <w:color w:val="auto"/>
          <w:kern w:val="0"/>
          <w:sz w:val="24"/>
          <w:szCs w:val="24"/>
        </w:rPr>
      </w:pPr>
      <w:r>
        <w:rPr>
          <w:rFonts w:hint="default" w:ascii="仿宋" w:hAnsi="仿宋" w:eastAsia="仿宋" w:cs="仿宋"/>
          <w:b/>
          <w:color w:val="auto"/>
          <w:kern w:val="0"/>
          <w:sz w:val="24"/>
          <w:szCs w:val="24"/>
          <w:lang w:val="en-US" w:eastAsia="zh-CN" w:bidi="ar-SA"/>
        </w:rPr>
        <w:t>四、</w:t>
      </w:r>
      <w:r>
        <w:rPr>
          <w:rFonts w:hint="eastAsia" w:ascii="仿宋" w:hAnsi="仿宋" w:eastAsia="仿宋" w:cs="仿宋"/>
          <w:b/>
          <w:color w:val="auto"/>
          <w:kern w:val="0"/>
          <w:sz w:val="24"/>
          <w:szCs w:val="24"/>
        </w:rPr>
        <w:t>电源：</w:t>
      </w:r>
    </w:p>
    <w:p w14:paraId="1CF71711">
      <w:pPr>
        <w:pageBreakBefore w:val="0"/>
        <w:widowControl/>
        <w:numPr>
          <w:ilvl w:val="0"/>
          <w:numId w:val="0"/>
        </w:numPr>
        <w:kinsoku/>
        <w:wordWrap/>
        <w:overflowPunct/>
        <w:topLinePunct w:val="0"/>
        <w:bidi w:val="0"/>
        <w:snapToGrid/>
        <w:spacing w:line="440" w:lineRule="exact"/>
        <w:ind w:left="0" w:firstLine="480" w:firstLineChars="200"/>
        <w:textAlignment w:val="auto"/>
        <w:outlineLvl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SA"/>
        </w:rPr>
        <w:t>4.1</w:t>
      </w:r>
      <w:r>
        <w:rPr>
          <w:rFonts w:hint="eastAsia" w:ascii="仿宋" w:hAnsi="仿宋" w:eastAsia="仿宋" w:cs="仿宋"/>
          <w:color w:val="auto"/>
          <w:kern w:val="0"/>
          <w:sz w:val="24"/>
          <w:szCs w:val="24"/>
        </w:rPr>
        <w:t>交直流两用，自动转换</w:t>
      </w:r>
    </w:p>
    <w:p w14:paraId="5471A9F7">
      <w:pPr>
        <w:pageBreakBefore w:val="0"/>
        <w:numPr>
          <w:ilvl w:val="0"/>
          <w:numId w:val="0"/>
        </w:numPr>
        <w:kinsoku/>
        <w:wordWrap/>
        <w:overflowPunct/>
        <w:topLinePunct w:val="0"/>
        <w:bidi w:val="0"/>
        <w:snapToGrid/>
        <w:spacing w:line="440" w:lineRule="exact"/>
        <w:ind w:left="0"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bidi="ar-SA"/>
        </w:rPr>
        <w:t>4.2</w:t>
      </w:r>
      <w:r>
        <w:rPr>
          <w:rFonts w:hint="eastAsia" w:ascii="仿宋" w:hAnsi="仿宋" w:eastAsia="仿宋" w:cs="仿宋"/>
          <w:b/>
          <w:color w:val="auto"/>
          <w:sz w:val="24"/>
          <w:szCs w:val="24"/>
        </w:rPr>
        <w:t xml:space="preserve"> </w:t>
      </w:r>
      <w:r>
        <w:rPr>
          <w:rFonts w:hint="eastAsia" w:ascii="仿宋" w:hAnsi="仿宋" w:eastAsia="仿宋" w:cs="仿宋"/>
          <w:color w:val="auto"/>
          <w:kern w:val="0"/>
          <w:sz w:val="24"/>
          <w:szCs w:val="24"/>
        </w:rPr>
        <w:t>直流电源：内置可充电锂离子电池，充足后可正常工作时</w:t>
      </w:r>
      <w:r>
        <w:rPr>
          <w:rFonts w:hint="eastAsia" w:ascii="仿宋" w:hAnsi="仿宋" w:eastAsia="仿宋" w:cs="仿宋"/>
          <w:color w:val="auto"/>
          <w:kern w:val="0"/>
          <w:sz w:val="24"/>
          <w:szCs w:val="24"/>
        </w:rPr>
        <w:t>间≥4</w:t>
      </w:r>
      <w:r>
        <w:rPr>
          <w:rFonts w:hint="eastAsia" w:ascii="仿宋" w:hAnsi="仿宋" w:eastAsia="仿宋" w:cs="仿宋"/>
          <w:color w:val="auto"/>
          <w:kern w:val="0"/>
          <w:sz w:val="24"/>
          <w:szCs w:val="24"/>
        </w:rPr>
        <w:t>小时</w:t>
      </w:r>
      <w:r>
        <w:rPr>
          <w:rFonts w:hint="eastAsia" w:ascii="仿宋" w:hAnsi="仿宋" w:eastAsia="仿宋" w:cs="仿宋"/>
          <w:color w:val="auto"/>
          <w:kern w:val="0"/>
          <w:sz w:val="24"/>
          <w:szCs w:val="24"/>
          <w:lang w:eastAsia="zh-CN"/>
        </w:rPr>
        <w:t>。</w:t>
      </w:r>
    </w:p>
    <w:p w14:paraId="3AABACED">
      <w:pPr>
        <w:pageBreakBefore w:val="0"/>
        <w:widowControl/>
        <w:numPr>
          <w:ilvl w:val="0"/>
          <w:numId w:val="0"/>
        </w:numPr>
        <w:kinsoku/>
        <w:wordWrap/>
        <w:overflowPunct/>
        <w:topLinePunct w:val="0"/>
        <w:bidi w:val="0"/>
        <w:snapToGrid/>
        <w:spacing w:line="440" w:lineRule="exact"/>
        <w:textAlignment w:val="auto"/>
        <w:outlineLvl w:val="0"/>
        <w:rPr>
          <w:rFonts w:hint="default" w:ascii="仿宋" w:hAnsi="仿宋" w:eastAsia="仿宋" w:cs="仿宋"/>
          <w:b/>
          <w:bCs w:val="0"/>
          <w:color w:val="auto"/>
          <w:kern w:val="0"/>
          <w:sz w:val="24"/>
          <w:szCs w:val="24"/>
          <w:lang w:val="en-US" w:eastAsia="zh-CN"/>
        </w:rPr>
      </w:pPr>
      <w:r>
        <w:rPr>
          <w:rFonts w:hint="eastAsia" w:ascii="仿宋" w:hAnsi="仿宋" w:eastAsia="仿宋" w:cs="仿宋"/>
          <w:b/>
          <w:bCs w:val="0"/>
          <w:color w:val="auto"/>
          <w:kern w:val="0"/>
          <w:sz w:val="24"/>
          <w:szCs w:val="24"/>
          <w:lang w:val="en-US" w:eastAsia="zh-CN"/>
        </w:rPr>
        <w:t>五、</w:t>
      </w:r>
      <w:r>
        <w:rPr>
          <w:rFonts w:hint="eastAsia" w:ascii="仿宋" w:hAnsi="仿宋" w:eastAsia="仿宋" w:cs="仿宋"/>
          <w:b/>
          <w:bCs w:val="0"/>
          <w:color w:val="auto"/>
          <w:kern w:val="0"/>
          <w:sz w:val="24"/>
          <w:szCs w:val="24"/>
          <w:lang w:val="en-US" w:eastAsia="zh-CN"/>
        </w:rPr>
        <w:t>其他要求</w:t>
      </w:r>
    </w:p>
    <w:p w14:paraId="4EFD23B4">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textAlignment w:val="auto"/>
        <w:outlineLvl w:val="0"/>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w:t>
      </w:r>
      <w:r>
        <w:rPr>
          <w:rFonts w:hint="eastAsia" w:ascii="仿宋" w:hAnsi="仿宋" w:eastAsia="仿宋" w:cs="仿宋"/>
          <w:b w:val="0"/>
          <w:bCs/>
          <w:color w:val="auto"/>
          <w:kern w:val="0"/>
          <w:sz w:val="24"/>
          <w:szCs w:val="24"/>
          <w:highlight w:val="none"/>
          <w:lang w:val="en-US" w:eastAsia="zh-CN"/>
        </w:rPr>
        <w:t>1</w:t>
      </w:r>
      <w:r>
        <w:rPr>
          <w:rFonts w:hint="eastAsia" w:ascii="仿宋" w:hAnsi="仿宋" w:eastAsia="仿宋" w:cs="仿宋"/>
          <w:b w:val="0"/>
          <w:bCs/>
          <w:color w:val="auto"/>
          <w:kern w:val="0"/>
          <w:sz w:val="24"/>
          <w:szCs w:val="24"/>
          <w:highlight w:val="none"/>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w:t>
      </w:r>
    </w:p>
    <w:p w14:paraId="11F8B288">
      <w:pPr>
        <w:pageBreakBefore w:val="0"/>
        <w:widowControl/>
        <w:numPr>
          <w:ilvl w:val="0"/>
          <w:numId w:val="0"/>
        </w:numPr>
        <w:kinsoku/>
        <w:wordWrap/>
        <w:overflowPunct/>
        <w:topLinePunct w:val="0"/>
        <w:bidi w:val="0"/>
        <w:snapToGrid/>
        <w:spacing w:line="440" w:lineRule="exact"/>
        <w:ind w:firstLine="480" w:firstLineChars="200"/>
        <w:textAlignment w:val="auto"/>
        <w:outlineLvl w:val="0"/>
        <w:rPr>
          <w:rFonts w:hint="eastAsia"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highlight w:val="none"/>
        </w:rPr>
        <w:t>▲</w:t>
      </w:r>
      <w:r>
        <w:rPr>
          <w:rFonts w:hint="eastAsia" w:ascii="仿宋" w:hAnsi="仿宋" w:eastAsia="仿宋" w:cs="仿宋"/>
          <w:b w:val="0"/>
          <w:bCs/>
          <w:color w:val="auto"/>
          <w:kern w:val="0"/>
          <w:sz w:val="24"/>
          <w:szCs w:val="24"/>
          <w:highlight w:val="none"/>
          <w:lang w:val="en-US" w:eastAsia="zh-CN"/>
        </w:rPr>
        <w:t>2</w:t>
      </w:r>
      <w:r>
        <w:rPr>
          <w:rFonts w:hint="eastAsia" w:ascii="仿宋" w:hAnsi="仿宋" w:eastAsia="仿宋" w:cs="仿宋"/>
          <w:b w:val="0"/>
          <w:bCs/>
          <w:color w:val="auto"/>
          <w:kern w:val="0"/>
          <w:sz w:val="24"/>
          <w:szCs w:val="24"/>
          <w:highlight w:val="none"/>
        </w:rPr>
        <w:t>食品药品监督管理部门核发的完整有效的医疗器械注册或备案证明（适用于按医疗器械管理的货物，包括附件。所投设备若纳入中华人民共和国医疗器械监督管理的，第一类医疗器械必须具备食品药品监督管理部门颁发的医疗器械备案凭证;第二、三类医疗器械必须具备食品药品监督管理部门颁发的医疗器械注册证。）</w:t>
      </w:r>
    </w:p>
    <w:p w14:paraId="16920DDD">
      <w:pPr>
        <w:pStyle w:val="3"/>
        <w:pageBreakBefore w:val="0"/>
        <w:numPr>
          <w:ilvl w:val="0"/>
          <w:numId w:val="0"/>
        </w:numPr>
        <w:shd w:val="clear"/>
        <w:kinsoku/>
        <w:wordWrap/>
        <w:overflowPunct/>
        <w:topLinePunct w:val="0"/>
        <w:bidi w:val="0"/>
        <w:snapToGrid/>
        <w:spacing w:line="440" w:lineRule="exact"/>
        <w:ind w:left="854" w:firstLine="0"/>
        <w:jc w:val="center"/>
        <w:textAlignment w:val="auto"/>
        <w:rPr>
          <w:rFonts w:hint="eastAsia" w:ascii="仿宋" w:hAnsi="仿宋" w:eastAsia="仿宋" w:cs="仿宋"/>
          <w:b/>
          <w:bCs/>
          <w:color w:val="auto"/>
          <w:sz w:val="32"/>
          <w:szCs w:val="32"/>
          <w:highlight w:val="none"/>
          <w:lang w:val="en-US"/>
        </w:rPr>
      </w:pP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lang w:val="en-US"/>
        </w:rPr>
        <w:t>商务要求</w:t>
      </w:r>
    </w:p>
    <w:p w14:paraId="1DD87334">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质保期</w:t>
      </w:r>
    </w:p>
    <w:p w14:paraId="34B8F40D">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▲1.1设备验收合格后</w:t>
      </w:r>
      <w:r>
        <w:rPr>
          <w:rFonts w:hint="eastAsia" w:ascii="仿宋" w:hAnsi="仿宋" w:eastAsia="仿宋" w:cs="仿宋"/>
          <w:bCs/>
          <w:color w:val="auto"/>
          <w:sz w:val="24"/>
          <w:highlight w:val="none"/>
          <w:lang w:val="en-US" w:eastAsia="zh-CN"/>
        </w:rPr>
        <w:t>提供原厂质保不少于5</w:t>
      </w:r>
      <w:r>
        <w:rPr>
          <w:rFonts w:hint="eastAsia" w:ascii="仿宋" w:hAnsi="仿宋" w:eastAsia="仿宋" w:cs="仿宋"/>
          <w:bCs/>
          <w:color w:val="auto"/>
          <w:sz w:val="24"/>
          <w:highlight w:val="none"/>
        </w:rPr>
        <w:t>年，终身维修。</w:t>
      </w:r>
    </w:p>
    <w:p w14:paraId="17573C18">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1.2质保期内的各类配件损耗，由投标人承担。</w:t>
      </w:r>
    </w:p>
    <w:p w14:paraId="043F83AC">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3</w:t>
      </w:r>
      <w:r>
        <w:rPr>
          <w:rFonts w:hint="eastAsia" w:ascii="仿宋" w:hAnsi="仿宋" w:eastAsia="仿宋" w:cs="仿宋"/>
          <w:i w:val="0"/>
          <w:iCs w:val="0"/>
          <w:color w:val="auto"/>
          <w:kern w:val="0"/>
          <w:sz w:val="24"/>
          <w:szCs w:val="24"/>
          <w:u w:val="none"/>
          <w:lang w:val="en-US" w:eastAsia="zh-CN" w:bidi="ar"/>
        </w:rPr>
        <w:t>中标方负责免费接入医共体心电会诊平台等系统（承担接口费）</w:t>
      </w:r>
      <w:r>
        <w:rPr>
          <w:rFonts w:hint="eastAsia" w:ascii="仿宋" w:hAnsi="仿宋" w:eastAsia="仿宋" w:cs="仿宋"/>
          <w:bCs/>
          <w:color w:val="auto"/>
          <w:sz w:val="24"/>
          <w:highlight w:val="none"/>
          <w:lang w:eastAsia="zh-CN"/>
        </w:rPr>
        <w:t>，</w:t>
      </w:r>
      <w:r>
        <w:rPr>
          <w:rFonts w:hint="eastAsia" w:ascii="仿宋" w:hAnsi="仿宋" w:eastAsia="仿宋" w:cs="仿宋"/>
          <w:i w:val="0"/>
          <w:iCs w:val="0"/>
          <w:color w:val="auto"/>
          <w:kern w:val="0"/>
          <w:sz w:val="24"/>
          <w:szCs w:val="24"/>
          <w:u w:val="none"/>
          <w:lang w:val="en-US" w:eastAsia="zh-CN" w:bidi="ar"/>
        </w:rPr>
        <w:t>中标方负责免费提供5年4G流量费。</w:t>
      </w:r>
    </w:p>
    <w:p w14:paraId="3230B088">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 xml:space="preserve">4 </w:t>
      </w:r>
      <w:r>
        <w:rPr>
          <w:rFonts w:hint="eastAsia" w:ascii="仿宋" w:hAnsi="仿宋" w:eastAsia="仿宋" w:cs="仿宋"/>
          <w:i w:val="0"/>
          <w:iCs w:val="0"/>
          <w:color w:val="auto"/>
          <w:kern w:val="0"/>
          <w:sz w:val="24"/>
          <w:szCs w:val="24"/>
          <w:u w:val="none"/>
          <w:lang w:val="en-US" w:eastAsia="zh-CN" w:bidi="ar"/>
        </w:rPr>
        <w:t>提供投标产品的彩页资料、维修手册何操作手册、详细技术指标</w:t>
      </w:r>
      <w:r>
        <w:rPr>
          <w:rFonts w:hint="eastAsia" w:ascii="仿宋" w:hAnsi="仿宋" w:eastAsia="仿宋" w:cs="仿宋"/>
          <w:bCs/>
          <w:color w:val="auto"/>
          <w:sz w:val="24"/>
          <w:highlight w:val="none"/>
        </w:rPr>
        <w:t>。</w:t>
      </w:r>
    </w:p>
    <w:p w14:paraId="38B42D4B">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付款方式</w:t>
      </w:r>
    </w:p>
    <w:p w14:paraId="560C2B56">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合同签订生效，</w:t>
      </w:r>
      <w:r>
        <w:rPr>
          <w:rFonts w:hint="eastAsia" w:ascii="仿宋" w:hAnsi="仿宋" w:eastAsia="仿宋" w:cs="仿宋"/>
          <w:bCs/>
          <w:color w:val="auto"/>
          <w:sz w:val="24"/>
          <w:highlight w:val="none"/>
          <w:lang w:val="en-US" w:eastAsia="zh-CN"/>
        </w:rPr>
        <w:t>供货</w:t>
      </w:r>
      <w:r>
        <w:rPr>
          <w:rFonts w:hint="eastAsia" w:ascii="仿宋" w:hAnsi="仿宋" w:eastAsia="仿宋" w:cs="仿宋"/>
          <w:bCs/>
          <w:color w:val="auto"/>
          <w:sz w:val="24"/>
          <w:highlight w:val="none"/>
        </w:rPr>
        <w:t>实施安装且设备验收合格，合同发票开具后5个工作日内，一次性支付合同价款。</w:t>
      </w:r>
    </w:p>
    <w:p w14:paraId="71794FC2">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售后服务</w:t>
      </w:r>
    </w:p>
    <w:p w14:paraId="27FC4853">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3.1在设备整个使用期内，</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应确保设备的正常使用。零配件在该设备停产后仍需保证</w:t>
      </w:r>
      <w:r>
        <w:rPr>
          <w:rFonts w:hint="eastAsia" w:ascii="仿宋" w:hAnsi="仿宋" w:eastAsia="仿宋" w:cs="仿宋"/>
          <w:bCs/>
          <w:color w:val="auto"/>
          <w:sz w:val="24"/>
          <w:highlight w:val="none"/>
          <w:lang w:val="en-US" w:eastAsia="zh-CN"/>
        </w:rPr>
        <w:t>八</w:t>
      </w:r>
      <w:r>
        <w:rPr>
          <w:rFonts w:hint="eastAsia" w:ascii="仿宋" w:hAnsi="仿宋" w:eastAsia="仿宋" w:cs="仿宋"/>
          <w:bCs/>
          <w:color w:val="auto"/>
          <w:sz w:val="24"/>
          <w:highlight w:val="none"/>
        </w:rPr>
        <w:t>年的供应。</w:t>
      </w:r>
    </w:p>
    <w:p w14:paraId="63F878D1">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3.2响应时间要求：</w:t>
      </w:r>
      <w:r>
        <w:rPr>
          <w:rFonts w:hint="eastAsia" w:ascii="仿宋" w:hAnsi="仿宋" w:eastAsia="仿宋" w:cs="仿宋"/>
          <w:bCs/>
          <w:color w:val="auto"/>
          <w:sz w:val="24"/>
          <w:highlight w:val="none"/>
        </w:rPr>
        <w:t>在保修服务期内提供24小时技术电话支持(24小时x365天)。并提供报修电话以及维修服务网点、人员联系方式。接到报修电话后15分钟内提供专业工程师电话支持。如需派工上门，1小时内确认派工信息和工程师到达</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所在地时间。自接报修电话始，在12小时内派工程师到现场实施维修，直到设备恢复正常。</w:t>
      </w:r>
      <w:r>
        <w:rPr>
          <w:rFonts w:hint="eastAsia" w:ascii="仿宋" w:hAnsi="仿宋" w:eastAsia="仿宋" w:cs="仿宋"/>
          <w:bCs/>
          <w:color w:val="auto"/>
          <w:sz w:val="24"/>
          <w:highlight w:val="none"/>
          <w:lang w:val="en-US" w:eastAsia="zh-CN"/>
        </w:rPr>
        <w:t>(特殊设备因未及时修复给采购人带来损失，采购人有权要求中标人赔偿所有损失)。</w:t>
      </w:r>
    </w:p>
    <w:p w14:paraId="089F2E2E">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highlight w:val="none"/>
          <w:lang w:val="en-US" w:eastAsia="zh-CN"/>
        </w:rPr>
        <w:t>3.3</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当地或省会中心城市，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应配置多名工程技术人员，随时提供开箱验货、安装、调试或维修等服务</w:t>
      </w:r>
      <w:r>
        <w:rPr>
          <w:rFonts w:hint="eastAsia" w:ascii="仿宋" w:hAnsi="仿宋" w:eastAsia="仿宋" w:cs="仿宋"/>
          <w:color w:val="auto"/>
          <w:sz w:val="24"/>
          <w:szCs w:val="24"/>
          <w:highlight w:val="none"/>
          <w:lang w:val="en-US" w:eastAsia="zh-CN"/>
        </w:rPr>
        <w:t>。</w:t>
      </w:r>
    </w:p>
    <w:p w14:paraId="3A0B7DC2">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3.4维修备件在确认后2天内送达维修现场。</w:t>
      </w:r>
    </w:p>
    <w:p w14:paraId="0DE5A3AC">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应在投标文件中提供</w:t>
      </w:r>
      <w:r>
        <w:rPr>
          <w:rFonts w:hint="eastAsia" w:ascii="仿宋" w:hAnsi="仿宋" w:eastAsia="仿宋" w:cs="仿宋"/>
          <w:bCs/>
          <w:color w:val="auto"/>
          <w:sz w:val="24"/>
          <w:szCs w:val="24"/>
          <w:highlight w:val="none"/>
        </w:rPr>
        <w:t>售后服务方案，如售后服务机构备品备件储备，售后服务机构技术服务人员情况。</w:t>
      </w:r>
    </w:p>
    <w:p w14:paraId="4574A2A7">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szCs w:val="24"/>
          <w:highlight w:val="none"/>
          <w:lang w:val="en-US" w:eastAsia="zh-CN"/>
        </w:rPr>
        <w:t>3.6投标人应在投标文件中提供巡检方案，如巡检的频次、巡检的内容等，以便设备更好的运行。</w:t>
      </w:r>
    </w:p>
    <w:p w14:paraId="01469E7C">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技术支持</w:t>
      </w:r>
    </w:p>
    <w:p w14:paraId="5D236A42">
      <w:pPr>
        <w:pageBreakBefore w:val="0"/>
        <w:shd w:val="clear"/>
        <w:kinsoku/>
        <w:wordWrap/>
        <w:overflowPunct/>
        <w:topLinePunct w:val="0"/>
        <w:bidi w:val="0"/>
        <w:snapToGrid/>
        <w:spacing w:line="44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highlight w:val="none"/>
        </w:rPr>
        <w:t>4.1</w:t>
      </w:r>
      <w:r>
        <w:rPr>
          <w:rFonts w:hint="eastAsia" w:ascii="仿宋" w:hAnsi="仿宋" w:eastAsia="仿宋" w:cs="仿宋"/>
          <w:bCs/>
          <w:color w:val="auto"/>
          <w:sz w:val="24"/>
          <w:szCs w:val="24"/>
          <w:highlight w:val="none"/>
          <w:lang w:val="en-US" w:eastAsia="zh-CN"/>
        </w:rPr>
        <w:t>该设备如有软件，中标人应提供软件终身免费升级。</w:t>
      </w:r>
    </w:p>
    <w:p w14:paraId="1550717E">
      <w:pPr>
        <w:pageBreakBefore w:val="0"/>
        <w:shd w:val="clear"/>
        <w:kinsoku/>
        <w:wordWrap/>
        <w:overflowPunct/>
        <w:topLinePunct w:val="0"/>
        <w:bidi w:val="0"/>
        <w:snapToGrid/>
        <w:spacing w:line="44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szCs w:val="24"/>
          <w:highlight w:val="none"/>
          <w:lang w:val="en-US" w:eastAsia="zh-CN"/>
        </w:rPr>
        <w:t>4.2投标人应对投标货物的技术性能有详细的描述。</w:t>
      </w:r>
    </w:p>
    <w:p w14:paraId="50E7A46B">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培训</w:t>
      </w:r>
    </w:p>
    <w:p w14:paraId="19AE0D85">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5.1</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应对</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的维修人员提供培训，使其能对设备进行日常的维护保养及能对一般故障进行维修，并向培训人员提供维修图纸及维修手册、维修密码及软件备份。</w:t>
      </w:r>
    </w:p>
    <w:p w14:paraId="1DC92ED9">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5.2</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应对</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的操作人员进行操作培训，使其能对设备进行熟练的操作。</w:t>
      </w:r>
    </w:p>
    <w:p w14:paraId="0260AADB">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sz w:val="24"/>
          <w:highlight w:val="none"/>
        </w:rPr>
        <w:t>5.3</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应在投标文件的培训方案中详细说明。</w:t>
      </w:r>
      <w:r>
        <w:rPr>
          <w:rFonts w:hint="eastAsia" w:ascii="仿宋" w:hAnsi="仿宋" w:eastAsia="仿宋" w:cs="仿宋"/>
          <w:bCs/>
          <w:color w:val="auto"/>
          <w:sz w:val="24"/>
          <w:highlight w:val="none"/>
          <w:lang w:eastAsia="zh-CN"/>
        </w:rPr>
        <w:t>包括（</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使用培训：提供厂方书面培训计划及要求，并由使用科室对培训结果进行确认。</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维修培训：提供厂方书面培训计划（同厂方工程师内容），在厂方维修中心实施培训，并由</w:t>
      </w:r>
      <w:r>
        <w:rPr>
          <w:rFonts w:hint="eastAsia" w:ascii="仿宋" w:hAnsi="仿宋" w:eastAsia="仿宋" w:cs="仿宋"/>
          <w:color w:val="auto"/>
          <w:kern w:val="0"/>
          <w:sz w:val="24"/>
          <w:szCs w:val="24"/>
          <w:highlight w:val="none"/>
          <w:lang w:eastAsia="zh-CN"/>
        </w:rPr>
        <w:t>设备科</w:t>
      </w:r>
      <w:r>
        <w:rPr>
          <w:rFonts w:hint="eastAsia" w:ascii="仿宋" w:hAnsi="仿宋" w:eastAsia="仿宋" w:cs="仿宋"/>
          <w:color w:val="auto"/>
          <w:kern w:val="0"/>
          <w:sz w:val="24"/>
          <w:szCs w:val="24"/>
          <w:highlight w:val="none"/>
        </w:rPr>
        <w:t>对培训结果签（字）章确认。</w:t>
      </w:r>
    </w:p>
    <w:p w14:paraId="0740C2F0">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lang w:val="en-US" w:eastAsia="zh-CN"/>
        </w:rPr>
        <w:t>5.4投标</w:t>
      </w:r>
      <w:r>
        <w:rPr>
          <w:rFonts w:hint="eastAsia" w:ascii="仿宋" w:hAnsi="仿宋" w:eastAsia="仿宋" w:cs="仿宋"/>
          <w:color w:val="auto"/>
          <w:kern w:val="0"/>
          <w:sz w:val="24"/>
          <w:szCs w:val="24"/>
          <w:highlight w:val="none"/>
        </w:rPr>
        <w:t>人承担所有培训费用，并同意作为付款条件之一。</w:t>
      </w:r>
    </w:p>
    <w:p w14:paraId="3A46F90B">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现场条件</w:t>
      </w:r>
    </w:p>
    <w:p w14:paraId="46EF2B0C">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6.1</w:t>
      </w:r>
      <w:r>
        <w:rPr>
          <w:rFonts w:hint="eastAsia" w:ascii="仿宋" w:hAnsi="仿宋" w:eastAsia="仿宋" w:cs="仿宋"/>
          <w:color w:val="auto"/>
          <w:sz w:val="24"/>
          <w:szCs w:val="24"/>
          <w:highlight w:val="none"/>
        </w:rPr>
        <w:t>项目实施</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lang w:val="en-US" w:eastAsia="zh-CN"/>
        </w:rPr>
        <w:t>配合采购人</w:t>
      </w:r>
      <w:r>
        <w:rPr>
          <w:rFonts w:hint="eastAsia" w:ascii="仿宋" w:hAnsi="仿宋" w:eastAsia="仿宋" w:cs="仿宋"/>
          <w:color w:val="auto"/>
          <w:sz w:val="24"/>
          <w:szCs w:val="24"/>
          <w:highlight w:val="none"/>
        </w:rPr>
        <w:t>正常的医疗工作。</w:t>
      </w:r>
    </w:p>
    <w:p w14:paraId="6A4EFE2E">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6.2</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人不组织现场踏勘，投标人应自行对现场和周围环境进行踏勘和了解，以获取有关编制投标文件和签署合同所需的各种资料，并应充分考虑影响本次报价的因素、预计实施过程中各种不利因素，由此可能发生的费用均由投标人考虑并包含在投标报价中。中标后，</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标人不得再以不完全了解现场情况等为理由而提出额外付款或延长工期等的要求，若有此类要求，采购人将不作任何答复与考虑，投标人应承担现场踏勘的责任和风险，踏勘现场的费用由投标人自行承担。</w:t>
      </w:r>
    </w:p>
    <w:p w14:paraId="1E905180">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安装调试</w:t>
      </w:r>
    </w:p>
    <w:p w14:paraId="054D6F0A">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.1安装地点：</w:t>
      </w: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szCs w:val="24"/>
          <w:highlight w:val="none"/>
          <w:lang w:eastAsia="zh-CN"/>
        </w:rPr>
        <w:t>指定地点。</w:t>
      </w:r>
    </w:p>
    <w:p w14:paraId="2CA52F04">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.2安装完成时间：签订合同后根据招标方通知</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个工作日内，在招标人指定地点交货安装及设备调试。如在规定的时间内由于</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的原因不能完成安装和调试，</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应承担由此给采购人造成的损失</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提供厂方书面设备安装要求并符合条件的说明，经</w:t>
      </w:r>
      <w:r>
        <w:rPr>
          <w:rFonts w:hint="eastAsia" w:ascii="仿宋" w:hAnsi="仿宋" w:eastAsia="仿宋" w:cs="仿宋"/>
          <w:color w:val="auto"/>
          <w:kern w:val="0"/>
          <w:sz w:val="24"/>
          <w:szCs w:val="24"/>
          <w:highlight w:val="none"/>
          <w:lang w:eastAsia="zh-CN"/>
        </w:rPr>
        <w:t>设备科</w:t>
      </w:r>
      <w:r>
        <w:rPr>
          <w:rFonts w:hint="eastAsia" w:ascii="仿宋" w:hAnsi="仿宋" w:eastAsia="仿宋" w:cs="仿宋"/>
          <w:color w:val="auto"/>
          <w:kern w:val="0"/>
          <w:sz w:val="24"/>
          <w:szCs w:val="24"/>
          <w:highlight w:val="none"/>
        </w:rPr>
        <w:t>签章后进行设备安装</w:t>
      </w:r>
      <w:r>
        <w:rPr>
          <w:rFonts w:hint="eastAsia" w:ascii="仿宋" w:hAnsi="仿宋" w:eastAsia="仿宋" w:cs="仿宋"/>
          <w:color w:val="auto"/>
          <w:kern w:val="0"/>
          <w:sz w:val="24"/>
          <w:szCs w:val="24"/>
          <w:highlight w:val="none"/>
          <w:lang w:eastAsia="zh-CN"/>
        </w:rPr>
        <w:t>。</w:t>
      </w:r>
    </w:p>
    <w:p w14:paraId="7A21B783">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.3安装标准：符合我国国家有关技术规范要求和技术标准。</w:t>
      </w:r>
    </w:p>
    <w:p w14:paraId="72D8144D">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.4安装过程中发生的费用由</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负责。</w:t>
      </w:r>
    </w:p>
    <w:p w14:paraId="7912891A">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应在投标文件中提供安装调试方案和安装调试过程中采购人需配合的内容。</w:t>
      </w:r>
    </w:p>
    <w:p w14:paraId="6D35F59A">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.6随机资料：提供使用操作手册2份，维修手册1份。</w:t>
      </w:r>
    </w:p>
    <w:p w14:paraId="5B78D5F4">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验收</w:t>
      </w:r>
    </w:p>
    <w:p w14:paraId="659116C6">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应提供设备的有效检验文件，经</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认可后，与设备性能指标、合同内容一起作为设备验收标准。</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对设备验收合格后，双方共同签署验收</w:t>
      </w:r>
      <w:r>
        <w:rPr>
          <w:rFonts w:hint="eastAsia" w:ascii="仿宋" w:hAnsi="仿宋" w:eastAsia="仿宋" w:cs="仿宋"/>
          <w:bCs/>
          <w:color w:val="auto"/>
          <w:sz w:val="24"/>
          <w:highlight w:val="none"/>
          <w:lang w:eastAsia="zh-CN"/>
        </w:rPr>
        <w:t>单</w:t>
      </w:r>
      <w:r>
        <w:rPr>
          <w:rFonts w:hint="eastAsia" w:ascii="仿宋" w:hAnsi="仿宋" w:eastAsia="仿宋" w:cs="仿宋"/>
          <w:bCs/>
          <w:color w:val="auto"/>
          <w:sz w:val="24"/>
          <w:highlight w:val="none"/>
        </w:rPr>
        <w:t>。验收中发现设备达不到验收标准或合同规定的性能指标，</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必须更换设备</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并且赔偿由此给</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造成的损失。</w:t>
      </w:r>
    </w:p>
    <w:p w14:paraId="4FA257CF">
      <w:pPr>
        <w:keepNext w:val="0"/>
        <w:keepLines w:val="0"/>
        <w:pageBreakBefore w:val="0"/>
        <w:widowControl/>
        <w:shd w:val="clea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.2</w:t>
      </w:r>
      <w:r>
        <w:rPr>
          <w:rFonts w:hint="eastAsia" w:ascii="仿宋" w:hAnsi="仿宋" w:eastAsia="仿宋" w:cs="仿宋"/>
          <w:color w:val="auto"/>
          <w:kern w:val="0"/>
          <w:sz w:val="24"/>
          <w:szCs w:val="24"/>
          <w:highlight w:val="none"/>
        </w:rPr>
        <w:t>验收依据：1）制造商提供的技术规格2）合同和标书（及评标时的相关承诺）3）国家强制标准4）厂家注册标准</w:t>
      </w:r>
      <w:r>
        <w:rPr>
          <w:rFonts w:hint="eastAsia" w:ascii="仿宋" w:hAnsi="仿宋" w:eastAsia="仿宋" w:cs="仿宋"/>
          <w:color w:val="auto"/>
          <w:kern w:val="0"/>
          <w:sz w:val="24"/>
          <w:szCs w:val="24"/>
          <w:highlight w:val="none"/>
          <w:lang w:eastAsia="zh-CN"/>
        </w:rPr>
        <w:t>。</w:t>
      </w:r>
    </w:p>
    <w:p w14:paraId="35DDE7D1">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lang w:val="en-US" w:eastAsia="zh-CN"/>
        </w:rPr>
        <w:t>8.3</w:t>
      </w:r>
      <w:r>
        <w:rPr>
          <w:rFonts w:hint="eastAsia" w:ascii="仿宋" w:hAnsi="仿宋" w:eastAsia="仿宋" w:cs="仿宋"/>
          <w:bCs/>
          <w:color w:val="auto"/>
          <w:sz w:val="24"/>
          <w:szCs w:val="24"/>
          <w:highlight w:val="none"/>
        </w:rPr>
        <w:t>验收所需资料及验收合格条件：</w:t>
      </w:r>
      <w:r>
        <w:rPr>
          <w:rFonts w:hint="eastAsia" w:ascii="仿宋" w:hAnsi="仿宋" w:eastAsia="仿宋" w:cs="仿宋"/>
          <w:color w:val="auto"/>
          <w:kern w:val="0"/>
          <w:sz w:val="24"/>
          <w:szCs w:val="24"/>
          <w:highlight w:val="none"/>
        </w:rPr>
        <w:t>中文使用</w:t>
      </w:r>
      <w:r>
        <w:rPr>
          <w:rFonts w:hint="eastAsia" w:ascii="仿宋" w:hAnsi="仿宋" w:eastAsia="仿宋" w:cs="仿宋"/>
          <w:color w:val="auto"/>
          <w:kern w:val="0"/>
          <w:sz w:val="24"/>
          <w:szCs w:val="24"/>
          <w:highlight w:val="none"/>
          <w:lang w:eastAsia="zh-CN"/>
        </w:rPr>
        <w:t>说明书</w:t>
      </w:r>
      <w:r>
        <w:rPr>
          <w:rFonts w:hint="eastAsia" w:ascii="仿宋" w:hAnsi="仿宋" w:eastAsia="仿宋" w:cs="仿宋"/>
          <w:color w:val="auto"/>
          <w:kern w:val="0"/>
          <w:sz w:val="24"/>
          <w:szCs w:val="24"/>
          <w:highlight w:val="none"/>
        </w:rPr>
        <w:t>、维修手册（包括</w:t>
      </w:r>
      <w:r>
        <w:rPr>
          <w:rFonts w:hint="eastAsia" w:ascii="仿宋" w:hAnsi="仿宋" w:eastAsia="仿宋" w:cs="仿宋"/>
          <w:color w:val="auto"/>
          <w:spacing w:val="10"/>
          <w:kern w:val="0"/>
          <w:sz w:val="24"/>
          <w:szCs w:val="24"/>
          <w:highlight w:val="none"/>
        </w:rPr>
        <w:t>安装盘、维修密码等）</w:t>
      </w:r>
      <w:r>
        <w:rPr>
          <w:rFonts w:hint="eastAsia" w:ascii="仿宋" w:hAnsi="仿宋" w:eastAsia="仿宋" w:cs="仿宋"/>
          <w:color w:val="auto"/>
          <w:spacing w:val="10"/>
          <w:kern w:val="0"/>
          <w:sz w:val="24"/>
          <w:szCs w:val="24"/>
          <w:highlight w:val="none"/>
          <w:lang w:eastAsia="zh-CN"/>
        </w:rPr>
        <w:t>、</w:t>
      </w:r>
      <w:r>
        <w:rPr>
          <w:rFonts w:hint="eastAsia" w:ascii="仿宋" w:hAnsi="仿宋" w:eastAsia="仿宋" w:cs="仿宋"/>
          <w:bCs/>
          <w:color w:val="auto"/>
          <w:sz w:val="24"/>
          <w:szCs w:val="24"/>
          <w:highlight w:val="none"/>
        </w:rPr>
        <w:t>操作培训签字，维修培训签字，维修培训试卷，操作视频，操作说明书及电子版（扫描件有效），操作培训试卷，操作规程，维修说明书及电子版（扫描件有效）。</w:t>
      </w:r>
    </w:p>
    <w:p w14:paraId="323E7A73">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交货</w:t>
      </w:r>
    </w:p>
    <w:p w14:paraId="3FDA8E48">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交货期：签订合同后根据招标方通知</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个工作日内，在招标人指定地点交货安装及设备调试。</w:t>
      </w:r>
    </w:p>
    <w:p w14:paraId="564A1069">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.2交货地点：</w:t>
      </w: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szCs w:val="24"/>
          <w:highlight w:val="none"/>
          <w:lang w:eastAsia="zh-CN"/>
        </w:rPr>
        <w:t>指定地点。</w:t>
      </w:r>
    </w:p>
    <w:p w14:paraId="6A94E808">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.报价方式</w:t>
      </w:r>
    </w:p>
    <w:p w14:paraId="5F1732E5">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.1所有投标价格为含税到</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人民币价（含货物应交纳的一切税费和伴随服务费）并进行分项报价；质保期后的维保费单独报价（不包括在投标价中），选购件单独分项报价（不包括在投标价中）。</w:t>
      </w:r>
    </w:p>
    <w:p w14:paraId="69FB4AF7">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w:t>
      </w:r>
    </w:p>
    <w:p w14:paraId="6B571D90">
      <w:pPr>
        <w:pageBreakBefore w:val="0"/>
        <w:numPr>
          <w:ilvl w:val="0"/>
          <w:numId w:val="2"/>
        </w:numPr>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招标</w:t>
      </w:r>
      <w:r>
        <w:rPr>
          <w:rFonts w:hint="eastAsia" w:ascii="仿宋" w:hAnsi="仿宋" w:eastAsia="仿宋" w:cs="仿宋"/>
          <w:b w:val="0"/>
          <w:bCs/>
          <w:color w:val="auto"/>
          <w:sz w:val="24"/>
          <w:szCs w:val="24"/>
          <w:highlight w:val="none"/>
        </w:rPr>
        <w:t>内容及需求中所指出技术规格、技术参数、材料和功能标准等方面的资料如涉及特定品牌、型号规格或制造商的信息，则仅系技术需求及说明而并非进行限制。投标人可提出替代响应内容，但该替代应相当于或优于招标内容及需求的规定，以满足本次</w:t>
      </w:r>
      <w:r>
        <w:rPr>
          <w:rFonts w:hint="eastAsia" w:ascii="仿宋" w:hAnsi="仿宋" w:eastAsia="仿宋" w:cs="仿宋"/>
          <w:b w:val="0"/>
          <w:bCs/>
          <w:color w:val="auto"/>
          <w:sz w:val="24"/>
          <w:szCs w:val="24"/>
          <w:highlight w:val="none"/>
          <w:lang w:val="en-US" w:eastAsia="zh-CN"/>
        </w:rPr>
        <w:t>招标</w:t>
      </w:r>
      <w:r>
        <w:rPr>
          <w:rFonts w:hint="eastAsia" w:ascii="仿宋" w:hAnsi="仿宋" w:eastAsia="仿宋" w:cs="仿宋"/>
          <w:b w:val="0"/>
          <w:bCs/>
          <w:color w:val="auto"/>
          <w:sz w:val="24"/>
          <w:szCs w:val="24"/>
          <w:highlight w:val="none"/>
        </w:rPr>
        <w:t>要求并使</w:t>
      </w:r>
      <w:r>
        <w:rPr>
          <w:rFonts w:hint="eastAsia" w:ascii="仿宋" w:hAnsi="仿宋" w:eastAsia="仿宋" w:cs="仿宋"/>
          <w:b w:val="0"/>
          <w:bCs/>
          <w:color w:val="auto"/>
          <w:sz w:val="24"/>
          <w:szCs w:val="24"/>
          <w:highlight w:val="none"/>
          <w:lang w:val="en-US" w:eastAsia="zh-CN"/>
        </w:rPr>
        <w:t>采购人</w:t>
      </w:r>
      <w:r>
        <w:rPr>
          <w:rFonts w:hint="eastAsia" w:ascii="仿宋" w:hAnsi="仿宋" w:eastAsia="仿宋" w:cs="仿宋"/>
          <w:b w:val="0"/>
          <w:bCs/>
          <w:color w:val="auto"/>
          <w:sz w:val="24"/>
          <w:szCs w:val="24"/>
          <w:highlight w:val="none"/>
        </w:rPr>
        <w:t>可以接受。</w:t>
      </w:r>
    </w:p>
    <w:p w14:paraId="0FE1231F">
      <w:pPr>
        <w:pageBreakBefore w:val="0"/>
        <w:numPr>
          <w:ilvl w:val="0"/>
          <w:numId w:val="2"/>
        </w:numPr>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投</w:t>
      </w:r>
      <w:r>
        <w:rPr>
          <w:rFonts w:hint="eastAsia" w:ascii="仿宋" w:hAnsi="仿宋" w:eastAsia="仿宋" w:cs="仿宋"/>
          <w:b w:val="0"/>
          <w:bCs/>
          <w:color w:val="auto"/>
          <w:sz w:val="24"/>
          <w:szCs w:val="24"/>
          <w:highlight w:val="none"/>
        </w:rPr>
        <w:t>标人须提交证明其拟供货物和服务符合采购文件规定的技术响应文件，文件可以是文字资料、图纸和数据等佐证资料，并提供货物主要技术、结构、性能、功能、特点和质量水平的详细阐述。</w:t>
      </w:r>
    </w:p>
    <w:p w14:paraId="0183F02C">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.如有附图，仅作参考。</w:t>
      </w:r>
    </w:p>
    <w:p w14:paraId="0FDE49AB">
      <w:pPr>
        <w:pageBreakBefore w:val="0"/>
        <w:shd w:val="clear"/>
        <w:kinsoku/>
        <w:wordWrap/>
        <w:overflowPunct/>
        <w:topLinePunct w:val="0"/>
        <w:bidi w:val="0"/>
        <w:snapToGrid/>
        <w:spacing w:line="44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.招标文件中打▲内容为实质性要求，不允许有负偏离，否则将以涉及无效投标条款作无效投标。</w:t>
      </w:r>
    </w:p>
    <w:p w14:paraId="7AB33B34">
      <w:pPr>
        <w:pStyle w:val="61"/>
        <w:pageBreakBefore w:val="0"/>
        <w:shd w:val="clear"/>
        <w:kinsoku/>
        <w:wordWrap/>
        <w:overflowPunct/>
        <w:topLinePunct w:val="0"/>
        <w:bidi w:val="0"/>
        <w:snapToGrid/>
        <w:spacing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bCs/>
          <w:color w:val="auto"/>
          <w:szCs w:val="24"/>
          <w:highlight w:val="none"/>
          <w:lang w:val="en-US" w:eastAsia="zh-CN"/>
        </w:rPr>
        <w:t>5</w:t>
      </w:r>
      <w:r>
        <w:rPr>
          <w:rFonts w:hint="eastAsia" w:ascii="仿宋" w:hAnsi="仿宋" w:eastAsia="仿宋" w:cs="仿宋"/>
          <w:bCs/>
          <w:color w:val="auto"/>
          <w:highlight w:val="none"/>
        </w:rPr>
        <w:t>.</w:t>
      </w:r>
      <w:r>
        <w:rPr>
          <w:rFonts w:hint="eastAsia" w:ascii="仿宋" w:hAnsi="仿宋" w:eastAsia="仿宋" w:cs="仿宋"/>
          <w:bCs/>
          <w:color w:val="auto"/>
          <w:szCs w:val="24"/>
          <w:highlight w:val="none"/>
          <w:lang w:val="en-US" w:eastAsia="zh-CN"/>
        </w:rPr>
        <w:t>投标人</w:t>
      </w:r>
      <w:r>
        <w:rPr>
          <w:rFonts w:hint="eastAsia" w:ascii="仿宋" w:hAnsi="仿宋" w:eastAsia="仿宋" w:cs="仿宋"/>
          <w:bCs/>
          <w:color w:val="auto"/>
          <w:szCs w:val="24"/>
          <w:highlight w:val="none"/>
          <w:lang w:val="en-US"/>
        </w:rPr>
        <w:t>所提供的货物、服务须与投标承诺一致，不得以次充好、偷工减料，若在项目验收中发现有上述情况，将向有关部门举报，根据相关规定进行处理。</w:t>
      </w:r>
    </w:p>
    <w:p w14:paraId="66099CE3">
      <w:pPr>
        <w:snapToGrid w:val="0"/>
        <w:spacing w:line="360" w:lineRule="auto"/>
        <w:jc w:val="center"/>
        <w:rPr>
          <w:rFonts w:hint="eastAsia" w:ascii="仿宋" w:hAnsi="仿宋" w:eastAsia="仿宋" w:cs="仿宋"/>
          <w:b/>
          <w:bCs/>
          <w:color w:val="auto"/>
          <w:sz w:val="32"/>
          <w:szCs w:val="32"/>
        </w:rPr>
      </w:pPr>
    </w:p>
    <w:p w14:paraId="5C2DAAE5">
      <w:pPr>
        <w:snapToGrid w:val="0"/>
        <w:spacing w:line="360" w:lineRule="auto"/>
        <w:jc w:val="center"/>
        <w:rPr>
          <w:rFonts w:hint="eastAsia" w:ascii="仿宋" w:hAnsi="仿宋" w:eastAsia="仿宋" w:cs="仿宋"/>
          <w:b/>
          <w:bCs/>
          <w:color w:val="auto"/>
          <w:sz w:val="32"/>
          <w:szCs w:val="32"/>
        </w:rPr>
      </w:pPr>
    </w:p>
    <w:p w14:paraId="52A89D10">
      <w:pPr>
        <w:snapToGrid w:val="0"/>
        <w:spacing w:line="360" w:lineRule="auto"/>
        <w:jc w:val="center"/>
        <w:rPr>
          <w:rFonts w:hint="eastAsia" w:ascii="仿宋" w:hAnsi="仿宋" w:eastAsia="仿宋" w:cs="仿宋"/>
          <w:b/>
          <w:bCs/>
          <w:color w:val="auto"/>
          <w:sz w:val="32"/>
          <w:szCs w:val="32"/>
        </w:rPr>
      </w:pPr>
    </w:p>
    <w:p w14:paraId="6A42E8F0">
      <w:pPr>
        <w:snapToGrid w:val="0"/>
        <w:spacing w:line="360" w:lineRule="auto"/>
        <w:jc w:val="center"/>
        <w:rPr>
          <w:rFonts w:hint="eastAsia" w:ascii="仿宋" w:hAnsi="仿宋" w:eastAsia="仿宋" w:cs="仿宋"/>
          <w:b/>
          <w:bCs/>
          <w:color w:val="auto"/>
          <w:sz w:val="32"/>
          <w:szCs w:val="32"/>
        </w:rPr>
      </w:pPr>
    </w:p>
    <w:p w14:paraId="644B2037">
      <w:pPr>
        <w:snapToGrid w:val="0"/>
        <w:spacing w:line="360" w:lineRule="auto"/>
        <w:jc w:val="center"/>
        <w:rPr>
          <w:rFonts w:hint="eastAsia" w:ascii="仿宋" w:hAnsi="仿宋" w:eastAsia="仿宋" w:cs="仿宋"/>
          <w:b/>
          <w:bCs/>
          <w:color w:val="auto"/>
          <w:sz w:val="32"/>
          <w:szCs w:val="32"/>
        </w:rPr>
      </w:pPr>
    </w:p>
    <w:p w14:paraId="631C346F">
      <w:pPr>
        <w:snapToGrid w:val="0"/>
        <w:spacing w:line="360" w:lineRule="auto"/>
        <w:jc w:val="center"/>
        <w:rPr>
          <w:rFonts w:hint="eastAsia" w:ascii="仿宋" w:hAnsi="仿宋" w:eastAsia="仿宋" w:cs="仿宋"/>
          <w:b/>
          <w:bCs/>
          <w:color w:val="auto"/>
          <w:sz w:val="32"/>
          <w:szCs w:val="32"/>
        </w:rPr>
      </w:pPr>
    </w:p>
    <w:p w14:paraId="4D23DBEE">
      <w:pPr>
        <w:snapToGrid w:val="0"/>
        <w:spacing w:line="360" w:lineRule="auto"/>
        <w:jc w:val="center"/>
        <w:rPr>
          <w:rFonts w:hint="eastAsia" w:ascii="仿宋" w:hAnsi="仿宋" w:eastAsia="仿宋" w:cs="仿宋"/>
          <w:b/>
          <w:bCs/>
          <w:color w:val="auto"/>
          <w:sz w:val="32"/>
          <w:szCs w:val="32"/>
        </w:rPr>
      </w:pPr>
    </w:p>
    <w:p w14:paraId="3EA013A0">
      <w:pPr>
        <w:snapToGrid w:val="0"/>
        <w:spacing w:line="360" w:lineRule="auto"/>
        <w:jc w:val="center"/>
        <w:rPr>
          <w:rFonts w:hint="eastAsia" w:ascii="仿宋" w:hAnsi="仿宋" w:eastAsia="仿宋" w:cs="仿宋"/>
          <w:b/>
          <w:bCs/>
          <w:color w:val="auto"/>
          <w:sz w:val="32"/>
          <w:szCs w:val="32"/>
        </w:rPr>
      </w:pPr>
    </w:p>
    <w:p w14:paraId="3E6EAC1A">
      <w:pPr>
        <w:snapToGrid w:val="0"/>
        <w:spacing w:line="360" w:lineRule="auto"/>
        <w:jc w:val="center"/>
        <w:rPr>
          <w:rFonts w:hint="eastAsia" w:ascii="仿宋" w:hAnsi="仿宋" w:eastAsia="仿宋" w:cs="仿宋"/>
          <w:b/>
          <w:bCs/>
          <w:color w:val="auto"/>
          <w:sz w:val="32"/>
          <w:szCs w:val="32"/>
        </w:rPr>
      </w:pPr>
    </w:p>
    <w:p w14:paraId="7273D0AB">
      <w:pPr>
        <w:snapToGrid w:val="0"/>
        <w:spacing w:line="360" w:lineRule="auto"/>
        <w:jc w:val="center"/>
        <w:rPr>
          <w:rFonts w:hint="eastAsia" w:ascii="仿宋" w:hAnsi="仿宋" w:eastAsia="仿宋" w:cs="仿宋"/>
          <w:b/>
          <w:bCs/>
          <w:color w:val="auto"/>
          <w:sz w:val="32"/>
          <w:szCs w:val="32"/>
        </w:rPr>
      </w:pPr>
    </w:p>
    <w:p w14:paraId="2A99B948">
      <w:pPr>
        <w:snapToGrid w:val="0"/>
        <w:spacing w:line="360" w:lineRule="auto"/>
        <w:jc w:val="center"/>
        <w:rPr>
          <w:rFonts w:hint="eastAsia" w:ascii="仿宋" w:hAnsi="仿宋" w:eastAsia="仿宋" w:cs="仿宋"/>
          <w:b/>
          <w:bCs/>
          <w:color w:val="auto"/>
          <w:sz w:val="32"/>
          <w:szCs w:val="32"/>
        </w:rPr>
      </w:pPr>
    </w:p>
    <w:p w14:paraId="73FA08D2">
      <w:pPr>
        <w:snapToGrid w:val="0"/>
        <w:spacing w:line="360" w:lineRule="auto"/>
        <w:jc w:val="center"/>
        <w:rPr>
          <w:rFonts w:hint="eastAsia" w:ascii="仿宋" w:hAnsi="仿宋" w:eastAsia="仿宋" w:cs="仿宋"/>
          <w:b/>
          <w:bCs/>
          <w:color w:val="auto"/>
          <w:sz w:val="32"/>
          <w:szCs w:val="32"/>
        </w:rPr>
      </w:pPr>
    </w:p>
    <w:p w14:paraId="08F375C2">
      <w:pPr>
        <w:snapToGrid w:val="0"/>
        <w:spacing w:line="360" w:lineRule="auto"/>
        <w:jc w:val="center"/>
        <w:rPr>
          <w:rFonts w:hint="eastAsia" w:ascii="仿宋" w:hAnsi="仿宋" w:eastAsia="仿宋" w:cs="仿宋"/>
          <w:b/>
          <w:bCs/>
          <w:color w:val="auto"/>
          <w:sz w:val="32"/>
          <w:szCs w:val="32"/>
        </w:rPr>
      </w:pPr>
    </w:p>
    <w:p w14:paraId="593DA7AD">
      <w:pPr>
        <w:snapToGrid w:val="0"/>
        <w:spacing w:line="360" w:lineRule="auto"/>
        <w:jc w:val="center"/>
        <w:rPr>
          <w:rFonts w:hint="eastAsia" w:ascii="仿宋" w:hAnsi="仿宋" w:eastAsia="仿宋" w:cs="仿宋"/>
          <w:b/>
          <w:bCs/>
          <w:color w:val="auto"/>
          <w:sz w:val="32"/>
          <w:szCs w:val="32"/>
        </w:rPr>
      </w:pPr>
    </w:p>
    <w:p w14:paraId="2DA396AD">
      <w:pPr>
        <w:snapToGrid w:val="0"/>
        <w:spacing w:line="360" w:lineRule="auto"/>
        <w:jc w:val="center"/>
        <w:rPr>
          <w:rFonts w:hint="eastAsia" w:ascii="仿宋" w:hAnsi="仿宋" w:eastAsia="仿宋" w:cs="仿宋"/>
          <w:b/>
          <w:bCs/>
          <w:color w:val="auto"/>
          <w:sz w:val="32"/>
          <w:szCs w:val="32"/>
        </w:rPr>
      </w:pPr>
    </w:p>
    <w:p w14:paraId="2665FFC4">
      <w:pPr>
        <w:pStyle w:val="62"/>
        <w:rPr>
          <w:rFonts w:hint="eastAsia"/>
          <w:color w:val="auto"/>
        </w:rPr>
      </w:pPr>
    </w:p>
    <w:p w14:paraId="7504E795">
      <w:pPr>
        <w:snapToGrid w:val="0"/>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 xml:space="preserve">第四部分   </w:t>
      </w:r>
      <w:bookmarkStart w:id="20" w:name="_Toc184310326"/>
      <w:bookmarkEnd w:id="20"/>
      <w:bookmarkStart w:id="21" w:name="_Toc184308097"/>
      <w:bookmarkEnd w:id="21"/>
      <w:bookmarkStart w:id="22" w:name="_Toc184308095"/>
      <w:bookmarkEnd w:id="22"/>
      <w:bookmarkStart w:id="23" w:name="_Toc184310289"/>
      <w:bookmarkEnd w:id="23"/>
      <w:bookmarkStart w:id="24" w:name="_Toc184313289"/>
      <w:bookmarkEnd w:id="24"/>
      <w:bookmarkStart w:id="25" w:name="_Toc184308096"/>
      <w:bookmarkEnd w:id="25"/>
      <w:bookmarkStart w:id="26" w:name="_Toc184314423"/>
      <w:bookmarkEnd w:id="26"/>
      <w:bookmarkStart w:id="27" w:name="_Toc184308049"/>
      <w:bookmarkEnd w:id="27"/>
      <w:bookmarkStart w:id="28" w:name="_Toc184310317"/>
      <w:bookmarkEnd w:id="28"/>
      <w:bookmarkStart w:id="29" w:name="_Toc184312077"/>
      <w:bookmarkEnd w:id="29"/>
      <w:bookmarkStart w:id="30" w:name="_Toc184310292"/>
      <w:bookmarkEnd w:id="30"/>
      <w:bookmarkStart w:id="31" w:name="_Toc184312108"/>
      <w:bookmarkEnd w:id="31"/>
      <w:bookmarkStart w:id="32" w:name="_Toc184310311"/>
      <w:bookmarkEnd w:id="32"/>
      <w:bookmarkStart w:id="33" w:name="_Toc184308045"/>
      <w:bookmarkEnd w:id="33"/>
      <w:bookmarkStart w:id="34" w:name="_Toc184312122"/>
      <w:bookmarkEnd w:id="34"/>
      <w:bookmarkStart w:id="35" w:name="_Toc184308044"/>
      <w:bookmarkEnd w:id="35"/>
      <w:bookmarkStart w:id="36" w:name="_Toc184310294"/>
      <w:bookmarkEnd w:id="36"/>
      <w:bookmarkStart w:id="37" w:name="_Toc184313293"/>
      <w:bookmarkEnd w:id="37"/>
      <w:bookmarkStart w:id="38" w:name="_Toc184310277"/>
      <w:bookmarkEnd w:id="38"/>
      <w:bookmarkStart w:id="39" w:name="_Toc184313298"/>
      <w:bookmarkEnd w:id="39"/>
      <w:bookmarkStart w:id="40" w:name="_Toc184314451"/>
      <w:bookmarkEnd w:id="40"/>
      <w:bookmarkStart w:id="41" w:name="_Toc184310325"/>
      <w:bookmarkEnd w:id="41"/>
      <w:bookmarkStart w:id="42" w:name="_Toc184313288"/>
      <w:bookmarkEnd w:id="42"/>
      <w:bookmarkStart w:id="43" w:name="_Toc184312125"/>
      <w:bookmarkEnd w:id="43"/>
      <w:bookmarkStart w:id="44" w:name="_Toc184310278"/>
      <w:bookmarkEnd w:id="44"/>
      <w:bookmarkStart w:id="45" w:name="_Toc184314416"/>
      <w:bookmarkEnd w:id="45"/>
      <w:bookmarkStart w:id="46" w:name="_Toc184308090"/>
      <w:bookmarkEnd w:id="46"/>
      <w:bookmarkStart w:id="47" w:name="_Toc184312080"/>
      <w:bookmarkEnd w:id="47"/>
      <w:bookmarkStart w:id="48" w:name="_Toc184308055"/>
      <w:bookmarkEnd w:id="48"/>
      <w:bookmarkStart w:id="49" w:name="_Toc184312102"/>
      <w:bookmarkEnd w:id="49"/>
      <w:bookmarkStart w:id="50" w:name="_Toc184314422"/>
      <w:bookmarkEnd w:id="50"/>
      <w:bookmarkStart w:id="51" w:name="_Toc184310309"/>
      <w:bookmarkEnd w:id="51"/>
      <w:bookmarkStart w:id="52" w:name="_Toc184310285"/>
      <w:bookmarkEnd w:id="52"/>
      <w:bookmarkStart w:id="53" w:name="_Toc184312071"/>
      <w:bookmarkEnd w:id="53"/>
      <w:bookmarkStart w:id="54" w:name="_Toc184308043"/>
      <w:bookmarkEnd w:id="54"/>
      <w:bookmarkStart w:id="55" w:name="_Toc184312086"/>
      <w:bookmarkEnd w:id="55"/>
      <w:bookmarkStart w:id="56" w:name="_Toc184312138"/>
      <w:bookmarkEnd w:id="56"/>
      <w:bookmarkStart w:id="57" w:name="_Toc184308105"/>
      <w:bookmarkEnd w:id="57"/>
      <w:bookmarkStart w:id="58" w:name="_Toc184308054"/>
      <w:bookmarkEnd w:id="58"/>
      <w:bookmarkStart w:id="59" w:name="_Toc184313245"/>
      <w:bookmarkEnd w:id="59"/>
      <w:bookmarkStart w:id="60" w:name="_Toc184314467"/>
      <w:bookmarkEnd w:id="60"/>
      <w:bookmarkStart w:id="61" w:name="_Toc184310316"/>
      <w:bookmarkEnd w:id="61"/>
      <w:bookmarkStart w:id="62" w:name="_Toc184308088"/>
      <w:bookmarkEnd w:id="62"/>
      <w:bookmarkStart w:id="63" w:name="_Toc184312129"/>
      <w:bookmarkEnd w:id="63"/>
      <w:bookmarkStart w:id="64" w:name="_Toc184308100"/>
      <w:bookmarkEnd w:id="64"/>
      <w:bookmarkStart w:id="65" w:name="_Toc184312133"/>
      <w:bookmarkEnd w:id="65"/>
      <w:bookmarkStart w:id="66" w:name="_Toc184313272"/>
      <w:bookmarkEnd w:id="66"/>
      <w:bookmarkStart w:id="67" w:name="_Toc184308083"/>
      <w:bookmarkEnd w:id="67"/>
      <w:bookmarkStart w:id="68" w:name="_Toc184313300"/>
      <w:bookmarkEnd w:id="68"/>
      <w:bookmarkStart w:id="69" w:name="_Toc184312082"/>
      <w:bookmarkEnd w:id="69"/>
      <w:bookmarkStart w:id="70" w:name="_Toc184312114"/>
      <w:bookmarkEnd w:id="70"/>
      <w:bookmarkStart w:id="71" w:name="_Toc184314428"/>
      <w:bookmarkEnd w:id="71"/>
      <w:bookmarkStart w:id="72" w:name="_Toc184314475"/>
      <w:bookmarkEnd w:id="72"/>
      <w:bookmarkStart w:id="73" w:name="_Toc184314458"/>
      <w:bookmarkEnd w:id="73"/>
      <w:bookmarkStart w:id="74" w:name="_Toc184313247"/>
      <w:bookmarkEnd w:id="74"/>
      <w:bookmarkStart w:id="75" w:name="_Toc184313302"/>
      <w:bookmarkEnd w:id="75"/>
      <w:bookmarkStart w:id="76" w:name="_Toc184308057"/>
      <w:bookmarkEnd w:id="76"/>
      <w:bookmarkStart w:id="77" w:name="_Toc184308041"/>
      <w:bookmarkEnd w:id="77"/>
      <w:bookmarkStart w:id="78" w:name="_Toc184308047"/>
      <w:bookmarkEnd w:id="78"/>
      <w:bookmarkStart w:id="79" w:name="_Toc184314457"/>
      <w:bookmarkEnd w:id="79"/>
      <w:bookmarkStart w:id="80" w:name="_Toc184308037"/>
      <w:bookmarkEnd w:id="80"/>
      <w:bookmarkStart w:id="81" w:name="_Toc184313284"/>
      <w:bookmarkEnd w:id="81"/>
      <w:bookmarkStart w:id="82" w:name="_Toc184314481"/>
      <w:bookmarkEnd w:id="82"/>
      <w:bookmarkStart w:id="83" w:name="_Toc184313259"/>
      <w:bookmarkEnd w:id="83"/>
      <w:bookmarkStart w:id="84" w:name="_Toc184313241"/>
      <w:bookmarkEnd w:id="84"/>
      <w:bookmarkStart w:id="85" w:name="_Toc184313294"/>
      <w:bookmarkEnd w:id="85"/>
      <w:bookmarkStart w:id="86" w:name="_Toc184314414"/>
      <w:bookmarkEnd w:id="86"/>
      <w:bookmarkStart w:id="87" w:name="_Toc184310306"/>
      <w:bookmarkEnd w:id="87"/>
      <w:bookmarkStart w:id="88" w:name="_Toc184313282"/>
      <w:bookmarkEnd w:id="88"/>
      <w:bookmarkStart w:id="89" w:name="_Toc184312081"/>
      <w:bookmarkEnd w:id="89"/>
      <w:bookmarkStart w:id="90" w:name="_Toc184308036"/>
      <w:bookmarkEnd w:id="90"/>
      <w:bookmarkStart w:id="91" w:name="_Toc184310319"/>
      <w:bookmarkEnd w:id="91"/>
      <w:bookmarkStart w:id="92" w:name="_Toc184308082"/>
      <w:bookmarkEnd w:id="92"/>
      <w:bookmarkStart w:id="93" w:name="_Toc184308052"/>
      <w:bookmarkEnd w:id="93"/>
      <w:bookmarkStart w:id="94" w:name="_Toc184312067"/>
      <w:bookmarkEnd w:id="94"/>
      <w:bookmarkStart w:id="95" w:name="_Toc184310288"/>
      <w:bookmarkEnd w:id="95"/>
      <w:bookmarkStart w:id="96" w:name="_Toc184312132"/>
      <w:bookmarkEnd w:id="96"/>
      <w:bookmarkStart w:id="97" w:name="_Toc184313292"/>
      <w:bookmarkEnd w:id="97"/>
      <w:bookmarkStart w:id="98" w:name="_Toc184308092"/>
      <w:bookmarkEnd w:id="98"/>
      <w:bookmarkStart w:id="99" w:name="_Toc184312074"/>
      <w:bookmarkEnd w:id="99"/>
      <w:bookmarkStart w:id="100" w:name="_Toc184314476"/>
      <w:bookmarkEnd w:id="100"/>
      <w:bookmarkStart w:id="101" w:name="_Toc184310333"/>
      <w:bookmarkEnd w:id="101"/>
      <w:bookmarkStart w:id="102" w:name="_Toc184310304"/>
      <w:bookmarkEnd w:id="102"/>
      <w:bookmarkStart w:id="103" w:name="_Toc184308104"/>
      <w:bookmarkEnd w:id="103"/>
      <w:bookmarkStart w:id="104" w:name="_Toc184312137"/>
      <w:bookmarkEnd w:id="104"/>
      <w:bookmarkStart w:id="105" w:name="_Toc184312111"/>
      <w:bookmarkEnd w:id="105"/>
      <w:bookmarkStart w:id="106" w:name="_Toc184314435"/>
      <w:bookmarkEnd w:id="106"/>
      <w:bookmarkStart w:id="107" w:name="_Toc184308063"/>
      <w:bookmarkEnd w:id="107"/>
      <w:bookmarkStart w:id="108" w:name="_Toc184312100"/>
      <w:bookmarkEnd w:id="108"/>
      <w:bookmarkStart w:id="109" w:name="_Toc184308076"/>
      <w:bookmarkEnd w:id="109"/>
      <w:bookmarkStart w:id="110" w:name="_Toc184313304"/>
      <w:bookmarkEnd w:id="110"/>
      <w:bookmarkStart w:id="111" w:name="_Toc184308086"/>
      <w:bookmarkEnd w:id="111"/>
      <w:bookmarkStart w:id="112" w:name="_Toc184313256"/>
      <w:bookmarkEnd w:id="112"/>
      <w:bookmarkStart w:id="113" w:name="_Toc184310293"/>
      <w:bookmarkEnd w:id="113"/>
      <w:bookmarkStart w:id="114" w:name="_Toc184312101"/>
      <w:bookmarkEnd w:id="114"/>
      <w:bookmarkStart w:id="115" w:name="_Toc184312118"/>
      <w:bookmarkEnd w:id="115"/>
      <w:bookmarkStart w:id="116" w:name="_Toc184313250"/>
      <w:bookmarkEnd w:id="116"/>
      <w:bookmarkStart w:id="117" w:name="_Toc184314443"/>
      <w:bookmarkEnd w:id="117"/>
      <w:bookmarkStart w:id="118" w:name="_Toc184308062"/>
      <w:bookmarkEnd w:id="118"/>
      <w:bookmarkStart w:id="119" w:name="_Toc184310323"/>
      <w:bookmarkEnd w:id="119"/>
      <w:bookmarkStart w:id="120" w:name="_Toc184313275"/>
      <w:bookmarkEnd w:id="120"/>
      <w:bookmarkStart w:id="121" w:name="_Toc184308108"/>
      <w:bookmarkEnd w:id="121"/>
      <w:bookmarkStart w:id="122" w:name="_Toc184312135"/>
      <w:bookmarkEnd w:id="122"/>
      <w:bookmarkStart w:id="123" w:name="_Toc184308073"/>
      <w:bookmarkEnd w:id="123"/>
      <w:bookmarkStart w:id="124" w:name="_Toc184310343"/>
      <w:bookmarkEnd w:id="124"/>
      <w:bookmarkStart w:id="125" w:name="_Toc184312115"/>
      <w:bookmarkEnd w:id="125"/>
      <w:bookmarkStart w:id="126" w:name="_Toc184308064"/>
      <w:bookmarkEnd w:id="126"/>
      <w:bookmarkStart w:id="127" w:name="_Toc184308101"/>
      <w:bookmarkEnd w:id="127"/>
      <w:bookmarkStart w:id="128" w:name="_Toc184313243"/>
      <w:bookmarkEnd w:id="128"/>
      <w:bookmarkStart w:id="129" w:name="_Toc184314432"/>
      <w:bookmarkEnd w:id="129"/>
      <w:bookmarkStart w:id="130" w:name="_Toc184308066"/>
      <w:bookmarkEnd w:id="130"/>
      <w:bookmarkStart w:id="131" w:name="_Toc184308046"/>
      <w:bookmarkEnd w:id="131"/>
      <w:bookmarkStart w:id="132" w:name="_Toc184314470"/>
      <w:bookmarkEnd w:id="132"/>
      <w:bookmarkStart w:id="133" w:name="_Toc184312084"/>
      <w:bookmarkEnd w:id="133"/>
      <w:bookmarkStart w:id="134" w:name="_Toc184312131"/>
      <w:bookmarkEnd w:id="134"/>
      <w:bookmarkStart w:id="135" w:name="_Toc184314410"/>
      <w:bookmarkEnd w:id="135"/>
      <w:bookmarkStart w:id="136" w:name="_Toc184310334"/>
      <w:bookmarkEnd w:id="136"/>
      <w:bookmarkStart w:id="137" w:name="_Toc184312136"/>
      <w:bookmarkEnd w:id="137"/>
      <w:bookmarkStart w:id="138" w:name="_Toc184312107"/>
      <w:bookmarkEnd w:id="138"/>
      <w:bookmarkStart w:id="139" w:name="_Toc184310344"/>
      <w:bookmarkEnd w:id="139"/>
      <w:bookmarkStart w:id="140" w:name="_Toc184312097"/>
      <w:bookmarkEnd w:id="140"/>
      <w:bookmarkStart w:id="141" w:name="_Toc184313253"/>
      <w:bookmarkEnd w:id="141"/>
      <w:bookmarkStart w:id="142" w:name="_Toc184312091"/>
      <w:bookmarkEnd w:id="142"/>
      <w:bookmarkStart w:id="143" w:name="_Toc184313251"/>
      <w:bookmarkEnd w:id="143"/>
      <w:bookmarkStart w:id="144" w:name="_Toc184310340"/>
      <w:bookmarkEnd w:id="144"/>
      <w:bookmarkStart w:id="145" w:name="_Toc184314466"/>
      <w:bookmarkEnd w:id="145"/>
      <w:bookmarkStart w:id="146" w:name="_Toc184308077"/>
      <w:bookmarkEnd w:id="146"/>
      <w:bookmarkStart w:id="147" w:name="_Toc184313280"/>
      <w:bookmarkEnd w:id="147"/>
      <w:bookmarkStart w:id="148" w:name="_Toc184313261"/>
      <w:bookmarkEnd w:id="148"/>
      <w:bookmarkStart w:id="149" w:name="_Toc184314420"/>
      <w:bookmarkEnd w:id="149"/>
      <w:bookmarkStart w:id="150" w:name="_Toc184310274"/>
      <w:bookmarkEnd w:id="150"/>
      <w:bookmarkStart w:id="151" w:name="_Toc184308065"/>
      <w:bookmarkEnd w:id="151"/>
      <w:bookmarkStart w:id="152" w:name="_Toc184313278"/>
      <w:bookmarkEnd w:id="152"/>
      <w:bookmarkStart w:id="153" w:name="_Toc184310283"/>
      <w:bookmarkEnd w:id="153"/>
      <w:bookmarkStart w:id="154" w:name="_Toc184313252"/>
      <w:bookmarkEnd w:id="154"/>
      <w:bookmarkStart w:id="155" w:name="_Toc184308075"/>
      <w:bookmarkEnd w:id="155"/>
      <w:bookmarkStart w:id="156" w:name="_Toc184312070"/>
      <w:bookmarkEnd w:id="156"/>
      <w:bookmarkStart w:id="157" w:name="_Toc184312109"/>
      <w:bookmarkEnd w:id="157"/>
      <w:bookmarkStart w:id="158" w:name="_Toc184313306"/>
      <w:bookmarkEnd w:id="158"/>
      <w:bookmarkStart w:id="159" w:name="_Toc184308099"/>
      <w:bookmarkEnd w:id="159"/>
      <w:bookmarkStart w:id="160" w:name="_Toc184313310"/>
      <w:bookmarkEnd w:id="160"/>
      <w:bookmarkStart w:id="161" w:name="_Toc184313238"/>
      <w:bookmarkEnd w:id="161"/>
      <w:bookmarkStart w:id="162" w:name="_Toc184312094"/>
      <w:bookmarkEnd w:id="162"/>
      <w:bookmarkStart w:id="163" w:name="_Toc184308094"/>
      <w:bookmarkEnd w:id="163"/>
      <w:bookmarkStart w:id="164" w:name="_Toc184313285"/>
      <w:bookmarkEnd w:id="164"/>
      <w:bookmarkStart w:id="165" w:name="_Toc184308085"/>
      <w:bookmarkEnd w:id="165"/>
      <w:bookmarkStart w:id="166" w:name="_Toc184308048"/>
      <w:bookmarkEnd w:id="166"/>
      <w:bookmarkStart w:id="167" w:name="_Toc184314464"/>
      <w:bookmarkEnd w:id="167"/>
      <w:bookmarkStart w:id="168" w:name="_Toc184314446"/>
      <w:bookmarkEnd w:id="168"/>
      <w:bookmarkStart w:id="169" w:name="_Toc184313277"/>
      <w:bookmarkEnd w:id="169"/>
      <w:bookmarkStart w:id="170" w:name="_Toc184314473"/>
      <w:bookmarkEnd w:id="170"/>
      <w:bookmarkStart w:id="171" w:name="_Toc184313274"/>
      <w:bookmarkEnd w:id="171"/>
      <w:bookmarkStart w:id="172" w:name="_Toc184314424"/>
      <w:bookmarkEnd w:id="172"/>
      <w:bookmarkStart w:id="173" w:name="_Toc184313249"/>
      <w:bookmarkEnd w:id="173"/>
      <w:bookmarkStart w:id="174" w:name="_Toc184313286"/>
      <w:bookmarkEnd w:id="174"/>
      <w:bookmarkStart w:id="175" w:name="_Toc184312073"/>
      <w:bookmarkEnd w:id="175"/>
      <w:bookmarkStart w:id="176" w:name="_Toc184312134"/>
      <w:bookmarkEnd w:id="176"/>
      <w:bookmarkStart w:id="177" w:name="_Toc184308087"/>
      <w:bookmarkEnd w:id="177"/>
      <w:bookmarkStart w:id="178" w:name="_Toc184313309"/>
      <w:bookmarkEnd w:id="178"/>
      <w:bookmarkStart w:id="179" w:name="_Toc184308079"/>
      <w:bookmarkEnd w:id="179"/>
      <w:bookmarkStart w:id="180" w:name="_Toc184313276"/>
      <w:bookmarkEnd w:id="180"/>
      <w:bookmarkStart w:id="181" w:name="_Toc184312088"/>
      <w:bookmarkEnd w:id="181"/>
      <w:bookmarkStart w:id="182" w:name="_Toc184314448"/>
      <w:bookmarkEnd w:id="182"/>
      <w:bookmarkStart w:id="183" w:name="_Toc184313303"/>
      <w:bookmarkEnd w:id="183"/>
      <w:bookmarkStart w:id="184" w:name="_Toc184310321"/>
      <w:bookmarkEnd w:id="184"/>
      <w:bookmarkStart w:id="185" w:name="_Toc184312079"/>
      <w:bookmarkEnd w:id="185"/>
      <w:bookmarkStart w:id="186" w:name="_Toc184314480"/>
      <w:bookmarkEnd w:id="186"/>
      <w:bookmarkStart w:id="187" w:name="_Toc184312090"/>
      <w:bookmarkEnd w:id="187"/>
      <w:bookmarkStart w:id="188" w:name="_Toc184308061"/>
      <w:bookmarkEnd w:id="188"/>
      <w:bookmarkStart w:id="189" w:name="_Toc184312112"/>
      <w:bookmarkEnd w:id="189"/>
      <w:bookmarkStart w:id="190" w:name="_Toc184308080"/>
      <w:bookmarkEnd w:id="190"/>
      <w:bookmarkStart w:id="191" w:name="_Toc184308074"/>
      <w:bookmarkEnd w:id="191"/>
      <w:bookmarkStart w:id="192" w:name="_Toc184314433"/>
      <w:bookmarkEnd w:id="192"/>
      <w:bookmarkStart w:id="193" w:name="_Toc184314434"/>
      <w:bookmarkEnd w:id="193"/>
      <w:bookmarkStart w:id="194" w:name="_Toc184308071"/>
      <w:bookmarkEnd w:id="194"/>
      <w:bookmarkStart w:id="195" w:name="_Toc184310300"/>
      <w:bookmarkEnd w:id="195"/>
      <w:bookmarkStart w:id="196" w:name="_Toc184314465"/>
      <w:bookmarkEnd w:id="196"/>
      <w:bookmarkStart w:id="197" w:name="_Toc184314445"/>
      <w:bookmarkEnd w:id="197"/>
      <w:bookmarkStart w:id="198" w:name="_Toc184313301"/>
      <w:bookmarkEnd w:id="198"/>
      <w:bookmarkStart w:id="199" w:name="_Toc184312095"/>
      <w:bookmarkEnd w:id="199"/>
      <w:bookmarkStart w:id="200" w:name="_Toc184314421"/>
      <w:bookmarkEnd w:id="200"/>
      <w:bookmarkStart w:id="201" w:name="_Toc184312126"/>
      <w:bookmarkEnd w:id="201"/>
      <w:bookmarkStart w:id="202" w:name="_Toc184313264"/>
      <w:bookmarkEnd w:id="202"/>
      <w:bookmarkStart w:id="203" w:name="_Toc184310287"/>
      <w:bookmarkEnd w:id="203"/>
      <w:bookmarkStart w:id="204" w:name="_Toc184312113"/>
      <w:bookmarkEnd w:id="204"/>
      <w:bookmarkStart w:id="205" w:name="_Toc184313279"/>
      <w:bookmarkEnd w:id="205"/>
      <w:bookmarkStart w:id="206" w:name="_Toc184310279"/>
      <w:bookmarkEnd w:id="206"/>
      <w:bookmarkStart w:id="207" w:name="_Toc184308078"/>
      <w:bookmarkEnd w:id="207"/>
      <w:bookmarkStart w:id="208" w:name="_Toc184312139"/>
      <w:bookmarkEnd w:id="208"/>
      <w:bookmarkStart w:id="209" w:name="_Toc184310342"/>
      <w:bookmarkEnd w:id="209"/>
      <w:bookmarkStart w:id="210" w:name="_Toc184314454"/>
      <w:bookmarkEnd w:id="210"/>
      <w:bookmarkStart w:id="211" w:name="_Toc184310282"/>
      <w:bookmarkEnd w:id="211"/>
      <w:bookmarkStart w:id="212" w:name="_Toc184308093"/>
      <w:bookmarkEnd w:id="212"/>
      <w:bookmarkStart w:id="213" w:name="_Toc184313271"/>
      <w:bookmarkEnd w:id="213"/>
      <w:bookmarkStart w:id="214" w:name="_Toc184313257"/>
      <w:bookmarkEnd w:id="214"/>
      <w:bookmarkStart w:id="215" w:name="_Toc184308059"/>
      <w:bookmarkEnd w:id="215"/>
      <w:bookmarkStart w:id="216" w:name="_Toc184310322"/>
      <w:bookmarkEnd w:id="216"/>
      <w:bookmarkStart w:id="217" w:name="_Toc184314415"/>
      <w:bookmarkEnd w:id="217"/>
      <w:bookmarkStart w:id="218" w:name="_Toc184314425"/>
      <w:bookmarkEnd w:id="218"/>
      <w:bookmarkStart w:id="219" w:name="_Toc184310327"/>
      <w:bookmarkEnd w:id="219"/>
      <w:bookmarkStart w:id="220" w:name="_Toc184310331"/>
      <w:bookmarkEnd w:id="220"/>
      <w:bookmarkStart w:id="221" w:name="_Toc184314474"/>
      <w:bookmarkEnd w:id="221"/>
      <w:bookmarkStart w:id="222" w:name="_Toc184313258"/>
      <w:bookmarkEnd w:id="222"/>
      <w:bookmarkStart w:id="223" w:name="_Toc184312128"/>
      <w:bookmarkEnd w:id="223"/>
      <w:bookmarkStart w:id="224" w:name="_Toc184313287"/>
      <w:bookmarkEnd w:id="224"/>
      <w:bookmarkStart w:id="225" w:name="_Toc184313281"/>
      <w:bookmarkEnd w:id="225"/>
      <w:bookmarkStart w:id="226" w:name="_Toc184314453"/>
      <w:bookmarkEnd w:id="226"/>
      <w:bookmarkStart w:id="227" w:name="_Toc184314461"/>
      <w:bookmarkEnd w:id="227"/>
      <w:bookmarkStart w:id="228" w:name="_Toc184312105"/>
      <w:bookmarkEnd w:id="228"/>
      <w:bookmarkStart w:id="229" w:name="_Toc184314437"/>
      <w:bookmarkEnd w:id="229"/>
      <w:bookmarkStart w:id="230" w:name="_Toc184308102"/>
      <w:bookmarkEnd w:id="230"/>
      <w:bookmarkStart w:id="231" w:name="_Toc184314440"/>
      <w:bookmarkEnd w:id="231"/>
      <w:bookmarkStart w:id="232" w:name="_Toc184313295"/>
      <w:bookmarkEnd w:id="232"/>
      <w:bookmarkStart w:id="233" w:name="_Toc184313239"/>
      <w:bookmarkEnd w:id="233"/>
      <w:bookmarkStart w:id="234" w:name="_Toc184310303"/>
      <w:bookmarkEnd w:id="234"/>
      <w:bookmarkStart w:id="235" w:name="_Toc184313307"/>
      <w:bookmarkEnd w:id="235"/>
      <w:bookmarkStart w:id="236" w:name="_Toc184310320"/>
      <w:bookmarkEnd w:id="236"/>
      <w:bookmarkStart w:id="237" w:name="_Toc184312068"/>
      <w:bookmarkEnd w:id="237"/>
      <w:bookmarkStart w:id="238" w:name="_Toc184312103"/>
      <w:bookmarkEnd w:id="238"/>
      <w:bookmarkStart w:id="239" w:name="_Toc184312096"/>
      <w:bookmarkEnd w:id="239"/>
      <w:bookmarkStart w:id="240" w:name="_Toc184313262"/>
      <w:bookmarkEnd w:id="240"/>
      <w:bookmarkStart w:id="241" w:name="_Toc184310280"/>
      <w:bookmarkEnd w:id="241"/>
      <w:bookmarkStart w:id="242" w:name="_Toc184313283"/>
      <w:bookmarkEnd w:id="242"/>
      <w:bookmarkStart w:id="243" w:name="_Toc184312116"/>
      <w:bookmarkEnd w:id="243"/>
      <w:bookmarkStart w:id="244" w:name="_Toc184314418"/>
      <w:bookmarkEnd w:id="244"/>
      <w:bookmarkStart w:id="245" w:name="_Toc184310273"/>
      <w:bookmarkEnd w:id="245"/>
      <w:bookmarkStart w:id="246" w:name="_Toc184313268"/>
      <w:bookmarkEnd w:id="246"/>
      <w:bookmarkStart w:id="247" w:name="_Toc184313260"/>
      <w:bookmarkEnd w:id="247"/>
      <w:bookmarkStart w:id="248" w:name="_Toc184310297"/>
      <w:bookmarkEnd w:id="248"/>
      <w:bookmarkStart w:id="249" w:name="_Toc184310298"/>
      <w:bookmarkEnd w:id="249"/>
      <w:bookmarkStart w:id="250" w:name="_Toc184314450"/>
      <w:bookmarkEnd w:id="250"/>
      <w:bookmarkStart w:id="251" w:name="_Toc184312123"/>
      <w:bookmarkEnd w:id="251"/>
      <w:bookmarkStart w:id="252" w:name="_Toc184314463"/>
      <w:bookmarkEnd w:id="252"/>
      <w:bookmarkStart w:id="253" w:name="_Toc184314477"/>
      <w:bookmarkEnd w:id="253"/>
      <w:bookmarkStart w:id="254" w:name="_Toc184308069"/>
      <w:bookmarkEnd w:id="254"/>
      <w:bookmarkStart w:id="255" w:name="_Toc184313308"/>
      <w:bookmarkEnd w:id="255"/>
      <w:bookmarkStart w:id="256" w:name="_Toc184310341"/>
      <w:bookmarkEnd w:id="256"/>
      <w:bookmarkStart w:id="257" w:name="_Toc184312106"/>
      <w:bookmarkEnd w:id="257"/>
      <w:bookmarkStart w:id="258" w:name="_Toc184314413"/>
      <w:bookmarkEnd w:id="258"/>
      <w:bookmarkStart w:id="259" w:name="_Toc184312099"/>
      <w:bookmarkEnd w:id="259"/>
      <w:bookmarkStart w:id="260" w:name="_Toc184314449"/>
      <w:bookmarkEnd w:id="260"/>
      <w:bookmarkStart w:id="261" w:name="_Toc184314426"/>
      <w:bookmarkEnd w:id="261"/>
      <w:bookmarkStart w:id="262" w:name="_Toc184310286"/>
      <w:bookmarkEnd w:id="262"/>
      <w:bookmarkStart w:id="263" w:name="_Toc184314447"/>
      <w:bookmarkEnd w:id="263"/>
      <w:bookmarkStart w:id="264" w:name="_Toc184314469"/>
      <w:bookmarkEnd w:id="264"/>
      <w:bookmarkStart w:id="265" w:name="_Toc184310305"/>
      <w:bookmarkEnd w:id="265"/>
      <w:bookmarkStart w:id="266" w:name="_Toc184314455"/>
      <w:bookmarkEnd w:id="266"/>
      <w:bookmarkStart w:id="267" w:name="_Toc184314441"/>
      <w:bookmarkEnd w:id="267"/>
      <w:bookmarkStart w:id="268" w:name="_Toc184310329"/>
      <w:bookmarkEnd w:id="268"/>
      <w:bookmarkStart w:id="269" w:name="_Toc184310307"/>
      <w:bookmarkEnd w:id="269"/>
      <w:bookmarkStart w:id="270" w:name="_Toc184310276"/>
      <w:bookmarkEnd w:id="270"/>
      <w:bookmarkStart w:id="271" w:name="_Toc184308067"/>
      <w:bookmarkEnd w:id="271"/>
      <w:bookmarkStart w:id="272" w:name="_Toc184313254"/>
      <w:bookmarkEnd w:id="272"/>
      <w:bookmarkStart w:id="273" w:name="_Toc184313305"/>
      <w:bookmarkEnd w:id="273"/>
      <w:bookmarkStart w:id="274" w:name="_Toc184308084"/>
      <w:bookmarkEnd w:id="274"/>
      <w:bookmarkStart w:id="275" w:name="_Toc184313248"/>
      <w:bookmarkEnd w:id="275"/>
      <w:bookmarkStart w:id="276" w:name="_Toc184310330"/>
      <w:bookmarkEnd w:id="276"/>
      <w:bookmarkStart w:id="277" w:name="_Toc184313299"/>
      <w:bookmarkEnd w:id="277"/>
      <w:bookmarkStart w:id="278" w:name="_Toc184310339"/>
      <w:bookmarkEnd w:id="278"/>
      <w:bookmarkStart w:id="279" w:name="_Toc184313240"/>
      <w:bookmarkEnd w:id="279"/>
      <w:bookmarkStart w:id="280" w:name="_Toc184313263"/>
      <w:bookmarkEnd w:id="280"/>
      <w:bookmarkStart w:id="281" w:name="_Toc184313267"/>
      <w:bookmarkEnd w:id="281"/>
      <w:bookmarkStart w:id="282" w:name="_Toc184314442"/>
      <w:bookmarkEnd w:id="282"/>
      <w:bookmarkStart w:id="283" w:name="_Toc184310315"/>
      <w:bookmarkEnd w:id="283"/>
      <w:bookmarkStart w:id="284" w:name="_Toc184312087"/>
      <w:bookmarkEnd w:id="284"/>
      <w:bookmarkStart w:id="285" w:name="_Toc184308107"/>
      <w:bookmarkEnd w:id="285"/>
      <w:bookmarkStart w:id="286" w:name="_Toc184313265"/>
      <w:bookmarkEnd w:id="286"/>
      <w:bookmarkStart w:id="287" w:name="_Toc184308103"/>
      <w:bookmarkEnd w:id="287"/>
      <w:bookmarkStart w:id="288" w:name="_Toc184313270"/>
      <w:bookmarkEnd w:id="288"/>
      <w:bookmarkStart w:id="289" w:name="_Toc184310336"/>
      <w:bookmarkEnd w:id="289"/>
      <w:bookmarkStart w:id="290" w:name="_Toc184314478"/>
      <w:bookmarkEnd w:id="290"/>
      <w:bookmarkStart w:id="291" w:name="_Toc184314479"/>
      <w:bookmarkEnd w:id="291"/>
      <w:bookmarkStart w:id="292" w:name="_Toc184313297"/>
      <w:bookmarkEnd w:id="292"/>
      <w:bookmarkStart w:id="293" w:name="_Toc184308058"/>
      <w:bookmarkEnd w:id="293"/>
      <w:bookmarkStart w:id="294" w:name="_Toc184314482"/>
      <w:bookmarkEnd w:id="294"/>
      <w:bookmarkStart w:id="295" w:name="_Toc184308053"/>
      <w:bookmarkEnd w:id="295"/>
      <w:bookmarkStart w:id="296" w:name="_Toc184313291"/>
      <w:bookmarkEnd w:id="296"/>
      <w:bookmarkStart w:id="297" w:name="_Toc184314472"/>
      <w:bookmarkEnd w:id="297"/>
      <w:bookmarkStart w:id="298" w:name="_Toc184308091"/>
      <w:bookmarkEnd w:id="298"/>
      <w:bookmarkStart w:id="299" w:name="_Toc184310328"/>
      <w:bookmarkEnd w:id="299"/>
      <w:bookmarkStart w:id="300" w:name="_Toc184314459"/>
      <w:bookmarkEnd w:id="300"/>
      <w:bookmarkStart w:id="301" w:name="_Toc184312127"/>
      <w:bookmarkEnd w:id="301"/>
      <w:bookmarkStart w:id="302" w:name="_Toc184314471"/>
      <w:bookmarkEnd w:id="302"/>
      <w:bookmarkStart w:id="303" w:name="_Toc184310310"/>
      <w:bookmarkEnd w:id="303"/>
      <w:bookmarkStart w:id="304" w:name="_Toc184313255"/>
      <w:bookmarkEnd w:id="304"/>
      <w:bookmarkStart w:id="305" w:name="_Toc184314412"/>
      <w:bookmarkEnd w:id="305"/>
      <w:bookmarkStart w:id="306" w:name="_Toc184314419"/>
      <w:bookmarkEnd w:id="306"/>
      <w:bookmarkStart w:id="307" w:name="_Toc184312098"/>
      <w:bookmarkEnd w:id="307"/>
      <w:bookmarkStart w:id="308" w:name="_Toc184314429"/>
      <w:bookmarkEnd w:id="308"/>
      <w:bookmarkStart w:id="309" w:name="_Toc184312072"/>
      <w:bookmarkEnd w:id="309"/>
      <w:bookmarkStart w:id="310" w:name="_Toc184310324"/>
      <w:bookmarkEnd w:id="310"/>
      <w:bookmarkStart w:id="311" w:name="_Toc184312085"/>
      <w:bookmarkEnd w:id="311"/>
      <w:bookmarkStart w:id="312" w:name="_Toc184314430"/>
      <w:bookmarkEnd w:id="312"/>
      <w:bookmarkStart w:id="313" w:name="_Toc184314427"/>
      <w:bookmarkEnd w:id="313"/>
      <w:bookmarkStart w:id="314" w:name="_Toc184308038"/>
      <w:bookmarkEnd w:id="314"/>
      <w:bookmarkStart w:id="315" w:name="_Toc184308040"/>
      <w:bookmarkEnd w:id="315"/>
      <w:bookmarkStart w:id="316" w:name="_Toc184310308"/>
      <w:bookmarkEnd w:id="316"/>
      <w:bookmarkStart w:id="317" w:name="_Toc184314439"/>
      <w:bookmarkEnd w:id="317"/>
      <w:bookmarkStart w:id="318" w:name="_Toc184313296"/>
      <w:bookmarkEnd w:id="318"/>
      <w:bookmarkStart w:id="319" w:name="_Toc184312120"/>
      <w:bookmarkEnd w:id="319"/>
      <w:bookmarkStart w:id="320" w:name="_Toc184308039"/>
      <w:bookmarkEnd w:id="320"/>
      <w:bookmarkStart w:id="321" w:name="_Toc184310290"/>
      <w:bookmarkEnd w:id="321"/>
      <w:bookmarkStart w:id="322" w:name="_Toc184314462"/>
      <w:bookmarkEnd w:id="322"/>
      <w:bookmarkStart w:id="323" w:name="_Toc184308098"/>
      <w:bookmarkEnd w:id="323"/>
      <w:bookmarkStart w:id="324" w:name="_Toc184308089"/>
      <w:bookmarkEnd w:id="324"/>
      <w:bookmarkStart w:id="325" w:name="_Toc184314431"/>
      <w:bookmarkEnd w:id="325"/>
      <w:bookmarkStart w:id="326" w:name="_Toc184308068"/>
      <w:bookmarkEnd w:id="326"/>
      <w:bookmarkStart w:id="327" w:name="_Toc184310291"/>
      <w:bookmarkEnd w:id="327"/>
      <w:bookmarkStart w:id="328" w:name="_Toc184312089"/>
      <w:bookmarkEnd w:id="328"/>
      <w:bookmarkStart w:id="329" w:name="_Toc184310318"/>
      <w:bookmarkEnd w:id="329"/>
      <w:bookmarkStart w:id="330" w:name="_Toc184308106"/>
      <w:bookmarkEnd w:id="330"/>
      <w:bookmarkStart w:id="331" w:name="_Toc184313244"/>
      <w:bookmarkEnd w:id="331"/>
      <w:bookmarkStart w:id="332" w:name="_Toc184308072"/>
      <w:bookmarkEnd w:id="332"/>
      <w:bookmarkStart w:id="333" w:name="_Toc184312110"/>
      <w:bookmarkEnd w:id="333"/>
      <w:bookmarkStart w:id="334" w:name="_Toc184310332"/>
      <w:bookmarkEnd w:id="334"/>
      <w:bookmarkStart w:id="335" w:name="_Toc184308051"/>
      <w:bookmarkEnd w:id="335"/>
      <w:bookmarkStart w:id="336" w:name="_Toc184312092"/>
      <w:bookmarkEnd w:id="336"/>
      <w:bookmarkStart w:id="337" w:name="_Toc184312124"/>
      <w:bookmarkEnd w:id="337"/>
      <w:bookmarkStart w:id="338" w:name="_Toc184308070"/>
      <w:bookmarkEnd w:id="338"/>
      <w:bookmarkStart w:id="339" w:name="_Toc184312078"/>
      <w:bookmarkEnd w:id="339"/>
      <w:bookmarkStart w:id="340" w:name="_Toc184308056"/>
      <w:bookmarkEnd w:id="340"/>
      <w:bookmarkStart w:id="341" w:name="_Toc184308050"/>
      <w:bookmarkEnd w:id="341"/>
      <w:bookmarkStart w:id="342" w:name="_Toc184308060"/>
      <w:bookmarkEnd w:id="342"/>
      <w:bookmarkStart w:id="343" w:name="_Toc184314436"/>
      <w:bookmarkEnd w:id="343"/>
      <w:bookmarkStart w:id="344" w:name="_Toc184310312"/>
      <w:bookmarkEnd w:id="344"/>
      <w:bookmarkStart w:id="345" w:name="_Toc184308042"/>
      <w:bookmarkEnd w:id="345"/>
      <w:bookmarkStart w:id="346" w:name="_Toc184310296"/>
      <w:bookmarkEnd w:id="346"/>
      <w:bookmarkStart w:id="347" w:name="_Toc184312093"/>
      <w:bookmarkEnd w:id="347"/>
      <w:bookmarkStart w:id="348" w:name="_Toc184310313"/>
      <w:bookmarkEnd w:id="348"/>
      <w:bookmarkStart w:id="349" w:name="_Toc184314417"/>
      <w:bookmarkEnd w:id="349"/>
      <w:bookmarkStart w:id="350" w:name="_Toc184310314"/>
      <w:bookmarkEnd w:id="350"/>
      <w:bookmarkStart w:id="351" w:name="_Toc184313269"/>
      <w:bookmarkEnd w:id="351"/>
      <w:bookmarkStart w:id="352" w:name="_Toc184310299"/>
      <w:bookmarkEnd w:id="352"/>
      <w:bookmarkStart w:id="353" w:name="_Toc184314456"/>
      <w:bookmarkEnd w:id="353"/>
      <w:bookmarkStart w:id="354" w:name="_Toc184312117"/>
      <w:bookmarkEnd w:id="354"/>
      <w:bookmarkStart w:id="355" w:name="_Toc184314460"/>
      <w:bookmarkEnd w:id="355"/>
      <w:bookmarkStart w:id="356" w:name="_Toc184314468"/>
      <w:bookmarkEnd w:id="356"/>
      <w:bookmarkStart w:id="357" w:name="_Toc184313242"/>
      <w:bookmarkEnd w:id="357"/>
      <w:bookmarkStart w:id="358" w:name="_Toc184314444"/>
      <w:bookmarkEnd w:id="358"/>
      <w:bookmarkStart w:id="359" w:name="_Toc184308081"/>
      <w:bookmarkEnd w:id="359"/>
      <w:bookmarkStart w:id="360" w:name="_Toc184314452"/>
      <w:bookmarkEnd w:id="360"/>
      <w:bookmarkStart w:id="361" w:name="_Toc184312069"/>
      <w:bookmarkEnd w:id="361"/>
      <w:bookmarkStart w:id="362" w:name="_Toc184310275"/>
      <w:bookmarkEnd w:id="362"/>
      <w:bookmarkStart w:id="363" w:name="_Toc184314438"/>
      <w:bookmarkEnd w:id="363"/>
      <w:bookmarkStart w:id="364" w:name="_Toc184310272"/>
      <w:bookmarkEnd w:id="364"/>
      <w:bookmarkStart w:id="365" w:name="_Toc184310284"/>
      <w:bookmarkEnd w:id="365"/>
      <w:bookmarkStart w:id="366" w:name="_Toc184313290"/>
      <w:bookmarkEnd w:id="366"/>
      <w:bookmarkStart w:id="367" w:name="_Toc184313273"/>
      <w:bookmarkEnd w:id="367"/>
      <w:bookmarkStart w:id="368" w:name="_Toc184310338"/>
      <w:bookmarkEnd w:id="368"/>
      <w:bookmarkStart w:id="369" w:name="_Toc184310281"/>
      <w:bookmarkEnd w:id="369"/>
      <w:bookmarkStart w:id="370" w:name="_Toc184312075"/>
      <w:bookmarkEnd w:id="370"/>
      <w:bookmarkStart w:id="371" w:name="_Toc184312076"/>
      <w:bookmarkEnd w:id="371"/>
      <w:bookmarkStart w:id="372" w:name="_Toc184310335"/>
      <w:bookmarkEnd w:id="372"/>
      <w:bookmarkStart w:id="373" w:name="_Toc184314411"/>
      <w:bookmarkEnd w:id="373"/>
      <w:bookmarkStart w:id="374" w:name="_Toc184313246"/>
      <w:bookmarkEnd w:id="374"/>
      <w:bookmarkStart w:id="375" w:name="_Toc184310302"/>
      <w:bookmarkEnd w:id="375"/>
      <w:bookmarkStart w:id="376" w:name="_Toc184312121"/>
      <w:bookmarkEnd w:id="376"/>
      <w:bookmarkStart w:id="377" w:name="_Toc184312130"/>
      <w:bookmarkEnd w:id="377"/>
      <w:bookmarkStart w:id="378" w:name="_Toc184313266"/>
      <w:bookmarkEnd w:id="378"/>
      <w:bookmarkStart w:id="379" w:name="_Toc184310337"/>
      <w:bookmarkEnd w:id="379"/>
      <w:bookmarkStart w:id="380" w:name="_Toc184310295"/>
      <w:bookmarkEnd w:id="380"/>
      <w:bookmarkStart w:id="381" w:name="_Toc184312083"/>
      <w:bookmarkEnd w:id="381"/>
      <w:bookmarkStart w:id="382" w:name="_Toc184312104"/>
      <w:bookmarkEnd w:id="382"/>
      <w:bookmarkStart w:id="383" w:name="_Toc184310301"/>
      <w:bookmarkEnd w:id="383"/>
      <w:bookmarkStart w:id="384" w:name="_Toc184312119"/>
      <w:bookmarkEnd w:id="384"/>
      <w:r>
        <w:rPr>
          <w:rFonts w:hint="eastAsia" w:ascii="仿宋" w:hAnsi="仿宋" w:eastAsia="仿宋" w:cs="仿宋"/>
          <w:b/>
          <w:bCs/>
          <w:color w:val="auto"/>
          <w:sz w:val="32"/>
          <w:szCs w:val="32"/>
        </w:rPr>
        <w:t>评标办法</w:t>
      </w:r>
    </w:p>
    <w:tbl>
      <w:tblPr>
        <w:tblStyle w:val="64"/>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7"/>
      </w:tblGrid>
      <w:tr w14:paraId="6EAE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5" w:hRule="atLeast"/>
          <w:jc w:val="center"/>
        </w:trPr>
        <w:tc>
          <w:tcPr>
            <w:tcW w:w="9267" w:type="dxa"/>
            <w:vAlign w:val="center"/>
          </w:tcPr>
          <w:p w14:paraId="565CE161">
            <w:pPr>
              <w:autoSpaceDE w:val="0"/>
              <w:autoSpaceDN w:val="0"/>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本项目采用综合评分法</w:t>
            </w:r>
            <w:r>
              <w:rPr>
                <w:rFonts w:hint="eastAsia" w:ascii="仿宋" w:hAnsi="仿宋" w:eastAsia="仿宋" w:cs="仿宋"/>
                <w:color w:val="auto"/>
                <w:sz w:val="24"/>
              </w:rPr>
              <w:t>：</w:t>
            </w:r>
          </w:p>
          <w:p w14:paraId="5A7A23A5">
            <w:pPr>
              <w:autoSpaceDE w:val="0"/>
              <w:autoSpaceDN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评标委员会将对各供应商的响应报价、供应商提供的资信与商务部分、技术部分等方面进行综合评审，评标委员会各成员应当独立对每个有效供应商的响应文件进行评价、打分。经统计，得出各供应商的最终评审分,按最终评审分由高到低顺序排列。得分相同的，按响应报价由低到高顺序排列，</w:t>
            </w:r>
            <w:r>
              <w:rPr>
                <w:rFonts w:hint="eastAsia" w:ascii="仿宋" w:hAnsi="仿宋" w:eastAsia="仿宋" w:cs="仿宋"/>
                <w:color w:val="auto"/>
                <w:sz w:val="24"/>
                <w:szCs w:val="21"/>
              </w:rPr>
              <w:t>得分且响应报价相同的并列</w:t>
            </w:r>
            <w:r>
              <w:rPr>
                <w:rFonts w:hint="eastAsia" w:ascii="仿宋" w:hAnsi="仿宋" w:eastAsia="仿宋" w:cs="仿宋"/>
                <w:color w:val="auto"/>
                <w:sz w:val="24"/>
              </w:rPr>
              <w:t xml:space="preserve">，并形成评标意见。 </w:t>
            </w:r>
          </w:p>
          <w:p w14:paraId="535B02F2">
            <w:pPr>
              <w:spacing w:line="360" w:lineRule="auto"/>
              <w:ind w:left="105" w:leftChars="50" w:firstLine="427" w:firstLineChars="178"/>
              <w:rPr>
                <w:rFonts w:hint="eastAsia" w:ascii="仿宋" w:hAnsi="仿宋" w:eastAsia="仿宋" w:cs="仿宋"/>
                <w:color w:val="auto"/>
                <w:sz w:val="24"/>
              </w:rPr>
            </w:pPr>
            <w:r>
              <w:rPr>
                <w:rFonts w:hint="eastAsia" w:ascii="仿宋" w:hAnsi="仿宋" w:eastAsia="仿宋" w:cs="仿宋"/>
                <w:color w:val="auto"/>
                <w:sz w:val="24"/>
              </w:rPr>
              <w:t>各供应商的综合得分为：价格得分+</w:t>
            </w:r>
            <w:r>
              <w:rPr>
                <w:rFonts w:hint="eastAsia" w:ascii="仿宋" w:hAnsi="仿宋" w:eastAsia="仿宋" w:cs="仿宋"/>
                <w:bCs/>
                <w:color w:val="auto"/>
                <w:sz w:val="24"/>
              </w:rPr>
              <w:t>技术部分</w:t>
            </w:r>
            <w:r>
              <w:rPr>
                <w:rFonts w:hint="eastAsia" w:ascii="仿宋" w:hAnsi="仿宋" w:eastAsia="仿宋" w:cs="仿宋"/>
                <w:color w:val="auto"/>
                <w:sz w:val="24"/>
              </w:rPr>
              <w:t>得分+资信与商务部分得分之和，总和为</w:t>
            </w:r>
            <w:r>
              <w:rPr>
                <w:rFonts w:hint="eastAsia" w:ascii="仿宋" w:hAnsi="仿宋" w:eastAsia="仿宋" w:cs="仿宋"/>
                <w:color w:val="auto"/>
                <w:sz w:val="24"/>
                <w:u w:val="single"/>
              </w:rPr>
              <w:t>100</w:t>
            </w:r>
            <w:r>
              <w:rPr>
                <w:rFonts w:hint="eastAsia" w:ascii="仿宋" w:hAnsi="仿宋" w:eastAsia="仿宋" w:cs="仿宋"/>
                <w:color w:val="auto"/>
                <w:sz w:val="24"/>
              </w:rPr>
              <w:t>分</w:t>
            </w:r>
          </w:p>
          <w:p w14:paraId="2F2C0231">
            <w:pPr>
              <w:autoSpaceDE w:val="0"/>
              <w:autoSpaceDN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各供应商的技术、资信与商务部分得分为：评标委员会各成员评分的算术平均值。各供应商的价格得分按价格评分公式由代理机构计算，评标委员会审核。</w:t>
            </w:r>
            <w:r>
              <w:rPr>
                <w:rFonts w:hint="eastAsia" w:ascii="仿宋" w:hAnsi="仿宋" w:eastAsia="仿宋" w:cs="仿宋"/>
                <w:color w:val="auto"/>
                <w:sz w:val="24"/>
              </w:rPr>
              <w:t>根据上述评标原则，分值安排如下：</w:t>
            </w:r>
          </w:p>
        </w:tc>
      </w:tr>
    </w:tbl>
    <w:p w14:paraId="30292DE5">
      <w:pPr>
        <w:widowControl/>
        <w:spacing w:line="360" w:lineRule="auto"/>
        <w:ind w:firstLine="482" w:firstLineChars="200"/>
        <w:rPr>
          <w:rFonts w:hint="eastAsia" w:ascii="仿宋" w:hAnsi="仿宋" w:eastAsia="仿宋" w:cs="仿宋"/>
          <w:b/>
          <w:bCs/>
          <w:color w:val="auto"/>
          <w:sz w:val="24"/>
        </w:rPr>
      </w:pPr>
    </w:p>
    <w:p w14:paraId="1E77D983">
      <w:pPr>
        <w:widowControl/>
        <w:spacing w:line="360" w:lineRule="auto"/>
        <w:rPr>
          <w:rFonts w:hint="eastAsia" w:ascii="仿宋" w:hAnsi="仿宋" w:eastAsia="仿宋" w:cs="仿宋"/>
          <w:color w:val="auto"/>
          <w:sz w:val="24"/>
        </w:rPr>
      </w:pPr>
    </w:p>
    <w:p w14:paraId="2C4B55D8">
      <w:pPr>
        <w:widowControl/>
        <w:spacing w:line="360" w:lineRule="auto"/>
        <w:rPr>
          <w:rFonts w:hint="eastAsia" w:ascii="仿宋" w:hAnsi="仿宋" w:eastAsia="仿宋" w:cs="仿宋"/>
          <w:color w:val="auto"/>
          <w:sz w:val="24"/>
        </w:rPr>
      </w:pPr>
    </w:p>
    <w:p w14:paraId="32AB19AB">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资信</w:t>
      </w:r>
      <w:r>
        <w:rPr>
          <w:rFonts w:hint="eastAsia" w:ascii="仿宋" w:hAnsi="仿宋" w:eastAsia="仿宋" w:cs="仿宋"/>
          <w:color w:val="auto"/>
          <w:sz w:val="24"/>
          <w:highlight w:val="none"/>
          <w:lang w:eastAsia="zh-CN"/>
        </w:rPr>
        <w:t>商务部分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tbl>
      <w:tblPr>
        <w:tblStyle w:val="64"/>
        <w:tblW w:w="8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5524"/>
        <w:gridCol w:w="938"/>
        <w:gridCol w:w="1175"/>
      </w:tblGrid>
      <w:tr w14:paraId="2B2C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750" w:type="dxa"/>
            <w:shd w:val="clear" w:color="auto" w:fill="auto"/>
            <w:vAlign w:val="center"/>
          </w:tcPr>
          <w:p w14:paraId="567879DB">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524" w:type="dxa"/>
            <w:tcBorders>
              <w:tl2br w:val="nil"/>
              <w:tr2bl w:val="nil"/>
            </w:tcBorders>
            <w:shd w:val="clear" w:color="auto" w:fill="auto"/>
            <w:vAlign w:val="center"/>
          </w:tcPr>
          <w:p w14:paraId="260F3263">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938" w:type="dxa"/>
            <w:tcBorders>
              <w:tl2br w:val="nil"/>
              <w:tr2bl w:val="nil"/>
            </w:tcBorders>
            <w:shd w:val="clear" w:color="auto" w:fill="auto"/>
            <w:vAlign w:val="center"/>
          </w:tcPr>
          <w:p w14:paraId="5AC9BC8F">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175" w:type="dxa"/>
            <w:tcBorders>
              <w:tl2br w:val="nil"/>
              <w:tr2bl w:val="nil"/>
            </w:tcBorders>
            <w:vAlign w:val="center"/>
          </w:tcPr>
          <w:p w14:paraId="026B667A">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主客</w:t>
            </w:r>
          </w:p>
          <w:p w14:paraId="31485030">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观分</w:t>
            </w:r>
          </w:p>
        </w:tc>
      </w:tr>
      <w:tr w14:paraId="7468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shd w:val="clear" w:color="auto" w:fill="auto"/>
            <w:vAlign w:val="center"/>
          </w:tcPr>
          <w:p w14:paraId="369996AC">
            <w:pPr>
              <w:widowControl/>
              <w:shd w:val="clea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5524" w:type="dxa"/>
            <w:tcBorders>
              <w:tl2br w:val="nil"/>
              <w:tr2bl w:val="nil"/>
            </w:tcBorders>
            <w:shd w:val="clear" w:color="auto" w:fill="auto"/>
            <w:vAlign w:val="center"/>
          </w:tcPr>
          <w:p w14:paraId="01CA2D40">
            <w:pPr>
              <w:widowControl/>
              <w:shd w:val="clear"/>
              <w:spacing w:line="360" w:lineRule="auto"/>
              <w:rPr>
                <w:rFonts w:hint="eastAsia"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同类项目业绩：2022年5月1日（以合同签订日期为准）以来同类产品项目业绩情况，每提供1个有效业绩得1分，最高3分，（投标文件中提供合同复印件并加盖公章，否则不得分。）</w:t>
            </w:r>
          </w:p>
          <w:p w14:paraId="21C398A7">
            <w:pPr>
              <w:widowControl/>
              <w:shd w:val="clea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本项目的投标产品指的是核心产品</w:t>
            </w:r>
            <w:r>
              <w:rPr>
                <w:rFonts w:hint="eastAsia" w:ascii="仿宋" w:hAnsi="仿宋" w:eastAsia="仿宋" w:cs="仿宋"/>
                <w:color w:val="auto"/>
                <w:sz w:val="24"/>
                <w:highlight w:val="none"/>
                <w:lang w:val="en-US" w:eastAsia="zh-CN"/>
              </w:rPr>
              <w:t>。</w:t>
            </w:r>
          </w:p>
          <w:p w14:paraId="04E6A317">
            <w:pPr>
              <w:widowControl/>
              <w:shd w:val="clear"/>
              <w:spacing w:line="360" w:lineRule="auto"/>
              <w:rPr>
                <w:rFonts w:hint="eastAsia" w:ascii="仿宋" w:hAnsi="仿宋" w:eastAsia="仿宋" w:cs="仿宋_GB2312"/>
                <w:color w:val="auto"/>
                <w:sz w:val="24"/>
                <w:szCs w:val="24"/>
                <w:highlight w:val="none"/>
                <w:lang w:val="en-US" w:eastAsia="zh-CN"/>
              </w:rPr>
            </w:pPr>
            <w:r>
              <w:rPr>
                <w:rFonts w:hint="eastAsia" w:ascii="仿宋" w:hAnsi="仿宋" w:eastAsia="仿宋" w:cs="仿宋"/>
                <w:color w:val="auto"/>
                <w:sz w:val="24"/>
                <w:highlight w:val="none"/>
              </w:rPr>
              <w:t>投标产品为对省级以上主管部门认定的首台套产品，自纳入《省推广应用指导目录》起三年内参加采购活动，视同已具备相应销售业绩，本项得满分。</w:t>
            </w:r>
          </w:p>
        </w:tc>
        <w:tc>
          <w:tcPr>
            <w:tcW w:w="938" w:type="dxa"/>
            <w:tcBorders>
              <w:tl2br w:val="nil"/>
              <w:tr2bl w:val="nil"/>
            </w:tcBorders>
            <w:shd w:val="clear" w:color="auto" w:fill="auto"/>
            <w:vAlign w:val="center"/>
          </w:tcPr>
          <w:p w14:paraId="5F9097F1">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3</w:t>
            </w:r>
          </w:p>
        </w:tc>
        <w:tc>
          <w:tcPr>
            <w:tcW w:w="1175" w:type="dxa"/>
            <w:tcBorders>
              <w:tl2br w:val="nil"/>
              <w:tr2bl w:val="nil"/>
            </w:tcBorders>
            <w:shd w:val="clear" w:color="auto" w:fill="auto"/>
            <w:vAlign w:val="center"/>
          </w:tcPr>
          <w:p w14:paraId="5E7329F6">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客观分</w:t>
            </w:r>
          </w:p>
        </w:tc>
      </w:tr>
    </w:tbl>
    <w:p w14:paraId="6614C0ED">
      <w:pPr>
        <w:widowControl/>
        <w:shd w:val="clear"/>
        <w:adjustRightInd/>
        <w:spacing w:line="360" w:lineRule="auto"/>
        <w:jc w:val="left"/>
        <w:rPr>
          <w:rFonts w:hint="eastAsia" w:ascii="仿宋" w:hAnsi="仿宋" w:eastAsia="仿宋" w:cs="仿宋"/>
          <w:color w:val="auto"/>
          <w:sz w:val="24"/>
          <w:highlight w:val="none"/>
        </w:rPr>
      </w:pPr>
    </w:p>
    <w:p w14:paraId="00A0F87D">
      <w:pPr>
        <w:widowControl/>
        <w:shd w:val="clear"/>
        <w:adjustRightInd/>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技术和服务方案（</w:t>
      </w:r>
      <w:r>
        <w:rPr>
          <w:rFonts w:hint="eastAsia" w:ascii="仿宋" w:hAnsi="仿宋" w:eastAsia="仿宋" w:cs="仿宋"/>
          <w:color w:val="auto"/>
          <w:sz w:val="24"/>
          <w:highlight w:val="none"/>
          <w:lang w:val="en-US" w:eastAsia="zh-CN"/>
        </w:rPr>
        <w:t>67</w:t>
      </w:r>
      <w:r>
        <w:rPr>
          <w:rFonts w:hint="eastAsia" w:ascii="仿宋" w:hAnsi="仿宋" w:eastAsia="仿宋" w:cs="仿宋"/>
          <w:color w:val="auto"/>
          <w:sz w:val="24"/>
          <w:highlight w:val="none"/>
        </w:rPr>
        <w:t>分）</w:t>
      </w:r>
    </w:p>
    <w:tbl>
      <w:tblPr>
        <w:tblStyle w:val="64"/>
        <w:tblW w:w="8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45"/>
        <w:gridCol w:w="808"/>
        <w:gridCol w:w="3989"/>
        <w:gridCol w:w="937"/>
        <w:gridCol w:w="1175"/>
      </w:tblGrid>
      <w:tr w14:paraId="2B28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45" w:type="dxa"/>
            <w:vMerge w:val="restart"/>
            <w:tcBorders>
              <w:tl2br w:val="nil"/>
              <w:tr2bl w:val="nil"/>
            </w:tcBorders>
            <w:shd w:val="clear" w:color="auto" w:fill="auto"/>
            <w:vAlign w:val="center"/>
          </w:tcPr>
          <w:p w14:paraId="070E56EE">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技</w:t>
            </w:r>
          </w:p>
          <w:p w14:paraId="1B90344D">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术</w:t>
            </w:r>
          </w:p>
          <w:p w14:paraId="7ABAB0EA">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和</w:t>
            </w:r>
          </w:p>
          <w:p w14:paraId="7AA8C632">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服</w:t>
            </w:r>
          </w:p>
          <w:p w14:paraId="69505065">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务</w:t>
            </w:r>
          </w:p>
          <w:p w14:paraId="56689BAC">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方</w:t>
            </w:r>
          </w:p>
          <w:p w14:paraId="19BC4528">
            <w:pPr>
              <w:widowControl/>
              <w:shd w:val="clear"/>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案</w:t>
            </w:r>
          </w:p>
        </w:tc>
        <w:tc>
          <w:tcPr>
            <w:tcW w:w="745" w:type="dxa"/>
            <w:tcBorders>
              <w:tl2br w:val="nil"/>
              <w:tr2bl w:val="nil"/>
            </w:tcBorders>
            <w:shd w:val="clear" w:color="auto" w:fill="auto"/>
            <w:vAlign w:val="center"/>
          </w:tcPr>
          <w:p w14:paraId="18B70419">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4797" w:type="dxa"/>
            <w:gridSpan w:val="2"/>
            <w:tcBorders>
              <w:tl2br w:val="nil"/>
              <w:tr2bl w:val="nil"/>
            </w:tcBorders>
            <w:shd w:val="clear" w:color="auto" w:fill="auto"/>
            <w:vAlign w:val="center"/>
          </w:tcPr>
          <w:p w14:paraId="56D43065">
            <w:pPr>
              <w:widowControl/>
              <w:shd w:val="clear"/>
              <w:spacing w:line="360" w:lineRule="auto"/>
              <w:ind w:right="134" w:rightChars="64"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评分内容和标准具体描述</w:t>
            </w:r>
          </w:p>
        </w:tc>
        <w:tc>
          <w:tcPr>
            <w:tcW w:w="937" w:type="dxa"/>
            <w:tcBorders>
              <w:tl2br w:val="nil"/>
              <w:tr2bl w:val="nil"/>
            </w:tcBorders>
            <w:shd w:val="clear" w:color="auto" w:fill="auto"/>
            <w:vAlign w:val="center"/>
          </w:tcPr>
          <w:p w14:paraId="4DB40733">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权重</w:t>
            </w:r>
          </w:p>
        </w:tc>
        <w:tc>
          <w:tcPr>
            <w:tcW w:w="1175" w:type="dxa"/>
            <w:tcBorders>
              <w:tl2br w:val="nil"/>
              <w:tr2bl w:val="nil"/>
            </w:tcBorders>
            <w:shd w:val="clear" w:color="auto" w:fill="auto"/>
            <w:vAlign w:val="center"/>
          </w:tcPr>
          <w:p w14:paraId="440BF386">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主客观分</w:t>
            </w:r>
          </w:p>
        </w:tc>
      </w:tr>
      <w:tr w14:paraId="4038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745" w:type="dxa"/>
            <w:vMerge w:val="continue"/>
            <w:tcBorders>
              <w:tl2br w:val="nil"/>
              <w:tr2bl w:val="nil"/>
            </w:tcBorders>
            <w:shd w:val="clear" w:color="auto" w:fill="auto"/>
            <w:vAlign w:val="center"/>
          </w:tcPr>
          <w:p w14:paraId="59478999">
            <w:pPr>
              <w:widowControl/>
              <w:shd w:val="clear"/>
              <w:spacing w:line="360" w:lineRule="auto"/>
              <w:jc w:val="center"/>
              <w:rPr>
                <w:rFonts w:hint="eastAsia" w:ascii="仿宋" w:hAnsi="仿宋" w:eastAsia="仿宋" w:cs="仿宋_GB2312"/>
                <w:b/>
                <w:bCs/>
                <w:color w:val="auto"/>
                <w:sz w:val="24"/>
                <w:highlight w:val="none"/>
                <w:lang w:val="en-US" w:eastAsia="zh-CN"/>
              </w:rPr>
            </w:pPr>
          </w:p>
        </w:tc>
        <w:tc>
          <w:tcPr>
            <w:tcW w:w="745" w:type="dxa"/>
            <w:tcBorders>
              <w:tl2br w:val="nil"/>
              <w:tr2bl w:val="nil"/>
            </w:tcBorders>
            <w:shd w:val="clear" w:color="auto" w:fill="auto"/>
            <w:vAlign w:val="center"/>
          </w:tcPr>
          <w:p w14:paraId="4F0BDFC4">
            <w:pPr>
              <w:widowControl/>
              <w:shd w:val="clear"/>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b/>
                <w:bCs/>
                <w:color w:val="auto"/>
                <w:sz w:val="24"/>
                <w:highlight w:val="none"/>
                <w:lang w:val="en-US" w:eastAsia="zh-CN"/>
              </w:rPr>
              <w:t>2</w:t>
            </w:r>
          </w:p>
        </w:tc>
        <w:tc>
          <w:tcPr>
            <w:tcW w:w="4797" w:type="dxa"/>
            <w:gridSpan w:val="2"/>
            <w:tcBorders>
              <w:tl2br w:val="nil"/>
              <w:tr2bl w:val="nil"/>
            </w:tcBorders>
            <w:shd w:val="clear" w:color="auto" w:fill="auto"/>
            <w:vAlign w:val="center"/>
          </w:tcPr>
          <w:p w14:paraId="5F77AECF">
            <w:pPr>
              <w:widowControl/>
              <w:shd w:val="clear"/>
              <w:spacing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highlight w:val="none"/>
              </w:rPr>
              <w:t>技术功能符合度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对应于采购文件第</w:t>
            </w:r>
            <w:r>
              <w:rPr>
                <w:rFonts w:hint="eastAsia" w:ascii="仿宋" w:hAnsi="仿宋" w:eastAsia="仿宋" w:cs="仿宋"/>
                <w:color w:val="auto"/>
                <w:sz w:val="24"/>
                <w:highlight w:val="none"/>
                <w:lang w:val="en-US" w:eastAsia="zh-CN"/>
              </w:rPr>
              <w:t>三部分</w:t>
            </w:r>
            <w:r>
              <w:rPr>
                <w:rFonts w:hint="eastAsia" w:ascii="仿宋" w:hAnsi="仿宋" w:eastAsia="仿宋" w:cs="仿宋"/>
                <w:color w:val="auto"/>
                <w:sz w:val="24"/>
                <w:highlight w:val="none"/>
              </w:rPr>
              <w:t>“采购需求”中“</w:t>
            </w:r>
            <w:r>
              <w:rPr>
                <w:rFonts w:hint="eastAsia" w:ascii="仿宋" w:hAnsi="仿宋" w:eastAsia="仿宋" w:cs="仿宋"/>
                <w:color w:val="auto"/>
                <w:sz w:val="24"/>
                <w:highlight w:val="none"/>
                <w:lang w:eastAsia="zh-CN"/>
              </w:rPr>
              <w:t>技术规格及要求</w:t>
            </w:r>
            <w:r>
              <w:rPr>
                <w:rFonts w:hint="eastAsia" w:ascii="仿宋" w:hAnsi="仿宋" w:eastAsia="仿宋" w:cs="仿宋"/>
                <w:color w:val="auto"/>
                <w:sz w:val="24"/>
                <w:highlight w:val="none"/>
              </w:rPr>
              <w:t>”，实质性技术参数条款以“▲”号标注，不满足者将被视为无效标。</w:t>
            </w:r>
            <w:r>
              <w:rPr>
                <w:rFonts w:hint="eastAsia" w:ascii="仿宋" w:hAnsi="仿宋" w:eastAsia="仿宋" w:cs="仿宋"/>
                <w:color w:val="auto"/>
                <w:sz w:val="24"/>
                <w:highlight w:val="none"/>
                <w:lang w:eastAsia="zh-CN"/>
              </w:rPr>
              <w:t>每一条</w:t>
            </w:r>
            <w:r>
              <w:rPr>
                <w:rFonts w:hint="eastAsia" w:ascii="仿宋" w:hAnsi="仿宋" w:eastAsia="仿宋" w:cs="仿宋"/>
                <w:color w:val="auto"/>
                <w:sz w:val="24"/>
                <w:highlight w:val="none"/>
                <w:lang w:val="en-US" w:eastAsia="zh-CN"/>
              </w:rPr>
              <w:t>带“△”重要指标负偏离的，扣4分，</w:t>
            </w:r>
            <w:r>
              <w:rPr>
                <w:rFonts w:hint="eastAsia" w:ascii="仿宋" w:hAnsi="仿宋" w:eastAsia="仿宋" w:cs="仿宋"/>
                <w:color w:val="auto"/>
                <w:sz w:val="24"/>
                <w:highlight w:val="none"/>
                <w:lang w:eastAsia="zh-CN"/>
              </w:rPr>
              <w:t>其余一般性指标条款，每一条不满足扣</w:t>
            </w:r>
            <w:r>
              <w:rPr>
                <w:rFonts w:hint="eastAsia" w:ascii="仿宋" w:hAnsi="仿宋" w:eastAsia="仿宋" w:cs="仿宋"/>
                <w:color w:val="auto"/>
                <w:sz w:val="24"/>
                <w:highlight w:val="none"/>
                <w:lang w:val="en-US" w:eastAsia="zh-CN"/>
              </w:rPr>
              <w:t>2分，</w:t>
            </w:r>
            <w:r>
              <w:rPr>
                <w:rFonts w:hint="eastAsia" w:ascii="仿宋" w:hAnsi="仿宋" w:eastAsia="仿宋" w:cs="仿宋"/>
                <w:color w:val="auto"/>
                <w:sz w:val="24"/>
                <w:highlight w:val="none"/>
              </w:rPr>
              <w:t>扣完为止。本项最高得</w:t>
            </w: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tc>
        <w:tc>
          <w:tcPr>
            <w:tcW w:w="937" w:type="dxa"/>
            <w:tcBorders>
              <w:tl2br w:val="nil"/>
              <w:tr2bl w:val="nil"/>
            </w:tcBorders>
            <w:shd w:val="clear" w:color="auto" w:fill="auto"/>
            <w:vAlign w:val="center"/>
          </w:tcPr>
          <w:p w14:paraId="0015A32E">
            <w:pPr>
              <w:widowControl/>
              <w:shd w:val="clear"/>
              <w:spacing w:line="360" w:lineRule="auto"/>
              <w:jc w:val="center"/>
              <w:rPr>
                <w:rFonts w:hint="default" w:ascii="仿宋" w:hAnsi="仿宋" w:eastAsia="仿宋" w:cs="仿宋_GB2312"/>
                <w:b w:val="0"/>
                <w:bCs w:val="0"/>
                <w:color w:val="auto"/>
                <w:sz w:val="24"/>
                <w:highlight w:val="none"/>
                <w:lang w:val="en-US" w:eastAsia="zh-CN"/>
              </w:rPr>
            </w:pPr>
            <w:r>
              <w:rPr>
                <w:rFonts w:hint="eastAsia" w:ascii="仿宋" w:hAnsi="仿宋" w:eastAsia="仿宋" w:cs="仿宋_GB2312"/>
                <w:b w:val="0"/>
                <w:bCs w:val="0"/>
                <w:color w:val="auto"/>
                <w:sz w:val="24"/>
                <w:highlight w:val="none"/>
                <w:lang w:val="en-US" w:eastAsia="zh-CN"/>
              </w:rPr>
              <w:t>40</w:t>
            </w:r>
          </w:p>
        </w:tc>
        <w:tc>
          <w:tcPr>
            <w:tcW w:w="1175" w:type="dxa"/>
            <w:tcBorders>
              <w:tl2br w:val="nil"/>
              <w:tr2bl w:val="nil"/>
            </w:tcBorders>
            <w:shd w:val="clear" w:color="auto" w:fill="auto"/>
            <w:vAlign w:val="center"/>
          </w:tcPr>
          <w:p w14:paraId="3640154F">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客观分</w:t>
            </w:r>
          </w:p>
        </w:tc>
      </w:tr>
      <w:tr w14:paraId="57BE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745" w:type="dxa"/>
            <w:vMerge w:val="continue"/>
            <w:tcBorders>
              <w:tl2br w:val="nil"/>
              <w:tr2bl w:val="nil"/>
            </w:tcBorders>
            <w:shd w:val="clear" w:color="auto" w:fill="auto"/>
            <w:vAlign w:val="center"/>
          </w:tcPr>
          <w:p w14:paraId="560A9400">
            <w:pPr>
              <w:widowControl/>
              <w:shd w:val="clear"/>
              <w:spacing w:line="360" w:lineRule="auto"/>
              <w:jc w:val="center"/>
              <w:rPr>
                <w:rFonts w:hint="eastAsia" w:ascii="仿宋" w:hAnsi="仿宋" w:eastAsia="仿宋" w:cs="仿宋_GB2312"/>
                <w:b/>
                <w:bCs/>
                <w:color w:val="auto"/>
                <w:sz w:val="24"/>
                <w:highlight w:val="none"/>
                <w:lang w:val="en-US" w:eastAsia="zh-CN"/>
              </w:rPr>
            </w:pPr>
          </w:p>
        </w:tc>
        <w:tc>
          <w:tcPr>
            <w:tcW w:w="745" w:type="dxa"/>
            <w:tcBorders>
              <w:tl2br w:val="nil"/>
              <w:tr2bl w:val="nil"/>
            </w:tcBorders>
            <w:shd w:val="clear" w:color="auto" w:fill="auto"/>
            <w:vAlign w:val="center"/>
          </w:tcPr>
          <w:p w14:paraId="7D84EF00">
            <w:pPr>
              <w:widowControl/>
              <w:shd w:val="clear"/>
              <w:spacing w:line="360" w:lineRule="auto"/>
              <w:jc w:val="center"/>
              <w:rPr>
                <w:rFonts w:hint="default" w:ascii="仿宋" w:hAnsi="仿宋" w:eastAsia="仿宋" w:cs="仿宋_GB2312"/>
                <w:b/>
                <w:bCs/>
                <w:color w:val="auto"/>
                <w:kern w:val="2"/>
                <w:sz w:val="24"/>
                <w:szCs w:val="24"/>
                <w:highlight w:val="none"/>
                <w:lang w:val="en-US" w:eastAsia="zh-CN" w:bidi="ar-SA"/>
              </w:rPr>
            </w:pPr>
            <w:r>
              <w:rPr>
                <w:rFonts w:hint="eastAsia" w:ascii="仿宋" w:hAnsi="仿宋" w:eastAsia="仿宋" w:cs="仿宋_GB2312"/>
                <w:b/>
                <w:bCs/>
                <w:color w:val="auto"/>
                <w:sz w:val="24"/>
                <w:highlight w:val="none"/>
                <w:lang w:val="en-US" w:eastAsia="zh-CN"/>
              </w:rPr>
              <w:t>3</w:t>
            </w:r>
          </w:p>
        </w:tc>
        <w:tc>
          <w:tcPr>
            <w:tcW w:w="4797" w:type="dxa"/>
            <w:gridSpan w:val="2"/>
            <w:tcBorders>
              <w:tl2br w:val="nil"/>
              <w:tr2bl w:val="nil"/>
            </w:tcBorders>
            <w:shd w:val="clear" w:color="auto" w:fill="auto"/>
            <w:vAlign w:val="center"/>
          </w:tcPr>
          <w:p w14:paraId="3D5FA21F">
            <w:pPr>
              <w:shd w:val="clear"/>
              <w:spacing w:line="360" w:lineRule="auto"/>
              <w:rPr>
                <w:rFonts w:hint="default"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 w:val="24"/>
                <w:highlight w:val="none"/>
              </w:rPr>
              <w:t>投标货物的技术性能：根据所投货物技术性能在临床使用效果评分。技术性能充分满足临床要求且优化的得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技术性能满足临床要求得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分；技术性能</w:t>
            </w:r>
            <w:r>
              <w:rPr>
                <w:rFonts w:hint="eastAsia" w:ascii="仿宋" w:hAnsi="仿宋" w:eastAsia="仿宋" w:cs="仿宋"/>
                <w:color w:val="auto"/>
                <w:sz w:val="24"/>
                <w:highlight w:val="none"/>
                <w:lang w:val="en-US" w:eastAsia="zh-CN"/>
              </w:rPr>
              <w:t>勉强</w:t>
            </w:r>
            <w:r>
              <w:rPr>
                <w:rFonts w:hint="eastAsia" w:ascii="仿宋" w:hAnsi="仿宋" w:eastAsia="仿宋" w:cs="仿宋"/>
                <w:color w:val="auto"/>
                <w:sz w:val="24"/>
                <w:highlight w:val="none"/>
              </w:rPr>
              <w:t>满足临床要求的得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分；技术性能不能完全满足临床要求的得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分；存在较大的缺陷、技术性能与临床要求差距较大的得0分。</w:t>
            </w:r>
          </w:p>
        </w:tc>
        <w:tc>
          <w:tcPr>
            <w:tcW w:w="937" w:type="dxa"/>
            <w:tcBorders>
              <w:tl2br w:val="nil"/>
              <w:tr2bl w:val="nil"/>
            </w:tcBorders>
            <w:shd w:val="clear" w:color="auto" w:fill="auto"/>
            <w:vAlign w:val="center"/>
          </w:tcPr>
          <w:p w14:paraId="5238D16E">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kern w:val="2"/>
                <w:sz w:val="24"/>
                <w:szCs w:val="24"/>
                <w:highlight w:val="none"/>
                <w:lang w:val="en-US" w:eastAsia="zh-CN" w:bidi="ar-SA"/>
              </w:rPr>
              <w:t>4</w:t>
            </w:r>
          </w:p>
        </w:tc>
        <w:tc>
          <w:tcPr>
            <w:tcW w:w="1175" w:type="dxa"/>
            <w:tcBorders>
              <w:tl2br w:val="nil"/>
              <w:tr2bl w:val="nil"/>
            </w:tcBorders>
            <w:shd w:val="clear" w:color="auto" w:fill="auto"/>
            <w:vAlign w:val="center"/>
          </w:tcPr>
          <w:p w14:paraId="1DEDCB41">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rPr>
              <w:t>主观分</w:t>
            </w:r>
          </w:p>
        </w:tc>
      </w:tr>
      <w:tr w14:paraId="7BD0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5" w:type="dxa"/>
            <w:vMerge w:val="continue"/>
            <w:tcBorders>
              <w:tl2br w:val="nil"/>
              <w:tr2bl w:val="nil"/>
            </w:tcBorders>
            <w:shd w:val="clear" w:color="auto" w:fill="auto"/>
            <w:vAlign w:val="center"/>
          </w:tcPr>
          <w:p w14:paraId="2BFB53C8">
            <w:pPr>
              <w:widowControl/>
              <w:shd w:val="clear"/>
              <w:spacing w:line="360" w:lineRule="auto"/>
              <w:jc w:val="center"/>
              <w:rPr>
                <w:rFonts w:hint="eastAsia" w:ascii="仿宋" w:hAnsi="仿宋" w:eastAsia="仿宋" w:cs="仿宋_GB2312"/>
                <w:color w:val="auto"/>
                <w:sz w:val="24"/>
                <w:highlight w:val="none"/>
                <w:lang w:val="en-US" w:eastAsia="zh-CN"/>
              </w:rPr>
            </w:pPr>
          </w:p>
        </w:tc>
        <w:tc>
          <w:tcPr>
            <w:tcW w:w="745" w:type="dxa"/>
            <w:tcBorders>
              <w:tl2br w:val="nil"/>
              <w:tr2bl w:val="nil"/>
            </w:tcBorders>
            <w:shd w:val="clear" w:color="auto" w:fill="auto"/>
            <w:vAlign w:val="center"/>
          </w:tcPr>
          <w:p w14:paraId="19582E06">
            <w:pPr>
              <w:widowControl/>
              <w:shd w:val="clear"/>
              <w:spacing w:line="360" w:lineRule="auto"/>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4</w:t>
            </w:r>
          </w:p>
        </w:tc>
        <w:tc>
          <w:tcPr>
            <w:tcW w:w="4797" w:type="dxa"/>
            <w:gridSpan w:val="2"/>
            <w:tcBorders>
              <w:tl2br w:val="nil"/>
              <w:tr2bl w:val="nil"/>
            </w:tcBorders>
            <w:shd w:val="clear" w:color="auto" w:fill="auto"/>
            <w:vAlign w:val="center"/>
          </w:tcPr>
          <w:p w14:paraId="689A2E7C">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供货质量控制制度：供货质量控制制度的健全及合理性。制度与公司实际相符，内容全面而简要，可操作性强等综合评定。内容完整、表述准确、无前后矛盾的得3分；</w:t>
            </w:r>
          </w:p>
          <w:p w14:paraId="1D1DBFB1">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内容基本齐全、表述较准确、前后矛盾较少的得2分；</w:t>
            </w:r>
          </w:p>
          <w:p w14:paraId="5D895AD2">
            <w:pPr>
              <w:shd w:val="clea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 w:val="24"/>
                <w:highlight w:val="none"/>
                <w:lang w:val="en-US" w:eastAsia="zh-CN"/>
              </w:rPr>
              <w:t>内容欠缺、表述不准确、内容前后矛盾多的得1分。不提供不得分。</w:t>
            </w:r>
          </w:p>
        </w:tc>
        <w:tc>
          <w:tcPr>
            <w:tcW w:w="937" w:type="dxa"/>
            <w:tcBorders>
              <w:tl2br w:val="nil"/>
              <w:tr2bl w:val="nil"/>
            </w:tcBorders>
            <w:shd w:val="clear" w:color="auto" w:fill="auto"/>
            <w:vAlign w:val="center"/>
          </w:tcPr>
          <w:p w14:paraId="7AB0B9A2">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3</w:t>
            </w:r>
          </w:p>
        </w:tc>
        <w:tc>
          <w:tcPr>
            <w:tcW w:w="1175" w:type="dxa"/>
            <w:tcBorders>
              <w:tl2br w:val="nil"/>
              <w:tr2bl w:val="nil"/>
            </w:tcBorders>
            <w:shd w:val="clear" w:color="auto" w:fill="auto"/>
            <w:vAlign w:val="center"/>
          </w:tcPr>
          <w:p w14:paraId="5506FD44">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eastAsia="zh-CN"/>
              </w:rPr>
              <w:t>主观分</w:t>
            </w:r>
          </w:p>
        </w:tc>
      </w:tr>
      <w:tr w14:paraId="1277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5" w:type="dxa"/>
            <w:vMerge w:val="continue"/>
            <w:tcBorders>
              <w:tl2br w:val="nil"/>
              <w:tr2bl w:val="nil"/>
            </w:tcBorders>
            <w:shd w:val="clear" w:color="auto" w:fill="auto"/>
            <w:vAlign w:val="center"/>
          </w:tcPr>
          <w:p w14:paraId="13F26A2D">
            <w:pPr>
              <w:widowControl/>
              <w:shd w:val="clear"/>
              <w:spacing w:line="360" w:lineRule="auto"/>
              <w:jc w:val="center"/>
              <w:rPr>
                <w:rFonts w:hint="eastAsia" w:ascii="仿宋" w:hAnsi="仿宋" w:eastAsia="仿宋" w:cs="仿宋_GB2312"/>
                <w:color w:val="auto"/>
                <w:sz w:val="24"/>
                <w:highlight w:val="none"/>
                <w:lang w:val="en-US" w:eastAsia="zh-CN"/>
              </w:rPr>
            </w:pPr>
          </w:p>
        </w:tc>
        <w:tc>
          <w:tcPr>
            <w:tcW w:w="745" w:type="dxa"/>
            <w:tcBorders>
              <w:tl2br w:val="nil"/>
              <w:tr2bl w:val="nil"/>
            </w:tcBorders>
            <w:shd w:val="clear" w:color="auto" w:fill="auto"/>
            <w:vAlign w:val="center"/>
          </w:tcPr>
          <w:p w14:paraId="459B51C6">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eastAsia="仿宋"/>
                <w:color w:val="auto"/>
                <w:szCs w:val="21"/>
                <w:lang w:val="en-US" w:eastAsia="zh-CN"/>
              </w:rPr>
              <w:t>5</w:t>
            </w:r>
          </w:p>
        </w:tc>
        <w:tc>
          <w:tcPr>
            <w:tcW w:w="4797" w:type="dxa"/>
            <w:gridSpan w:val="2"/>
            <w:tcBorders>
              <w:tl2br w:val="nil"/>
              <w:tr2bl w:val="nil"/>
            </w:tcBorders>
            <w:shd w:val="clear" w:color="auto" w:fill="auto"/>
            <w:vAlign w:val="center"/>
          </w:tcPr>
          <w:p w14:paraId="1E53351E">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供应商根据招标技术方案要求，提供详细的项目调试、安装方案，方案是否合理、准确、详尽，是否满足业务需求且描述准确。①方案内容完整、合理、可行的，得3分；</w:t>
            </w:r>
          </w:p>
          <w:p w14:paraId="5F92365E">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②方案内容基本完整、具有一定可行性的，得2分；</w:t>
            </w:r>
          </w:p>
          <w:p w14:paraId="7D393111">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③方案内容一般的，得1分；</w:t>
            </w:r>
          </w:p>
          <w:p w14:paraId="3A6DCAC5">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④方案内容存在欠缺或有待完善的或未提供的不得分。</w:t>
            </w:r>
          </w:p>
        </w:tc>
        <w:tc>
          <w:tcPr>
            <w:tcW w:w="937" w:type="dxa"/>
            <w:tcBorders>
              <w:tl2br w:val="nil"/>
              <w:tr2bl w:val="nil"/>
            </w:tcBorders>
            <w:shd w:val="clear" w:color="auto" w:fill="auto"/>
            <w:vAlign w:val="center"/>
          </w:tcPr>
          <w:p w14:paraId="55481487">
            <w:pPr>
              <w:widowControl/>
              <w:shd w:val="clear"/>
              <w:spacing w:line="360" w:lineRule="auto"/>
              <w:jc w:val="center"/>
              <w:rPr>
                <w:rFonts w:hint="default" w:ascii="仿宋" w:hAnsi="仿宋" w:eastAsia="仿宋" w:cs="仿宋_GB2312"/>
                <w:b w:val="0"/>
                <w:bCs w:val="0"/>
                <w:color w:val="auto"/>
                <w:sz w:val="24"/>
                <w:highlight w:val="none"/>
                <w:lang w:val="en-US" w:eastAsia="zh-CN"/>
              </w:rPr>
            </w:pPr>
            <w:r>
              <w:rPr>
                <w:rFonts w:hint="eastAsia" w:ascii="仿宋" w:hAnsi="仿宋" w:eastAsia="仿宋" w:cs="仿宋_GB2312"/>
                <w:b w:val="0"/>
                <w:bCs w:val="0"/>
                <w:color w:val="auto"/>
                <w:sz w:val="24"/>
                <w:highlight w:val="none"/>
                <w:lang w:val="en-US" w:eastAsia="zh-CN"/>
              </w:rPr>
              <w:t>3</w:t>
            </w:r>
          </w:p>
        </w:tc>
        <w:tc>
          <w:tcPr>
            <w:tcW w:w="1175" w:type="dxa"/>
            <w:tcBorders>
              <w:tl2br w:val="nil"/>
              <w:tr2bl w:val="nil"/>
            </w:tcBorders>
            <w:shd w:val="clear" w:color="auto" w:fill="auto"/>
            <w:vAlign w:val="center"/>
          </w:tcPr>
          <w:p w14:paraId="1DCF0766">
            <w:pPr>
              <w:widowControl/>
              <w:shd w:val="clear"/>
              <w:spacing w:line="360" w:lineRule="auto"/>
              <w:jc w:val="center"/>
              <w:rPr>
                <w:rFonts w:hint="default" w:ascii="仿宋" w:hAnsi="仿宋" w:eastAsia="仿宋" w:cs="仿宋_GB2312"/>
                <w:b w:val="0"/>
                <w:bCs w:val="0"/>
                <w:color w:val="auto"/>
                <w:sz w:val="24"/>
                <w:highlight w:val="none"/>
                <w:lang w:val="en-US" w:eastAsia="zh-CN"/>
              </w:rPr>
            </w:pPr>
            <w:r>
              <w:rPr>
                <w:rFonts w:hint="eastAsia" w:ascii="仿宋" w:hAnsi="仿宋" w:eastAsia="仿宋" w:cs="仿宋_GB2312"/>
                <w:b w:val="0"/>
                <w:bCs w:val="0"/>
                <w:color w:val="auto"/>
                <w:sz w:val="24"/>
                <w:highlight w:val="none"/>
                <w:lang w:val="en-US" w:eastAsia="zh-CN"/>
              </w:rPr>
              <w:t>主观分</w:t>
            </w:r>
          </w:p>
        </w:tc>
      </w:tr>
      <w:tr w14:paraId="0548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5" w:type="dxa"/>
            <w:vMerge w:val="continue"/>
            <w:tcBorders>
              <w:tl2br w:val="nil"/>
              <w:tr2bl w:val="nil"/>
            </w:tcBorders>
            <w:shd w:val="clear" w:color="auto" w:fill="auto"/>
            <w:vAlign w:val="center"/>
          </w:tcPr>
          <w:p w14:paraId="32DD14A1">
            <w:pPr>
              <w:widowControl/>
              <w:shd w:val="clear"/>
              <w:spacing w:line="360" w:lineRule="auto"/>
              <w:jc w:val="center"/>
              <w:rPr>
                <w:rFonts w:hint="eastAsia" w:ascii="仿宋" w:hAnsi="仿宋" w:eastAsia="仿宋" w:cs="仿宋_GB2312"/>
                <w:color w:val="auto"/>
                <w:sz w:val="24"/>
                <w:highlight w:val="none"/>
                <w:lang w:val="en-US" w:eastAsia="zh-CN"/>
              </w:rPr>
            </w:pPr>
          </w:p>
        </w:tc>
        <w:tc>
          <w:tcPr>
            <w:tcW w:w="745" w:type="dxa"/>
            <w:tcBorders>
              <w:tl2br w:val="nil"/>
              <w:tr2bl w:val="nil"/>
            </w:tcBorders>
            <w:shd w:val="clear" w:color="auto" w:fill="auto"/>
            <w:vAlign w:val="center"/>
          </w:tcPr>
          <w:p w14:paraId="68BF4D03">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
                <w:color w:val="auto"/>
                <w:sz w:val="24"/>
                <w:lang w:val="en-US" w:eastAsia="zh-CN"/>
              </w:rPr>
              <w:t>6</w:t>
            </w:r>
          </w:p>
        </w:tc>
        <w:tc>
          <w:tcPr>
            <w:tcW w:w="4797" w:type="dxa"/>
            <w:gridSpan w:val="2"/>
            <w:tcBorders>
              <w:tl2br w:val="nil"/>
              <w:tr2bl w:val="nil"/>
            </w:tcBorders>
            <w:shd w:val="clear" w:color="auto" w:fill="auto"/>
            <w:vAlign w:val="center"/>
          </w:tcPr>
          <w:p w14:paraId="6B763F14">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根据人员配置方案的合理性、科学性以及人员调度的便捷性、综合素质、技术能力、专业公布、实施经验等情况综合打分。</w:t>
            </w:r>
          </w:p>
          <w:p w14:paraId="13F2BFAC">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配置合理且针对性强的得3分；配置较合理且针对性较强的得2分；配置一般且针对性一般的得1分；配置较差且针对性较差的不得分。</w:t>
            </w:r>
          </w:p>
        </w:tc>
        <w:tc>
          <w:tcPr>
            <w:tcW w:w="937" w:type="dxa"/>
            <w:tcBorders>
              <w:tl2br w:val="nil"/>
              <w:tr2bl w:val="nil"/>
            </w:tcBorders>
            <w:shd w:val="clear" w:color="auto" w:fill="auto"/>
            <w:vAlign w:val="center"/>
          </w:tcPr>
          <w:p w14:paraId="2773C0EC">
            <w:pPr>
              <w:widowControl/>
              <w:shd w:val="clear"/>
              <w:spacing w:line="360" w:lineRule="auto"/>
              <w:jc w:val="center"/>
              <w:rPr>
                <w:rFonts w:hint="default" w:ascii="仿宋" w:hAnsi="仿宋" w:eastAsia="仿宋" w:cs="仿宋_GB2312"/>
                <w:b w:val="0"/>
                <w:bCs w:val="0"/>
                <w:color w:val="auto"/>
                <w:sz w:val="24"/>
                <w:highlight w:val="none"/>
                <w:lang w:val="en-US" w:eastAsia="zh-CN"/>
              </w:rPr>
            </w:pPr>
            <w:r>
              <w:rPr>
                <w:rFonts w:hint="eastAsia" w:ascii="仿宋" w:hAnsi="仿宋" w:eastAsia="仿宋" w:cs="仿宋_GB2312"/>
                <w:b w:val="0"/>
                <w:bCs w:val="0"/>
                <w:color w:val="auto"/>
                <w:sz w:val="24"/>
                <w:highlight w:val="none"/>
                <w:lang w:val="en-US" w:eastAsia="zh-CN"/>
              </w:rPr>
              <w:t>3</w:t>
            </w:r>
          </w:p>
        </w:tc>
        <w:tc>
          <w:tcPr>
            <w:tcW w:w="1175" w:type="dxa"/>
            <w:tcBorders>
              <w:tl2br w:val="nil"/>
              <w:tr2bl w:val="nil"/>
            </w:tcBorders>
            <w:shd w:val="clear" w:color="auto" w:fill="auto"/>
            <w:vAlign w:val="center"/>
          </w:tcPr>
          <w:p w14:paraId="3C3CED1C">
            <w:pPr>
              <w:widowControl/>
              <w:shd w:val="clear"/>
              <w:spacing w:line="360" w:lineRule="auto"/>
              <w:jc w:val="center"/>
              <w:rPr>
                <w:rFonts w:hint="default" w:ascii="仿宋" w:hAnsi="仿宋" w:eastAsia="仿宋" w:cs="仿宋_GB2312"/>
                <w:b w:val="0"/>
                <w:bCs w:val="0"/>
                <w:color w:val="auto"/>
                <w:sz w:val="24"/>
                <w:highlight w:val="none"/>
                <w:lang w:val="en-US" w:eastAsia="zh-CN"/>
              </w:rPr>
            </w:pPr>
            <w:r>
              <w:rPr>
                <w:rFonts w:hint="eastAsia" w:ascii="仿宋" w:hAnsi="仿宋" w:eastAsia="仿宋" w:cs="仿宋_GB2312"/>
                <w:b w:val="0"/>
                <w:bCs w:val="0"/>
                <w:color w:val="auto"/>
                <w:sz w:val="24"/>
                <w:highlight w:val="none"/>
                <w:lang w:val="en-US" w:eastAsia="zh-CN"/>
              </w:rPr>
              <w:t>主观分</w:t>
            </w:r>
          </w:p>
        </w:tc>
      </w:tr>
      <w:tr w14:paraId="6E74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45" w:type="dxa"/>
            <w:vMerge w:val="continue"/>
            <w:tcBorders>
              <w:tl2br w:val="nil"/>
              <w:tr2bl w:val="nil"/>
            </w:tcBorders>
            <w:shd w:val="clear" w:color="auto" w:fill="auto"/>
            <w:vAlign w:val="center"/>
          </w:tcPr>
          <w:p w14:paraId="43691D5D">
            <w:pPr>
              <w:widowControl/>
              <w:shd w:val="clear"/>
              <w:spacing w:line="360" w:lineRule="auto"/>
              <w:jc w:val="center"/>
              <w:rPr>
                <w:rFonts w:hint="eastAsia" w:ascii="仿宋" w:hAnsi="仿宋" w:eastAsia="仿宋" w:cs="仿宋_GB2312"/>
                <w:color w:val="auto"/>
                <w:sz w:val="24"/>
                <w:highlight w:val="none"/>
                <w:lang w:val="en-US" w:eastAsia="zh-CN"/>
              </w:rPr>
            </w:pPr>
          </w:p>
        </w:tc>
        <w:tc>
          <w:tcPr>
            <w:tcW w:w="745" w:type="dxa"/>
            <w:tcBorders>
              <w:tl2br w:val="nil"/>
              <w:tr2bl w:val="nil"/>
            </w:tcBorders>
            <w:shd w:val="clear" w:color="auto" w:fill="auto"/>
            <w:vAlign w:val="center"/>
          </w:tcPr>
          <w:p w14:paraId="5725A378">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7</w:t>
            </w:r>
          </w:p>
        </w:tc>
        <w:tc>
          <w:tcPr>
            <w:tcW w:w="808" w:type="dxa"/>
            <w:vMerge w:val="restart"/>
            <w:tcBorders>
              <w:tl2br w:val="nil"/>
              <w:tr2bl w:val="nil"/>
            </w:tcBorders>
            <w:shd w:val="clear" w:color="auto" w:fill="auto"/>
            <w:vAlign w:val="center"/>
          </w:tcPr>
          <w:p w14:paraId="29BD2755">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
                <w:color w:val="auto"/>
                <w:sz w:val="24"/>
                <w:highlight w:val="none"/>
              </w:rPr>
              <w:t>售后服务方案</w:t>
            </w:r>
          </w:p>
          <w:p w14:paraId="3284C8E8">
            <w:pPr>
              <w:widowControl/>
              <w:shd w:val="clear"/>
              <w:spacing w:line="360" w:lineRule="auto"/>
              <w:jc w:val="center"/>
              <w:rPr>
                <w:rFonts w:hint="eastAsia" w:ascii="仿宋" w:hAnsi="仿宋" w:eastAsia="仿宋" w:cs="仿宋_GB2312"/>
                <w:color w:val="auto"/>
                <w:sz w:val="24"/>
                <w:highlight w:val="none"/>
                <w:lang w:eastAsia="zh-CN"/>
              </w:rPr>
            </w:pPr>
          </w:p>
        </w:tc>
        <w:tc>
          <w:tcPr>
            <w:tcW w:w="3989" w:type="dxa"/>
            <w:tcBorders>
              <w:tl2br w:val="nil"/>
              <w:tr2bl w:val="nil"/>
            </w:tcBorders>
            <w:shd w:val="clear" w:color="auto" w:fill="auto"/>
            <w:vAlign w:val="center"/>
          </w:tcPr>
          <w:p w14:paraId="286C0058">
            <w:pPr>
              <w:widowControl/>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售后服务方案，包括但不限于服务响应时间</w:t>
            </w:r>
            <w:r>
              <w:rPr>
                <w:rFonts w:hint="eastAsia" w:ascii="仿宋" w:hAnsi="仿宋" w:eastAsia="仿宋" w:cs="仿宋"/>
                <w:color w:val="auto"/>
                <w:sz w:val="24"/>
                <w:highlight w:val="none"/>
                <w:lang w:eastAsia="zh-CN"/>
              </w:rPr>
              <w:t>的及时性</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备品备件供应便捷性、</w:t>
            </w:r>
            <w:r>
              <w:rPr>
                <w:rFonts w:hint="eastAsia" w:ascii="仿宋" w:hAnsi="仿宋" w:eastAsia="仿宋" w:cs="仿宋"/>
                <w:color w:val="auto"/>
                <w:sz w:val="24"/>
                <w:highlight w:val="none"/>
              </w:rPr>
              <w:t>故障解决方案</w:t>
            </w:r>
            <w:r>
              <w:rPr>
                <w:rFonts w:hint="eastAsia" w:ascii="仿宋" w:hAnsi="仿宋" w:eastAsia="仿宋" w:cs="仿宋"/>
                <w:color w:val="auto"/>
                <w:sz w:val="24"/>
                <w:highlight w:val="none"/>
                <w:lang w:val="en-US" w:eastAsia="zh-CN"/>
              </w:rPr>
              <w:t>等</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方案完整、内容齐全、各项实施内容切实可行的得4分；</w:t>
            </w:r>
            <w:r>
              <w:rPr>
                <w:rFonts w:hint="eastAsia" w:ascii="仿宋" w:hAnsi="仿宋" w:eastAsia="仿宋" w:cs="仿宋"/>
                <w:color w:val="auto"/>
                <w:sz w:val="24"/>
                <w:szCs w:val="24"/>
                <w:highlight w:val="none"/>
                <w:u w:val="none"/>
                <w:lang w:val="en-US" w:eastAsia="zh-CN"/>
              </w:rPr>
              <w:t>方案基本完整、可操作性较强得3分；方案内容较完整、实施内容针对性弱的得2分；内</w:t>
            </w:r>
            <w:r>
              <w:rPr>
                <w:rFonts w:hint="eastAsia" w:ascii="仿宋" w:hAnsi="仿宋" w:eastAsia="仿宋" w:cs="仿宋"/>
                <w:color w:val="auto"/>
                <w:sz w:val="24"/>
                <w:szCs w:val="24"/>
                <w:highlight w:val="none"/>
                <w:lang w:val="en-US" w:eastAsia="zh-CN"/>
              </w:rPr>
              <w:t>容不够完整，实施内容混乱，对项目目标实现较差的得1分；方案内容缺失严重或考虑严重不足的不得分</w:t>
            </w:r>
            <w:r>
              <w:rPr>
                <w:rFonts w:hint="eastAsia" w:ascii="仿宋" w:hAnsi="仿宋" w:eastAsia="仿宋" w:cs="仿宋"/>
                <w:color w:val="auto"/>
                <w:sz w:val="24"/>
                <w:highlight w:val="none"/>
                <w:lang w:eastAsia="zh-CN"/>
              </w:rPr>
              <w:t>。</w:t>
            </w:r>
          </w:p>
        </w:tc>
        <w:tc>
          <w:tcPr>
            <w:tcW w:w="937" w:type="dxa"/>
            <w:tcBorders>
              <w:tl2br w:val="nil"/>
              <w:tr2bl w:val="nil"/>
            </w:tcBorders>
            <w:shd w:val="clear" w:color="auto" w:fill="auto"/>
            <w:vAlign w:val="center"/>
          </w:tcPr>
          <w:p w14:paraId="29B65896">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4</w:t>
            </w:r>
          </w:p>
        </w:tc>
        <w:tc>
          <w:tcPr>
            <w:tcW w:w="1175" w:type="dxa"/>
            <w:tcBorders>
              <w:tl2br w:val="nil"/>
              <w:tr2bl w:val="nil"/>
            </w:tcBorders>
            <w:shd w:val="clear" w:color="auto" w:fill="auto"/>
            <w:vAlign w:val="center"/>
          </w:tcPr>
          <w:p w14:paraId="51BB6033">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14:paraId="0500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745" w:type="dxa"/>
            <w:vMerge w:val="continue"/>
            <w:tcBorders>
              <w:tl2br w:val="nil"/>
              <w:tr2bl w:val="nil"/>
            </w:tcBorders>
            <w:vAlign w:val="center"/>
          </w:tcPr>
          <w:p w14:paraId="32C2BAE8">
            <w:pPr>
              <w:widowControl/>
              <w:shd w:val="clear"/>
              <w:spacing w:line="360" w:lineRule="auto"/>
              <w:ind w:firstLine="0" w:firstLineChars="0"/>
              <w:jc w:val="center"/>
              <w:rPr>
                <w:rFonts w:hint="eastAsia" w:ascii="仿宋" w:hAnsi="仿宋" w:eastAsia="仿宋" w:cs="仿宋_GB2312"/>
                <w:color w:val="auto"/>
                <w:sz w:val="24"/>
                <w:highlight w:val="none"/>
                <w:lang w:val="en-US" w:eastAsia="zh-CN"/>
              </w:rPr>
            </w:pPr>
          </w:p>
        </w:tc>
        <w:tc>
          <w:tcPr>
            <w:tcW w:w="745" w:type="dxa"/>
            <w:tcBorders>
              <w:tl2br w:val="nil"/>
              <w:tr2bl w:val="nil"/>
            </w:tcBorders>
            <w:vAlign w:val="center"/>
          </w:tcPr>
          <w:p w14:paraId="13891CF7">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w:t>
            </w:r>
          </w:p>
        </w:tc>
        <w:tc>
          <w:tcPr>
            <w:tcW w:w="808" w:type="dxa"/>
            <w:vMerge w:val="continue"/>
            <w:tcBorders>
              <w:tl2br w:val="nil"/>
              <w:tr2bl w:val="nil"/>
            </w:tcBorders>
            <w:shd w:val="clear" w:color="auto" w:fill="auto"/>
            <w:vAlign w:val="center"/>
          </w:tcPr>
          <w:p w14:paraId="7ECAD5BB">
            <w:pPr>
              <w:widowControl/>
              <w:shd w:val="clear"/>
              <w:spacing w:line="360" w:lineRule="auto"/>
              <w:jc w:val="center"/>
              <w:rPr>
                <w:rFonts w:hint="eastAsia" w:ascii="仿宋" w:hAnsi="仿宋" w:eastAsia="仿宋" w:cs="仿宋_GB2312"/>
                <w:color w:val="auto"/>
                <w:sz w:val="24"/>
                <w:highlight w:val="none"/>
                <w:lang w:eastAsia="zh-CN"/>
              </w:rPr>
            </w:pPr>
          </w:p>
        </w:tc>
        <w:tc>
          <w:tcPr>
            <w:tcW w:w="3989" w:type="dxa"/>
            <w:tcBorders>
              <w:tl2br w:val="nil"/>
              <w:tr2bl w:val="nil"/>
            </w:tcBorders>
            <w:shd w:val="clear" w:color="auto" w:fill="auto"/>
            <w:vAlign w:val="center"/>
          </w:tcPr>
          <w:p w14:paraId="1D384CC8">
            <w:pPr>
              <w:widowControl/>
              <w:shd w:val="clea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售后服务</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rPr>
              <w:t>情况，</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rPr>
              <w:t>能充分满足售后服务要求得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rPr>
              <w:t>基本能满足售后服务要求得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lang w:val="en-US" w:eastAsia="zh-CN"/>
              </w:rPr>
              <w:t>的完</w:t>
            </w:r>
            <w:r>
              <w:rPr>
                <w:rFonts w:hint="eastAsia" w:ascii="仿宋" w:hAnsi="仿宋" w:eastAsia="仿宋" w:cs="仿宋"/>
                <w:color w:val="auto"/>
                <w:kern w:val="2"/>
                <w:sz w:val="24"/>
                <w:szCs w:val="24"/>
                <w:highlight w:val="none"/>
              </w:rPr>
              <w:t>整性、可行性、项目</w:t>
            </w:r>
            <w:r>
              <w:rPr>
                <w:rFonts w:hint="eastAsia" w:ascii="仿宋" w:hAnsi="仿宋" w:eastAsia="仿宋" w:cs="仿宋"/>
                <w:color w:val="auto"/>
                <w:kern w:val="2"/>
                <w:sz w:val="24"/>
                <w:szCs w:val="24"/>
                <w:highlight w:val="none"/>
                <w:lang w:val="en-US" w:eastAsia="zh-CN"/>
              </w:rPr>
              <w:t>售后服务</w:t>
            </w:r>
            <w:r>
              <w:rPr>
                <w:rFonts w:hint="eastAsia" w:ascii="仿宋" w:hAnsi="仿宋" w:eastAsia="仿宋" w:cs="仿宋"/>
                <w:color w:val="auto"/>
                <w:kern w:val="2"/>
                <w:sz w:val="24"/>
                <w:szCs w:val="24"/>
                <w:highlight w:val="none"/>
              </w:rPr>
              <w:t>匹配性一般得</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rPr>
              <w:t>分</w:t>
            </w:r>
            <w:r>
              <w:rPr>
                <w:rFonts w:hint="eastAsia" w:ascii="仿宋" w:hAnsi="仿宋" w:eastAsia="仿宋" w:cs="仿宋"/>
                <w:color w:val="auto"/>
                <w:kern w:val="2"/>
                <w:sz w:val="24"/>
                <w:szCs w:val="24"/>
                <w:highlight w:val="none"/>
                <w:lang w:eastAsia="zh-CN"/>
              </w:rPr>
              <w:t>；项目售后服务匹配性差或不提及的不得分。</w:t>
            </w:r>
          </w:p>
        </w:tc>
        <w:tc>
          <w:tcPr>
            <w:tcW w:w="937" w:type="dxa"/>
            <w:tcBorders>
              <w:tl2br w:val="nil"/>
              <w:tr2bl w:val="nil"/>
            </w:tcBorders>
            <w:shd w:val="clear" w:color="auto" w:fill="auto"/>
            <w:vAlign w:val="center"/>
          </w:tcPr>
          <w:p w14:paraId="2C75C7BB">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3</w:t>
            </w:r>
          </w:p>
        </w:tc>
        <w:tc>
          <w:tcPr>
            <w:tcW w:w="1175" w:type="dxa"/>
            <w:tcBorders>
              <w:tl2br w:val="nil"/>
              <w:tr2bl w:val="nil"/>
            </w:tcBorders>
            <w:shd w:val="clear" w:color="auto" w:fill="auto"/>
            <w:vAlign w:val="center"/>
          </w:tcPr>
          <w:p w14:paraId="054AAD50">
            <w:pPr>
              <w:widowControl/>
              <w:shd w:val="clear"/>
              <w:spacing w:line="360" w:lineRule="auto"/>
              <w:jc w:val="center"/>
              <w:rPr>
                <w:rFonts w:ascii="仿宋" w:hAnsi="仿宋" w:eastAsia="仿宋" w:cs="仿宋_GB2312"/>
                <w:b w:val="0"/>
                <w:bCs w:val="0"/>
                <w:color w:val="auto"/>
                <w:sz w:val="24"/>
                <w:highlight w:val="none"/>
              </w:rPr>
            </w:pPr>
            <w:r>
              <w:rPr>
                <w:rFonts w:hint="eastAsia" w:ascii="仿宋" w:hAnsi="仿宋" w:eastAsia="仿宋" w:cs="仿宋_GB2312"/>
                <w:b w:val="0"/>
                <w:bCs w:val="0"/>
                <w:color w:val="auto"/>
                <w:sz w:val="24"/>
                <w:highlight w:val="none"/>
                <w:lang w:eastAsia="zh-CN"/>
              </w:rPr>
              <w:t>主</w:t>
            </w:r>
            <w:r>
              <w:rPr>
                <w:rFonts w:hint="eastAsia" w:ascii="仿宋" w:hAnsi="仿宋" w:eastAsia="仿宋" w:cs="仿宋_GB2312"/>
                <w:b w:val="0"/>
                <w:bCs w:val="0"/>
                <w:color w:val="auto"/>
                <w:sz w:val="24"/>
                <w:highlight w:val="none"/>
              </w:rPr>
              <w:t>观分</w:t>
            </w:r>
          </w:p>
        </w:tc>
      </w:tr>
      <w:tr w14:paraId="72F8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745" w:type="dxa"/>
            <w:vMerge w:val="continue"/>
            <w:tcBorders>
              <w:tl2br w:val="nil"/>
              <w:tr2bl w:val="nil"/>
            </w:tcBorders>
            <w:vAlign w:val="center"/>
          </w:tcPr>
          <w:p w14:paraId="6D2F6667">
            <w:pPr>
              <w:widowControl/>
              <w:shd w:val="clear"/>
              <w:spacing w:line="360" w:lineRule="auto"/>
              <w:ind w:firstLine="0" w:firstLineChars="0"/>
              <w:jc w:val="center"/>
              <w:rPr>
                <w:rFonts w:hint="eastAsia" w:ascii="仿宋" w:hAnsi="仿宋" w:eastAsia="仿宋" w:cs="仿宋_GB2312"/>
                <w:color w:val="auto"/>
                <w:sz w:val="24"/>
                <w:highlight w:val="none"/>
                <w:lang w:val="en-US" w:eastAsia="zh-CN"/>
              </w:rPr>
            </w:pPr>
          </w:p>
        </w:tc>
        <w:tc>
          <w:tcPr>
            <w:tcW w:w="745" w:type="dxa"/>
            <w:tcBorders>
              <w:tl2br w:val="nil"/>
              <w:tr2bl w:val="nil"/>
            </w:tcBorders>
            <w:vAlign w:val="center"/>
          </w:tcPr>
          <w:p w14:paraId="14D12B04">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9</w:t>
            </w:r>
          </w:p>
        </w:tc>
        <w:tc>
          <w:tcPr>
            <w:tcW w:w="808" w:type="dxa"/>
            <w:vMerge w:val="continue"/>
            <w:tcBorders>
              <w:tl2br w:val="nil"/>
              <w:tr2bl w:val="nil"/>
            </w:tcBorders>
            <w:shd w:val="clear" w:color="auto" w:fill="auto"/>
            <w:vAlign w:val="center"/>
          </w:tcPr>
          <w:p w14:paraId="53CDD0CF">
            <w:pPr>
              <w:widowControl/>
              <w:shd w:val="clear"/>
              <w:spacing w:line="360" w:lineRule="auto"/>
              <w:jc w:val="center"/>
              <w:rPr>
                <w:rFonts w:hint="eastAsia" w:ascii="仿宋" w:hAnsi="仿宋" w:eastAsia="仿宋" w:cs="仿宋_GB2312"/>
                <w:color w:val="auto"/>
                <w:sz w:val="24"/>
                <w:highlight w:val="none"/>
                <w:lang w:eastAsia="zh-CN"/>
              </w:rPr>
            </w:pPr>
          </w:p>
        </w:tc>
        <w:tc>
          <w:tcPr>
            <w:tcW w:w="3989" w:type="dxa"/>
            <w:tcBorders>
              <w:tl2br w:val="nil"/>
              <w:tr2bl w:val="nil"/>
            </w:tcBorders>
            <w:shd w:val="clear" w:color="auto" w:fill="auto"/>
            <w:vAlign w:val="center"/>
          </w:tcPr>
          <w:p w14:paraId="35708871">
            <w:pPr>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售后服务机构技术服务人员情况，提供姓名、工作经验、资质证书情况，人员配备充足售后服务经验丰富得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rPr>
              <w:t>人员配备和售后服务一般得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rPr>
              <w:t>人员配备不足售后服务经验差</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rPr>
              <w:t>无人员配备得0分。</w:t>
            </w:r>
          </w:p>
        </w:tc>
        <w:tc>
          <w:tcPr>
            <w:tcW w:w="937" w:type="dxa"/>
            <w:tcBorders>
              <w:tl2br w:val="nil"/>
              <w:tr2bl w:val="nil"/>
            </w:tcBorders>
            <w:shd w:val="clear" w:color="auto" w:fill="auto"/>
            <w:vAlign w:val="center"/>
          </w:tcPr>
          <w:p w14:paraId="3FD56762">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3</w:t>
            </w:r>
          </w:p>
        </w:tc>
        <w:tc>
          <w:tcPr>
            <w:tcW w:w="1175" w:type="dxa"/>
            <w:tcBorders>
              <w:tl2br w:val="nil"/>
              <w:tr2bl w:val="nil"/>
            </w:tcBorders>
            <w:shd w:val="clear" w:color="auto" w:fill="auto"/>
            <w:vAlign w:val="center"/>
          </w:tcPr>
          <w:p w14:paraId="5FD4E4C5">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14:paraId="7E1A7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45" w:type="dxa"/>
            <w:vMerge w:val="continue"/>
            <w:tcBorders>
              <w:tl2br w:val="nil"/>
              <w:tr2bl w:val="nil"/>
            </w:tcBorders>
            <w:vAlign w:val="center"/>
          </w:tcPr>
          <w:p w14:paraId="2EB7560D">
            <w:pPr>
              <w:widowControl/>
              <w:shd w:val="clear"/>
              <w:spacing w:line="360" w:lineRule="auto"/>
              <w:ind w:firstLine="480" w:firstLineChars="200"/>
              <w:jc w:val="center"/>
              <w:rPr>
                <w:rFonts w:ascii="仿宋" w:hAnsi="仿宋" w:eastAsia="仿宋" w:cs="仿宋_GB2312"/>
                <w:color w:val="auto"/>
                <w:sz w:val="24"/>
                <w:highlight w:val="none"/>
              </w:rPr>
            </w:pPr>
          </w:p>
        </w:tc>
        <w:tc>
          <w:tcPr>
            <w:tcW w:w="745" w:type="dxa"/>
            <w:tcBorders>
              <w:tl2br w:val="nil"/>
              <w:tr2bl w:val="nil"/>
            </w:tcBorders>
            <w:vAlign w:val="center"/>
          </w:tcPr>
          <w:p w14:paraId="0A4C14B1">
            <w:pPr>
              <w:widowControl/>
              <w:shd w:val="clear"/>
              <w:spacing w:line="360" w:lineRule="auto"/>
              <w:ind w:firstLine="0" w:firstLine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10</w:t>
            </w:r>
          </w:p>
        </w:tc>
        <w:tc>
          <w:tcPr>
            <w:tcW w:w="4797" w:type="dxa"/>
            <w:gridSpan w:val="2"/>
            <w:tcBorders>
              <w:tl2br w:val="nil"/>
              <w:tr2bl w:val="nil"/>
            </w:tcBorders>
            <w:shd w:val="clear" w:color="auto" w:fill="auto"/>
            <w:vAlign w:val="center"/>
          </w:tcPr>
          <w:p w14:paraId="0B00776F">
            <w:pPr>
              <w:widowControl/>
              <w:shd w:val="clear"/>
              <w:spacing w:line="360" w:lineRule="auto"/>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sz w:val="24"/>
                <w:highlight w:val="none"/>
              </w:rPr>
              <w:t>培训方案，包括但不限于培训对象、课时安排、师资力量安排等，方案考虑充分安排有效得2分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rPr>
              <w:t>方案合理安排一般得1分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lang w:eastAsia="zh-CN"/>
              </w:rPr>
              <w:t>方案安排欠完整得</w:t>
            </w:r>
            <w:r>
              <w:rPr>
                <w:rFonts w:hint="eastAsia" w:ascii="仿宋" w:hAnsi="仿宋" w:eastAsia="仿宋" w:cs="仿宋"/>
                <w:color w:val="auto"/>
                <w:sz w:val="24"/>
                <w:highlight w:val="none"/>
                <w:lang w:val="en-US" w:eastAsia="zh-CN"/>
              </w:rPr>
              <w:t>0.5分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rPr>
              <w:t>无方案得0分</w:t>
            </w:r>
            <w:r>
              <w:rPr>
                <w:rFonts w:hint="eastAsia" w:ascii="仿宋" w:hAnsi="仿宋" w:eastAsia="仿宋" w:cs="仿宋"/>
                <w:color w:val="auto"/>
                <w:sz w:val="24"/>
                <w:highlight w:val="none"/>
                <w:lang w:eastAsia="zh-CN"/>
              </w:rPr>
              <w:t>。</w:t>
            </w:r>
          </w:p>
        </w:tc>
        <w:tc>
          <w:tcPr>
            <w:tcW w:w="937" w:type="dxa"/>
            <w:tcBorders>
              <w:tl2br w:val="nil"/>
              <w:tr2bl w:val="nil"/>
            </w:tcBorders>
            <w:shd w:val="clear" w:color="auto" w:fill="auto"/>
            <w:vAlign w:val="center"/>
          </w:tcPr>
          <w:p w14:paraId="5056DF85">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color w:val="auto"/>
                <w:sz w:val="24"/>
                <w:highlight w:val="none"/>
              </w:rPr>
              <w:t>2</w:t>
            </w:r>
          </w:p>
        </w:tc>
        <w:tc>
          <w:tcPr>
            <w:tcW w:w="1175" w:type="dxa"/>
            <w:tcBorders>
              <w:tl2br w:val="nil"/>
              <w:tr2bl w:val="nil"/>
            </w:tcBorders>
            <w:shd w:val="clear" w:color="auto" w:fill="auto"/>
            <w:vAlign w:val="center"/>
          </w:tcPr>
          <w:p w14:paraId="4622F9A8">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eastAsia="zh-CN"/>
              </w:rPr>
              <w:t>主观分</w:t>
            </w:r>
          </w:p>
        </w:tc>
      </w:tr>
      <w:tr w14:paraId="6894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45" w:type="dxa"/>
            <w:vMerge w:val="continue"/>
            <w:tcBorders>
              <w:tl2br w:val="nil"/>
              <w:tr2bl w:val="nil"/>
            </w:tcBorders>
            <w:vAlign w:val="center"/>
          </w:tcPr>
          <w:p w14:paraId="4D2CEDAA">
            <w:pPr>
              <w:widowControl/>
              <w:shd w:val="clear"/>
              <w:spacing w:line="360" w:lineRule="auto"/>
              <w:ind w:firstLine="480" w:firstLineChars="200"/>
              <w:jc w:val="center"/>
              <w:rPr>
                <w:rFonts w:ascii="仿宋" w:hAnsi="仿宋" w:eastAsia="仿宋" w:cs="仿宋_GB2312"/>
                <w:color w:val="auto"/>
                <w:sz w:val="24"/>
                <w:highlight w:val="none"/>
              </w:rPr>
            </w:pPr>
          </w:p>
        </w:tc>
        <w:tc>
          <w:tcPr>
            <w:tcW w:w="745" w:type="dxa"/>
            <w:tcBorders>
              <w:tl2br w:val="nil"/>
              <w:tr2bl w:val="nil"/>
            </w:tcBorders>
            <w:vAlign w:val="center"/>
          </w:tcPr>
          <w:p w14:paraId="3E11B0CB">
            <w:pPr>
              <w:widowControl/>
              <w:shd w:val="clear"/>
              <w:spacing w:line="360" w:lineRule="auto"/>
              <w:ind w:firstLine="0" w:firstLineChars="0"/>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11</w:t>
            </w:r>
          </w:p>
        </w:tc>
        <w:tc>
          <w:tcPr>
            <w:tcW w:w="4797" w:type="dxa"/>
            <w:gridSpan w:val="2"/>
            <w:tcBorders>
              <w:tl2br w:val="nil"/>
              <w:tr2bl w:val="nil"/>
            </w:tcBorders>
            <w:shd w:val="clear" w:color="auto" w:fill="auto"/>
            <w:vAlign w:val="center"/>
          </w:tcPr>
          <w:p w14:paraId="40B1A26A">
            <w:pPr>
              <w:widowControl/>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安装调试方案，包括对场地环境的了解、人员的安排、时间进度的规划，对设备的调试进度安排，调试的步骤、措施，问题的解决方案等，方案考虑充分措施有效得2分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rPr>
              <w:t>方案合理措施一般得1分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rPr>
              <w:t>方案有缺陷的得0.5分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rPr>
              <w:t>无方案得0分</w:t>
            </w:r>
            <w:r>
              <w:rPr>
                <w:rFonts w:hint="eastAsia" w:ascii="仿宋" w:hAnsi="仿宋" w:eastAsia="仿宋" w:cs="仿宋"/>
                <w:color w:val="auto"/>
                <w:sz w:val="24"/>
                <w:highlight w:val="none"/>
                <w:lang w:eastAsia="zh-CN"/>
              </w:rPr>
              <w:t>。</w:t>
            </w:r>
          </w:p>
        </w:tc>
        <w:tc>
          <w:tcPr>
            <w:tcW w:w="937" w:type="dxa"/>
            <w:tcBorders>
              <w:tl2br w:val="nil"/>
              <w:tr2bl w:val="nil"/>
            </w:tcBorders>
            <w:shd w:val="clear" w:color="auto" w:fill="auto"/>
            <w:vAlign w:val="center"/>
          </w:tcPr>
          <w:p w14:paraId="6774E1C3">
            <w:pPr>
              <w:widowControl/>
              <w:shd w:val="clea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w:t>
            </w:r>
          </w:p>
        </w:tc>
        <w:tc>
          <w:tcPr>
            <w:tcW w:w="1175" w:type="dxa"/>
            <w:tcBorders>
              <w:tl2br w:val="nil"/>
              <w:tr2bl w:val="nil"/>
            </w:tcBorders>
            <w:shd w:val="clear" w:color="auto" w:fill="auto"/>
            <w:vAlign w:val="center"/>
          </w:tcPr>
          <w:p w14:paraId="414D0797">
            <w:pPr>
              <w:widowControl/>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主观分</w:t>
            </w:r>
          </w:p>
        </w:tc>
      </w:tr>
    </w:tbl>
    <w:p w14:paraId="00E88ACF">
      <w:pPr>
        <w:spacing w:line="360" w:lineRule="auto"/>
        <w:rPr>
          <w:rFonts w:hint="eastAsia" w:ascii="仿宋" w:hAnsi="仿宋" w:eastAsia="仿宋" w:cs="仿宋"/>
          <w:b w:val="0"/>
          <w:bCs w:val="0"/>
          <w:color w:val="auto"/>
          <w:sz w:val="20"/>
          <w:szCs w:val="20"/>
          <w:shd w:val="clear" w:color="auto" w:fill="FFFFFF"/>
        </w:rPr>
      </w:pPr>
    </w:p>
    <w:p w14:paraId="201C6CEF">
      <w:pPr>
        <w:spacing w:line="360" w:lineRule="auto"/>
        <w:rPr>
          <w:rFonts w:hint="eastAsia" w:ascii="仿宋" w:hAnsi="仿宋" w:eastAsia="仿宋" w:cs="仿宋"/>
          <w:b/>
          <w:color w:val="auto"/>
          <w:sz w:val="24"/>
        </w:rPr>
      </w:pPr>
      <w:r>
        <w:rPr>
          <w:rFonts w:hint="eastAsia" w:ascii="仿宋" w:hAnsi="仿宋" w:eastAsia="仿宋" w:cs="仿宋"/>
          <w:b/>
          <w:color w:val="auto"/>
          <w:sz w:val="24"/>
        </w:rPr>
        <w:t>备注：</w:t>
      </w:r>
    </w:p>
    <w:p w14:paraId="22236FA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、评分条款中涉及的业绩、荣誉、人员、社保等分公司均有效。</w:t>
      </w:r>
    </w:p>
    <w:p w14:paraId="4FBACE6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7FE6C19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、供应商编制响应文件（商务技术文件部分）时，建议按此目录（序号和内容）提供评标标准相应的商务技术资料。 </w:t>
      </w:r>
    </w:p>
    <w:p w14:paraId="786060D0">
      <w:pPr>
        <w:widowControl/>
        <w:spacing w:line="360" w:lineRule="auto"/>
        <w:rPr>
          <w:rFonts w:hint="eastAsia" w:ascii="仿宋" w:hAnsi="仿宋" w:eastAsia="仿宋" w:cs="仿宋"/>
          <w:color w:val="auto"/>
          <w:sz w:val="24"/>
        </w:rPr>
      </w:pPr>
      <w:r>
        <w:rPr>
          <w:rFonts w:hint="eastAsia" w:ascii="仿宋" w:hAnsi="仿宋" w:eastAsia="仿宋" w:cs="仿宋"/>
          <w:color w:val="auto"/>
          <w:sz w:val="24"/>
        </w:rPr>
        <w:t>价格分（</w:t>
      </w:r>
      <w:r>
        <w:rPr>
          <w:rFonts w:hint="eastAsia" w:ascii="仿宋" w:hAnsi="仿宋" w:eastAsia="仿宋" w:cs="仿宋"/>
          <w:color w:val="auto"/>
          <w:sz w:val="24"/>
          <w:lang w:val="en-US" w:eastAsia="zh-CN"/>
        </w:rPr>
        <w:t>30</w:t>
      </w:r>
      <w:r>
        <w:rPr>
          <w:rFonts w:hint="eastAsia" w:ascii="仿宋" w:hAnsi="仿宋" w:eastAsia="仿宋" w:cs="仿宋"/>
          <w:color w:val="auto"/>
          <w:sz w:val="24"/>
        </w:rPr>
        <w:t>分）</w:t>
      </w:r>
    </w:p>
    <w:tbl>
      <w:tblPr>
        <w:tblStyle w:val="64"/>
        <w:tblpPr w:leftFromText="180" w:rightFromText="180" w:vertAnchor="text" w:horzAnchor="page" w:tblpX="1643" w:tblpY="452"/>
        <w:tblOverlap w:val="never"/>
        <w:tblW w:w="8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7B7C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10" w:type="dxa"/>
            <w:tcBorders>
              <w:top w:val="single" w:color="auto" w:sz="4" w:space="0"/>
              <w:left w:val="single" w:color="auto" w:sz="4" w:space="0"/>
              <w:bottom w:val="single" w:color="auto" w:sz="4" w:space="0"/>
              <w:right w:val="single" w:color="auto" w:sz="4" w:space="0"/>
            </w:tcBorders>
            <w:noWrap/>
            <w:vAlign w:val="center"/>
          </w:tcPr>
          <w:p w14:paraId="233593B5">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7A909443">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计算方法</w:t>
            </w:r>
          </w:p>
        </w:tc>
      </w:tr>
      <w:tr w14:paraId="4152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210" w:type="dxa"/>
            <w:tcBorders>
              <w:top w:val="single" w:color="auto" w:sz="4" w:space="0"/>
              <w:left w:val="single" w:color="auto" w:sz="4" w:space="0"/>
              <w:bottom w:val="single" w:color="auto" w:sz="4" w:space="0"/>
              <w:right w:val="single" w:color="auto" w:sz="4" w:space="0"/>
            </w:tcBorders>
            <w:noWrap/>
            <w:vAlign w:val="center"/>
          </w:tcPr>
          <w:p w14:paraId="4649DD8A">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w:t>
            </w:r>
          </w:p>
        </w:tc>
        <w:tc>
          <w:tcPr>
            <w:tcW w:w="6599" w:type="dxa"/>
            <w:tcBorders>
              <w:top w:val="single" w:color="auto" w:sz="4" w:space="0"/>
              <w:left w:val="single" w:color="auto" w:sz="4" w:space="0"/>
              <w:bottom w:val="single" w:color="auto" w:sz="4" w:space="0"/>
              <w:right w:val="single" w:color="auto" w:sz="4" w:space="0"/>
            </w:tcBorders>
            <w:noWrap/>
            <w:vAlign w:val="center"/>
          </w:tcPr>
          <w:p w14:paraId="35B6675A">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14:paraId="6A5643D6">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投标报价得分=(评标基准价／投标报价)×价格权值（即</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 xml:space="preserve">%）×100 </w:t>
            </w:r>
          </w:p>
          <w:p w14:paraId="7B5184B5">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bl>
    <w:p w14:paraId="674EA5B8">
      <w:pPr>
        <w:widowControl/>
        <w:spacing w:line="360" w:lineRule="auto"/>
        <w:rPr>
          <w:rFonts w:hint="eastAsia" w:ascii="仿宋" w:hAnsi="仿宋" w:eastAsia="仿宋" w:cs="仿宋"/>
          <w:color w:val="auto"/>
          <w:sz w:val="24"/>
        </w:rPr>
      </w:pPr>
    </w:p>
    <w:p w14:paraId="38493FF8">
      <w:pPr>
        <w:pStyle w:val="51"/>
        <w:rPr>
          <w:rFonts w:hint="eastAsia" w:ascii="仿宋" w:hAnsi="仿宋" w:eastAsia="仿宋" w:cs="仿宋"/>
          <w:color w:val="auto"/>
        </w:rPr>
      </w:pPr>
    </w:p>
    <w:p w14:paraId="21B9D8FD">
      <w:pPr>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4D48671E">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综合评分法，是指响应文件满足交易文件全部实质性要求，且按照评审因素的量化指标评审得分最高的供应商为成交候选人的评标方法。</w:t>
      </w:r>
    </w:p>
    <w:p w14:paraId="705C674B">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34DEC9DD">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2.评标标准：</w:t>
      </w:r>
      <w:r>
        <w:rPr>
          <w:rFonts w:hint="eastAsia" w:ascii="仿宋" w:hAnsi="仿宋" w:eastAsia="仿宋" w:cs="仿宋"/>
          <w:color w:val="auto"/>
          <w:kern w:val="0"/>
          <w:sz w:val="24"/>
        </w:rPr>
        <w:t>见评标办法前附表。</w:t>
      </w:r>
    </w:p>
    <w:p w14:paraId="714AF18F">
      <w:pPr>
        <w:spacing w:line="36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14:paraId="55AF3108">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评标委员会应当对符合资格的供应商的响应文件进行符合性审查，以确定其是否满足交易文件的实质性要求。不满足交易文件的实质性要求的，交易无效。</w:t>
      </w:r>
    </w:p>
    <w:p w14:paraId="50AE0441">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评标委员会应当按照交易文件中规定的评标方法和标准，对符合性审查合格的响应文件进行商务和技术评估，综合比较与评价。</w:t>
      </w:r>
    </w:p>
    <w:p w14:paraId="7D4FD6A7">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评标委员会各成员应当独立对每个供应商的商务和技术文件进行评价，并汇总商务技术得分情况。</w:t>
      </w:r>
    </w:p>
    <w:p w14:paraId="7668D5BD">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14:paraId="619C5DA4">
      <w:pPr>
        <w:pStyle w:val="130"/>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3.4.1响应文件报价出现前后不一致的，按照下列规定修正：</w:t>
      </w:r>
    </w:p>
    <w:p w14:paraId="03EAEA1D">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3.4.1.1响应文件中交易一览表(报价表)内容与响应文件中相应内容不一致的，以交易一览表(报价表)为准;</w:t>
      </w:r>
    </w:p>
    <w:p w14:paraId="6902BF30">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22ADB73D">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3.4.1.3单价金额小数点或者百分比有明显错位的，以交易一览表的总价为准，并修改单价;</w:t>
      </w:r>
    </w:p>
    <w:p w14:paraId="6614DA78">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14:paraId="53B23207">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《政府采购货物和服务招标投标管理办法》第五十一条第二款的规定经供应商确认后产生约束力。</w:t>
      </w:r>
    </w:p>
    <w:p w14:paraId="5CF02943">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3.4.2响应文件出现不是唯一的、有选择性响应报价的，交易无效。</w:t>
      </w:r>
    </w:p>
    <w:p w14:paraId="767F8BEE">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3.4.3响应报价超过交易文件中规定的预算金额或者最高限价的，交易无效。</w:t>
      </w:r>
    </w:p>
    <w:p w14:paraId="2CFF459E">
      <w:pPr>
        <w:pStyle w:val="130"/>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响应处理。</w:t>
      </w:r>
    </w:p>
    <w:p w14:paraId="4CF1F883">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3B5F2322">
      <w:pPr>
        <w:spacing w:line="360" w:lineRule="auto"/>
        <w:rPr>
          <w:rFonts w:hint="eastAsia" w:ascii="仿宋" w:hAnsi="仿宋" w:eastAsia="仿宋" w:cs="仿宋"/>
          <w:b/>
          <w:color w:val="auto"/>
          <w:kern w:val="0"/>
          <w:sz w:val="24"/>
        </w:rPr>
      </w:pPr>
      <w:r>
        <w:rPr>
          <w:rFonts w:hint="eastAsia" w:ascii="仿宋" w:hAnsi="仿宋" w:eastAsia="仿宋" w:cs="仿宋"/>
          <w:color w:val="auto"/>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4B7B1A73">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747C342">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254308AB">
      <w:pPr>
        <w:pStyle w:val="130"/>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4.1供应商澄清、说明或者补正。</w:t>
      </w:r>
      <w:r>
        <w:rPr>
          <w:rFonts w:hint="eastAsia" w:ascii="仿宋" w:hAnsi="仿宋" w:eastAsia="仿宋" w:cs="仿宋"/>
          <w:color w:val="auto"/>
          <w:kern w:val="0"/>
          <w:szCs w:val="24"/>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74C00AA">
      <w:pPr>
        <w:pStyle w:val="16"/>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4.2交易无效。</w:t>
      </w:r>
      <w:r>
        <w:rPr>
          <w:rFonts w:hint="eastAsia" w:ascii="仿宋" w:hAnsi="仿宋" w:eastAsia="仿宋" w:cs="仿宋"/>
          <w:color w:val="auto"/>
          <w:szCs w:val="21"/>
        </w:rPr>
        <w:t>有下列情形之一的，交易无效：</w:t>
      </w:r>
    </w:p>
    <w:p w14:paraId="6AC9B232">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4.2.1供应商不具备交易文件中规定的资格要求的（供应商未提供有效的资格文件的，视为供应商不具备交易文件中规定的资格要求）；</w:t>
      </w:r>
    </w:p>
    <w:p w14:paraId="7F069952">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4.2.2响应文件未按照交易文件要求签署、盖章的；</w:t>
      </w:r>
    </w:p>
    <w:p w14:paraId="7528F40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4.2.3响应文件含有采购人不能接受的附加条件的；</w:t>
      </w:r>
    </w:p>
    <w:p w14:paraId="42F2A573">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4.2.4响应文件中承诺的交易有效期少于交易文件中载明的交易有效期的；</w:t>
      </w:r>
    </w:p>
    <w:p w14:paraId="015C77CA">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4.2.5响应文件出现不是唯一的、有选择性响应报价的;</w:t>
      </w:r>
    </w:p>
    <w:p w14:paraId="64B76474">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4.2.6响应报价超过交易文件中规定的预算金额或者最高限价的;</w:t>
      </w:r>
    </w:p>
    <w:p w14:paraId="204C33C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4.2.7报价明显低于其他通过符合性审查供应商的报价，有可能影响产品质量或者不能诚信履约的，未能按要求提供书面说明或者提交相关证明材料，不能证明其报价合理性的;</w:t>
      </w:r>
    </w:p>
    <w:p w14:paraId="1855023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4.2.8供应商对根据修正原则修正后的报价不确认的；</w:t>
      </w:r>
    </w:p>
    <w:p w14:paraId="227AD1FB">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4.2.9供应商提供虚假材料响应的；</w:t>
      </w:r>
    </w:p>
    <w:p w14:paraId="2FA085EE">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4.2.10供应商有恶意串通、妨碍其他供应商的竞争行为、损害采购人或者其他供应商的合法权益情形的；</w:t>
      </w:r>
    </w:p>
    <w:p w14:paraId="31D848D8">
      <w:pPr>
        <w:spacing w:line="360" w:lineRule="auto"/>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  4.2.11供应商仅提交备份响应文件，未在电子交易平台传输递交响应文件的，交易无效；</w:t>
      </w:r>
    </w:p>
    <w:p w14:paraId="18BF3E4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4.2.12响应文件不满足交易文件的其它实质性要求的；</w:t>
      </w:r>
    </w:p>
    <w:p w14:paraId="56537548">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4.2.13 法律、法规、规章（适用本市的）及省级以上规范性文件（适用本市的）规定的其他无效情形。</w:t>
      </w:r>
    </w:p>
    <w:p w14:paraId="469C7964">
      <w:pPr>
        <w:pStyle w:val="16"/>
        <w:snapToGrid w:val="0"/>
        <w:spacing w:line="360" w:lineRule="auto"/>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在采购中，出现下列情形之一的，应予废标：</w:t>
      </w:r>
    </w:p>
    <w:p w14:paraId="45149FC7">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5.1符合专业条件的供应商或者对交易文件作实质响应的供应商不足3家的；</w:t>
      </w:r>
    </w:p>
    <w:p w14:paraId="190F2B04">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14:paraId="0C650E76">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5.3供应商的报价均超过了采购预算，采购人不能支付的；</w:t>
      </w:r>
    </w:p>
    <w:p w14:paraId="79309AC3">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5.4因重大变故，采购任务取消的。</w:t>
      </w:r>
    </w:p>
    <w:p w14:paraId="754057EF">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废标后，采购机构应当将废标理由通知所有供应商。</w:t>
      </w:r>
    </w:p>
    <w:p w14:paraId="07325E12">
      <w:pPr>
        <w:pStyle w:val="16"/>
        <w:snapToGrid w:val="0"/>
        <w:spacing w:line="360" w:lineRule="auto"/>
        <w:ind w:firstLine="482"/>
        <w:rPr>
          <w:rFonts w:hint="eastAsia" w:ascii="仿宋" w:hAnsi="仿宋" w:eastAsia="仿宋" w:cs="仿宋"/>
          <w:color w:val="auto"/>
        </w:rPr>
      </w:pPr>
      <w:r>
        <w:rPr>
          <w:rFonts w:hint="eastAsia" w:ascii="仿宋" w:hAnsi="仿宋" w:eastAsia="仿宋" w:cs="仿宋"/>
          <w:b/>
          <w:color w:val="auto"/>
        </w:rPr>
        <w:t>6.修改交易文件，重新组织采购活动。</w:t>
      </w:r>
      <w:r>
        <w:rPr>
          <w:rFonts w:hint="eastAsia" w:ascii="仿宋" w:hAnsi="仿宋" w:eastAsia="仿宋" w:cs="仿宋"/>
          <w:color w:val="auto"/>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24E227C2">
      <w:pPr>
        <w:pStyle w:val="16"/>
        <w:snapToGrid w:val="0"/>
        <w:spacing w:line="360" w:lineRule="auto"/>
        <w:ind w:firstLine="0" w:firstLineChars="0"/>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有影响或者可能影响成交、成交结果的，依照下列规定处理：</w:t>
      </w:r>
    </w:p>
    <w:p w14:paraId="79A8F42E">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7.1未确定成交或者成交人的，终止本次采购活动，重新开展采购活动。</w:t>
      </w:r>
    </w:p>
    <w:p w14:paraId="3D9A4FA7">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7.2已确定成交或者成交人但尚未签订采购合同的，成交或者成交结果无效，从合格的成交或者成交候选人中另行确定成交或者成交人；没有合格的成交或者成交候选人的，重新开展采购活动。</w:t>
      </w:r>
    </w:p>
    <w:p w14:paraId="3472BAA3">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7.3采购合同已签订但尚未履行的，撤销合同，从合格的成交或者成交候选人中另行确定成交或者成交人；没有合格的成交或者成交候选人的，重新开展采购活动。</w:t>
      </w:r>
    </w:p>
    <w:p w14:paraId="4AE7EC6F">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7.4采购合同已经履行，给采购人、供应商造成损失的，由责任人承担赔偿责任。</w:t>
      </w:r>
    </w:p>
    <w:p w14:paraId="5EC5B41D">
      <w:pPr>
        <w:pStyle w:val="16"/>
        <w:snapToGrid w:val="0"/>
        <w:spacing w:line="360" w:lineRule="auto"/>
        <w:rPr>
          <w:rFonts w:hint="eastAsia" w:ascii="仿宋" w:hAnsi="仿宋" w:eastAsia="仿宋" w:cs="仿宋"/>
          <w:color w:val="auto"/>
        </w:rPr>
      </w:pPr>
      <w:r>
        <w:rPr>
          <w:rFonts w:hint="eastAsia" w:ascii="仿宋" w:hAnsi="仿宋" w:eastAsia="仿宋" w:cs="仿宋"/>
          <w:color w:val="auto"/>
        </w:rPr>
        <w:t>7.5采购当事人有其他违反相关</w:t>
      </w:r>
      <w:r>
        <w:rPr>
          <w:rFonts w:hint="eastAsia" w:ascii="仿宋" w:hAnsi="仿宋" w:eastAsia="仿宋" w:cs="仿宋"/>
          <w:color w:val="auto"/>
          <w:kern w:val="0"/>
        </w:rPr>
        <w:t>法律法规规定</w:t>
      </w:r>
      <w:r>
        <w:rPr>
          <w:rFonts w:hint="eastAsia" w:ascii="仿宋" w:hAnsi="仿宋" w:eastAsia="仿宋" w:cs="仿宋"/>
          <w:color w:val="auto"/>
        </w:rPr>
        <w:t>的行为，经改正后仍然影响或者可能影响成交、成交结果或者依法被认定为成交、成交无效的，依照7.1-7.4规定处理。</w:t>
      </w:r>
    </w:p>
    <w:bookmarkEnd w:id="17"/>
    <w:p w14:paraId="2954EBEF">
      <w:pPr>
        <w:spacing w:line="360" w:lineRule="auto"/>
        <w:ind w:left="720" w:leftChars="343" w:firstLine="1084" w:firstLineChars="300"/>
        <w:outlineLvl w:val="0"/>
        <w:rPr>
          <w:rFonts w:hint="eastAsia" w:ascii="仿宋" w:hAnsi="仿宋" w:eastAsia="仿宋" w:cs="仿宋"/>
          <w:b/>
          <w:color w:val="auto"/>
          <w:sz w:val="36"/>
          <w:szCs w:val="36"/>
        </w:rPr>
      </w:pPr>
      <w:bookmarkStart w:id="385" w:name="_Toc86217003"/>
      <w:bookmarkStart w:id="386" w:name="第五部分"/>
    </w:p>
    <w:p w14:paraId="26B13069">
      <w:pPr>
        <w:spacing w:line="360" w:lineRule="auto"/>
        <w:ind w:left="720" w:leftChars="343" w:firstLine="1084" w:firstLineChars="300"/>
        <w:outlineLvl w:val="0"/>
        <w:rPr>
          <w:rFonts w:hint="eastAsia" w:ascii="仿宋" w:hAnsi="仿宋" w:eastAsia="仿宋" w:cs="仿宋"/>
          <w:b/>
          <w:color w:val="auto"/>
          <w:sz w:val="36"/>
          <w:szCs w:val="36"/>
        </w:rPr>
      </w:pPr>
    </w:p>
    <w:p w14:paraId="53E6EFF6">
      <w:pPr>
        <w:pStyle w:val="24"/>
        <w:rPr>
          <w:rFonts w:hint="eastAsia" w:ascii="仿宋" w:hAnsi="仿宋" w:eastAsia="仿宋" w:cs="仿宋"/>
          <w:b/>
          <w:color w:val="auto"/>
          <w:sz w:val="36"/>
          <w:szCs w:val="36"/>
        </w:rPr>
      </w:pPr>
    </w:p>
    <w:p w14:paraId="4597B5D1">
      <w:pPr>
        <w:pStyle w:val="61"/>
        <w:rPr>
          <w:rFonts w:hint="eastAsia" w:ascii="仿宋" w:hAnsi="仿宋" w:eastAsia="仿宋" w:cs="仿宋"/>
          <w:color w:val="auto"/>
        </w:rPr>
      </w:pPr>
    </w:p>
    <w:p w14:paraId="69D70142">
      <w:pPr>
        <w:pStyle w:val="51"/>
        <w:rPr>
          <w:rFonts w:hint="eastAsia" w:ascii="仿宋" w:hAnsi="仿宋" w:eastAsia="仿宋" w:cs="仿宋"/>
          <w:color w:val="auto"/>
        </w:rPr>
      </w:pPr>
    </w:p>
    <w:p w14:paraId="749F313E">
      <w:pPr>
        <w:rPr>
          <w:rFonts w:hint="eastAsia" w:ascii="仿宋" w:hAnsi="仿宋" w:eastAsia="仿宋" w:cs="仿宋"/>
          <w:color w:val="auto"/>
        </w:rPr>
      </w:pPr>
    </w:p>
    <w:p w14:paraId="5FC91147">
      <w:pPr>
        <w:rPr>
          <w:rFonts w:hint="eastAsia" w:ascii="仿宋" w:hAnsi="仿宋" w:eastAsia="仿宋" w:cs="仿宋"/>
          <w:color w:val="auto"/>
        </w:rPr>
      </w:pPr>
    </w:p>
    <w:p w14:paraId="14BBAF11">
      <w:pPr>
        <w:rPr>
          <w:rFonts w:hint="eastAsia" w:ascii="仿宋" w:hAnsi="仿宋" w:eastAsia="仿宋" w:cs="仿宋"/>
          <w:color w:val="auto"/>
        </w:rPr>
      </w:pPr>
    </w:p>
    <w:p w14:paraId="2F8EE156">
      <w:pPr>
        <w:rPr>
          <w:rFonts w:hint="eastAsia" w:ascii="仿宋" w:hAnsi="仿宋" w:eastAsia="仿宋" w:cs="仿宋"/>
          <w:color w:val="auto"/>
        </w:rPr>
      </w:pPr>
    </w:p>
    <w:p w14:paraId="780256E3">
      <w:pPr>
        <w:rPr>
          <w:rFonts w:hint="eastAsia" w:ascii="仿宋" w:hAnsi="仿宋" w:eastAsia="仿宋" w:cs="仿宋"/>
          <w:color w:val="auto"/>
        </w:rPr>
      </w:pPr>
    </w:p>
    <w:p w14:paraId="42BF9B5E">
      <w:pPr>
        <w:rPr>
          <w:rFonts w:hint="eastAsia" w:ascii="仿宋" w:hAnsi="仿宋" w:eastAsia="仿宋" w:cs="仿宋"/>
          <w:color w:val="auto"/>
        </w:rPr>
      </w:pPr>
    </w:p>
    <w:p w14:paraId="2F50DC16">
      <w:pPr>
        <w:rPr>
          <w:rFonts w:hint="eastAsia" w:ascii="仿宋" w:hAnsi="仿宋" w:eastAsia="仿宋" w:cs="仿宋"/>
          <w:color w:val="auto"/>
        </w:rPr>
      </w:pPr>
    </w:p>
    <w:p w14:paraId="76EE119A">
      <w:pPr>
        <w:rPr>
          <w:rFonts w:hint="eastAsia" w:ascii="仿宋" w:hAnsi="仿宋" w:eastAsia="仿宋" w:cs="仿宋"/>
          <w:color w:val="auto"/>
        </w:rPr>
      </w:pPr>
    </w:p>
    <w:p w14:paraId="1E0A385C">
      <w:pPr>
        <w:rPr>
          <w:rFonts w:hint="eastAsia" w:ascii="仿宋" w:hAnsi="仿宋" w:eastAsia="仿宋" w:cs="仿宋"/>
          <w:color w:val="auto"/>
        </w:rPr>
      </w:pPr>
    </w:p>
    <w:p w14:paraId="051B50CD">
      <w:pPr>
        <w:rPr>
          <w:rFonts w:hint="eastAsia" w:ascii="仿宋" w:hAnsi="仿宋" w:eastAsia="仿宋" w:cs="仿宋"/>
          <w:color w:val="auto"/>
        </w:rPr>
      </w:pPr>
    </w:p>
    <w:p w14:paraId="58F49DA7">
      <w:pPr>
        <w:rPr>
          <w:rFonts w:hint="eastAsia" w:ascii="仿宋" w:hAnsi="仿宋" w:eastAsia="仿宋" w:cs="仿宋"/>
          <w:color w:val="auto"/>
        </w:rPr>
      </w:pPr>
    </w:p>
    <w:p w14:paraId="1F7204F2">
      <w:pPr>
        <w:rPr>
          <w:rFonts w:hint="eastAsia" w:ascii="仿宋" w:hAnsi="仿宋" w:eastAsia="仿宋" w:cs="仿宋"/>
          <w:color w:val="auto"/>
        </w:rPr>
      </w:pPr>
    </w:p>
    <w:p w14:paraId="77857AAA">
      <w:pPr>
        <w:rPr>
          <w:rFonts w:hint="eastAsia" w:ascii="仿宋" w:hAnsi="仿宋" w:eastAsia="仿宋" w:cs="仿宋"/>
          <w:color w:val="auto"/>
        </w:rPr>
      </w:pPr>
    </w:p>
    <w:p w14:paraId="209D437B">
      <w:pPr>
        <w:rPr>
          <w:rFonts w:hint="eastAsia" w:ascii="仿宋" w:hAnsi="仿宋" w:eastAsia="仿宋" w:cs="仿宋"/>
          <w:color w:val="auto"/>
        </w:rPr>
      </w:pPr>
    </w:p>
    <w:p w14:paraId="602054EC">
      <w:pPr>
        <w:rPr>
          <w:rFonts w:hint="eastAsia" w:ascii="仿宋" w:hAnsi="仿宋" w:eastAsia="仿宋" w:cs="仿宋"/>
          <w:color w:val="auto"/>
        </w:rPr>
      </w:pPr>
    </w:p>
    <w:p w14:paraId="41982A3E">
      <w:pPr>
        <w:rPr>
          <w:rFonts w:hint="eastAsia" w:ascii="仿宋" w:hAnsi="仿宋" w:eastAsia="仿宋" w:cs="仿宋"/>
          <w:color w:val="auto"/>
        </w:rPr>
      </w:pPr>
    </w:p>
    <w:p w14:paraId="4F036329">
      <w:pPr>
        <w:rPr>
          <w:rFonts w:hint="eastAsia" w:ascii="仿宋" w:hAnsi="仿宋" w:eastAsia="仿宋" w:cs="仿宋"/>
          <w:color w:val="auto"/>
        </w:rPr>
      </w:pPr>
    </w:p>
    <w:p w14:paraId="2969E13F">
      <w:pPr>
        <w:rPr>
          <w:rFonts w:hint="eastAsia" w:ascii="仿宋" w:hAnsi="仿宋" w:eastAsia="仿宋" w:cs="仿宋"/>
          <w:color w:val="auto"/>
        </w:rPr>
      </w:pPr>
    </w:p>
    <w:p w14:paraId="53C4AC35">
      <w:pPr>
        <w:rPr>
          <w:rFonts w:hint="eastAsia" w:ascii="仿宋" w:hAnsi="仿宋" w:eastAsia="仿宋" w:cs="仿宋"/>
          <w:color w:val="auto"/>
        </w:rPr>
      </w:pPr>
    </w:p>
    <w:p w14:paraId="13C50201">
      <w:pPr>
        <w:rPr>
          <w:rFonts w:hint="eastAsia" w:ascii="仿宋" w:hAnsi="仿宋" w:eastAsia="仿宋" w:cs="仿宋"/>
          <w:color w:val="auto"/>
        </w:rPr>
      </w:pPr>
    </w:p>
    <w:p w14:paraId="782A7574">
      <w:pPr>
        <w:rPr>
          <w:rFonts w:hint="eastAsia" w:ascii="仿宋" w:hAnsi="仿宋" w:eastAsia="仿宋" w:cs="仿宋"/>
          <w:color w:val="auto"/>
        </w:rPr>
      </w:pPr>
    </w:p>
    <w:p w14:paraId="04E2A844">
      <w:pPr>
        <w:rPr>
          <w:rFonts w:hint="eastAsia" w:ascii="仿宋" w:hAnsi="仿宋" w:eastAsia="仿宋" w:cs="仿宋"/>
          <w:color w:val="auto"/>
        </w:rPr>
      </w:pPr>
    </w:p>
    <w:p w14:paraId="4BBA00B9">
      <w:pPr>
        <w:rPr>
          <w:rFonts w:hint="eastAsia" w:ascii="仿宋" w:hAnsi="仿宋" w:eastAsia="仿宋" w:cs="仿宋"/>
          <w:color w:val="auto"/>
        </w:rPr>
      </w:pPr>
    </w:p>
    <w:p w14:paraId="6F43ED6D">
      <w:pPr>
        <w:rPr>
          <w:rFonts w:hint="eastAsia" w:ascii="仿宋" w:hAnsi="仿宋" w:eastAsia="仿宋" w:cs="仿宋"/>
          <w:color w:val="auto"/>
        </w:rPr>
      </w:pPr>
    </w:p>
    <w:p w14:paraId="19F87D0A">
      <w:pPr>
        <w:pStyle w:val="24"/>
        <w:rPr>
          <w:rFonts w:hint="eastAsia" w:ascii="仿宋" w:hAnsi="仿宋" w:eastAsia="仿宋" w:cs="仿宋"/>
          <w:color w:val="auto"/>
        </w:rPr>
      </w:pPr>
    </w:p>
    <w:p w14:paraId="3D415393">
      <w:pPr>
        <w:rPr>
          <w:rFonts w:hint="eastAsia" w:ascii="仿宋" w:hAnsi="仿宋" w:eastAsia="仿宋" w:cs="仿宋"/>
          <w:color w:val="auto"/>
        </w:rPr>
      </w:pPr>
    </w:p>
    <w:p w14:paraId="40C50D6D">
      <w:pPr>
        <w:pStyle w:val="2"/>
        <w:keepNext/>
        <w:keepLines/>
        <w:pageBreakBefore w:val="0"/>
        <w:widowControl w:val="0"/>
        <w:kinsoku/>
        <w:wordWrap/>
        <w:overflowPunct/>
        <w:topLinePunct w:val="0"/>
        <w:autoSpaceDE/>
        <w:autoSpaceDN/>
        <w:bidi w:val="0"/>
        <w:adjustRightInd w:val="0"/>
        <w:snapToGrid/>
        <w:spacing w:line="440" w:lineRule="exact"/>
        <w:ind w:left="431" w:hanging="431"/>
        <w:jc w:val="center"/>
        <w:textAlignment w:val="auto"/>
        <w:rPr>
          <w:rFonts w:hint="eastAsia" w:ascii="仿宋" w:hAnsi="仿宋" w:eastAsia="仿宋" w:cs="仿宋"/>
          <w:b w:val="0"/>
          <w:color w:val="auto"/>
          <w:highlight w:val="none"/>
        </w:rPr>
      </w:pPr>
      <w:bookmarkStart w:id="387" w:name="_Toc331323743"/>
      <w:r>
        <w:rPr>
          <w:rFonts w:hint="eastAsia" w:ascii="仿宋" w:hAnsi="仿宋" w:eastAsia="仿宋" w:cs="仿宋"/>
          <w:b/>
          <w:bCs w:val="0"/>
          <w:color w:val="auto"/>
          <w:sz w:val="36"/>
          <w:szCs w:val="36"/>
          <w:highlight w:val="none"/>
        </w:rPr>
        <w:t>第五部分  采购合同</w:t>
      </w:r>
      <w:bookmarkEnd w:id="387"/>
    </w:p>
    <w:p w14:paraId="6E324DE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（货物类样本）</w:t>
      </w:r>
    </w:p>
    <w:p w14:paraId="6EE3A68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合同编号：</w:t>
      </w:r>
    </w:p>
    <w:p w14:paraId="3F197AD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签订地点：                                  签订时间：</w:t>
      </w:r>
      <w:r>
        <w:rPr>
          <w:rFonts w:hint="eastAsia" w:ascii="仿宋" w:hAnsi="仿宋" w:eastAsia="仿宋" w:cs="仿宋"/>
          <w:color w:val="auto"/>
          <w:sz w:val="24"/>
          <w:highlight w:val="none"/>
          <w:lang w:val="en-US" w:eastAsia="zh-CN"/>
        </w:rPr>
        <w:t>2025</w:t>
      </w:r>
      <w:r>
        <w:rPr>
          <w:rFonts w:hint="eastAsia" w:ascii="仿宋" w:hAnsi="仿宋" w:eastAsia="仿宋" w:cs="仿宋"/>
          <w:color w:val="auto"/>
          <w:sz w:val="24"/>
          <w:highlight w:val="none"/>
        </w:rPr>
        <w:t>年  月  日</w:t>
      </w:r>
    </w:p>
    <w:p w14:paraId="5BB108C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2CB46F9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甲方（需方）：                                     </w:t>
      </w:r>
    </w:p>
    <w:p w14:paraId="45E9F40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乙方（供方）：                                     </w:t>
      </w:r>
    </w:p>
    <w:p w14:paraId="3DC4754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供、需双方根据</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）成交结果和交易文件的要求，并经双方协调一致，订立本采购合同。</w:t>
      </w:r>
    </w:p>
    <w:p w14:paraId="0A8528E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一、合同文件：</w:t>
      </w:r>
    </w:p>
    <w:p w14:paraId="48E72C8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1、合同条款。</w:t>
      </w:r>
    </w:p>
    <w:p w14:paraId="40BAB5F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2、成交通知书。</w:t>
      </w:r>
    </w:p>
    <w:p w14:paraId="1836731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3、交易文件。</w:t>
      </w:r>
    </w:p>
    <w:p w14:paraId="45DD624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4、更正公告。</w:t>
      </w:r>
    </w:p>
    <w:p w14:paraId="409A84A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5、成交单位响应文件。</w:t>
      </w:r>
    </w:p>
    <w:p w14:paraId="19656C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6、其他。</w:t>
      </w:r>
    </w:p>
    <w:p w14:paraId="0AF0A5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二、合同金额:合同金额为(大写)_________________元（￥</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元）人民币。</w:t>
      </w:r>
    </w:p>
    <w:p w14:paraId="3340917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附《采购项目清单内容》   </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532"/>
      </w:tblGrid>
      <w:tr w14:paraId="212A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08F3F19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EBD75B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采购项目</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5E3ED0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成交内容</w:t>
            </w:r>
          </w:p>
        </w:tc>
        <w:tc>
          <w:tcPr>
            <w:tcW w:w="1758" w:type="dxa"/>
            <w:tcBorders>
              <w:top w:val="single" w:color="auto" w:sz="4" w:space="0"/>
              <w:left w:val="single" w:color="auto" w:sz="4" w:space="0"/>
              <w:bottom w:val="single" w:color="auto" w:sz="4" w:space="0"/>
              <w:right w:val="single" w:color="auto" w:sz="4" w:space="0"/>
            </w:tcBorders>
            <w:noWrap w:val="0"/>
            <w:vAlign w:val="center"/>
          </w:tcPr>
          <w:p w14:paraId="35E9A6E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成交单价（元）</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2F9B876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04BB7CF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合计</w:t>
            </w:r>
            <w:r>
              <w:rPr>
                <w:rFonts w:hint="eastAsia" w:ascii="仿宋" w:hAnsi="仿宋" w:eastAsia="仿宋" w:cs="仿宋"/>
                <w:color w:val="auto"/>
                <w:sz w:val="24"/>
                <w:highlight w:val="none"/>
              </w:rPr>
              <w:t>（元）</w:t>
            </w:r>
          </w:p>
        </w:tc>
      </w:tr>
      <w:tr w14:paraId="154F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1E2CADF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4007EEA">
            <w:pPr>
              <w:spacing w:line="360" w:lineRule="auto"/>
              <w:ind w:firstLine="480" w:firstLineChars="200"/>
              <w:rPr>
                <w:rFonts w:hint="eastAsia" w:ascii="仿宋" w:hAnsi="仿宋" w:eastAsia="仿宋" w:cs="仿宋"/>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03B4165">
            <w:pPr>
              <w:spacing w:line="360" w:lineRule="auto"/>
              <w:ind w:firstLine="480" w:firstLineChars="200"/>
              <w:rPr>
                <w:rFonts w:hint="eastAsia" w:ascii="仿宋" w:hAnsi="仿宋" w:eastAsia="仿宋" w:cs="仿宋"/>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02627690">
            <w:pPr>
              <w:spacing w:line="360" w:lineRule="auto"/>
              <w:ind w:firstLine="480" w:firstLineChars="200"/>
              <w:rPr>
                <w:rFonts w:hint="eastAsia" w:ascii="仿宋" w:hAnsi="仿宋" w:eastAsia="仿宋" w:cs="仿宋"/>
                <w:color w:val="auto"/>
                <w:sz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43D0A035">
            <w:pPr>
              <w:spacing w:line="360" w:lineRule="auto"/>
              <w:ind w:firstLine="480" w:firstLineChars="200"/>
              <w:rPr>
                <w:rFonts w:hint="eastAsia" w:ascii="仿宋" w:hAnsi="仿宋" w:eastAsia="仿宋" w:cs="仿宋"/>
                <w:color w:val="auto"/>
                <w:sz w:val="24"/>
                <w:highlight w:val="none"/>
              </w:rPr>
            </w:pPr>
          </w:p>
        </w:tc>
        <w:tc>
          <w:tcPr>
            <w:tcW w:w="1532" w:type="dxa"/>
            <w:tcBorders>
              <w:top w:val="single" w:color="auto" w:sz="4" w:space="0"/>
              <w:left w:val="single" w:color="auto" w:sz="4" w:space="0"/>
              <w:bottom w:val="single" w:color="auto" w:sz="4" w:space="0"/>
              <w:right w:val="single" w:color="auto" w:sz="4" w:space="0"/>
            </w:tcBorders>
            <w:noWrap w:val="0"/>
            <w:vAlign w:val="top"/>
          </w:tcPr>
          <w:p w14:paraId="572316F9">
            <w:pPr>
              <w:spacing w:line="360" w:lineRule="auto"/>
              <w:ind w:firstLine="480" w:firstLineChars="200"/>
              <w:rPr>
                <w:rFonts w:hint="eastAsia" w:ascii="仿宋" w:hAnsi="仿宋" w:eastAsia="仿宋" w:cs="仿宋"/>
                <w:color w:val="auto"/>
                <w:sz w:val="24"/>
                <w:highlight w:val="none"/>
              </w:rPr>
            </w:pPr>
          </w:p>
        </w:tc>
      </w:tr>
      <w:tr w14:paraId="1070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175235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A8C6AE4">
            <w:pPr>
              <w:spacing w:line="360" w:lineRule="auto"/>
              <w:ind w:firstLine="480" w:firstLineChars="200"/>
              <w:rPr>
                <w:rFonts w:hint="eastAsia" w:ascii="仿宋" w:hAnsi="仿宋" w:eastAsia="仿宋" w:cs="仿宋"/>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EF86D56">
            <w:pPr>
              <w:spacing w:line="360" w:lineRule="auto"/>
              <w:ind w:firstLine="480" w:firstLineChars="200"/>
              <w:rPr>
                <w:rFonts w:hint="eastAsia" w:ascii="仿宋" w:hAnsi="仿宋" w:eastAsia="仿宋" w:cs="仿宋"/>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14:paraId="26A36163">
            <w:pPr>
              <w:spacing w:line="360" w:lineRule="auto"/>
              <w:ind w:firstLine="480" w:firstLineChars="200"/>
              <w:rPr>
                <w:rFonts w:hint="eastAsia" w:ascii="仿宋" w:hAnsi="仿宋" w:eastAsia="仿宋" w:cs="仿宋"/>
                <w:color w:val="auto"/>
                <w:sz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279040ED">
            <w:pPr>
              <w:spacing w:line="360" w:lineRule="auto"/>
              <w:ind w:firstLine="480" w:firstLineChars="200"/>
              <w:rPr>
                <w:rFonts w:hint="eastAsia" w:ascii="仿宋" w:hAnsi="仿宋" w:eastAsia="仿宋" w:cs="仿宋"/>
                <w:color w:val="auto"/>
                <w:sz w:val="24"/>
                <w:highlight w:val="none"/>
              </w:rPr>
            </w:pPr>
          </w:p>
        </w:tc>
        <w:tc>
          <w:tcPr>
            <w:tcW w:w="1532" w:type="dxa"/>
            <w:tcBorders>
              <w:top w:val="single" w:color="auto" w:sz="4" w:space="0"/>
              <w:left w:val="single" w:color="auto" w:sz="4" w:space="0"/>
              <w:bottom w:val="single" w:color="auto" w:sz="4" w:space="0"/>
              <w:right w:val="single" w:color="auto" w:sz="4" w:space="0"/>
            </w:tcBorders>
            <w:noWrap w:val="0"/>
            <w:vAlign w:val="top"/>
          </w:tcPr>
          <w:p w14:paraId="0ECD044B">
            <w:pPr>
              <w:spacing w:line="360" w:lineRule="auto"/>
              <w:ind w:firstLine="480" w:firstLineChars="200"/>
              <w:rPr>
                <w:rFonts w:hint="eastAsia" w:ascii="仿宋" w:hAnsi="仿宋" w:eastAsia="仿宋" w:cs="仿宋"/>
                <w:color w:val="auto"/>
                <w:sz w:val="24"/>
                <w:highlight w:val="none"/>
              </w:rPr>
            </w:pPr>
          </w:p>
        </w:tc>
      </w:tr>
      <w:tr w14:paraId="72FA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7" w:type="dxa"/>
            <w:gridSpan w:val="3"/>
            <w:tcBorders>
              <w:top w:val="single" w:color="auto" w:sz="4" w:space="0"/>
              <w:left w:val="single" w:color="auto" w:sz="4" w:space="0"/>
              <w:bottom w:val="single" w:color="auto" w:sz="4" w:space="0"/>
              <w:right w:val="single" w:color="auto" w:sz="4" w:space="0"/>
            </w:tcBorders>
            <w:noWrap w:val="0"/>
            <w:vAlign w:val="center"/>
          </w:tcPr>
          <w:p w14:paraId="3BF82D81">
            <w:pPr>
              <w:spacing w:line="360" w:lineRule="auto"/>
              <w:ind w:firstLine="480" w:firstLineChars="20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成交总价（元）</w:t>
            </w:r>
          </w:p>
        </w:tc>
        <w:tc>
          <w:tcPr>
            <w:tcW w:w="4052" w:type="dxa"/>
            <w:gridSpan w:val="3"/>
            <w:tcBorders>
              <w:top w:val="single" w:color="auto" w:sz="4" w:space="0"/>
              <w:left w:val="single" w:color="auto" w:sz="4" w:space="0"/>
              <w:bottom w:val="single" w:color="auto" w:sz="4" w:space="0"/>
              <w:right w:val="single" w:color="auto" w:sz="4" w:space="0"/>
            </w:tcBorders>
            <w:noWrap w:val="0"/>
            <w:vAlign w:val="top"/>
          </w:tcPr>
          <w:p w14:paraId="7337860A">
            <w:pPr>
              <w:spacing w:line="360" w:lineRule="auto"/>
              <w:ind w:firstLine="480" w:firstLineChars="200"/>
              <w:rPr>
                <w:rFonts w:hint="eastAsia" w:ascii="仿宋" w:hAnsi="仿宋" w:eastAsia="仿宋" w:cs="仿宋"/>
                <w:color w:val="auto"/>
                <w:sz w:val="24"/>
                <w:highlight w:val="none"/>
              </w:rPr>
            </w:pPr>
          </w:p>
        </w:tc>
      </w:tr>
    </w:tbl>
    <w:p w14:paraId="58EC7F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三、质量要求及供方对质量负责条件和期限：</w:t>
      </w:r>
    </w:p>
    <w:p w14:paraId="01C7F3C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1、供方提供的货物必须是现货、全新，符合采购要求的规格型号和技术指标。供方对货物提供</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年的免费保修期（货物厂家另有超过此质保期的按原规定执行），保修期内非因需方的人为原因而出现质量问题的，由供方负责包修、包换或者包退，并承担调换或退货的实际费用。</w:t>
      </w:r>
    </w:p>
    <w:p w14:paraId="4A36E8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2、供方在维保期内接到用户单位的电话后，在**小时内响应，**小时以内到现场，**小时以内解决问题，不能修复的，必须采取无偿提供备品、备件或备机等措施，以保证用户单位的正常使用。</w:t>
      </w:r>
    </w:p>
    <w:p w14:paraId="43134D41">
      <w:pPr>
        <w:spacing w:line="360" w:lineRule="auto"/>
        <w:ind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四、</w:t>
      </w:r>
      <w:r>
        <w:rPr>
          <w:rFonts w:hint="eastAsia" w:ascii="仿宋" w:hAnsi="仿宋" w:eastAsia="仿宋" w:cs="仿宋"/>
          <w:color w:val="auto"/>
          <w:sz w:val="24"/>
          <w:highlight w:val="none"/>
          <w:lang w:val="en-US" w:eastAsia="zh-CN"/>
        </w:rPr>
        <w:t>交货</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 xml:space="preserve">                       </w:t>
      </w:r>
    </w:p>
    <w:p w14:paraId="1A0088E8">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交货地点：</w:t>
      </w:r>
      <w:r>
        <w:rPr>
          <w:rFonts w:hint="eastAsia" w:ascii="仿宋" w:hAnsi="仿宋" w:eastAsia="仿宋" w:cs="仿宋"/>
          <w:color w:val="auto"/>
          <w:sz w:val="24"/>
          <w:highlight w:val="none"/>
          <w:u w:val="single"/>
        </w:rPr>
        <w:t xml:space="preserve">                       </w:t>
      </w:r>
    </w:p>
    <w:p w14:paraId="5458839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五、货款支付</w:t>
      </w:r>
    </w:p>
    <w:p w14:paraId="092C080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1、付款方式：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w:t>
      </w:r>
    </w:p>
    <w:p w14:paraId="23A76C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六、履约保证金、质量保证金</w:t>
      </w:r>
    </w:p>
    <w:p w14:paraId="4A7F1AA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1、履约保证金：为保证政府采购项目合同的顺利执行，供方在本合同签订之前，其成交价的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rPr>
        <w:t>%作为履约保证金（供应商应当以支票、汇票、本票或者金融机构、担保机构出具的保函等非现金形式提交）交付采购人。待项目验收合格和供方交纳质量保证金后，由采购人将履约保证金无息退还供方。</w:t>
      </w:r>
    </w:p>
    <w:p w14:paraId="15B7C97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2、质量保证金：采购项目验收合格后，需方向供方收取质量保证金（成交价的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%）。质保期结束且无质量问题，由需方将质量保证金无息退还供方。</w:t>
      </w:r>
    </w:p>
    <w:p w14:paraId="6F5452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七、违约责任</w:t>
      </w:r>
    </w:p>
    <w:p w14:paraId="723E4CE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1、甲方无正当理由拒收货物的，甲方向乙方偿付拒收货款总值的百分之</w:t>
      </w:r>
      <w:r>
        <w:rPr>
          <w:rFonts w:hint="eastAsia" w:ascii="仿宋" w:hAnsi="仿宋" w:eastAsia="仿宋" w:cs="仿宋"/>
          <w:color w:val="auto"/>
          <w:sz w:val="24"/>
          <w:highlight w:val="none"/>
          <w:u w:val="single"/>
        </w:rPr>
        <w:t xml:space="preserve"> 五 </w:t>
      </w:r>
      <w:r>
        <w:rPr>
          <w:rFonts w:hint="eastAsia" w:ascii="仿宋" w:hAnsi="仿宋" w:eastAsia="仿宋" w:cs="仿宋"/>
          <w:color w:val="auto"/>
          <w:sz w:val="24"/>
          <w:highlight w:val="none"/>
        </w:rPr>
        <w:t>违约金。</w:t>
      </w:r>
    </w:p>
    <w:p w14:paraId="531D3B6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2、乙方逾期交付货物的，乙方应按逾期交付货款总额每日千分之</w:t>
      </w:r>
      <w:r>
        <w:rPr>
          <w:rFonts w:hint="eastAsia" w:ascii="仿宋" w:hAnsi="仿宋" w:eastAsia="仿宋" w:cs="仿宋"/>
          <w:color w:val="auto"/>
          <w:sz w:val="24"/>
          <w:highlight w:val="none"/>
          <w:u w:val="single"/>
        </w:rPr>
        <w:t xml:space="preserve"> 六  </w:t>
      </w:r>
      <w:r>
        <w:rPr>
          <w:rFonts w:hint="eastAsia" w:ascii="仿宋" w:hAnsi="仿宋" w:eastAsia="仿宋" w:cs="仿宋"/>
          <w:color w:val="auto"/>
          <w:sz w:val="24"/>
          <w:highlight w:val="none"/>
        </w:rPr>
        <w:t>向甲方支付违约金，由甲方从待付货款中扣除。逾期超过约定日期</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个工作日不能交货的，甲方可解除本合同，履约保证金不予退还，如造成甲方损失超过履约保证金的，超出部分由乙方继续承担赔偿责任。</w:t>
      </w:r>
    </w:p>
    <w:p w14:paraId="2202B0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所交的货物品种、型号、规格、技术参数、质量等不符合合同规定及响应文件承诺标准，甲方有权拒收该货物，乙方愿意更换货物但逾期交货的按乙方逾期交货处理。乙方拒绝更换货物的，甲方可单方面解除合同。</w:t>
      </w:r>
    </w:p>
    <w:p w14:paraId="4113A1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4、因需方原因逾期支付合同款，自逾期之日起，向供方每日偿付合同总价千分之 二的滞纳金；需方无正当理由拒付货款的，应向供方偿付合同总价百分之五的违约金。</w:t>
      </w:r>
    </w:p>
    <w:p w14:paraId="03D9F0E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5、供方在项目验收合格之日起保修期内违反本合同有关承诺保证的，需方将有权不予退还质量保证金，损失赔偿不足部分，按合同第九条处理。</w:t>
      </w:r>
    </w:p>
    <w:p w14:paraId="78B4DC4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6、如发现乙方违反交易文件、响应文件和合同的有关规定，甲方有权根据约定和《杭州市政府采购供应商合同履行和售后服务考核暂行办法》，对乙方进行处罚，并有权提前终止合同。</w:t>
      </w:r>
    </w:p>
    <w:p w14:paraId="013C76F2">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八、调试和验收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以采购人要求为准，最终能通过相关部门的验收工作。</w:t>
      </w:r>
    </w:p>
    <w:p w14:paraId="443BF5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九、争议的解决</w:t>
      </w:r>
    </w:p>
    <w:p w14:paraId="6873288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因本合同引起的或与本合同有关的任何争议，合同双方应首先通过协商解决，达成书面协议，如协商不成，可选择下列第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种方式解决。</w:t>
      </w:r>
    </w:p>
    <w:p w14:paraId="21E0820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（1）提请杭州仲裁委员会按照该会仲裁规则进行仲裁，仲裁裁决是终局的，对合同双方均有约束力。</w:t>
      </w:r>
    </w:p>
    <w:p w14:paraId="5B0F8EC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（2）向有管辖权的人民法院提起诉讼。</w:t>
      </w:r>
    </w:p>
    <w:p w14:paraId="52E4240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十、合同生效</w:t>
      </w:r>
    </w:p>
    <w:p w14:paraId="4DD508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1、成交方持成交通知书作为与需方签订合同的凭证。</w:t>
      </w:r>
    </w:p>
    <w:p w14:paraId="452DE2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2、本合同经需、供双方法定代表人（符合浙财采监【2013】24号第六条规定的为负责人）或其授权委托人签名并加盖单位公章后生效。</w:t>
      </w:r>
    </w:p>
    <w:p w14:paraId="3E40AD7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3、本合同一式四份，需、供双方各执二份，</w:t>
      </w:r>
    </w:p>
    <w:p w14:paraId="5F220B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需方（加盖公章）：                  供方（加盖公章）：</w:t>
      </w:r>
    </w:p>
    <w:p w14:paraId="23E1AB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地址：</w:t>
      </w:r>
    </w:p>
    <w:p w14:paraId="630CDA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法定代表人（或委托代理人）签名：   法定代表人（或委托代理人）签名：</w:t>
      </w:r>
    </w:p>
    <w:p w14:paraId="78A14FF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DA81EF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                         联系电话：</w:t>
      </w:r>
    </w:p>
    <w:p w14:paraId="77E811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                         邮政编码：</w:t>
      </w:r>
    </w:p>
    <w:p w14:paraId="2F39B3C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    </w:t>
      </w:r>
    </w:p>
    <w:p w14:paraId="7A793B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帐号：                             帐号：</w:t>
      </w:r>
    </w:p>
    <w:p w14:paraId="5FB22077">
      <w:pPr>
        <w:spacing w:line="360" w:lineRule="auto"/>
        <w:ind w:left="-420" w:leftChars="-200" w:right="-420" w:rightChars="-200" w:firstLine="723" w:firstLineChars="200"/>
        <w:jc w:val="center"/>
        <w:outlineLvl w:val="0"/>
        <w:rPr>
          <w:rFonts w:hint="eastAsia" w:ascii="仿宋" w:hAnsi="仿宋" w:eastAsia="仿宋" w:cs="仿宋"/>
          <w:b/>
          <w:color w:val="auto"/>
          <w:sz w:val="36"/>
          <w:szCs w:val="36"/>
        </w:rPr>
      </w:pPr>
    </w:p>
    <w:p w14:paraId="0D41D53E">
      <w:pPr>
        <w:spacing w:line="360" w:lineRule="auto"/>
        <w:ind w:left="-420" w:leftChars="-200" w:right="-420" w:rightChars="-200" w:firstLine="723" w:firstLineChars="200"/>
        <w:jc w:val="center"/>
        <w:outlineLvl w:val="0"/>
        <w:rPr>
          <w:rFonts w:hint="eastAsia" w:ascii="仿宋" w:hAnsi="仿宋" w:eastAsia="仿宋" w:cs="仿宋"/>
          <w:b/>
          <w:color w:val="auto"/>
          <w:sz w:val="36"/>
          <w:szCs w:val="36"/>
        </w:rPr>
      </w:pPr>
    </w:p>
    <w:p w14:paraId="25209598">
      <w:pPr>
        <w:spacing w:line="360" w:lineRule="auto"/>
        <w:ind w:left="-420" w:leftChars="-200" w:right="-420" w:rightChars="-200" w:firstLine="723" w:firstLineChars="200"/>
        <w:jc w:val="center"/>
        <w:outlineLvl w:val="0"/>
        <w:rPr>
          <w:rFonts w:hint="eastAsia" w:ascii="仿宋" w:hAnsi="仿宋" w:eastAsia="仿宋" w:cs="仿宋"/>
          <w:b/>
          <w:color w:val="auto"/>
          <w:sz w:val="36"/>
          <w:szCs w:val="36"/>
        </w:rPr>
      </w:pPr>
    </w:p>
    <w:p w14:paraId="01801859">
      <w:pPr>
        <w:spacing w:line="360" w:lineRule="auto"/>
        <w:ind w:left="-420" w:leftChars="-200" w:right="-420" w:rightChars="-200" w:firstLine="723" w:firstLineChars="200"/>
        <w:jc w:val="center"/>
        <w:outlineLvl w:val="0"/>
        <w:rPr>
          <w:rFonts w:hint="eastAsia" w:ascii="仿宋" w:hAnsi="仿宋" w:eastAsia="仿宋" w:cs="仿宋"/>
          <w:b/>
          <w:color w:val="auto"/>
          <w:sz w:val="36"/>
          <w:szCs w:val="36"/>
        </w:rPr>
      </w:pPr>
    </w:p>
    <w:p w14:paraId="4D3DED46">
      <w:pPr>
        <w:spacing w:line="360" w:lineRule="auto"/>
        <w:ind w:left="-420" w:leftChars="-200" w:right="-420" w:rightChars="-200" w:firstLine="723" w:firstLineChars="200"/>
        <w:jc w:val="center"/>
        <w:outlineLvl w:val="0"/>
        <w:rPr>
          <w:rFonts w:hint="eastAsia" w:ascii="仿宋" w:hAnsi="仿宋" w:eastAsia="仿宋" w:cs="仿宋"/>
          <w:b/>
          <w:color w:val="auto"/>
          <w:sz w:val="36"/>
          <w:szCs w:val="36"/>
        </w:rPr>
      </w:pPr>
    </w:p>
    <w:p w14:paraId="46326522">
      <w:pPr>
        <w:spacing w:line="360" w:lineRule="auto"/>
        <w:ind w:left="-420" w:leftChars="-200" w:right="-420" w:rightChars="-200" w:firstLine="723" w:firstLineChars="200"/>
        <w:jc w:val="center"/>
        <w:outlineLvl w:val="0"/>
        <w:rPr>
          <w:rFonts w:hint="eastAsia" w:ascii="仿宋" w:hAnsi="仿宋" w:eastAsia="仿宋" w:cs="仿宋"/>
          <w:b/>
          <w:color w:val="auto"/>
          <w:sz w:val="36"/>
          <w:szCs w:val="36"/>
        </w:rPr>
      </w:pPr>
    </w:p>
    <w:p w14:paraId="54BD61EA">
      <w:pPr>
        <w:spacing w:line="360" w:lineRule="auto"/>
        <w:ind w:left="-420" w:leftChars="-200" w:right="-420" w:rightChars="-200" w:firstLine="723" w:firstLineChars="200"/>
        <w:jc w:val="center"/>
        <w:outlineLvl w:val="0"/>
        <w:rPr>
          <w:rFonts w:hint="eastAsia" w:ascii="仿宋" w:hAnsi="仿宋" w:eastAsia="仿宋" w:cs="仿宋"/>
          <w:b/>
          <w:color w:val="auto"/>
          <w:sz w:val="36"/>
          <w:szCs w:val="36"/>
        </w:rPr>
      </w:pPr>
    </w:p>
    <w:p w14:paraId="523FE9B4">
      <w:pPr>
        <w:spacing w:line="360" w:lineRule="auto"/>
        <w:ind w:left="-420" w:leftChars="-200" w:right="-420" w:rightChars="-200" w:firstLine="723" w:firstLineChars="200"/>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36"/>
        </w:rPr>
        <w:t>第</w:t>
      </w:r>
      <w:r>
        <w:rPr>
          <w:rFonts w:hint="eastAsia" w:ascii="仿宋" w:hAnsi="仿宋" w:eastAsia="仿宋" w:cs="仿宋"/>
          <w:b/>
          <w:color w:val="auto"/>
          <w:sz w:val="36"/>
          <w:szCs w:val="36"/>
          <w:lang w:val="en-US" w:eastAsia="zh-CN"/>
        </w:rPr>
        <w:t>六</w:t>
      </w:r>
      <w:r>
        <w:rPr>
          <w:rFonts w:hint="eastAsia" w:ascii="仿宋" w:hAnsi="仿宋" w:eastAsia="仿宋" w:cs="仿宋"/>
          <w:b/>
          <w:color w:val="auto"/>
          <w:sz w:val="36"/>
          <w:szCs w:val="36"/>
        </w:rPr>
        <w:t xml:space="preserve">部分 </w:t>
      </w:r>
      <w:bookmarkEnd w:id="385"/>
      <w:bookmarkEnd w:id="386"/>
      <w:r>
        <w:rPr>
          <w:rFonts w:hint="eastAsia" w:ascii="仿宋" w:hAnsi="仿宋" w:eastAsia="仿宋" w:cs="仿宋"/>
          <w:b/>
          <w:color w:val="auto"/>
          <w:sz w:val="36"/>
          <w:szCs w:val="20"/>
        </w:rPr>
        <w:t>应提交的有关格式范例</w:t>
      </w:r>
    </w:p>
    <w:p w14:paraId="10EC98A1">
      <w:pPr>
        <w:spacing w:line="360" w:lineRule="auto"/>
        <w:jc w:val="center"/>
        <w:outlineLvl w:val="0"/>
        <w:rPr>
          <w:rFonts w:hint="eastAsia" w:ascii="仿宋" w:hAnsi="仿宋" w:eastAsia="仿宋" w:cs="仿宋"/>
          <w:b/>
          <w:color w:val="auto"/>
          <w:kern w:val="0"/>
          <w:sz w:val="36"/>
          <w:szCs w:val="36"/>
        </w:rPr>
      </w:pPr>
    </w:p>
    <w:p w14:paraId="1F471868">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2A01EFEF">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461DDAD6">
      <w:pPr>
        <w:spacing w:line="360" w:lineRule="auto"/>
        <w:jc w:val="center"/>
        <w:outlineLvl w:val="0"/>
        <w:rPr>
          <w:rFonts w:hint="eastAsia" w:ascii="仿宋" w:hAnsi="仿宋" w:eastAsia="仿宋" w:cs="仿宋"/>
          <w:b/>
          <w:color w:val="auto"/>
          <w:kern w:val="0"/>
          <w:sz w:val="36"/>
          <w:szCs w:val="36"/>
        </w:rPr>
      </w:pPr>
    </w:p>
    <w:p w14:paraId="3F496000">
      <w:pPr>
        <w:numPr>
          <w:ilvl w:val="0"/>
          <w:numId w:val="3"/>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符合参加采购活动应当具备的一般条件的承诺函……………（页码）</w:t>
      </w:r>
    </w:p>
    <w:p w14:paraId="24695C32">
      <w:pPr>
        <w:snapToGrid w:val="0"/>
        <w:spacing w:line="360" w:lineRule="auto"/>
        <w:rPr>
          <w:rFonts w:hint="eastAsia" w:ascii="仿宋" w:hAnsi="仿宋" w:eastAsia="仿宋" w:cs="仿宋"/>
          <w:color w:val="auto"/>
        </w:rPr>
      </w:pPr>
      <w:r>
        <w:rPr>
          <w:rFonts w:hint="eastAsia" w:ascii="仿宋" w:hAnsi="仿宋" w:eastAsia="仿宋" w:cs="仿宋"/>
          <w:color w:val="auto"/>
          <w:sz w:val="24"/>
        </w:rPr>
        <w:t>（2）落实采购政策需满足的资格要求；……………………………（页码）</w:t>
      </w:r>
    </w:p>
    <w:p w14:paraId="5967B65E">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（3）本项目的特定资格要求…………………………………………（页码）</w:t>
      </w:r>
    </w:p>
    <w:p w14:paraId="7CE6F752">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 xml:space="preserve">  一、 符合参加采购活动应当具备的一般条件的承诺函</w:t>
      </w:r>
    </w:p>
    <w:p w14:paraId="5398C0BF">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5F9B386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我方参与（项目名称）【交易编号：       】采购活动，郑重承诺：</w:t>
      </w:r>
    </w:p>
    <w:p w14:paraId="05674411">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（一）具备以下条件：</w:t>
      </w:r>
    </w:p>
    <w:p w14:paraId="55A75E0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14:paraId="312661D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0EC3CD8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0A162D6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2394EF8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5、参加采购活动前三年内，在经营活动中没有重大违法记录；</w:t>
      </w:r>
    </w:p>
    <w:p w14:paraId="5542682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3E9BBF5D">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（二）不存在以下情况：</w:t>
      </w:r>
    </w:p>
    <w:p w14:paraId="55DD155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1、单位负责人为同一人或者存在直接控股、管理关系的不同供应商参加同一合同项下的采购活动的；</w:t>
      </w:r>
    </w:p>
    <w:p w14:paraId="1107B53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7B1E836E">
      <w:pPr>
        <w:pStyle w:val="3"/>
        <w:rPr>
          <w:rFonts w:hint="eastAsia" w:ascii="仿宋" w:hAnsi="仿宋" w:eastAsia="仿宋" w:cs="仿宋"/>
          <w:color w:val="auto"/>
        </w:rPr>
      </w:pPr>
    </w:p>
    <w:p w14:paraId="47FD728F">
      <w:pPr>
        <w:spacing w:line="360" w:lineRule="auto"/>
        <w:rPr>
          <w:rFonts w:hint="eastAsia" w:ascii="仿宋" w:hAnsi="仿宋" w:eastAsia="仿宋" w:cs="仿宋"/>
          <w:color w:val="auto"/>
        </w:rPr>
      </w:pPr>
    </w:p>
    <w:p w14:paraId="568D7071">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供应商名称(电子签名)：</w:t>
      </w:r>
    </w:p>
    <w:p w14:paraId="1AE3FE77">
      <w:pPr>
        <w:snapToGrid w:val="0"/>
        <w:spacing w:line="360" w:lineRule="auto"/>
        <w:jc w:val="center"/>
        <w:rPr>
          <w:rFonts w:hint="eastAsia" w:ascii="仿宋" w:hAnsi="仿宋" w:eastAsia="仿宋" w:cs="仿宋"/>
          <w:color w:val="auto"/>
          <w:kern w:val="0"/>
          <w:sz w:val="24"/>
          <w:lang w:val="zh-CN"/>
        </w:rPr>
      </w:pPr>
    </w:p>
    <w:p w14:paraId="72FEF782">
      <w:pPr>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月日</w:t>
      </w:r>
    </w:p>
    <w:p w14:paraId="502F3D8E">
      <w:pPr>
        <w:snapToGrid w:val="0"/>
        <w:spacing w:line="360" w:lineRule="auto"/>
        <w:ind w:right="480"/>
        <w:jc w:val="center"/>
        <w:rPr>
          <w:rFonts w:hint="eastAsia" w:ascii="仿宋" w:hAnsi="仿宋" w:eastAsia="仿宋" w:cs="仿宋"/>
          <w:b/>
          <w:color w:val="auto"/>
          <w:kern w:val="0"/>
          <w:sz w:val="32"/>
          <w:szCs w:val="32"/>
        </w:rPr>
      </w:pPr>
    </w:p>
    <w:p w14:paraId="79516694">
      <w:pPr>
        <w:snapToGrid w:val="0"/>
        <w:spacing w:line="360" w:lineRule="auto"/>
        <w:ind w:right="480"/>
        <w:jc w:val="center"/>
        <w:rPr>
          <w:rFonts w:hint="eastAsia" w:ascii="仿宋" w:hAnsi="仿宋" w:eastAsia="仿宋" w:cs="仿宋"/>
          <w:b/>
          <w:color w:val="auto"/>
          <w:kern w:val="0"/>
          <w:sz w:val="32"/>
          <w:szCs w:val="32"/>
        </w:rPr>
      </w:pPr>
    </w:p>
    <w:p w14:paraId="3C156F2A">
      <w:pPr>
        <w:rPr>
          <w:rFonts w:hint="eastAsia" w:ascii="仿宋" w:hAnsi="仿宋" w:eastAsia="仿宋" w:cs="仿宋"/>
          <w:color w:val="auto"/>
        </w:rPr>
      </w:pPr>
    </w:p>
    <w:p w14:paraId="38F70711">
      <w:pPr>
        <w:snapToGrid w:val="0"/>
        <w:spacing w:line="360" w:lineRule="auto"/>
        <w:ind w:right="480"/>
        <w:jc w:val="center"/>
        <w:rPr>
          <w:rFonts w:hint="eastAsia" w:ascii="仿宋" w:hAnsi="仿宋" w:eastAsia="仿宋" w:cs="仿宋"/>
          <w:b/>
          <w:color w:val="auto"/>
          <w:kern w:val="0"/>
          <w:sz w:val="32"/>
          <w:szCs w:val="32"/>
        </w:rPr>
      </w:pPr>
    </w:p>
    <w:p w14:paraId="6EA4E721">
      <w:pPr>
        <w:snapToGrid w:val="0"/>
        <w:spacing w:line="360" w:lineRule="auto"/>
        <w:ind w:right="480"/>
        <w:jc w:val="center"/>
        <w:rPr>
          <w:rFonts w:hint="eastAsia" w:ascii="仿宋" w:hAnsi="仿宋" w:eastAsia="仿宋" w:cs="仿宋"/>
          <w:b/>
          <w:color w:val="auto"/>
          <w:kern w:val="0"/>
          <w:sz w:val="32"/>
          <w:szCs w:val="32"/>
        </w:rPr>
      </w:pPr>
    </w:p>
    <w:p w14:paraId="4D5FA7DA">
      <w:pPr>
        <w:snapToGrid w:val="0"/>
        <w:spacing w:line="360" w:lineRule="auto"/>
        <w:ind w:right="480"/>
        <w:jc w:val="center"/>
        <w:rPr>
          <w:rFonts w:hint="eastAsia" w:ascii="仿宋" w:hAnsi="仿宋" w:eastAsia="仿宋" w:cs="仿宋"/>
          <w:b/>
          <w:color w:val="auto"/>
          <w:kern w:val="0"/>
          <w:sz w:val="32"/>
          <w:szCs w:val="32"/>
        </w:rPr>
      </w:pPr>
    </w:p>
    <w:p w14:paraId="495F998D">
      <w:pPr>
        <w:rPr>
          <w:rFonts w:hint="eastAsia" w:ascii="仿宋" w:hAnsi="仿宋" w:eastAsia="仿宋" w:cs="仿宋"/>
          <w:b/>
          <w:color w:val="auto"/>
          <w:sz w:val="32"/>
          <w:szCs w:val="32"/>
        </w:rPr>
      </w:pPr>
      <w:r>
        <w:rPr>
          <w:rFonts w:hint="eastAsia" w:ascii="仿宋" w:hAnsi="仿宋" w:eastAsia="仿宋" w:cs="仿宋"/>
          <w:b/>
          <w:color w:val="auto"/>
          <w:kern w:val="0"/>
          <w:sz w:val="32"/>
          <w:szCs w:val="32"/>
        </w:rPr>
        <w:br w:type="page"/>
      </w:r>
    </w:p>
    <w:p w14:paraId="47DE9D05">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二、落实采购政策需满足的资格要求</w:t>
      </w:r>
    </w:p>
    <w:p w14:paraId="5386E18B">
      <w:pPr>
        <w:spacing w:line="360" w:lineRule="auto"/>
        <w:rPr>
          <w:rFonts w:hint="eastAsia" w:ascii="仿宋" w:hAnsi="仿宋" w:eastAsia="仿宋" w:cs="仿宋"/>
          <w:color w:val="auto"/>
          <w:sz w:val="24"/>
        </w:rPr>
      </w:pPr>
      <w:r>
        <w:rPr>
          <w:rFonts w:hint="eastAsia" w:ascii="仿宋" w:hAnsi="仿宋" w:eastAsia="仿宋" w:cs="仿宋"/>
          <w:color w:val="auto"/>
          <w:sz w:val="24"/>
        </w:rPr>
        <w:t>（根据交易公告落实采购政策需满足的资格要求选择提供相应的材料</w:t>
      </w:r>
      <w:r>
        <w:rPr>
          <w:rFonts w:hint="eastAsia" w:ascii="仿宋" w:hAnsi="仿宋" w:eastAsia="仿宋" w:cs="仿宋"/>
          <w:color w:val="auto"/>
          <w:sz w:val="24"/>
          <w:lang w:eastAsia="zh-CN"/>
        </w:rPr>
        <w:t>，</w:t>
      </w:r>
      <w:r>
        <w:rPr>
          <w:rFonts w:hint="eastAsia" w:ascii="仿宋" w:hAnsi="仿宋" w:eastAsia="仿宋" w:cs="仿宋"/>
          <w:color w:val="auto"/>
          <w:sz w:val="24"/>
        </w:rPr>
        <w:t>未要求的，无需提供）</w:t>
      </w:r>
    </w:p>
    <w:p w14:paraId="1031C104">
      <w:pPr>
        <w:snapToGrid w:val="0"/>
        <w:spacing w:before="50" w:after="50" w:line="360" w:lineRule="auto"/>
        <w:ind w:firstLine="470" w:firstLineChars="196"/>
        <w:jc w:val="left"/>
        <w:rPr>
          <w:rFonts w:hint="eastAsia" w:ascii="仿宋" w:hAnsi="仿宋" w:eastAsia="仿宋" w:cs="仿宋"/>
          <w:color w:val="auto"/>
          <w:sz w:val="24"/>
          <w:highlight w:val="none"/>
        </w:rPr>
      </w:pPr>
    </w:p>
    <w:p w14:paraId="4C0561B3">
      <w:pPr>
        <w:snapToGrid w:val="0"/>
        <w:spacing w:before="50" w:after="50" w:line="360" w:lineRule="auto"/>
        <w:ind w:firstLine="470" w:firstLineChars="196"/>
        <w:jc w:val="left"/>
        <w:rPr>
          <w:rFonts w:hint="eastAsia" w:ascii="仿宋" w:hAnsi="仿宋" w:eastAsia="仿宋" w:cs="仿宋"/>
          <w:color w:val="auto"/>
          <w:sz w:val="24"/>
        </w:rPr>
      </w:pPr>
      <w:r>
        <w:rPr>
          <w:rFonts w:hint="eastAsia" w:ascii="仿宋" w:hAnsi="仿宋" w:eastAsia="仿宋" w:cs="仿宋"/>
          <w:color w:val="auto"/>
          <w:sz w:val="24"/>
          <w:highlight w:val="none"/>
        </w:rPr>
        <w:t xml:space="preserve"> </w:t>
      </w:r>
    </w:p>
    <w:p w14:paraId="49A22B6B">
      <w:pPr>
        <w:widowControl/>
        <w:spacing w:line="360" w:lineRule="auto"/>
        <w:ind w:firstLine="2249" w:firstLineChars="700"/>
        <w:rPr>
          <w:rFonts w:hint="eastAsia" w:ascii="仿宋" w:hAnsi="仿宋" w:eastAsia="仿宋" w:cs="仿宋"/>
          <w:b/>
          <w:color w:val="auto"/>
          <w:kern w:val="0"/>
          <w:sz w:val="32"/>
          <w:szCs w:val="32"/>
        </w:rPr>
      </w:pPr>
    </w:p>
    <w:p w14:paraId="212380C5">
      <w:pPr>
        <w:widowControl/>
        <w:spacing w:line="360" w:lineRule="auto"/>
        <w:ind w:firstLine="2249" w:firstLineChars="700"/>
        <w:rPr>
          <w:rFonts w:hint="eastAsia" w:ascii="仿宋" w:hAnsi="仿宋" w:eastAsia="仿宋" w:cs="仿宋"/>
          <w:b/>
          <w:color w:val="auto"/>
          <w:kern w:val="0"/>
          <w:sz w:val="32"/>
          <w:szCs w:val="32"/>
        </w:rPr>
      </w:pPr>
    </w:p>
    <w:p w14:paraId="768B12CD">
      <w:pPr>
        <w:widowControl/>
        <w:spacing w:line="360" w:lineRule="auto"/>
        <w:ind w:firstLine="2249" w:firstLineChars="7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三、本项目的特定资格要求</w:t>
      </w:r>
    </w:p>
    <w:p w14:paraId="5C69F501">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（根据交易公告本项目的特定资格要求提供相应的材料；未要求的，无需提供）</w:t>
      </w:r>
    </w:p>
    <w:p w14:paraId="3C954A95">
      <w:pPr>
        <w:pStyle w:val="61"/>
        <w:rPr>
          <w:rFonts w:hint="eastAsia" w:ascii="仿宋" w:hAnsi="仿宋" w:eastAsia="仿宋" w:cs="仿宋"/>
          <w:color w:val="auto"/>
        </w:rPr>
      </w:pPr>
    </w:p>
    <w:p w14:paraId="08747B95">
      <w:pPr>
        <w:rPr>
          <w:rFonts w:hint="eastAsia" w:ascii="仿宋" w:hAnsi="仿宋" w:eastAsia="仿宋" w:cs="仿宋"/>
          <w:color w:val="auto"/>
        </w:rPr>
      </w:pPr>
    </w:p>
    <w:p w14:paraId="6119E84F">
      <w:pPr>
        <w:snapToGrid w:val="0"/>
        <w:spacing w:line="360" w:lineRule="auto"/>
        <w:ind w:right="480"/>
        <w:jc w:val="center"/>
        <w:rPr>
          <w:rFonts w:hint="eastAsia" w:ascii="仿宋" w:hAnsi="仿宋" w:eastAsia="仿宋" w:cs="仿宋"/>
          <w:b/>
          <w:color w:val="auto"/>
          <w:kern w:val="0"/>
          <w:sz w:val="32"/>
          <w:szCs w:val="32"/>
        </w:rPr>
      </w:pPr>
    </w:p>
    <w:p w14:paraId="6A3F9F64">
      <w:pPr>
        <w:snapToGrid w:val="0"/>
        <w:spacing w:line="360" w:lineRule="auto"/>
        <w:ind w:right="480"/>
        <w:jc w:val="center"/>
        <w:rPr>
          <w:rFonts w:hint="eastAsia" w:ascii="仿宋" w:hAnsi="仿宋" w:eastAsia="仿宋" w:cs="仿宋"/>
          <w:b/>
          <w:color w:val="auto"/>
          <w:kern w:val="0"/>
          <w:sz w:val="32"/>
          <w:szCs w:val="32"/>
        </w:rPr>
      </w:pPr>
    </w:p>
    <w:p w14:paraId="660E1558">
      <w:pPr>
        <w:rPr>
          <w:rFonts w:hint="eastAsia" w:ascii="仿宋" w:hAnsi="仿宋" w:eastAsia="仿宋" w:cs="仿宋"/>
          <w:color w:val="auto"/>
        </w:rPr>
      </w:pPr>
    </w:p>
    <w:p w14:paraId="468F6ABA">
      <w:pPr>
        <w:snapToGrid w:val="0"/>
        <w:spacing w:line="360" w:lineRule="auto"/>
        <w:ind w:right="480"/>
        <w:jc w:val="center"/>
        <w:rPr>
          <w:rFonts w:hint="eastAsia" w:ascii="仿宋" w:hAnsi="仿宋" w:eastAsia="仿宋" w:cs="仿宋"/>
          <w:b/>
          <w:color w:val="auto"/>
          <w:kern w:val="0"/>
          <w:sz w:val="32"/>
          <w:szCs w:val="32"/>
        </w:rPr>
      </w:pPr>
    </w:p>
    <w:p w14:paraId="5250C4C9">
      <w:pPr>
        <w:snapToGrid w:val="0"/>
        <w:spacing w:line="360" w:lineRule="auto"/>
        <w:ind w:right="480"/>
        <w:jc w:val="center"/>
        <w:rPr>
          <w:rFonts w:hint="eastAsia" w:ascii="仿宋" w:hAnsi="仿宋" w:eastAsia="仿宋" w:cs="仿宋"/>
          <w:b/>
          <w:color w:val="auto"/>
          <w:kern w:val="0"/>
          <w:sz w:val="32"/>
          <w:szCs w:val="32"/>
        </w:rPr>
      </w:pPr>
    </w:p>
    <w:p w14:paraId="3907ECC5">
      <w:pPr>
        <w:snapToGrid w:val="0"/>
        <w:spacing w:line="360" w:lineRule="auto"/>
        <w:ind w:right="480"/>
        <w:jc w:val="center"/>
        <w:rPr>
          <w:rFonts w:hint="eastAsia" w:ascii="仿宋" w:hAnsi="仿宋" w:eastAsia="仿宋" w:cs="仿宋"/>
          <w:b/>
          <w:color w:val="auto"/>
          <w:kern w:val="0"/>
          <w:sz w:val="32"/>
          <w:szCs w:val="32"/>
        </w:rPr>
      </w:pPr>
    </w:p>
    <w:p w14:paraId="4C5BD921">
      <w:pPr>
        <w:snapToGrid w:val="0"/>
        <w:spacing w:line="360" w:lineRule="auto"/>
        <w:ind w:right="480"/>
        <w:jc w:val="center"/>
        <w:rPr>
          <w:rFonts w:hint="eastAsia" w:ascii="仿宋" w:hAnsi="仿宋" w:eastAsia="仿宋" w:cs="仿宋"/>
          <w:b/>
          <w:color w:val="auto"/>
          <w:kern w:val="0"/>
          <w:sz w:val="32"/>
          <w:szCs w:val="32"/>
        </w:rPr>
      </w:pPr>
    </w:p>
    <w:p w14:paraId="4458FB9A">
      <w:pPr>
        <w:snapToGrid w:val="0"/>
        <w:spacing w:line="360" w:lineRule="auto"/>
        <w:ind w:right="480"/>
        <w:jc w:val="center"/>
        <w:rPr>
          <w:rFonts w:hint="eastAsia" w:ascii="仿宋" w:hAnsi="仿宋" w:eastAsia="仿宋" w:cs="仿宋"/>
          <w:b/>
          <w:color w:val="auto"/>
          <w:kern w:val="0"/>
          <w:sz w:val="32"/>
          <w:szCs w:val="32"/>
        </w:rPr>
      </w:pPr>
    </w:p>
    <w:p w14:paraId="1E6112DA">
      <w:pPr>
        <w:rPr>
          <w:rFonts w:hint="eastAsia" w:ascii="仿宋" w:hAnsi="仿宋" w:eastAsia="仿宋" w:cs="仿宋"/>
          <w:b/>
          <w:color w:val="auto"/>
          <w:kern w:val="0"/>
          <w:sz w:val="36"/>
          <w:szCs w:val="36"/>
        </w:rPr>
      </w:pPr>
    </w:p>
    <w:p w14:paraId="4BFF8D87">
      <w:pP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2343A43B">
      <w:pPr>
        <w:spacing w:line="360" w:lineRule="auto"/>
        <w:ind w:right="420" w:firstLine="3614" w:firstLineChars="100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15B01139">
      <w:pPr>
        <w:spacing w:line="360" w:lineRule="auto"/>
        <w:jc w:val="center"/>
        <w:outlineLvl w:val="0"/>
        <w:rPr>
          <w:rFonts w:hint="eastAsia" w:ascii="仿宋" w:hAnsi="仿宋" w:eastAsia="仿宋" w:cs="仿宋"/>
          <w:b/>
          <w:color w:val="auto"/>
          <w:kern w:val="0"/>
          <w:sz w:val="24"/>
        </w:rPr>
      </w:pPr>
    </w:p>
    <w:p w14:paraId="1E29AFAD">
      <w:pPr>
        <w:spacing w:line="36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239408BE">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（1）响应函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14:paraId="653A774F">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 xml:space="preserve">（3）符合性审查资料 </w:t>
      </w:r>
      <w:r>
        <w:rPr>
          <w:rFonts w:hint="eastAsia" w:ascii="仿宋" w:hAnsi="仿宋" w:eastAsia="仿宋" w:cs="仿宋"/>
          <w:color w:val="auto"/>
        </w:rPr>
        <w:t>……………………………………………………………………（页码）</w:t>
      </w:r>
    </w:p>
    <w:p w14:paraId="066CF215">
      <w:pPr>
        <w:snapToGrid w:val="0"/>
        <w:spacing w:line="360" w:lineRule="auto"/>
        <w:ind w:left="479" w:leftChars="228"/>
        <w:rPr>
          <w:rFonts w:hint="eastAsia" w:ascii="仿宋" w:hAnsi="仿宋" w:eastAsia="仿宋" w:cs="仿宋"/>
          <w:color w:val="auto"/>
          <w:sz w:val="24"/>
        </w:rPr>
      </w:pPr>
      <w:r>
        <w:rPr>
          <w:rFonts w:hint="eastAsia" w:ascii="仿宋" w:hAnsi="仿宋" w:eastAsia="仿宋" w:cs="仿宋"/>
          <w:color w:val="auto"/>
          <w:sz w:val="24"/>
        </w:rPr>
        <w:t>（4） 评标标准相应的商务技术资料……………………………………………（页码）</w:t>
      </w:r>
    </w:p>
    <w:p w14:paraId="4DF23BC8">
      <w:pPr>
        <w:snapToGrid w:val="0"/>
        <w:spacing w:line="360" w:lineRule="auto"/>
        <w:ind w:left="479" w:leftChars="228"/>
        <w:rPr>
          <w:rFonts w:hint="eastAsia" w:ascii="仿宋" w:hAnsi="仿宋" w:eastAsia="仿宋" w:cs="仿宋"/>
          <w:color w:val="auto"/>
          <w:sz w:val="24"/>
        </w:rPr>
      </w:pPr>
      <w:r>
        <w:rPr>
          <w:rFonts w:hint="eastAsia" w:ascii="仿宋" w:hAnsi="仿宋" w:eastAsia="仿宋" w:cs="仿宋"/>
          <w:color w:val="auto"/>
          <w:sz w:val="24"/>
        </w:rPr>
        <w:t>（5）交易标的清单………………………………………………………………（页码）</w:t>
      </w:r>
    </w:p>
    <w:p w14:paraId="5B281575">
      <w:pPr>
        <w:snapToGrid w:val="0"/>
        <w:spacing w:line="360" w:lineRule="auto"/>
        <w:ind w:left="479" w:leftChars="228"/>
        <w:rPr>
          <w:rFonts w:hint="eastAsia" w:ascii="仿宋" w:hAnsi="仿宋" w:eastAsia="仿宋" w:cs="仿宋"/>
          <w:color w:val="auto"/>
          <w:sz w:val="24"/>
        </w:rPr>
      </w:pPr>
      <w:r>
        <w:rPr>
          <w:rFonts w:hint="eastAsia" w:ascii="仿宋" w:hAnsi="仿宋" w:eastAsia="仿宋" w:cs="仿宋"/>
          <w:color w:val="auto"/>
          <w:sz w:val="24"/>
        </w:rPr>
        <w:t>（6）商务技术偏离表……………………………………………………………（页码）</w:t>
      </w:r>
    </w:p>
    <w:p w14:paraId="26D55E05">
      <w:pPr>
        <w:snapToGrid w:val="0"/>
        <w:spacing w:line="360" w:lineRule="auto"/>
        <w:ind w:left="479" w:leftChars="228"/>
        <w:rPr>
          <w:rFonts w:hint="eastAsia" w:ascii="仿宋" w:hAnsi="仿宋" w:eastAsia="仿宋" w:cs="仿宋"/>
          <w:color w:val="auto"/>
          <w:sz w:val="24"/>
        </w:rPr>
      </w:pPr>
      <w:r>
        <w:rPr>
          <w:rFonts w:hint="eastAsia" w:ascii="仿宋" w:hAnsi="仿宋" w:eastAsia="仿宋" w:cs="仿宋"/>
          <w:color w:val="auto"/>
          <w:sz w:val="24"/>
        </w:rPr>
        <w:t>（7）</w:t>
      </w:r>
      <w:r>
        <w:rPr>
          <w:rFonts w:hint="eastAsia" w:ascii="仿宋" w:hAnsi="仿宋" w:eastAsia="仿宋" w:cs="仿宋"/>
          <w:color w:val="auto"/>
          <w:sz w:val="24"/>
          <w:lang w:val="zh-CN"/>
        </w:rPr>
        <w:t>采购供应商廉洁自律承诺书</w:t>
      </w:r>
      <w:r>
        <w:rPr>
          <w:rFonts w:hint="eastAsia" w:ascii="仿宋" w:hAnsi="仿宋" w:eastAsia="仿宋" w:cs="仿宋"/>
          <w:color w:val="auto"/>
          <w:sz w:val="24"/>
        </w:rPr>
        <w:t>………………………………………………（页码）</w:t>
      </w:r>
    </w:p>
    <w:p w14:paraId="5963F1EA">
      <w:pPr>
        <w:snapToGrid w:val="0"/>
        <w:spacing w:line="360" w:lineRule="auto"/>
        <w:jc w:val="center"/>
        <w:rPr>
          <w:rFonts w:hint="eastAsia" w:ascii="仿宋" w:hAnsi="仿宋" w:eastAsia="仿宋" w:cs="仿宋"/>
          <w:b/>
          <w:color w:val="auto"/>
          <w:kern w:val="0"/>
          <w:sz w:val="32"/>
          <w:szCs w:val="32"/>
          <w:lang w:val="zh-CN"/>
        </w:rPr>
      </w:pPr>
    </w:p>
    <w:p w14:paraId="265715F1">
      <w:pPr>
        <w:snapToGrid w:val="0"/>
        <w:spacing w:line="360" w:lineRule="auto"/>
        <w:jc w:val="center"/>
        <w:rPr>
          <w:rFonts w:hint="eastAsia" w:ascii="仿宋" w:hAnsi="仿宋" w:eastAsia="仿宋" w:cs="仿宋"/>
          <w:b/>
          <w:color w:val="auto"/>
          <w:kern w:val="0"/>
          <w:sz w:val="32"/>
          <w:szCs w:val="32"/>
          <w:lang w:val="zh-CN"/>
        </w:rPr>
      </w:pPr>
    </w:p>
    <w:p w14:paraId="1A8F8338">
      <w:pPr>
        <w:snapToGrid w:val="0"/>
        <w:spacing w:line="360" w:lineRule="auto"/>
        <w:jc w:val="center"/>
        <w:rPr>
          <w:rFonts w:hint="eastAsia" w:ascii="仿宋" w:hAnsi="仿宋" w:eastAsia="仿宋" w:cs="仿宋"/>
          <w:b/>
          <w:color w:val="auto"/>
          <w:kern w:val="0"/>
          <w:sz w:val="32"/>
          <w:szCs w:val="32"/>
          <w:lang w:val="zh-CN"/>
        </w:rPr>
      </w:pPr>
    </w:p>
    <w:p w14:paraId="370D2E24">
      <w:pPr>
        <w:snapToGrid w:val="0"/>
        <w:spacing w:line="360" w:lineRule="auto"/>
        <w:jc w:val="center"/>
        <w:rPr>
          <w:rFonts w:hint="eastAsia" w:ascii="仿宋" w:hAnsi="仿宋" w:eastAsia="仿宋" w:cs="仿宋"/>
          <w:b/>
          <w:color w:val="auto"/>
          <w:kern w:val="0"/>
          <w:sz w:val="32"/>
          <w:szCs w:val="32"/>
          <w:lang w:val="zh-CN"/>
        </w:rPr>
      </w:pPr>
    </w:p>
    <w:p w14:paraId="0CA3FEBB">
      <w:pPr>
        <w:snapToGrid w:val="0"/>
        <w:spacing w:line="360" w:lineRule="auto"/>
        <w:jc w:val="center"/>
        <w:rPr>
          <w:rFonts w:hint="eastAsia" w:ascii="仿宋" w:hAnsi="仿宋" w:eastAsia="仿宋" w:cs="仿宋"/>
          <w:b/>
          <w:color w:val="auto"/>
          <w:kern w:val="0"/>
          <w:sz w:val="32"/>
          <w:szCs w:val="32"/>
          <w:lang w:val="zh-CN"/>
        </w:rPr>
      </w:pPr>
    </w:p>
    <w:p w14:paraId="457862F1">
      <w:pPr>
        <w:snapToGrid w:val="0"/>
        <w:spacing w:line="360" w:lineRule="auto"/>
        <w:jc w:val="center"/>
        <w:outlineLvl w:val="0"/>
        <w:rPr>
          <w:rFonts w:hint="eastAsia" w:ascii="仿宋" w:hAnsi="仿宋" w:eastAsia="仿宋" w:cs="仿宋"/>
          <w:b/>
          <w:color w:val="auto"/>
          <w:kern w:val="0"/>
          <w:sz w:val="32"/>
          <w:szCs w:val="32"/>
        </w:rPr>
      </w:pPr>
    </w:p>
    <w:p w14:paraId="152AD83A">
      <w:pPr>
        <w:snapToGrid w:val="0"/>
        <w:spacing w:line="360" w:lineRule="auto"/>
        <w:jc w:val="center"/>
        <w:outlineLvl w:val="0"/>
        <w:rPr>
          <w:rFonts w:hint="eastAsia" w:ascii="仿宋" w:hAnsi="仿宋" w:eastAsia="仿宋" w:cs="仿宋"/>
          <w:b/>
          <w:color w:val="auto"/>
          <w:kern w:val="0"/>
          <w:sz w:val="32"/>
          <w:szCs w:val="32"/>
        </w:rPr>
      </w:pPr>
    </w:p>
    <w:p w14:paraId="6BE9D8B8">
      <w:pPr>
        <w:rPr>
          <w:rFonts w:hint="eastAsia" w:ascii="仿宋" w:hAnsi="仿宋" w:eastAsia="仿宋" w:cs="仿宋"/>
          <w:color w:val="auto"/>
        </w:rPr>
      </w:pPr>
    </w:p>
    <w:p w14:paraId="18700EA0">
      <w:pPr>
        <w:snapToGrid w:val="0"/>
        <w:spacing w:line="360" w:lineRule="auto"/>
        <w:jc w:val="center"/>
        <w:outlineLvl w:val="0"/>
        <w:rPr>
          <w:rFonts w:hint="eastAsia" w:ascii="仿宋" w:hAnsi="仿宋" w:eastAsia="仿宋" w:cs="仿宋"/>
          <w:b/>
          <w:color w:val="auto"/>
          <w:kern w:val="0"/>
          <w:sz w:val="32"/>
          <w:szCs w:val="32"/>
        </w:rPr>
      </w:pPr>
    </w:p>
    <w:p w14:paraId="30EA987B">
      <w:pPr>
        <w:snapToGrid w:val="0"/>
        <w:spacing w:line="360" w:lineRule="auto"/>
        <w:jc w:val="center"/>
        <w:outlineLvl w:val="0"/>
        <w:rPr>
          <w:rFonts w:hint="eastAsia" w:ascii="仿宋" w:hAnsi="仿宋" w:eastAsia="仿宋" w:cs="仿宋"/>
          <w:b/>
          <w:color w:val="auto"/>
          <w:kern w:val="0"/>
          <w:sz w:val="32"/>
          <w:szCs w:val="32"/>
        </w:rPr>
      </w:pPr>
    </w:p>
    <w:p w14:paraId="02D8F970">
      <w:pPr>
        <w:snapToGrid w:val="0"/>
        <w:spacing w:line="360" w:lineRule="auto"/>
        <w:jc w:val="center"/>
        <w:outlineLvl w:val="0"/>
        <w:rPr>
          <w:rFonts w:hint="eastAsia" w:ascii="仿宋" w:hAnsi="仿宋" w:eastAsia="仿宋" w:cs="仿宋"/>
          <w:b/>
          <w:color w:val="auto"/>
          <w:kern w:val="0"/>
          <w:sz w:val="32"/>
          <w:szCs w:val="32"/>
        </w:rPr>
      </w:pPr>
    </w:p>
    <w:p w14:paraId="7BCEF997">
      <w:pPr>
        <w:snapToGrid w:val="0"/>
        <w:spacing w:line="360" w:lineRule="auto"/>
        <w:jc w:val="center"/>
        <w:outlineLvl w:val="0"/>
        <w:rPr>
          <w:rFonts w:hint="eastAsia" w:ascii="仿宋" w:hAnsi="仿宋" w:eastAsia="仿宋" w:cs="仿宋"/>
          <w:b/>
          <w:color w:val="auto"/>
          <w:kern w:val="0"/>
          <w:sz w:val="32"/>
          <w:szCs w:val="32"/>
        </w:rPr>
      </w:pPr>
    </w:p>
    <w:p w14:paraId="61AFD3F3">
      <w:pPr>
        <w:snapToGrid w:val="0"/>
        <w:spacing w:line="360" w:lineRule="auto"/>
        <w:jc w:val="center"/>
        <w:outlineLvl w:val="0"/>
        <w:rPr>
          <w:rFonts w:hint="eastAsia" w:ascii="仿宋" w:hAnsi="仿宋" w:eastAsia="仿宋" w:cs="仿宋"/>
          <w:b/>
          <w:color w:val="auto"/>
          <w:kern w:val="0"/>
          <w:sz w:val="32"/>
          <w:szCs w:val="32"/>
        </w:rPr>
      </w:pPr>
    </w:p>
    <w:p w14:paraId="6855462F">
      <w:pPr>
        <w:snapToGrid w:val="0"/>
        <w:spacing w:line="360" w:lineRule="auto"/>
        <w:jc w:val="center"/>
        <w:outlineLvl w:val="0"/>
        <w:rPr>
          <w:rFonts w:hint="eastAsia" w:ascii="仿宋" w:hAnsi="仿宋" w:eastAsia="仿宋" w:cs="仿宋"/>
          <w:b/>
          <w:color w:val="auto"/>
          <w:kern w:val="0"/>
          <w:sz w:val="32"/>
          <w:szCs w:val="32"/>
        </w:rPr>
      </w:pPr>
    </w:p>
    <w:p w14:paraId="585A02B2">
      <w:pPr>
        <w:jc w:val="center"/>
        <w:rPr>
          <w:rFonts w:hint="eastAsia" w:ascii="仿宋" w:hAnsi="仿宋" w:eastAsia="仿宋" w:cs="仿宋"/>
          <w:b/>
          <w:color w:val="auto"/>
          <w:kern w:val="0"/>
          <w:sz w:val="32"/>
          <w:szCs w:val="32"/>
        </w:rPr>
      </w:pPr>
    </w:p>
    <w:p w14:paraId="4C0B5661">
      <w:pPr>
        <w:jc w:val="center"/>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一、响应</w:t>
      </w:r>
      <w:r>
        <w:rPr>
          <w:rFonts w:hint="eastAsia" w:ascii="仿宋" w:hAnsi="仿宋" w:eastAsia="仿宋" w:cs="仿宋"/>
          <w:b/>
          <w:color w:val="auto"/>
          <w:sz w:val="32"/>
          <w:szCs w:val="32"/>
        </w:rPr>
        <w:t>函</w:t>
      </w:r>
    </w:p>
    <w:p w14:paraId="68940FC8">
      <w:pPr>
        <w:snapToGrid w:val="0"/>
        <w:spacing w:line="440" w:lineRule="exact"/>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r>
        <w:rPr>
          <w:rFonts w:hint="eastAsia" w:ascii="仿宋" w:hAnsi="仿宋" w:eastAsia="仿宋" w:cs="仿宋"/>
          <w:color w:val="auto"/>
          <w:sz w:val="24"/>
        </w:rPr>
        <w:t>：</w:t>
      </w:r>
    </w:p>
    <w:p w14:paraId="274B42F1">
      <w:pPr>
        <w:snapToGrid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w:t>
      </w:r>
      <w:r>
        <w:rPr>
          <w:rFonts w:hint="eastAsia" w:ascii="仿宋" w:hAnsi="仿宋" w:eastAsia="仿宋" w:cs="仿宋"/>
          <w:color w:val="auto"/>
          <w:sz w:val="24"/>
          <w:u w:val="single"/>
        </w:rPr>
        <w:t>（项目名称）【交易编号：       】</w:t>
      </w:r>
      <w:r>
        <w:rPr>
          <w:rFonts w:hint="eastAsia" w:ascii="仿宋" w:hAnsi="仿宋" w:eastAsia="仿宋" w:cs="仿宋"/>
          <w:color w:val="auto"/>
          <w:sz w:val="24"/>
        </w:rPr>
        <w:t>交易的有关活动，并对此项目进行响应。为此：</w:t>
      </w:r>
    </w:p>
    <w:p w14:paraId="74C53A67">
      <w:pPr>
        <w:snapToGrid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1、我方承诺交易有效期从提交响应文件的截止之日起天（不少于90天）</w:t>
      </w:r>
      <w:r>
        <w:rPr>
          <w:rFonts w:hint="eastAsia" w:ascii="仿宋" w:hAnsi="仿宋" w:eastAsia="仿宋" w:cs="仿宋"/>
          <w:color w:val="auto"/>
        </w:rPr>
        <w:t>，</w:t>
      </w:r>
      <w:r>
        <w:rPr>
          <w:rFonts w:hint="eastAsia" w:ascii="仿宋" w:hAnsi="仿宋" w:eastAsia="仿宋" w:cs="仿宋"/>
          <w:color w:val="auto"/>
          <w:sz w:val="24"/>
        </w:rPr>
        <w:t>本响应文件在交易有效期满之前均具有约束力。</w:t>
      </w:r>
    </w:p>
    <w:p w14:paraId="70911FA1">
      <w:pPr>
        <w:snapToGrid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2、我方的响应文件包括以下内容：</w:t>
      </w:r>
    </w:p>
    <w:p w14:paraId="68647C1B">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14:paraId="6A71FC0F">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14:paraId="14D2EF96">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2.1.2落实采购政策需满足的资格要求</w:t>
      </w:r>
    </w:p>
    <w:p w14:paraId="6B7FBCA5">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2.1.3本项目的特定资格要求（如果有）。</w:t>
      </w:r>
    </w:p>
    <w:p w14:paraId="0FF672E3">
      <w:pPr>
        <w:snapToGrid w:val="0"/>
        <w:spacing w:line="440" w:lineRule="exact"/>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2商务技术</w:t>
      </w:r>
      <w:r>
        <w:rPr>
          <w:rFonts w:hint="eastAsia" w:ascii="仿宋" w:hAnsi="仿宋" w:eastAsia="仿宋" w:cs="仿宋"/>
          <w:color w:val="auto"/>
          <w:sz w:val="24"/>
          <w:lang w:val="zh-CN"/>
        </w:rPr>
        <w:t>文件：</w:t>
      </w:r>
    </w:p>
    <w:p w14:paraId="1C7031C9">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2.2.1响应函；</w:t>
      </w:r>
    </w:p>
    <w:p w14:paraId="2D2D7E19">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14:paraId="0F641629">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2.2.3符合性审查资料；</w:t>
      </w:r>
    </w:p>
    <w:p w14:paraId="07411F48">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2.2.4评标标准相应的商务技术资料；</w:t>
      </w:r>
    </w:p>
    <w:p w14:paraId="04D4D5C7">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2.2.5交易标的清单；</w:t>
      </w:r>
    </w:p>
    <w:p w14:paraId="18263BF0">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2.2.6商务技术偏离表；</w:t>
      </w:r>
    </w:p>
    <w:p w14:paraId="54086B30">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2.2.7</w:t>
      </w:r>
      <w:r>
        <w:rPr>
          <w:rFonts w:hint="eastAsia" w:ascii="仿宋" w:hAnsi="仿宋" w:eastAsia="仿宋" w:cs="仿宋"/>
          <w:color w:val="auto"/>
          <w:sz w:val="24"/>
          <w:lang w:val="zh-CN"/>
        </w:rPr>
        <w:t>采购供应商廉洁自律承诺书。</w:t>
      </w:r>
    </w:p>
    <w:p w14:paraId="33D90779">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782D8E82">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2.3.1交易一览表（报价表）。</w:t>
      </w:r>
    </w:p>
    <w:p w14:paraId="49484AC0">
      <w:pPr>
        <w:snapToGrid w:val="0"/>
        <w:spacing w:line="44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2.3.2供应商针对报价需要说明的其他文件和资料（格式自拟）。</w:t>
      </w:r>
    </w:p>
    <w:p w14:paraId="05147895">
      <w:pPr>
        <w:snapToGrid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3、我方承诺除商务技术偏离表列出的偏离外，我方响应交易文件的全部要求。</w:t>
      </w:r>
    </w:p>
    <w:p w14:paraId="4AE61F33">
      <w:pPr>
        <w:snapToGrid w:val="0"/>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4、如我方成交，我方承诺：</w:t>
      </w:r>
    </w:p>
    <w:p w14:paraId="6DA8364F">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4.1在收到成交通知书后，在成交通知书规定的期限内与你方签订合同； </w:t>
      </w:r>
    </w:p>
    <w:p w14:paraId="64E6DB10">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14:paraId="2A93DD5B">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4.3在合同约定的期限内完成合同规定的全部义务。 </w:t>
      </w:r>
    </w:p>
    <w:p w14:paraId="6BCD982C">
      <w:pPr>
        <w:snapToGrid w:val="0"/>
        <w:spacing w:line="44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5、其他补充说明:。</w:t>
      </w:r>
    </w:p>
    <w:p w14:paraId="5763D8D0">
      <w:pPr>
        <w:spacing w:line="440" w:lineRule="exact"/>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供应商名称（电子签名）：                          </w:t>
      </w:r>
    </w:p>
    <w:p w14:paraId="3A5F982C">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0B459E35">
      <w:pPr>
        <w:jc w:val="left"/>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3462C468">
      <w:pPr>
        <w:rPr>
          <w:rFonts w:hint="eastAsia" w:ascii="仿宋" w:hAnsi="仿宋" w:eastAsia="仿宋" w:cs="仿宋"/>
          <w:color w:val="auto"/>
          <w:sz w:val="24"/>
        </w:rPr>
      </w:pPr>
      <w:r>
        <w:rPr>
          <w:rFonts w:hint="eastAsia" w:ascii="仿宋" w:hAnsi="仿宋" w:eastAsia="仿宋" w:cs="仿宋"/>
          <w:color w:val="auto"/>
          <w:sz w:val="24"/>
        </w:rPr>
        <w:br w:type="page"/>
      </w:r>
    </w:p>
    <w:p w14:paraId="0F556439">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14:paraId="050AA9D2">
      <w:pPr>
        <w:snapToGrid w:val="0"/>
        <w:spacing w:line="360" w:lineRule="auto"/>
        <w:rPr>
          <w:rFonts w:hint="eastAsia" w:ascii="仿宋" w:hAnsi="仿宋" w:eastAsia="仿宋" w:cs="仿宋"/>
          <w:color w:val="auto"/>
          <w:sz w:val="24"/>
        </w:rPr>
      </w:pPr>
    </w:p>
    <w:p w14:paraId="24643E33">
      <w:pPr>
        <w:snapToGrid w:val="0"/>
        <w:spacing w:line="360" w:lineRule="auto"/>
        <w:jc w:val="center"/>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w:t>
      </w:r>
    </w:p>
    <w:p w14:paraId="2A92B2F4">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2B64783C">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委托（姓名）为我方代理人（身份证号码：，手机：），以我方名义处理</w:t>
      </w:r>
      <w:r>
        <w:rPr>
          <w:rFonts w:hint="eastAsia" w:ascii="仿宋" w:hAnsi="仿宋" w:eastAsia="仿宋" w:cs="仿宋"/>
          <w:color w:val="auto"/>
          <w:sz w:val="24"/>
        </w:rPr>
        <w:t>（项目名称）【交易编号：    】</w:t>
      </w:r>
      <w:r>
        <w:rPr>
          <w:rFonts w:hint="eastAsia" w:ascii="仿宋" w:hAnsi="仿宋" w:eastAsia="仿宋" w:cs="仿宋"/>
          <w:color w:val="auto"/>
          <w:kern w:val="0"/>
          <w:sz w:val="24"/>
          <w:lang w:val="zh-CN"/>
        </w:rPr>
        <w:t>交易的一切事项，其法律后果由我方承担。</w:t>
      </w:r>
    </w:p>
    <w:p w14:paraId="15F914D1">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自年月日起至年月日止。</w:t>
      </w:r>
    </w:p>
    <w:p w14:paraId="5EFAEC2C">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特此告知。</w:t>
      </w:r>
    </w:p>
    <w:p w14:paraId="498E84E0">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供应商名称(电子签名)：</w:t>
      </w:r>
    </w:p>
    <w:p w14:paraId="04515DE0">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14:paraId="2CECB094">
      <w:pPr>
        <w:snapToGrid w:val="0"/>
        <w:spacing w:line="360" w:lineRule="auto"/>
        <w:rPr>
          <w:rFonts w:hint="eastAsia" w:ascii="仿宋" w:hAnsi="仿宋" w:eastAsia="仿宋" w:cs="仿宋"/>
          <w:color w:val="auto"/>
          <w:sz w:val="24"/>
        </w:rPr>
      </w:pPr>
    </w:p>
    <w:p w14:paraId="59B684AE">
      <w:pPr>
        <w:snapToGrid w:val="0"/>
        <w:spacing w:line="360" w:lineRule="auto"/>
        <w:rPr>
          <w:rFonts w:hint="eastAsia" w:ascii="仿宋" w:hAnsi="仿宋" w:eastAsia="仿宋" w:cs="仿宋"/>
          <w:color w:val="auto"/>
          <w:kern w:val="0"/>
          <w:sz w:val="24"/>
          <w:lang w:val="zh-CN"/>
        </w:rPr>
      </w:pPr>
    </w:p>
    <w:p w14:paraId="40792858">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的身份证明（适用于法定代表人、单位负责人或者自然人本人代表供应商参加交易）</w:t>
      </w:r>
    </w:p>
    <w:p w14:paraId="7051814A">
      <w:pPr>
        <w:pStyle w:val="148"/>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C4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14:paraId="4952A941">
            <w:pPr>
              <w:pStyle w:val="148"/>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14:paraId="4A6B1D68">
            <w:pPr>
              <w:pStyle w:val="148"/>
              <w:adjustRightInd w:val="0"/>
              <w:spacing w:line="360" w:lineRule="auto"/>
              <w:rPr>
                <w:rFonts w:hint="eastAsia" w:ascii="仿宋" w:hAnsi="仿宋" w:eastAsia="仿宋" w:cs="仿宋"/>
                <w:bCs/>
                <w:color w:val="auto"/>
                <w:sz w:val="24"/>
              </w:rPr>
            </w:pPr>
          </w:p>
        </w:tc>
      </w:tr>
    </w:tbl>
    <w:p w14:paraId="343B0369">
      <w:pPr>
        <w:snapToGrid w:val="0"/>
        <w:spacing w:line="360" w:lineRule="auto"/>
        <w:ind w:firstLine="576"/>
        <w:jc w:val="center"/>
        <w:rPr>
          <w:rFonts w:hint="eastAsia" w:ascii="仿宋" w:hAnsi="仿宋" w:eastAsia="仿宋" w:cs="仿宋"/>
          <w:color w:val="auto"/>
          <w:kern w:val="0"/>
          <w:sz w:val="24"/>
          <w:lang w:val="zh-CN"/>
        </w:rPr>
      </w:pPr>
    </w:p>
    <w:p w14:paraId="4D718157">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供应商名称(电子签名)：                              </w:t>
      </w:r>
    </w:p>
    <w:p w14:paraId="10556D48">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1CDAA43B">
      <w:pPr>
        <w:snapToGrid w:val="0"/>
        <w:spacing w:line="360" w:lineRule="auto"/>
        <w:rPr>
          <w:rFonts w:hint="eastAsia" w:ascii="仿宋" w:hAnsi="仿宋" w:eastAsia="仿宋" w:cs="仿宋"/>
          <w:color w:val="auto"/>
          <w:kern w:val="0"/>
          <w:sz w:val="24"/>
        </w:rPr>
      </w:pPr>
    </w:p>
    <w:p w14:paraId="1E91A68A">
      <w:pPr>
        <w:pStyle w:val="62"/>
        <w:ind w:firstLine="420"/>
        <w:rPr>
          <w:rFonts w:hint="eastAsia" w:ascii="仿宋" w:hAnsi="仿宋" w:eastAsia="仿宋" w:cs="仿宋"/>
          <w:color w:val="auto"/>
        </w:rPr>
      </w:pPr>
    </w:p>
    <w:p w14:paraId="57645488">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三、符合性审查资料</w:t>
      </w:r>
    </w:p>
    <w:p w14:paraId="4C9A0365">
      <w:pPr>
        <w:jc w:val="center"/>
        <w:rPr>
          <w:rFonts w:hint="eastAsia" w:ascii="仿宋" w:hAnsi="仿宋" w:eastAsia="仿宋" w:cs="仿宋"/>
          <w:b/>
          <w:color w:val="auto"/>
          <w:kern w:val="0"/>
          <w:sz w:val="32"/>
          <w:szCs w:val="32"/>
        </w:rPr>
      </w:pPr>
    </w:p>
    <w:tbl>
      <w:tblPr>
        <w:tblStyle w:val="6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5AF1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8BCCBC0">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4672" w:type="dxa"/>
            <w:vAlign w:val="center"/>
          </w:tcPr>
          <w:p w14:paraId="489D954E">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14:paraId="1D17D6EF">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14:paraId="7D6D7CEE">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响应文件中的</w:t>
            </w:r>
          </w:p>
          <w:p w14:paraId="7B97B252">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页码位置</w:t>
            </w:r>
          </w:p>
        </w:tc>
      </w:tr>
      <w:tr w14:paraId="51D6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0A379F">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4672" w:type="dxa"/>
            <w:vAlign w:val="center"/>
          </w:tcPr>
          <w:p w14:paraId="3643A970">
            <w:pPr>
              <w:jc w:val="left"/>
              <w:rPr>
                <w:rFonts w:hint="eastAsia" w:ascii="仿宋" w:hAnsi="仿宋" w:eastAsia="仿宋" w:cs="仿宋"/>
                <w:color w:val="auto"/>
                <w:sz w:val="24"/>
              </w:rPr>
            </w:pPr>
            <w:r>
              <w:rPr>
                <w:rFonts w:hint="eastAsia" w:ascii="仿宋" w:hAnsi="仿宋" w:eastAsia="仿宋" w:cs="仿宋"/>
                <w:color w:val="auto"/>
                <w:sz w:val="24"/>
              </w:rPr>
              <w:t>响应文件按照交易文件要求签署、盖章。</w:t>
            </w:r>
          </w:p>
        </w:tc>
        <w:tc>
          <w:tcPr>
            <w:tcW w:w="2551" w:type="dxa"/>
            <w:vAlign w:val="center"/>
          </w:tcPr>
          <w:p w14:paraId="778D85D8">
            <w:pPr>
              <w:jc w:val="left"/>
              <w:rPr>
                <w:rFonts w:hint="eastAsia" w:ascii="仿宋" w:hAnsi="仿宋" w:eastAsia="仿宋" w:cs="仿宋"/>
                <w:color w:val="auto"/>
                <w:sz w:val="24"/>
              </w:rPr>
            </w:pPr>
            <w:r>
              <w:rPr>
                <w:rFonts w:hint="eastAsia" w:ascii="仿宋" w:hAnsi="仿宋" w:eastAsia="仿宋" w:cs="仿宋"/>
                <w:color w:val="auto"/>
                <w:sz w:val="24"/>
              </w:rPr>
              <w:t>需要使用电子签名或者签字盖章的响应文件的组成部分</w:t>
            </w:r>
          </w:p>
        </w:tc>
        <w:tc>
          <w:tcPr>
            <w:tcW w:w="1418" w:type="dxa"/>
            <w:vAlign w:val="center"/>
          </w:tcPr>
          <w:p w14:paraId="331206E6">
            <w:pPr>
              <w:jc w:val="center"/>
              <w:rPr>
                <w:rFonts w:hint="eastAsia" w:ascii="仿宋" w:hAnsi="仿宋" w:eastAsia="仿宋" w:cs="仿宋"/>
                <w:color w:val="auto"/>
                <w:sz w:val="24"/>
              </w:rPr>
            </w:pPr>
            <w:r>
              <w:rPr>
                <w:rFonts w:hint="eastAsia" w:ascii="仿宋" w:hAnsi="仿宋" w:eastAsia="仿宋" w:cs="仿宋"/>
                <w:color w:val="auto"/>
                <w:sz w:val="24"/>
              </w:rPr>
              <w:t>见响应文件</w:t>
            </w:r>
          </w:p>
          <w:p w14:paraId="0C173129">
            <w:pPr>
              <w:jc w:val="center"/>
              <w:rPr>
                <w:rFonts w:hint="eastAsia" w:ascii="仿宋" w:hAnsi="仿宋" w:eastAsia="仿宋" w:cs="仿宋"/>
                <w:color w:val="auto"/>
              </w:rPr>
            </w:pPr>
            <w:r>
              <w:rPr>
                <w:rFonts w:hint="eastAsia" w:ascii="仿宋" w:hAnsi="仿宋" w:eastAsia="仿宋" w:cs="仿宋"/>
                <w:color w:val="auto"/>
                <w:sz w:val="24"/>
              </w:rPr>
              <w:t>第页</w:t>
            </w:r>
          </w:p>
        </w:tc>
      </w:tr>
      <w:tr w14:paraId="3200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F0387F">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4672" w:type="dxa"/>
            <w:vAlign w:val="center"/>
          </w:tcPr>
          <w:p w14:paraId="5095E2B0">
            <w:pPr>
              <w:jc w:val="left"/>
              <w:rPr>
                <w:rFonts w:hint="eastAsia" w:ascii="仿宋" w:hAnsi="仿宋" w:eastAsia="仿宋" w:cs="仿宋"/>
                <w:color w:val="auto"/>
                <w:sz w:val="24"/>
              </w:rPr>
            </w:pPr>
            <w:r>
              <w:rPr>
                <w:rFonts w:hint="eastAsia" w:ascii="仿宋" w:hAnsi="仿宋" w:eastAsia="仿宋" w:cs="仿宋"/>
                <w:color w:val="auto"/>
                <w:sz w:val="24"/>
              </w:rPr>
              <w:t>响应文件中承诺的交易有效期不少于交易文件中载明的交易有效期。</w:t>
            </w:r>
          </w:p>
        </w:tc>
        <w:tc>
          <w:tcPr>
            <w:tcW w:w="2551" w:type="dxa"/>
            <w:vAlign w:val="center"/>
          </w:tcPr>
          <w:p w14:paraId="4E125399">
            <w:pPr>
              <w:jc w:val="left"/>
              <w:rPr>
                <w:rFonts w:hint="eastAsia" w:ascii="仿宋" w:hAnsi="仿宋" w:eastAsia="仿宋" w:cs="仿宋"/>
                <w:color w:val="auto"/>
                <w:sz w:val="24"/>
              </w:rPr>
            </w:pPr>
            <w:r>
              <w:rPr>
                <w:rFonts w:hint="eastAsia" w:ascii="仿宋" w:hAnsi="仿宋" w:eastAsia="仿宋" w:cs="仿宋"/>
                <w:color w:val="auto"/>
                <w:sz w:val="24"/>
              </w:rPr>
              <w:t>响应函</w:t>
            </w:r>
          </w:p>
        </w:tc>
        <w:tc>
          <w:tcPr>
            <w:tcW w:w="1418" w:type="dxa"/>
            <w:vAlign w:val="center"/>
          </w:tcPr>
          <w:p w14:paraId="4EB2C851">
            <w:pPr>
              <w:jc w:val="center"/>
              <w:rPr>
                <w:rFonts w:hint="eastAsia" w:ascii="仿宋" w:hAnsi="仿宋" w:eastAsia="仿宋" w:cs="仿宋"/>
                <w:color w:val="auto"/>
              </w:rPr>
            </w:pPr>
            <w:r>
              <w:rPr>
                <w:rFonts w:hint="eastAsia" w:ascii="仿宋" w:hAnsi="仿宋" w:eastAsia="仿宋" w:cs="仿宋"/>
                <w:color w:val="auto"/>
                <w:sz w:val="24"/>
              </w:rPr>
              <w:t>见响应文件第页</w:t>
            </w:r>
          </w:p>
        </w:tc>
      </w:tr>
      <w:tr w14:paraId="427A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6AC934">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4672" w:type="dxa"/>
            <w:vAlign w:val="center"/>
          </w:tcPr>
          <w:p w14:paraId="632B9948">
            <w:pPr>
              <w:jc w:val="left"/>
              <w:rPr>
                <w:rFonts w:hint="eastAsia" w:ascii="仿宋" w:hAnsi="仿宋" w:eastAsia="仿宋" w:cs="仿宋"/>
                <w:color w:val="auto"/>
                <w:sz w:val="24"/>
              </w:rPr>
            </w:pPr>
            <w:r>
              <w:rPr>
                <w:rFonts w:hint="eastAsia" w:ascii="仿宋" w:hAnsi="仿宋" w:eastAsia="仿宋" w:cs="仿宋"/>
                <w:color w:val="auto"/>
                <w:sz w:val="24"/>
              </w:rPr>
              <w:t>响应文件满足交易文件的其它实质性要求。</w:t>
            </w:r>
          </w:p>
        </w:tc>
        <w:tc>
          <w:tcPr>
            <w:tcW w:w="2551" w:type="dxa"/>
            <w:vAlign w:val="center"/>
          </w:tcPr>
          <w:p w14:paraId="422BB834">
            <w:pPr>
              <w:jc w:val="left"/>
              <w:rPr>
                <w:rFonts w:hint="eastAsia" w:ascii="仿宋" w:hAnsi="仿宋" w:eastAsia="仿宋" w:cs="仿宋"/>
                <w:color w:val="auto"/>
                <w:sz w:val="24"/>
              </w:rPr>
            </w:pPr>
            <w:r>
              <w:rPr>
                <w:rFonts w:hint="eastAsia" w:ascii="仿宋" w:hAnsi="仿宋" w:eastAsia="仿宋" w:cs="仿宋"/>
                <w:color w:val="auto"/>
                <w:kern w:val="0"/>
                <w:sz w:val="24"/>
              </w:rPr>
              <w:t>交易文件其它实质性要求相应的材料（“▲” 系指实质性要求条款，交易文件无其它实质性要求的，无需提供）</w:t>
            </w:r>
          </w:p>
        </w:tc>
        <w:tc>
          <w:tcPr>
            <w:tcW w:w="1418" w:type="dxa"/>
            <w:vAlign w:val="center"/>
          </w:tcPr>
          <w:p w14:paraId="60670C0A">
            <w:pPr>
              <w:jc w:val="center"/>
              <w:rPr>
                <w:rFonts w:hint="eastAsia" w:ascii="仿宋" w:hAnsi="仿宋" w:eastAsia="仿宋" w:cs="仿宋"/>
                <w:color w:val="auto"/>
              </w:rPr>
            </w:pPr>
            <w:r>
              <w:rPr>
                <w:rFonts w:hint="eastAsia" w:ascii="仿宋" w:hAnsi="仿宋" w:eastAsia="仿宋" w:cs="仿宋"/>
                <w:color w:val="auto"/>
                <w:sz w:val="24"/>
              </w:rPr>
              <w:t>见响应文件第页</w:t>
            </w:r>
          </w:p>
        </w:tc>
      </w:tr>
    </w:tbl>
    <w:p w14:paraId="646D296B">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4A5C39CE">
      <w:pPr>
        <w:jc w:val="center"/>
        <w:rPr>
          <w:rFonts w:hint="eastAsia" w:ascii="仿宋" w:hAnsi="仿宋" w:eastAsia="仿宋" w:cs="仿宋"/>
          <w:b/>
          <w:color w:val="auto"/>
          <w:kern w:val="0"/>
          <w:sz w:val="32"/>
          <w:szCs w:val="32"/>
        </w:rPr>
      </w:pPr>
    </w:p>
    <w:p w14:paraId="74018DA8">
      <w:pPr>
        <w:jc w:val="center"/>
        <w:rPr>
          <w:rFonts w:hint="eastAsia" w:ascii="仿宋" w:hAnsi="仿宋" w:eastAsia="仿宋" w:cs="仿宋"/>
          <w:b/>
          <w:color w:val="auto"/>
          <w:kern w:val="0"/>
          <w:sz w:val="32"/>
          <w:szCs w:val="32"/>
        </w:rPr>
      </w:pPr>
    </w:p>
    <w:p w14:paraId="1C6A1043">
      <w:pPr>
        <w:jc w:val="center"/>
        <w:rPr>
          <w:rFonts w:hint="eastAsia" w:ascii="仿宋" w:hAnsi="仿宋" w:eastAsia="仿宋" w:cs="仿宋"/>
          <w:b/>
          <w:color w:val="auto"/>
          <w:kern w:val="0"/>
          <w:sz w:val="32"/>
          <w:szCs w:val="32"/>
        </w:rPr>
      </w:pPr>
    </w:p>
    <w:p w14:paraId="3A551066">
      <w:pPr>
        <w:jc w:val="center"/>
        <w:rPr>
          <w:rFonts w:hint="eastAsia" w:ascii="仿宋" w:hAnsi="仿宋" w:eastAsia="仿宋" w:cs="仿宋"/>
          <w:b/>
          <w:color w:val="auto"/>
          <w:kern w:val="0"/>
          <w:sz w:val="32"/>
          <w:szCs w:val="32"/>
        </w:rPr>
      </w:pPr>
    </w:p>
    <w:p w14:paraId="6A110916">
      <w:pPr>
        <w:jc w:val="center"/>
        <w:rPr>
          <w:rFonts w:hint="eastAsia" w:ascii="仿宋" w:hAnsi="仿宋" w:eastAsia="仿宋" w:cs="仿宋"/>
          <w:b/>
          <w:color w:val="auto"/>
          <w:kern w:val="0"/>
          <w:sz w:val="32"/>
          <w:szCs w:val="32"/>
        </w:rPr>
      </w:pPr>
    </w:p>
    <w:p w14:paraId="5CFAD97F">
      <w:pPr>
        <w:jc w:val="center"/>
        <w:rPr>
          <w:rFonts w:hint="eastAsia" w:ascii="仿宋" w:hAnsi="仿宋" w:eastAsia="仿宋" w:cs="仿宋"/>
          <w:b/>
          <w:color w:val="auto"/>
          <w:kern w:val="0"/>
          <w:sz w:val="32"/>
          <w:szCs w:val="32"/>
        </w:rPr>
      </w:pPr>
    </w:p>
    <w:p w14:paraId="0E1DE8CC">
      <w:pPr>
        <w:jc w:val="center"/>
        <w:rPr>
          <w:rFonts w:hint="eastAsia" w:ascii="仿宋" w:hAnsi="仿宋" w:eastAsia="仿宋" w:cs="仿宋"/>
          <w:b/>
          <w:color w:val="auto"/>
          <w:kern w:val="0"/>
          <w:sz w:val="32"/>
          <w:szCs w:val="32"/>
        </w:rPr>
      </w:pPr>
    </w:p>
    <w:p w14:paraId="2DDA256F">
      <w:pPr>
        <w:jc w:val="center"/>
        <w:rPr>
          <w:rFonts w:hint="eastAsia" w:ascii="仿宋" w:hAnsi="仿宋" w:eastAsia="仿宋" w:cs="仿宋"/>
          <w:b/>
          <w:color w:val="auto"/>
          <w:kern w:val="0"/>
          <w:sz w:val="32"/>
          <w:szCs w:val="32"/>
        </w:rPr>
      </w:pPr>
    </w:p>
    <w:p w14:paraId="7D60A05A">
      <w:pPr>
        <w:jc w:val="center"/>
        <w:rPr>
          <w:rFonts w:hint="eastAsia" w:ascii="仿宋" w:hAnsi="仿宋" w:eastAsia="仿宋" w:cs="仿宋"/>
          <w:color w:val="auto"/>
        </w:rPr>
      </w:pPr>
      <w:r>
        <w:rPr>
          <w:rFonts w:hint="eastAsia" w:ascii="仿宋" w:hAnsi="仿宋" w:eastAsia="仿宋" w:cs="仿宋"/>
          <w:b/>
          <w:color w:val="auto"/>
          <w:kern w:val="0"/>
          <w:sz w:val="32"/>
          <w:szCs w:val="32"/>
        </w:rPr>
        <w:t>四、评标标准相应的商务技术资料</w:t>
      </w:r>
    </w:p>
    <w:p w14:paraId="6BF3BFE5">
      <w:pPr>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（按交易文件第四部分评标办法前附表中“响应文件中评标标准相应的商务技术资料目录”提供资料。）</w:t>
      </w:r>
    </w:p>
    <w:p w14:paraId="735A6AFB">
      <w:pPr>
        <w:jc w:val="center"/>
        <w:rPr>
          <w:rFonts w:hint="eastAsia" w:ascii="仿宋" w:hAnsi="仿宋" w:eastAsia="仿宋" w:cs="仿宋"/>
          <w:b/>
          <w:color w:val="auto"/>
          <w:kern w:val="0"/>
          <w:sz w:val="32"/>
          <w:szCs w:val="32"/>
        </w:rPr>
      </w:pPr>
    </w:p>
    <w:p w14:paraId="10364DCB">
      <w:pPr>
        <w:jc w:val="center"/>
        <w:rPr>
          <w:rFonts w:hint="eastAsia" w:ascii="仿宋" w:hAnsi="仿宋" w:eastAsia="仿宋" w:cs="仿宋"/>
          <w:b/>
          <w:color w:val="auto"/>
          <w:kern w:val="0"/>
          <w:sz w:val="32"/>
          <w:szCs w:val="32"/>
        </w:rPr>
      </w:pPr>
    </w:p>
    <w:p w14:paraId="02B0AF4A">
      <w:pPr>
        <w:jc w:val="center"/>
        <w:rPr>
          <w:rFonts w:hint="eastAsia" w:ascii="仿宋" w:hAnsi="仿宋" w:eastAsia="仿宋" w:cs="仿宋"/>
          <w:b/>
          <w:color w:val="auto"/>
          <w:kern w:val="0"/>
          <w:sz w:val="32"/>
          <w:szCs w:val="32"/>
        </w:rPr>
      </w:pPr>
    </w:p>
    <w:p w14:paraId="4FF15270">
      <w:pPr>
        <w:pStyle w:val="24"/>
        <w:rPr>
          <w:rFonts w:hint="eastAsia" w:ascii="仿宋" w:hAnsi="仿宋" w:eastAsia="仿宋" w:cs="仿宋"/>
          <w:color w:val="auto"/>
        </w:rPr>
      </w:pPr>
    </w:p>
    <w:p w14:paraId="73D63DAC">
      <w:pPr>
        <w:jc w:val="center"/>
        <w:rPr>
          <w:rFonts w:hint="eastAsia" w:ascii="仿宋" w:hAnsi="仿宋" w:eastAsia="仿宋" w:cs="仿宋"/>
          <w:b/>
          <w:color w:val="auto"/>
          <w:kern w:val="0"/>
          <w:sz w:val="32"/>
          <w:szCs w:val="32"/>
        </w:rPr>
      </w:pPr>
    </w:p>
    <w:p w14:paraId="0F6FDDBB">
      <w:pPr>
        <w:jc w:val="center"/>
        <w:rPr>
          <w:rFonts w:hint="eastAsia" w:ascii="仿宋" w:hAnsi="仿宋" w:eastAsia="仿宋" w:cs="仿宋"/>
          <w:b/>
          <w:color w:val="auto"/>
          <w:kern w:val="0"/>
          <w:sz w:val="32"/>
          <w:szCs w:val="32"/>
        </w:rPr>
      </w:pPr>
    </w:p>
    <w:p w14:paraId="497855C2">
      <w:pPr>
        <w:jc w:val="center"/>
        <w:rPr>
          <w:rFonts w:hint="eastAsia" w:ascii="仿宋" w:hAnsi="仿宋" w:eastAsia="仿宋" w:cs="仿宋"/>
          <w:b/>
          <w:color w:val="auto"/>
          <w:kern w:val="0"/>
          <w:sz w:val="32"/>
          <w:szCs w:val="32"/>
        </w:rPr>
      </w:pPr>
    </w:p>
    <w:p w14:paraId="53A9FAB2">
      <w:pPr>
        <w:jc w:val="center"/>
        <w:rPr>
          <w:rFonts w:hint="eastAsia" w:ascii="仿宋" w:hAnsi="仿宋" w:eastAsia="仿宋" w:cs="仿宋"/>
          <w:b/>
          <w:color w:val="auto"/>
          <w:kern w:val="0"/>
          <w:sz w:val="32"/>
          <w:szCs w:val="32"/>
        </w:rPr>
      </w:pPr>
    </w:p>
    <w:p w14:paraId="51565D4C">
      <w:pPr>
        <w:ind w:firstLine="2891" w:firstLineChars="900"/>
        <w:rPr>
          <w:rFonts w:hint="eastAsia" w:ascii="仿宋" w:hAnsi="仿宋" w:eastAsia="仿宋" w:cs="仿宋"/>
          <w:b/>
          <w:color w:val="auto"/>
          <w:kern w:val="0"/>
          <w:sz w:val="32"/>
          <w:szCs w:val="32"/>
        </w:rPr>
      </w:pPr>
    </w:p>
    <w:p w14:paraId="71F03107">
      <w:pPr>
        <w:ind w:firstLine="2891" w:firstLineChars="9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五、交易标的清单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97D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5DFC8E">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744D68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368897C7">
            <w:pPr>
              <w:spacing w:line="360" w:lineRule="auto"/>
              <w:jc w:val="center"/>
              <w:rPr>
                <w:rFonts w:hint="eastAsia" w:ascii="仿宋" w:hAnsi="仿宋" w:eastAsia="仿宋" w:cs="仿宋"/>
                <w:b/>
                <w:color w:val="auto"/>
                <w:sz w:val="24"/>
              </w:rPr>
            </w:pPr>
          </w:p>
          <w:p w14:paraId="615B3495">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6E0D2B4">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67971E6">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E9AB45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w:t>
            </w:r>
          </w:p>
        </w:tc>
      </w:tr>
      <w:tr w14:paraId="5D67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3B1820">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E815F2A">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F3955E1">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8BAAE08">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ADFA7A4">
            <w:pPr>
              <w:spacing w:line="360" w:lineRule="auto"/>
              <w:jc w:val="center"/>
              <w:rPr>
                <w:rFonts w:hint="eastAsia" w:ascii="仿宋" w:hAnsi="仿宋" w:eastAsia="仿宋" w:cs="仿宋"/>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5BE6A2D">
            <w:pPr>
              <w:spacing w:line="360" w:lineRule="auto"/>
              <w:jc w:val="center"/>
              <w:rPr>
                <w:rFonts w:hint="eastAsia" w:ascii="仿宋" w:hAnsi="仿宋" w:eastAsia="仿宋" w:cs="仿宋"/>
                <w:color w:val="auto"/>
                <w:sz w:val="24"/>
              </w:rPr>
            </w:pPr>
          </w:p>
        </w:tc>
      </w:tr>
      <w:tr w14:paraId="0F39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82315F">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68B09F2">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C84FD7A">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BB0B23C">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E87F2A4">
            <w:pPr>
              <w:spacing w:line="360" w:lineRule="auto"/>
              <w:jc w:val="center"/>
              <w:rPr>
                <w:rFonts w:hint="eastAsia" w:ascii="仿宋" w:hAnsi="仿宋" w:eastAsia="仿宋" w:cs="仿宋"/>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B0539C2">
            <w:pPr>
              <w:spacing w:line="360" w:lineRule="auto"/>
              <w:jc w:val="center"/>
              <w:rPr>
                <w:rFonts w:hint="eastAsia" w:ascii="仿宋" w:hAnsi="仿宋" w:eastAsia="仿宋" w:cs="仿宋"/>
                <w:color w:val="auto"/>
                <w:sz w:val="24"/>
              </w:rPr>
            </w:pPr>
          </w:p>
        </w:tc>
      </w:tr>
      <w:tr w14:paraId="0F3B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B84FA1">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8A7D20C">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A57E05C">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E2BF463">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175E2D4">
            <w:pPr>
              <w:spacing w:line="360" w:lineRule="auto"/>
              <w:jc w:val="center"/>
              <w:rPr>
                <w:rFonts w:hint="eastAsia" w:ascii="仿宋" w:hAnsi="仿宋" w:eastAsia="仿宋" w:cs="仿宋"/>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767AC3D">
            <w:pPr>
              <w:spacing w:line="360" w:lineRule="auto"/>
              <w:jc w:val="center"/>
              <w:rPr>
                <w:rFonts w:hint="eastAsia" w:ascii="仿宋" w:hAnsi="仿宋" w:eastAsia="仿宋" w:cs="仿宋"/>
                <w:color w:val="auto"/>
                <w:sz w:val="24"/>
              </w:rPr>
            </w:pPr>
          </w:p>
        </w:tc>
      </w:tr>
    </w:tbl>
    <w:p w14:paraId="0889A64A">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01541E89">
      <w:pPr>
        <w:jc w:val="center"/>
        <w:rPr>
          <w:rFonts w:hint="eastAsia" w:ascii="仿宋" w:hAnsi="仿宋" w:eastAsia="仿宋" w:cs="仿宋"/>
          <w:b/>
          <w:color w:val="auto"/>
          <w:kern w:val="0"/>
          <w:sz w:val="32"/>
          <w:szCs w:val="32"/>
        </w:rPr>
      </w:pPr>
    </w:p>
    <w:p w14:paraId="25EB317A">
      <w:pPr>
        <w:jc w:val="center"/>
        <w:rPr>
          <w:rFonts w:hint="eastAsia" w:ascii="仿宋" w:hAnsi="仿宋" w:eastAsia="仿宋" w:cs="仿宋"/>
          <w:b/>
          <w:color w:val="auto"/>
          <w:kern w:val="0"/>
          <w:sz w:val="32"/>
          <w:szCs w:val="32"/>
        </w:rPr>
      </w:pPr>
    </w:p>
    <w:p w14:paraId="7E6A6BE4">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9B5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F6959C">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14:paraId="7FF97074">
            <w:pPr>
              <w:jc w:val="center"/>
              <w:rPr>
                <w:rFonts w:hint="eastAsia" w:ascii="仿宋" w:hAnsi="仿宋" w:eastAsia="仿宋" w:cs="仿宋"/>
                <w:b/>
                <w:bCs/>
                <w:color w:val="auto"/>
                <w:sz w:val="24"/>
              </w:rPr>
            </w:pPr>
            <w:r>
              <w:rPr>
                <w:rFonts w:hint="eastAsia" w:ascii="仿宋" w:hAnsi="仿宋" w:eastAsia="仿宋" w:cs="仿宋"/>
                <w:b/>
                <w:bCs/>
                <w:color w:val="auto"/>
                <w:sz w:val="24"/>
              </w:rPr>
              <w:t>交易文件章节及具体内容</w:t>
            </w:r>
          </w:p>
        </w:tc>
        <w:tc>
          <w:tcPr>
            <w:tcW w:w="3546" w:type="dxa"/>
          </w:tcPr>
          <w:p w14:paraId="75CF3407">
            <w:pPr>
              <w:jc w:val="center"/>
              <w:rPr>
                <w:rFonts w:hint="eastAsia" w:ascii="仿宋" w:hAnsi="仿宋" w:eastAsia="仿宋" w:cs="仿宋"/>
                <w:b/>
                <w:bCs/>
                <w:color w:val="auto"/>
                <w:sz w:val="24"/>
              </w:rPr>
            </w:pPr>
            <w:r>
              <w:rPr>
                <w:rFonts w:hint="eastAsia" w:ascii="仿宋" w:hAnsi="仿宋" w:eastAsia="仿宋" w:cs="仿宋"/>
                <w:b/>
                <w:bCs/>
                <w:color w:val="auto"/>
                <w:sz w:val="24"/>
              </w:rPr>
              <w:t>响应文件章节及具体内容</w:t>
            </w:r>
          </w:p>
        </w:tc>
        <w:tc>
          <w:tcPr>
            <w:tcW w:w="1276" w:type="dxa"/>
          </w:tcPr>
          <w:p w14:paraId="247CBED1">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14:paraId="7A4A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D74BDA">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14:paraId="3F812951">
            <w:pPr>
              <w:jc w:val="center"/>
              <w:rPr>
                <w:rFonts w:hint="eastAsia" w:ascii="仿宋" w:hAnsi="仿宋" w:eastAsia="仿宋" w:cs="仿宋"/>
                <w:b/>
                <w:color w:val="auto"/>
                <w:kern w:val="0"/>
                <w:sz w:val="32"/>
                <w:szCs w:val="32"/>
              </w:rPr>
            </w:pPr>
          </w:p>
        </w:tc>
        <w:tc>
          <w:tcPr>
            <w:tcW w:w="3546" w:type="dxa"/>
          </w:tcPr>
          <w:p w14:paraId="390BFC56">
            <w:pPr>
              <w:jc w:val="center"/>
              <w:rPr>
                <w:rFonts w:hint="eastAsia" w:ascii="仿宋" w:hAnsi="仿宋" w:eastAsia="仿宋" w:cs="仿宋"/>
                <w:b/>
                <w:color w:val="auto"/>
                <w:kern w:val="0"/>
                <w:sz w:val="32"/>
                <w:szCs w:val="32"/>
              </w:rPr>
            </w:pPr>
          </w:p>
        </w:tc>
        <w:tc>
          <w:tcPr>
            <w:tcW w:w="1276" w:type="dxa"/>
          </w:tcPr>
          <w:p w14:paraId="6F4E800C">
            <w:pPr>
              <w:jc w:val="center"/>
              <w:rPr>
                <w:rFonts w:hint="eastAsia" w:ascii="仿宋" w:hAnsi="仿宋" w:eastAsia="仿宋" w:cs="仿宋"/>
                <w:b/>
                <w:color w:val="auto"/>
                <w:kern w:val="0"/>
                <w:sz w:val="32"/>
                <w:szCs w:val="32"/>
              </w:rPr>
            </w:pPr>
          </w:p>
        </w:tc>
      </w:tr>
      <w:tr w14:paraId="0F6C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C21F1B">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14:paraId="6F7E3408">
            <w:pPr>
              <w:jc w:val="center"/>
              <w:rPr>
                <w:rFonts w:hint="eastAsia" w:ascii="仿宋" w:hAnsi="仿宋" w:eastAsia="仿宋" w:cs="仿宋"/>
                <w:b/>
                <w:color w:val="auto"/>
                <w:kern w:val="0"/>
                <w:sz w:val="32"/>
                <w:szCs w:val="32"/>
              </w:rPr>
            </w:pPr>
          </w:p>
        </w:tc>
        <w:tc>
          <w:tcPr>
            <w:tcW w:w="3546" w:type="dxa"/>
          </w:tcPr>
          <w:p w14:paraId="4D715CBD">
            <w:pPr>
              <w:jc w:val="center"/>
              <w:rPr>
                <w:rFonts w:hint="eastAsia" w:ascii="仿宋" w:hAnsi="仿宋" w:eastAsia="仿宋" w:cs="仿宋"/>
                <w:b/>
                <w:color w:val="auto"/>
                <w:kern w:val="0"/>
                <w:sz w:val="32"/>
                <w:szCs w:val="32"/>
              </w:rPr>
            </w:pPr>
          </w:p>
        </w:tc>
        <w:tc>
          <w:tcPr>
            <w:tcW w:w="1276" w:type="dxa"/>
          </w:tcPr>
          <w:p w14:paraId="30A11E9E">
            <w:pPr>
              <w:jc w:val="center"/>
              <w:rPr>
                <w:rFonts w:hint="eastAsia" w:ascii="仿宋" w:hAnsi="仿宋" w:eastAsia="仿宋" w:cs="仿宋"/>
                <w:b/>
                <w:color w:val="auto"/>
                <w:kern w:val="0"/>
                <w:sz w:val="32"/>
                <w:szCs w:val="32"/>
              </w:rPr>
            </w:pPr>
          </w:p>
        </w:tc>
      </w:tr>
      <w:tr w14:paraId="2B0D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61E910">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14:paraId="797E666E">
            <w:pPr>
              <w:jc w:val="center"/>
              <w:rPr>
                <w:rFonts w:hint="eastAsia" w:ascii="仿宋" w:hAnsi="仿宋" w:eastAsia="仿宋" w:cs="仿宋"/>
                <w:b/>
                <w:color w:val="auto"/>
                <w:kern w:val="0"/>
                <w:sz w:val="32"/>
                <w:szCs w:val="32"/>
              </w:rPr>
            </w:pPr>
          </w:p>
        </w:tc>
        <w:tc>
          <w:tcPr>
            <w:tcW w:w="3546" w:type="dxa"/>
          </w:tcPr>
          <w:p w14:paraId="4D57ACE5">
            <w:pPr>
              <w:jc w:val="center"/>
              <w:rPr>
                <w:rFonts w:hint="eastAsia" w:ascii="仿宋" w:hAnsi="仿宋" w:eastAsia="仿宋" w:cs="仿宋"/>
                <w:b/>
                <w:color w:val="auto"/>
                <w:kern w:val="0"/>
                <w:sz w:val="32"/>
                <w:szCs w:val="32"/>
              </w:rPr>
            </w:pPr>
          </w:p>
        </w:tc>
        <w:tc>
          <w:tcPr>
            <w:tcW w:w="1276" w:type="dxa"/>
          </w:tcPr>
          <w:p w14:paraId="258452EE">
            <w:pPr>
              <w:jc w:val="center"/>
              <w:rPr>
                <w:rFonts w:hint="eastAsia" w:ascii="仿宋" w:hAnsi="仿宋" w:eastAsia="仿宋" w:cs="仿宋"/>
                <w:b/>
                <w:color w:val="auto"/>
                <w:kern w:val="0"/>
                <w:sz w:val="32"/>
                <w:szCs w:val="32"/>
              </w:rPr>
            </w:pPr>
          </w:p>
        </w:tc>
      </w:tr>
    </w:tbl>
    <w:p w14:paraId="03465129">
      <w:pPr>
        <w:jc w:val="left"/>
        <w:rPr>
          <w:rFonts w:hint="eastAsia" w:ascii="仿宋" w:hAnsi="仿宋" w:eastAsia="仿宋" w:cs="仿宋"/>
          <w:color w:val="auto"/>
          <w:kern w:val="0"/>
          <w:sz w:val="24"/>
        </w:rPr>
      </w:pPr>
      <w:r>
        <w:rPr>
          <w:rFonts w:hint="eastAsia" w:ascii="仿宋" w:hAnsi="仿宋" w:eastAsia="仿宋" w:cs="仿宋"/>
          <w:color w:val="auto"/>
          <w:kern w:val="0"/>
          <w:sz w:val="24"/>
        </w:rPr>
        <w:t>供应商保证：除商务技术偏离表列出的偏离外，供应商响应交易文件的全部要求</w:t>
      </w:r>
    </w:p>
    <w:p w14:paraId="7A612E80">
      <w:pPr>
        <w:jc w:val="center"/>
        <w:rPr>
          <w:rFonts w:hint="eastAsia" w:ascii="仿宋" w:hAnsi="仿宋" w:eastAsia="仿宋" w:cs="仿宋"/>
          <w:b/>
          <w:color w:val="auto"/>
          <w:kern w:val="0"/>
          <w:sz w:val="32"/>
          <w:szCs w:val="32"/>
        </w:rPr>
      </w:pPr>
    </w:p>
    <w:p w14:paraId="73991EC0">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49DC9B65">
      <w:pPr>
        <w:jc w:val="center"/>
        <w:rPr>
          <w:rFonts w:hint="eastAsia" w:ascii="仿宋" w:hAnsi="仿宋" w:eastAsia="仿宋" w:cs="仿宋"/>
          <w:b/>
          <w:color w:val="auto"/>
          <w:kern w:val="0"/>
          <w:sz w:val="32"/>
          <w:szCs w:val="32"/>
        </w:rPr>
      </w:pPr>
    </w:p>
    <w:p w14:paraId="111CD744">
      <w:pPr>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14:paraId="2C56B27B">
      <w:pPr>
        <w:ind w:firstLine="1911" w:firstLineChars="595"/>
        <w:rPr>
          <w:rFonts w:hint="eastAsia" w:ascii="仿宋" w:hAnsi="仿宋" w:eastAsia="仿宋" w:cs="仿宋"/>
          <w:b/>
          <w:color w:val="auto"/>
          <w:kern w:val="0"/>
          <w:sz w:val="32"/>
          <w:szCs w:val="32"/>
        </w:rPr>
      </w:pPr>
      <w:r>
        <w:rPr>
          <w:rFonts w:hint="eastAsia" w:ascii="仿宋" w:hAnsi="仿宋" w:eastAsia="仿宋" w:cs="仿宋"/>
          <w:b/>
          <w:bCs/>
          <w:color w:val="auto"/>
          <w:sz w:val="32"/>
          <w:szCs w:val="32"/>
        </w:rPr>
        <w:t>七</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采购供应商廉洁自律承诺书</w:t>
      </w:r>
    </w:p>
    <w:p w14:paraId="5BF618A0">
      <w:pPr>
        <w:snapToGrid w:val="0"/>
        <w:spacing w:line="360" w:lineRule="auto"/>
        <w:rPr>
          <w:rFonts w:hint="eastAsia" w:ascii="仿宋" w:hAnsi="仿宋" w:eastAsia="仿宋" w:cs="仿宋"/>
          <w:color w:val="auto"/>
          <w:sz w:val="24"/>
        </w:rPr>
      </w:pPr>
    </w:p>
    <w:p w14:paraId="76739AC1">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u w:val="single"/>
        </w:rPr>
        <w:t>（采购人）、（采购代理机构）</w:t>
      </w:r>
      <w:r>
        <w:rPr>
          <w:rFonts w:hint="eastAsia" w:ascii="仿宋" w:hAnsi="仿宋" w:eastAsia="仿宋" w:cs="仿宋"/>
          <w:color w:val="auto"/>
          <w:kern w:val="0"/>
          <w:sz w:val="24"/>
          <w:lang w:val="zh-CN"/>
        </w:rPr>
        <w:t>：</w:t>
      </w:r>
    </w:p>
    <w:p w14:paraId="4F0D1B8D">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项目交易要求参加响应。在这次响应过程中和成交后，我们将严格遵守国家法律法规要求，并郑重承诺：</w:t>
      </w:r>
    </w:p>
    <w:p w14:paraId="1EC25DA3">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257F6656">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3D667936">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2068D72B">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339FA947">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40C6508D">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6D17EE8D">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六、严格遵守相关法律法规，诚实守信，合法经营，坚决抵制各种违法违纪行为。 </w:t>
      </w:r>
    </w:p>
    <w:p w14:paraId="58FFC524">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有权立即取消我单位响应、成交或在建项目的建设资格，有权拒绝我单位在一定时期内进入你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w:t>
      </w:r>
      <w:r>
        <w:rPr>
          <w:rFonts w:hint="eastAsia" w:ascii="仿宋" w:hAnsi="仿宋" w:eastAsia="仿宋" w:cs="仿宋"/>
          <w:color w:val="auto"/>
          <w:kern w:val="0"/>
          <w:sz w:val="24"/>
          <w:lang w:val="en-US" w:eastAsia="zh-CN"/>
        </w:rPr>
        <w:t>相关管理部门</w:t>
      </w:r>
      <w:r>
        <w:rPr>
          <w:rFonts w:hint="eastAsia" w:ascii="仿宋" w:hAnsi="仿宋" w:eastAsia="仿宋" w:cs="仿宋"/>
          <w:color w:val="auto"/>
          <w:kern w:val="0"/>
          <w:sz w:val="24"/>
          <w:lang w:val="zh-CN"/>
        </w:rPr>
        <w:t>。由此引起的相应损失均由我单位承担。</w:t>
      </w:r>
    </w:p>
    <w:p w14:paraId="7CD0D1E9">
      <w:pPr>
        <w:autoSpaceDE w:val="0"/>
        <w:autoSpaceDN w:val="0"/>
        <w:spacing w:line="360" w:lineRule="auto"/>
        <w:ind w:left="2"/>
        <w:jc w:val="left"/>
        <w:rPr>
          <w:rFonts w:hint="eastAsia" w:ascii="仿宋" w:hAnsi="仿宋" w:eastAsia="仿宋" w:cs="仿宋"/>
          <w:color w:val="auto"/>
          <w:kern w:val="0"/>
          <w:sz w:val="24"/>
          <w:lang w:val="zh-CN"/>
        </w:rPr>
      </w:pPr>
    </w:p>
    <w:p w14:paraId="035448FD">
      <w:pPr>
        <w:autoSpaceDE w:val="0"/>
        <w:autoSpaceDN w:val="0"/>
        <w:spacing w:line="360" w:lineRule="auto"/>
        <w:ind w:left="2"/>
        <w:jc w:val="left"/>
        <w:rPr>
          <w:rFonts w:hint="eastAsia" w:ascii="仿宋" w:hAnsi="仿宋" w:eastAsia="仿宋" w:cs="仿宋"/>
          <w:color w:val="auto"/>
          <w:kern w:val="0"/>
          <w:sz w:val="24"/>
          <w:lang w:val="zh-CN"/>
        </w:rPr>
      </w:pPr>
    </w:p>
    <w:p w14:paraId="7BA00A22">
      <w:pPr>
        <w:autoSpaceDE w:val="0"/>
        <w:autoSpaceDN w:val="0"/>
        <w:spacing w:line="360" w:lineRule="auto"/>
        <w:ind w:left="2"/>
        <w:jc w:val="left"/>
        <w:rPr>
          <w:rFonts w:hint="eastAsia" w:ascii="仿宋" w:hAnsi="仿宋" w:eastAsia="仿宋" w:cs="仿宋"/>
          <w:color w:val="auto"/>
          <w:kern w:val="0"/>
          <w:sz w:val="24"/>
          <w:lang w:val="zh-CN"/>
        </w:rPr>
      </w:pPr>
    </w:p>
    <w:p w14:paraId="462FE093">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4C48C874">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30602662">
      <w:pPr>
        <w:spacing w:line="360" w:lineRule="auto"/>
        <w:jc w:val="center"/>
        <w:rPr>
          <w:rFonts w:hint="eastAsia" w:ascii="仿宋" w:hAnsi="仿宋" w:eastAsia="仿宋" w:cs="仿宋"/>
          <w:b/>
          <w:bCs/>
          <w:color w:val="auto"/>
          <w:sz w:val="24"/>
        </w:rPr>
      </w:pPr>
    </w:p>
    <w:p w14:paraId="3ACCE2B1">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2BCEAAE7">
      <w:pPr>
        <w:spacing w:line="360" w:lineRule="auto"/>
        <w:jc w:val="center"/>
        <w:rPr>
          <w:rFonts w:hint="eastAsia" w:ascii="仿宋" w:hAnsi="仿宋" w:eastAsia="仿宋" w:cs="仿宋"/>
          <w:b/>
          <w:bCs/>
          <w:color w:val="auto"/>
          <w:sz w:val="24"/>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375A7723">
      <w:pPr>
        <w:spacing w:line="360" w:lineRule="auto"/>
        <w:jc w:val="center"/>
        <w:outlineLvl w:val="0"/>
        <w:rPr>
          <w:rFonts w:hint="eastAsia" w:ascii="仿宋" w:hAnsi="仿宋" w:eastAsia="仿宋" w:cs="仿宋"/>
          <w:b/>
          <w:color w:val="auto"/>
          <w:kern w:val="0"/>
          <w:sz w:val="36"/>
          <w:szCs w:val="36"/>
        </w:rPr>
      </w:pPr>
    </w:p>
    <w:p w14:paraId="221F31FA">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5A06C52D">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6CEF829F">
      <w:pPr>
        <w:spacing w:line="360" w:lineRule="auto"/>
        <w:jc w:val="center"/>
        <w:outlineLvl w:val="0"/>
        <w:rPr>
          <w:rFonts w:hint="eastAsia" w:ascii="仿宋" w:hAnsi="仿宋" w:eastAsia="仿宋" w:cs="仿宋"/>
          <w:b/>
          <w:color w:val="auto"/>
          <w:kern w:val="0"/>
          <w:sz w:val="36"/>
          <w:szCs w:val="36"/>
        </w:rPr>
      </w:pPr>
    </w:p>
    <w:p w14:paraId="3CBDE318">
      <w:pPr>
        <w:numPr>
          <w:ilvl w:val="0"/>
          <w:numId w:val="4"/>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交易一览表（报价表）………………………………………………………（页码）</w:t>
      </w:r>
    </w:p>
    <w:p w14:paraId="7D58CBD8">
      <w:pPr>
        <w:pStyle w:val="3"/>
        <w:rPr>
          <w:rFonts w:hint="eastAsia" w:ascii="仿宋" w:hAnsi="仿宋" w:eastAsia="仿宋" w:cs="仿宋"/>
          <w:color w:val="auto"/>
        </w:rPr>
      </w:pPr>
    </w:p>
    <w:p w14:paraId="0ECA11C1">
      <w:pPr>
        <w:snapToGrid w:val="0"/>
        <w:spacing w:line="360" w:lineRule="auto"/>
        <w:ind w:right="480"/>
        <w:jc w:val="center"/>
        <w:rPr>
          <w:rFonts w:hint="eastAsia" w:ascii="仿宋" w:hAnsi="仿宋" w:eastAsia="仿宋" w:cs="仿宋"/>
          <w:b/>
          <w:color w:val="auto"/>
          <w:kern w:val="0"/>
          <w:sz w:val="32"/>
          <w:szCs w:val="32"/>
        </w:rPr>
      </w:pPr>
    </w:p>
    <w:p w14:paraId="7CF637EC">
      <w:pPr>
        <w:snapToGrid w:val="0"/>
        <w:spacing w:line="360" w:lineRule="auto"/>
        <w:ind w:right="480"/>
        <w:jc w:val="center"/>
        <w:rPr>
          <w:rFonts w:hint="eastAsia" w:ascii="仿宋" w:hAnsi="仿宋" w:eastAsia="仿宋" w:cs="仿宋"/>
          <w:b/>
          <w:color w:val="auto"/>
          <w:kern w:val="0"/>
          <w:sz w:val="32"/>
          <w:szCs w:val="32"/>
        </w:rPr>
      </w:pPr>
    </w:p>
    <w:p w14:paraId="0B8F272D">
      <w:pPr>
        <w:snapToGrid w:val="0"/>
        <w:spacing w:line="360" w:lineRule="auto"/>
        <w:ind w:right="480"/>
        <w:jc w:val="center"/>
        <w:rPr>
          <w:rFonts w:hint="eastAsia" w:ascii="仿宋" w:hAnsi="仿宋" w:eastAsia="仿宋" w:cs="仿宋"/>
          <w:b/>
          <w:color w:val="auto"/>
          <w:kern w:val="0"/>
          <w:sz w:val="32"/>
          <w:szCs w:val="32"/>
        </w:rPr>
      </w:pPr>
    </w:p>
    <w:p w14:paraId="007FD936">
      <w:pPr>
        <w:snapToGrid w:val="0"/>
        <w:spacing w:line="360" w:lineRule="auto"/>
        <w:ind w:right="480"/>
        <w:jc w:val="center"/>
        <w:rPr>
          <w:rFonts w:hint="eastAsia" w:ascii="仿宋" w:hAnsi="仿宋" w:eastAsia="仿宋" w:cs="仿宋"/>
          <w:b/>
          <w:color w:val="auto"/>
          <w:kern w:val="0"/>
          <w:sz w:val="32"/>
          <w:szCs w:val="32"/>
        </w:rPr>
      </w:pPr>
    </w:p>
    <w:p w14:paraId="16AB9351">
      <w:pPr>
        <w:snapToGrid w:val="0"/>
        <w:spacing w:line="360" w:lineRule="auto"/>
        <w:ind w:right="480"/>
        <w:jc w:val="center"/>
        <w:rPr>
          <w:rFonts w:hint="eastAsia" w:ascii="仿宋" w:hAnsi="仿宋" w:eastAsia="仿宋" w:cs="仿宋"/>
          <w:b/>
          <w:color w:val="auto"/>
          <w:kern w:val="0"/>
          <w:sz w:val="32"/>
          <w:szCs w:val="32"/>
        </w:rPr>
      </w:pPr>
    </w:p>
    <w:p w14:paraId="3FAE6A6A">
      <w:pPr>
        <w:snapToGrid w:val="0"/>
        <w:spacing w:line="360" w:lineRule="auto"/>
        <w:ind w:right="480"/>
        <w:jc w:val="center"/>
        <w:rPr>
          <w:rFonts w:hint="eastAsia" w:ascii="仿宋" w:hAnsi="仿宋" w:eastAsia="仿宋" w:cs="仿宋"/>
          <w:b/>
          <w:color w:val="auto"/>
          <w:kern w:val="0"/>
          <w:sz w:val="32"/>
          <w:szCs w:val="32"/>
        </w:rPr>
      </w:pPr>
    </w:p>
    <w:p w14:paraId="01DCEAAE">
      <w:pPr>
        <w:snapToGrid w:val="0"/>
        <w:spacing w:line="360" w:lineRule="auto"/>
        <w:ind w:right="480"/>
        <w:jc w:val="center"/>
        <w:rPr>
          <w:rFonts w:hint="eastAsia" w:ascii="仿宋" w:hAnsi="仿宋" w:eastAsia="仿宋" w:cs="仿宋"/>
          <w:b/>
          <w:color w:val="auto"/>
          <w:kern w:val="0"/>
          <w:sz w:val="32"/>
          <w:szCs w:val="32"/>
        </w:rPr>
      </w:pPr>
    </w:p>
    <w:p w14:paraId="34BDBB25">
      <w:pPr>
        <w:snapToGrid w:val="0"/>
        <w:spacing w:line="360" w:lineRule="auto"/>
        <w:ind w:right="480"/>
        <w:jc w:val="center"/>
        <w:rPr>
          <w:rFonts w:hint="eastAsia" w:ascii="仿宋" w:hAnsi="仿宋" w:eastAsia="仿宋" w:cs="仿宋"/>
          <w:b/>
          <w:color w:val="auto"/>
          <w:kern w:val="0"/>
          <w:sz w:val="32"/>
          <w:szCs w:val="32"/>
        </w:rPr>
      </w:pPr>
    </w:p>
    <w:p w14:paraId="2953DCA2">
      <w:pPr>
        <w:snapToGrid w:val="0"/>
        <w:spacing w:line="360" w:lineRule="auto"/>
        <w:ind w:right="480"/>
        <w:jc w:val="center"/>
        <w:rPr>
          <w:rFonts w:hint="eastAsia" w:ascii="仿宋" w:hAnsi="仿宋" w:eastAsia="仿宋" w:cs="仿宋"/>
          <w:b/>
          <w:color w:val="auto"/>
          <w:kern w:val="0"/>
          <w:sz w:val="32"/>
          <w:szCs w:val="32"/>
        </w:rPr>
      </w:pPr>
    </w:p>
    <w:p w14:paraId="53DB1CE2">
      <w:pPr>
        <w:snapToGrid w:val="0"/>
        <w:spacing w:line="360" w:lineRule="auto"/>
        <w:ind w:right="480"/>
        <w:jc w:val="center"/>
        <w:rPr>
          <w:rFonts w:hint="eastAsia" w:ascii="仿宋" w:hAnsi="仿宋" w:eastAsia="仿宋" w:cs="仿宋"/>
          <w:b/>
          <w:color w:val="auto"/>
          <w:kern w:val="0"/>
          <w:sz w:val="32"/>
          <w:szCs w:val="32"/>
        </w:rPr>
      </w:pPr>
    </w:p>
    <w:p w14:paraId="1B21CE35">
      <w:pPr>
        <w:snapToGrid w:val="0"/>
        <w:spacing w:line="360" w:lineRule="auto"/>
        <w:ind w:right="480"/>
        <w:jc w:val="center"/>
        <w:rPr>
          <w:rFonts w:hint="eastAsia" w:ascii="仿宋" w:hAnsi="仿宋" w:eastAsia="仿宋" w:cs="仿宋"/>
          <w:b/>
          <w:color w:val="auto"/>
          <w:kern w:val="0"/>
          <w:sz w:val="32"/>
          <w:szCs w:val="32"/>
        </w:rPr>
      </w:pPr>
    </w:p>
    <w:p w14:paraId="2B0AD059">
      <w:pPr>
        <w:snapToGrid w:val="0"/>
        <w:spacing w:line="360" w:lineRule="auto"/>
        <w:ind w:right="480"/>
        <w:jc w:val="center"/>
        <w:rPr>
          <w:rFonts w:hint="eastAsia" w:ascii="仿宋" w:hAnsi="仿宋" w:eastAsia="仿宋" w:cs="仿宋"/>
          <w:b/>
          <w:color w:val="auto"/>
          <w:kern w:val="0"/>
          <w:sz w:val="32"/>
          <w:szCs w:val="32"/>
        </w:rPr>
      </w:pPr>
    </w:p>
    <w:p w14:paraId="5B6A6BBB">
      <w:pPr>
        <w:snapToGrid w:val="0"/>
        <w:spacing w:line="360" w:lineRule="auto"/>
        <w:ind w:right="480"/>
        <w:jc w:val="center"/>
        <w:rPr>
          <w:rFonts w:hint="eastAsia" w:ascii="仿宋" w:hAnsi="仿宋" w:eastAsia="仿宋" w:cs="仿宋"/>
          <w:b/>
          <w:color w:val="auto"/>
          <w:kern w:val="0"/>
          <w:sz w:val="32"/>
          <w:szCs w:val="32"/>
        </w:rPr>
      </w:pPr>
    </w:p>
    <w:p w14:paraId="26AEFB84">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1D4AA93C">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一、交易一览表（报价表）</w:t>
      </w:r>
    </w:p>
    <w:p w14:paraId="78F825D2">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u w:val="single"/>
        </w:rPr>
        <w:t>（采购人）、（采购代理机构）</w:t>
      </w:r>
      <w:r>
        <w:rPr>
          <w:rFonts w:hint="eastAsia" w:ascii="仿宋" w:hAnsi="仿宋" w:eastAsia="仿宋" w:cs="仿宋"/>
          <w:color w:val="auto"/>
          <w:kern w:val="0"/>
          <w:sz w:val="24"/>
          <w:lang w:val="zh-CN"/>
        </w:rPr>
        <w:t>：</w:t>
      </w:r>
    </w:p>
    <w:p w14:paraId="6718A2F9">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按你方交易文件要求，我们，本响应文件签字方，谨此向你方发出要约如下：如你方接受本响应，我方承诺按照如下交易一览表（报价表）的价格完成</w:t>
      </w:r>
      <w:r>
        <w:rPr>
          <w:rFonts w:hint="eastAsia" w:ascii="仿宋" w:hAnsi="仿宋" w:eastAsia="仿宋" w:cs="仿宋"/>
          <w:color w:val="auto"/>
          <w:sz w:val="24"/>
          <w:u w:val="single"/>
        </w:rPr>
        <w:t>（项目名称）</w:t>
      </w:r>
      <w:r>
        <w:rPr>
          <w:rFonts w:hint="eastAsia" w:ascii="仿宋" w:hAnsi="仿宋" w:eastAsia="仿宋" w:cs="仿宋"/>
          <w:color w:val="auto"/>
          <w:kern w:val="0"/>
          <w:sz w:val="24"/>
          <w:u w:val="single"/>
          <w:lang w:val="zh-CN"/>
        </w:rPr>
        <w:t>【交易编号：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03842EF8">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交易一览表（报价表）(单位均为人民币元)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295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AE92BB3">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417" w:type="dxa"/>
            <w:vAlign w:val="center"/>
          </w:tcPr>
          <w:p w14:paraId="1E15E8F2">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843" w:type="dxa"/>
          </w:tcPr>
          <w:p w14:paraId="0CA0A185">
            <w:pPr>
              <w:spacing w:line="360" w:lineRule="auto"/>
              <w:jc w:val="center"/>
              <w:rPr>
                <w:rFonts w:hint="eastAsia" w:ascii="仿宋" w:hAnsi="仿宋" w:eastAsia="仿宋" w:cs="仿宋"/>
                <w:b/>
                <w:color w:val="auto"/>
                <w:sz w:val="24"/>
              </w:rPr>
            </w:pPr>
          </w:p>
          <w:p w14:paraId="41BBCB7D">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品牌（如果有）</w:t>
            </w:r>
          </w:p>
        </w:tc>
        <w:tc>
          <w:tcPr>
            <w:tcW w:w="3118" w:type="dxa"/>
            <w:vAlign w:val="center"/>
          </w:tcPr>
          <w:p w14:paraId="6B1CA341">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规格型号（或具体服务）</w:t>
            </w:r>
          </w:p>
        </w:tc>
        <w:tc>
          <w:tcPr>
            <w:tcW w:w="993" w:type="dxa"/>
            <w:vAlign w:val="center"/>
          </w:tcPr>
          <w:p w14:paraId="415FC143">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559" w:type="dxa"/>
            <w:vAlign w:val="center"/>
          </w:tcPr>
          <w:p w14:paraId="25BB5AD3">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单价</w:t>
            </w:r>
          </w:p>
        </w:tc>
        <w:tc>
          <w:tcPr>
            <w:tcW w:w="1984" w:type="dxa"/>
            <w:vAlign w:val="center"/>
          </w:tcPr>
          <w:p w14:paraId="3B916051">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总价</w:t>
            </w:r>
          </w:p>
        </w:tc>
        <w:tc>
          <w:tcPr>
            <w:tcW w:w="3119" w:type="dxa"/>
            <w:vAlign w:val="center"/>
          </w:tcPr>
          <w:p w14:paraId="390DC721">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w:t>
            </w:r>
          </w:p>
        </w:tc>
      </w:tr>
      <w:tr w14:paraId="1CDE2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0ECBF9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417" w:type="dxa"/>
            <w:vAlign w:val="center"/>
          </w:tcPr>
          <w:p w14:paraId="0F105909">
            <w:pPr>
              <w:snapToGrid w:val="0"/>
              <w:spacing w:line="360" w:lineRule="auto"/>
              <w:jc w:val="center"/>
              <w:rPr>
                <w:rFonts w:hint="eastAsia" w:ascii="仿宋" w:hAnsi="仿宋" w:eastAsia="仿宋" w:cs="仿宋"/>
                <w:color w:val="auto"/>
                <w:sz w:val="24"/>
              </w:rPr>
            </w:pPr>
          </w:p>
        </w:tc>
        <w:tc>
          <w:tcPr>
            <w:tcW w:w="1843" w:type="dxa"/>
            <w:vAlign w:val="center"/>
          </w:tcPr>
          <w:p w14:paraId="32EFD567">
            <w:pPr>
              <w:snapToGrid w:val="0"/>
              <w:spacing w:line="360" w:lineRule="auto"/>
              <w:jc w:val="center"/>
              <w:rPr>
                <w:rFonts w:hint="eastAsia" w:ascii="仿宋" w:hAnsi="仿宋" w:eastAsia="仿宋" w:cs="仿宋"/>
                <w:color w:val="auto"/>
                <w:sz w:val="24"/>
              </w:rPr>
            </w:pPr>
          </w:p>
        </w:tc>
        <w:tc>
          <w:tcPr>
            <w:tcW w:w="3118" w:type="dxa"/>
            <w:vAlign w:val="center"/>
          </w:tcPr>
          <w:p w14:paraId="70508E8D">
            <w:pPr>
              <w:snapToGrid w:val="0"/>
              <w:spacing w:line="360" w:lineRule="auto"/>
              <w:jc w:val="center"/>
              <w:rPr>
                <w:rFonts w:hint="eastAsia" w:ascii="仿宋" w:hAnsi="仿宋" w:eastAsia="仿宋" w:cs="仿宋"/>
                <w:color w:val="auto"/>
                <w:sz w:val="24"/>
              </w:rPr>
            </w:pPr>
          </w:p>
        </w:tc>
        <w:tc>
          <w:tcPr>
            <w:tcW w:w="993" w:type="dxa"/>
            <w:vAlign w:val="center"/>
          </w:tcPr>
          <w:p w14:paraId="3E7E8ED3">
            <w:pPr>
              <w:snapToGrid w:val="0"/>
              <w:spacing w:line="360" w:lineRule="auto"/>
              <w:jc w:val="center"/>
              <w:rPr>
                <w:rFonts w:hint="eastAsia" w:ascii="仿宋" w:hAnsi="仿宋" w:eastAsia="仿宋" w:cs="仿宋"/>
                <w:color w:val="auto"/>
                <w:sz w:val="24"/>
              </w:rPr>
            </w:pPr>
          </w:p>
        </w:tc>
        <w:tc>
          <w:tcPr>
            <w:tcW w:w="1559" w:type="dxa"/>
            <w:vAlign w:val="center"/>
          </w:tcPr>
          <w:p w14:paraId="636806C8">
            <w:pPr>
              <w:spacing w:line="360" w:lineRule="auto"/>
              <w:jc w:val="center"/>
              <w:rPr>
                <w:rFonts w:hint="eastAsia" w:ascii="仿宋" w:hAnsi="仿宋" w:eastAsia="仿宋" w:cs="仿宋"/>
                <w:color w:val="auto"/>
                <w:sz w:val="24"/>
              </w:rPr>
            </w:pPr>
          </w:p>
        </w:tc>
        <w:tc>
          <w:tcPr>
            <w:tcW w:w="1984" w:type="dxa"/>
            <w:vAlign w:val="center"/>
          </w:tcPr>
          <w:p w14:paraId="62F37A2D">
            <w:pPr>
              <w:spacing w:line="360" w:lineRule="auto"/>
              <w:jc w:val="center"/>
              <w:rPr>
                <w:rFonts w:hint="eastAsia" w:ascii="仿宋" w:hAnsi="仿宋" w:eastAsia="仿宋" w:cs="仿宋"/>
                <w:color w:val="auto"/>
                <w:sz w:val="24"/>
              </w:rPr>
            </w:pPr>
          </w:p>
        </w:tc>
        <w:tc>
          <w:tcPr>
            <w:tcW w:w="3119" w:type="dxa"/>
            <w:vAlign w:val="center"/>
          </w:tcPr>
          <w:p w14:paraId="1FA098B8">
            <w:pPr>
              <w:spacing w:line="360" w:lineRule="auto"/>
              <w:jc w:val="center"/>
              <w:rPr>
                <w:rFonts w:hint="eastAsia" w:ascii="仿宋" w:hAnsi="仿宋" w:eastAsia="仿宋" w:cs="仿宋"/>
                <w:color w:val="auto"/>
                <w:sz w:val="24"/>
              </w:rPr>
            </w:pPr>
          </w:p>
        </w:tc>
      </w:tr>
      <w:tr w14:paraId="5C4D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10D5D2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417" w:type="dxa"/>
            <w:vAlign w:val="center"/>
          </w:tcPr>
          <w:p w14:paraId="30DAF8DA">
            <w:pPr>
              <w:snapToGrid w:val="0"/>
              <w:spacing w:line="360" w:lineRule="auto"/>
              <w:jc w:val="center"/>
              <w:rPr>
                <w:rFonts w:hint="eastAsia" w:ascii="仿宋" w:hAnsi="仿宋" w:eastAsia="仿宋" w:cs="仿宋"/>
                <w:color w:val="auto"/>
                <w:sz w:val="24"/>
              </w:rPr>
            </w:pPr>
          </w:p>
        </w:tc>
        <w:tc>
          <w:tcPr>
            <w:tcW w:w="1843" w:type="dxa"/>
            <w:vAlign w:val="center"/>
          </w:tcPr>
          <w:p w14:paraId="6C854709">
            <w:pPr>
              <w:snapToGrid w:val="0"/>
              <w:spacing w:line="360" w:lineRule="auto"/>
              <w:jc w:val="center"/>
              <w:rPr>
                <w:rFonts w:hint="eastAsia" w:ascii="仿宋" w:hAnsi="仿宋" w:eastAsia="仿宋" w:cs="仿宋"/>
                <w:color w:val="auto"/>
                <w:sz w:val="24"/>
              </w:rPr>
            </w:pPr>
          </w:p>
        </w:tc>
        <w:tc>
          <w:tcPr>
            <w:tcW w:w="3118" w:type="dxa"/>
            <w:vAlign w:val="center"/>
          </w:tcPr>
          <w:p w14:paraId="1387ADD1">
            <w:pPr>
              <w:snapToGrid w:val="0"/>
              <w:spacing w:line="360" w:lineRule="auto"/>
              <w:jc w:val="center"/>
              <w:rPr>
                <w:rFonts w:hint="eastAsia" w:ascii="仿宋" w:hAnsi="仿宋" w:eastAsia="仿宋" w:cs="仿宋"/>
                <w:color w:val="auto"/>
                <w:sz w:val="24"/>
              </w:rPr>
            </w:pPr>
          </w:p>
        </w:tc>
        <w:tc>
          <w:tcPr>
            <w:tcW w:w="993" w:type="dxa"/>
            <w:vAlign w:val="center"/>
          </w:tcPr>
          <w:p w14:paraId="6DE81785">
            <w:pPr>
              <w:snapToGrid w:val="0"/>
              <w:spacing w:line="360" w:lineRule="auto"/>
              <w:jc w:val="center"/>
              <w:rPr>
                <w:rFonts w:hint="eastAsia" w:ascii="仿宋" w:hAnsi="仿宋" w:eastAsia="仿宋" w:cs="仿宋"/>
                <w:color w:val="auto"/>
                <w:sz w:val="24"/>
              </w:rPr>
            </w:pPr>
          </w:p>
        </w:tc>
        <w:tc>
          <w:tcPr>
            <w:tcW w:w="1559" w:type="dxa"/>
            <w:vAlign w:val="center"/>
          </w:tcPr>
          <w:p w14:paraId="2EC6FB77">
            <w:pPr>
              <w:spacing w:line="360" w:lineRule="auto"/>
              <w:jc w:val="center"/>
              <w:rPr>
                <w:rFonts w:hint="eastAsia" w:ascii="仿宋" w:hAnsi="仿宋" w:eastAsia="仿宋" w:cs="仿宋"/>
                <w:color w:val="auto"/>
                <w:sz w:val="24"/>
              </w:rPr>
            </w:pPr>
          </w:p>
        </w:tc>
        <w:tc>
          <w:tcPr>
            <w:tcW w:w="1984" w:type="dxa"/>
            <w:vAlign w:val="center"/>
          </w:tcPr>
          <w:p w14:paraId="3F61DF3C">
            <w:pPr>
              <w:spacing w:line="360" w:lineRule="auto"/>
              <w:jc w:val="center"/>
              <w:rPr>
                <w:rFonts w:hint="eastAsia" w:ascii="仿宋" w:hAnsi="仿宋" w:eastAsia="仿宋" w:cs="仿宋"/>
                <w:color w:val="auto"/>
                <w:sz w:val="24"/>
              </w:rPr>
            </w:pPr>
          </w:p>
        </w:tc>
        <w:tc>
          <w:tcPr>
            <w:tcW w:w="3119" w:type="dxa"/>
            <w:vAlign w:val="center"/>
          </w:tcPr>
          <w:p w14:paraId="53A52888">
            <w:pPr>
              <w:spacing w:line="360" w:lineRule="auto"/>
              <w:jc w:val="center"/>
              <w:rPr>
                <w:rFonts w:hint="eastAsia" w:ascii="仿宋" w:hAnsi="仿宋" w:eastAsia="仿宋" w:cs="仿宋"/>
                <w:color w:val="auto"/>
                <w:sz w:val="24"/>
              </w:rPr>
            </w:pPr>
          </w:p>
        </w:tc>
      </w:tr>
      <w:tr w14:paraId="479F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6059B0">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417" w:type="dxa"/>
            <w:vAlign w:val="center"/>
          </w:tcPr>
          <w:p w14:paraId="76AB62EF">
            <w:pPr>
              <w:snapToGrid w:val="0"/>
              <w:spacing w:line="360" w:lineRule="auto"/>
              <w:jc w:val="center"/>
              <w:rPr>
                <w:rFonts w:hint="eastAsia" w:ascii="仿宋" w:hAnsi="仿宋" w:eastAsia="仿宋" w:cs="仿宋"/>
                <w:color w:val="auto"/>
                <w:sz w:val="24"/>
              </w:rPr>
            </w:pPr>
          </w:p>
        </w:tc>
        <w:tc>
          <w:tcPr>
            <w:tcW w:w="1843" w:type="dxa"/>
            <w:vAlign w:val="center"/>
          </w:tcPr>
          <w:p w14:paraId="2E9C5E8E">
            <w:pPr>
              <w:snapToGrid w:val="0"/>
              <w:spacing w:line="360" w:lineRule="auto"/>
              <w:jc w:val="center"/>
              <w:rPr>
                <w:rFonts w:hint="eastAsia" w:ascii="仿宋" w:hAnsi="仿宋" w:eastAsia="仿宋" w:cs="仿宋"/>
                <w:color w:val="auto"/>
                <w:sz w:val="24"/>
              </w:rPr>
            </w:pPr>
          </w:p>
        </w:tc>
        <w:tc>
          <w:tcPr>
            <w:tcW w:w="3118" w:type="dxa"/>
            <w:vAlign w:val="center"/>
          </w:tcPr>
          <w:p w14:paraId="69FB4127">
            <w:pPr>
              <w:snapToGrid w:val="0"/>
              <w:spacing w:line="360" w:lineRule="auto"/>
              <w:jc w:val="center"/>
              <w:rPr>
                <w:rFonts w:hint="eastAsia" w:ascii="仿宋" w:hAnsi="仿宋" w:eastAsia="仿宋" w:cs="仿宋"/>
                <w:color w:val="auto"/>
                <w:sz w:val="24"/>
              </w:rPr>
            </w:pPr>
          </w:p>
        </w:tc>
        <w:tc>
          <w:tcPr>
            <w:tcW w:w="993" w:type="dxa"/>
            <w:vAlign w:val="center"/>
          </w:tcPr>
          <w:p w14:paraId="1E2FCC8A">
            <w:pPr>
              <w:snapToGrid w:val="0"/>
              <w:spacing w:line="360" w:lineRule="auto"/>
              <w:jc w:val="center"/>
              <w:rPr>
                <w:rFonts w:hint="eastAsia" w:ascii="仿宋" w:hAnsi="仿宋" w:eastAsia="仿宋" w:cs="仿宋"/>
                <w:color w:val="auto"/>
                <w:sz w:val="24"/>
              </w:rPr>
            </w:pPr>
          </w:p>
        </w:tc>
        <w:tc>
          <w:tcPr>
            <w:tcW w:w="1559" w:type="dxa"/>
            <w:vAlign w:val="center"/>
          </w:tcPr>
          <w:p w14:paraId="1601FAD1">
            <w:pPr>
              <w:spacing w:line="360" w:lineRule="auto"/>
              <w:jc w:val="center"/>
              <w:rPr>
                <w:rFonts w:hint="eastAsia" w:ascii="仿宋" w:hAnsi="仿宋" w:eastAsia="仿宋" w:cs="仿宋"/>
                <w:color w:val="auto"/>
                <w:sz w:val="24"/>
              </w:rPr>
            </w:pPr>
          </w:p>
        </w:tc>
        <w:tc>
          <w:tcPr>
            <w:tcW w:w="1984" w:type="dxa"/>
            <w:vAlign w:val="center"/>
          </w:tcPr>
          <w:p w14:paraId="44340F2C">
            <w:pPr>
              <w:spacing w:line="360" w:lineRule="auto"/>
              <w:jc w:val="center"/>
              <w:rPr>
                <w:rFonts w:hint="eastAsia" w:ascii="仿宋" w:hAnsi="仿宋" w:eastAsia="仿宋" w:cs="仿宋"/>
                <w:color w:val="auto"/>
                <w:sz w:val="24"/>
              </w:rPr>
            </w:pPr>
          </w:p>
        </w:tc>
        <w:tc>
          <w:tcPr>
            <w:tcW w:w="3119" w:type="dxa"/>
            <w:vAlign w:val="center"/>
          </w:tcPr>
          <w:p w14:paraId="5E227C51">
            <w:pPr>
              <w:spacing w:line="360" w:lineRule="auto"/>
              <w:jc w:val="center"/>
              <w:rPr>
                <w:rFonts w:hint="eastAsia" w:ascii="仿宋" w:hAnsi="仿宋" w:eastAsia="仿宋" w:cs="仿宋"/>
                <w:color w:val="auto"/>
                <w:sz w:val="24"/>
              </w:rPr>
            </w:pPr>
          </w:p>
        </w:tc>
      </w:tr>
      <w:tr w14:paraId="7C83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8B96083">
            <w:pPr>
              <w:spacing w:line="360" w:lineRule="auto"/>
              <w:jc w:val="center"/>
              <w:rPr>
                <w:rFonts w:hint="eastAsia" w:ascii="仿宋" w:hAnsi="仿宋" w:eastAsia="仿宋" w:cs="仿宋"/>
                <w:color w:val="auto"/>
                <w:sz w:val="24"/>
              </w:rPr>
            </w:pPr>
          </w:p>
        </w:tc>
        <w:tc>
          <w:tcPr>
            <w:tcW w:w="1417" w:type="dxa"/>
            <w:vAlign w:val="center"/>
          </w:tcPr>
          <w:p w14:paraId="080A1A48">
            <w:pPr>
              <w:snapToGrid w:val="0"/>
              <w:spacing w:line="360" w:lineRule="auto"/>
              <w:jc w:val="center"/>
              <w:rPr>
                <w:rFonts w:hint="eastAsia" w:ascii="仿宋" w:hAnsi="仿宋" w:eastAsia="仿宋" w:cs="仿宋"/>
                <w:color w:val="auto"/>
                <w:sz w:val="24"/>
              </w:rPr>
            </w:pPr>
          </w:p>
        </w:tc>
        <w:tc>
          <w:tcPr>
            <w:tcW w:w="1843" w:type="dxa"/>
            <w:vAlign w:val="center"/>
          </w:tcPr>
          <w:p w14:paraId="0142ABCE">
            <w:pPr>
              <w:snapToGrid w:val="0"/>
              <w:spacing w:line="360" w:lineRule="auto"/>
              <w:jc w:val="center"/>
              <w:rPr>
                <w:rFonts w:hint="eastAsia" w:ascii="仿宋" w:hAnsi="仿宋" w:eastAsia="仿宋" w:cs="仿宋"/>
                <w:color w:val="auto"/>
                <w:sz w:val="24"/>
              </w:rPr>
            </w:pPr>
          </w:p>
        </w:tc>
        <w:tc>
          <w:tcPr>
            <w:tcW w:w="3118" w:type="dxa"/>
            <w:vAlign w:val="center"/>
          </w:tcPr>
          <w:p w14:paraId="2A9505A8">
            <w:pPr>
              <w:snapToGrid w:val="0"/>
              <w:spacing w:line="360" w:lineRule="auto"/>
              <w:jc w:val="center"/>
              <w:rPr>
                <w:rFonts w:hint="eastAsia" w:ascii="仿宋" w:hAnsi="仿宋" w:eastAsia="仿宋" w:cs="仿宋"/>
                <w:color w:val="auto"/>
                <w:sz w:val="24"/>
              </w:rPr>
            </w:pPr>
          </w:p>
        </w:tc>
        <w:tc>
          <w:tcPr>
            <w:tcW w:w="993" w:type="dxa"/>
            <w:vAlign w:val="center"/>
          </w:tcPr>
          <w:p w14:paraId="791E985C">
            <w:pPr>
              <w:snapToGrid w:val="0"/>
              <w:spacing w:line="360" w:lineRule="auto"/>
              <w:jc w:val="center"/>
              <w:rPr>
                <w:rFonts w:hint="eastAsia" w:ascii="仿宋" w:hAnsi="仿宋" w:eastAsia="仿宋" w:cs="仿宋"/>
                <w:color w:val="auto"/>
                <w:sz w:val="24"/>
              </w:rPr>
            </w:pPr>
          </w:p>
        </w:tc>
        <w:tc>
          <w:tcPr>
            <w:tcW w:w="1559" w:type="dxa"/>
            <w:vAlign w:val="center"/>
          </w:tcPr>
          <w:p w14:paraId="7687EC4D">
            <w:pPr>
              <w:spacing w:line="360" w:lineRule="auto"/>
              <w:jc w:val="center"/>
              <w:rPr>
                <w:rFonts w:hint="eastAsia" w:ascii="仿宋" w:hAnsi="仿宋" w:eastAsia="仿宋" w:cs="仿宋"/>
                <w:color w:val="auto"/>
                <w:sz w:val="24"/>
              </w:rPr>
            </w:pPr>
          </w:p>
        </w:tc>
        <w:tc>
          <w:tcPr>
            <w:tcW w:w="1984" w:type="dxa"/>
            <w:vAlign w:val="center"/>
          </w:tcPr>
          <w:p w14:paraId="0A923EDE">
            <w:pPr>
              <w:spacing w:line="360" w:lineRule="auto"/>
              <w:jc w:val="center"/>
              <w:rPr>
                <w:rFonts w:hint="eastAsia" w:ascii="仿宋" w:hAnsi="仿宋" w:eastAsia="仿宋" w:cs="仿宋"/>
                <w:color w:val="auto"/>
                <w:sz w:val="24"/>
              </w:rPr>
            </w:pPr>
          </w:p>
        </w:tc>
        <w:tc>
          <w:tcPr>
            <w:tcW w:w="3119" w:type="dxa"/>
            <w:vAlign w:val="center"/>
          </w:tcPr>
          <w:p w14:paraId="32661C97">
            <w:pPr>
              <w:spacing w:line="360" w:lineRule="auto"/>
              <w:jc w:val="center"/>
              <w:rPr>
                <w:rFonts w:hint="eastAsia" w:ascii="仿宋" w:hAnsi="仿宋" w:eastAsia="仿宋" w:cs="仿宋"/>
                <w:color w:val="auto"/>
                <w:sz w:val="24"/>
              </w:rPr>
            </w:pPr>
          </w:p>
        </w:tc>
      </w:tr>
      <w:tr w14:paraId="3A49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CC6F3CB">
            <w:pPr>
              <w:spacing w:line="360" w:lineRule="auto"/>
              <w:jc w:val="center"/>
              <w:rPr>
                <w:rFonts w:hint="eastAsia" w:ascii="仿宋" w:hAnsi="仿宋" w:eastAsia="仿宋" w:cs="仿宋"/>
                <w:color w:val="auto"/>
                <w:sz w:val="24"/>
              </w:rPr>
            </w:pPr>
          </w:p>
        </w:tc>
        <w:tc>
          <w:tcPr>
            <w:tcW w:w="1417" w:type="dxa"/>
            <w:vAlign w:val="center"/>
          </w:tcPr>
          <w:p w14:paraId="57C1CF3F">
            <w:pPr>
              <w:snapToGrid w:val="0"/>
              <w:spacing w:line="360" w:lineRule="auto"/>
              <w:jc w:val="center"/>
              <w:rPr>
                <w:rFonts w:hint="eastAsia" w:ascii="仿宋" w:hAnsi="仿宋" w:eastAsia="仿宋" w:cs="仿宋"/>
                <w:color w:val="auto"/>
                <w:sz w:val="24"/>
              </w:rPr>
            </w:pPr>
          </w:p>
        </w:tc>
        <w:tc>
          <w:tcPr>
            <w:tcW w:w="1843" w:type="dxa"/>
            <w:vAlign w:val="center"/>
          </w:tcPr>
          <w:p w14:paraId="45236B6E">
            <w:pPr>
              <w:snapToGrid w:val="0"/>
              <w:spacing w:line="360" w:lineRule="auto"/>
              <w:jc w:val="center"/>
              <w:rPr>
                <w:rFonts w:hint="eastAsia" w:ascii="仿宋" w:hAnsi="仿宋" w:eastAsia="仿宋" w:cs="仿宋"/>
                <w:color w:val="auto"/>
                <w:sz w:val="24"/>
              </w:rPr>
            </w:pPr>
          </w:p>
        </w:tc>
        <w:tc>
          <w:tcPr>
            <w:tcW w:w="3118" w:type="dxa"/>
            <w:vAlign w:val="center"/>
          </w:tcPr>
          <w:p w14:paraId="62E3FE34">
            <w:pPr>
              <w:snapToGrid w:val="0"/>
              <w:spacing w:line="360" w:lineRule="auto"/>
              <w:jc w:val="center"/>
              <w:rPr>
                <w:rFonts w:hint="eastAsia" w:ascii="仿宋" w:hAnsi="仿宋" w:eastAsia="仿宋" w:cs="仿宋"/>
                <w:color w:val="auto"/>
                <w:sz w:val="24"/>
              </w:rPr>
            </w:pPr>
          </w:p>
        </w:tc>
        <w:tc>
          <w:tcPr>
            <w:tcW w:w="993" w:type="dxa"/>
            <w:vAlign w:val="center"/>
          </w:tcPr>
          <w:p w14:paraId="4EDB43E2">
            <w:pPr>
              <w:snapToGrid w:val="0"/>
              <w:spacing w:line="360" w:lineRule="auto"/>
              <w:jc w:val="center"/>
              <w:rPr>
                <w:rFonts w:hint="eastAsia" w:ascii="仿宋" w:hAnsi="仿宋" w:eastAsia="仿宋" w:cs="仿宋"/>
                <w:color w:val="auto"/>
                <w:sz w:val="24"/>
              </w:rPr>
            </w:pPr>
          </w:p>
        </w:tc>
        <w:tc>
          <w:tcPr>
            <w:tcW w:w="1559" w:type="dxa"/>
            <w:vAlign w:val="center"/>
          </w:tcPr>
          <w:p w14:paraId="3FE1C70C">
            <w:pPr>
              <w:spacing w:line="360" w:lineRule="auto"/>
              <w:jc w:val="center"/>
              <w:rPr>
                <w:rFonts w:hint="eastAsia" w:ascii="仿宋" w:hAnsi="仿宋" w:eastAsia="仿宋" w:cs="仿宋"/>
                <w:color w:val="auto"/>
                <w:sz w:val="24"/>
              </w:rPr>
            </w:pPr>
          </w:p>
        </w:tc>
        <w:tc>
          <w:tcPr>
            <w:tcW w:w="1984" w:type="dxa"/>
            <w:vAlign w:val="center"/>
          </w:tcPr>
          <w:p w14:paraId="00E073A1">
            <w:pPr>
              <w:spacing w:line="360" w:lineRule="auto"/>
              <w:jc w:val="center"/>
              <w:rPr>
                <w:rFonts w:hint="eastAsia" w:ascii="仿宋" w:hAnsi="仿宋" w:eastAsia="仿宋" w:cs="仿宋"/>
                <w:color w:val="auto"/>
                <w:sz w:val="24"/>
              </w:rPr>
            </w:pPr>
          </w:p>
        </w:tc>
        <w:tc>
          <w:tcPr>
            <w:tcW w:w="3119" w:type="dxa"/>
            <w:vAlign w:val="center"/>
          </w:tcPr>
          <w:p w14:paraId="2DBC155D">
            <w:pPr>
              <w:spacing w:line="360" w:lineRule="auto"/>
              <w:jc w:val="center"/>
              <w:rPr>
                <w:rFonts w:hint="eastAsia" w:ascii="仿宋" w:hAnsi="仿宋" w:eastAsia="仿宋" w:cs="仿宋"/>
                <w:color w:val="auto"/>
                <w:sz w:val="24"/>
              </w:rPr>
            </w:pPr>
          </w:p>
        </w:tc>
      </w:tr>
      <w:tr w14:paraId="7084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506E9E4">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响应报价（小写）</w:t>
            </w:r>
          </w:p>
        </w:tc>
        <w:tc>
          <w:tcPr>
            <w:tcW w:w="7655" w:type="dxa"/>
            <w:gridSpan w:val="4"/>
            <w:vAlign w:val="center"/>
          </w:tcPr>
          <w:p w14:paraId="4C736019">
            <w:pPr>
              <w:spacing w:line="360" w:lineRule="auto"/>
              <w:jc w:val="center"/>
              <w:rPr>
                <w:rFonts w:hint="eastAsia" w:ascii="仿宋" w:hAnsi="仿宋" w:eastAsia="仿宋" w:cs="仿宋"/>
                <w:color w:val="auto"/>
                <w:sz w:val="24"/>
              </w:rPr>
            </w:pPr>
          </w:p>
        </w:tc>
      </w:tr>
      <w:tr w14:paraId="10F68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1B4116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响应报价（大写）</w:t>
            </w:r>
          </w:p>
        </w:tc>
        <w:tc>
          <w:tcPr>
            <w:tcW w:w="7655" w:type="dxa"/>
            <w:gridSpan w:val="4"/>
            <w:vAlign w:val="center"/>
          </w:tcPr>
          <w:p w14:paraId="22F50B50">
            <w:pPr>
              <w:spacing w:line="360" w:lineRule="auto"/>
              <w:jc w:val="center"/>
              <w:rPr>
                <w:rFonts w:hint="eastAsia" w:ascii="仿宋" w:hAnsi="仿宋" w:eastAsia="仿宋" w:cs="仿宋"/>
                <w:color w:val="auto"/>
                <w:sz w:val="24"/>
              </w:rPr>
            </w:pPr>
          </w:p>
        </w:tc>
      </w:tr>
    </w:tbl>
    <w:p w14:paraId="350A73FA">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4CA2CCBF">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1、供应商须按本表格式填写，不得自行更改。</w:t>
      </w:r>
    </w:p>
    <w:p w14:paraId="17CBF372">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b/>
          <w:color w:val="auto"/>
          <w:kern w:val="0"/>
          <w:sz w:val="24"/>
          <w:lang w:val="zh-CN"/>
        </w:rPr>
        <w:t>采购人将以合同形式有偿取得货物或服务，不接受供应商给予的赠品、回扣或者与采购无关的其他商品、服务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响应文件含有采购人不能接受的附加条件的，交易无效</w:t>
      </w:r>
      <w:r>
        <w:rPr>
          <w:rFonts w:hint="eastAsia" w:ascii="仿宋" w:hAnsi="仿宋" w:eastAsia="仿宋" w:cs="仿宋"/>
          <w:b/>
          <w:color w:val="auto"/>
          <w:kern w:val="0"/>
          <w:sz w:val="24"/>
          <w:lang w:val="zh-CN"/>
        </w:rPr>
        <w:t>；采购内容未包含在《交易一览表（报价表）》名称栏中，供应商不能作出合理解释的，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响应文件含有采购人不能接受的附加条件的，交易无效。</w:t>
      </w:r>
    </w:p>
    <w:p w14:paraId="3C8CCF45">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3、以上表格要求细分项目及报价，在“规格型号（或具体服务）”一栏中，货物类项目填写规格型号，服务类项目填写具体服务。</w:t>
      </w:r>
    </w:p>
    <w:p w14:paraId="37C917DD">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4、特别提示：采购机构将对项目名称和项目编号，成交供应商名称、地址和成交金额，主要成交标的的名称、规格型号、数量、单价、服务要求等予以公示。</w:t>
      </w:r>
    </w:p>
    <w:p w14:paraId="62897A87">
      <w:pPr>
        <w:spacing w:line="360" w:lineRule="auto"/>
        <w:ind w:firstLine="482" w:firstLineChars="200"/>
        <w:rPr>
          <w:rFonts w:hint="eastAsia" w:ascii="仿宋" w:hAnsi="仿宋" w:eastAsia="仿宋" w:cs="仿宋"/>
          <w:b/>
          <w:color w:val="auto"/>
          <w:kern w:val="0"/>
          <w:sz w:val="24"/>
        </w:rPr>
      </w:pPr>
    </w:p>
    <w:p w14:paraId="285486F8">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p>
    <w:p w14:paraId="3AE6705D">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pgSz w:w="16838" w:h="11906" w:orient="landscape"/>
          <w:pgMar w:top="1418" w:right="1247" w:bottom="1418" w:left="1276" w:header="851" w:footer="992" w:gutter="0"/>
          <w:cols w:space="720" w:num="1"/>
          <w:titlePg/>
          <w:docGrid w:linePitch="312" w:charSpace="0"/>
        </w:sectPr>
      </w:pPr>
    </w:p>
    <w:p w14:paraId="5C2615C4">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附件1：质疑函范本及制作说明</w:t>
      </w:r>
    </w:p>
    <w:p w14:paraId="24838951">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6D7F1138">
      <w:pPr>
        <w:snapToGrid w:val="0"/>
        <w:spacing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14:paraId="69251DDF">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p>
    <w:p w14:paraId="7BF7799F">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地址：邮编：</w:t>
      </w:r>
    </w:p>
    <w:p w14:paraId="5C1212EE">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联系人：联系电话：</w:t>
      </w:r>
    </w:p>
    <w:p w14:paraId="3C61ABBF">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p>
    <w:p w14:paraId="1FB8A227">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p>
    <w:p w14:paraId="570B37E0">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 邮编：</w:t>
      </w:r>
    </w:p>
    <w:p w14:paraId="1DB3F79D">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14:paraId="71437DD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p>
    <w:p w14:paraId="498EE9C9">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质疑项目的编号：包号：</w:t>
      </w:r>
    </w:p>
    <w:p w14:paraId="732C5633">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p>
    <w:p w14:paraId="3FA0AF7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p>
    <w:p w14:paraId="143358DA">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14:paraId="284DD249">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p>
    <w:p w14:paraId="3C98430B">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p>
    <w:p w14:paraId="3EE7F9F6">
      <w:pPr>
        <w:snapToGrid w:val="0"/>
        <w:spacing w:line="360" w:lineRule="auto"/>
        <w:rPr>
          <w:rFonts w:hint="eastAsia" w:ascii="仿宋" w:hAnsi="仿宋" w:eastAsia="仿宋" w:cs="仿宋"/>
          <w:color w:val="auto"/>
          <w:sz w:val="24"/>
        </w:rPr>
      </w:pPr>
    </w:p>
    <w:p w14:paraId="4443FB6C">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p>
    <w:p w14:paraId="73675540">
      <w:pPr>
        <w:snapToGrid w:val="0"/>
        <w:spacing w:line="360" w:lineRule="auto"/>
        <w:rPr>
          <w:rFonts w:hint="eastAsia" w:ascii="仿宋" w:hAnsi="仿宋" w:eastAsia="仿宋" w:cs="仿宋"/>
          <w:color w:val="auto"/>
          <w:sz w:val="24"/>
          <w:u w:val="dotted"/>
        </w:rPr>
      </w:pPr>
    </w:p>
    <w:p w14:paraId="76F8EF11">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14:paraId="354F36E1">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14:paraId="18D241A1">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14:paraId="3895B065">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p>
    <w:p w14:paraId="05320C4B">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27935795">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14F96D5D">
      <w:pPr>
        <w:spacing w:line="360" w:lineRule="auto"/>
        <w:jc w:val="center"/>
        <w:rPr>
          <w:rFonts w:hint="eastAsia" w:ascii="仿宋" w:hAnsi="仿宋" w:eastAsia="仿宋" w:cs="仿宋"/>
          <w:b/>
          <w:bCs/>
          <w:color w:val="auto"/>
          <w:sz w:val="24"/>
        </w:rPr>
      </w:pPr>
    </w:p>
    <w:p w14:paraId="388EF36E">
      <w:pPr>
        <w:spacing w:line="360" w:lineRule="auto"/>
        <w:rPr>
          <w:rFonts w:hint="eastAsia" w:ascii="仿宋" w:hAnsi="仿宋" w:eastAsia="仿宋" w:cs="仿宋"/>
          <w:b/>
          <w:color w:val="auto"/>
          <w:sz w:val="24"/>
        </w:rPr>
      </w:pPr>
    </w:p>
    <w:p w14:paraId="37B1B7C9">
      <w:pPr>
        <w:spacing w:line="360" w:lineRule="auto"/>
        <w:rPr>
          <w:rFonts w:hint="eastAsia" w:ascii="仿宋" w:hAnsi="仿宋" w:eastAsia="仿宋" w:cs="仿宋"/>
          <w:b/>
          <w:color w:val="auto"/>
          <w:sz w:val="24"/>
        </w:rPr>
      </w:pPr>
    </w:p>
    <w:p w14:paraId="1EE7973F">
      <w:pPr>
        <w:spacing w:line="360" w:lineRule="auto"/>
        <w:rPr>
          <w:rFonts w:hint="eastAsia" w:ascii="仿宋" w:hAnsi="仿宋" w:eastAsia="仿宋" w:cs="仿宋"/>
          <w:b/>
          <w:color w:val="auto"/>
          <w:sz w:val="24"/>
        </w:rPr>
      </w:pPr>
    </w:p>
    <w:p w14:paraId="17C02DC8">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14:paraId="18C3635D">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14:paraId="6F4ADA01">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5D2A5B3D">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14:paraId="734B945C">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14:paraId="1DD29428">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14:paraId="6DCB5F3A">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14:paraId="60CE7B44">
      <w:pPr>
        <w:widowControl/>
        <w:spacing w:line="360" w:lineRule="auto"/>
        <w:ind w:firstLine="600" w:firstLineChars="200"/>
        <w:jc w:val="left"/>
        <w:rPr>
          <w:rFonts w:hint="eastAsia" w:ascii="仿宋" w:hAnsi="仿宋" w:eastAsia="仿宋" w:cs="仿宋"/>
          <w:color w:val="auto"/>
          <w:sz w:val="30"/>
          <w:szCs w:val="30"/>
        </w:rPr>
      </w:pPr>
    </w:p>
    <w:p w14:paraId="6606B205">
      <w:pPr>
        <w:spacing w:line="360" w:lineRule="auto"/>
        <w:jc w:val="center"/>
        <w:rPr>
          <w:rFonts w:hint="eastAsia" w:ascii="仿宋" w:hAnsi="仿宋" w:eastAsia="仿宋" w:cs="仿宋"/>
          <w:b/>
          <w:color w:val="auto"/>
          <w:spacing w:val="6"/>
          <w:sz w:val="32"/>
          <w:szCs w:val="32"/>
        </w:rPr>
      </w:pPr>
    </w:p>
    <w:p w14:paraId="1DB9AE27">
      <w:pPr>
        <w:spacing w:line="360" w:lineRule="auto"/>
        <w:jc w:val="center"/>
        <w:rPr>
          <w:rFonts w:hint="eastAsia" w:ascii="仿宋" w:hAnsi="仿宋" w:eastAsia="仿宋" w:cs="仿宋"/>
          <w:b/>
          <w:color w:val="auto"/>
          <w:spacing w:val="6"/>
          <w:sz w:val="32"/>
          <w:szCs w:val="32"/>
        </w:rPr>
      </w:pPr>
    </w:p>
    <w:p w14:paraId="4722B0D5">
      <w:pPr>
        <w:spacing w:line="360" w:lineRule="auto"/>
        <w:jc w:val="center"/>
        <w:rPr>
          <w:rFonts w:hint="eastAsia" w:ascii="仿宋" w:hAnsi="仿宋" w:eastAsia="仿宋" w:cs="仿宋"/>
          <w:b/>
          <w:color w:val="auto"/>
          <w:spacing w:val="6"/>
          <w:sz w:val="32"/>
          <w:szCs w:val="32"/>
        </w:rPr>
      </w:pPr>
    </w:p>
    <w:p w14:paraId="163333D8">
      <w:pPr>
        <w:spacing w:line="360" w:lineRule="auto"/>
        <w:jc w:val="center"/>
        <w:rPr>
          <w:rFonts w:hint="eastAsia" w:ascii="仿宋" w:hAnsi="仿宋" w:eastAsia="仿宋" w:cs="仿宋"/>
          <w:b/>
          <w:color w:val="auto"/>
          <w:spacing w:val="6"/>
          <w:sz w:val="32"/>
          <w:szCs w:val="32"/>
        </w:rPr>
      </w:pPr>
    </w:p>
    <w:p w14:paraId="2FEC3903">
      <w:pPr>
        <w:spacing w:line="360" w:lineRule="auto"/>
        <w:jc w:val="center"/>
        <w:rPr>
          <w:rFonts w:hint="eastAsia" w:ascii="仿宋" w:hAnsi="仿宋" w:eastAsia="仿宋" w:cs="仿宋"/>
          <w:b/>
          <w:color w:val="auto"/>
          <w:spacing w:val="6"/>
          <w:sz w:val="32"/>
          <w:szCs w:val="32"/>
        </w:rPr>
      </w:pPr>
    </w:p>
    <w:p w14:paraId="53AEAC6F">
      <w:pPr>
        <w:spacing w:line="360" w:lineRule="auto"/>
        <w:jc w:val="center"/>
        <w:rPr>
          <w:rFonts w:hint="eastAsia" w:ascii="仿宋" w:hAnsi="仿宋" w:eastAsia="仿宋" w:cs="仿宋"/>
          <w:b/>
          <w:color w:val="auto"/>
          <w:spacing w:val="6"/>
          <w:sz w:val="32"/>
          <w:szCs w:val="32"/>
        </w:rPr>
      </w:pPr>
    </w:p>
    <w:p w14:paraId="788AEFB2">
      <w:pPr>
        <w:spacing w:line="360" w:lineRule="auto"/>
        <w:jc w:val="center"/>
        <w:rPr>
          <w:rFonts w:hint="eastAsia" w:ascii="仿宋" w:hAnsi="仿宋" w:eastAsia="仿宋" w:cs="仿宋"/>
          <w:b/>
          <w:color w:val="auto"/>
          <w:spacing w:val="6"/>
          <w:sz w:val="32"/>
          <w:szCs w:val="32"/>
        </w:rPr>
      </w:pPr>
    </w:p>
    <w:p w14:paraId="6B2D981D">
      <w:pPr>
        <w:spacing w:line="360" w:lineRule="auto"/>
        <w:jc w:val="center"/>
        <w:rPr>
          <w:rFonts w:hint="eastAsia" w:ascii="仿宋" w:hAnsi="仿宋" w:eastAsia="仿宋" w:cs="仿宋"/>
          <w:b/>
          <w:color w:val="auto"/>
          <w:spacing w:val="6"/>
          <w:sz w:val="32"/>
          <w:szCs w:val="32"/>
        </w:rPr>
      </w:pPr>
    </w:p>
    <w:p w14:paraId="4C380EA2">
      <w:pPr>
        <w:spacing w:line="360" w:lineRule="auto"/>
        <w:jc w:val="center"/>
        <w:rPr>
          <w:rFonts w:hint="eastAsia" w:ascii="仿宋" w:hAnsi="仿宋" w:eastAsia="仿宋" w:cs="仿宋"/>
          <w:b/>
          <w:color w:val="auto"/>
          <w:spacing w:val="6"/>
          <w:sz w:val="32"/>
          <w:szCs w:val="32"/>
        </w:rPr>
      </w:pPr>
    </w:p>
    <w:p w14:paraId="33F3FC11">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附件2：投诉书范本及制作说明</w:t>
      </w:r>
    </w:p>
    <w:p w14:paraId="79B96035">
      <w:pPr>
        <w:spacing w:line="360" w:lineRule="auto"/>
        <w:jc w:val="center"/>
        <w:rPr>
          <w:rFonts w:hint="eastAsia" w:ascii="仿宋" w:hAnsi="仿宋" w:eastAsia="仿宋" w:cs="仿宋"/>
          <w:b/>
          <w:color w:val="auto"/>
          <w:sz w:val="24"/>
        </w:rPr>
      </w:pPr>
    </w:p>
    <w:p w14:paraId="74CF3638">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7F6B130F">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14:paraId="09EAC993">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p>
    <w:p w14:paraId="73D61228">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址：邮编：</w:t>
      </w:r>
    </w:p>
    <w:p w14:paraId="14CED19E">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p>
    <w:p w14:paraId="266A31F1">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p>
    <w:p w14:paraId="173BFEC4">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授权代表：联系电话</w:t>
      </w:r>
      <w:r>
        <w:rPr>
          <w:rFonts w:hint="eastAsia" w:ascii="仿宋" w:hAnsi="仿宋" w:eastAsia="仿宋" w:cs="仿宋"/>
          <w:color w:val="auto"/>
          <w:sz w:val="24"/>
          <w:u w:val="dotted"/>
        </w:rPr>
        <w:t xml:space="preserve">：                  </w:t>
      </w:r>
    </w:p>
    <w:p w14:paraId="5747894F">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址：邮编：</w:t>
      </w:r>
    </w:p>
    <w:p w14:paraId="06580A37">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p>
    <w:p w14:paraId="3EC06701">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址：邮编：</w:t>
      </w:r>
    </w:p>
    <w:p w14:paraId="4465E331">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联系人：联系电话：</w:t>
      </w:r>
    </w:p>
    <w:p w14:paraId="47C851AB">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14:paraId="6D94406A">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4BE9E462">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p>
    <w:p w14:paraId="5CBC5B98">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址：邮编：</w:t>
      </w:r>
    </w:p>
    <w:p w14:paraId="0321C9A8">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联系人：联系电话：</w:t>
      </w:r>
    </w:p>
    <w:p w14:paraId="1C288653">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14:paraId="57F840A8">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p>
    <w:p w14:paraId="78ED4419">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采购项目编号：包号：</w:t>
      </w:r>
    </w:p>
    <w:p w14:paraId="7647D96B">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p>
    <w:p w14:paraId="71329FFB">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p>
    <w:p w14:paraId="07188E33">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p>
    <w:p w14:paraId="1CC5B7D3">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p>
    <w:p w14:paraId="6C295675">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14:paraId="52AA9C75">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投诉人于年月日,向提出质疑，质疑事项为：</w:t>
      </w:r>
    </w:p>
    <w:p w14:paraId="17E91E08">
      <w:pPr>
        <w:spacing w:line="360" w:lineRule="auto"/>
        <w:rPr>
          <w:rFonts w:hint="eastAsia" w:ascii="仿宋" w:hAnsi="仿宋" w:eastAsia="仿宋" w:cs="仿宋"/>
          <w:color w:val="auto"/>
          <w:sz w:val="24"/>
          <w:u w:val="dotted"/>
        </w:rPr>
      </w:pPr>
    </w:p>
    <w:p w14:paraId="67F40502">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于年月日,就质疑事项作出了答复/没有在法定期限内作出答复。</w:t>
      </w:r>
    </w:p>
    <w:p w14:paraId="5908EBF7">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14:paraId="4F2BF8ED">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p>
    <w:p w14:paraId="7A7C1E7A">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p>
    <w:p w14:paraId="19002D01">
      <w:pPr>
        <w:spacing w:line="360" w:lineRule="auto"/>
        <w:rPr>
          <w:rFonts w:hint="eastAsia" w:ascii="仿宋" w:hAnsi="仿宋" w:eastAsia="仿宋" w:cs="仿宋"/>
          <w:color w:val="auto"/>
          <w:sz w:val="24"/>
          <w:u w:val="dotted"/>
        </w:rPr>
      </w:pPr>
    </w:p>
    <w:p w14:paraId="4CB13342">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p>
    <w:p w14:paraId="7D951B14">
      <w:pPr>
        <w:spacing w:line="360" w:lineRule="auto"/>
        <w:rPr>
          <w:rFonts w:hint="eastAsia" w:ascii="仿宋" w:hAnsi="仿宋" w:eastAsia="仿宋" w:cs="仿宋"/>
          <w:color w:val="auto"/>
          <w:sz w:val="24"/>
          <w:u w:val="dotted"/>
        </w:rPr>
      </w:pPr>
    </w:p>
    <w:p w14:paraId="2ABF814E">
      <w:pPr>
        <w:spacing w:line="360" w:lineRule="auto"/>
        <w:rPr>
          <w:rFonts w:hint="eastAsia" w:ascii="仿宋" w:hAnsi="仿宋" w:eastAsia="仿宋" w:cs="仿宋"/>
          <w:color w:val="auto"/>
          <w:sz w:val="24"/>
        </w:rPr>
      </w:pPr>
      <w:r>
        <w:rPr>
          <w:rFonts w:hint="eastAsia" w:ascii="仿宋" w:hAnsi="仿宋" w:eastAsia="仿宋" w:cs="仿宋"/>
          <w:color w:val="auto"/>
          <w:sz w:val="24"/>
        </w:rPr>
        <w:t>投诉事项2</w:t>
      </w:r>
    </w:p>
    <w:p w14:paraId="15CD257E">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7B6C8D85">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14:paraId="0653AC24">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p>
    <w:p w14:paraId="09EF4CD4">
      <w:pPr>
        <w:spacing w:line="360" w:lineRule="auto"/>
        <w:rPr>
          <w:rFonts w:hint="eastAsia" w:ascii="仿宋" w:hAnsi="仿宋" w:eastAsia="仿宋" w:cs="仿宋"/>
          <w:color w:val="auto"/>
          <w:sz w:val="24"/>
          <w:u w:val="single"/>
        </w:rPr>
      </w:pPr>
    </w:p>
    <w:p w14:paraId="4BC0B6ED">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24917D4B">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7F6BFD2F">
      <w:pPr>
        <w:spacing w:line="360" w:lineRule="auto"/>
        <w:rPr>
          <w:rFonts w:hint="eastAsia" w:ascii="仿宋" w:hAnsi="仿宋" w:eastAsia="仿宋" w:cs="仿宋"/>
          <w:b/>
          <w:color w:val="auto"/>
          <w:sz w:val="24"/>
        </w:rPr>
      </w:pPr>
    </w:p>
    <w:p w14:paraId="696D185C">
      <w:pPr>
        <w:spacing w:line="360" w:lineRule="auto"/>
        <w:rPr>
          <w:rFonts w:hint="eastAsia" w:ascii="仿宋" w:hAnsi="仿宋" w:eastAsia="仿宋" w:cs="仿宋"/>
          <w:b/>
          <w:color w:val="auto"/>
          <w:sz w:val="24"/>
        </w:rPr>
      </w:pPr>
    </w:p>
    <w:p w14:paraId="60E55D12">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14:paraId="1F603BFC">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14:paraId="66515603">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7910C079">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14:paraId="1A7FE9E5">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14:paraId="7035510D">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14:paraId="4D290710">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14:paraId="4483D3D0">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3B3A28F0">
      <w:pPr>
        <w:spacing w:line="360" w:lineRule="auto"/>
        <w:rPr>
          <w:rFonts w:hint="eastAsia" w:ascii="仿宋" w:hAnsi="仿宋" w:eastAsia="仿宋" w:cs="仿宋"/>
          <w:b/>
          <w:color w:val="auto"/>
          <w:sz w:val="24"/>
        </w:rPr>
      </w:pPr>
    </w:p>
    <w:p w14:paraId="3F54E2FB">
      <w:pPr>
        <w:autoSpaceDE w:val="0"/>
        <w:autoSpaceDN w:val="0"/>
        <w:jc w:val="center"/>
        <w:rPr>
          <w:rFonts w:hint="eastAsia" w:ascii="仿宋" w:hAnsi="仿宋" w:eastAsia="仿宋" w:cs="仿宋"/>
          <w:b/>
          <w:color w:val="auto"/>
          <w:spacing w:val="6"/>
          <w:sz w:val="32"/>
          <w:szCs w:val="32"/>
        </w:rPr>
      </w:pPr>
    </w:p>
    <w:p w14:paraId="3FBB3881">
      <w:pPr>
        <w:autoSpaceDE w:val="0"/>
        <w:autoSpaceDN w:val="0"/>
        <w:jc w:val="center"/>
        <w:rPr>
          <w:rFonts w:hint="eastAsia" w:ascii="仿宋" w:hAnsi="仿宋" w:eastAsia="仿宋" w:cs="仿宋"/>
          <w:b/>
          <w:color w:val="auto"/>
          <w:spacing w:val="6"/>
          <w:sz w:val="32"/>
          <w:szCs w:val="32"/>
        </w:rPr>
      </w:pPr>
    </w:p>
    <w:p w14:paraId="262C99B2">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03E0959F">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附件3：</w:t>
      </w:r>
      <w:r>
        <w:rPr>
          <w:rFonts w:hint="eastAsia" w:ascii="仿宋" w:hAnsi="仿宋" w:eastAsia="仿宋" w:cs="仿宋"/>
          <w:b/>
          <w:bCs/>
          <w:color w:val="auto"/>
          <w:sz w:val="32"/>
          <w:szCs w:val="32"/>
        </w:rPr>
        <w:t>业务专用章使用说明函</w:t>
      </w:r>
    </w:p>
    <w:p w14:paraId="40C90500">
      <w:pPr>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p>
    <w:p w14:paraId="1DB95FD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sz w:val="24"/>
        </w:rPr>
        <w:t>(供应商全称)是中华人民共和国依法登记注册的合法企业，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w:t>
      </w:r>
      <w:r>
        <w:rPr>
          <w:rFonts w:hint="eastAsia" w:ascii="仿宋" w:hAnsi="仿宋" w:eastAsia="仿宋" w:cs="仿宋"/>
          <w:color w:val="auto"/>
          <w:sz w:val="24"/>
          <w:u w:val="single"/>
        </w:rPr>
        <w:t>（项目名称）项目【交易编号：      】</w:t>
      </w:r>
      <w:r>
        <w:rPr>
          <w:rFonts w:hint="eastAsia" w:ascii="仿宋" w:hAnsi="仿宋" w:eastAsia="仿宋" w:cs="仿宋"/>
          <w:bCs/>
          <w:color w:val="auto"/>
          <w:sz w:val="24"/>
        </w:rPr>
        <w:t>交易活动中作如下说明：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5DDE5CC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14:paraId="47E9A788">
      <w:pPr>
        <w:spacing w:line="360" w:lineRule="auto"/>
        <w:ind w:firstLine="494"/>
        <w:rPr>
          <w:rFonts w:hint="eastAsia" w:ascii="仿宋" w:hAnsi="仿宋" w:eastAsia="仿宋" w:cs="仿宋"/>
          <w:color w:val="auto"/>
          <w:sz w:val="24"/>
        </w:rPr>
      </w:pPr>
    </w:p>
    <w:p w14:paraId="5778F882">
      <w:pPr>
        <w:spacing w:line="360" w:lineRule="auto"/>
        <w:ind w:firstLine="494"/>
        <w:rPr>
          <w:rFonts w:hint="eastAsia" w:ascii="仿宋" w:hAnsi="仿宋" w:eastAsia="仿宋" w:cs="仿宋"/>
          <w:color w:val="auto"/>
          <w:sz w:val="24"/>
        </w:rPr>
      </w:pPr>
    </w:p>
    <w:p w14:paraId="3C4F2ACB">
      <w:pPr>
        <w:spacing w:line="360" w:lineRule="auto"/>
        <w:ind w:firstLine="494"/>
        <w:rPr>
          <w:rFonts w:hint="eastAsia" w:ascii="仿宋" w:hAnsi="仿宋" w:eastAsia="仿宋" w:cs="仿宋"/>
          <w:color w:val="auto"/>
          <w:sz w:val="24"/>
        </w:rPr>
      </w:pPr>
    </w:p>
    <w:p w14:paraId="29929E01">
      <w:pPr>
        <w:spacing w:line="360" w:lineRule="auto"/>
        <w:ind w:firstLine="494"/>
        <w:rPr>
          <w:rFonts w:hint="eastAsia" w:ascii="仿宋" w:hAnsi="仿宋" w:eastAsia="仿宋" w:cs="仿宋"/>
          <w:color w:val="auto"/>
          <w:sz w:val="24"/>
        </w:rPr>
      </w:pPr>
    </w:p>
    <w:p w14:paraId="120C65AE">
      <w:pPr>
        <w:spacing w:line="360" w:lineRule="auto"/>
        <w:ind w:right="480" w:firstLine="4080" w:firstLineChars="1700"/>
        <w:rPr>
          <w:rFonts w:hint="eastAsia" w:ascii="仿宋" w:hAnsi="仿宋" w:eastAsia="仿宋" w:cs="仿宋"/>
          <w:color w:val="auto"/>
          <w:sz w:val="24"/>
        </w:rPr>
      </w:pPr>
      <w:r>
        <w:rPr>
          <w:rFonts w:hint="eastAsia" w:ascii="仿宋" w:hAnsi="仿宋" w:eastAsia="仿宋" w:cs="仿宋"/>
          <w:color w:val="auto"/>
          <w:sz w:val="24"/>
        </w:rPr>
        <w:t>响应单位（法定名称章）：</w:t>
      </w:r>
    </w:p>
    <w:p w14:paraId="604A9FCB">
      <w:pPr>
        <w:ind w:right="1440" w:firstLine="494"/>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0AC70853">
      <w:pPr>
        <w:rPr>
          <w:rFonts w:hint="eastAsia" w:ascii="仿宋" w:hAnsi="仿宋" w:eastAsia="仿宋" w:cs="仿宋"/>
          <w:color w:val="auto"/>
          <w:sz w:val="24"/>
        </w:rPr>
      </w:pPr>
      <w:r>
        <w:rPr>
          <w:rFonts w:hint="eastAsia" w:ascii="仿宋" w:hAnsi="仿宋" w:eastAsia="仿宋" w:cs="仿宋"/>
          <w:color w:val="auto"/>
          <w:sz w:val="24"/>
        </w:rPr>
        <w:t>附：</w:t>
      </w:r>
    </w:p>
    <w:p w14:paraId="7970C608">
      <w:pPr>
        <w:spacing w:line="360" w:lineRule="auto"/>
        <w:rPr>
          <w:rFonts w:hint="eastAsia" w:ascii="仿宋" w:hAnsi="仿宋" w:eastAsia="仿宋" w:cs="仿宋"/>
          <w:bCs/>
          <w:color w:val="auto"/>
          <w:sz w:val="24"/>
        </w:rPr>
      </w:pPr>
      <w:r>
        <w:rPr>
          <w:rFonts w:hint="eastAsia" w:ascii="仿宋" w:hAnsi="仿宋" w:eastAsia="仿宋" w:cs="仿宋"/>
          <w:color w:val="auto"/>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hint="eastAsia" w:ascii="仿宋" w:hAnsi="仿宋" w:eastAsia="仿宋" w:cs="仿宋"/>
          <w:color w:val="auto"/>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仿宋" w:hAnsi="仿宋" w:eastAsia="仿宋" w:cs="仿宋"/>
          <w:color w:val="auto"/>
          <w:sz w:val="24"/>
        </w:rPr>
        <w:t>响应单位法定名称章（印模）                响应单位“XX专用章”（印模）</w:t>
      </w:r>
    </w:p>
    <w:p w14:paraId="16D47373">
      <w:pPr>
        <w:autoSpaceDE w:val="0"/>
        <w:autoSpaceDN w:val="0"/>
        <w:jc w:val="center"/>
        <w:rPr>
          <w:rFonts w:hint="eastAsia" w:ascii="仿宋" w:hAnsi="仿宋" w:eastAsia="仿宋" w:cs="仿宋"/>
          <w:b/>
          <w:color w:val="auto"/>
          <w:spacing w:val="6"/>
          <w:sz w:val="32"/>
          <w:szCs w:val="32"/>
        </w:rPr>
      </w:pPr>
    </w:p>
    <w:p w14:paraId="6FD2BB41">
      <w:pPr>
        <w:autoSpaceDE w:val="0"/>
        <w:autoSpaceDN w:val="0"/>
        <w:jc w:val="center"/>
        <w:rPr>
          <w:rFonts w:hint="eastAsia" w:ascii="仿宋" w:hAnsi="仿宋" w:eastAsia="仿宋" w:cs="仿宋"/>
          <w:b/>
          <w:color w:val="auto"/>
          <w:spacing w:val="6"/>
          <w:sz w:val="32"/>
          <w:szCs w:val="32"/>
        </w:rPr>
      </w:pPr>
    </w:p>
    <w:p w14:paraId="5538AC28">
      <w:pPr>
        <w:autoSpaceDE w:val="0"/>
        <w:autoSpaceDN w:val="0"/>
        <w:jc w:val="center"/>
        <w:rPr>
          <w:rFonts w:hint="eastAsia" w:ascii="仿宋" w:hAnsi="仿宋" w:eastAsia="仿宋" w:cs="仿宋"/>
          <w:b/>
          <w:color w:val="auto"/>
          <w:spacing w:val="6"/>
          <w:sz w:val="32"/>
          <w:szCs w:val="32"/>
        </w:rPr>
      </w:pPr>
    </w:p>
    <w:p w14:paraId="4B607611">
      <w:pPr>
        <w:autoSpaceDE w:val="0"/>
        <w:autoSpaceDN w:val="0"/>
        <w:jc w:val="center"/>
        <w:rPr>
          <w:rFonts w:hint="eastAsia" w:ascii="仿宋" w:hAnsi="仿宋" w:eastAsia="仿宋" w:cs="仿宋"/>
          <w:b/>
          <w:color w:val="auto"/>
          <w:spacing w:val="6"/>
          <w:sz w:val="32"/>
          <w:szCs w:val="32"/>
        </w:rPr>
      </w:pPr>
    </w:p>
    <w:p w14:paraId="20126C22">
      <w:pPr>
        <w:autoSpaceDE w:val="0"/>
        <w:autoSpaceDN w:val="0"/>
        <w:jc w:val="center"/>
        <w:rPr>
          <w:rFonts w:hint="eastAsia" w:ascii="仿宋" w:hAnsi="仿宋" w:eastAsia="仿宋" w:cs="仿宋"/>
          <w:b/>
          <w:color w:val="auto"/>
          <w:spacing w:val="6"/>
          <w:sz w:val="32"/>
          <w:szCs w:val="32"/>
        </w:rPr>
      </w:pPr>
    </w:p>
    <w:p w14:paraId="3D963C40">
      <w:pPr>
        <w:autoSpaceDE w:val="0"/>
        <w:autoSpaceDN w:val="0"/>
        <w:jc w:val="center"/>
        <w:rPr>
          <w:rFonts w:hint="eastAsia" w:ascii="仿宋" w:hAnsi="仿宋" w:eastAsia="仿宋" w:cs="仿宋"/>
          <w:b/>
          <w:color w:val="auto"/>
          <w:spacing w:val="6"/>
          <w:sz w:val="32"/>
          <w:szCs w:val="32"/>
        </w:rPr>
      </w:pPr>
    </w:p>
    <w:p w14:paraId="527A0A4C">
      <w:pPr>
        <w:autoSpaceDE w:val="0"/>
        <w:autoSpaceDN w:val="0"/>
        <w:jc w:val="center"/>
        <w:rPr>
          <w:rFonts w:hint="eastAsia" w:ascii="仿宋" w:hAnsi="仿宋" w:eastAsia="仿宋" w:cs="仿宋"/>
          <w:b/>
          <w:color w:val="auto"/>
          <w:spacing w:val="6"/>
          <w:sz w:val="32"/>
          <w:szCs w:val="32"/>
        </w:rPr>
      </w:pPr>
    </w:p>
    <w:p w14:paraId="08C75DA7">
      <w:pPr>
        <w:autoSpaceDE w:val="0"/>
        <w:autoSpaceDN w:val="0"/>
        <w:jc w:val="center"/>
        <w:rPr>
          <w:rFonts w:hint="eastAsia" w:ascii="仿宋" w:hAnsi="仿宋" w:eastAsia="仿宋" w:cs="仿宋"/>
          <w:b/>
          <w:color w:val="auto"/>
          <w:spacing w:val="6"/>
          <w:sz w:val="32"/>
          <w:szCs w:val="32"/>
        </w:rPr>
      </w:pPr>
    </w:p>
    <w:p w14:paraId="274B4EA4">
      <w:pPr>
        <w:autoSpaceDE w:val="0"/>
        <w:autoSpaceDN w:val="0"/>
        <w:jc w:val="center"/>
        <w:rPr>
          <w:rFonts w:hint="eastAsia" w:ascii="仿宋" w:hAnsi="仿宋" w:eastAsia="仿宋" w:cs="仿宋"/>
          <w:b/>
          <w:color w:val="auto"/>
          <w:spacing w:val="6"/>
          <w:sz w:val="32"/>
          <w:szCs w:val="32"/>
        </w:rPr>
      </w:pPr>
    </w:p>
    <w:p w14:paraId="7CD0DF1C">
      <w:pPr>
        <w:autoSpaceDE w:val="0"/>
        <w:autoSpaceDN w:val="0"/>
        <w:jc w:val="center"/>
        <w:rPr>
          <w:rFonts w:hint="eastAsia" w:ascii="仿宋" w:hAnsi="仿宋" w:eastAsia="仿宋" w:cs="仿宋"/>
          <w:b/>
          <w:color w:val="auto"/>
          <w:spacing w:val="6"/>
          <w:sz w:val="32"/>
          <w:szCs w:val="32"/>
        </w:rPr>
      </w:pPr>
    </w:p>
    <w:p w14:paraId="34041535">
      <w:pPr>
        <w:autoSpaceDE w:val="0"/>
        <w:autoSpaceDN w:val="0"/>
        <w:jc w:val="center"/>
        <w:rPr>
          <w:rFonts w:hint="eastAsia" w:ascii="仿宋" w:hAnsi="仿宋" w:eastAsia="仿宋" w:cs="仿宋"/>
          <w:b/>
          <w:color w:val="auto"/>
          <w:spacing w:val="6"/>
          <w:sz w:val="32"/>
          <w:szCs w:val="32"/>
        </w:rPr>
      </w:pPr>
    </w:p>
    <w:p w14:paraId="123FB6CC">
      <w:pPr>
        <w:autoSpaceDE w:val="0"/>
        <w:autoSpaceDN w:val="0"/>
        <w:jc w:val="center"/>
        <w:rPr>
          <w:rFonts w:hint="eastAsia" w:ascii="仿宋" w:hAnsi="仿宋" w:eastAsia="仿宋" w:cs="仿宋"/>
          <w:b/>
          <w:color w:val="auto"/>
          <w:spacing w:val="6"/>
          <w:sz w:val="32"/>
          <w:szCs w:val="32"/>
        </w:rPr>
      </w:pPr>
    </w:p>
    <w:p w14:paraId="3A583A2E">
      <w:pPr>
        <w:rPr>
          <w:rFonts w:hint="eastAsia" w:ascii="仿宋" w:hAnsi="仿宋" w:eastAsia="仿宋" w:cs="仿宋"/>
          <w:color w:val="auto"/>
          <w:sz w:val="24"/>
        </w:rPr>
      </w:pPr>
    </w:p>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255C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7755D091">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6FAC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76A61C95">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F3B6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76B1EACA">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FFE3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4B0368F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A264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50</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0E7F06EC"/>
  <w:p w14:paraId="2FDCA82C"/>
  <w:p w14:paraId="71F4460F"/>
  <w:p w14:paraId="2022027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7116E">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50</w:t>
    </w:r>
    <w:r>
      <w:rPr>
        <w:rFonts w:hint="eastAsia" w:ascii="仿宋_GB2312" w:eastAsia="仿宋_GB2312"/>
        <w:kern w:val="0"/>
        <w:szCs w:val="21"/>
      </w:rPr>
      <w:fldChar w:fldCharType="end"/>
    </w:r>
    <w:bookmarkStart w:id="388" w:name="_Toc36110187"/>
    <w:bookmarkStart w:id="389" w:name="_Toc131845147"/>
    <w:bookmarkStart w:id="390" w:name="_Toc91899912"/>
    <w:bookmarkStart w:id="391" w:name="_Toc164085800"/>
    <w:r>
      <w:rPr>
        <w:rFonts w:hint="eastAsia" w:ascii="仿宋_GB2312" w:eastAsia="仿宋_GB2312"/>
        <w:kern w:val="0"/>
        <w:szCs w:val="21"/>
      </w:rPr>
      <w:t xml:space="preserve"> 页</w:t>
    </w:r>
    <w:bookmarkEnd w:id="388"/>
    <w:bookmarkEnd w:id="389"/>
    <w:bookmarkEnd w:id="390"/>
    <w:bookmarkEnd w:id="391"/>
  </w:p>
  <w:p w14:paraId="21168EF2"/>
  <w:p w14:paraId="0AFED02F"/>
  <w:p w14:paraId="2AA11541"/>
  <w:p w14:paraId="48832C1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B4431">
    <w:pPr>
      <w:pStyle w:val="41"/>
      <w:jc w:val="right"/>
      <w:rPr>
        <w:rFonts w:ascii="仿宋_GB2312"/>
        <w:b/>
        <w:i/>
        <w:u w:val="single"/>
      </w:rPr>
    </w:pPr>
    <w:r>
      <w:t>公开</w:t>
    </w:r>
    <w:r>
      <w:rPr>
        <w:rFonts w:hint="eastAsia"/>
      </w:rPr>
      <w:t>交易文件</w:t>
    </w:r>
  </w:p>
  <w:p w14:paraId="668E907B">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5E1DC">
    <w:pPr>
      <w:pStyle w:val="41"/>
    </w:pPr>
    <w:r>
      <w:t></w:t>
    </w:r>
  </w:p>
  <w:p w14:paraId="1120E553">
    <w:pPr>
      <w:pStyle w:val="41"/>
      <w:jc w:val="right"/>
    </w:pP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1DEB0">
    <w:pPr>
      <w:pStyle w:val="41"/>
      <w:jc w:val="right"/>
      <w:rPr>
        <w:rFonts w:ascii="仿宋_GB2312"/>
        <w:b/>
        <w:i/>
        <w:u w:val="single"/>
      </w:rPr>
    </w:pPr>
    <w:r>
      <w:t>公开</w:t>
    </w:r>
    <w:r>
      <w:rPr>
        <w:rFonts w:hint="eastAsia"/>
      </w:rPr>
      <w:t>交易文件</w:t>
    </w:r>
  </w:p>
  <w:p w14:paraId="1B5B66C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22849">
    <w:pPr>
      <w:pStyle w:val="41"/>
      <w:jc w:val="right"/>
    </w:pP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1366B">
    <w:pPr>
      <w:pStyle w:val="41"/>
      <w:jc w:val="right"/>
      <w:rPr>
        <w:rFonts w:ascii="仿宋_GB2312"/>
        <w:b/>
        <w:i/>
        <w:iCs/>
        <w:u w:val="single"/>
      </w:rPr>
    </w:pPr>
    <w:r>
      <w:t>公开</w:t>
    </w:r>
    <w:r>
      <w:rPr>
        <w:rFonts w:hint="eastAsia"/>
      </w:rPr>
      <w:t>交易文件</w:t>
    </w:r>
  </w:p>
  <w:p w14:paraId="7899D5CD"/>
  <w:p w14:paraId="43A0C7BC"/>
  <w:p w14:paraId="2E892C9F"/>
  <w:p w14:paraId="72BD7D8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BC3AF">
    <w:pPr>
      <w:pStyle w:val="41"/>
      <w:jc w:val="right"/>
    </w:pPr>
    <w:r>
      <w:t>公开</w:t>
    </w:r>
    <w:r>
      <w:rPr>
        <w:rFonts w:hint="eastAsia"/>
      </w:rPr>
      <w:t>交易文件</w:t>
    </w:r>
  </w:p>
  <w:p w14:paraId="6FC71649"/>
  <w:p w14:paraId="1816D9A9"/>
  <w:p w14:paraId="63416FD8"/>
  <w:p w14:paraId="16A47A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902D7"/>
    <w:multiLevelType w:val="singleLevel"/>
    <w:tmpl w:val="E25902D7"/>
    <w:lvl w:ilvl="0" w:tentative="0">
      <w:start w:val="1"/>
      <w:numFmt w:val="chineseCounting"/>
      <w:suff w:val="nothing"/>
      <w:lvlText w:val="%1、"/>
      <w:lvlJc w:val="left"/>
      <w:rPr>
        <w:rFonts w:hint="eastAsia"/>
      </w:rPr>
    </w:lvl>
  </w:abstractNum>
  <w:abstractNum w:abstractNumId="1">
    <w:nsid w:val="1B0693A8"/>
    <w:multiLevelType w:val="singleLevel"/>
    <w:tmpl w:val="1B0693A8"/>
    <w:lvl w:ilvl="0" w:tentative="0">
      <w:start w:val="1"/>
      <w:numFmt w:val="decimal"/>
      <w:suff w:val="nothing"/>
      <w:lvlText w:val="（%1）"/>
      <w:lvlJc w:val="left"/>
    </w:lvl>
  </w:abstractNum>
  <w:abstractNum w:abstractNumId="2">
    <w:nsid w:val="749B1130"/>
    <w:multiLevelType w:val="singleLevel"/>
    <w:tmpl w:val="749B1130"/>
    <w:lvl w:ilvl="0" w:tentative="0">
      <w:start w:val="1"/>
      <w:numFmt w:val="decimal"/>
      <w:suff w:val="nothing"/>
      <w:lvlText w:val="（%1）"/>
      <w:lvlJc w:val="left"/>
    </w:lvl>
  </w:abstractNum>
  <w:abstractNum w:abstractNumId="3">
    <w:nsid w:val="789E45E7"/>
    <w:multiLevelType w:val="singleLevel"/>
    <w:tmpl w:val="789E45E7"/>
    <w:lvl w:ilvl="0" w:tentative="0">
      <w:start w:val="1"/>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Y2MWNkNjEwZjU1NmVkODk3MzNkNmZmMGRkZjMxNjkifQ=="/>
  </w:docVars>
  <w:rsids>
    <w:rsidRoot w:val="008570AB"/>
    <w:rsid w:val="001D365B"/>
    <w:rsid w:val="002E5E7D"/>
    <w:rsid w:val="00347D37"/>
    <w:rsid w:val="00350BCD"/>
    <w:rsid w:val="007A2776"/>
    <w:rsid w:val="008570AB"/>
    <w:rsid w:val="008D53A7"/>
    <w:rsid w:val="00C96AFF"/>
    <w:rsid w:val="00CB3CBE"/>
    <w:rsid w:val="00E911E9"/>
    <w:rsid w:val="019329D2"/>
    <w:rsid w:val="05D10FE3"/>
    <w:rsid w:val="06DC76F6"/>
    <w:rsid w:val="07B43019"/>
    <w:rsid w:val="083D56C4"/>
    <w:rsid w:val="0BA237A6"/>
    <w:rsid w:val="0CD72664"/>
    <w:rsid w:val="0D3C36C5"/>
    <w:rsid w:val="0EDE16C6"/>
    <w:rsid w:val="0F9E3A4E"/>
    <w:rsid w:val="0FF743B1"/>
    <w:rsid w:val="12A6008B"/>
    <w:rsid w:val="135769F3"/>
    <w:rsid w:val="138D6B5A"/>
    <w:rsid w:val="13BB1914"/>
    <w:rsid w:val="14C31286"/>
    <w:rsid w:val="152D77B0"/>
    <w:rsid w:val="15D55AB8"/>
    <w:rsid w:val="16C03980"/>
    <w:rsid w:val="198F09DD"/>
    <w:rsid w:val="1AD80FFE"/>
    <w:rsid w:val="1AE62DD5"/>
    <w:rsid w:val="1C9C7EE7"/>
    <w:rsid w:val="1D660757"/>
    <w:rsid w:val="1D743260"/>
    <w:rsid w:val="1E0C680F"/>
    <w:rsid w:val="1E7159FF"/>
    <w:rsid w:val="1F105188"/>
    <w:rsid w:val="20AE2DE9"/>
    <w:rsid w:val="23C8323E"/>
    <w:rsid w:val="250C6366"/>
    <w:rsid w:val="25797CBE"/>
    <w:rsid w:val="26663961"/>
    <w:rsid w:val="28305FD5"/>
    <w:rsid w:val="285337E8"/>
    <w:rsid w:val="2A2A086D"/>
    <w:rsid w:val="2BA2163E"/>
    <w:rsid w:val="2BD80913"/>
    <w:rsid w:val="2C11436F"/>
    <w:rsid w:val="2DFB0D4A"/>
    <w:rsid w:val="2EF41C49"/>
    <w:rsid w:val="30F63A91"/>
    <w:rsid w:val="31FC33CC"/>
    <w:rsid w:val="3252028C"/>
    <w:rsid w:val="34A44496"/>
    <w:rsid w:val="34F21A60"/>
    <w:rsid w:val="3971606F"/>
    <w:rsid w:val="39B0607F"/>
    <w:rsid w:val="3A5C0347"/>
    <w:rsid w:val="3B20012B"/>
    <w:rsid w:val="3C0B577D"/>
    <w:rsid w:val="3D512523"/>
    <w:rsid w:val="3D7C5602"/>
    <w:rsid w:val="411F21AA"/>
    <w:rsid w:val="41A05B22"/>
    <w:rsid w:val="453851FB"/>
    <w:rsid w:val="46A64080"/>
    <w:rsid w:val="47016D6E"/>
    <w:rsid w:val="48054931"/>
    <w:rsid w:val="482E7137"/>
    <w:rsid w:val="48CE5E8B"/>
    <w:rsid w:val="49C0715E"/>
    <w:rsid w:val="4A654B57"/>
    <w:rsid w:val="4A9C2959"/>
    <w:rsid w:val="4AE051E1"/>
    <w:rsid w:val="4C415022"/>
    <w:rsid w:val="4E2B5F1C"/>
    <w:rsid w:val="4E6B03CC"/>
    <w:rsid w:val="4F4B5762"/>
    <w:rsid w:val="5119144D"/>
    <w:rsid w:val="51526CE4"/>
    <w:rsid w:val="5365047D"/>
    <w:rsid w:val="55345504"/>
    <w:rsid w:val="554C2F4D"/>
    <w:rsid w:val="598E5CDE"/>
    <w:rsid w:val="59A72D2F"/>
    <w:rsid w:val="59AB1971"/>
    <w:rsid w:val="5A6279C1"/>
    <w:rsid w:val="5BAB6A3A"/>
    <w:rsid w:val="5D213B63"/>
    <w:rsid w:val="5D9B58D7"/>
    <w:rsid w:val="5F5445E4"/>
    <w:rsid w:val="61CE51D5"/>
    <w:rsid w:val="621B1D3E"/>
    <w:rsid w:val="63543E6F"/>
    <w:rsid w:val="636B7D72"/>
    <w:rsid w:val="63E94779"/>
    <w:rsid w:val="67C5164F"/>
    <w:rsid w:val="67D16185"/>
    <w:rsid w:val="6A5847F0"/>
    <w:rsid w:val="6B1F5D51"/>
    <w:rsid w:val="6B581776"/>
    <w:rsid w:val="6B6E044D"/>
    <w:rsid w:val="6BF07522"/>
    <w:rsid w:val="6EBE7765"/>
    <w:rsid w:val="6F9504D4"/>
    <w:rsid w:val="73C7563A"/>
    <w:rsid w:val="75513E25"/>
    <w:rsid w:val="79140857"/>
    <w:rsid w:val="79914B94"/>
    <w:rsid w:val="7A901FDE"/>
    <w:rsid w:val="7BAA554F"/>
    <w:rsid w:val="7DEB23D6"/>
    <w:rsid w:val="7E7A0ECD"/>
    <w:rsid w:val="7EB826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0" w:leftChars="205" w:firstLine="480" w:firstLineChars="200"/>
      <w:jc w:val="left"/>
      <w:outlineLvl w:val="1"/>
    </w:pPr>
    <w:rPr>
      <w:rFonts w:ascii="宋体" w:hAnsi="宋体" w:eastAsia="仿宋" w:cs="宋体"/>
      <w:sz w:val="24"/>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5"/>
    <w:link w:val="264"/>
    <w:autoRedefine/>
    <w:qFormat/>
    <w:uiPriority w:val="0"/>
    <w:pPr>
      <w:spacing w:line="480" w:lineRule="exact"/>
      <w:ind w:firstLine="480" w:firstLineChars="200"/>
    </w:pPr>
    <w:rPr>
      <w:rFonts w:ascii="宋体" w:hAnsi="宋体"/>
      <w:sz w:val="24"/>
    </w:rPr>
  </w:style>
  <w:style w:type="paragraph" w:styleId="17">
    <w:name w:val="caption"/>
    <w:basedOn w:val="1"/>
    <w:next w:val="1"/>
    <w:link w:val="228"/>
    <w:autoRedefine/>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autoRedefine/>
    <w:qFormat/>
    <w:uiPriority w:val="0"/>
    <w:rPr>
      <w:rFonts w:ascii="仿宋_GB2312" w:eastAsia="仿宋_GB2312"/>
      <w:sz w:val="28"/>
      <w:szCs w:val="20"/>
    </w:rPr>
  </w:style>
  <w:style w:type="paragraph" w:styleId="22">
    <w:name w:val="Body Text 3"/>
    <w:basedOn w:val="1"/>
    <w:link w:val="329"/>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4"/>
    <w:qFormat/>
    <w:uiPriority w:val="0"/>
    <w:rPr>
      <w:rFonts w:ascii="宋体" w:hAnsi="Courier New" w:cs="Arial"/>
      <w:snapToGrid w:val="0"/>
      <w:szCs w:val="21"/>
    </w:rPr>
  </w:style>
  <w:style w:type="paragraph" w:styleId="33">
    <w:name w:val="Date"/>
    <w:basedOn w:val="1"/>
    <w:next w:val="1"/>
    <w:link w:val="180"/>
    <w:qFormat/>
    <w:uiPriority w:val="0"/>
    <w:pPr>
      <w:ind w:left="100" w:leftChars="2500"/>
    </w:pPr>
    <w:rPr>
      <w:rFonts w:ascii="宋体"/>
      <w:sz w:val="24"/>
      <w:szCs w:val="21"/>
      <w:lang w:val="zh-CN"/>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envelope return"/>
    <w:basedOn w:val="1"/>
    <w:qFormat/>
    <w:uiPriority w:val="0"/>
    <w:pPr>
      <w:snapToGrid w:val="0"/>
    </w:pPr>
    <w:rPr>
      <w:rFonts w:ascii="Arial" w:hAnsi="Arial" w:eastAsia="微软雅黑"/>
      <w:sz w:val="22"/>
      <w:szCs w:val="22"/>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9"/>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5"/>
    <w:qFormat/>
    <w:uiPriority w:val="0"/>
    <w:rPr>
      <w:b/>
      <w:bCs/>
    </w:rPr>
  </w:style>
  <w:style w:type="paragraph" w:styleId="61">
    <w:name w:val="Body Text First Indent"/>
    <w:basedOn w:val="24"/>
    <w:link w:val="320"/>
    <w:autoRedefine/>
    <w:qFormat/>
    <w:uiPriority w:val="0"/>
    <w:pPr>
      <w:ind w:firstLine="420"/>
    </w:pPr>
    <w:rPr>
      <w:rFonts w:hAnsi="Calibri"/>
      <w:szCs w:val="20"/>
    </w:rPr>
  </w:style>
  <w:style w:type="paragraph" w:styleId="62">
    <w:name w:val="Body Text First Indent 2"/>
    <w:basedOn w:val="16"/>
    <w:next w:val="63"/>
    <w:link w:val="120"/>
    <w:autoRedefine/>
    <w:qFormat/>
    <w:uiPriority w:val="0"/>
    <w:pPr>
      <w:adjustRightInd/>
      <w:spacing w:after="120" w:line="240" w:lineRule="auto"/>
      <w:ind w:left="420" w:leftChars="200" w:firstLine="210"/>
    </w:pPr>
    <w:rPr>
      <w:sz w:val="21"/>
    </w:rPr>
  </w:style>
  <w:style w:type="paragraph" w:customStyle="1" w:styleId="63">
    <w:name w:val="xl53"/>
    <w:next w:val="1"/>
    <w:autoRedefine/>
    <w:qFormat/>
    <w:uiPriority w:val="0"/>
    <w:pPr>
      <w:spacing w:before="280" w:after="280" w:line="100" w:lineRule="exact"/>
      <w:ind w:firstLine="480" w:firstLineChars="200"/>
      <w:jc w:val="center"/>
    </w:pPr>
    <w:rPr>
      <w:rFonts w:ascii="宋体" w:hAnsi="Times New Roman" w:eastAsia="宋体" w:cs="黑体"/>
      <w:b/>
      <w:szCs w:val="22"/>
      <w:lang w:val="en-US" w:eastAsia="zh-CN" w:bidi="ar-SA"/>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basedOn w:val="71"/>
    <w:qFormat/>
    <w:uiPriority w:val="0"/>
    <w:rPr>
      <w:rFonts w:hint="eastAsia" w:ascii="仿宋_GB2312" w:eastAsia="仿宋_GB2312" w:cs="仿宋_GB2312"/>
      <w:color w:val="000000"/>
      <w:sz w:val="22"/>
      <w:szCs w:val="22"/>
      <w:u w:val="none"/>
    </w:rPr>
  </w:style>
  <w:style w:type="character" w:customStyle="1" w:styleId="146">
    <w:name w:val="标题 6 Char"/>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jc w:val="center"/>
    </w:pPr>
    <w:rPr>
      <w:rFonts w:ascii="Calibri" w:hAnsi="Calibri" w:eastAsia="宋体"/>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3"/>
    <w:qFormat/>
    <w:uiPriority w:val="0"/>
    <w:rPr>
      <w:rFonts w:ascii="宋体"/>
      <w:kern w:val="2"/>
      <w:sz w:val="24"/>
      <w:szCs w:val="21"/>
      <w:lang w:val="zh-CN"/>
    </w:rPr>
  </w:style>
  <w:style w:type="character" w:customStyle="1" w:styleId="181">
    <w:name w:val="标题 9 Char"/>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z w:val="28"/>
    </w:rPr>
  </w:style>
  <w:style w:type="paragraph" w:customStyle="1" w:styleId="198">
    <w:name w:val="3级"/>
    <w:basedOn w:val="199"/>
    <w:link w:val="197"/>
    <w:qFormat/>
    <w:uiPriority w:val="0"/>
    <w:pPr>
      <w:ind w:left="0" w:right="466" w:firstLine="288"/>
    </w:pPr>
    <w:rPr>
      <w:rFonts w:hAnsi="宋体"/>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1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8"/>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0"/>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hAnsi="Arial" w:eastAsia="宋体"/>
      <w:snapToGrid w:val="0"/>
      <w:kern w:val="0"/>
      <w:sz w:val="28"/>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szCs w:val="20"/>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jc w:val="both"/>
    </w:pPr>
    <w:rPr>
      <w:rFonts w:hAnsi="Cambria" w:eastAsia="宋体"/>
      <w:szCs w:val="20"/>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1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jc w:val="both"/>
    </w:pPr>
    <w:rPr>
      <w:rFonts w:hAnsi="Arial" w:eastAsia="宋体"/>
      <w:sz w:val="28"/>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16"/>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jc w:val="center"/>
    </w:pPr>
    <w:rPr>
      <w:rFonts w:ascii="Arial" w:hAnsi="Arial" w:eastAsia="楷体"/>
      <w:color w:val="000000"/>
      <w:spacing w:val="14"/>
      <w:kern w:val="24"/>
      <w:sz w:val="28"/>
      <w:szCs w:val="20"/>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character" w:customStyle="1" w:styleId="963">
    <w:name w:val="fontstyle01"/>
    <w:basedOn w:val="71"/>
    <w:qFormat/>
    <w:uiPriority w:val="0"/>
    <w:rPr>
      <w:rFonts w:hint="eastAsia" w:ascii="宋体" w:hAnsi="宋体" w:eastAsia="宋体"/>
      <w:color w:val="000000"/>
      <w:sz w:val="24"/>
      <w:szCs w:val="24"/>
    </w:rPr>
  </w:style>
  <w:style w:type="character" w:customStyle="1" w:styleId="96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65">
    <w:name w:val="封面编号"/>
    <w:basedOn w:val="1"/>
    <w:qFormat/>
    <w:uiPriority w:val="0"/>
    <w:pPr>
      <w:spacing w:line="360" w:lineRule="auto"/>
      <w:jc w:val="center"/>
    </w:pPr>
    <w:rPr>
      <w:rFonts w:ascii="黑体" w:hAnsi="宋体" w:eastAsia="黑体" w:cs="宋体"/>
      <w:b/>
      <w:bCs/>
      <w:sz w:val="38"/>
      <w:szCs w:val="20"/>
    </w:rPr>
  </w:style>
  <w:style w:type="character" w:customStyle="1" w:styleId="966">
    <w:name w:val="无"/>
    <w:qFormat/>
    <w:uiPriority w:val="0"/>
  </w:style>
  <w:style w:type="character" w:customStyle="1" w:styleId="967">
    <w:name w:val="Hyperlink.0"/>
    <w:basedOn w:val="966"/>
    <w:qFormat/>
    <w:uiPriority w:val="0"/>
    <w:rPr>
      <w:lang w:val="en-US"/>
    </w:rPr>
  </w:style>
  <w:style w:type="paragraph" w:customStyle="1" w:styleId="96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9">
    <w:name w:val="header-title"/>
    <w:basedOn w:val="71"/>
    <w:qFormat/>
    <w:uiPriority w:val="0"/>
    <w:rPr>
      <w:b/>
      <w:bCs/>
      <w:color w:val="D71D21"/>
      <w:sz w:val="30"/>
      <w:szCs w:val="30"/>
    </w:rPr>
  </w:style>
  <w:style w:type="character" w:customStyle="1" w:styleId="970">
    <w:name w:val="line"/>
    <w:basedOn w:val="71"/>
    <w:qFormat/>
    <w:uiPriority w:val="0"/>
    <w:rPr>
      <w:sz w:val="15"/>
      <w:szCs w:val="15"/>
    </w:rPr>
  </w:style>
  <w:style w:type="paragraph" w:customStyle="1" w:styleId="971">
    <w:name w:val="Body text|1"/>
    <w:basedOn w:val="1"/>
    <w:qFormat/>
    <w:uiPriority w:val="0"/>
    <w:pPr>
      <w:spacing w:line="391" w:lineRule="auto"/>
      <w:ind w:firstLine="400"/>
    </w:pPr>
    <w:rPr>
      <w:rFonts w:ascii="宋体" w:hAnsi="宋体" w:cs="宋体"/>
      <w:lang w:val="zh-TW" w:eastAsia="zh-TW" w:bidi="zh-TW"/>
    </w:rPr>
  </w:style>
  <w:style w:type="paragraph" w:customStyle="1" w:styleId="972">
    <w:name w:val="正文空2字"/>
    <w:basedOn w:val="97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3">
    <w:name w:val="左对齐正文"/>
    <w:qFormat/>
    <w:uiPriority w:val="99"/>
    <w:rPr>
      <w:rFonts w:ascii="Calibri" w:hAnsi="Calibri" w:eastAsia="仿宋_GB2312" w:cs="Calibri"/>
      <w:kern w:val="2"/>
      <w:sz w:val="32"/>
      <w:szCs w:val="32"/>
      <w:lang w:val="en-US" w:eastAsia="zh-CN" w:bidi="ar-SA"/>
    </w:rPr>
  </w:style>
  <w:style w:type="paragraph" w:styleId="974">
    <w:name w:val="No Spacing"/>
    <w:basedOn w:val="1"/>
    <w:qFormat/>
    <w:uiPriority w:val="99"/>
    <w:rPr>
      <w:szCs w:val="22"/>
    </w:rPr>
  </w:style>
  <w:style w:type="paragraph" w:styleId="975">
    <w:name w:val="List Paragraph"/>
    <w:basedOn w:val="1"/>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50</Pages>
  <Words>20404</Words>
  <Characters>21721</Characters>
  <Lines>172</Lines>
  <Paragraphs>48</Paragraphs>
  <TotalTime>20</TotalTime>
  <ScaleCrop>false</ScaleCrop>
  <LinksUpToDate>false</LinksUpToDate>
  <CharactersWithSpaces>22970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Administrator</dc:creator>
  <cp:lastModifiedBy>瞿家小二</cp:lastModifiedBy>
  <cp:lastPrinted>2022-11-25T10:44:00Z</cp:lastPrinted>
  <dcterms:modified xsi:type="dcterms:W3CDTF">2025-06-19T08:26:34Z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C4B3B3B5F81F46C9AB2B8627F5F01333_13</vt:lpwstr>
  </property>
  <property fmtid="{D5CDD505-2E9C-101B-9397-08002B2CF9AE}" pid="5" name="KSOTemplateDocerSaveRecord">
    <vt:lpwstr>eyJoZGlkIjoiMGEyOWRjNTQ0NTk4NjVlNDEzNTBhNmEyMzdhNWIzMTUiLCJ1c2VySWQiOiI3MzE4MTAyODgifQ==</vt:lpwstr>
  </property>
</Properties>
</file>