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94641">
      <w:pPr>
        <w:spacing w:before="120"/>
        <w:jc w:val="center"/>
        <w:rPr>
          <w:color w:val="auto"/>
          <w:highlight w:val="none"/>
        </w:rPr>
      </w:pPr>
      <w:r>
        <w:rPr>
          <w:rFonts w:hint="eastAsia"/>
          <w:b/>
          <w:color w:val="auto"/>
          <w:spacing w:val="-6"/>
          <w:sz w:val="52"/>
          <w:szCs w:val="52"/>
          <w:highlight w:val="none"/>
          <w:lang w:val="en-US" w:eastAsia="zh-CN"/>
        </w:rPr>
        <w:t xml:space="preserve">                                                                                                                                                                                                                                                                                                                                                                                                                                                                                                                                                                                                                                                                                                                                                                                                                                                                                                                                                                                                                                                                                                                                                                                                                                                                                                                                                                                                                                                                                                                                                                                                                                                                                                                                                                         </w:t>
      </w:r>
      <w:r>
        <w:rPr>
          <w:rFonts w:hint="eastAsia"/>
          <w:b/>
          <w:color w:val="auto"/>
          <w:spacing w:val="-6"/>
          <w:sz w:val="52"/>
          <w:szCs w:val="52"/>
          <w:highlight w:val="none"/>
          <w:lang w:eastAsia="zh-CN"/>
        </w:rPr>
        <w:t>新登镇台诚塔山府（塔山花园）安置房物业服务采购项目</w:t>
      </w:r>
    </w:p>
    <w:p w14:paraId="333ED740">
      <w:pPr>
        <w:spacing w:before="120"/>
        <w:jc w:val="center"/>
        <w:rPr>
          <w:rFonts w:hint="eastAsia" w:eastAsia="仿宋"/>
          <w:b/>
          <w:color w:val="auto"/>
          <w:spacing w:val="-6"/>
          <w:sz w:val="28"/>
          <w:szCs w:val="28"/>
          <w:highlight w:val="none"/>
          <w:lang w:val="en-US" w:eastAsia="zh-CN"/>
        </w:rPr>
      </w:pPr>
      <w:r>
        <w:rPr>
          <w:rFonts w:hint="eastAsia"/>
          <w:color w:val="auto"/>
          <w:sz w:val="28"/>
          <w:szCs w:val="28"/>
          <w:highlight w:val="none"/>
        </w:rPr>
        <w:t>项目编号：</w:t>
      </w:r>
      <w:r>
        <w:rPr>
          <w:rFonts w:hint="eastAsia"/>
          <w:color w:val="auto"/>
          <w:sz w:val="28"/>
          <w:szCs w:val="28"/>
          <w:highlight w:val="none"/>
        </w:rPr>
        <w:fldChar w:fldCharType="begin"/>
      </w:r>
      <w:r>
        <w:rPr>
          <w:rFonts w:hint="eastAsia"/>
          <w:color w:val="auto"/>
          <w:sz w:val="28"/>
          <w:szCs w:val="28"/>
          <w:highlight w:val="none"/>
        </w:rPr>
        <w:instrText xml:space="preserve"> HYPERLINK "https://pay-lcy.lecaiyun.com/purchaseplan_front/" \l "/plan/list/view?id=1000000000014196307&amp;_app_=zcy.procurement" \t "https://www.lecaiyun.com/delegation-order/_procurement_/order/_blank" </w:instrText>
      </w:r>
      <w:r>
        <w:rPr>
          <w:rFonts w:hint="eastAsia"/>
          <w:color w:val="auto"/>
          <w:sz w:val="28"/>
          <w:szCs w:val="28"/>
          <w:highlight w:val="none"/>
        </w:rPr>
        <w:fldChar w:fldCharType="separate"/>
      </w:r>
      <w:r>
        <w:rPr>
          <w:rFonts w:hint="eastAsia"/>
          <w:color w:val="auto"/>
          <w:sz w:val="28"/>
          <w:szCs w:val="28"/>
          <w:highlight w:val="none"/>
        </w:rPr>
        <w:t>XDZTSC(GK)2025-01</w:t>
      </w:r>
      <w:r>
        <w:rPr>
          <w:rFonts w:hint="eastAsia"/>
          <w:color w:val="auto"/>
          <w:sz w:val="28"/>
          <w:szCs w:val="28"/>
          <w:highlight w:val="none"/>
        </w:rPr>
        <w:fldChar w:fldCharType="end"/>
      </w:r>
    </w:p>
    <w:p w14:paraId="1E57304B">
      <w:pPr>
        <w:pStyle w:val="88"/>
        <w:ind w:left="0" w:leftChars="0" w:firstLine="0" w:firstLineChars="0"/>
        <w:jc w:val="center"/>
        <w:rPr>
          <w:rFonts w:hint="eastAsia" w:hAnsi="宋体"/>
          <w:color w:val="auto"/>
          <w:sz w:val="36"/>
          <w:szCs w:val="36"/>
          <w:highlight w:val="none"/>
        </w:rPr>
      </w:pPr>
      <w:r>
        <w:rPr>
          <w:rFonts w:hint="eastAsia" w:hAnsi="宋体"/>
          <w:color w:val="auto"/>
          <w:sz w:val="36"/>
          <w:szCs w:val="36"/>
          <w:highlight w:val="none"/>
        </w:rPr>
        <w:t>（电子招投标</w:t>
      </w:r>
      <w:r>
        <w:rPr>
          <w:rFonts w:hint="eastAsia" w:hAnsi="宋体"/>
          <w:color w:val="auto"/>
          <w:sz w:val="36"/>
          <w:szCs w:val="36"/>
          <w:highlight w:val="none"/>
          <w:lang w:eastAsia="zh-CN"/>
        </w:rPr>
        <w:t>、</w:t>
      </w:r>
      <w:r>
        <w:rPr>
          <w:rFonts w:hint="eastAsia" w:hAnsi="宋体"/>
          <w:color w:val="auto"/>
          <w:sz w:val="36"/>
          <w:szCs w:val="36"/>
          <w:highlight w:val="none"/>
          <w:lang w:val="en-US" w:eastAsia="zh-CN"/>
        </w:rPr>
        <w:t>小额采购</w:t>
      </w:r>
      <w:r>
        <w:rPr>
          <w:rFonts w:hint="eastAsia" w:hAnsi="宋体"/>
          <w:color w:val="auto"/>
          <w:sz w:val="36"/>
          <w:szCs w:val="36"/>
          <w:highlight w:val="none"/>
        </w:rPr>
        <w:t>）</w:t>
      </w:r>
    </w:p>
    <w:p w14:paraId="58C88B20">
      <w:pPr>
        <w:pStyle w:val="37"/>
        <w:spacing w:before="124" w:after="124"/>
        <w:rPr>
          <w:rFonts w:ascii="宋体" w:hAnsi="宋体"/>
          <w:b/>
          <w:color w:val="auto"/>
          <w:spacing w:val="40"/>
          <w:szCs w:val="21"/>
          <w:highlight w:val="none"/>
        </w:rPr>
      </w:pPr>
    </w:p>
    <w:p w14:paraId="0B493CDB">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6CC57C01">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14:paraId="4945EA7D">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7CC49AD4">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3F83FCE0">
      <w:pPr>
        <w:spacing w:before="120" w:after="100" w:afterAutospacing="1" w:line="80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170AFE4F">
      <w:pPr>
        <w:spacing w:before="120" w:after="100" w:afterAutospacing="1" w:line="800" w:lineRule="exact"/>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5527D8CD">
      <w:pPr>
        <w:pStyle w:val="48"/>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采购人：</w:t>
      </w:r>
      <w:r>
        <w:rPr>
          <w:rFonts w:hint="eastAsia" w:ascii="仿宋" w:hAnsi="仿宋"/>
          <w:color w:val="auto"/>
          <w:sz w:val="32"/>
          <w:szCs w:val="32"/>
          <w:highlight w:val="none"/>
          <w:lang w:eastAsia="zh-CN"/>
        </w:rPr>
        <w:t>杭州市富阳区新登镇塔山村股份经济合作社</w:t>
      </w:r>
      <w:r>
        <w:rPr>
          <w:rFonts w:hint="eastAsia" w:ascii="仿宋" w:hAnsi="仿宋"/>
          <w:color w:val="auto"/>
          <w:sz w:val="32"/>
          <w:szCs w:val="32"/>
          <w:highlight w:val="none"/>
        </w:rPr>
        <w:t>(盖章)</w:t>
      </w:r>
    </w:p>
    <w:p w14:paraId="0BB32F98">
      <w:pPr>
        <w:spacing w:line="500" w:lineRule="exact"/>
        <w:ind w:right="105"/>
        <w:jc w:val="center"/>
        <w:rPr>
          <w:color w:val="auto"/>
          <w:highlight w:val="none"/>
        </w:rPr>
      </w:pPr>
      <w:r>
        <w:rPr>
          <w:rFonts w:hint="eastAsia"/>
          <w:color w:val="auto"/>
          <w:sz w:val="32"/>
          <w:szCs w:val="32"/>
          <w:highlight w:val="none"/>
        </w:rPr>
        <w:t>采购代理机构：</w:t>
      </w:r>
      <w:r>
        <w:rPr>
          <w:rFonts w:hint="eastAsia"/>
          <w:color w:val="auto"/>
          <w:sz w:val="32"/>
          <w:szCs w:val="32"/>
          <w:highlight w:val="none"/>
          <w:lang w:eastAsia="zh-CN"/>
        </w:rPr>
        <w:t>华诚工程咨询集团有限公司</w:t>
      </w:r>
      <w:r>
        <w:rPr>
          <w:rFonts w:hint="eastAsia"/>
          <w:color w:val="auto"/>
          <w:sz w:val="32"/>
          <w:szCs w:val="32"/>
          <w:highlight w:val="none"/>
        </w:rPr>
        <w:t>(盖章)</w:t>
      </w:r>
    </w:p>
    <w:p w14:paraId="65C141C0">
      <w:pPr>
        <w:spacing w:before="120"/>
        <w:rPr>
          <w:color w:val="auto"/>
          <w:sz w:val="30"/>
          <w:szCs w:val="30"/>
          <w:highlight w:val="none"/>
        </w:rPr>
      </w:pPr>
    </w:p>
    <w:p w14:paraId="676B5B62">
      <w:pPr>
        <w:pStyle w:val="48"/>
        <w:spacing w:before="156" w:after="156" w:line="360" w:lineRule="auto"/>
        <w:jc w:val="both"/>
        <w:rPr>
          <w:rFonts w:ascii="仿宋" w:hAnsi="仿宋"/>
          <w:b/>
          <w:color w:val="auto"/>
          <w:sz w:val="44"/>
          <w:szCs w:val="44"/>
          <w:highlight w:val="none"/>
        </w:rPr>
      </w:pPr>
    </w:p>
    <w:p w14:paraId="46DDA0FA">
      <w:pPr>
        <w:pStyle w:val="48"/>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14:paraId="4C0CE3FA">
      <w:pPr>
        <w:pStyle w:val="48"/>
        <w:spacing w:before="156" w:after="156" w:line="360" w:lineRule="auto"/>
        <w:ind w:left="1900" w:hanging="640"/>
        <w:jc w:val="center"/>
        <w:rPr>
          <w:rFonts w:ascii="仿宋" w:hAnsi="仿宋"/>
          <w:color w:val="auto"/>
          <w:sz w:val="32"/>
          <w:szCs w:val="32"/>
          <w:highlight w:val="none"/>
        </w:rPr>
      </w:pPr>
    </w:p>
    <w:p w14:paraId="0A698185">
      <w:pPr>
        <w:spacing w:before="120" w:line="480" w:lineRule="exact"/>
        <w:ind w:firstLine="600" w:firstLineChars="200"/>
        <w:rPr>
          <w:color w:val="auto"/>
          <w:sz w:val="30"/>
          <w:szCs w:val="30"/>
          <w:highlight w:val="none"/>
        </w:rPr>
      </w:pPr>
      <w:r>
        <w:rPr>
          <w:rFonts w:hint="eastAsia"/>
          <w:color w:val="auto"/>
          <w:sz w:val="30"/>
          <w:szCs w:val="30"/>
          <w:highlight w:val="none"/>
        </w:rPr>
        <w:t>第一章    招标公告……………………………………… 3</w:t>
      </w:r>
    </w:p>
    <w:p w14:paraId="082819B8">
      <w:pPr>
        <w:spacing w:before="120" w:line="480" w:lineRule="exact"/>
        <w:ind w:firstLine="600" w:firstLineChars="200"/>
        <w:rPr>
          <w:rFonts w:hint="eastAsia" w:eastAsia="仿宋"/>
          <w:color w:val="auto"/>
          <w:sz w:val="30"/>
          <w:szCs w:val="30"/>
          <w:highlight w:val="none"/>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7</w:t>
      </w:r>
    </w:p>
    <w:p w14:paraId="73D86B25">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30</w:t>
      </w:r>
    </w:p>
    <w:p w14:paraId="53519E17">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37</w:t>
      </w:r>
    </w:p>
    <w:p w14:paraId="181B5513">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杭州市富阳区采购合同主要条款…………… </w:t>
      </w:r>
      <w:r>
        <w:rPr>
          <w:rFonts w:hint="eastAsia"/>
          <w:color w:val="auto"/>
          <w:sz w:val="30"/>
          <w:szCs w:val="30"/>
          <w:highlight w:val="none"/>
          <w:lang w:val="en-US" w:eastAsia="zh-CN"/>
        </w:rPr>
        <w:t>64</w:t>
      </w:r>
    </w:p>
    <w:p w14:paraId="4294197B">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第六章    投标文件格式附件……………………………</w:t>
      </w:r>
      <w:r>
        <w:rPr>
          <w:rFonts w:hint="eastAsia"/>
          <w:color w:val="auto"/>
          <w:sz w:val="30"/>
          <w:szCs w:val="30"/>
          <w:highlight w:val="none"/>
          <w:lang w:val="en-US" w:eastAsia="zh-CN"/>
        </w:rPr>
        <w:t xml:space="preserve"> 72</w:t>
      </w:r>
    </w:p>
    <w:p w14:paraId="02C7AC7F">
      <w:pPr>
        <w:rPr>
          <w:color w:val="auto"/>
          <w:highlight w:val="none"/>
        </w:rPr>
      </w:pPr>
    </w:p>
    <w:p w14:paraId="6A1853A9">
      <w:pPr>
        <w:pStyle w:val="4"/>
        <w:pageBreakBefore w:val="0"/>
        <w:kinsoku/>
        <w:bidi w:val="0"/>
        <w:spacing w:beforeAutospacing="0" w:afterAutospacing="0" w:line="440" w:lineRule="exact"/>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38F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2CBA6E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项目概况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p w14:paraId="3A43F92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新登镇台诚塔山府（塔山花园）安置房物业服务采购项目</w:t>
            </w:r>
            <w:r>
              <w:rPr>
                <w:rFonts w:hint="eastAsia" w:ascii="仿宋" w:hAnsi="仿宋" w:eastAsia="仿宋" w:cs="仿宋"/>
                <w:color w:val="auto"/>
                <w:highlight w:val="none"/>
              </w:rPr>
              <w:t>的潜在投标人应在</w:t>
            </w:r>
            <w:r>
              <w:rPr>
                <w:rFonts w:hint="eastAsia" w:cs="仿宋"/>
                <w:color w:val="auto"/>
                <w:highlight w:val="none"/>
                <w:lang w:eastAsia="zh-CN"/>
              </w:rPr>
              <w:t>富小采平台</w:t>
            </w:r>
            <w:r>
              <w:rPr>
                <w:rFonts w:hint="eastAsia" w:ascii="仿宋" w:hAnsi="仿宋" w:eastAsia="仿宋" w:cs="仿宋"/>
                <w:color w:val="auto"/>
                <w:highlight w:val="none"/>
              </w:rPr>
              <w:t>（</w:t>
            </w:r>
            <w:r>
              <w:rPr>
                <w:rFonts w:hint="eastAsia" w:cs="仿宋"/>
                <w:color w:val="auto"/>
                <w:highlight w:val="none"/>
                <w:lang w:eastAsia="zh-CN"/>
              </w:rPr>
              <w:t>https://fuyang.lecaiyun.com/</w:t>
            </w:r>
            <w:r>
              <w:rPr>
                <w:rFonts w:hint="eastAsia" w:ascii="仿宋" w:hAnsi="仿宋" w:eastAsia="仿宋" w:cs="仿宋"/>
                <w:color w:val="auto"/>
                <w:highlight w:val="none"/>
              </w:rPr>
              <w:t>）获取（下载）招标文件，并于</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06</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25</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9:00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北京时间）前递交（上传）投标文件。</w:t>
            </w:r>
          </w:p>
        </w:tc>
      </w:tr>
    </w:tbl>
    <w:p w14:paraId="331173D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一、项目基本情况</w:t>
      </w:r>
    </w:p>
    <w:p w14:paraId="20ECBC8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"https://pay-lcy.lecaiyun.com/purchaseplan_front/" \l "/plan/list/view?id=1000000000014196307&amp;_app_=zcy.procurement" \t "https://www.lecaiyun.com/delegation-order/_procurement_/order/_blank"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XDZTSC(GK)2025-01</w:t>
      </w:r>
      <w:r>
        <w:rPr>
          <w:rFonts w:hint="eastAsia" w:ascii="仿宋" w:hAnsi="仿宋" w:eastAsia="仿宋" w:cs="仿宋"/>
          <w:color w:val="auto"/>
          <w:highlight w:val="none"/>
        </w:rPr>
        <w:fldChar w:fldCharType="end"/>
      </w:r>
      <w:r>
        <w:rPr>
          <w:rFonts w:hint="eastAsia" w:cs="仿宋"/>
          <w:color w:val="auto"/>
          <w:highlight w:val="none"/>
          <w:lang w:val="en-US" w:eastAsia="zh-CN"/>
        </w:rPr>
        <w:t xml:space="preserve"> </w:t>
      </w:r>
    </w:p>
    <w:p w14:paraId="13D819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：新登镇台诚塔山府（塔山花园）安置房物业服务采购项目</w:t>
      </w:r>
    </w:p>
    <w:p w14:paraId="6708D2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cs="仿宋"/>
          <w:color w:val="auto"/>
          <w:highlight w:val="none"/>
          <w:lang w:eastAsia="zh-CN"/>
        </w:rPr>
        <w:t>采购方式：公开招标</w:t>
      </w:r>
    </w:p>
    <w:p w14:paraId="1B5703B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val="en-US" w:eastAsia="zh-CN"/>
        </w:rPr>
        <w:t>2340000</w:t>
      </w:r>
    </w:p>
    <w:p w14:paraId="00E4095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最高限价（元）：</w:t>
      </w:r>
      <w:r>
        <w:rPr>
          <w:rFonts w:hint="eastAsia" w:cs="仿宋"/>
          <w:color w:val="auto"/>
          <w:highlight w:val="none"/>
          <w:lang w:val="en-US" w:eastAsia="zh-CN"/>
        </w:rPr>
        <w:t>2340000 （780000元/年）</w:t>
      </w:r>
    </w:p>
    <w:p w14:paraId="5582D08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w:t>
      </w:r>
      <w:r>
        <w:rPr>
          <w:rFonts w:hint="eastAsia" w:cs="仿宋"/>
          <w:color w:val="auto"/>
          <w:highlight w:val="none"/>
          <w:lang w:val="en-US" w:eastAsia="zh-CN"/>
        </w:rPr>
        <w:t>新登镇台诚塔山府（塔山花园）安置房物业服务采购项目，具体详见采购需求。</w:t>
      </w:r>
    </w:p>
    <w:p w14:paraId="5FD5A2A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14:paraId="6618A59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标项名称:  </w:t>
      </w:r>
      <w:r>
        <w:rPr>
          <w:rFonts w:hint="eastAsia" w:cs="仿宋"/>
          <w:color w:val="auto"/>
          <w:highlight w:val="none"/>
          <w:lang w:val="en-US" w:eastAsia="zh-CN"/>
        </w:rPr>
        <w:t>新登镇台诚塔山府（塔山花园）安置房物业服务采购项目</w:t>
      </w:r>
    </w:p>
    <w:p w14:paraId="37F6316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数量:  </w:t>
      </w:r>
      <w:r>
        <w:rPr>
          <w:rFonts w:hint="eastAsia" w:cs="仿宋"/>
          <w:color w:val="auto"/>
          <w:highlight w:val="none"/>
          <w:lang w:val="en-US" w:eastAsia="zh-CN"/>
        </w:rPr>
        <w:t>1</w:t>
      </w:r>
    </w:p>
    <w:p w14:paraId="54871C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val="en-US" w:eastAsia="zh-CN"/>
        </w:rPr>
        <w:t>2340000</w:t>
      </w:r>
    </w:p>
    <w:p w14:paraId="6E603BE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简要规格描述或项目基本概况介绍、用途：</w:t>
      </w:r>
      <w:r>
        <w:rPr>
          <w:rFonts w:hint="eastAsia" w:cs="仿宋"/>
          <w:color w:val="auto"/>
          <w:highlight w:val="none"/>
          <w:lang w:val="en-US" w:eastAsia="zh-CN"/>
        </w:rPr>
        <w:t>新登镇台诚塔山府（塔山花园）安置房物业服务采购项目，具体详见采购需求。</w:t>
      </w:r>
    </w:p>
    <w:p w14:paraId="638111D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 </w:t>
      </w:r>
      <w:r>
        <w:rPr>
          <w:rFonts w:hint="eastAsia" w:cs="仿宋"/>
          <w:color w:val="auto"/>
          <w:highlight w:val="none"/>
          <w:lang w:val="en-US" w:eastAsia="zh-CN"/>
        </w:rPr>
        <w:t>/</w:t>
      </w:r>
    </w:p>
    <w:p w14:paraId="134CE552">
      <w:pPr>
        <w:keepNext w:val="0"/>
        <w:keepLines w:val="0"/>
        <w:widowControl/>
        <w:suppressLineNumbers w:val="0"/>
        <w:kinsoku w:val="0"/>
        <w:autoSpaceDE w:val="0"/>
        <w:autoSpaceDN w:val="0"/>
        <w:adjustRightInd w:val="0"/>
        <w:snapToGrid w:val="0"/>
        <w:spacing w:before="120" w:beforeLines="50" w:beforeAutospacing="0" w:after="0" w:afterAutospacing="0"/>
        <w:ind w:left="0" w:right="0" w:firstLine="480" w:firstLineChars="200"/>
        <w:jc w:val="left"/>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合同履约期限：</w:t>
      </w:r>
      <w:r>
        <w:rPr>
          <w:rFonts w:hint="eastAsia" w:cs="仿宋"/>
          <w:color w:val="auto"/>
          <w:highlight w:val="none"/>
          <w:lang w:val="en-US" w:eastAsia="zh-CN"/>
        </w:rPr>
        <w:t>三</w:t>
      </w:r>
      <w:r>
        <w:rPr>
          <w:rFonts w:hint="eastAsia" w:ascii="仿宋" w:hAnsi="仿宋" w:eastAsia="仿宋" w:cs="仿宋"/>
          <w:color w:val="auto"/>
          <w:highlight w:val="none"/>
          <w:lang w:val="en-US" w:eastAsia="zh-CN"/>
        </w:rPr>
        <w:t>年（</w:t>
      </w:r>
      <w:r>
        <w:rPr>
          <w:rFonts w:hint="eastAsia" w:cs="仿宋"/>
          <w:color w:val="auto"/>
          <w:highlight w:val="none"/>
          <w:lang w:val="en-US" w:eastAsia="zh-CN"/>
        </w:rPr>
        <w:t>合同一年一签，</w:t>
      </w:r>
      <w:r>
        <w:rPr>
          <w:rFonts w:hint="eastAsia" w:ascii="仿宋" w:hAnsi="仿宋" w:eastAsia="仿宋" w:cs="仿宋"/>
          <w:color w:val="auto"/>
          <w:highlight w:val="none"/>
          <w:lang w:val="en-US" w:eastAsia="zh-CN"/>
        </w:rPr>
        <w:t>前一年物业服务满意的则续签</w:t>
      </w:r>
      <w:r>
        <w:rPr>
          <w:rFonts w:hint="eastAsia" w:cs="仿宋"/>
          <w:color w:val="auto"/>
          <w:highlight w:val="none"/>
          <w:lang w:val="en-US" w:eastAsia="zh-CN"/>
        </w:rPr>
        <w:t>下一</w:t>
      </w:r>
      <w:r>
        <w:rPr>
          <w:rFonts w:hint="eastAsia" w:ascii="仿宋" w:hAnsi="仿宋" w:eastAsia="仿宋" w:cs="仿宋"/>
          <w:color w:val="auto"/>
          <w:highlight w:val="none"/>
          <w:lang w:val="en-US" w:eastAsia="zh-CN"/>
        </w:rPr>
        <w:t>年合同）</w:t>
      </w:r>
    </w:p>
    <w:p w14:paraId="07A72DC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14:paraId="7828B3B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385063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w:t>
      </w:r>
      <w:r>
        <w:rPr>
          <w:rFonts w:hint="eastAsia" w:cs="仿宋"/>
          <w:b/>
          <w:bCs/>
          <w:color w:val="auto"/>
          <w:highlight w:val="none"/>
          <w:lang w:val="en-US" w:eastAsia="zh-CN"/>
        </w:rPr>
        <w:t>否</w:t>
      </w:r>
      <w:r>
        <w:rPr>
          <w:rFonts w:hint="eastAsia" w:ascii="仿宋" w:hAnsi="仿宋" w:eastAsia="仿宋" w:cs="仿宋"/>
          <w:b/>
          <w:bCs/>
          <w:color w:val="auto"/>
          <w:highlight w:val="none"/>
        </w:rPr>
        <w:t>）</w:t>
      </w:r>
      <w:r>
        <w:rPr>
          <w:rFonts w:hint="eastAsia" w:ascii="仿宋" w:hAnsi="仿宋" w:eastAsia="仿宋" w:cs="仿宋"/>
          <w:color w:val="auto"/>
          <w:highlight w:val="none"/>
        </w:rPr>
        <w:t>接受联合体投标。</w:t>
      </w:r>
    </w:p>
    <w:p w14:paraId="6659B1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.本项目的特定资格要求：无</w:t>
      </w:r>
    </w:p>
    <w:p w14:paraId="14078ADD">
      <w:pPr>
        <w:spacing w:before="156"/>
        <w:ind w:firstLine="480" w:firstLineChars="200"/>
        <w:rPr>
          <w:rFonts w:hint="eastAsia" w:ascii="仿宋" w:hAnsi="仿宋" w:eastAsia="仿宋" w:cs="仿宋"/>
          <w:color w:val="auto"/>
          <w:sz w:val="24"/>
          <w:highlight w:val="none"/>
          <w:u w:val="none"/>
          <w:lang w:val="en-US" w:eastAsia="zh-CN"/>
        </w:rPr>
      </w:pPr>
      <w:r>
        <w:rPr>
          <w:rFonts w:hint="eastAsia" w:cs="仿宋"/>
          <w:color w:val="auto"/>
          <w:sz w:val="24"/>
          <w:highlight w:val="none"/>
          <w:u w:val="none"/>
          <w:lang w:val="en-US" w:eastAsia="zh-CN"/>
        </w:rPr>
        <w:t>4</w:t>
      </w:r>
      <w:r>
        <w:rPr>
          <w:rFonts w:hint="eastAsia" w:ascii="仿宋" w:hAnsi="仿宋" w:eastAsia="仿宋" w:cs="仿宋"/>
          <w:color w:val="auto"/>
          <w:sz w:val="24"/>
          <w:highlight w:val="none"/>
          <w:u w:val="none"/>
          <w:lang w:val="en-US" w:eastAsia="zh-CN"/>
        </w:rPr>
        <w:t>.单位负责人为同一人或者存在直接控股、管理关系的不同供应商，不得参加同一合同项下的采购活动；为本采购项目提供整体设计、规范编制或者项目管理、监理、检测等服务的供应商，不得再参加该采购项目的其他采购活动。</w:t>
      </w:r>
    </w:p>
    <w:p w14:paraId="53887C85">
      <w:pPr>
        <w:spacing w:before="156"/>
        <w:ind w:firstLine="480" w:firstLineChars="200"/>
        <w:rPr>
          <w:rFonts w:hint="eastAsia" w:ascii="仿宋" w:hAnsi="仿宋" w:eastAsia="仿宋" w:cs="仿宋"/>
          <w:color w:val="auto"/>
          <w:sz w:val="24"/>
          <w:highlight w:val="none"/>
          <w:u w:val="none"/>
          <w:lang w:val="en-US" w:eastAsia="zh-CN"/>
        </w:rPr>
      </w:pPr>
      <w:r>
        <w:rPr>
          <w:rFonts w:hint="eastAsia" w:cs="仿宋"/>
          <w:color w:val="auto"/>
          <w:sz w:val="24"/>
          <w:highlight w:val="none"/>
          <w:u w:val="none"/>
          <w:lang w:val="en-US" w:eastAsia="zh-CN"/>
        </w:rPr>
        <w:t>5</w:t>
      </w:r>
      <w:r>
        <w:rPr>
          <w:rFonts w:hint="eastAsia" w:ascii="仿宋" w:hAnsi="仿宋" w:eastAsia="仿宋" w:cs="仿宋"/>
          <w:color w:val="auto"/>
          <w:sz w:val="24"/>
          <w:highlight w:val="none"/>
          <w:u w:val="none"/>
          <w:lang w:val="en-US" w:eastAsia="zh-CN"/>
        </w:rPr>
        <w:t>.供应商为其他组织（即不是自然人、法人）的，提供具有独立承担民事责任能力的证明材料或政策依据。</w:t>
      </w:r>
    </w:p>
    <w:p w14:paraId="5620D5B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14:paraId="6C850B8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  </w:t>
      </w:r>
      <w:r>
        <w:rPr>
          <w:rFonts w:hint="eastAsia" w:cs="仿宋"/>
          <w:color w:val="auto"/>
          <w:highlight w:val="none"/>
          <w:lang w:val="en-US" w:eastAsia="zh-CN"/>
        </w:rPr>
        <w:t>1.</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06</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25</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9:00</w:t>
      </w:r>
      <w:r>
        <w:rPr>
          <w:rFonts w:hint="eastAsia" w:ascii="仿宋" w:hAnsi="仿宋" w:eastAsia="仿宋" w:cs="仿宋"/>
          <w:color w:val="auto"/>
          <w:highlight w:val="none"/>
        </w:rPr>
        <w:t> ，每天上午00:00至12:00 ，下午12:00至23:59（北京时间，线上获取法定节假日均可，线下获取文件法定节假日除外）</w:t>
      </w:r>
    </w:p>
    <w:p w14:paraId="0BA94D7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2.</w:t>
      </w:r>
      <w:r>
        <w:rPr>
          <w:rFonts w:hint="eastAsia" w:ascii="仿宋" w:hAnsi="仿宋" w:eastAsia="仿宋" w:cs="仿宋"/>
          <w:color w:val="auto"/>
          <w:highlight w:val="none"/>
        </w:rPr>
        <w:t>地点（网址）：</w:t>
      </w:r>
      <w:r>
        <w:rPr>
          <w:rFonts w:hint="eastAsia" w:cs="仿宋"/>
          <w:color w:val="auto"/>
          <w:highlight w:val="none"/>
          <w:lang w:eastAsia="zh-CN"/>
        </w:rPr>
        <w:t>富小采平台</w:t>
      </w:r>
      <w:r>
        <w:rPr>
          <w:rFonts w:hint="eastAsia" w:ascii="仿宋" w:hAnsi="仿宋" w:eastAsia="仿宋" w:cs="仿宋"/>
          <w:color w:val="auto"/>
          <w:highlight w:val="none"/>
        </w:rPr>
        <w:t>（</w:t>
      </w:r>
      <w:r>
        <w:rPr>
          <w:rFonts w:hint="eastAsia" w:cs="仿宋"/>
          <w:color w:val="auto"/>
          <w:highlight w:val="none"/>
          <w:lang w:eastAsia="zh-CN"/>
        </w:rPr>
        <w:t>https://fuyang.lecaiyun.com/</w:t>
      </w:r>
      <w:r>
        <w:rPr>
          <w:rFonts w:hint="eastAsia" w:ascii="仿宋" w:hAnsi="仿宋" w:eastAsia="仿宋" w:cs="仿宋"/>
          <w:color w:val="auto"/>
          <w:highlight w:val="none"/>
        </w:rPr>
        <w:t>） </w:t>
      </w:r>
    </w:p>
    <w:p w14:paraId="1191F54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方式：供应商登录</w:t>
      </w:r>
      <w:r>
        <w:rPr>
          <w:rFonts w:hint="eastAsia" w:cs="仿宋"/>
          <w:color w:val="auto"/>
          <w:highlight w:val="none"/>
          <w:lang w:eastAsia="zh-CN"/>
        </w:rPr>
        <w:t>富小采平台https://fuyang.lecaiyun.com/</w:t>
      </w:r>
      <w:r>
        <w:rPr>
          <w:rFonts w:hint="eastAsia" w:ascii="仿宋" w:hAnsi="仿宋" w:eastAsia="仿宋" w:cs="仿宋"/>
          <w:color w:val="auto"/>
          <w:highlight w:val="none"/>
        </w:rPr>
        <w:t>在线申请获取采购文件（进入“项目采购”应用，在获取采购文件菜单中选择项目，申请获取采购文件） </w:t>
      </w:r>
    </w:p>
    <w:p w14:paraId="1B0BA61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14:paraId="37DC2BB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14:paraId="41AD2C7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6B3C2D5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14:paraId="6305102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06</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25</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599C68D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w:t>
      </w:r>
      <w:r>
        <w:rPr>
          <w:rFonts w:hint="eastAsia" w:cs="仿宋"/>
          <w:color w:val="auto"/>
          <w:highlight w:val="none"/>
          <w:lang w:eastAsia="zh-CN"/>
        </w:rPr>
        <w:t>富小采平台</w:t>
      </w:r>
      <w:r>
        <w:rPr>
          <w:rFonts w:hint="eastAsia" w:ascii="仿宋" w:hAnsi="仿宋" w:eastAsia="仿宋" w:cs="仿宋"/>
          <w:color w:val="auto"/>
          <w:highlight w:val="none"/>
        </w:rPr>
        <w:t>（</w:t>
      </w:r>
      <w:r>
        <w:rPr>
          <w:rFonts w:hint="eastAsia" w:cs="仿宋"/>
          <w:color w:val="auto"/>
          <w:highlight w:val="none"/>
          <w:lang w:eastAsia="zh-CN"/>
        </w:rPr>
        <w:t>https://fuyang.lecaiyun.com/</w:t>
      </w:r>
      <w:r>
        <w:rPr>
          <w:rFonts w:hint="eastAsia" w:ascii="仿宋" w:hAnsi="仿宋" w:eastAsia="仿宋" w:cs="仿宋"/>
          <w:color w:val="auto"/>
          <w:highlight w:val="none"/>
        </w:rPr>
        <w:t>），本项目采用全流程电子化交易，无须参加现场开标会（需现场演示除外）。 </w:t>
      </w:r>
    </w:p>
    <w:p w14:paraId="463AAC1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06</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25</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4B262DA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开标地点（网址）：</w:t>
      </w:r>
      <w:r>
        <w:rPr>
          <w:rFonts w:hint="eastAsia" w:cs="仿宋"/>
          <w:color w:val="auto"/>
          <w:highlight w:val="none"/>
          <w:u w:val="single"/>
          <w:lang w:val="en-US" w:eastAsia="zh-CN"/>
        </w:rPr>
        <w:t>华诚工程咨询集团有限公司（杭州市富阳区恩波大道677号（金富春大厦3楼））</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r>
        <w:rPr>
          <w:rFonts w:hint="eastAsia" w:cs="仿宋"/>
          <w:color w:val="auto"/>
          <w:highlight w:val="none"/>
          <w:lang w:eastAsia="zh-CN"/>
        </w:rPr>
        <w:t>富小采平台</w:t>
      </w:r>
      <w:r>
        <w:rPr>
          <w:rFonts w:hint="eastAsia" w:ascii="仿宋" w:hAnsi="仿宋" w:eastAsia="仿宋" w:cs="仿宋"/>
          <w:color w:val="auto"/>
          <w:highlight w:val="none"/>
        </w:rPr>
        <w:t>（</w:t>
      </w:r>
      <w:r>
        <w:rPr>
          <w:rFonts w:hint="eastAsia" w:cs="仿宋"/>
          <w:color w:val="auto"/>
          <w:highlight w:val="none"/>
          <w:lang w:eastAsia="zh-CN"/>
        </w:rPr>
        <w:t>https://fuyang.lecaiyun.com/</w:t>
      </w:r>
      <w:r>
        <w:rPr>
          <w:rFonts w:hint="eastAsia" w:ascii="仿宋" w:hAnsi="仿宋" w:eastAsia="仿宋" w:cs="仿宋"/>
          <w:color w:val="auto"/>
          <w:highlight w:val="none"/>
        </w:rPr>
        <w:t>）。  </w:t>
      </w:r>
    </w:p>
    <w:p w14:paraId="7A594E8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rPr>
      </w:pPr>
      <w:r>
        <w:rPr>
          <w:rFonts w:hint="eastAsia" w:cs="仿宋"/>
          <w:b/>
          <w:bCs/>
          <w:color w:val="auto"/>
          <w:highlight w:val="none"/>
          <w:lang w:val="en-US" w:eastAsia="zh-CN"/>
        </w:rPr>
        <w:t>五</w:t>
      </w:r>
      <w:r>
        <w:rPr>
          <w:rFonts w:hint="eastAsia" w:ascii="仿宋" w:hAnsi="仿宋" w:eastAsia="仿宋" w:cs="仿宋"/>
          <w:b/>
          <w:bCs/>
          <w:color w:val="auto"/>
          <w:highlight w:val="none"/>
          <w:lang w:val="en-US" w:eastAsia="zh-CN"/>
        </w:rPr>
        <w:t>、公告期限</w:t>
      </w:r>
      <w:r>
        <w:rPr>
          <w:rFonts w:hint="eastAsia" w:ascii="仿宋" w:hAnsi="仿宋" w:eastAsia="仿宋" w:cs="仿宋"/>
          <w:b/>
          <w:bCs/>
          <w:color w:val="auto"/>
          <w:highlight w:val="none"/>
        </w:rPr>
        <w:t> </w:t>
      </w:r>
    </w:p>
    <w:p w14:paraId="73741B1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自本公告发布之日起5个工作日。</w:t>
      </w:r>
    </w:p>
    <w:p w14:paraId="5E38F4B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cs="仿宋"/>
          <w:b/>
          <w:bCs/>
          <w:color w:val="auto"/>
          <w:highlight w:val="none"/>
          <w:lang w:val="en-US" w:eastAsia="zh-CN"/>
        </w:rPr>
        <w:t>六</w:t>
      </w:r>
      <w:r>
        <w:rPr>
          <w:rFonts w:hint="eastAsia" w:ascii="仿宋" w:hAnsi="仿宋" w:eastAsia="仿宋" w:cs="仿宋"/>
          <w:b/>
          <w:bCs/>
          <w:color w:val="auto"/>
          <w:highlight w:val="none"/>
          <w:lang w:val="en-US" w:eastAsia="zh-CN"/>
        </w:rPr>
        <w:t>、其他补充事宜</w:t>
      </w:r>
    </w:p>
    <w:p w14:paraId="20AECB4F">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highlight w:val="none"/>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w:t>
      </w:r>
      <w:r>
        <w:rPr>
          <w:rFonts w:hint="eastAsia" w:cs="仿宋"/>
          <w:color w:val="auto"/>
          <w:sz w:val="24"/>
          <w:szCs w:val="24"/>
          <w:highlight w:val="none"/>
          <w:lang w:eastAsia="zh-CN"/>
        </w:rPr>
        <w:t>富小采平台</w:t>
      </w:r>
      <w:r>
        <w:rPr>
          <w:rFonts w:hint="eastAsia" w:ascii="仿宋" w:hAnsi="仿宋" w:eastAsia="仿宋" w:cs="仿宋"/>
          <w:color w:val="auto"/>
          <w:sz w:val="24"/>
          <w:szCs w:val="24"/>
          <w:highlight w:val="none"/>
        </w:rPr>
        <w:t>；配置岗位进入“项目采购”应用，在获取采购文件菜单中选择项目，申请获取采购文件。（注册账号--点击“商家入驻”，进行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w:t>
      </w:r>
      <w:r>
        <w:rPr>
          <w:rFonts w:hint="eastAsia" w:cs="仿宋"/>
          <w:color w:val="auto"/>
          <w:kern w:val="2"/>
          <w:sz w:val="24"/>
          <w:szCs w:val="24"/>
          <w:highlight w:val="none"/>
          <w:u w:val="none"/>
          <w:lang w:val="en-US" w:eastAsia="zh-CN" w:bidi="ar-SA"/>
        </w:rPr>
        <w:t>富小采平台</w:t>
      </w:r>
      <w:r>
        <w:rPr>
          <w:rFonts w:hint="eastAsia" w:ascii="仿宋" w:hAnsi="仿宋" w:eastAsia="仿宋" w:cs="仿宋"/>
          <w:color w:val="auto"/>
          <w:kern w:val="2"/>
          <w:sz w:val="24"/>
          <w:szCs w:val="24"/>
          <w:highlight w:val="none"/>
          <w:u w:val="none"/>
          <w:lang w:val="en-US" w:eastAsia="zh-CN" w:bidi="ar-SA"/>
        </w:rPr>
        <w:t>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w:t>
      </w:r>
      <w:r>
        <w:rPr>
          <w:rFonts w:hint="eastAsia" w:cs="仿宋"/>
          <w:color w:val="auto"/>
          <w:sz w:val="24"/>
          <w:szCs w:val="24"/>
          <w:highlight w:val="none"/>
          <w:lang w:eastAsia="zh-CN"/>
        </w:rPr>
        <w:t>富小采平台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1BBFCC5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八、对本次采购提出询问、质疑、投诉，请按以下方式联系</w:t>
      </w:r>
    </w:p>
    <w:p w14:paraId="5ECA100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1.采购人信息</w:t>
      </w:r>
    </w:p>
    <w:p w14:paraId="191E708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名    称：</w:t>
      </w:r>
      <w:r>
        <w:rPr>
          <w:rFonts w:hint="eastAsia" w:cs="仿宋"/>
          <w:color w:val="auto"/>
          <w:highlight w:val="none"/>
          <w:lang w:eastAsia="zh-CN"/>
        </w:rPr>
        <w:t>杭州市富阳区新登镇塔山村股份经济合作社</w:t>
      </w:r>
    </w:p>
    <w:p w14:paraId="4D0B36C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地    址：</w:t>
      </w:r>
      <w:r>
        <w:rPr>
          <w:rFonts w:hint="eastAsia" w:cs="仿宋"/>
          <w:color w:val="auto"/>
          <w:highlight w:val="none"/>
          <w:lang w:val="en-US" w:eastAsia="zh-CN"/>
        </w:rPr>
        <w:t xml:space="preserve"> 杭州市富阳区新登镇新兴路208号</w:t>
      </w:r>
    </w:p>
    <w:p w14:paraId="06D0678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传    真：</w:t>
      </w:r>
      <w:r>
        <w:rPr>
          <w:rFonts w:hint="eastAsia" w:cs="仿宋"/>
          <w:color w:val="auto"/>
          <w:highlight w:val="none"/>
          <w:lang w:val="en-US" w:eastAsia="zh-CN"/>
        </w:rPr>
        <w:t>/</w:t>
      </w:r>
      <w:r>
        <w:rPr>
          <w:rFonts w:hint="eastAsia" w:ascii="仿宋" w:hAnsi="仿宋" w:eastAsia="仿宋" w:cs="仿宋"/>
          <w:color w:val="auto"/>
          <w:highlight w:val="none"/>
        </w:rPr>
        <w:t>  </w:t>
      </w:r>
    </w:p>
    <w:p w14:paraId="0547D0B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w:t>
      </w:r>
      <w:r>
        <w:rPr>
          <w:rFonts w:hint="eastAsia" w:cs="仿宋"/>
          <w:color w:val="auto"/>
          <w:highlight w:val="none"/>
          <w:lang w:val="en-US" w:eastAsia="zh-CN"/>
        </w:rPr>
        <w:t xml:space="preserve"> </w:t>
      </w:r>
      <w:r>
        <w:rPr>
          <w:rFonts w:hint="eastAsia" w:ascii="仿宋" w:hAnsi="仿宋" w:eastAsia="仿宋" w:cs="仿宋"/>
          <w:color w:val="auto"/>
          <w:highlight w:val="none"/>
        </w:rPr>
        <w:t xml:space="preserve"> 项目联系人（询问）：</w:t>
      </w:r>
      <w:r>
        <w:rPr>
          <w:rFonts w:hint="eastAsia" w:cs="仿宋"/>
          <w:color w:val="auto"/>
          <w:highlight w:val="none"/>
          <w:lang w:val="en-US" w:eastAsia="zh-CN"/>
        </w:rPr>
        <w:t xml:space="preserve">卢火强 </w:t>
      </w:r>
    </w:p>
    <w:p w14:paraId="53E6123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w:t>
      </w:r>
      <w:r>
        <w:rPr>
          <w:rFonts w:hint="eastAsia" w:cs="仿宋"/>
          <w:color w:val="auto"/>
          <w:highlight w:val="none"/>
          <w:lang w:val="en-US" w:eastAsia="zh-CN"/>
        </w:rPr>
        <w:t xml:space="preserve"> </w:t>
      </w:r>
      <w:r>
        <w:rPr>
          <w:rFonts w:hint="eastAsia" w:ascii="仿宋" w:hAnsi="仿宋" w:eastAsia="仿宋" w:cs="仿宋"/>
          <w:color w:val="auto"/>
          <w:highlight w:val="none"/>
        </w:rPr>
        <w:t xml:space="preserve"> 项目联系方式（询问）：</w:t>
      </w:r>
      <w:r>
        <w:rPr>
          <w:rFonts w:hint="eastAsia" w:cs="仿宋"/>
          <w:color w:val="auto"/>
          <w:highlight w:val="none"/>
          <w:lang w:val="en-US" w:eastAsia="zh-CN"/>
        </w:rPr>
        <w:t xml:space="preserve">13735818618 </w:t>
      </w:r>
    </w:p>
    <w:p w14:paraId="3C141F2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2.采购代理机构信息</w:t>
      </w:r>
    </w:p>
    <w:p w14:paraId="6FB7B02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名    称：华诚工程咨询集团有限公司</w:t>
      </w:r>
    </w:p>
    <w:p w14:paraId="502CD40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cs="仿宋"/>
          <w:color w:val="auto"/>
          <w:highlight w:val="none"/>
          <w:lang w:val="en-US" w:eastAsia="zh-CN"/>
        </w:rPr>
        <w:t>杭州富阳区富春街道恩波大道677号（金富春大厦3楼）</w:t>
      </w:r>
    </w:p>
    <w:p w14:paraId="33C7AEA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cs="仿宋"/>
          <w:color w:val="auto"/>
          <w:highlight w:val="none"/>
          <w:lang w:eastAsia="zh-CN"/>
        </w:rPr>
        <w:t>邮</w:t>
      </w:r>
      <w:r>
        <w:rPr>
          <w:rFonts w:hint="eastAsia" w:cs="仿宋"/>
          <w:color w:val="auto"/>
          <w:highlight w:val="none"/>
          <w:lang w:val="en-US" w:eastAsia="zh-CN"/>
        </w:rPr>
        <w:t xml:space="preserve">   </w:t>
      </w:r>
      <w:r>
        <w:rPr>
          <w:rFonts w:hint="eastAsia" w:cs="仿宋"/>
          <w:color w:val="auto"/>
          <w:highlight w:val="none"/>
          <w:lang w:eastAsia="zh-CN"/>
        </w:rPr>
        <w:t>箱</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hczxfy123@126.com</w:t>
      </w:r>
      <w:r>
        <w:rPr>
          <w:rFonts w:hint="eastAsia" w:cs="仿宋"/>
          <w:color w:val="auto"/>
          <w:highlight w:val="none"/>
          <w:lang w:val="en-US" w:eastAsia="zh-CN"/>
        </w:rPr>
        <w:t xml:space="preserve"> </w:t>
      </w:r>
    </w:p>
    <w:p w14:paraId="6139689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cs="仿宋"/>
          <w:color w:val="auto"/>
          <w:highlight w:val="none"/>
          <w:lang w:val="en-US" w:eastAsia="zh-CN"/>
        </w:rPr>
        <w:t>倪浩琛</w:t>
      </w:r>
    </w:p>
    <w:p w14:paraId="37746D9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 </w:t>
      </w:r>
      <w:r>
        <w:rPr>
          <w:rFonts w:hint="eastAsia" w:cs="仿宋"/>
          <w:color w:val="auto"/>
          <w:highlight w:val="none"/>
          <w:lang w:val="en-US" w:eastAsia="zh-CN"/>
        </w:rPr>
        <w:t>0571-62051531</w:t>
      </w:r>
    </w:p>
    <w:p w14:paraId="44223DF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质疑联系人：</w:t>
      </w:r>
      <w:r>
        <w:rPr>
          <w:rFonts w:hint="eastAsia" w:cs="仿宋"/>
          <w:color w:val="auto"/>
          <w:highlight w:val="none"/>
          <w:lang w:eastAsia="zh-CN"/>
        </w:rPr>
        <w:t>徐银华</w:t>
      </w:r>
      <w:r>
        <w:rPr>
          <w:rFonts w:hint="eastAsia" w:ascii="仿宋" w:hAnsi="仿宋" w:eastAsia="仿宋" w:cs="仿宋"/>
          <w:color w:val="auto"/>
          <w:highlight w:val="none"/>
        </w:rPr>
        <w:t> </w:t>
      </w:r>
    </w:p>
    <w:p w14:paraId="76BACE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质疑联系方式：</w:t>
      </w:r>
      <w:r>
        <w:rPr>
          <w:rFonts w:hint="eastAsia" w:cs="仿宋"/>
          <w:color w:val="auto"/>
          <w:highlight w:val="none"/>
          <w:lang w:val="en-US" w:eastAsia="zh-CN"/>
        </w:rPr>
        <w:t>0571-61772168</w:t>
      </w:r>
    </w:p>
    <w:p w14:paraId="5FD1C64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color w:val="auto"/>
          <w:highlight w:val="yellow"/>
          <w:lang w:val="en-US" w:eastAsia="zh-CN"/>
        </w:rPr>
      </w:pPr>
    </w:p>
    <w:p w14:paraId="01427ED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若对项目采购电子交易系统操作有疑问，可登录</w:t>
      </w:r>
      <w:r>
        <w:rPr>
          <w:rFonts w:hint="eastAsia" w:cs="仿宋"/>
          <w:b/>
          <w:bCs/>
          <w:color w:val="auto"/>
          <w:highlight w:val="none"/>
          <w:lang w:val="en-US" w:eastAsia="zh-CN"/>
        </w:rPr>
        <w:t>富小采</w:t>
      </w:r>
      <w:r>
        <w:rPr>
          <w:rFonts w:hint="eastAsia" w:ascii="仿宋" w:hAnsi="仿宋" w:eastAsia="仿宋" w:cs="仿宋"/>
          <w:b/>
          <w:bCs/>
          <w:color w:val="auto"/>
          <w:highlight w:val="none"/>
          <w:lang w:val="en-US" w:eastAsia="zh-CN"/>
        </w:rPr>
        <w:t>（</w:t>
      </w:r>
      <w:r>
        <w:rPr>
          <w:rFonts w:hint="eastAsia" w:cs="仿宋"/>
          <w:b/>
          <w:bCs/>
          <w:color w:val="auto"/>
          <w:highlight w:val="none"/>
          <w:lang w:val="en-US" w:eastAsia="zh-CN"/>
        </w:rPr>
        <w:t>https://fuyang.lecaiyun.com/</w:t>
      </w:r>
      <w:r>
        <w:rPr>
          <w:rFonts w:hint="eastAsia" w:ascii="仿宋" w:hAnsi="仿宋" w:eastAsia="仿宋" w:cs="仿宋"/>
          <w:b/>
          <w:bCs/>
          <w:color w:val="auto"/>
          <w:highlight w:val="none"/>
          <w:lang w:val="en-US" w:eastAsia="zh-CN"/>
        </w:rPr>
        <w:t>），点击右侧咨询小采，获取采小蜜智能服务管家帮助，或拨打</w:t>
      </w:r>
      <w:r>
        <w:rPr>
          <w:rFonts w:hint="eastAsia" w:cs="仿宋"/>
          <w:b/>
          <w:bCs/>
          <w:color w:val="auto"/>
          <w:highlight w:val="none"/>
          <w:lang w:val="en-US" w:eastAsia="zh-CN"/>
        </w:rPr>
        <w:t>富小采</w:t>
      </w:r>
      <w:r>
        <w:rPr>
          <w:rFonts w:hint="eastAsia" w:ascii="仿宋" w:hAnsi="仿宋" w:eastAsia="仿宋" w:cs="仿宋"/>
          <w:b/>
          <w:bCs/>
          <w:color w:val="auto"/>
          <w:highlight w:val="none"/>
          <w:lang w:val="en-US" w:eastAsia="zh-CN"/>
        </w:rPr>
        <w:t>服务热线</w:t>
      </w:r>
      <w:r>
        <w:rPr>
          <w:rFonts w:hint="eastAsia" w:cs="仿宋"/>
          <w:b/>
          <w:bCs/>
          <w:color w:val="auto"/>
          <w:highlight w:val="none"/>
          <w:lang w:val="en-US" w:eastAsia="zh-CN"/>
        </w:rPr>
        <w:t>95763</w:t>
      </w:r>
      <w:r>
        <w:rPr>
          <w:rFonts w:hint="eastAsia" w:ascii="仿宋" w:hAnsi="仿宋" w:eastAsia="仿宋" w:cs="仿宋"/>
          <w:b/>
          <w:bCs/>
          <w:color w:val="auto"/>
          <w:highlight w:val="none"/>
          <w:lang w:val="en-US" w:eastAsia="zh-CN"/>
        </w:rPr>
        <w:t>获取热线服务帮助。     </w:t>
      </w:r>
      <w:r>
        <w:rPr>
          <w:rFonts w:hint="eastAsia" w:ascii="仿宋" w:hAnsi="仿宋" w:eastAsia="仿宋" w:cs="仿宋"/>
          <w:color w:val="auto"/>
          <w:highlight w:val="none"/>
          <w:lang w:val="en-US" w:eastAsia="zh-CN"/>
        </w:rPr>
        <w:t xml:space="preserve">  </w:t>
      </w:r>
    </w:p>
    <w:p w14:paraId="729BAEC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olor w:val="auto"/>
          <w:highlight w:val="none"/>
          <w:lang w:eastAsia="zh-CN"/>
        </w:rPr>
      </w:pPr>
      <w:r>
        <w:rPr>
          <w:rFonts w:hint="eastAsia" w:ascii="仿宋" w:hAnsi="仿宋" w:eastAsia="仿宋" w:cs="仿宋"/>
          <w:color w:val="auto"/>
          <w:highlight w:val="none"/>
          <w:lang w:val="en-US" w:eastAsia="zh-CN"/>
        </w:rPr>
        <w:t>CA问题联系电话（人工）：汇信CA 400-888-4636；天谷CA 400-087-8198。</w:t>
      </w:r>
    </w:p>
    <w:p w14:paraId="57E2F7EA">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杭州市富阳区新登镇塔山村股份经济合作社</w:t>
      </w:r>
    </w:p>
    <w:p w14:paraId="042D6F0A">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14:paraId="5E6D6760">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06</w:t>
      </w:r>
      <w:r>
        <w:rPr>
          <w:rFonts w:hint="eastAsia"/>
          <w:color w:val="auto"/>
          <w:highlight w:val="none"/>
          <w:u w:val="single"/>
        </w:rPr>
        <w:t>月</w:t>
      </w:r>
      <w:r>
        <w:rPr>
          <w:rFonts w:hint="eastAsia"/>
          <w:color w:val="auto"/>
          <w:highlight w:val="none"/>
          <w:u w:val="single"/>
          <w:lang w:val="en-US" w:eastAsia="zh-CN"/>
        </w:rPr>
        <w:t>03</w:t>
      </w:r>
      <w:r>
        <w:rPr>
          <w:rFonts w:hint="eastAsia"/>
          <w:color w:val="auto"/>
          <w:highlight w:val="none"/>
          <w:u w:val="single"/>
        </w:rPr>
        <w:t>日</w:t>
      </w:r>
    </w:p>
    <w:p w14:paraId="219DB73B">
      <w:pPr>
        <w:pageBreakBefore w:val="0"/>
        <w:kinsoku/>
        <w:bidi w:val="0"/>
        <w:spacing w:beforeAutospacing="0" w:afterAutospacing="0" w:line="440" w:lineRule="exact"/>
        <w:rPr>
          <w:b/>
          <w:color w:val="auto"/>
          <w:sz w:val="36"/>
          <w:szCs w:val="36"/>
          <w:highlight w:val="none"/>
        </w:rPr>
      </w:pPr>
      <w:r>
        <w:rPr>
          <w:b/>
          <w:color w:val="auto"/>
          <w:sz w:val="36"/>
          <w:szCs w:val="36"/>
          <w:highlight w:val="none"/>
        </w:rPr>
        <w:br w:type="page"/>
      </w:r>
    </w:p>
    <w:p w14:paraId="0FE4E493">
      <w:pPr>
        <w:pStyle w:val="4"/>
        <w:pageBreakBefore w:val="0"/>
        <w:kinsoku/>
        <w:bidi w:val="0"/>
        <w:spacing w:beforeAutospacing="0" w:afterAutospacing="0" w:line="440" w:lineRule="exact"/>
        <w:rPr>
          <w:color w:val="auto"/>
          <w:highlight w:val="none"/>
        </w:rPr>
      </w:pPr>
      <w:bookmarkStart w:id="1" w:name="_Toc236940849"/>
      <w:r>
        <w:rPr>
          <w:rFonts w:hint="eastAsia"/>
          <w:color w:val="auto"/>
          <w:highlight w:val="none"/>
        </w:rPr>
        <w:t>第二章  投标人须知</w:t>
      </w:r>
      <w:bookmarkEnd w:id="1"/>
    </w:p>
    <w:p w14:paraId="038234A3">
      <w:pPr>
        <w:pStyle w:val="5"/>
        <w:pageBreakBefore w:val="0"/>
        <w:kinsoku/>
        <w:bidi w:val="0"/>
        <w:spacing w:before="0" w:beforeAutospacing="0" w:after="0" w:afterAutospacing="0" w:line="440" w:lineRule="exact"/>
        <w:ind w:left="578" w:hanging="578"/>
        <w:rPr>
          <w:color w:val="auto"/>
          <w:highlight w:val="none"/>
        </w:rPr>
      </w:pPr>
      <w:r>
        <w:rPr>
          <w:rFonts w:hint="eastAsia"/>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73AC8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65B76AC">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3AC96808">
            <w:pPr>
              <w:pageBreakBefore w:val="0"/>
              <w:kinsoku/>
              <w:wordWrap w:val="0"/>
              <w:topLinePunct/>
              <w:bidi w:val="0"/>
              <w:spacing w:beforeAutospacing="0" w:afterAutospacing="0" w:line="440" w:lineRule="exact"/>
              <w:jc w:val="center"/>
              <w:rPr>
                <w:color w:val="auto"/>
                <w:highlight w:val="none"/>
              </w:rPr>
            </w:pPr>
            <w:r>
              <w:rPr>
                <w:rFonts w:hint="eastAsia"/>
                <w:color w:val="auto"/>
                <w:highlight w:val="none"/>
              </w:rPr>
              <w:t>内容说明及要求</w:t>
            </w:r>
          </w:p>
        </w:tc>
      </w:tr>
      <w:tr w14:paraId="7A839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C0B57C1">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5F7D3017">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5F987421">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新登镇台诚塔山府（塔山花园）安置房物业服务采购项目</w:t>
            </w:r>
          </w:p>
        </w:tc>
      </w:tr>
      <w:tr w14:paraId="6160E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A91688B">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46618D27">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0DBDE559">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w:t>
            </w:r>
            <w:r>
              <w:rPr>
                <w:rFonts w:hint="eastAsia"/>
                <w:color w:val="auto"/>
                <w:highlight w:val="none"/>
                <w:lang w:val="en-US" w:eastAsia="zh-CN"/>
              </w:rPr>
              <w:t>上级补助</w:t>
            </w:r>
            <w:r>
              <w:rPr>
                <w:rFonts w:hint="eastAsia"/>
                <w:color w:val="auto"/>
                <w:highlight w:val="none"/>
              </w:rPr>
              <w:t>资金。</w:t>
            </w:r>
          </w:p>
          <w:p w14:paraId="222A526C">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234</w:t>
            </w:r>
            <w:r>
              <w:rPr>
                <w:rFonts w:hint="eastAsia"/>
                <w:color w:val="auto"/>
                <w:highlight w:val="none"/>
              </w:rPr>
              <w:t>万元，最高限价为</w:t>
            </w:r>
            <w:r>
              <w:rPr>
                <w:rFonts w:hint="eastAsia"/>
                <w:color w:val="auto"/>
                <w:highlight w:val="none"/>
                <w:u w:val="single"/>
                <w:lang w:val="en-US" w:eastAsia="zh-CN"/>
              </w:rPr>
              <w:t>234</w:t>
            </w:r>
            <w:r>
              <w:rPr>
                <w:rFonts w:hint="eastAsia"/>
                <w:color w:val="auto"/>
                <w:highlight w:val="none"/>
              </w:rPr>
              <w:t>万元</w:t>
            </w:r>
            <w:r>
              <w:rPr>
                <w:rFonts w:hint="eastAsia"/>
                <w:color w:val="auto"/>
                <w:highlight w:val="none"/>
                <w:lang w:eastAsia="zh-CN"/>
              </w:rPr>
              <w:t>（780000元/年），超过最高限价的投标无效。</w:t>
            </w:r>
          </w:p>
          <w:p w14:paraId="184F133C">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14:paraId="1DD2F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02A23D">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6CD34A66">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1E6D196E">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06</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25</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3311C083">
            <w:pPr>
              <w:pStyle w:val="107"/>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w:t>
            </w:r>
            <w:r>
              <w:rPr>
                <w:rFonts w:hint="eastAsia" w:ascii="仿宋" w:hAnsi="仿宋" w:cs="仿宋"/>
                <w:color w:val="auto"/>
                <w:highlight w:val="none"/>
                <w:lang w:eastAsia="zh-CN"/>
              </w:rPr>
              <w:t>富小采平台</w:t>
            </w:r>
            <w:r>
              <w:rPr>
                <w:rFonts w:hint="eastAsia" w:ascii="仿宋" w:hAnsi="仿宋" w:eastAsia="仿宋" w:cs="仿宋"/>
                <w:color w:val="auto"/>
                <w:highlight w:val="none"/>
              </w:rPr>
              <w:t>(</w:t>
            </w:r>
            <w:r>
              <w:rPr>
                <w:rFonts w:hint="eastAsia" w:ascii="仿宋" w:hAnsi="仿宋" w:cs="仿宋"/>
                <w:color w:val="auto"/>
                <w:highlight w:val="none"/>
                <w:lang w:eastAsia="zh-CN"/>
              </w:rPr>
              <w:t>https://fuyang.lecaiyun.com/</w:t>
            </w:r>
            <w:r>
              <w:rPr>
                <w:rFonts w:hint="eastAsia" w:ascii="仿宋" w:hAnsi="仿宋" w:eastAsia="仿宋" w:cs="仿宋"/>
                <w:color w:val="auto"/>
                <w:highlight w:val="none"/>
              </w:rPr>
              <w:t>)；</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2F9D5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6B04B8">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284B08A3">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3056F830">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yellow"/>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06</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25</w:t>
            </w:r>
            <w:bookmarkStart w:id="5" w:name="_GoBack"/>
            <w:bookmarkEnd w:id="5"/>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08229858">
            <w:pPr>
              <w:pStyle w:val="107"/>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开标地点：华诚工程咨询集团有限公司（</w:t>
            </w:r>
            <w:r>
              <w:rPr>
                <w:rFonts w:hint="eastAsia" w:ascii="仿宋" w:hAnsi="仿宋" w:cs="Arial"/>
                <w:color w:val="auto"/>
                <w:szCs w:val="24"/>
                <w:highlight w:val="none"/>
                <w:lang w:eastAsia="zh-CN"/>
              </w:rPr>
              <w:t>杭州市富阳区恩波大道677号（金富春大厦3楼）</w:t>
            </w:r>
            <w:r>
              <w:rPr>
                <w:rFonts w:hint="eastAsia" w:ascii="仿宋" w:hAnsi="仿宋" w:cs="Arial"/>
                <w:color w:val="auto"/>
                <w:szCs w:val="24"/>
                <w:highlight w:val="none"/>
              </w:rPr>
              <w:t>）。</w:t>
            </w:r>
            <w:r>
              <w:rPr>
                <w:rFonts w:hint="eastAsia" w:ascii="仿宋" w:hAnsi="仿宋"/>
                <w:color w:val="auto"/>
                <w:szCs w:val="24"/>
                <w:highlight w:val="none"/>
                <w:lang w:eastAsia="zh-CN"/>
              </w:rPr>
              <w:t>富小采平台</w:t>
            </w:r>
            <w:r>
              <w:rPr>
                <w:rFonts w:hint="eastAsia" w:ascii="仿宋" w:hAnsi="仿宋"/>
                <w:color w:val="auto"/>
                <w:szCs w:val="24"/>
                <w:highlight w:val="none"/>
              </w:rPr>
              <w:t>(</w:t>
            </w:r>
            <w:r>
              <w:rPr>
                <w:rFonts w:hint="eastAsia" w:ascii="仿宋" w:hAnsi="仿宋"/>
                <w:color w:val="auto"/>
                <w:szCs w:val="24"/>
                <w:highlight w:val="none"/>
                <w:lang w:eastAsia="zh-CN"/>
              </w:rPr>
              <w:t>https://fuyang.lecaiyun.com/</w:t>
            </w:r>
            <w:r>
              <w:rPr>
                <w:rFonts w:hint="eastAsia" w:ascii="仿宋" w:hAnsi="仿宋"/>
                <w:color w:val="auto"/>
                <w:szCs w:val="24"/>
                <w:highlight w:val="none"/>
              </w:rPr>
              <w:t>)。</w:t>
            </w:r>
          </w:p>
        </w:tc>
      </w:tr>
      <w:tr w14:paraId="77FF5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9D69C40">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0750CF7B">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7543E249">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14:paraId="19FAAD37">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14:paraId="68C2F51B">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14:paraId="0670EBC1">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14:paraId="0C963E8C">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14:paraId="14235C52">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14:paraId="2B117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027254">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03729D84">
            <w:pPr>
              <w:pageBreakBefore w:val="0"/>
              <w:kinsoku/>
              <w:wordWrap w:val="0"/>
              <w:topLinePunct/>
              <w:bidi w:val="0"/>
              <w:spacing w:beforeAutospacing="0" w:afterAutospacing="0" w:line="440" w:lineRule="exact"/>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1C398AFC">
            <w:pPr>
              <w:pageBreakBefore w:val="0"/>
              <w:numPr>
                <w:ilvl w:val="0"/>
                <w:numId w:val="0"/>
              </w:numPr>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本项目不允许转包</w:t>
            </w:r>
          </w:p>
          <w:p w14:paraId="2DBCF930">
            <w:pPr>
              <w:pageBreakBefore w:val="0"/>
              <w:kinsoku/>
              <w:wordWrap w:val="0"/>
              <w:topLinePunct/>
              <w:bidi w:val="0"/>
              <w:snapToGrid w:val="0"/>
              <w:spacing w:beforeAutospacing="0" w:afterAutospacing="0" w:line="440" w:lineRule="exact"/>
              <w:ind w:left="480" w:hanging="480" w:hangingChars="200"/>
              <w:rPr>
                <w:rFonts w:hint="eastAsia" w:ascii="仿宋" w:hAnsi="仿宋" w:eastAsia="仿宋"/>
                <w:color w:val="auto"/>
                <w:szCs w:val="24"/>
                <w:highlight w:val="none"/>
                <w:lang w:val="en-US" w:eastAsia="zh-CN"/>
              </w:rPr>
            </w:pPr>
            <w:r>
              <w:rPr>
                <w:rFonts w:hint="eastAsia"/>
                <w:color w:val="auto"/>
                <w:highlight w:val="none"/>
              </w:rPr>
              <w:t>（2）</w:t>
            </w:r>
            <w:r>
              <w:rPr>
                <w:rFonts w:hint="eastAsia" w:ascii="宋体" w:hAnsi="宋体" w:cs="宋体"/>
                <w:color w:val="auto"/>
                <w:sz w:val="24"/>
                <w:highlight w:val="none"/>
                <w:lang w:val="en-US" w:eastAsia="zh-CN"/>
              </w:rPr>
              <w:t xml:space="preserve"> </w:t>
            </w: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sz w:val="24"/>
                <w:highlight w:val="none"/>
              </w:rPr>
              <w:t>不同意分包。</w:t>
            </w:r>
          </w:p>
        </w:tc>
      </w:tr>
      <w:tr w14:paraId="1E897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4D4AD1">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12A4D4F6">
            <w:pPr>
              <w:pageBreakBefore w:val="0"/>
              <w:kinsoku/>
              <w:wordWrap w:val="0"/>
              <w:topLinePunct/>
              <w:bidi w:val="0"/>
              <w:snapToGrid w:val="0"/>
              <w:spacing w:beforeAutospacing="0" w:afterAutospacing="0" w:line="440" w:lineRule="exact"/>
              <w:jc w:val="center"/>
              <w:rPr>
                <w:color w:val="auto"/>
                <w:highlight w:val="none"/>
              </w:rPr>
            </w:pPr>
            <w:r>
              <w:rPr>
                <w:rFonts w:hint="eastAsia"/>
                <w:b/>
                <w:bCs/>
                <w:color w:val="auto"/>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16D56E47">
            <w:pPr>
              <w:pageBreakBefore w:val="0"/>
              <w:numPr>
                <w:ilvl w:val="0"/>
                <w:numId w:val="0"/>
              </w:numPr>
              <w:kinsoku/>
              <w:wordWrap w:val="0"/>
              <w:topLinePunct/>
              <w:bidi w:val="0"/>
              <w:snapToGrid w:val="0"/>
              <w:spacing w:beforeAutospacing="0" w:afterAutospacing="0" w:line="440" w:lineRule="exact"/>
              <w:rPr>
                <w:color w:val="auto"/>
                <w:highlight w:val="none"/>
              </w:rPr>
            </w:pPr>
            <w:r>
              <w:rPr>
                <w:rFonts w:ascii="仿宋" w:hAnsi="仿宋" w:eastAsia="仿宋" w:cs="仿宋"/>
                <w:color w:val="auto"/>
                <w:kern w:val="3"/>
                <w:sz w:val="24"/>
                <w:szCs w:val="24"/>
                <w:highlight w:val="none"/>
                <w:lang w:val="en-US" w:eastAsia="zh-CN" w:bidi="ar-SA"/>
              </w:rPr>
              <w:t>（1）</w:t>
            </w:r>
            <w:r>
              <w:rPr>
                <w:rFonts w:hint="eastAsia"/>
                <w:color w:val="auto"/>
                <w:highlight w:val="none"/>
              </w:rPr>
              <w:t>开标前答疑会：不组织</w:t>
            </w:r>
          </w:p>
          <w:p w14:paraId="310FAB16">
            <w:pPr>
              <w:pageBreakBefore w:val="0"/>
              <w:numPr>
                <w:ilvl w:val="0"/>
                <w:numId w:val="0"/>
              </w:numPr>
              <w:kinsoku/>
              <w:wordWrap w:val="0"/>
              <w:topLinePunct/>
              <w:bidi w:val="0"/>
              <w:snapToGrid w:val="0"/>
              <w:spacing w:beforeAutospacing="0" w:afterAutospacing="0" w:line="440" w:lineRule="exact"/>
              <w:rPr>
                <w:color w:val="auto"/>
                <w:highlight w:val="none"/>
              </w:rPr>
            </w:pPr>
            <w:r>
              <w:rPr>
                <w:rFonts w:ascii="仿宋" w:hAnsi="仿宋" w:eastAsia="仿宋" w:cs="仿宋"/>
                <w:color w:val="auto"/>
                <w:kern w:val="3"/>
                <w:sz w:val="24"/>
                <w:szCs w:val="24"/>
                <w:highlight w:val="none"/>
                <w:lang w:val="en-US" w:eastAsia="zh-CN" w:bidi="ar-SA"/>
              </w:rPr>
              <w:t>（2）</w:t>
            </w:r>
            <w:r>
              <w:rPr>
                <w:rFonts w:hint="eastAsia"/>
                <w:color w:val="auto"/>
                <w:highlight w:val="none"/>
              </w:rPr>
              <w:t>现场踏勘：不统一组织，如需现场踏勘，请潜在投标人自行联系采购人进行踏勘。</w:t>
            </w:r>
          </w:p>
          <w:p w14:paraId="6E13F51A">
            <w:pPr>
              <w:pageBreakBefore w:val="0"/>
              <w:kinsoku/>
              <w:wordWrap w:val="0"/>
              <w:topLinePunct/>
              <w:bidi w:val="0"/>
              <w:snapToGrid w:val="0"/>
              <w:spacing w:beforeAutospacing="0" w:afterAutospacing="0" w:line="440" w:lineRule="exact"/>
              <w:rPr>
                <w:rFonts w:hint="default" w:eastAsia="仿宋" w:cs="Arial"/>
                <w:color w:val="auto"/>
                <w:highlight w:val="none"/>
                <w:lang w:val="en-US" w:eastAsia="zh-CN"/>
              </w:rPr>
            </w:pPr>
            <w:r>
              <w:rPr>
                <w:rFonts w:hint="eastAsia" w:cs="Arial"/>
                <w:color w:val="auto"/>
                <w:highlight w:val="none"/>
              </w:rPr>
              <w:t>采购人联系方式：联系人：</w:t>
            </w:r>
            <w:r>
              <w:rPr>
                <w:rFonts w:hint="eastAsia" w:cs="宋体"/>
                <w:bCs/>
                <w:color w:val="auto"/>
                <w:kern w:val="0"/>
                <w:sz w:val="24"/>
                <w:szCs w:val="24"/>
                <w:highlight w:val="none"/>
                <w:u w:val="single"/>
                <w:lang w:val="en-US" w:eastAsia="zh-CN"/>
              </w:rPr>
              <w:t xml:space="preserve"> 卢火强 </w:t>
            </w:r>
            <w:r>
              <w:rPr>
                <w:rFonts w:hint="eastAsia" w:cs="Arial"/>
                <w:color w:val="auto"/>
                <w:highlight w:val="none"/>
              </w:rPr>
              <w:t>联系电话：</w:t>
            </w:r>
            <w:r>
              <w:rPr>
                <w:rFonts w:hint="eastAsia"/>
                <w:color w:val="auto"/>
                <w:highlight w:val="none"/>
                <w:u w:val="single"/>
                <w:lang w:val="en-US" w:eastAsia="zh-CN"/>
              </w:rPr>
              <w:t xml:space="preserve"> 13735818618 </w:t>
            </w:r>
          </w:p>
        </w:tc>
      </w:tr>
      <w:tr w14:paraId="77562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CE02FF3">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0A527A60">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770A07A6">
            <w:pPr>
              <w:pageBreakBefore w:val="0"/>
              <w:kinsoku/>
              <w:wordWrap w:val="0"/>
              <w:topLinePunct/>
              <w:bidi w:val="0"/>
              <w:snapToGrid w:val="0"/>
              <w:spacing w:beforeAutospacing="0" w:afterAutospacing="0" w:line="440" w:lineRule="exact"/>
              <w:rPr>
                <w:rFonts w:cs="Arial"/>
                <w:color w:val="auto"/>
                <w:highlight w:val="none"/>
              </w:rPr>
            </w:pPr>
            <w:r>
              <w:rPr>
                <w:rFonts w:hint="eastAsia"/>
                <w:color w:val="auto"/>
                <w:highlight w:val="none"/>
                <w:lang w:eastAsia="zh-CN"/>
              </w:rPr>
              <w:t>综合评分法。具体详见</w:t>
            </w:r>
            <w:r>
              <w:rPr>
                <w:rFonts w:hint="eastAsia"/>
                <w:color w:val="auto"/>
                <w:highlight w:val="none"/>
              </w:rPr>
              <w:t>招标文件第三章评标办法及评分标准。</w:t>
            </w:r>
          </w:p>
        </w:tc>
      </w:tr>
      <w:tr w14:paraId="6F3FB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A767A1">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6E22F7AE">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1D3CB51B">
            <w:pPr>
              <w:spacing w:line="360" w:lineRule="auto"/>
              <w:rPr>
                <w:rFonts w:hint="eastAsia" w:eastAsia="仿宋"/>
                <w:color w:val="auto"/>
                <w:highlight w:val="none"/>
                <w:lang w:val="en-US" w:eastAsia="zh-CN"/>
              </w:rPr>
            </w:pPr>
            <w:r>
              <w:rPr>
                <w:rFonts w:hint="eastAsia"/>
                <w:color w:val="auto"/>
                <w:highlight w:val="none"/>
                <w:lang w:val="en-US" w:eastAsia="zh-CN"/>
              </w:rPr>
              <w:sym w:font="Wingdings 2" w:char="0052"/>
            </w:r>
            <w:r>
              <w:rPr>
                <w:rFonts w:hint="eastAsia"/>
                <w:color w:val="auto"/>
                <w:highlight w:val="none"/>
                <w:lang w:val="en-US" w:eastAsia="zh-CN"/>
              </w:rPr>
              <w:t xml:space="preserve"> A</w:t>
            </w:r>
            <w:r>
              <w:rPr>
                <w:rFonts w:hint="eastAsia" w:ascii="宋体" w:hAnsi="宋体" w:cs="宋体"/>
                <w:color w:val="auto"/>
                <w:sz w:val="24"/>
                <w:highlight w:val="none"/>
              </w:rPr>
              <w:t>不要求提供。</w:t>
            </w:r>
          </w:p>
        </w:tc>
      </w:tr>
      <w:tr w14:paraId="75D3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AC20D87">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4A3B9017">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0D8443A5">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val="en-US" w:eastAsia="zh-CN"/>
              </w:rPr>
            </w:pPr>
            <w:r>
              <w:rPr>
                <w:rFonts w:hint="eastAsia"/>
                <w:color w:val="auto"/>
                <w:highlight w:val="none"/>
                <w:lang w:val="en-US" w:eastAsia="zh-CN"/>
              </w:rPr>
              <w:sym w:font="Wingdings 2" w:char="0052"/>
            </w:r>
            <w:r>
              <w:rPr>
                <w:rFonts w:hint="eastAsia"/>
                <w:color w:val="auto"/>
                <w:highlight w:val="none"/>
                <w:lang w:val="en-US" w:eastAsia="zh-CN"/>
              </w:rPr>
              <w:t xml:space="preserve"> A不要求演示</w:t>
            </w:r>
          </w:p>
        </w:tc>
      </w:tr>
      <w:tr w14:paraId="08472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AF1B8FF">
            <w:pPr>
              <w:pageBreakBefore w:val="0"/>
              <w:kinsoku/>
              <w:wordWrap w:val="0"/>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656B5383">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0071EA6B">
            <w:pPr>
              <w:pageBreakBefore w:val="0"/>
              <w:kinsoku/>
              <w:wordWrap w:val="0"/>
              <w:topLinePunct/>
              <w:bidi w:val="0"/>
              <w:snapToGrid w:val="0"/>
              <w:spacing w:beforeAutospacing="0" w:afterAutospacing="0" w:line="440" w:lineRule="exact"/>
              <w:rPr>
                <w:rFonts w:hint="eastAsia" w:eastAsia="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14:paraId="6A712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6EA9DF9">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12</w:t>
            </w:r>
          </w:p>
        </w:tc>
        <w:tc>
          <w:tcPr>
            <w:tcW w:w="1640" w:type="dxa"/>
            <w:tcBorders>
              <w:top w:val="single" w:color="auto" w:sz="4" w:space="0"/>
              <w:left w:val="single" w:color="auto" w:sz="4" w:space="0"/>
              <w:bottom w:val="single" w:color="auto" w:sz="4" w:space="0"/>
              <w:right w:val="single" w:color="auto" w:sz="4" w:space="0"/>
            </w:tcBorders>
            <w:vAlign w:val="center"/>
          </w:tcPr>
          <w:p w14:paraId="086A55B4">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21646279">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评标结束后</w:t>
            </w:r>
            <w:r>
              <w:rPr>
                <w:rFonts w:hint="eastAsia"/>
                <w:color w:val="auto"/>
                <w:highlight w:val="none"/>
                <w:lang w:val="en-US" w:eastAsia="zh-CN"/>
              </w:rPr>
              <w:t>7</w:t>
            </w:r>
            <w:r>
              <w:rPr>
                <w:rFonts w:hint="eastAsia"/>
                <w:color w:val="auto"/>
                <w:highlight w:val="none"/>
              </w:rPr>
              <w:t>个工作日内发布</w:t>
            </w:r>
            <w:r>
              <w:rPr>
                <w:rFonts w:hint="eastAsia"/>
                <w:color w:val="auto"/>
                <w:highlight w:val="none"/>
                <w:lang w:val="en-US" w:eastAsia="zh-CN"/>
              </w:rPr>
              <w:t>中标、成交</w:t>
            </w:r>
            <w:r>
              <w:rPr>
                <w:rFonts w:hint="eastAsia"/>
                <w:color w:val="auto"/>
                <w:highlight w:val="none"/>
              </w:rPr>
              <w:t>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w:t>
            </w:r>
            <w:r>
              <w:rPr>
                <w:rFonts w:hint="eastAsia"/>
                <w:color w:val="auto"/>
                <w:highlight w:val="none"/>
              </w:rPr>
              <w:t>。</w:t>
            </w:r>
          </w:p>
        </w:tc>
      </w:tr>
      <w:tr w14:paraId="6A461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45E72A">
            <w:pPr>
              <w:pageBreakBefore w:val="0"/>
              <w:kinsoku/>
              <w:wordWrap w:val="0"/>
              <w:topLinePunct/>
              <w:bidi w:val="0"/>
              <w:spacing w:beforeAutospacing="0" w:afterAutospacing="0" w:line="440" w:lineRule="exact"/>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13</w:t>
            </w:r>
          </w:p>
        </w:tc>
        <w:tc>
          <w:tcPr>
            <w:tcW w:w="1640" w:type="dxa"/>
            <w:tcBorders>
              <w:top w:val="single" w:color="auto" w:sz="4" w:space="0"/>
              <w:left w:val="single" w:color="auto" w:sz="4" w:space="0"/>
              <w:bottom w:val="single" w:color="auto" w:sz="4" w:space="0"/>
              <w:right w:val="single" w:color="auto" w:sz="4" w:space="0"/>
            </w:tcBorders>
            <w:vAlign w:val="center"/>
          </w:tcPr>
          <w:p w14:paraId="769F2191">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335D510B">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p>
        </w:tc>
      </w:tr>
      <w:tr w14:paraId="151EC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1CB7EB5">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76D2463E">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794D4DF3">
            <w:pPr>
              <w:spacing w:line="360" w:lineRule="auto"/>
              <w:rPr>
                <w:rFonts w:ascii="宋体" w:hAnsi="宋体" w:cs="宋体"/>
                <w:color w:val="auto"/>
                <w:kern w:val="0"/>
                <w:sz w:val="24"/>
                <w:highlight w:val="none"/>
              </w:rPr>
            </w:pP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kern w:val="0"/>
                <w:sz w:val="24"/>
                <w:highlight w:val="none"/>
                <w:lang w:val="en-US" w:eastAsia="zh-CN"/>
              </w:rPr>
              <w:t>本项目需收取履约保证金</w:t>
            </w:r>
            <w:r>
              <w:rPr>
                <w:rFonts w:hint="eastAsia" w:ascii="宋体" w:hAnsi="宋体" w:cs="宋体"/>
                <w:color w:val="auto"/>
                <w:kern w:val="0"/>
                <w:sz w:val="24"/>
                <w:highlight w:val="none"/>
              </w:rPr>
              <w:t>，</w:t>
            </w:r>
          </w:p>
          <w:p w14:paraId="5ACDD3E3">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rPr>
              <w:t>（1）采购货物和服务项目鼓励采购单位免收履约保证金，确需收取履约保证金的，采购人收取不超过采购合同总金额1%作为履约保证金。履约期（验收合格）结束后5个工作日内，采购人无息退付履约保证金。</w:t>
            </w:r>
          </w:p>
          <w:p w14:paraId="40653973">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14:paraId="28573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AF4D41">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15</w:t>
            </w:r>
          </w:p>
        </w:tc>
        <w:tc>
          <w:tcPr>
            <w:tcW w:w="1640" w:type="dxa"/>
            <w:tcBorders>
              <w:top w:val="single" w:color="auto" w:sz="4" w:space="0"/>
              <w:left w:val="single" w:color="auto" w:sz="4" w:space="0"/>
              <w:bottom w:val="single" w:color="auto" w:sz="4" w:space="0"/>
              <w:right w:val="single" w:color="auto" w:sz="4" w:space="0"/>
            </w:tcBorders>
            <w:vAlign w:val="center"/>
          </w:tcPr>
          <w:p w14:paraId="666A9405">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3C9F0981">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本项目不需要交纳投标保证金。</w:t>
            </w:r>
          </w:p>
        </w:tc>
      </w:tr>
      <w:tr w14:paraId="6022B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62EEB6">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5623FAFB">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7F64A74D">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14:paraId="098E7DAB">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tc>
      </w:tr>
      <w:tr w14:paraId="65104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6773924">
            <w:pPr>
              <w:pageBreakBefore w:val="0"/>
              <w:kinsoku/>
              <w:wordWrap w:val="0"/>
              <w:topLinePunct/>
              <w:bidi w:val="0"/>
              <w:spacing w:beforeAutospacing="0" w:afterAutospacing="0" w:line="440" w:lineRule="exact"/>
              <w:jc w:val="center"/>
              <w:rPr>
                <w:rFonts w:hint="default" w:eastAsia="仿宋"/>
                <w:b/>
                <w:bCs/>
                <w:color w:val="auto"/>
                <w:highlight w:val="none"/>
                <w:lang w:val="en-US" w:eastAsia="zh-CN"/>
              </w:rPr>
            </w:pPr>
            <w:r>
              <w:rPr>
                <w:rFonts w:hint="eastAsia"/>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616EC9E7">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D7D8434">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本项目实行电子投标。电子投标文件，按</w:t>
            </w:r>
            <w:r>
              <w:rPr>
                <w:rFonts w:hint="eastAsia"/>
                <w:color w:val="auto"/>
                <w:highlight w:val="none"/>
                <w:lang w:eastAsia="zh-CN"/>
              </w:rPr>
              <w:t>富小采平台</w:t>
            </w:r>
            <w:r>
              <w:rPr>
                <w:rFonts w:hint="eastAsia"/>
                <w:color w:val="auto"/>
                <w:highlight w:val="none"/>
              </w:rPr>
              <w:t>项目采购-电子招投标操作指南及本招标文件要求递交。投标文件均由资格文件、商务及技术文件、报价文件组成。</w:t>
            </w:r>
          </w:p>
          <w:p w14:paraId="5D813E75">
            <w:pPr>
              <w:pageBreakBefore w:val="0"/>
              <w:kinsoku/>
              <w:wordWrap w:val="0"/>
              <w:topLinePunct/>
              <w:bidi w:val="0"/>
              <w:snapToGrid w:val="0"/>
              <w:spacing w:beforeAutospacing="0" w:afterAutospacing="0" w:line="440" w:lineRule="exact"/>
              <w:rPr>
                <w:b/>
                <w:bCs/>
                <w:color w:val="auto"/>
                <w:highlight w:val="none"/>
              </w:rPr>
            </w:pPr>
            <w:r>
              <w:rPr>
                <w:rFonts w:hint="eastAsia"/>
                <w:b/>
                <w:bCs/>
                <w:color w:val="auto"/>
                <w:highlight w:val="none"/>
              </w:rPr>
              <w:t>▲投标人须按时自行解密，规定时间内解密失败的，投标无效。</w:t>
            </w:r>
          </w:p>
          <w:p w14:paraId="1E5FA7D1">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14:paraId="61E0396E">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w:t>
            </w:r>
            <w:r>
              <w:rPr>
                <w:rFonts w:hint="eastAsia" w:cs="仿宋"/>
                <w:b w:val="0"/>
                <w:bCs w:val="0"/>
                <w:color w:val="auto"/>
                <w:sz w:val="24"/>
                <w:szCs w:val="24"/>
                <w:highlight w:val="none"/>
                <w:lang w:eastAsia="zh-CN"/>
              </w:rPr>
              <w:t>“富小采”平台（https://fuyang.lecaiyun.com/）</w:t>
            </w:r>
            <w:r>
              <w:rPr>
                <w:rFonts w:hint="eastAsia" w:ascii="仿宋" w:hAnsi="仿宋" w:eastAsia="仿宋" w:cs="仿宋"/>
                <w:b w:val="0"/>
                <w:bCs w:val="0"/>
                <w:color w:val="auto"/>
                <w:sz w:val="24"/>
                <w:szCs w:val="24"/>
                <w:highlight w:val="none"/>
              </w:rPr>
              <w:t>”进行招投标活动，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w:t>
            </w:r>
            <w:r>
              <w:rPr>
                <w:rFonts w:hint="eastAsia" w:cs="仿宋"/>
                <w:b w:val="0"/>
                <w:bCs w:val="0"/>
                <w:color w:val="auto"/>
                <w:sz w:val="24"/>
                <w:szCs w:val="24"/>
                <w:highlight w:val="none"/>
                <w:lang w:eastAsia="zh-CN"/>
              </w:rPr>
              <w:t>富小采平台</w:t>
            </w:r>
            <w:r>
              <w:rPr>
                <w:rFonts w:hint="eastAsia" w:ascii="仿宋" w:hAnsi="仿宋" w:eastAsia="仿宋" w:cs="仿宋"/>
                <w:b w:val="0"/>
                <w:bCs w:val="0"/>
                <w:color w:val="auto"/>
                <w:sz w:val="24"/>
                <w:szCs w:val="24"/>
                <w:highlight w:val="none"/>
              </w:rPr>
              <w:t>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5FAA1431">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104C03EC">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4AD12BF5">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3F753EF3">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2AF53C03">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6BF39827">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w:t>
            </w:r>
            <w:r>
              <w:rPr>
                <w:rFonts w:hint="eastAsia" w:cs="仿宋"/>
                <w:color w:val="auto"/>
                <w:sz w:val="24"/>
                <w:szCs w:val="24"/>
                <w:highlight w:val="none"/>
                <w:lang w:eastAsia="zh-CN"/>
              </w:rPr>
              <w:t>富小采</w:t>
            </w:r>
            <w:r>
              <w:rPr>
                <w:rFonts w:hint="eastAsia" w:ascii="仿宋" w:hAnsi="仿宋" w:eastAsia="仿宋" w:cs="仿宋"/>
                <w:color w:val="auto"/>
                <w:sz w:val="24"/>
                <w:szCs w:val="24"/>
                <w:highlight w:val="none"/>
                <w:lang w:eastAsia="zh-CN"/>
              </w:rPr>
              <w:t>电子交易客户端”----投标人通过</w:t>
            </w:r>
            <w:r>
              <w:rPr>
                <w:rFonts w:hint="eastAsia" w:cs="仿宋"/>
                <w:color w:val="auto"/>
                <w:sz w:val="24"/>
                <w:szCs w:val="24"/>
                <w:highlight w:val="none"/>
                <w:lang w:eastAsia="zh-CN"/>
              </w:rPr>
              <w:t>富小采平台</w:t>
            </w:r>
            <w:r>
              <w:rPr>
                <w:rFonts w:hint="eastAsia" w:ascii="仿宋" w:hAnsi="仿宋" w:eastAsia="仿宋" w:cs="仿宋"/>
                <w:color w:val="auto"/>
                <w:sz w:val="24"/>
                <w:szCs w:val="24"/>
                <w:highlight w:val="none"/>
                <w:lang w:eastAsia="zh-CN"/>
              </w:rPr>
              <w:t>电子投标工具制作投标文件，前往“浙江政府采购网-下载专区-电子交易客户端”进行下载并安装。</w:t>
            </w:r>
            <w:r>
              <w:rPr>
                <w:rFonts w:hint="eastAsia" w:cs="仿宋"/>
                <w:color w:val="auto"/>
                <w:sz w:val="24"/>
                <w:szCs w:val="24"/>
                <w:highlight w:val="none"/>
                <w:lang w:val="en-US" w:eastAsia="zh-CN"/>
              </w:rPr>
              <w:t>富小采</w:t>
            </w:r>
            <w:r>
              <w:rPr>
                <w:rFonts w:hint="default" w:ascii="仿宋" w:hAnsi="仿宋" w:eastAsia="仿宋" w:cs="仿宋"/>
                <w:color w:val="auto"/>
                <w:sz w:val="24"/>
                <w:szCs w:val="24"/>
                <w:highlight w:val="none"/>
                <w:lang w:val="en-US" w:eastAsia="zh-CN"/>
              </w:rPr>
              <w:t>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14:paraId="5289B02B">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w:t>
            </w:r>
            <w:r>
              <w:rPr>
                <w:rFonts w:hint="eastAsia" w:cs="仿宋"/>
                <w:b w:val="0"/>
                <w:bCs w:val="0"/>
                <w:color w:val="auto"/>
                <w:sz w:val="24"/>
                <w:szCs w:val="24"/>
                <w:highlight w:val="none"/>
                <w:lang w:eastAsia="zh-CN"/>
              </w:rPr>
              <w:t>富小采平台</w:t>
            </w:r>
            <w:r>
              <w:rPr>
                <w:rFonts w:hint="eastAsia" w:ascii="仿宋" w:hAnsi="仿宋" w:eastAsia="仿宋" w:cs="仿宋"/>
                <w:b w:val="0"/>
                <w:bCs w:val="0"/>
                <w:color w:val="auto"/>
                <w:sz w:val="24"/>
                <w:szCs w:val="24"/>
                <w:highlight w:val="none"/>
              </w:rPr>
              <w:t>；进入“项目采购”应用，在获取采购文件菜单中选择项目，获取招标文件。</w:t>
            </w:r>
          </w:p>
          <w:p w14:paraId="617F2B71">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w:t>
            </w:r>
            <w:r>
              <w:rPr>
                <w:rFonts w:hint="eastAsia" w:cs="仿宋"/>
                <w:b w:val="0"/>
                <w:bCs w:val="0"/>
                <w:color w:val="auto"/>
                <w:sz w:val="24"/>
                <w:szCs w:val="24"/>
                <w:highlight w:val="none"/>
                <w:lang w:eastAsia="zh-CN"/>
              </w:rPr>
              <w:t>富小采</w:t>
            </w:r>
            <w:r>
              <w:rPr>
                <w:rFonts w:hint="eastAsia" w:ascii="仿宋" w:hAnsi="仿宋" w:eastAsia="仿宋" w:cs="仿宋"/>
                <w:b w:val="0"/>
                <w:bCs w:val="0"/>
                <w:color w:val="auto"/>
                <w:sz w:val="24"/>
                <w:szCs w:val="24"/>
                <w:highlight w:val="none"/>
              </w:rPr>
              <w:t>电子交易客户端”中完成“填写基本信息”、“导入投标文件”、“标书关联”、“标书检查”、“电子签名”、“生成电子标书”等操作。</w:t>
            </w:r>
          </w:p>
          <w:p w14:paraId="1ED4C0AD">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w:t>
            </w:r>
            <w:r>
              <w:rPr>
                <w:rFonts w:hint="eastAsia" w:cs="仿宋"/>
                <w:b w:val="0"/>
                <w:bCs w:val="0"/>
                <w:color w:val="auto"/>
                <w:sz w:val="24"/>
                <w:szCs w:val="24"/>
                <w:highlight w:val="none"/>
                <w:lang w:eastAsia="zh-CN"/>
              </w:rPr>
              <w:t>“富小采”平台</w:t>
            </w:r>
            <w:r>
              <w:rPr>
                <w:rFonts w:hint="eastAsia" w:ascii="仿宋" w:hAnsi="仿宋" w:eastAsia="仿宋" w:cs="仿宋"/>
                <w:b w:val="0"/>
                <w:bCs w:val="0"/>
                <w:color w:val="auto"/>
                <w:sz w:val="24"/>
                <w:szCs w:val="24"/>
                <w:highlight w:val="none"/>
              </w:rPr>
              <w:t>。</w:t>
            </w:r>
          </w:p>
          <w:p w14:paraId="4FF4996E">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34B8D455">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w:t>
            </w:r>
            <w:r>
              <w:rPr>
                <w:rFonts w:hint="eastAsia" w:cs="仿宋"/>
                <w:b w:val="0"/>
                <w:bCs w:val="0"/>
                <w:color w:val="auto"/>
                <w:sz w:val="24"/>
                <w:szCs w:val="24"/>
                <w:highlight w:val="none"/>
                <w:lang w:eastAsia="zh-CN"/>
              </w:rPr>
              <w:t>富小采平台</w:t>
            </w:r>
            <w:r>
              <w:rPr>
                <w:rFonts w:hint="eastAsia" w:ascii="仿宋" w:hAnsi="仿宋" w:eastAsia="仿宋" w:cs="仿宋"/>
                <w:b w:val="0"/>
                <w:bCs w:val="0"/>
                <w:color w:val="auto"/>
                <w:sz w:val="24"/>
                <w:szCs w:val="24"/>
                <w:highlight w:val="none"/>
              </w:rPr>
              <w:t>“服务中心-帮助文档-项目采购-操作流程-电子招投标-</w:t>
            </w:r>
            <w:r>
              <w:rPr>
                <w:rFonts w:hint="eastAsia" w:cs="仿宋"/>
                <w:b w:val="0"/>
                <w:bCs w:val="0"/>
                <w:color w:val="auto"/>
                <w:sz w:val="24"/>
                <w:szCs w:val="24"/>
                <w:highlight w:val="none"/>
                <w:lang w:val="en-US" w:eastAsia="zh-CN"/>
              </w:rPr>
              <w:t>小额</w:t>
            </w:r>
            <w:r>
              <w:rPr>
                <w:rFonts w:hint="eastAsia" w:ascii="仿宋" w:hAnsi="仿宋" w:eastAsia="仿宋" w:cs="仿宋"/>
                <w:b w:val="0"/>
                <w:bCs w:val="0"/>
                <w:color w:val="auto"/>
                <w:sz w:val="24"/>
                <w:szCs w:val="24"/>
                <w:highlight w:val="none"/>
              </w:rPr>
              <w:t>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798A424C">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w:t>
            </w:r>
            <w:r>
              <w:rPr>
                <w:rFonts w:hint="eastAsia" w:cs="仿宋"/>
                <w:b w:val="0"/>
                <w:bCs w:val="0"/>
                <w:color w:val="auto"/>
                <w:sz w:val="24"/>
                <w:szCs w:val="24"/>
                <w:highlight w:val="none"/>
                <w:lang w:eastAsia="zh-CN"/>
              </w:rPr>
              <w:t>富小采平台</w:t>
            </w:r>
            <w:r>
              <w:rPr>
                <w:rFonts w:hint="eastAsia" w:ascii="仿宋" w:hAnsi="仿宋" w:eastAsia="仿宋" w:cs="仿宋"/>
                <w:b w:val="0"/>
                <w:bCs w:val="0"/>
                <w:color w:val="auto"/>
                <w:sz w:val="24"/>
                <w:szCs w:val="24"/>
                <w:highlight w:val="none"/>
              </w:rPr>
              <w:t>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38C17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004A21">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6F703196">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1EA81160">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7D8472DD">
            <w:pPr>
              <w:pageBreakBefore w:val="0"/>
              <w:kinsoku/>
              <w:wordWrap w:val="0"/>
              <w:topLinePunct/>
              <w:bidi w:val="0"/>
              <w:snapToGrid w:val="0"/>
              <w:spacing w:beforeAutospacing="0" w:afterAutospacing="0" w:line="440" w:lineRule="exact"/>
              <w:jc w:val="center"/>
              <w:rPr>
                <w:rFonts w:hint="eastAsia"/>
                <w:color w:val="auto"/>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6E2E3BC2">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5263DFF9">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w:t>
            </w:r>
            <w:r>
              <w:rPr>
                <w:rFonts w:hint="eastAsia" w:ascii="仿宋" w:hAnsi="仿宋" w:cs="仿宋"/>
                <w:b w:val="0"/>
                <w:bCs/>
                <w:i w:val="0"/>
                <w:iCs w:val="0"/>
                <w:color w:val="auto"/>
                <w:sz w:val="24"/>
                <w:szCs w:val="24"/>
                <w:highlight w:val="none"/>
                <w:u w:val="none"/>
                <w:shd w:val="clear" w:color="auto" w:fill="auto"/>
                <w:lang w:val="en-US" w:eastAsia="zh-CN"/>
              </w:rPr>
              <w:t>富小采</w:t>
            </w:r>
            <w:r>
              <w:rPr>
                <w:rFonts w:hint="eastAsia" w:ascii="仿宋" w:hAnsi="仿宋" w:eastAsia="仿宋" w:cs="仿宋"/>
                <w:b w:val="0"/>
                <w:bCs/>
                <w:i w:val="0"/>
                <w:iCs w:val="0"/>
                <w:color w:val="auto"/>
                <w:sz w:val="24"/>
                <w:szCs w:val="24"/>
                <w:highlight w:val="none"/>
                <w:u w:val="none"/>
                <w:shd w:val="clear" w:color="auto" w:fill="auto"/>
                <w:lang w:val="en-US" w:eastAsia="zh-CN"/>
              </w:rPr>
              <w:t>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5F891516">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14:paraId="296E8D8F">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5D135CCB">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color w:val="auto"/>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14:paraId="2A0039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olor w:val="auto"/>
                <w:highlight w:val="none"/>
              </w:rPr>
            </w:pPr>
            <w:r>
              <w:rPr>
                <w:rFonts w:hint="eastAsia"/>
                <w:color w:val="auto"/>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14:paraId="744C9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92D688A">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245BCD8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5286F78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14:paraId="7F7E92A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14:paraId="2BC9C99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14:paraId="6156CED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14:paraId="3C70F49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14:paraId="01E5736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14:paraId="6980097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14:paraId="0EA4E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7EFA97">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20</w:t>
            </w:r>
          </w:p>
        </w:tc>
        <w:tc>
          <w:tcPr>
            <w:tcW w:w="1640" w:type="dxa"/>
            <w:tcBorders>
              <w:top w:val="single" w:color="auto" w:sz="4" w:space="0"/>
              <w:left w:val="single" w:color="auto" w:sz="4" w:space="0"/>
              <w:right w:val="single" w:color="auto" w:sz="4" w:space="0"/>
            </w:tcBorders>
            <w:vAlign w:val="center"/>
          </w:tcPr>
          <w:p w14:paraId="452ED8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6FA0FC1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供应商在采购活动中违反采购相关规定给采购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14:paraId="204DF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6C8E1500">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val="0"/>
                <w:bCs/>
                <w:color w:val="auto"/>
                <w:szCs w:val="24"/>
                <w:highlight w:val="none"/>
                <w:lang w:val="en-US" w:eastAsia="zh-CN"/>
              </w:rPr>
              <w:t>21</w:t>
            </w:r>
          </w:p>
        </w:tc>
        <w:tc>
          <w:tcPr>
            <w:tcW w:w="1640" w:type="dxa"/>
            <w:vMerge w:val="restart"/>
            <w:tcBorders>
              <w:top w:val="single" w:color="auto" w:sz="4" w:space="0"/>
              <w:left w:val="single" w:color="auto" w:sz="4" w:space="0"/>
              <w:right w:val="single" w:color="auto" w:sz="4" w:space="0"/>
            </w:tcBorders>
            <w:vAlign w:val="center"/>
          </w:tcPr>
          <w:p w14:paraId="10B57CFB">
            <w:pPr>
              <w:spacing w:line="240" w:lineRule="auto"/>
              <w:ind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05BB42A4">
            <w:pPr>
              <w:spacing w:line="240" w:lineRule="auto"/>
              <w:ind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宋体" w:hAnsi="宋体" w:cs="宋体"/>
                <w:snapToGrid w:val="0"/>
                <w:color w:val="auto"/>
                <w:kern w:val="28"/>
                <w:highlight w:val="none"/>
              </w:rPr>
              <w:t>评审因素对应的要求视为采购需求的一部分。</w:t>
            </w:r>
          </w:p>
        </w:tc>
      </w:tr>
      <w:tr w14:paraId="042BC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51149A23">
            <w:pPr>
              <w:spacing w:line="240" w:lineRule="auto"/>
              <w:ind w:firstLine="0" w:firstLineChars="0"/>
              <w:jc w:val="center"/>
              <w:rPr>
                <w:rFonts w:hint="eastAsia" w:cs="仿宋"/>
                <w:b w:val="0"/>
                <w:bCs/>
                <w:color w:val="auto"/>
                <w:szCs w:val="24"/>
                <w:highlight w:val="none"/>
                <w:lang w:val="en-US" w:eastAsia="zh-CN"/>
              </w:rPr>
            </w:pPr>
          </w:p>
        </w:tc>
        <w:tc>
          <w:tcPr>
            <w:tcW w:w="1640" w:type="dxa"/>
            <w:vMerge w:val="continue"/>
            <w:tcBorders>
              <w:left w:val="single" w:color="auto" w:sz="4" w:space="0"/>
              <w:right w:val="single" w:color="auto" w:sz="4" w:space="0"/>
            </w:tcBorders>
            <w:vAlign w:val="center"/>
          </w:tcPr>
          <w:p w14:paraId="2F4BFBE0">
            <w:pPr>
              <w:spacing w:line="240" w:lineRule="auto"/>
              <w:ind w:firstLine="0" w:firstLineChars="0"/>
              <w:jc w:val="center"/>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0C18513A">
            <w:pPr>
              <w:spacing w:line="240" w:lineRule="auto"/>
              <w:ind w:firstLine="0" w:firstLineChars="0"/>
              <w:jc w:val="both"/>
              <w:rPr>
                <w:rFonts w:hint="default" w:ascii="宋体" w:hAnsi="宋体" w:eastAsia="仿宋" w:cs="宋体"/>
                <w:snapToGrid w:val="0"/>
                <w:color w:val="auto"/>
                <w:kern w:val="28"/>
                <w:highlight w:val="none"/>
                <w:lang w:val="en-US" w:eastAsia="zh-CN"/>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14:paraId="2F89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F99855">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5316D540">
            <w:pPr>
              <w:pageBreakBefore w:val="0"/>
              <w:kinsoku/>
              <w:wordWrap w:val="0"/>
              <w:topLinePunct/>
              <w:bidi w:val="0"/>
              <w:snapToGrid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0A86BEF1">
            <w:pPr>
              <w:pageBreakBefore w:val="0"/>
              <w:kinsoku/>
              <w:bidi w:val="0"/>
              <w:spacing w:beforeAutospacing="0" w:afterAutospacing="0" w:line="440" w:lineRule="exact"/>
              <w:rPr>
                <w:color w:val="auto"/>
                <w:highlight w:val="none"/>
                <w:lang w:val="zh-CN"/>
              </w:rPr>
            </w:pPr>
            <w:r>
              <w:rPr>
                <w:rFonts w:hint="eastAsia"/>
                <w:color w:val="auto"/>
                <w:highlight w:val="none"/>
                <w:lang w:eastAsia="zh-CN"/>
              </w:rPr>
              <w:t>本项目采购代理费由中标人支付，收费以下表</w:t>
            </w:r>
            <w:r>
              <w:rPr>
                <w:rFonts w:hint="eastAsia"/>
                <w:color w:val="auto"/>
                <w:highlight w:val="none"/>
                <w:lang w:val="en-US" w:eastAsia="zh-CN"/>
              </w:rPr>
              <w:t>*65%</w:t>
            </w:r>
            <w:r>
              <w:rPr>
                <w:rFonts w:hint="eastAsia"/>
                <w:color w:val="auto"/>
                <w:highlight w:val="none"/>
                <w:lang w:eastAsia="zh-CN"/>
              </w:rPr>
              <w:t>为准计取，计费基数为本项目</w:t>
            </w:r>
            <w:r>
              <w:rPr>
                <w:rFonts w:hint="eastAsia"/>
                <w:color w:val="auto"/>
                <w:highlight w:val="none"/>
                <w:u w:val="single"/>
                <w:lang w:val="en-US" w:eastAsia="zh-CN"/>
              </w:rPr>
              <w:t>中标价</w:t>
            </w:r>
            <w:r>
              <w:rPr>
                <w:rFonts w:hint="eastAsia"/>
                <w:color w:val="auto"/>
                <w:highlight w:val="none"/>
                <w:u w:val="none"/>
                <w:lang w:val="en-US" w:eastAsia="zh-CN"/>
              </w:rPr>
              <w:t>，</w:t>
            </w:r>
            <w:r>
              <w:rPr>
                <w:rFonts w:hint="eastAsia"/>
                <w:color w:val="auto"/>
                <w:highlight w:val="none"/>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01AA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45B850B2">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服务类型、费率</w:t>
                  </w:r>
                </w:p>
                <w:p w14:paraId="37353D33">
                  <w:pPr>
                    <w:topLinePunct/>
                    <w:adjustRightInd w:val="0"/>
                    <w:spacing w:line="440" w:lineRule="exact"/>
                    <w:jc w:val="center"/>
                    <w:rPr>
                      <w:rFonts w:cs="宋体"/>
                      <w:b/>
                      <w:color w:val="auto"/>
                      <w:szCs w:val="21"/>
                      <w:highlight w:val="none"/>
                    </w:rPr>
                  </w:pPr>
                  <w:r>
                    <w:rPr>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cs="宋体"/>
                      <w:b/>
                      <w:color w:val="auto"/>
                      <w:szCs w:val="21"/>
                      <w:highlight w:val="none"/>
                    </w:rPr>
                    <w:t>金额（万元）</w:t>
                  </w:r>
                </w:p>
              </w:tc>
              <w:tc>
                <w:tcPr>
                  <w:tcW w:w="1424" w:type="dxa"/>
                  <w:vAlign w:val="center"/>
                </w:tcPr>
                <w:p w14:paraId="1B79AB02">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货物</w:t>
                  </w:r>
                </w:p>
              </w:tc>
              <w:tc>
                <w:tcPr>
                  <w:tcW w:w="1280" w:type="dxa"/>
                  <w:vAlign w:val="center"/>
                </w:tcPr>
                <w:p w14:paraId="5E531A48">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服务</w:t>
                  </w:r>
                </w:p>
              </w:tc>
              <w:tc>
                <w:tcPr>
                  <w:tcW w:w="1458" w:type="dxa"/>
                  <w:vAlign w:val="center"/>
                </w:tcPr>
                <w:p w14:paraId="0C5CEF6A">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工程</w:t>
                  </w:r>
                </w:p>
              </w:tc>
            </w:tr>
            <w:tr w14:paraId="50AA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F846F21">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100以下</w:t>
                  </w:r>
                </w:p>
              </w:tc>
              <w:tc>
                <w:tcPr>
                  <w:tcW w:w="1424" w:type="dxa"/>
                  <w:vAlign w:val="center"/>
                </w:tcPr>
                <w:p w14:paraId="7D9EE317">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1.5%</w:t>
                  </w:r>
                </w:p>
              </w:tc>
              <w:tc>
                <w:tcPr>
                  <w:tcW w:w="1280" w:type="dxa"/>
                  <w:vAlign w:val="center"/>
                </w:tcPr>
                <w:p w14:paraId="4D5E1C38">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1.5%</w:t>
                  </w:r>
                </w:p>
              </w:tc>
              <w:tc>
                <w:tcPr>
                  <w:tcW w:w="1458" w:type="dxa"/>
                  <w:vAlign w:val="center"/>
                </w:tcPr>
                <w:p w14:paraId="5665002B">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1.0%</w:t>
                  </w:r>
                </w:p>
              </w:tc>
            </w:tr>
            <w:tr w14:paraId="1D69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08B312B">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100万元-500万元</w:t>
                  </w:r>
                </w:p>
              </w:tc>
              <w:tc>
                <w:tcPr>
                  <w:tcW w:w="1424" w:type="dxa"/>
                  <w:vAlign w:val="center"/>
                </w:tcPr>
                <w:p w14:paraId="7126C660">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1.1%</w:t>
                  </w:r>
                </w:p>
              </w:tc>
              <w:tc>
                <w:tcPr>
                  <w:tcW w:w="1280" w:type="dxa"/>
                  <w:vAlign w:val="center"/>
                </w:tcPr>
                <w:p w14:paraId="4676578B">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0.8%</w:t>
                  </w:r>
                </w:p>
              </w:tc>
              <w:tc>
                <w:tcPr>
                  <w:tcW w:w="1458" w:type="dxa"/>
                  <w:vAlign w:val="center"/>
                </w:tcPr>
                <w:p w14:paraId="031C0211">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0.7%</w:t>
                  </w:r>
                </w:p>
              </w:tc>
            </w:tr>
            <w:tr w14:paraId="0C86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33148F5">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500万元-1000万元</w:t>
                  </w:r>
                </w:p>
              </w:tc>
              <w:tc>
                <w:tcPr>
                  <w:tcW w:w="1424" w:type="dxa"/>
                  <w:vAlign w:val="center"/>
                </w:tcPr>
                <w:p w14:paraId="1C54A3C5">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0.8%</w:t>
                  </w:r>
                </w:p>
              </w:tc>
              <w:tc>
                <w:tcPr>
                  <w:tcW w:w="1280" w:type="dxa"/>
                  <w:vAlign w:val="center"/>
                </w:tcPr>
                <w:p w14:paraId="3FB5CCF9">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0.45%</w:t>
                  </w:r>
                </w:p>
              </w:tc>
              <w:tc>
                <w:tcPr>
                  <w:tcW w:w="1458" w:type="dxa"/>
                  <w:vAlign w:val="center"/>
                </w:tcPr>
                <w:p w14:paraId="32F131A5">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0.55%</w:t>
                  </w:r>
                </w:p>
              </w:tc>
            </w:tr>
            <w:tr w14:paraId="4B11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0E6AADB">
                  <w:pPr>
                    <w:pStyle w:val="934"/>
                    <w:topLinePunct/>
                    <w:adjustRightInd w:val="0"/>
                    <w:spacing w:beforeLines="0" w:afterLines="0" w:line="440" w:lineRule="exact"/>
                    <w:ind w:firstLine="0" w:firstLineChars="0"/>
                    <w:jc w:val="center"/>
                    <w:rPr>
                      <w:rFonts w:cs="宋体"/>
                      <w:b/>
                      <w:color w:val="auto"/>
                      <w:szCs w:val="21"/>
                      <w:highlight w:val="none"/>
                    </w:rPr>
                  </w:pPr>
                  <w:r>
                    <w:rPr>
                      <w:rFonts w:hint="eastAsia" w:cs="宋体"/>
                      <w:b/>
                      <w:color w:val="auto"/>
                      <w:szCs w:val="21"/>
                      <w:highlight w:val="none"/>
                    </w:rPr>
                    <w:t>1000万元-5000万元</w:t>
                  </w:r>
                </w:p>
              </w:tc>
              <w:tc>
                <w:tcPr>
                  <w:tcW w:w="1424" w:type="dxa"/>
                  <w:vAlign w:val="center"/>
                </w:tcPr>
                <w:p w14:paraId="3AC0F02D">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0.5%</w:t>
                  </w:r>
                </w:p>
              </w:tc>
              <w:tc>
                <w:tcPr>
                  <w:tcW w:w="1280" w:type="dxa"/>
                  <w:vAlign w:val="center"/>
                </w:tcPr>
                <w:p w14:paraId="4E15DD08">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0.25%</w:t>
                  </w:r>
                </w:p>
              </w:tc>
              <w:tc>
                <w:tcPr>
                  <w:tcW w:w="1458" w:type="dxa"/>
                  <w:vAlign w:val="center"/>
                </w:tcPr>
                <w:p w14:paraId="6E28F3ED">
                  <w:pPr>
                    <w:pStyle w:val="934"/>
                    <w:topLinePunct/>
                    <w:adjustRightInd w:val="0"/>
                    <w:spacing w:beforeLines="0" w:afterLines="0" w:line="440" w:lineRule="exact"/>
                    <w:ind w:firstLine="0" w:firstLineChars="0"/>
                    <w:jc w:val="center"/>
                    <w:rPr>
                      <w:rFonts w:cs="宋体"/>
                      <w:b/>
                      <w:color w:val="auto"/>
                      <w:szCs w:val="21"/>
                      <w:highlight w:val="none"/>
                    </w:rPr>
                  </w:pPr>
                  <w:r>
                    <w:rPr>
                      <w:rFonts w:cs="宋体"/>
                      <w:b/>
                      <w:color w:val="auto"/>
                      <w:szCs w:val="21"/>
                      <w:highlight w:val="none"/>
                    </w:rPr>
                    <w:t>0.35%</w:t>
                  </w:r>
                </w:p>
              </w:tc>
            </w:tr>
          </w:tbl>
          <w:p w14:paraId="3CEB3244">
            <w:pPr>
              <w:pStyle w:val="48"/>
              <w:rPr>
                <w:rFonts w:hint="eastAsia"/>
                <w:color w:val="auto"/>
                <w:highlight w:val="none"/>
              </w:rPr>
            </w:pPr>
            <w:r>
              <w:rPr>
                <w:rFonts w:hint="eastAsia"/>
                <w:color w:val="auto"/>
                <w:highlight w:val="none"/>
              </w:rPr>
              <w:t>注：</w:t>
            </w:r>
            <w:r>
              <w:rPr>
                <w:rFonts w:hint="eastAsia"/>
                <w:b w:val="0"/>
                <w:bCs w:val="0"/>
                <w:color w:val="auto"/>
                <w:highlight w:val="none"/>
              </w:rPr>
              <w:t>招标代理服务收</w:t>
            </w:r>
            <w:r>
              <w:rPr>
                <w:rFonts w:hint="eastAsia"/>
                <w:color w:val="auto"/>
                <w:highlight w:val="none"/>
              </w:rPr>
              <w:t>费按差额定率累进法计算。</w:t>
            </w:r>
          </w:p>
          <w:p w14:paraId="7C8CBB5D">
            <w:pPr>
              <w:pStyle w:val="49"/>
              <w:ind w:left="0" w:leftChars="0" w:firstLine="0" w:firstLineChars="0"/>
              <w:jc w:val="left"/>
              <w:rPr>
                <w:rFonts w:hint="eastAsia" w:ascii="宋体" w:hAnsi="Courier New" w:eastAsia="仿宋" w:cs="仿宋"/>
                <w:b/>
                <w:bCs/>
                <w:color w:val="auto"/>
                <w:kern w:val="3"/>
                <w:sz w:val="24"/>
                <w:szCs w:val="24"/>
                <w:highlight w:val="none"/>
                <w:lang w:val="en-US" w:eastAsia="zh-CN" w:bidi="ar-SA"/>
              </w:rPr>
            </w:pPr>
            <w:r>
              <w:rPr>
                <w:rFonts w:hint="eastAsia" w:ascii="宋体" w:hAnsi="Courier New" w:eastAsia="仿宋" w:cs="仿宋"/>
                <w:b/>
                <w:bCs/>
                <w:color w:val="auto"/>
                <w:kern w:val="3"/>
                <w:sz w:val="24"/>
                <w:szCs w:val="24"/>
                <w:highlight w:val="none"/>
                <w:lang w:val="en-US" w:eastAsia="zh-CN" w:bidi="ar-SA"/>
              </w:rPr>
              <w:t>汇款信息：</w:t>
            </w:r>
          </w:p>
          <w:p w14:paraId="1AC60F46">
            <w:pPr>
              <w:rPr>
                <w:rFonts w:hint="eastAsia"/>
                <w:color w:val="auto"/>
                <w:highlight w:val="none"/>
                <w:lang w:eastAsia="zh-CN"/>
              </w:rPr>
            </w:pPr>
            <w:r>
              <w:rPr>
                <w:rFonts w:hint="eastAsia"/>
                <w:b/>
                <w:bCs/>
                <w:color w:val="auto"/>
                <w:highlight w:val="none"/>
                <w:lang w:eastAsia="zh-CN"/>
              </w:rPr>
              <w:t>单位全称</w:t>
            </w:r>
            <w:r>
              <w:rPr>
                <w:rFonts w:hint="eastAsia"/>
                <w:color w:val="auto"/>
                <w:highlight w:val="none"/>
                <w:lang w:eastAsia="zh-CN"/>
              </w:rPr>
              <w:t>：华诚工程咨询集团有限公司富阳分公司</w:t>
            </w:r>
          </w:p>
          <w:p w14:paraId="757C230A">
            <w:pPr>
              <w:rPr>
                <w:rFonts w:hint="eastAsia"/>
                <w:color w:val="auto"/>
                <w:highlight w:val="none"/>
                <w:lang w:eastAsia="zh-CN"/>
              </w:rPr>
            </w:pPr>
            <w:r>
              <w:rPr>
                <w:rFonts w:hint="eastAsia"/>
                <w:b/>
                <w:bCs/>
                <w:color w:val="auto"/>
                <w:highlight w:val="none"/>
                <w:lang w:eastAsia="zh-CN"/>
              </w:rPr>
              <w:t>开户行及账号</w:t>
            </w:r>
            <w:r>
              <w:rPr>
                <w:rFonts w:hint="eastAsia"/>
                <w:color w:val="auto"/>
                <w:highlight w:val="none"/>
                <w:lang w:eastAsia="zh-CN"/>
              </w:rPr>
              <w:t>：杭州银行富阳支行 8733 8100 246325</w:t>
            </w:r>
          </w:p>
        </w:tc>
      </w:tr>
    </w:tbl>
    <w:p w14:paraId="65A5068D">
      <w:pPr>
        <w:pStyle w:val="5"/>
        <w:keepNext w:val="0"/>
        <w:keepLines w:val="0"/>
        <w:pageBreakBefore w:val="0"/>
        <w:kinsoku/>
        <w:wordWrap w:val="0"/>
        <w:topLinePunct/>
        <w:bidi w:val="0"/>
        <w:spacing w:before="0" w:beforeAutospacing="0" w:after="0" w:afterAutospacing="0" w:line="440" w:lineRule="exact"/>
        <w:ind w:left="0" w:firstLine="0"/>
        <w:jc w:val="both"/>
        <w:rPr>
          <w:color w:val="auto"/>
          <w:highlight w:val="none"/>
        </w:rPr>
      </w:pPr>
      <w:r>
        <w:rPr>
          <w:color w:val="auto"/>
          <w:sz w:val="30"/>
          <w:szCs w:val="30"/>
          <w:highlight w:val="none"/>
        </w:rPr>
        <w:br w:type="page"/>
      </w:r>
      <w:r>
        <w:rPr>
          <w:rFonts w:hint="eastAsia"/>
          <w:color w:val="auto"/>
          <w:sz w:val="30"/>
          <w:szCs w:val="30"/>
          <w:highlight w:val="none"/>
          <w:lang w:val="en-US" w:eastAsia="zh-CN"/>
        </w:rPr>
        <w:t xml:space="preserve">  </w:t>
      </w:r>
      <w:r>
        <w:rPr>
          <w:rStyle w:val="249"/>
          <w:rFonts w:hint="eastAsia"/>
          <w:b/>
          <w:bCs/>
          <w:color w:val="auto"/>
          <w:highlight w:val="none"/>
        </w:rPr>
        <w:t>一、总则</w:t>
      </w:r>
    </w:p>
    <w:p w14:paraId="07777CB6">
      <w:pPr>
        <w:pageBreakBefore w:val="0"/>
        <w:kinsoku/>
        <w:wordWrap w:val="0"/>
        <w:topLinePunct/>
        <w:bidi w:val="0"/>
        <w:spacing w:beforeAutospacing="0" w:afterAutospacing="0" w:line="440" w:lineRule="exact"/>
        <w:ind w:firstLine="482" w:firstLineChars="200"/>
        <w:jc w:val="both"/>
        <w:rPr>
          <w:b/>
          <w:bCs/>
          <w:color w:val="auto"/>
          <w:highlight w:val="none"/>
        </w:rPr>
      </w:pPr>
      <w:r>
        <w:rPr>
          <w:rFonts w:hint="eastAsia"/>
          <w:b/>
          <w:bCs/>
          <w:color w:val="auto"/>
          <w:highlight w:val="none"/>
        </w:rPr>
        <w:t>（一）适用范围</w:t>
      </w:r>
    </w:p>
    <w:p w14:paraId="63B455E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14:paraId="44E75B73">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（二）定义</w:t>
      </w:r>
    </w:p>
    <w:p w14:paraId="651E9376">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1.“采购人”系指按采购有关规定，</w:t>
      </w:r>
      <w:r>
        <w:rPr>
          <w:rFonts w:hint="eastAsia"/>
          <w:color w:val="auto"/>
          <w:highlight w:val="none"/>
          <w:lang w:eastAsia="zh-CN"/>
        </w:rPr>
        <w:t>委托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杭州市富阳区新登镇塔山村股份经济合作社</w:t>
      </w:r>
      <w:r>
        <w:rPr>
          <w:rFonts w:hint="eastAsia"/>
          <w:color w:val="auto"/>
          <w:highlight w:val="none"/>
        </w:rPr>
        <w:t>。</w:t>
      </w:r>
    </w:p>
    <w:p w14:paraId="32F10807">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2.</w:t>
      </w:r>
      <w:r>
        <w:rPr>
          <w:rFonts w:hint="eastAsia"/>
          <w:color w:val="auto"/>
          <w:highlight w:val="none"/>
        </w:rPr>
        <w:t>“采购代理机构”系指</w:t>
      </w:r>
      <w:r>
        <w:rPr>
          <w:rFonts w:hint="eastAsia"/>
          <w:color w:val="auto"/>
          <w:highlight w:val="none"/>
          <w:lang w:eastAsia="zh-CN"/>
        </w:rPr>
        <w:t>华诚工程咨询集团有限公司</w:t>
      </w:r>
      <w:r>
        <w:rPr>
          <w:rFonts w:hint="eastAsia"/>
          <w:color w:val="auto"/>
          <w:highlight w:val="none"/>
        </w:rPr>
        <w:t>。</w:t>
      </w:r>
    </w:p>
    <w:p w14:paraId="33CFB6C3">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3</w:t>
      </w:r>
      <w:r>
        <w:rPr>
          <w:rFonts w:hint="eastAsia"/>
          <w:color w:val="auto"/>
          <w:highlight w:val="none"/>
        </w:rPr>
        <w:t>.“投标人”系指</w:t>
      </w:r>
      <w:r>
        <w:rPr>
          <w:rFonts w:hint="eastAsia" w:ascii="仿宋" w:hAnsi="仿宋" w:eastAsia="仿宋"/>
          <w:color w:val="auto"/>
          <w:sz w:val="24"/>
          <w:highlight w:val="none"/>
        </w:rPr>
        <w:t>响应招标、参加投标竞争的法人、其他组织或者自然人。</w:t>
      </w:r>
    </w:p>
    <w:p w14:paraId="276E12F0">
      <w:pPr>
        <w:pageBreakBefore w:val="0"/>
        <w:kinsoku/>
        <w:bidi w:val="0"/>
        <w:spacing w:beforeAutospacing="0" w:afterAutospacing="0" w:line="440" w:lineRule="exact"/>
        <w:ind w:firstLine="480" w:firstLineChars="200"/>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0BFFB827">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5</w:t>
      </w:r>
      <w:r>
        <w:rPr>
          <w:rFonts w:hint="eastAsia"/>
          <w:color w:val="auto"/>
          <w:highlight w:val="none"/>
        </w:rPr>
        <w:t>.“产品”系指供方按招标文件规定，须向采购人提供的一切货物、材料、设备、保险、税金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529B7FAD">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14:paraId="52F0ABFF">
      <w:pPr>
        <w:pageBreakBefore w:val="0"/>
        <w:kinsoku/>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lang w:val="en-US" w:eastAsia="zh-CN"/>
        </w:rPr>
        <w:t>7</w:t>
      </w:r>
      <w:r>
        <w:rPr>
          <w:rFonts w:hint="eastAsia"/>
          <w:color w:val="auto"/>
          <w:highlight w:val="none"/>
        </w:rPr>
        <w:t>.“项目”系指投标人按招标文件规定向采购人提供的产品和服务</w:t>
      </w:r>
      <w:r>
        <w:rPr>
          <w:rFonts w:hint="eastAsia"/>
          <w:color w:val="auto"/>
          <w:highlight w:val="none"/>
          <w:lang w:eastAsia="zh-CN"/>
        </w:rPr>
        <w:t>。</w:t>
      </w:r>
    </w:p>
    <w:p w14:paraId="1909EA41">
      <w:pPr>
        <w:numPr>
          <w:ilvl w:val="0"/>
          <w:numId w:val="0"/>
        </w:numPr>
        <w:tabs>
          <w:tab w:val="left" w:pos="0"/>
        </w:tabs>
        <w:ind w:firstLine="480" w:firstLineChars="200"/>
        <w:rPr>
          <w:rFonts w:hint="eastAsia" w:ascii="仿宋" w:hAnsi="仿宋" w:cs="仿宋"/>
          <w:color w:val="auto"/>
          <w:szCs w:val="24"/>
          <w:highlight w:val="none"/>
        </w:rPr>
      </w:pPr>
      <w:r>
        <w:rPr>
          <w:rFonts w:hint="eastAsia"/>
          <w:color w:val="auto"/>
          <w:sz w:val="24"/>
          <w:highlight w:val="none"/>
          <w:lang w:val="en-US" w:eastAsia="zh-CN"/>
        </w:rPr>
        <w:t>8.</w:t>
      </w:r>
      <w:r>
        <w:rPr>
          <w:rFonts w:hint="eastAsia" w:ascii="仿宋" w:hAnsi="仿宋" w:cs="仿宋"/>
          <w:color w:val="auto"/>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2F04923F">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9.“电子交易平台”是指本项目采购活动所依托的“富小采”平台（https://fuyang.lecaiyun.com/）。</w:t>
      </w:r>
    </w:p>
    <w:p w14:paraId="61367AB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color w:val="auto"/>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14:paraId="3B70899D">
      <w:pPr>
        <w:pageBreakBefore w:val="0"/>
        <w:kinsoku/>
        <w:wordWrap w:val="0"/>
        <w:topLinePunct/>
        <w:bidi w:val="0"/>
        <w:spacing w:beforeAutospacing="0" w:afterAutospacing="0" w:line="440" w:lineRule="exact"/>
        <w:ind w:firstLine="482" w:firstLineChars="200"/>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14:paraId="6A36B757">
      <w:pPr>
        <w:pageBreakBefore w:val="0"/>
        <w:kinsoku/>
        <w:wordWrap w:val="0"/>
        <w:topLinePunct/>
        <w:bidi w:val="0"/>
        <w:spacing w:beforeAutospacing="0" w:afterAutospacing="0" w:line="440" w:lineRule="exact"/>
        <w:ind w:firstLine="482" w:firstLineChars="200"/>
        <w:rPr>
          <w:rFonts w:hint="eastAsia"/>
          <w:b/>
          <w:bCs/>
          <w:color w:val="auto"/>
          <w:highlight w:val="none"/>
        </w:rPr>
      </w:pPr>
      <w:r>
        <w:rPr>
          <w:rFonts w:hint="eastAsia"/>
          <w:b/>
          <w:bCs/>
          <w:color w:val="auto"/>
          <w:highlight w:val="none"/>
        </w:rPr>
        <w:t>投标人可由法定代表人或其委托人进行投标，投标时须提供有效证明文件。</w:t>
      </w:r>
    </w:p>
    <w:p w14:paraId="4ED69451">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14:paraId="3E18619D">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（四）投标费用</w:t>
      </w:r>
    </w:p>
    <w:p w14:paraId="353F16FC">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无论投标过程和结果如何，投标人均应自行承担所有与投标有关的全部费用。</w:t>
      </w:r>
    </w:p>
    <w:p w14:paraId="559F0DC1">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（五）特别说明</w:t>
      </w:r>
    </w:p>
    <w:p w14:paraId="727692AD">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14:paraId="3734DB71">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2.价格是评标的重要因素之一，但最低报价不是中标的唯一依据。</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不得进行影响产品质量或者诚信履约的恶意报价。</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在项目评审前准备好报价核算、报价明细、报价说明等材料，以备</w:t>
      </w:r>
      <w:r>
        <w:rPr>
          <w:rFonts w:hint="eastAsia" w:ascii="仿宋" w:hAnsi="仿宋" w:cs="仿宋"/>
          <w:color w:val="auto"/>
          <w:szCs w:val="24"/>
          <w:highlight w:val="none"/>
          <w:lang w:eastAsia="zh-CN"/>
        </w:rPr>
        <w:t>评标委员会</w:t>
      </w:r>
      <w:r>
        <w:rPr>
          <w:rFonts w:hint="eastAsia" w:ascii="仿宋" w:hAnsi="仿宋" w:cs="仿宋"/>
          <w:color w:val="auto"/>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7A1C9B9D">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14:paraId="16EE0C34">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14:paraId="5F5561C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45275D6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采购代理机构将视情况确定是否有必要在开标前对招标文件进行澄清，如有必要，将通过</w:t>
      </w:r>
      <w:r>
        <w:rPr>
          <w:rFonts w:hint="eastAsia"/>
          <w:color w:val="auto"/>
          <w:highlight w:val="none"/>
          <w:lang w:eastAsia="zh-CN"/>
        </w:rPr>
        <w:t>富小采平台以公告形式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14:paraId="0735FE9F">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（二）招标文件的修改</w:t>
      </w:r>
    </w:p>
    <w:p w14:paraId="2321BAD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w:t>
      </w:r>
      <w:r>
        <w:rPr>
          <w:rFonts w:hint="eastAsia"/>
          <w:color w:val="auto"/>
          <w:highlight w:val="none"/>
          <w:lang w:eastAsia="zh-CN"/>
        </w:rPr>
        <w:t>富小采平台</w:t>
      </w:r>
      <w:r>
        <w:rPr>
          <w:rFonts w:hint="eastAsia"/>
          <w:color w:val="auto"/>
          <w:highlight w:val="none"/>
        </w:rPr>
        <w:t>通知所有获取招标文件的潜在投标人。</w:t>
      </w:r>
    </w:p>
    <w:p w14:paraId="1024C06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14:paraId="5AF740A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w:t>
      </w:r>
      <w:r>
        <w:rPr>
          <w:rFonts w:hint="eastAsia"/>
          <w:color w:val="auto"/>
          <w:highlight w:val="none"/>
          <w:lang w:eastAsia="zh-CN"/>
        </w:rPr>
        <w:t>富小采平台</w:t>
      </w:r>
      <w:r>
        <w:rPr>
          <w:rFonts w:hint="eastAsia"/>
          <w:color w:val="auto"/>
          <w:highlight w:val="none"/>
        </w:rPr>
        <w:t>通知所有获取招标文件的潜在投标人。</w:t>
      </w:r>
    </w:p>
    <w:p w14:paraId="3E93419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 更正公告的内容将作为招标文件的组成部分，对所有投标人均具有约束力。</w:t>
      </w:r>
    </w:p>
    <w:p w14:paraId="29FEA076">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▲投标文件未按招标文件的最终澄清、修改的内容进行编制的，</w:t>
      </w:r>
      <w:r>
        <w:rPr>
          <w:rFonts w:hint="eastAsia"/>
          <w:b/>
          <w:bCs/>
          <w:color w:val="auto"/>
          <w:highlight w:val="none"/>
          <w:lang w:eastAsia="zh-CN"/>
        </w:rPr>
        <w:t>又不符合实质性要求的，</w:t>
      </w:r>
      <w:r>
        <w:rPr>
          <w:rFonts w:hint="eastAsia"/>
          <w:b/>
          <w:bCs/>
          <w:color w:val="auto"/>
          <w:highlight w:val="none"/>
        </w:rPr>
        <w:t>投标无效。</w:t>
      </w:r>
    </w:p>
    <w:p w14:paraId="4BED91D7">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三、投标文件</w:t>
      </w:r>
    </w:p>
    <w:p w14:paraId="0BE1247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3DEF7E59">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投标人进行电子投标应安装客户端软件—“</w:t>
      </w:r>
      <w:r>
        <w:rPr>
          <w:rFonts w:hint="eastAsia"/>
          <w:color w:val="auto"/>
          <w:highlight w:val="none"/>
          <w:lang w:eastAsia="zh-CN"/>
        </w:rPr>
        <w:t>富小采</w:t>
      </w:r>
      <w:r>
        <w:rPr>
          <w:rFonts w:hint="eastAsia"/>
          <w:color w:val="auto"/>
          <w:highlight w:val="none"/>
        </w:rPr>
        <w:t>电子交易客户端”，并按照招标文件和电子交易平台的要求编制并加密投标文件。</w:t>
      </w:r>
      <w:r>
        <w:rPr>
          <w:rFonts w:hint="eastAsia"/>
          <w:b/>
          <w:bCs/>
          <w:color w:val="auto"/>
          <w:highlight w:val="none"/>
        </w:rPr>
        <w:t>投标人未按规定加密的投标文件，电子交易平台将拒收并提示。</w:t>
      </w:r>
    </w:p>
    <w:p w14:paraId="5650DE2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使用“</w:t>
      </w:r>
      <w:r>
        <w:rPr>
          <w:rFonts w:hint="eastAsia"/>
          <w:color w:val="auto"/>
          <w:highlight w:val="none"/>
          <w:lang w:eastAsia="zh-CN"/>
        </w:rPr>
        <w:t>富小采</w:t>
      </w:r>
      <w:r>
        <w:rPr>
          <w:rFonts w:hint="eastAsia"/>
          <w:color w:val="auto"/>
          <w:highlight w:val="none"/>
        </w:rPr>
        <w:t>电子交易客户端”需要提前申领CA数字证书，申领流程请自行前往“浙江政府采购网-下载专区-电子交易客户端-CA驱动和申领流程”进行查阅。</w:t>
      </w:r>
    </w:p>
    <w:p w14:paraId="3AD1F69F">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14:paraId="00BDA4B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4EFFC7F4">
      <w:pPr>
        <w:pageBreakBefore w:val="0"/>
        <w:kinsoku/>
        <w:wordWrap w:val="0"/>
        <w:topLinePunct/>
        <w:bidi w:val="0"/>
        <w:spacing w:beforeAutospacing="0" w:afterAutospacing="0" w:line="440" w:lineRule="exa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14:paraId="504859A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14:paraId="2348326E">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（二）投标文件的组成</w:t>
      </w:r>
    </w:p>
    <w:p w14:paraId="541723C7">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投标文件为电子投标文件。电子投标文件，按“</w:t>
      </w:r>
      <w:r>
        <w:rPr>
          <w:rFonts w:hint="eastAsia"/>
          <w:b/>
          <w:bCs/>
          <w:color w:val="auto"/>
          <w:highlight w:val="none"/>
          <w:lang w:eastAsia="zh-CN"/>
        </w:rPr>
        <w:t>富小采</w:t>
      </w:r>
      <w:r>
        <w:rPr>
          <w:rFonts w:hint="eastAsia"/>
          <w:b/>
          <w:bCs/>
          <w:color w:val="auto"/>
          <w:highlight w:val="none"/>
        </w:rPr>
        <w:t>供应商项目采购-电子招投标操作指南”及本招标文件要求制作、加密并递交。电子投标文件由资格文件、商务及技术文件和报价文件组成。</w:t>
      </w:r>
    </w:p>
    <w:p w14:paraId="255EC259">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14:paraId="0E37455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0941A151">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符合参加采购活动应当具备的一般条件的承诺函（格式见附件）</w:t>
      </w:r>
      <w:r>
        <w:rPr>
          <w:rFonts w:hint="eastAsia"/>
          <w:color w:val="auto"/>
          <w:highlight w:val="none"/>
          <w:lang w:eastAsia="zh-CN"/>
        </w:rPr>
        <w:t>；</w:t>
      </w:r>
    </w:p>
    <w:p w14:paraId="55CF9DB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）符合特定资格条件（如果项目要求）的有关证明材料（复印件）。</w:t>
      </w:r>
    </w:p>
    <w:p w14:paraId="3A5ACC4A">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6731EC8B">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14:paraId="6924773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21FA7229">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5018147D">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32B732AC">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5AADED20">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采购供应商廉洁自律承诺书 （格式见附件）；</w:t>
      </w:r>
    </w:p>
    <w:p w14:paraId="72E64C0B">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14:paraId="653DA62B">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14:paraId="7D420D1C">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7</w:t>
      </w:r>
      <w:r>
        <w:rPr>
          <w:rFonts w:hint="eastAsia"/>
          <w:bCs/>
          <w:color w:val="auto"/>
          <w:highlight w:val="none"/>
        </w:rPr>
        <w:t>）投标人认为有必要提供的其他资信文件或说明。</w:t>
      </w:r>
    </w:p>
    <w:p w14:paraId="5138FF45">
      <w:pPr>
        <w:pageBreakBefore w:val="0"/>
        <w:kinsoku/>
        <w:wordWrap w:val="0"/>
        <w:topLinePunct/>
        <w:bidi w:val="0"/>
        <w:spacing w:beforeAutospacing="0" w:afterAutospacing="0" w:line="440" w:lineRule="exact"/>
        <w:ind w:firstLine="482" w:firstLineChars="200"/>
        <w:rPr>
          <w:rFonts w:hint="eastAsia" w:eastAsia="仿宋"/>
          <w:b/>
          <w:bCs/>
          <w:i/>
          <w:iCs/>
          <w:color w:val="auto"/>
          <w:highlight w:val="none"/>
          <w:lang w:eastAsia="zh-CN"/>
        </w:rPr>
      </w:pPr>
      <w:r>
        <w:rPr>
          <w:rFonts w:hint="eastAsia"/>
          <w:b/>
          <w:bCs/>
          <w:i/>
          <w:iCs/>
          <w:color w:val="auto"/>
          <w:highlight w:val="none"/>
          <w:lang w:eastAsia="zh-CN"/>
        </w:rPr>
        <w:t>（以下内容按项目评标内容提供）</w:t>
      </w:r>
    </w:p>
    <w:p w14:paraId="0271E5C8">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lang w:val="en-US" w:eastAsia="zh-CN"/>
        </w:rPr>
        <w:t>（8）物业管理服务理念、组织架构及管理制度</w:t>
      </w:r>
      <w:r>
        <w:rPr>
          <w:rFonts w:hint="eastAsia"/>
          <w:bCs/>
          <w:color w:val="auto"/>
          <w:highlight w:val="none"/>
        </w:rPr>
        <w:t>；</w:t>
      </w:r>
    </w:p>
    <w:p w14:paraId="56752B29">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lang w:val="en-US" w:eastAsia="zh-CN"/>
        </w:rPr>
        <w:t>（9）组织实施方案；</w:t>
      </w:r>
    </w:p>
    <w:p w14:paraId="23E89D70">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lang w:val="en-US" w:eastAsia="zh-CN"/>
        </w:rPr>
        <w:t>（10）安全方案与应急措施；</w:t>
      </w:r>
    </w:p>
    <w:p w14:paraId="3E194D6F">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11</w:t>
      </w:r>
      <w:r>
        <w:rPr>
          <w:rFonts w:hint="eastAsia"/>
          <w:bCs/>
          <w:color w:val="auto"/>
          <w:highlight w:val="none"/>
          <w:lang w:eastAsia="zh-CN"/>
        </w:rPr>
        <w:t>）</w:t>
      </w:r>
      <w:r>
        <w:rPr>
          <w:rFonts w:hint="eastAsia"/>
          <w:bCs/>
          <w:color w:val="auto"/>
          <w:highlight w:val="none"/>
        </w:rPr>
        <w:t>项目实施人员（主要从业人员及其技术资格）一览表(格式见附件)；</w:t>
      </w:r>
    </w:p>
    <w:p w14:paraId="6F192A7E">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lang w:val="en-US" w:eastAsia="zh-CN"/>
        </w:rPr>
        <w:t>（12）荣誉；</w:t>
      </w:r>
    </w:p>
    <w:p w14:paraId="45E7EBC1">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13</w:t>
      </w:r>
      <w:r>
        <w:rPr>
          <w:rFonts w:hint="eastAsia"/>
          <w:bCs/>
          <w:color w:val="auto"/>
          <w:highlight w:val="none"/>
        </w:rPr>
        <w:t>）商务技术偏离表(格式见附件)；</w:t>
      </w:r>
    </w:p>
    <w:p w14:paraId="4ACFC703">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（1</w:t>
      </w:r>
      <w:r>
        <w:rPr>
          <w:rFonts w:hint="eastAsia"/>
          <w:bCs/>
          <w:color w:val="auto"/>
          <w:highlight w:val="none"/>
          <w:lang w:val="en-US" w:eastAsia="zh-CN"/>
        </w:rPr>
        <w:t>4</w:t>
      </w:r>
      <w:r>
        <w:rPr>
          <w:rFonts w:hint="eastAsia"/>
          <w:bCs/>
          <w:color w:val="auto"/>
          <w:highlight w:val="none"/>
        </w:rPr>
        <w:t>）投标人同类项目实施业绩一览表(格式见附件)；</w:t>
      </w:r>
    </w:p>
    <w:p w14:paraId="1AD908B7">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（1</w:t>
      </w:r>
      <w:r>
        <w:rPr>
          <w:rFonts w:hint="eastAsia"/>
          <w:bCs/>
          <w:color w:val="auto"/>
          <w:highlight w:val="none"/>
          <w:lang w:val="en-US" w:eastAsia="zh-CN"/>
        </w:rPr>
        <w:t>5</w:t>
      </w:r>
      <w:r>
        <w:rPr>
          <w:rFonts w:hint="eastAsia"/>
          <w:bCs/>
          <w:color w:val="auto"/>
          <w:highlight w:val="none"/>
        </w:rPr>
        <w:t>）投标人认为有必要提供的其他文件和说明（格式自拟）。</w:t>
      </w:r>
    </w:p>
    <w:p w14:paraId="1B6715BD">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14:paraId="22D1654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6115E89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14:paraId="4AA3A0F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）投标人针对报价需要说明的其他文件和资料（格式自拟）。</w:t>
      </w:r>
    </w:p>
    <w:p w14:paraId="26A4E7C9">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14:paraId="2970666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组成投标文件的各项资料均应遵守本条：</w:t>
      </w:r>
    </w:p>
    <w:p w14:paraId="61299E0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1.投标文件的</w:t>
      </w:r>
      <w:r>
        <w:rPr>
          <w:rFonts w:hint="eastAsia"/>
          <w:color w:val="auto"/>
          <w:highlight w:val="none"/>
          <w:lang w:eastAsia="zh-CN"/>
        </w:rPr>
        <w:t>编制</w:t>
      </w:r>
      <w:r>
        <w:rPr>
          <w:rFonts w:hint="eastAsia"/>
          <w:color w:val="auto"/>
          <w:highlight w:val="none"/>
        </w:rPr>
        <w:t>：</w:t>
      </w:r>
    </w:p>
    <w:p w14:paraId="68D13D9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w:t>
      </w:r>
      <w:r>
        <w:rPr>
          <w:rFonts w:hint="eastAsia" w:cs="仿宋"/>
          <w:color w:val="auto"/>
          <w:kern w:val="0"/>
          <w:sz w:val="24"/>
          <w:szCs w:val="22"/>
          <w:highlight w:val="none"/>
          <w:lang w:eastAsia="zh-CN"/>
        </w:rPr>
        <w:t>富小采</w:t>
      </w:r>
      <w:r>
        <w:rPr>
          <w:rFonts w:hint="eastAsia" w:ascii="仿宋" w:hAnsi="仿宋" w:eastAsia="仿宋" w:cs="仿宋"/>
          <w:color w:val="auto"/>
          <w:kern w:val="0"/>
          <w:sz w:val="24"/>
          <w:szCs w:val="22"/>
          <w:highlight w:val="none"/>
        </w:rPr>
        <w:t>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14:paraId="61B30D1D">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14:paraId="032DD55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10980538">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w:t>
      </w:r>
      <w:r>
        <w:rPr>
          <w:rFonts w:hint="eastAsia" w:cs="仿宋"/>
          <w:color w:val="auto"/>
          <w:kern w:val="0"/>
          <w:sz w:val="24"/>
          <w:szCs w:val="22"/>
          <w:highlight w:val="none"/>
          <w:lang w:eastAsia="zh-CN"/>
        </w:rPr>
        <w:t>“富小采”平台</w:t>
      </w:r>
      <w:r>
        <w:rPr>
          <w:rFonts w:hint="eastAsia" w:ascii="仿宋" w:hAnsi="仿宋" w:eastAsia="仿宋" w:cs="仿宋"/>
          <w:color w:val="auto"/>
          <w:kern w:val="0"/>
          <w:sz w:val="24"/>
          <w:szCs w:val="22"/>
          <w:highlight w:val="none"/>
        </w:rPr>
        <w:t>”的身份认证，确保在电子投标过程中能够对相关数据电文进行加密和使用电子签名。</w:t>
      </w:r>
    </w:p>
    <w:p w14:paraId="1665BD00">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5A5DB788">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7E4CFB64">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1E60F9E5">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0DEC3136">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58BAC67F">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757AD571">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w:t>
      </w:r>
      <w:r>
        <w:rPr>
          <w:rFonts w:hint="eastAsia"/>
          <w:b/>
          <w:bCs/>
          <w:color w:val="auto"/>
          <w:highlight w:val="none"/>
          <w:lang w:eastAsia="zh-CN"/>
        </w:rPr>
        <w:t>富小采</w:t>
      </w:r>
      <w:r>
        <w:rPr>
          <w:rFonts w:hint="eastAsia"/>
          <w:b/>
          <w:bCs/>
          <w:color w:val="auto"/>
          <w:highlight w:val="none"/>
        </w:rPr>
        <w:t>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23864501">
      <w:pPr>
        <w:pStyle w:val="6"/>
        <w:ind w:firstLine="482"/>
        <w:rPr>
          <w:rFonts w:hint="eastAsia" w:ascii="仿宋" w:hAnsi="仿宋" w:cs="仿宋"/>
          <w:color w:val="auto"/>
          <w:szCs w:val="24"/>
          <w:highlight w:val="none"/>
        </w:rPr>
      </w:pPr>
      <w:r>
        <w:rPr>
          <w:rFonts w:hint="eastAsia"/>
          <w:color w:val="auto"/>
          <w:sz w:val="24"/>
          <w:szCs w:val="24"/>
          <w:highlight w:val="none"/>
        </w:rPr>
        <w:t>（五）</w:t>
      </w:r>
      <w:r>
        <w:rPr>
          <w:rFonts w:hint="eastAsia" w:ascii="仿宋" w:hAnsi="仿宋" w:cs="仿宋"/>
          <w:color w:val="auto"/>
          <w:szCs w:val="24"/>
          <w:highlight w:val="none"/>
        </w:rPr>
        <w:t>投标文件的递交</w:t>
      </w:r>
    </w:p>
    <w:p w14:paraId="5AC11B42">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14:paraId="3B866A11">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A37753A">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69FBE116">
      <w:pPr>
        <w:pStyle w:val="477"/>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14:paraId="27321F46">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7609D6DB">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w:t>
      </w:r>
      <w:r>
        <w:rPr>
          <w:rFonts w:hint="eastAsia"/>
          <w:color w:val="auto"/>
          <w:highlight w:val="none"/>
          <w:lang w:eastAsia="zh-CN"/>
        </w:rPr>
        <w:t>富小采平台</w:t>
      </w:r>
      <w:r>
        <w:rPr>
          <w:rFonts w:hint="eastAsia"/>
          <w:color w:val="auto"/>
          <w:highlight w:val="none"/>
        </w:rPr>
        <w:t>，用“项目采购-开标评标”功能对电子投标文件进行在线解密。</w:t>
      </w:r>
      <w:r>
        <w:rPr>
          <w:rFonts w:hint="eastAsia"/>
          <w:b/>
          <w:bCs/>
          <w:color w:val="auto"/>
          <w:highlight w:val="none"/>
        </w:rPr>
        <w:t>在线解密电子投标文件时间为开标时间起30分钟内。</w:t>
      </w:r>
    </w:p>
    <w:p w14:paraId="4DC53879">
      <w:pPr>
        <w:pStyle w:val="477"/>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39F0A3CD">
      <w:pPr>
        <w:pStyle w:val="5"/>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32269951">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14:paraId="3878EE0D">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14:paraId="5409EC90">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20C3FEC8">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00D08AA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079D1D06">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14:paraId="273811E5">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w:t>
      </w:r>
      <w:r>
        <w:rPr>
          <w:rFonts w:hint="eastAsia"/>
          <w:b/>
          <w:bCs/>
          <w:color w:val="auto"/>
          <w:highlight w:val="none"/>
          <w:lang w:eastAsia="zh-CN"/>
        </w:rPr>
        <w:t>富小采</w:t>
      </w:r>
      <w:r>
        <w:rPr>
          <w:rFonts w:hint="eastAsia"/>
          <w:b/>
          <w:bCs/>
          <w:color w:val="auto"/>
          <w:highlight w:val="none"/>
        </w:rPr>
        <w:t>公司如对电子化开标及评审程序有调整的，按调整后的程序操作。</w:t>
      </w:r>
    </w:p>
    <w:p w14:paraId="3813D952">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2、目前采购全流程电子化交易，投标人须在规定时间内自行解密。</w:t>
      </w:r>
    </w:p>
    <w:p w14:paraId="58353CB8">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w:t>
      </w:r>
      <w:r>
        <w:rPr>
          <w:rFonts w:hint="eastAsia"/>
          <w:b/>
          <w:bCs/>
          <w:color w:val="auto"/>
          <w:highlight w:val="none"/>
          <w:lang w:eastAsia="zh-CN"/>
        </w:rPr>
        <w:t>富小采</w:t>
      </w:r>
      <w:r>
        <w:rPr>
          <w:rFonts w:hint="eastAsia"/>
          <w:b/>
          <w:bCs/>
          <w:color w:val="auto"/>
          <w:highlight w:val="none"/>
        </w:rPr>
        <w:t>电子招投标开标及评审程序，但有下情形之一的，按以下情况处理：</w:t>
      </w:r>
    </w:p>
    <w:p w14:paraId="1B9D539D">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43DFE850">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w:t>
      </w:r>
      <w:r>
        <w:rPr>
          <w:rFonts w:hint="eastAsia"/>
          <w:b/>
          <w:bCs/>
          <w:color w:val="auto"/>
          <w:highlight w:val="none"/>
          <w:lang w:eastAsia="zh-CN"/>
        </w:rPr>
        <w:t>富小采平台</w:t>
      </w:r>
      <w:r>
        <w:rPr>
          <w:rFonts w:hint="eastAsia"/>
          <w:b/>
          <w:bCs/>
          <w:color w:val="auto"/>
          <w:highlight w:val="none"/>
        </w:rPr>
        <w:t>原因无法读取或电子开评标无法正常进行，采购代理机构将情况上报行业监管部门同意后，重新组织采购活动。</w:t>
      </w:r>
    </w:p>
    <w:p w14:paraId="177D8D69">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14:paraId="6D336A68">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14:paraId="6F448A0D">
      <w:pPr>
        <w:pageBreakBefore w:val="0"/>
        <w:kinsoku/>
        <w:wordWrap w:val="0"/>
        <w:topLinePunct/>
        <w:bidi w:val="0"/>
        <w:spacing w:beforeAutospacing="0" w:afterAutospacing="0" w:line="440" w:lineRule="exa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144A2457">
      <w:pPr>
        <w:pageBreakBefore w:val="0"/>
        <w:kinsoku/>
        <w:wordWrap w:val="0"/>
        <w:topLinePunct/>
        <w:bidi w:val="0"/>
        <w:spacing w:beforeAutospacing="0" w:afterAutospacing="0" w:line="440" w:lineRule="exa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在采购活动中，评标委员会的组成人员与供应商有下列利害关系之一的，应当回避：</w:t>
      </w:r>
    </w:p>
    <w:p w14:paraId="051611F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14:paraId="5F110AFF">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14:paraId="02D076E9">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14:paraId="2B7996E4">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14:paraId="5F3FD59F">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（5）与供应商有其他可能影响采购活动公平、公正进行的关系。</w:t>
      </w:r>
    </w:p>
    <w:p w14:paraId="34EB1BA7">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14:paraId="3C9B18A4">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14:paraId="32B7A09D">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14:paraId="485372E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14:paraId="54AE2CFA">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14:paraId="78F43E75">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14:paraId="073A2BE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14:paraId="5AD1DC33">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14:paraId="3DD17AA5">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14:paraId="5A1E887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14:paraId="43AD0497">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14:paraId="5A81029E">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14:paraId="2ECABDC0">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14:paraId="22D38CDE">
      <w:pPr>
        <w:pageBreakBefore w:val="0"/>
        <w:kinsoku/>
        <w:wordWrap w:val="0"/>
        <w:topLinePunct/>
        <w:bidi w:val="0"/>
        <w:spacing w:beforeAutospacing="0" w:afterAutospacing="0"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14:paraId="10050F86">
      <w:pPr>
        <w:pageBreakBefore w:val="0"/>
        <w:kinsoku/>
        <w:wordWrap w:val="0"/>
        <w:topLinePunct/>
        <w:bidi w:val="0"/>
        <w:spacing w:beforeAutospacing="0" w:afterAutospacing="0" w:line="440" w:lineRule="exa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14:paraId="7BB27D88">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（二）评标原则</w:t>
      </w:r>
    </w:p>
    <w:p w14:paraId="789ABAF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14:paraId="34D07BB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01C9EF7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4E7C51E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14:paraId="4E8B167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5、评标方法及评分标准等，详见招标文件“第三章  评标办法及评分标准”。</w:t>
      </w:r>
    </w:p>
    <w:p w14:paraId="266F4371">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（三）评标程序</w:t>
      </w:r>
    </w:p>
    <w:p w14:paraId="57A38DF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496CB06C">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1.投标文件初审</w:t>
      </w:r>
    </w:p>
    <w:p w14:paraId="6724C42E">
      <w:pPr>
        <w:ind w:firstLine="482"/>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p>
    <w:p w14:paraId="5BA3BD01">
      <w:pPr>
        <w:ind w:firstLine="482"/>
        <w:rPr>
          <w:rFonts w:hint="eastAsia" w:ascii="仿宋" w:hAnsi="仿宋" w:cs="仿宋"/>
          <w:b/>
          <w:bCs/>
          <w:color w:val="auto"/>
          <w:szCs w:val="24"/>
          <w:highlight w:val="none"/>
        </w:rPr>
      </w:pPr>
      <w:r>
        <w:rPr>
          <w:rFonts w:hint="eastAsia" w:cs="仿宋"/>
          <w:b/>
          <w:bCs/>
          <w:color w:val="auto"/>
          <w:szCs w:val="24"/>
          <w:highlight w:val="none"/>
          <w:lang w:val="en-US" w:eastAsia="zh-CN"/>
        </w:rPr>
        <w:t>评标委员会</w:t>
      </w:r>
      <w:r>
        <w:rPr>
          <w:rFonts w:hint="eastAsia" w:ascii="仿宋" w:hAnsi="仿宋" w:cs="仿宋"/>
          <w:b/>
          <w:bCs/>
          <w:color w:val="auto"/>
          <w:szCs w:val="24"/>
          <w:highlight w:val="none"/>
        </w:rPr>
        <w:t>应当依法对投标人的资格进行审查，</w:t>
      </w:r>
      <w:r>
        <w:rPr>
          <w:rFonts w:hint="eastAsia" w:ascii="仿宋" w:hAnsi="仿宋" w:cs="仿宋"/>
          <w:color w:val="auto"/>
          <w:szCs w:val="24"/>
          <w:highlight w:val="none"/>
        </w:rPr>
        <w:t>依据法律法规和招标文件的规定，对投标人的基本资格条件、特定资格条件进行审查。</w:t>
      </w:r>
      <w:r>
        <w:rPr>
          <w:rFonts w:hint="eastAsia" w:ascii="仿宋" w:hAnsi="仿宋" w:cs="仿宋"/>
          <w:b/>
          <w:bCs/>
          <w:color w:val="auto"/>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highlight w:val="none"/>
        </w:rPr>
        <w:t>对未通过资格审查的投标人，采购人或采购代理机构告知其未通过的原因。合格投标人不足3家的，不再评标。</w:t>
      </w:r>
    </w:p>
    <w:p w14:paraId="065CA28C">
      <w:pPr>
        <w:pageBreakBefore w:val="0"/>
        <w:kinsoku/>
        <w:wordWrap w:val="0"/>
        <w:topLinePunct/>
        <w:bidi w:val="0"/>
        <w:spacing w:beforeAutospacing="0" w:afterAutospacing="0" w:line="440" w:lineRule="exact"/>
        <w:ind w:firstLine="482" w:firstLineChars="200"/>
        <w:rPr>
          <w:rFonts w:hint="eastAsia" w:eastAsia="仿宋"/>
          <w:color w:val="auto"/>
          <w:highlight w:val="none"/>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经查询列入失信被执行人名单、重大税收违法失信主体、政府采购严重违法失信行为记录名单的投标人将被拒绝参与采购活动</w:t>
      </w:r>
      <w:r>
        <w:rPr>
          <w:rFonts w:hint="eastAsia" w:ascii="仿宋" w:hAnsi="仿宋" w:cs="仿宋"/>
          <w:b/>
          <w:bCs/>
          <w:color w:val="auto"/>
          <w:szCs w:val="24"/>
          <w:highlight w:val="none"/>
        </w:rPr>
        <w:t>。联合体信用信息查询：</w:t>
      </w:r>
      <w:r>
        <w:rPr>
          <w:rFonts w:hint="eastAsia" w:ascii="仿宋" w:hAnsi="仿宋" w:cs="仿宋"/>
          <w:color w:val="auto"/>
          <w:szCs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2BD2122">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14:paraId="6AC60EF3">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14:paraId="60C1927F">
      <w:pPr>
        <w:pageBreakBefore w:val="0"/>
        <w:numPr>
          <w:ilvl w:val="0"/>
          <w:numId w:val="0"/>
        </w:numPr>
        <w:kinsoku/>
        <w:wordWrap w:val="0"/>
        <w:topLinePunct/>
        <w:bidi w:val="0"/>
        <w:spacing w:beforeAutospacing="0" w:afterAutospacing="0" w:line="440" w:lineRule="exact"/>
        <w:ind w:leftChars="0" w:firstLine="482" w:firstLineChars="200"/>
        <w:rPr>
          <w:rFonts w:hint="eastAsia"/>
          <w:b/>
          <w:color w:val="auto"/>
          <w:highlight w:val="none"/>
        </w:rPr>
      </w:pPr>
      <w:r>
        <w:rPr>
          <w:rFonts w:hint="eastAsia"/>
          <w:b/>
          <w:color w:val="auto"/>
          <w:highlight w:val="none"/>
          <w:lang w:eastAsia="zh-CN"/>
        </w:rPr>
        <w:t>（</w:t>
      </w:r>
      <w:r>
        <w:rPr>
          <w:rFonts w:hint="eastAsia"/>
          <w:b/>
          <w:color w:val="auto"/>
          <w:highlight w:val="none"/>
          <w:lang w:val="en-US" w:eastAsia="zh-CN"/>
        </w:rPr>
        <w:t>2）</w:t>
      </w:r>
      <w:r>
        <w:rPr>
          <w:rFonts w:hint="eastAsia"/>
          <w:b/>
          <w:color w:val="auto"/>
          <w:highlight w:val="none"/>
        </w:rPr>
        <w:t>符合性</w:t>
      </w:r>
      <w:r>
        <w:rPr>
          <w:rFonts w:hint="eastAsia"/>
          <w:b/>
          <w:color w:val="auto"/>
          <w:highlight w:val="none"/>
          <w:lang w:eastAsia="zh-CN"/>
        </w:rPr>
        <w:t>审</w:t>
      </w:r>
      <w:r>
        <w:rPr>
          <w:rFonts w:hint="eastAsia"/>
          <w:b/>
          <w:color w:val="auto"/>
          <w:highlight w:val="none"/>
        </w:rPr>
        <w:t>查</w:t>
      </w:r>
    </w:p>
    <w:p w14:paraId="0C75CE5B">
      <w:pPr>
        <w:pageBreakBefore w:val="0"/>
        <w:numPr>
          <w:ilvl w:val="0"/>
          <w:numId w:val="0"/>
        </w:numPr>
        <w:kinsoku/>
        <w:wordWrap w:val="0"/>
        <w:topLinePunct/>
        <w:bidi w:val="0"/>
        <w:spacing w:beforeAutospacing="0" w:afterAutospacing="0" w:line="440" w:lineRule="exact"/>
        <w:ind w:leftChars="0" w:firstLine="480" w:firstLineChars="200"/>
        <w:rPr>
          <w:color w:val="auto"/>
          <w:highlight w:val="none"/>
        </w:rPr>
      </w:pP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14:paraId="32002325">
      <w:pPr>
        <w:numPr>
          <w:ilvl w:val="0"/>
          <w:numId w:val="0"/>
        </w:numPr>
        <w:tabs>
          <w:tab w:val="left" w:pos="0"/>
        </w:tabs>
        <w:ind w:left="480" w:leftChars="0"/>
        <w:rPr>
          <w:rFonts w:hint="eastAsia" w:ascii="仿宋" w:hAnsi="仿宋" w:cs="仿宋"/>
          <w:b/>
          <w:bCs/>
          <w:color w:val="auto"/>
          <w:szCs w:val="24"/>
          <w:highlight w:val="none"/>
        </w:rPr>
      </w:pPr>
      <w:r>
        <w:rPr>
          <w:rFonts w:hint="eastAsia" w:cs="仿宋"/>
          <w:b/>
          <w:bCs/>
          <w:color w:val="auto"/>
          <w:szCs w:val="24"/>
          <w:highlight w:val="none"/>
          <w:lang w:val="en-US" w:eastAsia="zh-CN"/>
        </w:rPr>
        <w:t>2.</w:t>
      </w:r>
      <w:r>
        <w:rPr>
          <w:rFonts w:hint="eastAsia" w:ascii="仿宋" w:hAnsi="仿宋" w:cs="仿宋"/>
          <w:b/>
          <w:bCs/>
          <w:color w:val="auto"/>
          <w:szCs w:val="24"/>
          <w:highlight w:val="none"/>
        </w:rPr>
        <w:t>样品评审（若有）</w:t>
      </w:r>
    </w:p>
    <w:p w14:paraId="0E444BBE">
      <w:pPr>
        <w:ind w:firstLine="480"/>
        <w:rPr>
          <w:b/>
          <w:bCs/>
          <w:color w:val="auto"/>
          <w:sz w:val="24"/>
          <w:szCs w:val="24"/>
          <w:highlight w:val="none"/>
        </w:rPr>
      </w:pPr>
      <w:r>
        <w:rPr>
          <w:rFonts w:hint="eastAsia" w:ascii="仿宋" w:hAnsi="仿宋" w:cs="仿宋"/>
          <w:color w:val="auto"/>
          <w:szCs w:val="24"/>
          <w:highlight w:val="none"/>
        </w:rPr>
        <w:t>投标文件初审结论合格的供应商进入后续评审程序。如项目有样品展示环节，评标委员会将根据评标办法进行</w:t>
      </w:r>
      <w:r>
        <w:rPr>
          <w:rFonts w:hint="eastAsia" w:ascii="仿宋" w:hAnsi="仿宋" w:cs="仿宋"/>
          <w:color w:val="auto"/>
          <w:szCs w:val="24"/>
          <w:highlight w:val="none"/>
          <w:lang w:eastAsia="zh-CN"/>
        </w:rPr>
        <w:t>样品</w:t>
      </w:r>
      <w:r>
        <w:rPr>
          <w:rFonts w:hint="eastAsia" w:ascii="仿宋" w:hAnsi="仿宋" w:cs="仿宋"/>
          <w:color w:val="auto"/>
          <w:szCs w:val="24"/>
          <w:highlight w:val="none"/>
        </w:rPr>
        <w:t>评审。</w:t>
      </w:r>
    </w:p>
    <w:p w14:paraId="3070A096">
      <w:pPr>
        <w:pageBreakBefore w:val="0"/>
        <w:kinsoku/>
        <w:wordWrap w:val="0"/>
        <w:topLinePunct/>
        <w:bidi w:val="0"/>
        <w:spacing w:beforeAutospacing="0" w:afterAutospacing="0" w:line="440" w:lineRule="exact"/>
        <w:ind w:firstLine="472" w:firstLineChars="196"/>
        <w:rPr>
          <w:b/>
          <w:color w:val="auto"/>
          <w:highlight w:val="none"/>
        </w:rPr>
      </w:pPr>
      <w:r>
        <w:rPr>
          <w:rFonts w:hint="eastAsia"/>
          <w:b/>
          <w:bCs/>
          <w:color w:val="auto"/>
          <w:highlight w:val="none"/>
          <w:lang w:val="en-US" w:eastAsia="zh-CN"/>
        </w:rPr>
        <w:t>3</w:t>
      </w:r>
      <w:r>
        <w:rPr>
          <w:rFonts w:hint="eastAsia"/>
          <w:b/>
          <w:bCs/>
          <w:color w:val="auto"/>
          <w:highlight w:val="none"/>
        </w:rPr>
        <w:t>.</w:t>
      </w:r>
      <w:r>
        <w:rPr>
          <w:rFonts w:hint="eastAsia"/>
          <w:b/>
          <w:color w:val="auto"/>
          <w:highlight w:val="none"/>
        </w:rPr>
        <w:t>投标文件的澄清</w:t>
      </w:r>
    </w:p>
    <w:p w14:paraId="1268613E">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highlight w:val="none"/>
        </w:rPr>
      </w:pPr>
      <w:r>
        <w:rPr>
          <w:rFonts w:hint="eastAsia" w:ascii="仿宋" w:hAnsi="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4EFD23BE">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4</w:t>
      </w:r>
      <w:r>
        <w:rPr>
          <w:rFonts w:hint="eastAsia"/>
          <w:b/>
          <w:color w:val="auto"/>
          <w:highlight w:val="none"/>
        </w:rPr>
        <w:t>.商务及技术文件的比较与评价</w:t>
      </w:r>
    </w:p>
    <w:p w14:paraId="2C80EB4D">
      <w:pPr>
        <w:ind w:firstLine="480"/>
        <w:rPr>
          <w:color w:val="auto"/>
          <w:highlight w:val="none"/>
        </w:rPr>
      </w:pPr>
      <w:r>
        <w:rPr>
          <w:rFonts w:hint="eastAsia" w:ascii="仿宋" w:hAnsi="仿宋" w:cs="仿宋"/>
          <w:color w:val="auto"/>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64E08A6B">
      <w:pPr>
        <w:pStyle w:val="7"/>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highlight w:val="none"/>
        </w:rPr>
      </w:pPr>
      <w:r>
        <w:rPr>
          <w:rFonts w:hint="eastAsia"/>
          <w:bCs w:val="0"/>
          <w:color w:val="auto"/>
          <w:sz w:val="24"/>
          <w:szCs w:val="24"/>
          <w:highlight w:val="none"/>
          <w:lang w:val="en-US" w:eastAsia="zh-CN"/>
        </w:rPr>
        <w:t>5</w:t>
      </w:r>
      <w:r>
        <w:rPr>
          <w:rFonts w:hint="eastAsia"/>
          <w:bCs w:val="0"/>
          <w:color w:val="auto"/>
          <w:sz w:val="24"/>
          <w:szCs w:val="24"/>
          <w:highlight w:val="none"/>
        </w:rPr>
        <w:t>.报价文件的比较与评审</w:t>
      </w:r>
    </w:p>
    <w:p w14:paraId="6D719CA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w:t>
      </w:r>
      <w:r>
        <w:rPr>
          <w:rFonts w:hint="eastAsia"/>
          <w:color w:val="auto"/>
          <w:highlight w:val="none"/>
          <w:lang w:eastAsia="zh-CN"/>
        </w:rPr>
        <w:t>富小采</w:t>
      </w:r>
      <w:r>
        <w:rPr>
          <w:rFonts w:hint="eastAsia"/>
          <w:color w:val="auto"/>
          <w:highlight w:val="none"/>
        </w:rPr>
        <w:t>电子交易平台-开标记录模块开放供应商在线签字确认环节，投标人法定代表人或其授权代表对开标记录进行在线核实，投标人法定代表人或其授权代表未在</w:t>
      </w:r>
      <w:r>
        <w:rPr>
          <w:rFonts w:hint="eastAsia"/>
          <w:b/>
          <w:bCs/>
          <w:color w:val="auto"/>
          <w:highlight w:val="none"/>
        </w:rPr>
        <w:t>10分钟内</w:t>
      </w:r>
      <w:r>
        <w:rPr>
          <w:rFonts w:hint="eastAsia"/>
          <w:color w:val="auto"/>
          <w:highlight w:val="none"/>
        </w:rPr>
        <w:t>进行在线核实的，视作无异议，不影响评标过程和结果。</w:t>
      </w:r>
    </w:p>
    <w:p w14:paraId="6CE18B18">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4227B78F">
      <w:pPr>
        <w:pageBreakBefore w:val="0"/>
        <w:kinsoku/>
        <w:wordWrap w:val="0"/>
        <w:topLinePunct/>
        <w:bidi w:val="0"/>
        <w:spacing w:beforeAutospacing="0" w:afterAutospacing="0"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14:paraId="785F773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highlight w:val="none"/>
        </w:rPr>
        <w:t>开标一览表（报价表）</w:t>
      </w:r>
      <w:r>
        <w:rPr>
          <w:rFonts w:hint="eastAsia"/>
          <w:color w:val="auto"/>
          <w:highlight w:val="none"/>
        </w:rPr>
        <w:t>内容与投标文件中相应内容不一致的，以</w:t>
      </w:r>
      <w:r>
        <w:rPr>
          <w:rFonts w:hint="eastAsia" w:ascii="仿宋" w:hAnsi="仿宋" w:cs="仿宋"/>
          <w:color w:val="auto"/>
          <w:szCs w:val="24"/>
          <w:highlight w:val="none"/>
        </w:rPr>
        <w:t>开标一览表（报价表）</w:t>
      </w:r>
      <w:r>
        <w:rPr>
          <w:rFonts w:hint="eastAsia"/>
          <w:color w:val="auto"/>
          <w:highlight w:val="none"/>
        </w:rPr>
        <w:t>为准；</w:t>
      </w:r>
    </w:p>
    <w:p w14:paraId="0C8BA1C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14:paraId="5109FD6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highlight w:val="none"/>
        </w:rPr>
        <w:t>开标一览表（报价表）</w:t>
      </w:r>
      <w:r>
        <w:rPr>
          <w:rFonts w:hint="eastAsia"/>
          <w:color w:val="auto"/>
          <w:highlight w:val="none"/>
        </w:rPr>
        <w:t>的总价为准，并修改单价；</w:t>
      </w:r>
    </w:p>
    <w:p w14:paraId="065D756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（4）总价金额与按单价汇总金额不一致的，以单价金额计算结果为准；</w:t>
      </w:r>
    </w:p>
    <w:p w14:paraId="0243709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w:t>
      </w:r>
      <w:r>
        <w:rPr>
          <w:rFonts w:hint="eastAsia"/>
          <w:color w:val="auto"/>
          <w:highlight w:val="none"/>
          <w:lang w:eastAsia="zh-CN"/>
        </w:rPr>
        <w:t>富小采</w:t>
      </w:r>
      <w:r>
        <w:rPr>
          <w:rFonts w:hint="eastAsia"/>
          <w:color w:val="auto"/>
          <w:highlight w:val="none"/>
        </w:rPr>
        <w:t>电子交易平台-开标记录模块的报价与投标响应文件中的报价不一致的，以投标响应文件中的报价为准。</w:t>
      </w:r>
    </w:p>
    <w:p w14:paraId="28BCE76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14:paraId="4C87B35B">
      <w:pPr>
        <w:pageBreakBefore w:val="0"/>
        <w:kinsoku/>
        <w:wordWrap w:val="0"/>
        <w:topLinePunct/>
        <w:bidi w:val="0"/>
        <w:spacing w:beforeAutospacing="0" w:afterAutospacing="0" w:line="440" w:lineRule="exact"/>
        <w:ind w:firstLine="472" w:firstLineChars="196"/>
        <w:rPr>
          <w:b/>
          <w:color w:val="auto"/>
          <w:highlight w:val="none"/>
        </w:rPr>
      </w:pPr>
      <w:r>
        <w:rPr>
          <w:rFonts w:hint="eastAsia"/>
          <w:b/>
          <w:color w:val="auto"/>
          <w:highlight w:val="none"/>
          <w:lang w:val="en-US" w:eastAsia="zh-CN"/>
        </w:rPr>
        <w:t>6</w:t>
      </w:r>
      <w:r>
        <w:rPr>
          <w:rFonts w:hint="eastAsia"/>
          <w:b/>
          <w:color w:val="auto"/>
          <w:highlight w:val="none"/>
        </w:rPr>
        <w:t>.推荐中标候选人与编写评标报告</w:t>
      </w:r>
    </w:p>
    <w:p w14:paraId="21E1C131">
      <w:pPr>
        <w:ind w:firstLine="480"/>
        <w:rPr>
          <w:color w:val="auto"/>
          <w:highlight w:val="none"/>
        </w:rPr>
      </w:pPr>
      <w:r>
        <w:rPr>
          <w:rFonts w:hint="eastAsia" w:ascii="仿宋" w:hAnsi="仿宋" w:cs="仿宋"/>
          <w:color w:val="auto"/>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692D9D">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14:paraId="282190B3">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67545137">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69D4BAB4">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14:paraId="61BDBDDD">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14:paraId="691DE8F4">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14:paraId="13D9BE34">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如以联合体形式参加采购活动的，联合协议不符合招标文件规定的联合协议要求的。</w:t>
      </w:r>
    </w:p>
    <w:p w14:paraId="0F680AD0">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064E9502">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17B69717">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14:paraId="44E39BAF">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6127438F">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1C93688E">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14:paraId="54D80281">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14:paraId="0126C861">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14:paraId="5332F4B5">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14:paraId="141C4201">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7177F3B6">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14:paraId="4242C5DC">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14:paraId="26AF934D">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14:paraId="1054B1AE">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14:paraId="516EDE91">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14:paraId="2490DAA3">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）单位负责人为同一人或者存在直接控股、管理关系的不同供应商参加同一合同项下的采购活动的（均无效）；</w:t>
      </w:r>
    </w:p>
    <w:p w14:paraId="62091CB2">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14:paraId="596C26FD">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7C826693">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27F7C850">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14:paraId="7DA8149B">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14:paraId="2FAAD435">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6A14B8B7">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3DE8C269">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267D1506">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54050FBF">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5BFF71CD">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投标人有恶意串通、妨碍其他投标人的竞争行为、损害采购人或者其他投标人的合法权益情形的，有下列情形之一的，属于或视为恶意串通，其投标无效：</w:t>
      </w:r>
    </w:p>
    <w:p w14:paraId="1D9AF22B">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71349140">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5D13A892">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321FB80F">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属于同一集团、协会、商会等组织成员的供应商按照该组织要求协同参加采购活动的；</w:t>
      </w:r>
    </w:p>
    <w:p w14:paraId="20BC1068">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1583F0BB">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供应商之间商定部分供应商放弃参加采购活动或者放弃中标、成交的；</w:t>
      </w:r>
    </w:p>
    <w:p w14:paraId="28374585">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14:paraId="2961AF2A">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
          <w:color w:val="auto"/>
          <w:kern w:val="0"/>
          <w:szCs w:val="22"/>
          <w:highlight w:val="none"/>
        </w:rPr>
        <w:t>（二十</w:t>
      </w:r>
      <w:r>
        <w:rPr>
          <w:rFonts w:hint="eastAsia"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cs="仿宋"/>
          <w:color w:val="auto"/>
          <w:szCs w:val="24"/>
          <w:highlight w:val="none"/>
        </w:rPr>
        <w:t>有下列情形之一的，视为投标人串通投标，其投标无效：</w:t>
      </w:r>
    </w:p>
    <w:p w14:paraId="222FA5A7">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不同投标人的投标文件由同一单位或者个人编制（同一IP地址上传投标、响应文件）；</w:t>
      </w:r>
    </w:p>
    <w:p w14:paraId="03E87943">
      <w:pPr>
        <w:numPr>
          <w:ilvl w:val="0"/>
          <w:numId w:val="0"/>
        </w:numPr>
        <w:tabs>
          <w:tab w:val="left" w:pos="0"/>
        </w:tabs>
        <w:ind w:leftChars="0" w:firstLine="480" w:firstLineChars="20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14:paraId="7686DEBF">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不同投标人的投标文件载明的项目管理成员或者联系人员为同一人的；</w:t>
      </w:r>
    </w:p>
    <w:p w14:paraId="32430129">
      <w:pPr>
        <w:numPr>
          <w:ilvl w:val="0"/>
          <w:numId w:val="0"/>
        </w:numPr>
        <w:tabs>
          <w:tab w:val="left" w:pos="0"/>
          <w:tab w:val="left" w:pos="303"/>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不同投标人的投标文件异常一致或者投标报价呈规律性差异的；</w:t>
      </w:r>
    </w:p>
    <w:p w14:paraId="54B2666B">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不同投标人的投标文件相互混装的。</w:t>
      </w:r>
    </w:p>
    <w:p w14:paraId="3C67F7CF">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2AE0ED3F">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14:paraId="44DF9C1A">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14:paraId="2B8E43D6">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0AE82B31">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14:paraId="0AE11F61">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4BA16264">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14:paraId="2F586F39">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755B9BC8">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14:paraId="1FB54CA5">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14:paraId="3740D433">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14:paraId="1C80D40B">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35204809">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09862110">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14:paraId="5F88F38D">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14:paraId="1685222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14:paraId="70C53E7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14:paraId="32A731A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14:paraId="01E5F62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14:paraId="6D12385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14:paraId="25C6369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14:paraId="05F02E87">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14:paraId="62908A5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146738F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（二）重新开展采购。依照下列规定处理：</w:t>
      </w:r>
    </w:p>
    <w:p w14:paraId="6674107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1.未确定中标或者成交供应商的，终止本次采购活动，重新开展采购活动。</w:t>
      </w:r>
    </w:p>
    <w:p w14:paraId="6F0AC544">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2.已确定中标或者成交供应商但尚未签订采购合同的，中标或者成交结果无效，从合格的中标或者成交候选人中另行确定中标或者成交供应商；没有合格的中标或者成交候选人的，重新开展采购活动。</w:t>
      </w:r>
    </w:p>
    <w:p w14:paraId="6BF9A03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3.采购合同已签订但尚未履行的，撤销合同，从合格的中标或者成交候选人中另行确定中标或者成交供应商；没有合格的中标或者成交候选人的，重新开展采购活动。</w:t>
      </w:r>
    </w:p>
    <w:p w14:paraId="087A097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4.采购合同已经履行，给采购人、供应商造成损失的，由责任人承担赔偿责任。</w:t>
      </w:r>
    </w:p>
    <w:p w14:paraId="416127DB">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szCs w:val="24"/>
          <w:highlight w:val="none"/>
          <w:lang w:eastAsia="zh-CN"/>
        </w:rPr>
      </w:pPr>
      <w:r>
        <w:rPr>
          <w:rFonts w:hint="eastAsia"/>
          <w:color w:val="auto"/>
          <w:highlight w:val="none"/>
        </w:rPr>
        <w:t>5.因质疑答复，改变原中标结果，重新开展采购活动</w:t>
      </w:r>
      <w:r>
        <w:rPr>
          <w:rFonts w:hint="eastAsia"/>
          <w:color w:val="auto"/>
          <w:highlight w:val="none"/>
          <w:lang w:eastAsia="zh-CN"/>
        </w:rPr>
        <w:t>。</w:t>
      </w:r>
    </w:p>
    <w:p w14:paraId="0AD7C3D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.采购当事人有其他违反采购法或者本条例规定的行为，经改正后仍然影响或者可能影响中标、成交结果或者依法被认定为中标、成交无效的，依照1-5条规定处理。</w:t>
      </w:r>
    </w:p>
    <w:p w14:paraId="488CA506">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14:paraId="445EF1F2">
      <w:pPr>
        <w:pageBreakBefore w:val="0"/>
        <w:kinsoku/>
        <w:wordWrap w:val="0"/>
        <w:topLinePunct/>
        <w:bidi w:val="0"/>
        <w:spacing w:beforeAutospacing="0" w:afterAutospacing="0" w:line="440" w:lineRule="exact"/>
        <w:ind w:firstLine="480" w:firstLineChars="200"/>
        <w:rPr>
          <w:rFonts w:hint="eastAsia" w:ascii="仿宋" w:hAnsi="仿宋" w:cs="仿宋"/>
          <w:b/>
          <w:bCs/>
          <w:color w:val="auto"/>
          <w:szCs w:val="24"/>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w:t>
      </w:r>
    </w:p>
    <w:p w14:paraId="375DE20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。公告期限为1个工作日。</w:t>
      </w:r>
    </w:p>
    <w:p w14:paraId="426C72D0">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072BEB8D">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703CE122">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14:paraId="1C91850D">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14:paraId="3E4ED44B">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14:paraId="52770294">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14:paraId="0300ED80">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签订采购合同，所签订的合同不得对招标文件确定的事项和中标人投标文件作实质性修改。招标文件、中标人的投标文件、澄清文件及中标通知书等，均为签订合同的依据。</w:t>
      </w:r>
    </w:p>
    <w:p w14:paraId="40AC9BA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政府购买服务合同的签订、履行、变更等，应当遵守</w:t>
      </w:r>
      <w:r>
        <w:rPr>
          <w:rFonts w:hint="eastAsia" w:cs="仿宋"/>
          <w:color w:val="auto"/>
          <w:sz w:val="24"/>
          <w:szCs w:val="24"/>
          <w:highlight w:val="none"/>
          <w:lang w:val="en-US" w:eastAsia="zh-CN"/>
        </w:rPr>
        <w:t>相关</w:t>
      </w:r>
      <w:r>
        <w:rPr>
          <w:rFonts w:hint="eastAsia" w:ascii="仿宋" w:hAnsi="仿宋" w:eastAsia="仿宋" w:cs="仿宋"/>
          <w:color w:val="auto"/>
          <w:sz w:val="24"/>
          <w:szCs w:val="24"/>
          <w:highlight w:val="none"/>
          <w:lang w:val="en-US" w:eastAsia="zh-CN"/>
        </w:rPr>
        <w:t>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7CF36F0E">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14:paraId="45609203">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5A274778">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14:paraId="39B98292">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按结算要求办理资金结算手续。</w:t>
      </w:r>
    </w:p>
    <w:p w14:paraId="5FA3C1D9">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14:paraId="35B0EA12">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14:paraId="713BF0E3">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（五）询问、质疑和投诉</w:t>
      </w:r>
    </w:p>
    <w:p w14:paraId="0C18E8BE">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7594C28C">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14774EEE">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2A3A455D">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cs="仿宋"/>
          <w:b/>
          <w:bCs/>
          <w:color w:val="auto"/>
          <w:sz w:val="24"/>
          <w:szCs w:val="22"/>
          <w:highlight w:val="none"/>
          <w:u w:val="none"/>
          <w:lang w:val="en-US" w:eastAsia="zh-CN"/>
        </w:rPr>
        <w:t xml:space="preserve"> </w:t>
      </w:r>
    </w:p>
    <w:p w14:paraId="4C703C81">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14:paraId="5AD0C9DF">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2EFBBFAF">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436B98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070EA70C">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5ADC72EB">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72C48459">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04D56E87">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0CE5F426">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w:t>
      </w:r>
      <w:r>
        <w:rPr>
          <w:rFonts w:hint="eastAsia" w:cs="仿宋"/>
          <w:color w:val="auto"/>
          <w:sz w:val="24"/>
          <w:szCs w:val="22"/>
          <w:highlight w:val="none"/>
          <w:lang w:eastAsia="zh-CN"/>
        </w:rPr>
        <w:t>富小采</w:t>
      </w:r>
      <w:r>
        <w:rPr>
          <w:rFonts w:hint="eastAsia" w:ascii="仿宋" w:hAnsi="仿宋" w:eastAsia="仿宋" w:cs="仿宋"/>
          <w:color w:val="auto"/>
          <w:sz w:val="24"/>
          <w:szCs w:val="22"/>
          <w:highlight w:val="none"/>
          <w:lang w:eastAsia="zh-CN"/>
        </w:rPr>
        <w:t>截图。</w:t>
      </w:r>
    </w:p>
    <w:p w14:paraId="4AC84BB3">
      <w:pPr>
        <w:numPr>
          <w:ilvl w:val="0"/>
          <w:numId w:val="0"/>
        </w:numPr>
        <w:tabs>
          <w:tab w:val="left" w:pos="0"/>
        </w:tabs>
        <w:ind w:left="480" w:leftChars="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auto"/>
          <w:szCs w:val="24"/>
          <w:highlight w:val="none"/>
        </w:rPr>
        <w:t>采购人或者采购代理机构应当在收到供应商的书面质疑后</w:t>
      </w:r>
      <w:r>
        <w:rPr>
          <w:rFonts w:hint="eastAsia" w:ascii="仿宋" w:hAnsi="仿宋" w:cs="仿宋"/>
          <w:b/>
          <w:bCs/>
          <w:color w:val="auto"/>
          <w:szCs w:val="24"/>
          <w:highlight w:val="none"/>
        </w:rPr>
        <w:t>七个工作日内</w:t>
      </w:r>
      <w:r>
        <w:rPr>
          <w:rFonts w:hint="eastAsia" w:ascii="仿宋" w:hAnsi="仿宋" w:cs="仿宋"/>
          <w:color w:val="auto"/>
          <w:szCs w:val="24"/>
          <w:highlight w:val="none"/>
        </w:rPr>
        <w:t>作出答复，并以书面形式通知质疑供应商和其他与质疑处理结果有利害关系的采购当事人，但答复的内容不得涉及商业秘密。</w:t>
      </w:r>
    </w:p>
    <w:p w14:paraId="7D9D30D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3172A18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6.质疑供应商对采购人、采购代理机构的答复不满意或者采购人、采购代理机构未在规定的时间内作出答复的，可以在答复期满后十五个工作日内向监督管理部门提出投诉。</w:t>
      </w:r>
    </w:p>
    <w:p w14:paraId="6A0DF5B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14:paraId="150A75C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14:paraId="414A541E">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9.以联合体形式参加采购活动的，其投诉应当由组成联合体的所有供应商共同提出。</w:t>
      </w:r>
    </w:p>
    <w:p w14:paraId="6EB3C15C">
      <w:pPr>
        <w:pStyle w:val="4"/>
        <w:pageBreakBefore w:val="0"/>
        <w:kinsoku/>
        <w:bidi w:val="0"/>
        <w:spacing w:beforeAutospacing="0" w:afterAutospacing="0" w:line="440" w:lineRule="exact"/>
        <w:rPr>
          <w:rFonts w:hint="eastAsia"/>
          <w:color w:val="auto"/>
          <w:highlight w:val="none"/>
        </w:rPr>
      </w:pPr>
    </w:p>
    <w:p w14:paraId="08F71751">
      <w:pPr>
        <w:pStyle w:val="4"/>
        <w:pageBreakBefore w:val="0"/>
        <w:kinsoku/>
        <w:bidi w:val="0"/>
        <w:spacing w:beforeAutospacing="0" w:afterAutospacing="0" w:line="440" w:lineRule="exact"/>
        <w:rPr>
          <w:rFonts w:hint="eastAsia"/>
          <w:color w:val="auto"/>
          <w:highlight w:val="none"/>
        </w:rPr>
      </w:pPr>
    </w:p>
    <w:p w14:paraId="40DC6AEA">
      <w:pPr>
        <w:pStyle w:val="4"/>
        <w:pageBreakBefore w:val="0"/>
        <w:kinsoku/>
        <w:bidi w:val="0"/>
        <w:spacing w:beforeAutospacing="0" w:afterAutospacing="0" w:line="440" w:lineRule="exact"/>
        <w:rPr>
          <w:rFonts w:hint="eastAsia"/>
          <w:color w:val="auto"/>
          <w:highlight w:val="none"/>
        </w:rPr>
      </w:pPr>
    </w:p>
    <w:p w14:paraId="03880E89">
      <w:pPr>
        <w:rPr>
          <w:rFonts w:hint="eastAsia"/>
          <w:color w:val="auto"/>
          <w:highlight w:val="none"/>
        </w:rPr>
      </w:pPr>
    </w:p>
    <w:p w14:paraId="3A4E501B">
      <w:pPr>
        <w:pStyle w:val="5"/>
        <w:rPr>
          <w:rFonts w:hint="eastAsia"/>
          <w:color w:val="auto"/>
          <w:highlight w:val="none"/>
        </w:rPr>
      </w:pPr>
    </w:p>
    <w:p w14:paraId="6177B0E8">
      <w:pPr>
        <w:rPr>
          <w:rFonts w:hint="eastAsia"/>
          <w:color w:val="auto"/>
          <w:highlight w:val="none"/>
        </w:rPr>
      </w:pPr>
    </w:p>
    <w:p w14:paraId="3AB3B0C5">
      <w:pPr>
        <w:pStyle w:val="5"/>
        <w:rPr>
          <w:rFonts w:hint="eastAsia"/>
          <w:color w:val="auto"/>
          <w:highlight w:val="none"/>
        </w:rPr>
      </w:pPr>
    </w:p>
    <w:p w14:paraId="56AC3BB9">
      <w:pPr>
        <w:rPr>
          <w:rFonts w:hint="eastAsia"/>
          <w:color w:val="auto"/>
          <w:highlight w:val="none"/>
        </w:rPr>
      </w:pPr>
    </w:p>
    <w:p w14:paraId="576EAEC8">
      <w:pPr>
        <w:pStyle w:val="5"/>
        <w:rPr>
          <w:rFonts w:hint="eastAsia"/>
          <w:color w:val="auto"/>
          <w:highlight w:val="none"/>
        </w:rPr>
      </w:pPr>
    </w:p>
    <w:p w14:paraId="68FD3885">
      <w:pPr>
        <w:rPr>
          <w:rFonts w:hint="eastAsia"/>
          <w:color w:val="auto"/>
          <w:highlight w:val="none"/>
        </w:rPr>
      </w:pPr>
    </w:p>
    <w:p w14:paraId="4A1F50D0">
      <w:pPr>
        <w:pStyle w:val="4"/>
        <w:pageBreakBefore w:val="0"/>
        <w:kinsoku/>
        <w:bidi w:val="0"/>
        <w:spacing w:beforeAutospacing="0" w:afterAutospacing="0" w:line="440" w:lineRule="exact"/>
        <w:ind w:left="0" w:leftChars="0" w:firstLine="0" w:firstLineChars="0"/>
        <w:jc w:val="both"/>
        <w:rPr>
          <w:rFonts w:hint="eastAsia"/>
          <w:color w:val="auto"/>
          <w:highlight w:val="none"/>
        </w:rPr>
      </w:pPr>
    </w:p>
    <w:p w14:paraId="21A0DB2F">
      <w:pPr>
        <w:pStyle w:val="4"/>
        <w:pageBreakBefore w:val="0"/>
        <w:kinsoku/>
        <w:bidi w:val="0"/>
        <w:spacing w:beforeAutospacing="0" w:afterAutospacing="0" w:line="440" w:lineRule="exact"/>
        <w:ind w:left="0" w:leftChars="0" w:firstLine="0" w:firstLineChars="0"/>
        <w:jc w:val="both"/>
        <w:rPr>
          <w:rFonts w:hint="eastAsia"/>
          <w:color w:val="auto"/>
          <w:highlight w:val="none"/>
        </w:rPr>
      </w:pPr>
    </w:p>
    <w:p w14:paraId="3CD0CC37">
      <w:pPr>
        <w:pStyle w:val="4"/>
        <w:pageBreakBefore w:val="0"/>
        <w:kinsoku/>
        <w:bidi w:val="0"/>
        <w:spacing w:beforeAutospacing="0" w:afterAutospacing="0" w:line="440" w:lineRule="exact"/>
        <w:ind w:left="0" w:leftChars="0" w:firstLine="0" w:firstLineChars="0"/>
        <w:jc w:val="center"/>
        <w:rPr>
          <w:rFonts w:hint="eastAsia"/>
          <w:color w:val="auto"/>
          <w:highlight w:val="none"/>
        </w:rPr>
      </w:pPr>
    </w:p>
    <w:p w14:paraId="246D4318">
      <w:pPr>
        <w:pStyle w:val="4"/>
        <w:pageBreakBefore w:val="0"/>
        <w:kinsoku/>
        <w:bidi w:val="0"/>
        <w:spacing w:beforeAutospacing="0" w:afterAutospacing="0" w:line="440" w:lineRule="exact"/>
        <w:ind w:left="0" w:leftChars="0" w:firstLine="0" w:firstLineChars="0"/>
        <w:jc w:val="center"/>
        <w:rPr>
          <w:rFonts w:hint="eastAsia"/>
          <w:color w:val="auto"/>
          <w:highlight w:val="none"/>
        </w:rPr>
      </w:pPr>
    </w:p>
    <w:p w14:paraId="3D162C6F">
      <w:pPr>
        <w:pStyle w:val="4"/>
        <w:pageBreakBefore w:val="0"/>
        <w:kinsoku/>
        <w:bidi w:val="0"/>
        <w:spacing w:beforeAutospacing="0" w:afterAutospacing="0" w:line="440" w:lineRule="exact"/>
        <w:ind w:left="0" w:leftChars="0" w:firstLine="0" w:firstLineChars="0"/>
        <w:jc w:val="center"/>
        <w:rPr>
          <w:rFonts w:hint="eastAsia"/>
          <w:color w:val="auto"/>
          <w:highlight w:val="none"/>
        </w:rPr>
      </w:pPr>
    </w:p>
    <w:p w14:paraId="1A4D42D3">
      <w:pPr>
        <w:pStyle w:val="4"/>
        <w:pageBreakBefore w:val="0"/>
        <w:kinsoku/>
        <w:bidi w:val="0"/>
        <w:spacing w:beforeAutospacing="0" w:afterAutospacing="0" w:line="440" w:lineRule="exact"/>
        <w:ind w:left="0" w:leftChars="0" w:firstLine="0" w:firstLineChars="0"/>
        <w:jc w:val="center"/>
        <w:rPr>
          <w:color w:val="auto"/>
          <w:highlight w:val="none"/>
        </w:rPr>
      </w:pPr>
      <w:r>
        <w:rPr>
          <w:rFonts w:hint="eastAsia"/>
          <w:color w:val="auto"/>
          <w:highlight w:val="none"/>
        </w:rPr>
        <w:t>第三章  评标办法及评分标准</w:t>
      </w:r>
      <w:bookmarkEnd w:id="2"/>
    </w:p>
    <w:p w14:paraId="49AAFFF8">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highlight w:val="none"/>
        </w:rPr>
      </w:pPr>
      <w:r>
        <w:rPr>
          <w:rFonts w:hint="eastAsia"/>
          <w:color w:val="auto"/>
          <w:highlight w:val="none"/>
        </w:rPr>
        <w:t>根据有关法律法规，遵循“公开、公平、公正”的原则，结合本项目的实际需求，制定本办法。</w:t>
      </w:r>
    </w:p>
    <w:p w14:paraId="16A3C1B3">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一、总则</w:t>
      </w:r>
    </w:p>
    <w:p w14:paraId="712C02E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1.本次评标采用综合评分法，总分为100分。</w:t>
      </w:r>
    </w:p>
    <w:p w14:paraId="5728E00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2.各合格投标人综合得分的计算公式为：</w:t>
      </w:r>
    </w:p>
    <w:p w14:paraId="38872E6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投标人评标</w:t>
      </w:r>
      <w:r>
        <w:rPr>
          <w:rFonts w:hint="eastAsia" w:ascii="仿宋" w:hAnsi="仿宋" w:eastAsia="仿宋"/>
          <w:bCs/>
          <w:color w:val="auto"/>
          <w:sz w:val="24"/>
          <w:szCs w:val="24"/>
          <w:highlight w:val="none"/>
        </w:rPr>
        <w:t>综合得分=商务技术得分＋投标价格得分。</w:t>
      </w:r>
    </w:p>
    <w:p w14:paraId="6D83E29F">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3.合格投标人的评标得分为各项目汇总得分，中标候选资格按评标得分由高到低顺序排列，得分相同的，按投标报价由低到高顺序排列；得分且投标报价相同的</w:t>
      </w:r>
      <w:r>
        <w:rPr>
          <w:rFonts w:hint="eastAsia"/>
          <w:color w:val="auto"/>
          <w:sz w:val="24"/>
          <w:szCs w:val="24"/>
          <w:highlight w:val="none"/>
          <w:lang w:val="en-US" w:eastAsia="zh-CN"/>
        </w:rPr>
        <w:t>并列</w:t>
      </w:r>
      <w:r>
        <w:rPr>
          <w:rFonts w:hint="eastAsia" w:ascii="仿宋" w:hAnsi="仿宋" w:eastAsia="仿宋"/>
          <w:color w:val="auto"/>
          <w:sz w:val="24"/>
          <w:szCs w:val="24"/>
          <w:highlight w:val="none"/>
        </w:rPr>
        <w:t>，并形成评标意见。</w:t>
      </w:r>
    </w:p>
    <w:p w14:paraId="0D402896">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14:paraId="7D9B725F">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14:paraId="123C577E">
      <w:pPr>
        <w:pageBreakBefore w:val="0"/>
        <w:kinsoku/>
        <w:bidi w:val="0"/>
        <w:spacing w:beforeAutospacing="0" w:afterAutospacing="0" w:line="440" w:lineRule="exact"/>
        <w:ind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14:paraId="11C02AF4">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（一）价格评分(</w:t>
      </w:r>
      <w:r>
        <w:rPr>
          <w:rFonts w:hint="eastAsia"/>
          <w:b/>
          <w:color w:val="auto"/>
          <w:sz w:val="24"/>
          <w:szCs w:val="24"/>
          <w:highlight w:val="none"/>
          <w:lang w:val="en-US" w:eastAsia="zh-CN"/>
        </w:rPr>
        <w:t>10</w:t>
      </w:r>
      <w:r>
        <w:rPr>
          <w:rFonts w:hint="eastAsia" w:ascii="仿宋" w:hAnsi="仿宋" w:eastAsia="仿宋"/>
          <w:b/>
          <w:color w:val="auto"/>
          <w:sz w:val="24"/>
          <w:szCs w:val="24"/>
          <w:highlight w:val="none"/>
        </w:rPr>
        <w:t>分)</w:t>
      </w:r>
    </w:p>
    <w:p w14:paraId="1D11645C">
      <w:pPr>
        <w:pageBreakBefore w:val="0"/>
        <w:kinsoku/>
        <w:bidi w:val="0"/>
        <w:spacing w:beforeAutospacing="0" w:afterAutospacing="0" w:line="440" w:lineRule="exact"/>
        <w:ind w:firstLine="482" w:firstLineChars="200"/>
        <w:rPr>
          <w:rFonts w:ascii="仿宋" w:hAnsi="仿宋" w:eastAsia="仿宋"/>
          <w:color w:val="auto"/>
          <w:sz w:val="24"/>
          <w:szCs w:val="24"/>
          <w:highlight w:val="none"/>
        </w:rPr>
      </w:pPr>
      <w:r>
        <w:rPr>
          <w:rFonts w:hint="eastAsia" w:ascii="仿宋" w:hAnsi="仿宋" w:eastAsia="仿宋"/>
          <w:b/>
          <w:color w:val="auto"/>
          <w:sz w:val="24"/>
          <w:szCs w:val="24"/>
          <w:highlight w:val="none"/>
        </w:rPr>
        <w:t>1.报价的合理性：</w:t>
      </w:r>
      <w:r>
        <w:rPr>
          <w:rFonts w:hint="eastAsia" w:ascii="仿宋" w:hAnsi="仿宋" w:eastAsia="仿宋"/>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3A9101DD">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2.</w:t>
      </w:r>
      <w:r>
        <w:rPr>
          <w:rFonts w:hint="eastAsia" w:ascii="仿宋" w:hAnsi="仿宋" w:eastAsia="仿宋"/>
          <w:b/>
          <w:color w:val="auto"/>
          <w:sz w:val="24"/>
          <w:highlight w:val="none"/>
          <w:lang w:val="zh-CN"/>
        </w:rPr>
        <w:t>价格</w:t>
      </w:r>
      <w:r>
        <w:rPr>
          <w:rFonts w:hint="eastAsia" w:ascii="仿宋" w:hAnsi="仿宋" w:eastAsia="仿宋" w:cs="仿宋_GB2312"/>
          <w:b/>
          <w:color w:val="auto"/>
          <w:sz w:val="24"/>
          <w:highlight w:val="none"/>
          <w:lang w:val="zh-CN"/>
        </w:rPr>
        <w:t>分的计算：</w:t>
      </w:r>
      <w:r>
        <w:rPr>
          <w:rFonts w:ascii="仿宋" w:hAnsi="仿宋" w:eastAsia="仿宋"/>
          <w:b/>
          <w:bCs/>
          <w:color w:val="auto"/>
          <w:sz w:val="24"/>
          <w:szCs w:val="24"/>
          <w:highlight w:val="none"/>
        </w:rPr>
        <w:t xml:space="preserve"> </w:t>
      </w:r>
      <w:r>
        <w:rPr>
          <w:rFonts w:hint="eastAsia" w:ascii="仿宋" w:hAnsi="仿宋" w:eastAsia="仿宋"/>
          <w:color w:val="auto"/>
          <w:sz w:val="24"/>
          <w:highlight w:val="none"/>
        </w:rPr>
        <w:t>根据各投标人的有效投标报价，</w:t>
      </w:r>
      <w:r>
        <w:rPr>
          <w:rFonts w:hint="eastAsia" w:ascii="仿宋" w:hAnsi="仿宋" w:eastAsia="仿宋"/>
          <w:color w:val="auto"/>
          <w:sz w:val="24"/>
          <w:szCs w:val="24"/>
          <w:highlight w:val="none"/>
        </w:rPr>
        <w:t>满足招标文件要求且投标价格最低的投标报价为评标基准价，其价格分为满分。其他投标人的价格分统一按照下列公式计算：投标报价得分=(评标基准价／有效投标报价)×</w:t>
      </w:r>
      <w:r>
        <w:rPr>
          <w:rFonts w:hint="eastAsia"/>
          <w:color w:val="auto"/>
          <w:sz w:val="24"/>
          <w:szCs w:val="24"/>
          <w:highlight w:val="none"/>
          <w:lang w:val="en-US" w:eastAsia="zh-CN"/>
        </w:rPr>
        <w:t>10</w:t>
      </w:r>
      <w:r>
        <w:rPr>
          <w:rFonts w:hint="eastAsia" w:ascii="仿宋" w:hAnsi="仿宋" w:eastAsia="仿宋"/>
          <w:color w:val="auto"/>
          <w:sz w:val="24"/>
          <w:szCs w:val="24"/>
          <w:highlight w:val="none"/>
        </w:rPr>
        <w:t>%×100；</w:t>
      </w:r>
      <w:r>
        <w:rPr>
          <w:rFonts w:hint="eastAsia" w:ascii="仿宋" w:hAnsi="仿宋" w:cs="仿宋"/>
          <w:color w:val="auto"/>
          <w:szCs w:val="24"/>
          <w:highlight w:val="none"/>
        </w:rPr>
        <w:t>评标过程中，不得去掉报价中的最高报价和最低报价。</w:t>
      </w:r>
    </w:p>
    <w:p w14:paraId="435A223B">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（二）商务及技术评分（</w:t>
      </w:r>
      <w:r>
        <w:rPr>
          <w:rFonts w:hint="eastAsia"/>
          <w:b/>
          <w:color w:val="auto"/>
          <w:sz w:val="24"/>
          <w:szCs w:val="24"/>
          <w:highlight w:val="none"/>
          <w:lang w:val="en-US" w:eastAsia="zh-CN"/>
        </w:rPr>
        <w:t>90</w:t>
      </w:r>
      <w:r>
        <w:rPr>
          <w:rFonts w:hint="eastAsia" w:ascii="仿宋" w:hAnsi="仿宋" w:eastAsia="仿宋"/>
          <w:b/>
          <w:color w:val="auto"/>
          <w:sz w:val="24"/>
          <w:szCs w:val="24"/>
          <w:highlight w:val="none"/>
        </w:rPr>
        <w:t>分）</w:t>
      </w:r>
    </w:p>
    <w:p w14:paraId="383480F6">
      <w:pPr>
        <w:pageBreakBefore w:val="0"/>
        <w:kinsoku/>
        <w:bidi w:val="0"/>
        <w:spacing w:beforeAutospacing="0" w:afterAutospacing="0" w:line="44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1.商务及技术分的计算。</w:t>
      </w:r>
    </w:p>
    <w:p w14:paraId="026414FE">
      <w:pPr>
        <w:pageBreakBefore w:val="0"/>
        <w:kinsoku/>
        <w:bidi w:val="0"/>
        <w:spacing w:beforeAutospacing="0" w:afterAutospacing="0" w:line="440" w:lineRule="exact"/>
        <w:ind w:firstLine="480" w:firstLineChars="200"/>
        <w:rPr>
          <w:rStyle w:val="96"/>
          <w:rFonts w:hint="eastAsia" w:ascii="Arial" w:hAnsi="Arial" w:eastAsia="宋体" w:cs="Arial"/>
          <w:color w:val="auto"/>
          <w:sz w:val="22"/>
          <w:szCs w:val="22"/>
          <w:highlight w:val="none"/>
          <w:shd w:val="clear" w:color="auto" w:fill="FFFFFF"/>
        </w:rPr>
      </w:pPr>
      <w:r>
        <w:rPr>
          <w:rFonts w:hint="eastAsia" w:ascii="仿宋" w:hAnsi="仿宋" w:eastAsia="仿宋"/>
          <w:color w:val="auto"/>
          <w:sz w:val="24"/>
          <w:szCs w:val="24"/>
          <w:highlight w:val="none"/>
        </w:rPr>
        <w:t>商务及技术评分按照评标委员会成员的独立评分结果汇总后的算术平均分计算，计算公式为：商务及技术评分＝评标委员会所有成员评分合计数/评标委员会组成人员数。</w:t>
      </w:r>
    </w:p>
    <w:p w14:paraId="7EF03045">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auto"/>
          <w:sz w:val="22"/>
          <w:szCs w:val="22"/>
          <w:highlight w:val="none"/>
          <w:shd w:val="clear" w:color="auto" w:fill="FFFFFF"/>
        </w:rPr>
      </w:pPr>
      <w:r>
        <w:rPr>
          <w:rFonts w:hint="eastAsia" w:ascii="仿宋" w:hAnsi="仿宋" w:eastAsia="仿宋"/>
          <w:b/>
          <w:color w:val="auto"/>
          <w:sz w:val="24"/>
          <w:szCs w:val="24"/>
          <w:highlight w:val="none"/>
        </w:rPr>
        <w:t>评分细则</w:t>
      </w:r>
    </w:p>
    <w:tbl>
      <w:tblPr>
        <w:tblStyle w:val="89"/>
        <w:tblW w:w="52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337"/>
        <w:gridCol w:w="6920"/>
        <w:gridCol w:w="583"/>
        <w:gridCol w:w="854"/>
      </w:tblGrid>
      <w:tr w14:paraId="26E9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3" w:type="pct"/>
            <w:noWrap w:val="0"/>
            <w:vAlign w:val="center"/>
          </w:tcPr>
          <w:p w14:paraId="7D566230">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序号</w:t>
            </w:r>
          </w:p>
        </w:tc>
        <w:tc>
          <w:tcPr>
            <w:tcW w:w="645" w:type="pct"/>
            <w:noWrap w:val="0"/>
            <w:vAlign w:val="center"/>
          </w:tcPr>
          <w:p w14:paraId="51DA2C6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评分项目</w:t>
            </w:r>
          </w:p>
        </w:tc>
        <w:tc>
          <w:tcPr>
            <w:tcW w:w="3338" w:type="pct"/>
            <w:noWrap w:val="0"/>
            <w:vAlign w:val="center"/>
          </w:tcPr>
          <w:p w14:paraId="693BA334">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评分内容</w:t>
            </w:r>
          </w:p>
        </w:tc>
        <w:tc>
          <w:tcPr>
            <w:tcW w:w="281" w:type="pct"/>
            <w:noWrap w:val="0"/>
            <w:vAlign w:val="center"/>
          </w:tcPr>
          <w:p w14:paraId="46E39502">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分值</w:t>
            </w:r>
          </w:p>
        </w:tc>
        <w:tc>
          <w:tcPr>
            <w:tcW w:w="412" w:type="pct"/>
            <w:noWrap w:val="0"/>
            <w:vAlign w:val="center"/>
          </w:tcPr>
          <w:p w14:paraId="6A78E609">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打分方法</w:t>
            </w:r>
          </w:p>
        </w:tc>
      </w:tr>
      <w:tr w14:paraId="56EE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pct"/>
            <w:vMerge w:val="restart"/>
            <w:noWrap w:val="0"/>
            <w:vAlign w:val="center"/>
          </w:tcPr>
          <w:p w14:paraId="126CDE8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645" w:type="pct"/>
            <w:vMerge w:val="restart"/>
            <w:noWrap w:val="0"/>
            <w:vAlign w:val="center"/>
          </w:tcPr>
          <w:p w14:paraId="658C3955">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物业管理服务理念、组织架构及管理制度</w:t>
            </w:r>
          </w:p>
        </w:tc>
        <w:tc>
          <w:tcPr>
            <w:tcW w:w="3338" w:type="pct"/>
            <w:noWrap w:val="0"/>
            <w:vAlign w:val="center"/>
          </w:tcPr>
          <w:p w14:paraId="0CA52ACB">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1、根据本项目物业使用特点提出合理的物业管理服务理念，拟提出整体设想及策划： ①具有合理的物业管理服务理念；②提出的服务定位、目标、管理模式能够切合实际的。</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46D7CF35">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412" w:type="pct"/>
            <w:noWrap w:val="0"/>
            <w:vAlign w:val="center"/>
          </w:tcPr>
          <w:p w14:paraId="117205C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260E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 w:type="pct"/>
            <w:vMerge w:val="continue"/>
            <w:noWrap w:val="0"/>
            <w:vAlign w:val="center"/>
          </w:tcPr>
          <w:p w14:paraId="558A9548">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0D809D7E">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2A5AA3D7">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2、</w:t>
            </w:r>
            <w:r>
              <w:rPr>
                <w:rFonts w:hint="eastAsia" w:ascii="宋体" w:hAnsi="宋体" w:cs="宋体"/>
                <w:color w:val="auto"/>
                <w:kern w:val="0"/>
                <w:sz w:val="24"/>
                <w:highlight w:val="none"/>
                <w:lang w:bidi="ar"/>
              </w:rPr>
              <w:t>针对本项目有比较完善的组织架构，清晰简练地列出主要管理流程，包括①运作流程图②激励机制③监督机制④自我约束机制⑤信息反馈及处理机制</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3778BE6F">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412" w:type="pct"/>
            <w:noWrap w:val="0"/>
            <w:vAlign w:val="center"/>
          </w:tcPr>
          <w:p w14:paraId="43EA67F4">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086A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323" w:type="pct"/>
            <w:vMerge w:val="continue"/>
            <w:noWrap w:val="0"/>
            <w:vAlign w:val="center"/>
          </w:tcPr>
          <w:p w14:paraId="5D22CD7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0E67A9C1">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22BA4C58">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3、</w:t>
            </w:r>
            <w:r>
              <w:rPr>
                <w:rFonts w:hint="eastAsia" w:ascii="宋体" w:hAnsi="宋体" w:cs="宋体"/>
                <w:color w:val="auto"/>
                <w:kern w:val="0"/>
                <w:sz w:val="24"/>
                <w:highlight w:val="none"/>
                <w:lang w:bidi="ar"/>
              </w:rPr>
              <w:t>针对本项目有比较完善的①服务制度、②作业流程及物业管理工作计划及实施时间，③能够体现标准化服务，④管理指标承诺和管理服务水平符合国家和行业标准</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0ABC61BD">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412" w:type="pct"/>
            <w:noWrap w:val="0"/>
            <w:vAlign w:val="center"/>
          </w:tcPr>
          <w:p w14:paraId="6DE1F9C1">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46CC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3" w:type="pct"/>
            <w:vMerge w:val="restart"/>
            <w:noWrap w:val="0"/>
            <w:vAlign w:val="center"/>
          </w:tcPr>
          <w:p w14:paraId="490D1833">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645" w:type="pct"/>
            <w:vMerge w:val="restart"/>
            <w:noWrap w:val="0"/>
            <w:vAlign w:val="center"/>
          </w:tcPr>
          <w:p w14:paraId="095AD487">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组织实施方案</w:t>
            </w:r>
          </w:p>
        </w:tc>
        <w:tc>
          <w:tcPr>
            <w:tcW w:w="3338" w:type="pct"/>
            <w:noWrap w:val="0"/>
            <w:vAlign w:val="center"/>
          </w:tcPr>
          <w:p w14:paraId="69C9D86E">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1、物业管理区域内环境卫生管理方案：</w:t>
            </w:r>
          </w:p>
        </w:tc>
        <w:tc>
          <w:tcPr>
            <w:tcW w:w="281" w:type="pct"/>
            <w:noWrap w:val="0"/>
            <w:vAlign w:val="center"/>
          </w:tcPr>
          <w:p w14:paraId="0E43334A">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12" w:type="pct"/>
            <w:noWrap w:val="0"/>
            <w:vAlign w:val="center"/>
          </w:tcPr>
          <w:p w14:paraId="49834612">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48C4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3" w:type="pct"/>
            <w:vMerge w:val="continue"/>
            <w:noWrap w:val="0"/>
            <w:vAlign w:val="center"/>
          </w:tcPr>
          <w:p w14:paraId="522C5334">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bidi="ar"/>
              </w:rPr>
            </w:pPr>
          </w:p>
        </w:tc>
        <w:tc>
          <w:tcPr>
            <w:tcW w:w="645" w:type="pct"/>
            <w:vMerge w:val="continue"/>
            <w:noWrap w:val="0"/>
            <w:vAlign w:val="center"/>
          </w:tcPr>
          <w:p w14:paraId="04AC2525">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bidi="ar"/>
              </w:rPr>
            </w:pPr>
          </w:p>
        </w:tc>
        <w:tc>
          <w:tcPr>
            <w:tcW w:w="3338" w:type="pct"/>
            <w:noWrap w:val="0"/>
            <w:vAlign w:val="center"/>
          </w:tcPr>
          <w:p w14:paraId="31AFDE90">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①楼梯、走廊、电梯间、地下车库、公共活动场所的台（地）面、墙面、果壳箱等设施和器皿清洁方案：服务质量标准是否符合采购需求，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0CEB10C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11890C40">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2DA6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3" w:type="pct"/>
            <w:vMerge w:val="continue"/>
            <w:noWrap w:val="0"/>
            <w:vAlign w:val="center"/>
          </w:tcPr>
          <w:p w14:paraId="67BBF1BB">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bidi="ar"/>
              </w:rPr>
            </w:pPr>
          </w:p>
        </w:tc>
        <w:tc>
          <w:tcPr>
            <w:tcW w:w="645" w:type="pct"/>
            <w:vMerge w:val="continue"/>
            <w:noWrap w:val="0"/>
            <w:vAlign w:val="center"/>
          </w:tcPr>
          <w:p w14:paraId="7A568B18">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bidi="ar"/>
              </w:rPr>
            </w:pPr>
          </w:p>
        </w:tc>
        <w:tc>
          <w:tcPr>
            <w:tcW w:w="3338" w:type="pct"/>
            <w:noWrap w:val="0"/>
            <w:vAlign w:val="center"/>
          </w:tcPr>
          <w:p w14:paraId="576B0A65">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②围墙内的道路、园林、停车场、垃圾房等所有公共场地及设施和门前三包区域的日常保洁保养方案：服务质量标准是否符合采购需求，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76EEF5C0">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412" w:type="pct"/>
            <w:noWrap w:val="0"/>
            <w:vAlign w:val="center"/>
          </w:tcPr>
          <w:p w14:paraId="4F149CD1">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1A79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3" w:type="pct"/>
            <w:vMerge w:val="continue"/>
            <w:noWrap w:val="0"/>
            <w:vAlign w:val="center"/>
          </w:tcPr>
          <w:p w14:paraId="4B1D9556">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bidi="ar"/>
              </w:rPr>
            </w:pPr>
          </w:p>
        </w:tc>
        <w:tc>
          <w:tcPr>
            <w:tcW w:w="645" w:type="pct"/>
            <w:vMerge w:val="continue"/>
            <w:noWrap w:val="0"/>
            <w:vAlign w:val="center"/>
          </w:tcPr>
          <w:p w14:paraId="414AF52B">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bidi="ar"/>
              </w:rPr>
            </w:pPr>
          </w:p>
        </w:tc>
        <w:tc>
          <w:tcPr>
            <w:tcW w:w="3338" w:type="pct"/>
            <w:noWrap w:val="0"/>
            <w:vAlign w:val="center"/>
          </w:tcPr>
          <w:p w14:paraId="3740B760">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③垃圾、废弃物分类服务方案：服务质量标准是否符合采购需求，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134169C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5E7ED458">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4AF5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3" w:type="pct"/>
            <w:vMerge w:val="continue"/>
            <w:noWrap w:val="0"/>
            <w:vAlign w:val="center"/>
          </w:tcPr>
          <w:p w14:paraId="207F7B42">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bidi="ar"/>
              </w:rPr>
            </w:pPr>
          </w:p>
        </w:tc>
        <w:tc>
          <w:tcPr>
            <w:tcW w:w="645" w:type="pct"/>
            <w:vMerge w:val="continue"/>
            <w:noWrap w:val="0"/>
            <w:vAlign w:val="center"/>
          </w:tcPr>
          <w:p w14:paraId="53E20EF2">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bidi="ar"/>
              </w:rPr>
            </w:pPr>
          </w:p>
        </w:tc>
        <w:tc>
          <w:tcPr>
            <w:tcW w:w="3338" w:type="pct"/>
            <w:noWrap w:val="0"/>
            <w:vAlign w:val="center"/>
          </w:tcPr>
          <w:p w14:paraId="6ED3D05E">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④灭“四害”方案：服务质量标准是否符合采购需求，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61B890E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3D9C5766">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1180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23" w:type="pct"/>
            <w:vMerge w:val="continue"/>
            <w:noWrap w:val="0"/>
            <w:vAlign w:val="center"/>
          </w:tcPr>
          <w:p w14:paraId="57BBB49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231202E3">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259249E1">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2、区域内传达、保安、秩序管理和消防、监控设施维护方案。</w:t>
            </w:r>
          </w:p>
        </w:tc>
        <w:tc>
          <w:tcPr>
            <w:tcW w:w="281" w:type="pct"/>
            <w:noWrap w:val="0"/>
            <w:vAlign w:val="center"/>
          </w:tcPr>
          <w:p w14:paraId="2428E37A">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12" w:type="pct"/>
            <w:noWrap w:val="0"/>
            <w:vAlign w:val="center"/>
          </w:tcPr>
          <w:p w14:paraId="3A804270">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6435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23" w:type="pct"/>
            <w:vMerge w:val="continue"/>
            <w:noWrap w:val="0"/>
            <w:vAlign w:val="center"/>
          </w:tcPr>
          <w:p w14:paraId="730D7FA1">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2F66FA76">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7F8B509B">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①来人来访的通报、证件</w:t>
            </w:r>
            <w:r>
              <w:rPr>
                <w:rStyle w:val="1034"/>
                <w:rFonts w:hint="eastAsia" w:ascii="仿宋" w:hAnsi="仿宋" w:eastAsia="仿宋" w:cs="仿宋"/>
                <w:color w:val="auto"/>
                <w:sz w:val="24"/>
                <w:szCs w:val="24"/>
                <w:highlight w:val="none"/>
                <w:lang w:bidi="ar"/>
              </w:rPr>
              <w:t>检验</w:t>
            </w:r>
            <w:r>
              <w:rPr>
                <w:rFonts w:hint="eastAsia" w:ascii="仿宋" w:hAnsi="仿宋" w:eastAsia="仿宋" w:cs="仿宋"/>
                <w:color w:val="auto"/>
                <w:sz w:val="24"/>
                <w:szCs w:val="24"/>
                <w:highlight w:val="none"/>
                <w:lang w:bidi="ar"/>
              </w:rPr>
              <w:t>、登记、报刊信件收发方案：服务质量标准是否符合采购需求，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7E7DA7DB">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2B4B32C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3251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23" w:type="pct"/>
            <w:vMerge w:val="continue"/>
            <w:noWrap w:val="0"/>
            <w:vAlign w:val="center"/>
          </w:tcPr>
          <w:p w14:paraId="17E3CDC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361F466A">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040E70C0">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②门卫、守护和巡逻，维护公共秩序方案：服务质量标准是否符合采购需求，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5349DA8F">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7E7A110B">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6D9F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3" w:type="pct"/>
            <w:vMerge w:val="continue"/>
            <w:noWrap w:val="0"/>
            <w:vAlign w:val="center"/>
          </w:tcPr>
          <w:p w14:paraId="37AA9A20">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405C0FD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4AADB8A0">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③处理治安及其他突发事件方案：服务质量标准是否符合采购需求，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0C0FABD5">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5DCB798B">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3C79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23" w:type="pct"/>
            <w:vMerge w:val="continue"/>
            <w:noWrap w:val="0"/>
            <w:vAlign w:val="center"/>
          </w:tcPr>
          <w:p w14:paraId="3E998ED0">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61AB009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1F9FC25A">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④负责道路交通管理、机动车和非机动车停放管理方案：服务质量标准是否符合采购需求，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1EA50B32">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7186BA8E">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1044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23" w:type="pct"/>
            <w:vMerge w:val="continue"/>
            <w:noWrap w:val="0"/>
            <w:vAlign w:val="center"/>
          </w:tcPr>
          <w:p w14:paraId="65073503">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7E9B83F2">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4972FC6C">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⑤负责防盗、防火报警监控设备运行管理和维护、修理方案：服务质量标准是否符合采购需求，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467D08FF">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19EBABD0">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6590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23" w:type="pct"/>
            <w:vMerge w:val="continue"/>
            <w:noWrap w:val="0"/>
            <w:vAlign w:val="center"/>
          </w:tcPr>
          <w:p w14:paraId="22CB1E6A">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1D41DCA3">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2619CD56">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⑥积极主动地配合临时应急调度（货物搬运、卫生清洁）方案：服务质量标准是否符合采购需求，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分，方案内容完整度一般，存在瑕疵或不足，与本项目实际有偏差的得</w:t>
            </w:r>
            <w:r>
              <w:rPr>
                <w:rFonts w:hint="eastAsia" w:cs="仿宋"/>
                <w:color w:val="auto"/>
                <w:sz w:val="24"/>
                <w:szCs w:val="24"/>
                <w:highlight w:val="none"/>
                <w:lang w:val="en-US" w:eastAsia="zh-CN" w:bidi="ar"/>
              </w:rPr>
              <w:t>0.5</w:t>
            </w:r>
            <w:r>
              <w:rPr>
                <w:rFonts w:hint="eastAsia" w:ascii="仿宋" w:hAnsi="仿宋" w:eastAsia="仿宋" w:cs="仿宋"/>
                <w:color w:val="auto"/>
                <w:sz w:val="24"/>
                <w:szCs w:val="24"/>
                <w:highlight w:val="none"/>
                <w:lang w:eastAsia="zh-CN" w:bidi="ar"/>
              </w:rPr>
              <w:t>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061EE498">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2</w:t>
            </w:r>
          </w:p>
        </w:tc>
        <w:tc>
          <w:tcPr>
            <w:tcW w:w="412" w:type="pct"/>
            <w:noWrap w:val="0"/>
            <w:vAlign w:val="center"/>
          </w:tcPr>
          <w:p w14:paraId="7A6D21EE">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6A44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23" w:type="pct"/>
            <w:vMerge w:val="continue"/>
            <w:noWrap w:val="0"/>
            <w:vAlign w:val="center"/>
          </w:tcPr>
          <w:p w14:paraId="0748CE6D">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03DBA56B">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0D9DA106">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3、设施设备运行维护方案。</w:t>
            </w:r>
            <w:r>
              <w:rPr>
                <w:rFonts w:hint="eastAsia" w:cs="仿宋"/>
                <w:color w:val="auto"/>
                <w:sz w:val="24"/>
                <w:szCs w:val="24"/>
                <w:highlight w:val="none"/>
                <w:lang w:val="en-US" w:eastAsia="zh-CN" w:bidi="ar"/>
              </w:rPr>
              <w:t xml:space="preserve"> </w:t>
            </w:r>
          </w:p>
        </w:tc>
        <w:tc>
          <w:tcPr>
            <w:tcW w:w="281" w:type="pct"/>
            <w:noWrap w:val="0"/>
            <w:vAlign w:val="center"/>
          </w:tcPr>
          <w:p w14:paraId="685B67E1">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12" w:type="pct"/>
            <w:noWrap w:val="0"/>
            <w:vAlign w:val="center"/>
          </w:tcPr>
          <w:p w14:paraId="79041AA9">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072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3" w:type="pct"/>
            <w:vMerge w:val="continue"/>
            <w:noWrap w:val="0"/>
            <w:vAlign w:val="center"/>
          </w:tcPr>
          <w:p w14:paraId="4ECA457A">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3C62024B">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5B067B98">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①设施设备日常运行及维护、清洗方案：服务质量标准是否符合采购需求，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281" w:type="pct"/>
            <w:noWrap w:val="0"/>
            <w:vAlign w:val="center"/>
          </w:tcPr>
          <w:p w14:paraId="1FC9AABA">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12" w:type="pct"/>
            <w:noWrap w:val="0"/>
            <w:vAlign w:val="center"/>
          </w:tcPr>
          <w:p w14:paraId="76EB96B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4039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3" w:type="pct"/>
            <w:vMerge w:val="continue"/>
            <w:noWrap w:val="0"/>
            <w:vAlign w:val="center"/>
          </w:tcPr>
          <w:p w14:paraId="090BC336">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12928FE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54064D74">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②电梯管理方案。除专业维保的日常保洁、管理方案及在专业人员对电梯保养工作时进行监督方案：服务质量标准是否符合采购需求，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281" w:type="pct"/>
            <w:noWrap w:val="0"/>
            <w:vAlign w:val="center"/>
          </w:tcPr>
          <w:p w14:paraId="4D1D52DA">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12" w:type="pct"/>
            <w:noWrap w:val="0"/>
            <w:vAlign w:val="center"/>
          </w:tcPr>
          <w:p w14:paraId="107E8BC0">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主观分</w:t>
            </w:r>
          </w:p>
        </w:tc>
      </w:tr>
      <w:tr w14:paraId="753E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23" w:type="pct"/>
            <w:vMerge w:val="continue"/>
            <w:noWrap w:val="0"/>
            <w:vAlign w:val="center"/>
          </w:tcPr>
          <w:p w14:paraId="58B7E347">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7FF13507">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3F9C145C">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③室外公共设施每年修缮，包括修理、除锈、刷漆、加固、更换方案：服务质量标准是否符合采购需求，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分，方案内容完整度一般，存在瑕疵或不足，与本项目实际有偏差的</w:t>
            </w:r>
            <w:r>
              <w:rPr>
                <w:rFonts w:hint="eastAsia" w:ascii="仿宋" w:hAnsi="仿宋" w:eastAsia="仿宋" w:cs="仿宋"/>
                <w:color w:val="auto"/>
                <w:sz w:val="24"/>
                <w:szCs w:val="24"/>
                <w:highlight w:val="none"/>
                <w:lang w:val="en-US" w:eastAsia="zh-CN" w:bidi="ar"/>
              </w:rPr>
              <w:t>或</w:t>
            </w:r>
            <w:r>
              <w:rPr>
                <w:rFonts w:hint="eastAsia" w:ascii="仿宋" w:hAnsi="仿宋" w:eastAsia="仿宋" w:cs="仿宋"/>
                <w:color w:val="auto"/>
                <w:sz w:val="24"/>
                <w:szCs w:val="24"/>
                <w:highlight w:val="none"/>
                <w:lang w:eastAsia="zh-CN" w:bidi="ar"/>
              </w:rPr>
              <w:t>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7D868F1F">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12" w:type="pct"/>
            <w:noWrap w:val="0"/>
            <w:vAlign w:val="center"/>
          </w:tcPr>
          <w:p w14:paraId="06B8116B">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主观分</w:t>
            </w:r>
          </w:p>
        </w:tc>
      </w:tr>
      <w:tr w14:paraId="6A2F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3" w:type="pct"/>
            <w:vMerge w:val="continue"/>
            <w:noWrap w:val="0"/>
            <w:vAlign w:val="center"/>
          </w:tcPr>
          <w:p w14:paraId="65A9FACC">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104AF038">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1BF83ED9">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④工程综合维修人员日常时间安排方案：服务质量标准是否符合采购需求，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281" w:type="pct"/>
            <w:noWrap w:val="0"/>
            <w:vAlign w:val="center"/>
          </w:tcPr>
          <w:p w14:paraId="07535271">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12" w:type="pct"/>
            <w:noWrap w:val="0"/>
            <w:vAlign w:val="center"/>
          </w:tcPr>
          <w:p w14:paraId="35DC535C">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74DD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23" w:type="pct"/>
            <w:vMerge w:val="continue"/>
            <w:noWrap w:val="0"/>
            <w:vAlign w:val="center"/>
          </w:tcPr>
          <w:p w14:paraId="7C1DE16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41A9A8EA">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608C4AC8">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4、房屋及设施日常养护维修方案。包括</w:t>
            </w:r>
            <w:r>
              <w:rPr>
                <w:rFonts w:hint="eastAsia" w:cs="仿宋"/>
                <w:color w:val="auto"/>
                <w:sz w:val="24"/>
                <w:szCs w:val="24"/>
                <w:highlight w:val="none"/>
                <w:lang w:val="en-US" w:eastAsia="zh-CN" w:bidi="ar"/>
              </w:rPr>
              <w:t>小区公区</w:t>
            </w:r>
            <w:r>
              <w:rPr>
                <w:rFonts w:hint="eastAsia" w:ascii="仿宋" w:hAnsi="仿宋" w:eastAsia="仿宋" w:cs="仿宋"/>
                <w:color w:val="auto"/>
                <w:sz w:val="24"/>
                <w:szCs w:val="24"/>
                <w:highlight w:val="none"/>
                <w:lang w:bidi="ar"/>
              </w:rPr>
              <w:t>地面、墙</w:t>
            </w:r>
            <w:r>
              <w:rPr>
                <w:rFonts w:hint="eastAsia" w:ascii="仿宋" w:hAnsi="仿宋" w:cs="仿宋"/>
                <w:color w:val="auto"/>
                <w:sz w:val="24"/>
                <w:szCs w:val="24"/>
                <w:highlight w:val="none"/>
                <w:lang w:eastAsia="zh-CN" w:bidi="ar"/>
              </w:rPr>
              <w:t>面、</w:t>
            </w:r>
            <w:r>
              <w:rPr>
                <w:rFonts w:hint="eastAsia" w:ascii="仿宋" w:hAnsi="仿宋" w:eastAsia="仿宋" w:cs="仿宋"/>
                <w:color w:val="auto"/>
                <w:sz w:val="24"/>
                <w:szCs w:val="24"/>
                <w:highlight w:val="none"/>
                <w:lang w:bidi="ar"/>
              </w:rPr>
              <w:t>台面及吊顶、门窗、楼梯、通风道等的日常巡查和养护维修，服务质量标准是否符合采购需求，</w:t>
            </w:r>
            <w:r>
              <w:rPr>
                <w:rFonts w:hint="eastAsia" w:ascii="仿宋" w:hAnsi="仿宋" w:eastAsia="仿宋" w:cs="仿宋"/>
                <w:color w:val="auto"/>
                <w:sz w:val="24"/>
                <w:szCs w:val="24"/>
                <w:highlight w:val="none"/>
                <w:lang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281" w:type="pct"/>
            <w:noWrap w:val="0"/>
            <w:vAlign w:val="center"/>
          </w:tcPr>
          <w:p w14:paraId="22EBCD28">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12" w:type="pct"/>
            <w:noWrap w:val="0"/>
            <w:vAlign w:val="center"/>
          </w:tcPr>
          <w:p w14:paraId="3D2FA86E">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主观分</w:t>
            </w:r>
          </w:p>
        </w:tc>
      </w:tr>
      <w:tr w14:paraId="5226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23" w:type="pct"/>
            <w:vMerge w:val="continue"/>
            <w:noWrap w:val="0"/>
            <w:vAlign w:val="center"/>
          </w:tcPr>
          <w:p w14:paraId="71D690C5">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3B917B4C">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10258C36">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5、物资配置方案。详细说明投入的管理设备、工具、药剂、材料的品牌、型号、产地、数量等清单，品种数量配置是否合理，</w:t>
            </w:r>
            <w:r>
              <w:rPr>
                <w:rFonts w:hint="eastAsia" w:ascii="仿宋" w:hAnsi="仿宋" w:eastAsia="仿宋" w:cs="仿宋"/>
                <w:color w:val="auto"/>
                <w:sz w:val="24"/>
                <w:szCs w:val="24"/>
                <w:highlight w:val="none"/>
                <w:lang w:eastAsia="zh-CN" w:bidi="ar"/>
              </w:rPr>
              <w:t>方案内容完整、规范、合理且可行，针对性强的得3分，方案内容较完整，合理性、可行性、针对性一般的得2分，方案内容完整度一般，存在瑕疵或不足，与本项目实际有偏差的得1分，未提供相关内容的得0分。（0-</w:t>
            </w:r>
            <w:r>
              <w:rPr>
                <w:rFonts w:hint="eastAsia"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71C242E6">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12" w:type="pct"/>
            <w:noWrap w:val="0"/>
            <w:vAlign w:val="center"/>
          </w:tcPr>
          <w:p w14:paraId="1297DD21">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511F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23" w:type="pct"/>
            <w:vMerge w:val="continue"/>
            <w:noWrap w:val="0"/>
            <w:vAlign w:val="center"/>
          </w:tcPr>
          <w:p w14:paraId="1FA7DCBA">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7E2D5716">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28C13EBC">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6、管理创新。在管理方面运用信息化手段，自主开发应用设备巡查、报修维修等方面专业信息管理系统，提高管理水平。</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分，方案内容完整度一般，存在瑕疵或不足，与本项目实际有偏差的得1分，未提供相关内容的得0分。（0-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784EA30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412" w:type="pct"/>
            <w:noWrap w:val="0"/>
            <w:vAlign w:val="center"/>
          </w:tcPr>
          <w:p w14:paraId="66E092BD">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4398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23" w:type="pct"/>
            <w:vMerge w:val="continue"/>
            <w:noWrap w:val="0"/>
            <w:vAlign w:val="center"/>
          </w:tcPr>
          <w:p w14:paraId="6BD1EA76">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6B5E05C7">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6C42F597">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7、进场、交接方案。进场筹备工作和与原履约方交接、本项目履约结束后与下一中标人的交接方案，</w:t>
            </w:r>
            <w:r>
              <w:rPr>
                <w:rFonts w:hint="eastAsia" w:ascii="仿宋" w:hAnsi="仿宋" w:eastAsia="仿宋" w:cs="仿宋"/>
                <w:color w:val="auto"/>
                <w:sz w:val="24"/>
                <w:szCs w:val="24"/>
                <w:highlight w:val="none"/>
                <w:lang w:eastAsia="zh-CN" w:bidi="ar"/>
              </w:rPr>
              <w:t>方案内容完整、规范、合理且可行，针对性强的得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分，方案内容较完整，合理性、可行性、针对性一般的得</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分，方案内容完整度一般，存在</w:t>
            </w:r>
            <w:r>
              <w:rPr>
                <w:rFonts w:hint="eastAsia" w:ascii="仿宋" w:hAnsi="仿宋" w:cs="仿宋"/>
                <w:color w:val="auto"/>
                <w:sz w:val="24"/>
                <w:szCs w:val="24"/>
                <w:highlight w:val="none"/>
                <w:lang w:eastAsia="zh-CN" w:bidi="ar"/>
              </w:rPr>
              <w:t>严重</w:t>
            </w:r>
            <w:r>
              <w:rPr>
                <w:rFonts w:hint="eastAsia" w:ascii="仿宋" w:hAnsi="仿宋" w:eastAsia="仿宋" w:cs="仿宋"/>
                <w:color w:val="auto"/>
                <w:sz w:val="24"/>
                <w:szCs w:val="24"/>
                <w:highlight w:val="none"/>
                <w:lang w:eastAsia="zh-CN" w:bidi="ar"/>
              </w:rPr>
              <w:t>瑕疵或不足，与本项目实际有偏差的</w:t>
            </w:r>
            <w:r>
              <w:rPr>
                <w:rFonts w:hint="eastAsia" w:ascii="仿宋" w:hAnsi="仿宋" w:eastAsia="仿宋" w:cs="仿宋"/>
                <w:color w:val="auto"/>
                <w:sz w:val="24"/>
                <w:szCs w:val="24"/>
                <w:highlight w:val="none"/>
                <w:lang w:val="en-US" w:eastAsia="zh-CN" w:bidi="ar"/>
              </w:rPr>
              <w:t>或</w:t>
            </w:r>
            <w:r>
              <w:rPr>
                <w:rFonts w:hint="eastAsia" w:ascii="仿宋" w:hAnsi="仿宋" w:eastAsia="仿宋" w:cs="仿宋"/>
                <w:color w:val="auto"/>
                <w:sz w:val="24"/>
                <w:szCs w:val="24"/>
                <w:highlight w:val="none"/>
                <w:lang w:eastAsia="zh-CN" w:bidi="ar"/>
              </w:rPr>
              <w:t>未提供相关内容的得0分。（0-</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tc>
        <w:tc>
          <w:tcPr>
            <w:tcW w:w="281" w:type="pct"/>
            <w:noWrap w:val="0"/>
            <w:vAlign w:val="center"/>
          </w:tcPr>
          <w:p w14:paraId="681EE4AA">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12" w:type="pct"/>
            <w:noWrap w:val="0"/>
            <w:vAlign w:val="center"/>
          </w:tcPr>
          <w:p w14:paraId="240C6678">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2A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3" w:type="pct"/>
            <w:vMerge w:val="restart"/>
            <w:noWrap w:val="0"/>
            <w:vAlign w:val="center"/>
          </w:tcPr>
          <w:p w14:paraId="6365649E">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645" w:type="pct"/>
            <w:vMerge w:val="restart"/>
            <w:noWrap w:val="0"/>
            <w:vAlign w:val="center"/>
          </w:tcPr>
          <w:p w14:paraId="0640BA1F">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安全方案与应急措施</w:t>
            </w:r>
          </w:p>
        </w:tc>
        <w:tc>
          <w:tcPr>
            <w:tcW w:w="3338" w:type="pct"/>
            <w:noWrap w:val="0"/>
            <w:vAlign w:val="center"/>
          </w:tcPr>
          <w:p w14:paraId="16ABB456">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1、对物业突发事件（包括发生台风、暴雨等灾害性天气及其他突发事件）时的应急预案及相应的措施是否满足采购需求，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CN" w:bidi="ar"/>
              </w:rPr>
              <w:t>分，方案内容较完整，合理性、可行性、针对性</w:t>
            </w:r>
            <w:r>
              <w:rPr>
                <w:rFonts w:hint="eastAsia" w:cs="仿宋"/>
                <w:color w:val="auto"/>
                <w:sz w:val="24"/>
                <w:szCs w:val="24"/>
                <w:highlight w:val="none"/>
                <w:lang w:val="en-US" w:eastAsia="zh-CN" w:bidi="ar"/>
              </w:rPr>
              <w:t>较好</w:t>
            </w:r>
            <w:r>
              <w:rPr>
                <w:rFonts w:hint="eastAsia" w:ascii="仿宋" w:hAnsi="仿宋" w:eastAsia="仿宋" w:cs="仿宋"/>
                <w:color w:val="auto"/>
                <w:sz w:val="24"/>
                <w:szCs w:val="24"/>
                <w:highlight w:val="none"/>
                <w:lang w:eastAsia="zh-CN" w:bidi="ar"/>
              </w:rPr>
              <w:t>的得</w:t>
            </w:r>
            <w:r>
              <w:rPr>
                <w:rFonts w:hint="eastAsia"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CN" w:bidi="ar"/>
              </w:rPr>
              <w:t>分，方案内容</w:t>
            </w:r>
            <w:r>
              <w:rPr>
                <w:rFonts w:hint="eastAsia" w:cs="仿宋"/>
                <w:color w:val="auto"/>
                <w:sz w:val="24"/>
                <w:szCs w:val="24"/>
                <w:highlight w:val="none"/>
                <w:lang w:val="en-US" w:eastAsia="zh-CN" w:bidi="ar"/>
              </w:rPr>
              <w:t>一般</w:t>
            </w:r>
            <w:r>
              <w:rPr>
                <w:rFonts w:hint="eastAsia" w:ascii="仿宋" w:hAnsi="仿宋" w:eastAsia="仿宋" w:cs="仿宋"/>
                <w:color w:val="auto"/>
                <w:sz w:val="24"/>
                <w:szCs w:val="24"/>
                <w:highlight w:val="none"/>
                <w:lang w:eastAsia="zh-CN" w:bidi="ar"/>
              </w:rPr>
              <w:t>，合理性、可行性、针对性</w:t>
            </w:r>
            <w:r>
              <w:rPr>
                <w:rFonts w:hint="eastAsia" w:cs="仿宋"/>
                <w:color w:val="auto"/>
                <w:sz w:val="24"/>
                <w:szCs w:val="24"/>
                <w:highlight w:val="none"/>
                <w:lang w:val="en-US" w:eastAsia="zh-CN" w:bidi="ar"/>
              </w:rPr>
              <w:t>一般</w:t>
            </w:r>
            <w:r>
              <w:rPr>
                <w:rFonts w:hint="eastAsia" w:ascii="仿宋" w:hAnsi="仿宋" w:eastAsia="仿宋" w:cs="仿宋"/>
                <w:color w:val="auto"/>
                <w:sz w:val="24"/>
                <w:szCs w:val="24"/>
                <w:highlight w:val="none"/>
                <w:lang w:eastAsia="zh-CN" w:bidi="ar"/>
              </w:rPr>
              <w:t>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r>
              <w:rPr>
                <w:rFonts w:hint="eastAsia" w:cs="仿宋"/>
                <w:color w:val="auto"/>
                <w:sz w:val="24"/>
                <w:szCs w:val="24"/>
                <w:highlight w:val="none"/>
                <w:lang w:eastAsia="zh-CN" w:bidi="ar"/>
              </w:rPr>
              <w:t>，</w:t>
            </w:r>
            <w:r>
              <w:rPr>
                <w:rFonts w:hint="eastAsia" w:ascii="仿宋" w:hAnsi="仿宋" w:eastAsia="仿宋" w:cs="仿宋"/>
                <w:color w:val="auto"/>
                <w:sz w:val="24"/>
                <w:szCs w:val="24"/>
                <w:highlight w:val="none"/>
                <w:lang w:eastAsia="zh-CN" w:bidi="ar"/>
              </w:rPr>
              <w:t>方案内容存在瑕疵或不足，合理性、可行性、针对性与本项目实际有偏差的得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分，未提供相关内容的得0分。</w:t>
            </w:r>
            <w:r>
              <w:rPr>
                <w:rFonts w:hint="eastAsia" w:cs="仿宋"/>
                <w:color w:val="auto"/>
                <w:sz w:val="24"/>
                <w:szCs w:val="24"/>
                <w:highlight w:val="none"/>
                <w:lang w:eastAsia="zh-CN" w:bidi="ar"/>
              </w:rPr>
              <w:t>（</w:t>
            </w:r>
            <w:r>
              <w:rPr>
                <w:rFonts w:hint="eastAsia" w:cs="仿宋"/>
                <w:color w:val="auto"/>
                <w:sz w:val="24"/>
                <w:szCs w:val="24"/>
                <w:highlight w:val="none"/>
                <w:lang w:val="en-US" w:eastAsia="zh-CN" w:bidi="ar"/>
              </w:rPr>
              <w:t>0-4分</w:t>
            </w:r>
            <w:r>
              <w:rPr>
                <w:rFonts w:hint="eastAsia" w:cs="仿宋"/>
                <w:color w:val="auto"/>
                <w:sz w:val="24"/>
                <w:szCs w:val="24"/>
                <w:highlight w:val="none"/>
                <w:lang w:eastAsia="zh-CN" w:bidi="ar"/>
              </w:rPr>
              <w:t>）</w:t>
            </w:r>
          </w:p>
        </w:tc>
        <w:tc>
          <w:tcPr>
            <w:tcW w:w="281" w:type="pct"/>
            <w:noWrap w:val="0"/>
            <w:vAlign w:val="center"/>
          </w:tcPr>
          <w:p w14:paraId="12633B35">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12" w:type="pct"/>
            <w:noWrap w:val="0"/>
            <w:vAlign w:val="center"/>
          </w:tcPr>
          <w:p w14:paraId="4A37C9EA">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1F57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23" w:type="pct"/>
            <w:vMerge w:val="continue"/>
            <w:noWrap w:val="0"/>
            <w:vAlign w:val="center"/>
          </w:tcPr>
          <w:p w14:paraId="76093092">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039DB9B4">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6F740C5A">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2、对智能化设施（如监控设备、</w:t>
            </w:r>
            <w:r>
              <w:rPr>
                <w:rFonts w:hint="eastAsia" w:cs="仿宋"/>
                <w:color w:val="auto"/>
                <w:sz w:val="24"/>
                <w:szCs w:val="24"/>
                <w:highlight w:val="none"/>
                <w:lang w:val="en-US" w:eastAsia="zh-CN" w:bidi="ar"/>
              </w:rPr>
              <w:t>小区</w:t>
            </w:r>
            <w:r>
              <w:rPr>
                <w:rFonts w:hint="eastAsia" w:ascii="仿宋" w:hAnsi="仿宋" w:eastAsia="仿宋" w:cs="仿宋"/>
                <w:color w:val="auto"/>
                <w:sz w:val="24"/>
                <w:szCs w:val="24"/>
                <w:highlight w:val="none"/>
                <w:lang w:bidi="ar"/>
              </w:rPr>
              <w:t>供电系统、电气照明装置等公共设施）的日常管理和应急维修方案等是否满足采购需求，</w:t>
            </w:r>
            <w:r>
              <w:rPr>
                <w:rFonts w:hint="eastAsia" w:ascii="仿宋" w:hAnsi="仿宋" w:eastAsia="仿宋" w:cs="仿宋"/>
                <w:color w:val="auto"/>
                <w:sz w:val="24"/>
                <w:szCs w:val="24"/>
                <w:highlight w:val="none"/>
                <w:lang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281" w:type="pct"/>
            <w:noWrap w:val="0"/>
            <w:vAlign w:val="center"/>
          </w:tcPr>
          <w:p w14:paraId="3B0186AE">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12" w:type="pct"/>
            <w:noWrap w:val="0"/>
            <w:vAlign w:val="center"/>
          </w:tcPr>
          <w:p w14:paraId="0EBE1D32">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6FD7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3" w:type="pct"/>
            <w:vMerge w:val="continue"/>
            <w:noWrap w:val="0"/>
            <w:vAlign w:val="center"/>
          </w:tcPr>
          <w:p w14:paraId="22A2CB75">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2CA49253">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164E1268">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3、消防应急措施是否满足采购需求，</w:t>
            </w:r>
            <w:r>
              <w:rPr>
                <w:rFonts w:hint="eastAsia" w:ascii="仿宋" w:hAnsi="仿宋" w:eastAsia="仿宋" w:cs="仿宋"/>
                <w:color w:val="auto"/>
                <w:sz w:val="24"/>
                <w:szCs w:val="24"/>
                <w:highlight w:val="none"/>
                <w:lang w:eastAsia="zh-CN" w:bidi="ar"/>
              </w:rPr>
              <w:t>方案内容完整、规范、合理且可行，针对性强的得3分，方案内容较完整，合理性、可行性、针对性一般的得2分，方案内容完整度一般，存在瑕疵或不足，与本项目实际有偏差的得1分，未提供相关内容的得0分。（0-3分）</w:t>
            </w:r>
          </w:p>
        </w:tc>
        <w:tc>
          <w:tcPr>
            <w:tcW w:w="281" w:type="pct"/>
            <w:noWrap w:val="0"/>
            <w:vAlign w:val="center"/>
          </w:tcPr>
          <w:p w14:paraId="6F584F7F">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12" w:type="pct"/>
            <w:noWrap w:val="0"/>
            <w:vAlign w:val="center"/>
          </w:tcPr>
          <w:p w14:paraId="60DCCEC9">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4390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23" w:type="pct"/>
            <w:vMerge w:val="continue"/>
            <w:noWrap w:val="0"/>
            <w:vAlign w:val="center"/>
          </w:tcPr>
          <w:p w14:paraId="2E07C485">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645" w:type="pct"/>
            <w:vMerge w:val="continue"/>
            <w:noWrap w:val="0"/>
            <w:vAlign w:val="center"/>
          </w:tcPr>
          <w:p w14:paraId="795B3FC1">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p>
        </w:tc>
        <w:tc>
          <w:tcPr>
            <w:tcW w:w="3338" w:type="pct"/>
            <w:noWrap w:val="0"/>
            <w:vAlign w:val="center"/>
          </w:tcPr>
          <w:p w14:paraId="17113828">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4、突然断水、断电、断气的应急措施，排水设施阻塞的应急措施，雨污水管及排水管网阻塞的应急措施是否满足采购需求，</w:t>
            </w:r>
            <w:r>
              <w:rPr>
                <w:rFonts w:hint="eastAsia" w:ascii="仿宋" w:hAnsi="仿宋" w:eastAsia="仿宋" w:cs="仿宋"/>
                <w:color w:val="auto"/>
                <w:sz w:val="24"/>
                <w:szCs w:val="24"/>
                <w:highlight w:val="none"/>
                <w:lang w:eastAsia="zh-CN" w:bidi="ar"/>
              </w:rPr>
              <w:t>方案内容完整、规范、合理且可行，针对性强的得</w:t>
            </w:r>
            <w:r>
              <w:rPr>
                <w:rFonts w:hint="eastAsia"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CN" w:bidi="ar"/>
              </w:rPr>
              <w:t>分，方案内容较完整，合理性、可行性、针对性</w:t>
            </w:r>
            <w:r>
              <w:rPr>
                <w:rFonts w:hint="eastAsia" w:cs="仿宋"/>
                <w:color w:val="auto"/>
                <w:sz w:val="24"/>
                <w:szCs w:val="24"/>
                <w:highlight w:val="none"/>
                <w:lang w:val="en-US" w:eastAsia="zh-CN" w:bidi="ar"/>
              </w:rPr>
              <w:t>较好</w:t>
            </w:r>
            <w:r>
              <w:rPr>
                <w:rFonts w:hint="eastAsia" w:ascii="仿宋" w:hAnsi="仿宋" w:eastAsia="仿宋" w:cs="仿宋"/>
                <w:color w:val="auto"/>
                <w:sz w:val="24"/>
                <w:szCs w:val="24"/>
                <w:highlight w:val="none"/>
                <w:lang w:eastAsia="zh-CN" w:bidi="ar"/>
              </w:rPr>
              <w:t>的得</w:t>
            </w:r>
            <w:r>
              <w:rPr>
                <w:rFonts w:hint="eastAsia"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CN" w:bidi="ar"/>
              </w:rPr>
              <w:t>分，方案内容</w:t>
            </w:r>
            <w:r>
              <w:rPr>
                <w:rFonts w:hint="eastAsia" w:cs="仿宋"/>
                <w:color w:val="auto"/>
                <w:sz w:val="24"/>
                <w:szCs w:val="24"/>
                <w:highlight w:val="none"/>
                <w:lang w:val="en-US" w:eastAsia="zh-CN" w:bidi="ar"/>
              </w:rPr>
              <w:t>一般</w:t>
            </w:r>
            <w:r>
              <w:rPr>
                <w:rFonts w:hint="eastAsia" w:ascii="仿宋" w:hAnsi="仿宋" w:eastAsia="仿宋" w:cs="仿宋"/>
                <w:color w:val="auto"/>
                <w:sz w:val="24"/>
                <w:szCs w:val="24"/>
                <w:highlight w:val="none"/>
                <w:lang w:eastAsia="zh-CN" w:bidi="ar"/>
              </w:rPr>
              <w:t>，合理性、可行性、针对性</w:t>
            </w:r>
            <w:r>
              <w:rPr>
                <w:rFonts w:hint="eastAsia" w:cs="仿宋"/>
                <w:color w:val="auto"/>
                <w:sz w:val="24"/>
                <w:szCs w:val="24"/>
                <w:highlight w:val="none"/>
                <w:lang w:val="en-US" w:eastAsia="zh-CN" w:bidi="ar"/>
              </w:rPr>
              <w:t>一般</w:t>
            </w:r>
            <w:r>
              <w:rPr>
                <w:rFonts w:hint="eastAsia" w:ascii="仿宋" w:hAnsi="仿宋" w:eastAsia="仿宋" w:cs="仿宋"/>
                <w:color w:val="auto"/>
                <w:sz w:val="24"/>
                <w:szCs w:val="24"/>
                <w:highlight w:val="none"/>
                <w:lang w:eastAsia="zh-CN" w:bidi="ar"/>
              </w:rPr>
              <w:t>的得</w:t>
            </w:r>
            <w:r>
              <w:rPr>
                <w:rFonts w:hint="eastAsia"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r>
              <w:rPr>
                <w:rFonts w:hint="eastAsia" w:cs="仿宋"/>
                <w:color w:val="auto"/>
                <w:sz w:val="24"/>
                <w:szCs w:val="24"/>
                <w:highlight w:val="none"/>
                <w:lang w:eastAsia="zh-CN" w:bidi="ar"/>
              </w:rPr>
              <w:t>，</w:t>
            </w:r>
            <w:r>
              <w:rPr>
                <w:rFonts w:hint="eastAsia" w:ascii="仿宋" w:hAnsi="仿宋" w:eastAsia="仿宋" w:cs="仿宋"/>
                <w:color w:val="auto"/>
                <w:sz w:val="24"/>
                <w:szCs w:val="24"/>
                <w:highlight w:val="none"/>
                <w:lang w:eastAsia="zh-CN" w:bidi="ar"/>
              </w:rPr>
              <w:t>方案内容存在瑕疵或不足，合理性、可行性、针对性与本项目实际有偏差的得</w:t>
            </w:r>
            <w:r>
              <w:rPr>
                <w:rFonts w:hint="eastAsia"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分，未提供相关内容的得0分。</w:t>
            </w:r>
            <w:r>
              <w:rPr>
                <w:rFonts w:hint="eastAsia" w:cs="仿宋"/>
                <w:color w:val="auto"/>
                <w:sz w:val="24"/>
                <w:szCs w:val="24"/>
                <w:highlight w:val="none"/>
                <w:lang w:eastAsia="zh-CN" w:bidi="ar"/>
              </w:rPr>
              <w:t>（</w:t>
            </w:r>
            <w:r>
              <w:rPr>
                <w:rFonts w:hint="eastAsia" w:cs="仿宋"/>
                <w:color w:val="auto"/>
                <w:sz w:val="24"/>
                <w:szCs w:val="24"/>
                <w:highlight w:val="none"/>
                <w:lang w:val="en-US" w:eastAsia="zh-CN" w:bidi="ar"/>
              </w:rPr>
              <w:t>0-4分</w:t>
            </w:r>
            <w:r>
              <w:rPr>
                <w:rFonts w:hint="eastAsia" w:cs="仿宋"/>
                <w:color w:val="auto"/>
                <w:sz w:val="24"/>
                <w:szCs w:val="24"/>
                <w:highlight w:val="none"/>
                <w:lang w:eastAsia="zh-CN" w:bidi="ar"/>
              </w:rPr>
              <w:t>）</w:t>
            </w:r>
          </w:p>
        </w:tc>
        <w:tc>
          <w:tcPr>
            <w:tcW w:w="281" w:type="pct"/>
            <w:noWrap w:val="0"/>
            <w:vAlign w:val="center"/>
          </w:tcPr>
          <w:p w14:paraId="06F2B467">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12" w:type="pct"/>
            <w:noWrap w:val="0"/>
            <w:vAlign w:val="center"/>
          </w:tcPr>
          <w:p w14:paraId="5136591A">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主观分</w:t>
            </w:r>
          </w:p>
        </w:tc>
      </w:tr>
      <w:tr w14:paraId="792F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23" w:type="pct"/>
            <w:vMerge w:val="restart"/>
            <w:noWrap w:val="0"/>
            <w:vAlign w:val="center"/>
          </w:tcPr>
          <w:p w14:paraId="16DFB8E1">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645" w:type="pct"/>
            <w:vMerge w:val="restart"/>
            <w:noWrap w:val="0"/>
            <w:vAlign w:val="center"/>
          </w:tcPr>
          <w:p w14:paraId="6DB5AD0A">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项目实施的人员安排情况及配置方案</w:t>
            </w:r>
          </w:p>
        </w:tc>
        <w:tc>
          <w:tcPr>
            <w:tcW w:w="3338" w:type="pct"/>
            <w:noWrap w:val="0"/>
            <w:vAlign w:val="center"/>
          </w:tcPr>
          <w:p w14:paraId="5575216B">
            <w:pPr>
              <w:keepNext w:val="0"/>
              <w:keepLines w:val="0"/>
              <w:pageBreakBefore w:val="0"/>
              <w:widowControl w:val="0"/>
              <w:numPr>
                <w:ilvl w:val="0"/>
                <w:numId w:val="3"/>
              </w:numPr>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bidi="ar"/>
              </w:rPr>
            </w:pPr>
            <w:r>
              <w:rPr>
                <w:rFonts w:hint="eastAsia" w:cs="仿宋"/>
                <w:color w:val="auto"/>
                <w:sz w:val="24"/>
                <w:szCs w:val="24"/>
                <w:highlight w:val="none"/>
                <w:lang w:val="en-US" w:eastAsia="zh-CN" w:bidi="ar"/>
              </w:rPr>
              <w:t>项目经理具有本科及以上学历的得3分，具有大专及以上学历的得2分，其余不得分。（0-3分）</w:t>
            </w:r>
          </w:p>
          <w:p w14:paraId="66322530">
            <w:pPr>
              <w:keepNext w:val="0"/>
              <w:keepLines w:val="0"/>
              <w:pageBreakBefore w:val="0"/>
              <w:widowControl w:val="0"/>
              <w:numPr>
                <w:ilvl w:val="0"/>
                <w:numId w:val="3"/>
              </w:numPr>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bidi="ar"/>
              </w:rPr>
            </w:pPr>
            <w:r>
              <w:rPr>
                <w:rFonts w:hint="eastAsia" w:cs="仿宋"/>
                <w:color w:val="auto"/>
                <w:sz w:val="24"/>
                <w:szCs w:val="24"/>
                <w:highlight w:val="none"/>
                <w:lang w:val="en-US" w:eastAsia="zh-CN" w:bidi="ar"/>
              </w:rPr>
              <w:t>项目经理</w:t>
            </w:r>
            <w:r>
              <w:rPr>
                <w:rFonts w:hint="eastAsia" w:ascii="仿宋" w:hAnsi="仿宋" w:eastAsia="仿宋" w:cs="仿宋"/>
                <w:color w:val="auto"/>
                <w:sz w:val="24"/>
                <w:szCs w:val="24"/>
                <w:highlight w:val="none"/>
                <w:lang w:bidi="ar"/>
              </w:rPr>
              <w:t>具有中级及以上职称</w:t>
            </w:r>
            <w:r>
              <w:rPr>
                <w:rFonts w:hint="eastAsia" w:cs="仿宋"/>
                <w:color w:val="auto"/>
                <w:sz w:val="24"/>
                <w:szCs w:val="24"/>
                <w:highlight w:val="none"/>
                <w:lang w:val="en-US" w:eastAsia="zh-CN" w:bidi="ar"/>
              </w:rPr>
              <w:t>的</w:t>
            </w:r>
            <w:r>
              <w:rPr>
                <w:rFonts w:hint="eastAsia" w:ascii="仿宋" w:hAnsi="仿宋" w:eastAsia="仿宋" w:cs="仿宋"/>
                <w:color w:val="auto"/>
                <w:sz w:val="24"/>
                <w:szCs w:val="24"/>
                <w:highlight w:val="none"/>
                <w:lang w:bidi="ar"/>
              </w:rPr>
              <w:t>得</w:t>
            </w:r>
            <w:r>
              <w:rPr>
                <w:rFonts w:hint="eastAsia"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分</w:t>
            </w:r>
            <w:r>
              <w:rPr>
                <w:rFonts w:hint="eastAsia" w:cs="仿宋"/>
                <w:color w:val="auto"/>
                <w:sz w:val="24"/>
                <w:szCs w:val="24"/>
                <w:highlight w:val="none"/>
                <w:lang w:val="en-US" w:eastAsia="zh-CN" w:bidi="ar"/>
              </w:rPr>
              <w:t>。（0-3分）</w:t>
            </w:r>
          </w:p>
          <w:p w14:paraId="51159BD4">
            <w:pPr>
              <w:keepNext w:val="0"/>
              <w:keepLines w:val="0"/>
              <w:pageBreakBefore w:val="0"/>
              <w:widowControl w:val="0"/>
              <w:numPr>
                <w:ilvl w:val="0"/>
                <w:numId w:val="3"/>
              </w:numPr>
              <w:kinsoku/>
              <w:overflowPunct/>
              <w:topLinePunct w:val="0"/>
              <w:autoSpaceDE/>
              <w:autoSpaceDN/>
              <w:bidi w:val="0"/>
              <w:adjustRightInd/>
              <w:snapToGrid/>
              <w:spacing w:line="440" w:lineRule="exact"/>
              <w:ind w:left="0" w:leftChars="0" w:firstLine="0" w:firstLineChars="0"/>
              <w:textAlignment w:val="center"/>
              <w:rPr>
                <w:rFonts w:hint="eastAsia" w:cs="仿宋"/>
                <w:color w:val="auto"/>
                <w:sz w:val="24"/>
                <w:szCs w:val="24"/>
                <w:highlight w:val="none"/>
                <w:lang w:val="en-US" w:eastAsia="zh-CN" w:bidi="ar"/>
              </w:rPr>
            </w:pPr>
            <w:r>
              <w:rPr>
                <w:rFonts w:hint="eastAsia" w:cs="仿宋"/>
                <w:color w:val="auto"/>
                <w:sz w:val="24"/>
                <w:szCs w:val="24"/>
                <w:highlight w:val="none"/>
                <w:lang w:val="en-US" w:eastAsia="zh-CN" w:bidi="ar"/>
              </w:rPr>
              <w:t>项目经理</w:t>
            </w:r>
            <w:r>
              <w:rPr>
                <w:rFonts w:hint="eastAsia" w:hAnsi="宋体" w:cs="宋体"/>
                <w:color w:val="auto"/>
                <w:kern w:val="0"/>
                <w:szCs w:val="24"/>
                <w:highlight w:val="none"/>
                <w:lang w:bidi="bo-CN"/>
              </w:rPr>
              <w:t>具有全国物业</w:t>
            </w:r>
            <w:r>
              <w:rPr>
                <w:rFonts w:hint="eastAsia" w:hAnsi="宋体" w:cs="宋体"/>
                <w:color w:val="auto"/>
                <w:kern w:val="0"/>
                <w:szCs w:val="24"/>
                <w:highlight w:val="none"/>
                <w:lang w:val="en-US" w:eastAsia="zh-CN" w:bidi="bo-CN"/>
              </w:rPr>
              <w:t>管理企业</w:t>
            </w:r>
            <w:r>
              <w:rPr>
                <w:rFonts w:hint="eastAsia" w:hAnsi="宋体" w:cs="宋体"/>
                <w:color w:val="auto"/>
                <w:kern w:val="0"/>
                <w:szCs w:val="24"/>
                <w:highlight w:val="none"/>
                <w:lang w:bidi="bo-CN"/>
              </w:rPr>
              <w:t>经理证</w:t>
            </w:r>
            <w:r>
              <w:rPr>
                <w:rFonts w:hint="eastAsia" w:hAnsi="宋体" w:cs="宋体"/>
                <w:color w:val="auto"/>
                <w:kern w:val="0"/>
                <w:szCs w:val="24"/>
                <w:highlight w:val="none"/>
                <w:lang w:val="en-US" w:eastAsia="zh-CN" w:bidi="bo-CN"/>
              </w:rPr>
              <w:t>或物业管理师证的</w:t>
            </w:r>
            <w:r>
              <w:rPr>
                <w:rFonts w:hint="eastAsia" w:ascii="仿宋" w:hAnsi="仿宋" w:eastAsia="仿宋" w:cs="仿宋"/>
                <w:color w:val="auto"/>
                <w:sz w:val="24"/>
                <w:szCs w:val="24"/>
                <w:highlight w:val="none"/>
                <w:lang w:bidi="ar"/>
              </w:rPr>
              <w:t>得</w:t>
            </w:r>
            <w:r>
              <w:rPr>
                <w:rFonts w:hint="eastAsia"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分</w:t>
            </w:r>
            <w:r>
              <w:rPr>
                <w:rFonts w:hint="eastAsia" w:cs="仿宋"/>
                <w:color w:val="auto"/>
                <w:sz w:val="24"/>
                <w:szCs w:val="24"/>
                <w:highlight w:val="none"/>
                <w:lang w:val="en-US" w:eastAsia="zh-CN" w:bidi="ar"/>
              </w:rPr>
              <w:t>。（0-3分）</w:t>
            </w:r>
          </w:p>
          <w:p w14:paraId="5C28BB32">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SA"/>
              </w:rPr>
              <w:t>注：要求提供身份证复印件及</w:t>
            </w:r>
            <w:r>
              <w:rPr>
                <w:rFonts w:hint="eastAsia" w:cs="仿宋"/>
                <w:b/>
                <w:bCs/>
                <w:color w:val="auto"/>
                <w:kern w:val="0"/>
                <w:sz w:val="24"/>
                <w:szCs w:val="24"/>
                <w:highlight w:val="none"/>
                <w:lang w:val="en-US" w:eastAsia="zh-CN" w:bidi="ar-SA"/>
              </w:rPr>
              <w:t>相关证书复印件，投标人缴纳的近三个月任意一月社保证明</w:t>
            </w:r>
            <w:r>
              <w:rPr>
                <w:rFonts w:hint="eastAsia" w:ascii="仿宋" w:hAnsi="仿宋" w:eastAsia="仿宋" w:cs="仿宋"/>
                <w:b/>
                <w:bCs/>
                <w:color w:val="auto"/>
                <w:kern w:val="0"/>
                <w:sz w:val="24"/>
                <w:szCs w:val="24"/>
                <w:highlight w:val="none"/>
                <w:lang w:val="en-US" w:eastAsia="zh-CN" w:bidi="ar-SA"/>
              </w:rPr>
              <w:t>。不提供或提供不全</w:t>
            </w:r>
            <w:r>
              <w:rPr>
                <w:rFonts w:hint="eastAsia" w:cs="仿宋"/>
                <w:b/>
                <w:bCs/>
                <w:color w:val="auto"/>
                <w:kern w:val="0"/>
                <w:sz w:val="24"/>
                <w:szCs w:val="24"/>
                <w:highlight w:val="none"/>
                <w:lang w:val="en-US" w:eastAsia="zh-CN" w:bidi="ar-SA"/>
              </w:rPr>
              <w:t>的</w:t>
            </w:r>
            <w:r>
              <w:rPr>
                <w:rFonts w:hint="eastAsia" w:ascii="仿宋" w:hAnsi="仿宋" w:eastAsia="仿宋" w:cs="仿宋"/>
                <w:b/>
                <w:bCs/>
                <w:color w:val="auto"/>
                <w:kern w:val="0"/>
                <w:sz w:val="24"/>
                <w:szCs w:val="24"/>
                <w:highlight w:val="none"/>
                <w:lang w:val="en-US" w:eastAsia="zh-CN" w:bidi="ar-SA"/>
              </w:rPr>
              <w:t>不得分。</w:t>
            </w:r>
          </w:p>
        </w:tc>
        <w:tc>
          <w:tcPr>
            <w:tcW w:w="281" w:type="pct"/>
            <w:noWrap w:val="0"/>
            <w:vAlign w:val="center"/>
          </w:tcPr>
          <w:p w14:paraId="2EE7B605">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9</w:t>
            </w:r>
          </w:p>
        </w:tc>
        <w:tc>
          <w:tcPr>
            <w:tcW w:w="412" w:type="pct"/>
            <w:noWrap w:val="0"/>
            <w:vAlign w:val="center"/>
          </w:tcPr>
          <w:p w14:paraId="2D5F2D91">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客观分</w:t>
            </w:r>
          </w:p>
        </w:tc>
      </w:tr>
      <w:tr w14:paraId="5B9B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323" w:type="pct"/>
            <w:vMerge w:val="continue"/>
            <w:noWrap w:val="0"/>
            <w:vAlign w:val="center"/>
          </w:tcPr>
          <w:p w14:paraId="5AAFB97A">
            <w:pPr>
              <w:keepNext w:val="0"/>
              <w:keepLines w:val="0"/>
              <w:pageBreakBefore w:val="0"/>
              <w:widowControl w:val="0"/>
              <w:kinsoku/>
              <w:overflowPunct/>
              <w:topLinePunct w:val="0"/>
              <w:autoSpaceDE/>
              <w:autoSpaceDN/>
              <w:bidi w:val="0"/>
              <w:adjustRightInd/>
              <w:snapToGrid/>
              <w:spacing w:line="440" w:lineRule="exact"/>
              <w:textAlignment w:val="center"/>
            </w:pPr>
          </w:p>
        </w:tc>
        <w:tc>
          <w:tcPr>
            <w:tcW w:w="645" w:type="pct"/>
            <w:vMerge w:val="continue"/>
            <w:noWrap w:val="0"/>
            <w:vAlign w:val="center"/>
          </w:tcPr>
          <w:p w14:paraId="218A797E">
            <w:pPr>
              <w:keepNext w:val="0"/>
              <w:keepLines w:val="0"/>
              <w:pageBreakBefore w:val="0"/>
              <w:widowControl w:val="0"/>
              <w:kinsoku/>
              <w:overflowPunct/>
              <w:topLinePunct w:val="0"/>
              <w:autoSpaceDE/>
              <w:autoSpaceDN/>
              <w:bidi w:val="0"/>
              <w:adjustRightInd/>
              <w:snapToGrid/>
              <w:spacing w:line="440" w:lineRule="exact"/>
              <w:textAlignment w:val="center"/>
            </w:pPr>
          </w:p>
        </w:tc>
        <w:tc>
          <w:tcPr>
            <w:tcW w:w="3338" w:type="pct"/>
            <w:noWrap w:val="0"/>
            <w:vAlign w:val="center"/>
          </w:tcPr>
          <w:p w14:paraId="46A79FBD">
            <w:pPr>
              <w:keepNext w:val="0"/>
              <w:keepLines w:val="0"/>
              <w:pageBreakBefore w:val="0"/>
              <w:widowControl w:val="0"/>
              <w:numPr>
                <w:ilvl w:val="0"/>
                <w:numId w:val="0"/>
              </w:numPr>
              <w:kinsoku/>
              <w:overflowPunct/>
              <w:topLinePunct w:val="0"/>
              <w:autoSpaceDE/>
              <w:autoSpaceDN/>
              <w:bidi w:val="0"/>
              <w:adjustRightInd/>
              <w:snapToGrid/>
              <w:spacing w:line="440" w:lineRule="exact"/>
              <w:ind w:leftChars="0"/>
              <w:textAlignment w:val="center"/>
              <w:rPr>
                <w:rFonts w:hint="eastAsia" w:hAnsi="宋体" w:cs="宋体"/>
                <w:color w:val="auto"/>
                <w:kern w:val="0"/>
                <w:szCs w:val="24"/>
                <w:highlight w:val="none"/>
                <w:lang w:val="en-US" w:eastAsia="zh-CN" w:bidi="bo-CN"/>
              </w:rPr>
            </w:pPr>
            <w:r>
              <w:rPr>
                <w:rFonts w:hint="eastAsia" w:cs="仿宋"/>
                <w:b w:val="0"/>
                <w:bCs w:val="0"/>
                <w:color w:val="auto"/>
                <w:kern w:val="0"/>
                <w:sz w:val="24"/>
                <w:szCs w:val="24"/>
                <w:highlight w:val="none"/>
                <w:lang w:val="en-US" w:eastAsia="zh-CN" w:bidi="ar-SA"/>
              </w:rPr>
              <w:t>1、保安员具有</w:t>
            </w:r>
            <w:r>
              <w:rPr>
                <w:rFonts w:hint="eastAsia" w:hAnsi="宋体" w:cs="宋体"/>
                <w:color w:val="auto"/>
                <w:kern w:val="0"/>
                <w:szCs w:val="24"/>
                <w:highlight w:val="none"/>
                <w:lang w:val="en-US" w:eastAsia="zh-CN" w:bidi="bo-CN"/>
              </w:rPr>
              <w:t>公安部</w:t>
            </w:r>
            <w:r>
              <w:rPr>
                <w:rFonts w:hint="eastAsia" w:hAnsi="宋体" w:cs="宋体"/>
                <w:color w:val="auto"/>
                <w:kern w:val="0"/>
                <w:szCs w:val="24"/>
                <w:highlight w:val="none"/>
                <w:lang w:val="en-US" w:bidi="bo-CN"/>
              </w:rPr>
              <w:t>颁发的保安员上岗证</w:t>
            </w:r>
            <w:r>
              <w:rPr>
                <w:rFonts w:hint="eastAsia" w:hAnsi="宋体" w:cs="宋体"/>
                <w:color w:val="auto"/>
                <w:kern w:val="0"/>
                <w:szCs w:val="24"/>
                <w:highlight w:val="none"/>
                <w:lang w:val="en-US" w:eastAsia="zh-CN" w:bidi="bo-CN"/>
              </w:rPr>
              <w:t>的每个得3分，最高得6分。</w:t>
            </w:r>
            <w:r>
              <w:rPr>
                <w:rFonts w:hint="eastAsia" w:cs="仿宋"/>
                <w:color w:val="auto"/>
                <w:sz w:val="24"/>
                <w:szCs w:val="24"/>
                <w:highlight w:val="none"/>
                <w:lang w:val="en-US" w:eastAsia="zh-CN" w:bidi="ar"/>
              </w:rPr>
              <w:t>（0-6分）</w:t>
            </w:r>
          </w:p>
          <w:p w14:paraId="10A8D6DB">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center"/>
              <w:rPr>
                <w:rFonts w:hint="eastAsia" w:hAnsi="宋体" w:cs="宋体"/>
                <w:color w:val="auto"/>
                <w:kern w:val="0"/>
                <w:szCs w:val="24"/>
                <w:highlight w:val="none"/>
                <w:lang w:val="en-US" w:eastAsia="zh-CN" w:bidi="bo-CN"/>
              </w:rPr>
            </w:pPr>
            <w:r>
              <w:rPr>
                <w:rFonts w:hint="eastAsia" w:hAnsi="宋体" w:cs="宋体"/>
                <w:color w:val="auto"/>
                <w:kern w:val="0"/>
                <w:szCs w:val="24"/>
                <w:highlight w:val="none"/>
                <w:lang w:val="en-US" w:eastAsia="zh-CN" w:bidi="bo-CN"/>
              </w:rPr>
              <w:t>2、消控人员具有建构筑物消防员证或消防设施操作员证的每个得3分，最高得6分。</w:t>
            </w:r>
            <w:r>
              <w:rPr>
                <w:rFonts w:hint="eastAsia" w:cs="仿宋"/>
                <w:color w:val="auto"/>
                <w:sz w:val="24"/>
                <w:szCs w:val="24"/>
                <w:highlight w:val="none"/>
                <w:lang w:val="en-US" w:eastAsia="zh-CN" w:bidi="ar"/>
              </w:rPr>
              <w:t>（0-6分）</w:t>
            </w:r>
          </w:p>
          <w:p w14:paraId="64EC733E">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center"/>
              <w:rPr>
                <w:rFonts w:hint="default" w:hAnsi="宋体" w:cs="宋体"/>
                <w:color w:val="auto"/>
                <w:kern w:val="0"/>
                <w:szCs w:val="24"/>
                <w:highlight w:val="none"/>
                <w:lang w:val="en-US" w:eastAsia="zh-CN" w:bidi="bo-CN"/>
              </w:rPr>
            </w:pPr>
            <w:r>
              <w:rPr>
                <w:rFonts w:hint="eastAsia" w:hAnsi="宋体" w:cs="宋体"/>
                <w:color w:val="auto"/>
                <w:kern w:val="0"/>
                <w:szCs w:val="24"/>
                <w:highlight w:val="none"/>
                <w:lang w:val="en-US" w:eastAsia="zh-CN" w:bidi="bo-CN"/>
              </w:rPr>
              <w:t>3、综合维修技术员具有高压电工证或具有低压电工证或具有特种设备安全管理和作业人员证（A）的得3分。</w:t>
            </w:r>
            <w:r>
              <w:rPr>
                <w:rFonts w:hint="eastAsia" w:cs="仿宋"/>
                <w:color w:val="auto"/>
                <w:sz w:val="24"/>
                <w:szCs w:val="24"/>
                <w:highlight w:val="none"/>
                <w:lang w:val="en-US" w:eastAsia="zh-CN" w:bidi="ar"/>
              </w:rPr>
              <w:t>（0-3分）</w:t>
            </w:r>
          </w:p>
          <w:p w14:paraId="7A1D9919">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注：</w:t>
            </w:r>
            <w:r>
              <w:rPr>
                <w:rFonts w:hint="eastAsia" w:cs="仿宋"/>
                <w:b/>
                <w:bCs/>
                <w:color w:val="auto"/>
                <w:kern w:val="0"/>
                <w:sz w:val="24"/>
                <w:szCs w:val="24"/>
                <w:highlight w:val="none"/>
                <w:lang w:val="en-US" w:eastAsia="zh-CN" w:bidi="ar-SA"/>
              </w:rPr>
              <w:t>以上人员岗位不得兼任，</w:t>
            </w:r>
            <w:r>
              <w:rPr>
                <w:rFonts w:hint="eastAsia" w:ascii="仿宋" w:hAnsi="仿宋" w:eastAsia="仿宋" w:cs="仿宋"/>
                <w:b/>
                <w:bCs/>
                <w:color w:val="auto"/>
                <w:kern w:val="0"/>
                <w:sz w:val="24"/>
                <w:szCs w:val="24"/>
                <w:highlight w:val="none"/>
                <w:lang w:val="en-US" w:eastAsia="zh-CN" w:bidi="ar-SA"/>
              </w:rPr>
              <w:t>要求提供身份证复印件及</w:t>
            </w:r>
            <w:r>
              <w:rPr>
                <w:rFonts w:hint="eastAsia" w:cs="仿宋"/>
                <w:b/>
                <w:bCs/>
                <w:color w:val="auto"/>
                <w:kern w:val="0"/>
                <w:sz w:val="24"/>
                <w:szCs w:val="24"/>
                <w:highlight w:val="none"/>
                <w:lang w:val="en-US" w:eastAsia="zh-CN" w:bidi="ar-SA"/>
              </w:rPr>
              <w:t>相关证书复印件</w:t>
            </w:r>
            <w:r>
              <w:rPr>
                <w:rFonts w:hint="eastAsia" w:ascii="仿宋" w:hAnsi="仿宋" w:eastAsia="仿宋" w:cs="仿宋"/>
                <w:b/>
                <w:bCs/>
                <w:color w:val="auto"/>
                <w:kern w:val="0"/>
                <w:sz w:val="24"/>
                <w:szCs w:val="24"/>
                <w:highlight w:val="none"/>
                <w:lang w:val="en-US" w:eastAsia="zh-CN" w:bidi="ar-SA"/>
              </w:rPr>
              <w:t>。不提供或提供不全</w:t>
            </w:r>
            <w:r>
              <w:rPr>
                <w:rFonts w:hint="eastAsia" w:cs="仿宋"/>
                <w:b/>
                <w:bCs/>
                <w:color w:val="auto"/>
                <w:kern w:val="0"/>
                <w:sz w:val="24"/>
                <w:szCs w:val="24"/>
                <w:highlight w:val="none"/>
                <w:lang w:val="en-US" w:eastAsia="zh-CN" w:bidi="ar-SA"/>
              </w:rPr>
              <w:t>的</w:t>
            </w:r>
            <w:r>
              <w:rPr>
                <w:rFonts w:hint="eastAsia" w:ascii="仿宋" w:hAnsi="仿宋" w:eastAsia="仿宋" w:cs="仿宋"/>
                <w:b/>
                <w:bCs/>
                <w:color w:val="auto"/>
                <w:kern w:val="0"/>
                <w:sz w:val="24"/>
                <w:szCs w:val="24"/>
                <w:highlight w:val="none"/>
                <w:lang w:val="en-US" w:eastAsia="zh-CN" w:bidi="ar-SA"/>
              </w:rPr>
              <w:t>不得分。</w:t>
            </w:r>
          </w:p>
        </w:tc>
        <w:tc>
          <w:tcPr>
            <w:tcW w:w="281" w:type="pct"/>
            <w:noWrap w:val="0"/>
            <w:vAlign w:val="center"/>
          </w:tcPr>
          <w:p w14:paraId="773EC3C0">
            <w:pPr>
              <w:keepNext w:val="0"/>
              <w:keepLines w:val="0"/>
              <w:pageBreakBefore w:val="0"/>
              <w:widowControl w:val="0"/>
              <w:kinsoku/>
              <w:overflowPunct/>
              <w:topLinePunct w:val="0"/>
              <w:autoSpaceDE/>
              <w:autoSpaceDN/>
              <w:bidi w:val="0"/>
              <w:adjustRightInd/>
              <w:snapToGrid/>
              <w:spacing w:line="440" w:lineRule="exact"/>
              <w:jc w:val="center"/>
              <w:textAlignment w:val="center"/>
              <w:rPr>
                <w:rFonts w:hint="default" w:ascii="仿宋" w:hAnsi="仿宋" w:eastAsia="仿宋" w:cs="仿宋"/>
                <w:b/>
                <w:bCs/>
                <w:color w:val="auto"/>
                <w:kern w:val="0"/>
                <w:sz w:val="24"/>
                <w:szCs w:val="24"/>
                <w:highlight w:val="none"/>
                <w:lang w:val="en-US" w:eastAsia="zh-CN" w:bidi="ar-SA"/>
              </w:rPr>
            </w:pPr>
            <w:r>
              <w:rPr>
                <w:rFonts w:hint="eastAsia" w:cs="仿宋"/>
                <w:b w:val="0"/>
                <w:bCs w:val="0"/>
                <w:color w:val="auto"/>
                <w:kern w:val="0"/>
                <w:sz w:val="24"/>
                <w:szCs w:val="24"/>
                <w:highlight w:val="none"/>
                <w:lang w:val="en-US" w:eastAsia="zh-CN" w:bidi="ar-SA"/>
              </w:rPr>
              <w:t>15</w:t>
            </w:r>
          </w:p>
        </w:tc>
        <w:tc>
          <w:tcPr>
            <w:tcW w:w="412" w:type="pct"/>
            <w:noWrap w:val="0"/>
            <w:vAlign w:val="center"/>
          </w:tcPr>
          <w:p w14:paraId="77210DC6">
            <w:pPr>
              <w:keepNext w:val="0"/>
              <w:keepLines w:val="0"/>
              <w:pageBreakBefore w:val="0"/>
              <w:widowControl w:val="0"/>
              <w:kinsoku/>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sz w:val="24"/>
                <w:szCs w:val="24"/>
                <w:highlight w:val="none"/>
                <w:lang w:bidi="ar"/>
              </w:rPr>
              <w:t>客观分</w:t>
            </w:r>
          </w:p>
        </w:tc>
      </w:tr>
      <w:tr w14:paraId="7AB9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23" w:type="pct"/>
            <w:noWrap w:val="0"/>
            <w:vAlign w:val="center"/>
          </w:tcPr>
          <w:p w14:paraId="549DF4D3">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val="en-US" w:eastAsia="zh-CN" w:bidi="ar"/>
              </w:rPr>
            </w:pPr>
            <w:r>
              <w:rPr>
                <w:rFonts w:hint="eastAsia" w:cs="仿宋"/>
                <w:color w:val="auto"/>
                <w:sz w:val="24"/>
                <w:szCs w:val="24"/>
                <w:highlight w:val="none"/>
                <w:lang w:val="en-US" w:eastAsia="zh-CN" w:bidi="ar"/>
              </w:rPr>
              <w:t>5</w:t>
            </w:r>
          </w:p>
        </w:tc>
        <w:tc>
          <w:tcPr>
            <w:tcW w:w="645" w:type="pct"/>
            <w:noWrap w:val="0"/>
            <w:vAlign w:val="center"/>
          </w:tcPr>
          <w:p w14:paraId="5999B87B">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default" w:ascii="仿宋" w:hAnsi="仿宋" w:eastAsia="仿宋" w:cs="仿宋"/>
                <w:color w:val="auto"/>
                <w:sz w:val="24"/>
                <w:szCs w:val="24"/>
                <w:highlight w:val="none"/>
                <w:lang w:val="en-US" w:eastAsia="zh-CN" w:bidi="ar"/>
              </w:rPr>
            </w:pPr>
            <w:r>
              <w:rPr>
                <w:rFonts w:hint="eastAsia" w:cs="仿宋"/>
                <w:color w:val="auto"/>
                <w:sz w:val="24"/>
                <w:szCs w:val="24"/>
                <w:highlight w:val="none"/>
                <w:lang w:val="en-US" w:eastAsia="zh-CN" w:bidi="ar"/>
              </w:rPr>
              <w:t>企业综合实力</w:t>
            </w:r>
          </w:p>
        </w:tc>
        <w:tc>
          <w:tcPr>
            <w:tcW w:w="3338" w:type="pct"/>
            <w:noWrap w:val="0"/>
            <w:vAlign w:val="center"/>
          </w:tcPr>
          <w:p w14:paraId="4C6DF1F9">
            <w:pPr>
              <w:keepNext w:val="0"/>
              <w:keepLines w:val="0"/>
              <w:pageBreakBefore w:val="0"/>
              <w:widowControl w:val="0"/>
              <w:kinsoku/>
              <w:wordWrap w:val="0"/>
              <w:overflowPunct/>
              <w:topLinePunct w:val="0"/>
              <w:autoSpaceDE/>
              <w:autoSpaceDN/>
              <w:bidi w:val="0"/>
              <w:adjustRightInd/>
              <w:snapToGrid/>
              <w:spacing w:line="440" w:lineRule="exact"/>
              <w:rPr>
                <w:color w:val="auto"/>
                <w:kern w:val="0"/>
                <w:highlight w:val="none"/>
              </w:rPr>
            </w:pPr>
            <w:r>
              <w:rPr>
                <w:rFonts w:hint="eastAsia"/>
                <w:color w:val="auto"/>
                <w:kern w:val="0"/>
                <w:highlight w:val="none"/>
              </w:rPr>
              <w:t>投标人具有：①质量管理体系认证证书、②环境管理体系认证证书、③职业健康安全管理体系认证证书</w:t>
            </w:r>
            <w:r>
              <w:rPr>
                <w:rFonts w:hint="eastAsia"/>
                <w:color w:val="auto"/>
                <w:kern w:val="0"/>
                <w:highlight w:val="none"/>
                <w:lang w:eastAsia="zh-CN"/>
              </w:rPr>
              <w:t>，</w:t>
            </w:r>
            <w:r>
              <w:rPr>
                <w:rFonts w:hint="eastAsia"/>
                <w:color w:val="auto"/>
                <w:kern w:val="0"/>
                <w:highlight w:val="none"/>
              </w:rPr>
              <w:t>每提供一个得1分，最高得</w:t>
            </w:r>
            <w:r>
              <w:rPr>
                <w:rFonts w:hint="eastAsia"/>
                <w:color w:val="auto"/>
                <w:kern w:val="0"/>
                <w:highlight w:val="none"/>
                <w:lang w:val="en-US" w:eastAsia="zh-CN"/>
              </w:rPr>
              <w:t>3</w:t>
            </w:r>
            <w:r>
              <w:rPr>
                <w:rFonts w:hint="eastAsia"/>
                <w:color w:val="auto"/>
                <w:kern w:val="0"/>
                <w:highlight w:val="none"/>
              </w:rPr>
              <w:t>分。</w:t>
            </w:r>
            <w:r>
              <w:rPr>
                <w:rFonts w:hint="eastAsia" w:cs="仿宋"/>
                <w:color w:val="auto"/>
                <w:sz w:val="24"/>
                <w:szCs w:val="24"/>
                <w:highlight w:val="none"/>
                <w:lang w:val="en-US" w:eastAsia="zh-CN" w:bidi="ar"/>
              </w:rPr>
              <w:t>（0-3分）</w:t>
            </w:r>
          </w:p>
          <w:p w14:paraId="4773FE7E">
            <w:pPr>
              <w:keepNext w:val="0"/>
              <w:keepLines w:val="0"/>
              <w:pageBreakBefore w:val="0"/>
              <w:widowControl w:val="0"/>
              <w:numPr>
                <w:ilvl w:val="0"/>
                <w:numId w:val="0"/>
              </w:numPr>
              <w:kinsoku/>
              <w:overflowPunct/>
              <w:topLinePunct w:val="0"/>
              <w:autoSpaceDE/>
              <w:autoSpaceDN/>
              <w:bidi w:val="0"/>
              <w:adjustRightInd/>
              <w:snapToGrid/>
              <w:spacing w:line="440" w:lineRule="exact"/>
              <w:textAlignment w:val="center"/>
              <w:rPr>
                <w:rFonts w:hint="eastAsia" w:ascii="仿宋" w:hAnsi="仿宋" w:eastAsia="仿宋" w:cs="仿宋"/>
                <w:b w:val="0"/>
                <w:bCs w:val="0"/>
                <w:color w:val="auto"/>
                <w:kern w:val="0"/>
                <w:sz w:val="24"/>
                <w:szCs w:val="24"/>
                <w:highlight w:val="none"/>
                <w:lang w:val="en-US" w:eastAsia="zh-CN" w:bidi="ar-SA"/>
              </w:rPr>
            </w:pPr>
            <w:r>
              <w:rPr>
                <w:rFonts w:hint="eastAsia"/>
                <w:b/>
                <w:bCs/>
                <w:color w:val="auto"/>
                <w:kern w:val="0"/>
                <w:highlight w:val="none"/>
              </w:rPr>
              <w:t>注：需提供有效期内的认证证书</w:t>
            </w:r>
            <w:r>
              <w:rPr>
                <w:rFonts w:hint="eastAsia"/>
                <w:b/>
                <w:bCs/>
                <w:color w:val="auto"/>
                <w:kern w:val="0"/>
                <w:highlight w:val="none"/>
                <w:lang w:val="en-US" w:eastAsia="zh-CN"/>
              </w:rPr>
              <w:t>或</w:t>
            </w:r>
            <w:r>
              <w:rPr>
                <w:rFonts w:hint="eastAsia"/>
                <w:b/>
                <w:bCs/>
                <w:color w:val="auto"/>
                <w:kern w:val="0"/>
                <w:highlight w:val="none"/>
              </w:rPr>
              <w:t>官网http://www.cnca.gov.cn/查询截图，不提供证书和截图的不得分。</w:t>
            </w:r>
          </w:p>
        </w:tc>
        <w:tc>
          <w:tcPr>
            <w:tcW w:w="281" w:type="pct"/>
            <w:noWrap w:val="0"/>
            <w:vAlign w:val="center"/>
          </w:tcPr>
          <w:p w14:paraId="01B2E9AF">
            <w:pPr>
              <w:keepNext w:val="0"/>
              <w:keepLines w:val="0"/>
              <w:pageBreakBefore w:val="0"/>
              <w:widowControl w:val="0"/>
              <w:kinsoku/>
              <w:overflowPunct/>
              <w:topLinePunct w:val="0"/>
              <w:autoSpaceDE/>
              <w:autoSpaceDN/>
              <w:bidi w:val="0"/>
              <w:adjustRightInd/>
              <w:snapToGrid/>
              <w:spacing w:line="440" w:lineRule="exact"/>
              <w:ind w:firstLine="0" w:firstLineChars="0"/>
              <w:jc w:val="center"/>
              <w:rPr>
                <w:rFonts w:hint="default" w:cs="仿宋"/>
                <w:color w:val="auto"/>
                <w:sz w:val="24"/>
                <w:szCs w:val="24"/>
                <w:highlight w:val="none"/>
                <w:lang w:val="en-US" w:eastAsia="zh-CN"/>
              </w:rPr>
            </w:pPr>
            <w:r>
              <w:rPr>
                <w:rFonts w:hint="eastAsia" w:cs="仿宋"/>
                <w:color w:val="auto"/>
                <w:sz w:val="24"/>
                <w:szCs w:val="24"/>
                <w:highlight w:val="none"/>
                <w:lang w:val="en-US" w:eastAsia="zh-CN"/>
              </w:rPr>
              <w:t>3</w:t>
            </w:r>
          </w:p>
        </w:tc>
        <w:tc>
          <w:tcPr>
            <w:tcW w:w="412" w:type="pct"/>
            <w:noWrap w:val="0"/>
            <w:vAlign w:val="center"/>
          </w:tcPr>
          <w:p w14:paraId="45FAEFAA">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客观分</w:t>
            </w:r>
          </w:p>
        </w:tc>
      </w:tr>
      <w:tr w14:paraId="094B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23" w:type="pct"/>
            <w:noWrap w:val="0"/>
            <w:vAlign w:val="center"/>
          </w:tcPr>
          <w:p w14:paraId="5E8BE539">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w:t>
            </w:r>
          </w:p>
        </w:tc>
        <w:tc>
          <w:tcPr>
            <w:tcW w:w="645" w:type="pct"/>
            <w:noWrap w:val="0"/>
            <w:vAlign w:val="center"/>
          </w:tcPr>
          <w:p w14:paraId="7E59831C">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类似业绩</w:t>
            </w:r>
          </w:p>
        </w:tc>
        <w:tc>
          <w:tcPr>
            <w:tcW w:w="3338" w:type="pct"/>
            <w:noWrap w:val="0"/>
            <w:vAlign w:val="center"/>
          </w:tcPr>
          <w:p w14:paraId="16C13826">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投标人自202</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年1月1日起至今（以合同签订时间为准）</w:t>
            </w:r>
            <w:r>
              <w:rPr>
                <w:rFonts w:hint="eastAsia" w:ascii="仿宋" w:hAnsi="仿宋" w:eastAsia="仿宋" w:cs="仿宋"/>
                <w:color w:val="auto"/>
                <w:sz w:val="24"/>
                <w:szCs w:val="24"/>
                <w:highlight w:val="none"/>
                <w:lang w:val="en-US" w:eastAsia="zh-CN"/>
              </w:rPr>
              <w:t>承接过</w:t>
            </w:r>
            <w:r>
              <w:rPr>
                <w:rFonts w:hint="eastAsia" w:cs="仿宋"/>
                <w:color w:val="auto"/>
                <w:sz w:val="24"/>
                <w:szCs w:val="24"/>
                <w:highlight w:val="none"/>
                <w:lang w:val="en-US" w:eastAsia="zh-CN"/>
              </w:rPr>
              <w:t>住宅</w:t>
            </w:r>
            <w:r>
              <w:rPr>
                <w:rFonts w:hint="eastAsia" w:ascii="仿宋" w:hAnsi="仿宋" w:eastAsia="仿宋" w:cs="仿宋"/>
                <w:color w:val="auto"/>
                <w:sz w:val="24"/>
                <w:szCs w:val="24"/>
                <w:highlight w:val="none"/>
                <w:lang w:val="en-US" w:eastAsia="zh-CN"/>
              </w:rPr>
              <w:t>小区</w:t>
            </w:r>
            <w:r>
              <w:rPr>
                <w:rFonts w:hint="eastAsia" w:ascii="仿宋" w:hAnsi="仿宋" w:eastAsia="仿宋" w:cs="仿宋"/>
                <w:color w:val="auto"/>
                <w:sz w:val="24"/>
                <w:szCs w:val="24"/>
                <w:highlight w:val="none"/>
                <w:lang w:eastAsia="zh-CN"/>
              </w:rPr>
              <w:t>物业管理服务项目业绩，单个业绩（合同）得</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分，最高得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分。（0-</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2308C89E">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注：要求提供合同复印件并加盖投标人公章。不提供或提供不全、缺项漏项不得分。</w:t>
            </w:r>
          </w:p>
          <w:p w14:paraId="70D1859F">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（一个单位分年度多次签订的案例，计入1个案例；同一个项目，分两期或以上建设完成的，计入1个案例。）</w:t>
            </w:r>
          </w:p>
        </w:tc>
        <w:tc>
          <w:tcPr>
            <w:tcW w:w="281" w:type="pct"/>
            <w:noWrap w:val="0"/>
            <w:vAlign w:val="center"/>
          </w:tcPr>
          <w:p w14:paraId="0A76098A">
            <w:pPr>
              <w:keepNext w:val="0"/>
              <w:keepLines w:val="0"/>
              <w:pageBreakBefore w:val="0"/>
              <w:widowControl w:val="0"/>
              <w:kinsoku/>
              <w:overflowPunct/>
              <w:topLinePunct w:val="0"/>
              <w:autoSpaceDE/>
              <w:autoSpaceDN/>
              <w:bidi w:val="0"/>
              <w:adjustRightInd/>
              <w:snapToGrid/>
              <w:spacing w:line="440" w:lineRule="exact"/>
              <w:ind w:firstLine="0" w:firstLineChars="0"/>
              <w:jc w:val="center"/>
              <w:textAlignment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412" w:type="pct"/>
            <w:noWrap w:val="0"/>
            <w:vAlign w:val="center"/>
          </w:tcPr>
          <w:p w14:paraId="711AC58F">
            <w:pPr>
              <w:keepNext w:val="0"/>
              <w:keepLines w:val="0"/>
              <w:pageBreakBefore w:val="0"/>
              <w:widowControl w:val="0"/>
              <w:kinsoku/>
              <w:overflowPunct/>
              <w:topLinePunct w:val="0"/>
              <w:autoSpaceDE/>
              <w:autoSpaceDN/>
              <w:bidi w:val="0"/>
              <w:adjustRightInd/>
              <w:snapToGrid/>
              <w:spacing w:line="440" w:lineRule="exact"/>
              <w:ind w:firstLine="0" w:firstLineChars="0"/>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r>
    </w:tbl>
    <w:p w14:paraId="6CEA2EFB">
      <w:pPr>
        <w:pageBreakBefore w:val="0"/>
        <w:kinsoku/>
        <w:bidi w:val="0"/>
        <w:spacing w:beforeAutospacing="0" w:afterAutospacing="0" w:line="440" w:lineRule="exact"/>
        <w:rPr>
          <w:rStyle w:val="1032"/>
          <w:rFonts w:ascii="仿宋" w:hAnsi="仿宋" w:eastAsia="仿宋"/>
          <w:b w:val="0"/>
          <w:i w:val="0"/>
          <w:caps w:val="0"/>
          <w:color w:val="auto"/>
          <w:spacing w:val="0"/>
          <w:w w:val="100"/>
          <w:kern w:val="2"/>
          <w:sz w:val="24"/>
          <w:szCs w:val="24"/>
          <w:highlight w:val="none"/>
          <w:lang w:val="en-US" w:eastAsia="zh-CN" w:bidi="ar-SA"/>
        </w:rPr>
      </w:pPr>
      <w:r>
        <w:rPr>
          <w:rFonts w:hint="eastAsia" w:ascii="仿宋" w:hAnsi="仿宋" w:eastAsia="仿宋" w:cs="仿宋"/>
          <w:b/>
          <w:color w:val="auto"/>
          <w:sz w:val="24"/>
          <w:szCs w:val="24"/>
          <w:highlight w:val="none"/>
          <w:lang w:eastAsia="zh-CN"/>
        </w:rPr>
        <w:t>注：</w:t>
      </w:r>
      <w:r>
        <w:rPr>
          <w:rStyle w:val="1032"/>
          <w:rFonts w:ascii="仿宋" w:hAnsi="仿宋" w:eastAsia="仿宋"/>
          <w:b w:val="0"/>
          <w:i w:val="0"/>
          <w:caps w:val="0"/>
          <w:color w:val="auto"/>
          <w:spacing w:val="0"/>
          <w:w w:val="100"/>
          <w:kern w:val="2"/>
          <w:sz w:val="24"/>
          <w:szCs w:val="24"/>
          <w:highlight w:val="none"/>
          <w:lang w:val="en-US" w:eastAsia="zh-CN" w:bidi="ar-SA"/>
        </w:rPr>
        <w:t>1、投标人弄虚作假的，报采购监督部门查处。</w:t>
      </w:r>
    </w:p>
    <w:p w14:paraId="377AC631">
      <w:pPr>
        <w:pStyle w:val="88"/>
        <w:pageBreakBefore w:val="0"/>
        <w:kinsoku/>
        <w:bidi w:val="0"/>
        <w:spacing w:beforeAutospacing="0" w:after="0" w:afterAutospacing="0" w:line="440" w:lineRule="exact"/>
        <w:rPr>
          <w:rFonts w:hint="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7936BB30">
      <w:pPr>
        <w:pStyle w:val="4"/>
        <w:pageBreakBefore w:val="0"/>
        <w:numPr>
          <w:ilvl w:val="0"/>
          <w:numId w:val="0"/>
        </w:numPr>
        <w:kinsoku/>
        <w:bidi w:val="0"/>
        <w:spacing w:beforeAutospacing="0" w:afterAutospacing="0" w:line="440" w:lineRule="exact"/>
        <w:ind w:leftChars="0"/>
        <w:jc w:val="center"/>
        <w:rPr>
          <w:rFonts w:hint="eastAsia" w:ascii="仿宋" w:hAnsi="仿宋" w:eastAsia="仿宋" w:cs="仿宋"/>
          <w:snapToGrid/>
          <w:color w:val="auto"/>
          <w:kern w:val="0"/>
          <w:sz w:val="24"/>
          <w:szCs w:val="24"/>
          <w:highlight w:val="none"/>
          <w:lang w:val="en-US" w:eastAsia="zh-CN" w:bidi="ar"/>
        </w:rPr>
      </w:pPr>
      <w:r>
        <w:rPr>
          <w:rFonts w:hint="eastAsia"/>
          <w:color w:val="auto"/>
          <w:highlight w:val="none"/>
          <w:lang w:val="en-US" w:eastAsia="zh-CN"/>
        </w:rPr>
        <w:t xml:space="preserve">第四章 </w:t>
      </w:r>
      <w:r>
        <w:rPr>
          <w:rFonts w:hint="eastAsia"/>
          <w:color w:val="auto"/>
          <w:highlight w:val="none"/>
        </w:rPr>
        <w:t>采购需求</w:t>
      </w:r>
    </w:p>
    <w:p w14:paraId="03BE1644">
      <w:pPr>
        <w:pageBreakBefore w:val="0"/>
        <w:kinsoku/>
        <w:bidi w:val="0"/>
        <w:spacing w:beforeAutospacing="0" w:afterAutospacing="0" w:line="440" w:lineRule="exact"/>
        <w:rPr>
          <w:rFonts w:hint="default" w:ascii="仿宋" w:hAnsi="仿宋" w:eastAsia="仿宋" w:cs="仿宋"/>
          <w:b/>
          <w:color w:val="auto"/>
          <w:sz w:val="24"/>
          <w:szCs w:val="24"/>
          <w:highlight w:val="none"/>
          <w:lang w:val="en-US" w:eastAsia="zh-CN"/>
        </w:rPr>
      </w:pPr>
      <w:bookmarkStart w:id="3" w:name="_Toc1180707375"/>
      <w:r>
        <w:rPr>
          <w:rFonts w:hint="eastAsia" w:ascii="仿宋" w:hAnsi="仿宋" w:eastAsia="仿宋" w:cs="仿宋"/>
          <w:b/>
          <w:color w:val="auto"/>
          <w:sz w:val="24"/>
          <w:szCs w:val="24"/>
          <w:highlight w:val="none"/>
          <w:lang w:val="en-US" w:eastAsia="zh-CN"/>
        </w:rPr>
        <w:t>一、项目概况</w:t>
      </w:r>
    </w:p>
    <w:p w14:paraId="1A924F73">
      <w:pPr>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1.1、</w:t>
      </w:r>
      <w:r>
        <w:rPr>
          <w:rFonts w:hint="eastAsia" w:ascii="仿宋_GB2312" w:hAnsi="宋体" w:eastAsia="仿宋_GB2312"/>
          <w:color w:val="auto"/>
          <w:sz w:val="24"/>
          <w:szCs w:val="24"/>
        </w:rPr>
        <w:t>采购项目名称：新登镇台诚塔山府（塔山花园）安置房物业服务采购项目</w:t>
      </w:r>
    </w:p>
    <w:p w14:paraId="2D8E22BB">
      <w:pPr>
        <w:ind w:firstLine="480" w:firstLineChars="200"/>
        <w:rPr>
          <w:rFonts w:hint="eastAsia" w:ascii="仿宋" w:hAnsi="仿宋" w:eastAsia="仿宋"/>
          <w:color w:val="auto"/>
          <w:sz w:val="23"/>
          <w:szCs w:val="23"/>
        </w:rPr>
      </w:pPr>
      <w:r>
        <w:rPr>
          <w:rFonts w:hint="eastAsia" w:ascii="仿宋_GB2312" w:hAnsi="宋体" w:eastAsia="仿宋_GB2312"/>
          <w:color w:val="auto"/>
          <w:sz w:val="24"/>
          <w:szCs w:val="24"/>
          <w:lang w:val="en-US" w:eastAsia="zh-CN"/>
        </w:rPr>
        <w:t>2.1、</w:t>
      </w:r>
      <w:r>
        <w:rPr>
          <w:rFonts w:hint="eastAsia" w:ascii="仿宋_GB2312" w:hAnsi="宋体" w:eastAsia="仿宋_GB2312"/>
          <w:color w:val="auto"/>
          <w:sz w:val="24"/>
          <w:szCs w:val="24"/>
        </w:rPr>
        <w:t>招标范围及内容：</w:t>
      </w:r>
      <w:r>
        <w:rPr>
          <w:rFonts w:hint="eastAsia" w:ascii="仿宋" w:hAnsi="仿宋" w:eastAsia="仿宋"/>
          <w:color w:val="auto"/>
          <w:sz w:val="23"/>
          <w:szCs w:val="23"/>
        </w:rPr>
        <w:t>小区总建筑面积</w:t>
      </w:r>
      <w:r>
        <w:rPr>
          <w:rFonts w:hint="eastAsia" w:ascii="仿宋" w:hAnsi="仿宋" w:eastAsia="仿宋"/>
          <w:color w:val="auto"/>
          <w:sz w:val="23"/>
          <w:szCs w:val="23"/>
          <w:u w:val="single"/>
        </w:rPr>
        <w:t xml:space="preserve"> 106021.14  </w:t>
      </w:r>
      <w:r>
        <w:rPr>
          <w:rFonts w:hint="eastAsia" w:ascii="仿宋" w:hAnsi="仿宋" w:eastAsia="仿宋"/>
          <w:color w:val="auto"/>
          <w:sz w:val="23"/>
          <w:szCs w:val="23"/>
        </w:rPr>
        <w:t>平方米，其中地上建筑面积</w:t>
      </w:r>
      <w:r>
        <w:rPr>
          <w:rFonts w:hint="eastAsia" w:ascii="仿宋" w:hAnsi="仿宋" w:eastAsia="仿宋"/>
          <w:color w:val="auto"/>
          <w:sz w:val="23"/>
          <w:szCs w:val="23"/>
          <w:u w:val="single"/>
        </w:rPr>
        <w:t xml:space="preserve">  78119.92 </w:t>
      </w:r>
      <w:r>
        <w:rPr>
          <w:rFonts w:hint="eastAsia" w:ascii="仿宋" w:hAnsi="仿宋" w:eastAsia="仿宋"/>
          <w:color w:val="auto"/>
          <w:sz w:val="23"/>
          <w:szCs w:val="23"/>
        </w:rPr>
        <w:t>平方米（住宅建筑面积</w:t>
      </w:r>
      <w:r>
        <w:rPr>
          <w:rFonts w:hint="eastAsia" w:ascii="仿宋" w:hAnsi="仿宋" w:eastAsia="仿宋"/>
          <w:color w:val="auto"/>
          <w:sz w:val="23"/>
          <w:szCs w:val="23"/>
          <w:u w:val="single"/>
        </w:rPr>
        <w:t xml:space="preserve"> 69901.52 </w:t>
      </w:r>
      <w:r>
        <w:rPr>
          <w:rFonts w:hint="eastAsia" w:ascii="仿宋" w:hAnsi="仿宋" w:eastAsia="仿宋"/>
          <w:color w:val="auto"/>
          <w:sz w:val="23"/>
          <w:szCs w:val="23"/>
        </w:rPr>
        <w:t>平方米，商业用房</w:t>
      </w:r>
      <w:r>
        <w:rPr>
          <w:rFonts w:hint="eastAsia" w:ascii="仿宋" w:hAnsi="仿宋" w:eastAsia="仿宋"/>
          <w:color w:val="auto"/>
          <w:sz w:val="23"/>
          <w:szCs w:val="23"/>
          <w:u w:val="single"/>
        </w:rPr>
        <w:t xml:space="preserve"> 5697.77 </w:t>
      </w:r>
      <w:r>
        <w:rPr>
          <w:rFonts w:hint="eastAsia" w:ascii="仿宋" w:hAnsi="仿宋" w:eastAsia="仿宋"/>
          <w:color w:val="auto"/>
          <w:sz w:val="23"/>
          <w:szCs w:val="23"/>
        </w:rPr>
        <w:t>平方米，其他</w:t>
      </w:r>
      <w:r>
        <w:rPr>
          <w:rFonts w:hint="eastAsia" w:ascii="仿宋" w:hAnsi="仿宋" w:eastAsia="仿宋"/>
          <w:color w:val="auto"/>
          <w:sz w:val="23"/>
          <w:szCs w:val="23"/>
          <w:u w:val="single"/>
        </w:rPr>
        <w:t xml:space="preserve"> 379.32 </w:t>
      </w:r>
      <w:r>
        <w:rPr>
          <w:rFonts w:hint="eastAsia" w:ascii="仿宋" w:hAnsi="仿宋" w:eastAsia="仿宋"/>
          <w:color w:val="auto"/>
          <w:sz w:val="23"/>
          <w:szCs w:val="23"/>
        </w:rPr>
        <w:t>平方米），半地下建筑面积</w:t>
      </w:r>
      <w:r>
        <w:rPr>
          <w:rFonts w:hint="eastAsia" w:ascii="仿宋" w:hAnsi="仿宋" w:eastAsia="仿宋"/>
          <w:color w:val="auto"/>
          <w:sz w:val="23"/>
          <w:szCs w:val="23"/>
          <w:u w:val="single"/>
        </w:rPr>
        <w:t xml:space="preserve">   /  </w:t>
      </w:r>
      <w:r>
        <w:rPr>
          <w:rFonts w:hint="eastAsia" w:ascii="仿宋" w:hAnsi="仿宋" w:eastAsia="仿宋"/>
          <w:color w:val="auto"/>
          <w:sz w:val="23"/>
          <w:szCs w:val="23"/>
        </w:rPr>
        <w:t>平方米、地下建筑面积</w:t>
      </w:r>
      <w:r>
        <w:rPr>
          <w:rFonts w:hint="eastAsia" w:ascii="仿宋" w:hAnsi="仿宋" w:eastAsia="仿宋"/>
          <w:color w:val="auto"/>
          <w:sz w:val="23"/>
          <w:szCs w:val="23"/>
          <w:lang w:eastAsia="zh-CN"/>
        </w:rPr>
        <w:t>（</w:t>
      </w:r>
      <w:r>
        <w:rPr>
          <w:rFonts w:hint="eastAsia" w:ascii="仿宋" w:hAnsi="仿宋" w:eastAsia="仿宋"/>
          <w:color w:val="auto"/>
          <w:sz w:val="23"/>
          <w:szCs w:val="23"/>
          <w:lang w:val="en-US" w:eastAsia="zh-CN"/>
        </w:rPr>
        <w:t>含地下停车场</w:t>
      </w:r>
      <w:r>
        <w:rPr>
          <w:rFonts w:hint="eastAsia" w:ascii="仿宋" w:hAnsi="仿宋" w:eastAsia="仿宋"/>
          <w:color w:val="auto"/>
          <w:sz w:val="23"/>
          <w:szCs w:val="23"/>
          <w:lang w:eastAsia="zh-CN"/>
        </w:rPr>
        <w:t>）</w:t>
      </w:r>
      <w:r>
        <w:rPr>
          <w:rFonts w:hint="eastAsia" w:ascii="仿宋" w:hAnsi="仿宋" w:eastAsia="仿宋"/>
          <w:color w:val="auto"/>
          <w:sz w:val="23"/>
          <w:szCs w:val="23"/>
          <w:u w:val="single"/>
        </w:rPr>
        <w:t xml:space="preserve"> 27901.22  </w:t>
      </w:r>
      <w:r>
        <w:rPr>
          <w:rFonts w:hint="eastAsia" w:ascii="仿宋" w:hAnsi="仿宋" w:eastAsia="仿宋"/>
          <w:color w:val="auto"/>
          <w:sz w:val="23"/>
          <w:szCs w:val="23"/>
        </w:rPr>
        <w:t>平方米，储藏室面积不计入以上面积中且不予收费；房屋日常管理与维修养护、共用设备管理与维修养护（含供电系统、给排水系统、电梯系统、空调系统等）、传达保安秩序管理、环境卫生管理、绿化管理及采购单位交办的其他工作。（详见附表）</w:t>
      </w:r>
    </w:p>
    <w:tbl>
      <w:tblPr>
        <w:tblStyle w:val="89"/>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20"/>
        <w:gridCol w:w="1200"/>
        <w:gridCol w:w="1177"/>
        <w:gridCol w:w="1544"/>
        <w:gridCol w:w="1133"/>
        <w:gridCol w:w="951"/>
        <w:gridCol w:w="911"/>
      </w:tblGrid>
      <w:tr w14:paraId="3738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21" w:type="dxa"/>
            <w:tcBorders>
              <w:top w:val="single" w:color="auto" w:sz="4" w:space="0"/>
              <w:left w:val="single" w:color="auto" w:sz="4" w:space="0"/>
              <w:bottom w:val="single" w:color="auto" w:sz="4" w:space="0"/>
              <w:right w:val="single" w:color="auto" w:sz="4" w:space="0"/>
            </w:tcBorders>
            <w:noWrap w:val="0"/>
            <w:vAlign w:val="center"/>
          </w:tcPr>
          <w:p w14:paraId="551EEAA8">
            <w:pPr>
              <w:adjustRightInd w:val="0"/>
              <w:snapToGrid w:val="0"/>
              <w:spacing w:line="360" w:lineRule="auto"/>
              <w:jc w:val="center"/>
              <w:rPr>
                <w:rFonts w:ascii="仿宋" w:hAnsi="仿宋" w:eastAsia="仿宋"/>
                <w:color w:val="auto"/>
                <w:sz w:val="23"/>
                <w:szCs w:val="23"/>
              </w:rPr>
            </w:pPr>
            <w:r>
              <w:rPr>
                <w:rFonts w:hint="eastAsia" w:ascii="仿宋" w:hAnsi="仿宋" w:eastAsia="仿宋"/>
                <w:color w:val="auto"/>
                <w:sz w:val="23"/>
                <w:szCs w:val="23"/>
              </w:rPr>
              <w:t>主出入口</w:t>
            </w:r>
          </w:p>
        </w:tc>
        <w:tc>
          <w:tcPr>
            <w:tcW w:w="820" w:type="dxa"/>
            <w:tcBorders>
              <w:top w:val="single" w:color="auto" w:sz="4" w:space="0"/>
              <w:left w:val="nil"/>
              <w:bottom w:val="single" w:color="auto" w:sz="4" w:space="0"/>
              <w:right w:val="single" w:color="auto" w:sz="4" w:space="0"/>
            </w:tcBorders>
            <w:noWrap w:val="0"/>
            <w:vAlign w:val="center"/>
          </w:tcPr>
          <w:p w14:paraId="0ABC5FFC">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1 </w:t>
            </w:r>
            <w:r>
              <w:rPr>
                <w:rFonts w:hint="eastAsia" w:ascii="仿宋" w:hAnsi="仿宋" w:eastAsia="仿宋"/>
                <w:color w:val="auto"/>
                <w:sz w:val="23"/>
                <w:szCs w:val="23"/>
              </w:rPr>
              <w:t>个</w:t>
            </w:r>
          </w:p>
        </w:tc>
        <w:tc>
          <w:tcPr>
            <w:tcW w:w="1200" w:type="dxa"/>
            <w:tcBorders>
              <w:top w:val="single" w:color="auto" w:sz="4" w:space="0"/>
              <w:left w:val="nil"/>
              <w:bottom w:val="single" w:color="auto" w:sz="4" w:space="0"/>
              <w:right w:val="single" w:color="auto" w:sz="4" w:space="0"/>
            </w:tcBorders>
            <w:noWrap w:val="0"/>
            <w:vAlign w:val="center"/>
          </w:tcPr>
          <w:p w14:paraId="3D0B7223">
            <w:pPr>
              <w:adjustRightInd w:val="0"/>
              <w:snapToGrid w:val="0"/>
              <w:spacing w:line="360" w:lineRule="auto"/>
              <w:jc w:val="center"/>
              <w:rPr>
                <w:rFonts w:ascii="仿宋" w:hAnsi="仿宋" w:eastAsia="仿宋"/>
                <w:color w:val="auto"/>
                <w:sz w:val="23"/>
                <w:szCs w:val="23"/>
              </w:rPr>
            </w:pPr>
            <w:r>
              <w:rPr>
                <w:rFonts w:hint="eastAsia" w:ascii="仿宋" w:hAnsi="仿宋" w:eastAsia="仿宋"/>
                <w:color w:val="auto"/>
                <w:sz w:val="23"/>
                <w:szCs w:val="23"/>
              </w:rPr>
              <w:t>次出入口</w:t>
            </w:r>
          </w:p>
        </w:tc>
        <w:tc>
          <w:tcPr>
            <w:tcW w:w="1177" w:type="dxa"/>
            <w:tcBorders>
              <w:top w:val="single" w:color="auto" w:sz="4" w:space="0"/>
              <w:left w:val="nil"/>
              <w:bottom w:val="single" w:color="auto" w:sz="4" w:space="0"/>
              <w:right w:val="single" w:color="auto" w:sz="4" w:space="0"/>
            </w:tcBorders>
            <w:noWrap w:val="0"/>
            <w:vAlign w:val="center"/>
          </w:tcPr>
          <w:p w14:paraId="473DE4C6">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1 </w:t>
            </w:r>
            <w:r>
              <w:rPr>
                <w:rFonts w:hint="eastAsia" w:ascii="仿宋" w:hAnsi="仿宋" w:eastAsia="仿宋"/>
                <w:color w:val="auto"/>
                <w:sz w:val="23"/>
                <w:szCs w:val="23"/>
              </w:rPr>
              <w:t>个</w:t>
            </w:r>
          </w:p>
        </w:tc>
        <w:tc>
          <w:tcPr>
            <w:tcW w:w="1544" w:type="dxa"/>
            <w:tcBorders>
              <w:top w:val="single" w:color="auto" w:sz="4" w:space="0"/>
              <w:left w:val="nil"/>
              <w:bottom w:val="single" w:color="auto" w:sz="4" w:space="0"/>
              <w:right w:val="single" w:color="auto" w:sz="4" w:space="0"/>
            </w:tcBorders>
            <w:noWrap w:val="0"/>
            <w:vAlign w:val="center"/>
          </w:tcPr>
          <w:p w14:paraId="45B98B04">
            <w:pPr>
              <w:adjustRightInd w:val="0"/>
              <w:snapToGrid w:val="0"/>
              <w:spacing w:line="360" w:lineRule="auto"/>
              <w:jc w:val="center"/>
              <w:rPr>
                <w:rFonts w:ascii="仿宋" w:hAnsi="仿宋" w:eastAsia="仿宋"/>
                <w:color w:val="auto"/>
                <w:sz w:val="23"/>
                <w:szCs w:val="23"/>
              </w:rPr>
            </w:pPr>
            <w:r>
              <w:rPr>
                <w:rFonts w:hint="eastAsia" w:ascii="仿宋" w:hAnsi="仿宋" w:eastAsia="仿宋"/>
                <w:color w:val="auto"/>
                <w:sz w:val="23"/>
                <w:szCs w:val="23"/>
              </w:rPr>
              <w:t>消防出入口</w:t>
            </w:r>
          </w:p>
        </w:tc>
        <w:tc>
          <w:tcPr>
            <w:tcW w:w="1133" w:type="dxa"/>
            <w:tcBorders>
              <w:top w:val="single" w:color="auto" w:sz="4" w:space="0"/>
              <w:left w:val="nil"/>
              <w:bottom w:val="single" w:color="auto" w:sz="4" w:space="0"/>
              <w:right w:val="single" w:color="auto" w:sz="4" w:space="0"/>
            </w:tcBorders>
            <w:noWrap w:val="0"/>
            <w:vAlign w:val="center"/>
          </w:tcPr>
          <w:p w14:paraId="18E060CA">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2</w:t>
            </w:r>
            <w:r>
              <w:rPr>
                <w:rFonts w:hint="eastAsia" w:ascii="仿宋" w:hAnsi="仿宋" w:eastAsia="仿宋"/>
                <w:color w:val="auto"/>
                <w:sz w:val="23"/>
                <w:szCs w:val="23"/>
              </w:rPr>
              <w:t xml:space="preserve"> 个</w:t>
            </w:r>
          </w:p>
        </w:tc>
        <w:tc>
          <w:tcPr>
            <w:tcW w:w="951" w:type="dxa"/>
            <w:tcBorders>
              <w:top w:val="single" w:color="auto" w:sz="4" w:space="0"/>
              <w:left w:val="nil"/>
              <w:bottom w:val="single" w:color="auto" w:sz="4" w:space="0"/>
              <w:right w:val="single" w:color="auto" w:sz="4" w:space="0"/>
            </w:tcBorders>
            <w:noWrap w:val="0"/>
            <w:vAlign w:val="center"/>
          </w:tcPr>
          <w:p w14:paraId="2AA5359F">
            <w:pPr>
              <w:adjustRightInd w:val="0"/>
              <w:snapToGrid w:val="0"/>
              <w:spacing w:line="360" w:lineRule="auto"/>
              <w:jc w:val="center"/>
              <w:rPr>
                <w:rFonts w:ascii="仿宋" w:hAnsi="仿宋" w:eastAsia="仿宋"/>
                <w:color w:val="auto"/>
                <w:sz w:val="23"/>
                <w:szCs w:val="23"/>
              </w:rPr>
            </w:pPr>
            <w:r>
              <w:rPr>
                <w:rFonts w:hint="eastAsia" w:ascii="仿宋" w:hAnsi="仿宋" w:eastAsia="仿宋"/>
                <w:color w:val="auto"/>
                <w:sz w:val="23"/>
                <w:szCs w:val="23"/>
              </w:rPr>
              <w:t>人行疏散通道</w:t>
            </w:r>
          </w:p>
        </w:tc>
        <w:tc>
          <w:tcPr>
            <w:tcW w:w="911" w:type="dxa"/>
            <w:tcBorders>
              <w:top w:val="single" w:color="auto" w:sz="4" w:space="0"/>
              <w:left w:val="nil"/>
              <w:bottom w:val="single" w:color="auto" w:sz="4" w:space="0"/>
              <w:right w:val="single" w:color="auto" w:sz="4" w:space="0"/>
            </w:tcBorders>
            <w:noWrap w:val="0"/>
            <w:vAlign w:val="center"/>
          </w:tcPr>
          <w:p w14:paraId="713315C8">
            <w:pPr>
              <w:adjustRightInd w:val="0"/>
              <w:snapToGrid w:val="0"/>
              <w:spacing w:line="360" w:lineRule="auto"/>
              <w:jc w:val="center"/>
              <w:rPr>
                <w:rFonts w:ascii="仿宋" w:hAnsi="仿宋" w:eastAsia="仿宋"/>
                <w:color w:val="auto"/>
                <w:sz w:val="23"/>
                <w:szCs w:val="23"/>
              </w:rPr>
            </w:pPr>
            <w:r>
              <w:rPr>
                <w:rFonts w:hint="eastAsia" w:ascii="仿宋" w:hAnsi="仿宋" w:eastAsia="仿宋"/>
                <w:color w:val="auto"/>
                <w:sz w:val="23"/>
                <w:szCs w:val="23"/>
                <w:u w:val="single"/>
              </w:rPr>
              <w:t xml:space="preserve"> / </w:t>
            </w:r>
            <w:r>
              <w:rPr>
                <w:rFonts w:hint="eastAsia" w:ascii="仿宋" w:hAnsi="仿宋" w:eastAsia="仿宋"/>
                <w:color w:val="auto"/>
                <w:sz w:val="23"/>
                <w:szCs w:val="23"/>
              </w:rPr>
              <w:t>个</w:t>
            </w:r>
          </w:p>
        </w:tc>
      </w:tr>
      <w:tr w14:paraId="3C93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041" w:type="dxa"/>
            <w:gridSpan w:val="2"/>
            <w:vMerge w:val="restart"/>
            <w:tcBorders>
              <w:top w:val="nil"/>
              <w:left w:val="single" w:color="auto" w:sz="4" w:space="0"/>
              <w:bottom w:val="single" w:color="auto" w:sz="4" w:space="0"/>
              <w:right w:val="single" w:color="auto" w:sz="4" w:space="0"/>
            </w:tcBorders>
            <w:noWrap w:val="0"/>
            <w:vAlign w:val="center"/>
          </w:tcPr>
          <w:p w14:paraId="67EFD6F1">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项目建筑面积</w:t>
            </w:r>
          </w:p>
        </w:tc>
        <w:tc>
          <w:tcPr>
            <w:tcW w:w="5054" w:type="dxa"/>
            <w:gridSpan w:val="4"/>
            <w:vMerge w:val="restart"/>
            <w:tcBorders>
              <w:top w:val="nil"/>
              <w:left w:val="nil"/>
              <w:bottom w:val="single" w:color="auto" w:sz="4" w:space="0"/>
              <w:right w:val="single" w:color="auto" w:sz="4" w:space="0"/>
            </w:tcBorders>
            <w:noWrap w:val="0"/>
            <w:vAlign w:val="center"/>
          </w:tcPr>
          <w:p w14:paraId="03406F8D">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 xml:space="preserve">项目总建筑面积 </w:t>
            </w:r>
            <w:r>
              <w:rPr>
                <w:rFonts w:hint="eastAsia" w:ascii="仿宋" w:hAnsi="仿宋" w:eastAsia="仿宋"/>
                <w:color w:val="auto"/>
                <w:sz w:val="23"/>
                <w:szCs w:val="23"/>
                <w:u w:val="single"/>
              </w:rPr>
              <w:t xml:space="preserve">  </w:t>
            </w:r>
            <w:r>
              <w:rPr>
                <w:rFonts w:hint="eastAsia" w:ascii="仿宋" w:hAnsi="仿宋" w:eastAsia="仿宋"/>
                <w:color w:val="auto"/>
                <w:sz w:val="23"/>
                <w:szCs w:val="23"/>
                <w:u w:val="single"/>
                <w:lang w:val="en-US" w:eastAsia="zh-CN"/>
              </w:rPr>
              <w:t>106021.14</w:t>
            </w:r>
            <w:r>
              <w:rPr>
                <w:rFonts w:hint="eastAsia" w:ascii="仿宋" w:hAnsi="仿宋" w:eastAsia="仿宋"/>
                <w:color w:val="auto"/>
                <w:sz w:val="23"/>
                <w:szCs w:val="23"/>
                <w:u w:val="single"/>
              </w:rPr>
              <w:t xml:space="preserve"> </w:t>
            </w:r>
            <w:r>
              <w:rPr>
                <w:rFonts w:hint="eastAsia" w:ascii="仿宋" w:hAnsi="仿宋" w:eastAsia="仿宋"/>
                <w:color w:val="auto"/>
                <w:sz w:val="23"/>
                <w:szCs w:val="23"/>
              </w:rPr>
              <w:t xml:space="preserve"> 平方米</w:t>
            </w:r>
          </w:p>
          <w:p w14:paraId="1659B3B5">
            <w:pPr>
              <w:adjustRightInd w:val="0"/>
              <w:snapToGrid w:val="0"/>
              <w:spacing w:line="360" w:lineRule="auto"/>
              <w:rPr>
                <w:rFonts w:hint="eastAsia" w:ascii="仿宋" w:hAnsi="仿宋" w:eastAsia="仿宋"/>
                <w:color w:val="auto"/>
                <w:sz w:val="23"/>
                <w:szCs w:val="23"/>
              </w:rPr>
            </w:pPr>
            <w:r>
              <w:rPr>
                <w:rFonts w:hint="eastAsia" w:ascii="仿宋" w:hAnsi="仿宋" w:eastAsia="仿宋"/>
                <w:color w:val="auto"/>
                <w:sz w:val="23"/>
                <w:szCs w:val="23"/>
              </w:rPr>
              <w:t>其中：</w:t>
            </w:r>
          </w:p>
          <w:p w14:paraId="2AD05A84">
            <w:pPr>
              <w:adjustRightInd w:val="0"/>
              <w:snapToGrid w:val="0"/>
              <w:spacing w:line="360" w:lineRule="auto"/>
              <w:rPr>
                <w:rFonts w:hint="eastAsia" w:ascii="仿宋" w:hAnsi="仿宋" w:eastAsia="仿宋"/>
                <w:color w:val="auto"/>
                <w:sz w:val="23"/>
                <w:szCs w:val="23"/>
              </w:rPr>
            </w:pPr>
            <w:r>
              <w:rPr>
                <w:rFonts w:hint="eastAsia" w:ascii="仿宋" w:hAnsi="仿宋" w:eastAsia="仿宋"/>
                <w:color w:val="auto"/>
                <w:sz w:val="23"/>
                <w:szCs w:val="23"/>
              </w:rPr>
              <w:t>有电梯住宅面积：</w:t>
            </w:r>
            <w:r>
              <w:rPr>
                <w:rFonts w:hint="eastAsia" w:ascii="仿宋" w:hAnsi="仿宋" w:eastAsia="仿宋"/>
                <w:color w:val="auto"/>
                <w:sz w:val="23"/>
                <w:szCs w:val="23"/>
                <w:u w:val="single"/>
              </w:rPr>
              <w:t xml:space="preserve"> </w:t>
            </w:r>
            <w:r>
              <w:rPr>
                <w:rFonts w:hint="eastAsia" w:ascii="仿宋" w:hAnsi="仿宋" w:eastAsia="仿宋"/>
                <w:color w:val="auto"/>
                <w:sz w:val="23"/>
                <w:szCs w:val="23"/>
                <w:u w:val="single"/>
                <w:lang w:val="en-US" w:eastAsia="zh-CN"/>
              </w:rPr>
              <w:t>69901.52</w:t>
            </w:r>
            <w:r>
              <w:rPr>
                <w:rFonts w:hint="eastAsia" w:ascii="仿宋" w:hAnsi="仿宋" w:eastAsia="仿宋"/>
                <w:color w:val="auto"/>
                <w:sz w:val="23"/>
                <w:szCs w:val="23"/>
              </w:rPr>
              <w:t>平方米</w:t>
            </w:r>
          </w:p>
          <w:p w14:paraId="027A22A2">
            <w:pPr>
              <w:adjustRightInd w:val="0"/>
              <w:snapToGrid w:val="0"/>
              <w:spacing w:line="360" w:lineRule="auto"/>
              <w:rPr>
                <w:rFonts w:hint="eastAsia" w:ascii="仿宋" w:hAnsi="仿宋" w:eastAsia="仿宋"/>
                <w:color w:val="auto"/>
                <w:sz w:val="23"/>
                <w:szCs w:val="23"/>
              </w:rPr>
            </w:pPr>
            <w:r>
              <w:rPr>
                <w:rFonts w:hint="eastAsia" w:ascii="仿宋" w:hAnsi="仿宋" w:eastAsia="仿宋"/>
                <w:color w:val="auto"/>
                <w:sz w:val="23"/>
                <w:szCs w:val="23"/>
              </w:rPr>
              <w:t xml:space="preserve">无电梯住宅面积： </w:t>
            </w:r>
            <w:r>
              <w:rPr>
                <w:rFonts w:hint="eastAsia" w:ascii="仿宋" w:hAnsi="仿宋" w:eastAsia="仿宋"/>
                <w:color w:val="auto"/>
                <w:sz w:val="23"/>
                <w:szCs w:val="23"/>
                <w:u w:val="single"/>
              </w:rPr>
              <w:t xml:space="preserve">  / </w:t>
            </w:r>
            <w:r>
              <w:rPr>
                <w:rFonts w:hint="eastAsia" w:ascii="仿宋" w:hAnsi="仿宋" w:eastAsia="仿宋"/>
                <w:color w:val="auto"/>
                <w:sz w:val="23"/>
                <w:szCs w:val="23"/>
              </w:rPr>
              <w:t xml:space="preserve"> 平方米</w:t>
            </w:r>
          </w:p>
          <w:p w14:paraId="0F3E7F69">
            <w:pPr>
              <w:adjustRightInd w:val="0"/>
              <w:snapToGrid w:val="0"/>
              <w:spacing w:line="360" w:lineRule="auto"/>
              <w:rPr>
                <w:rFonts w:hint="default" w:ascii="仿宋" w:hAnsi="仿宋" w:eastAsia="仿宋"/>
                <w:color w:val="auto"/>
                <w:sz w:val="23"/>
                <w:szCs w:val="23"/>
                <w:lang w:val="en-US" w:eastAsia="zh-CN"/>
              </w:rPr>
            </w:pPr>
            <w:r>
              <w:rPr>
                <w:rFonts w:hint="eastAsia" w:ascii="仿宋" w:hAnsi="仿宋" w:eastAsia="仿宋"/>
                <w:color w:val="auto"/>
                <w:sz w:val="23"/>
                <w:szCs w:val="23"/>
                <w:lang w:val="en-US" w:eastAsia="zh-CN"/>
              </w:rPr>
              <w:t>商业用房：</w:t>
            </w:r>
            <w:r>
              <w:rPr>
                <w:rFonts w:hint="eastAsia" w:ascii="仿宋" w:hAnsi="仿宋" w:eastAsia="仿宋"/>
                <w:color w:val="auto"/>
                <w:sz w:val="23"/>
                <w:szCs w:val="23"/>
                <w:u w:val="single"/>
                <w:lang w:val="en-US" w:eastAsia="zh-CN"/>
              </w:rPr>
              <w:t>5697.77</w:t>
            </w:r>
            <w:r>
              <w:rPr>
                <w:rFonts w:hint="eastAsia" w:ascii="仿宋" w:hAnsi="仿宋" w:eastAsia="仿宋"/>
                <w:color w:val="auto"/>
                <w:sz w:val="23"/>
                <w:szCs w:val="23"/>
                <w:lang w:val="en-US" w:eastAsia="zh-CN"/>
              </w:rPr>
              <w:t>平方米</w:t>
            </w:r>
          </w:p>
          <w:p w14:paraId="79431ECC">
            <w:pPr>
              <w:adjustRightInd w:val="0"/>
              <w:snapToGrid w:val="0"/>
              <w:spacing w:line="360" w:lineRule="auto"/>
              <w:rPr>
                <w:rFonts w:hint="eastAsia" w:ascii="仿宋" w:hAnsi="仿宋" w:eastAsia="仿宋"/>
                <w:color w:val="auto"/>
                <w:sz w:val="23"/>
                <w:szCs w:val="23"/>
                <w:lang w:val="en-US" w:eastAsia="zh-CN"/>
              </w:rPr>
            </w:pPr>
            <w:r>
              <w:rPr>
                <w:rFonts w:hint="eastAsia" w:ascii="仿宋" w:hAnsi="仿宋" w:eastAsia="仿宋"/>
                <w:color w:val="auto"/>
                <w:sz w:val="23"/>
                <w:szCs w:val="23"/>
                <w:lang w:val="en-US" w:eastAsia="zh-CN"/>
              </w:rPr>
              <w:t>地下建筑面积（含地下停车场）：27901.22平方米</w:t>
            </w:r>
          </w:p>
          <w:p w14:paraId="0B8DF029">
            <w:pPr>
              <w:adjustRightInd w:val="0"/>
              <w:snapToGrid w:val="0"/>
              <w:spacing w:line="360" w:lineRule="auto"/>
              <w:rPr>
                <w:rFonts w:hint="default" w:ascii="仿宋" w:hAnsi="仿宋" w:eastAsia="仿宋"/>
                <w:color w:val="auto"/>
                <w:sz w:val="23"/>
                <w:szCs w:val="23"/>
                <w:lang w:val="en-US" w:eastAsia="zh-CN"/>
              </w:rPr>
            </w:pPr>
            <w:r>
              <w:rPr>
                <w:rFonts w:hint="eastAsia" w:ascii="仿宋" w:hAnsi="仿宋" w:eastAsia="仿宋"/>
                <w:color w:val="auto"/>
                <w:sz w:val="23"/>
                <w:szCs w:val="23"/>
                <w:lang w:val="en-US" w:eastAsia="zh-CN"/>
              </w:rPr>
              <w:t>其他：</w:t>
            </w:r>
            <w:r>
              <w:rPr>
                <w:rFonts w:hint="eastAsia" w:ascii="仿宋" w:hAnsi="仿宋" w:eastAsia="仿宋"/>
                <w:color w:val="auto"/>
                <w:sz w:val="23"/>
                <w:szCs w:val="23"/>
                <w:u w:val="single"/>
                <w:lang w:val="en-US" w:eastAsia="zh-CN"/>
              </w:rPr>
              <w:t>379.32</w:t>
            </w:r>
            <w:r>
              <w:rPr>
                <w:rFonts w:hint="eastAsia" w:ascii="仿宋" w:hAnsi="仿宋" w:eastAsia="仿宋"/>
                <w:color w:val="auto"/>
                <w:sz w:val="23"/>
                <w:szCs w:val="23"/>
                <w:lang w:val="en-US" w:eastAsia="zh-CN"/>
              </w:rPr>
              <w:t>平方米</w:t>
            </w:r>
          </w:p>
        </w:tc>
        <w:tc>
          <w:tcPr>
            <w:tcW w:w="1862" w:type="dxa"/>
            <w:gridSpan w:val="2"/>
            <w:tcBorders>
              <w:top w:val="single" w:color="auto" w:sz="4" w:space="0"/>
              <w:left w:val="nil"/>
              <w:bottom w:val="single" w:color="auto" w:sz="4" w:space="0"/>
              <w:right w:val="single" w:color="auto" w:sz="4" w:space="0"/>
            </w:tcBorders>
            <w:noWrap w:val="0"/>
            <w:vAlign w:val="center"/>
          </w:tcPr>
          <w:p w14:paraId="4C06D5CD">
            <w:pPr>
              <w:adjustRightInd w:val="0"/>
              <w:snapToGrid w:val="0"/>
              <w:spacing w:line="360" w:lineRule="auto"/>
              <w:jc w:val="center"/>
              <w:rPr>
                <w:rFonts w:ascii="仿宋" w:hAnsi="仿宋" w:eastAsia="仿宋"/>
                <w:color w:val="auto"/>
                <w:sz w:val="23"/>
                <w:szCs w:val="23"/>
              </w:rPr>
            </w:pPr>
            <w:r>
              <w:rPr>
                <w:rFonts w:hint="eastAsia" w:ascii="仿宋" w:hAnsi="仿宋" w:eastAsia="仿宋"/>
                <w:color w:val="auto"/>
                <w:sz w:val="23"/>
                <w:szCs w:val="23"/>
              </w:rPr>
              <w:t>备注</w:t>
            </w:r>
          </w:p>
        </w:tc>
      </w:tr>
      <w:tr w14:paraId="699E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041" w:type="dxa"/>
            <w:gridSpan w:val="2"/>
            <w:vMerge w:val="continue"/>
            <w:tcBorders>
              <w:top w:val="nil"/>
              <w:left w:val="single" w:color="auto" w:sz="4" w:space="0"/>
              <w:bottom w:val="single" w:color="auto" w:sz="4" w:space="0"/>
              <w:right w:val="single" w:color="auto" w:sz="4" w:space="0"/>
            </w:tcBorders>
            <w:noWrap w:val="0"/>
            <w:vAlign w:val="center"/>
          </w:tcPr>
          <w:p w14:paraId="7A4E57EC">
            <w:pPr>
              <w:widowControl/>
              <w:jc w:val="left"/>
              <w:rPr>
                <w:rFonts w:ascii="仿宋" w:hAnsi="仿宋" w:eastAsia="仿宋"/>
                <w:color w:val="auto"/>
                <w:sz w:val="23"/>
                <w:szCs w:val="23"/>
              </w:rPr>
            </w:pPr>
          </w:p>
        </w:tc>
        <w:tc>
          <w:tcPr>
            <w:tcW w:w="5054" w:type="dxa"/>
            <w:gridSpan w:val="4"/>
            <w:vMerge w:val="continue"/>
            <w:tcBorders>
              <w:top w:val="nil"/>
              <w:left w:val="nil"/>
              <w:bottom w:val="single" w:color="auto" w:sz="4" w:space="0"/>
              <w:right w:val="single" w:color="auto" w:sz="4" w:space="0"/>
            </w:tcBorders>
            <w:noWrap w:val="0"/>
            <w:vAlign w:val="center"/>
          </w:tcPr>
          <w:p w14:paraId="0B796F39">
            <w:pPr>
              <w:widowControl/>
              <w:jc w:val="left"/>
              <w:rPr>
                <w:rFonts w:ascii="仿宋" w:hAnsi="仿宋" w:eastAsia="仿宋"/>
                <w:color w:val="auto"/>
                <w:sz w:val="23"/>
                <w:szCs w:val="23"/>
              </w:rPr>
            </w:pPr>
          </w:p>
        </w:tc>
        <w:tc>
          <w:tcPr>
            <w:tcW w:w="1862" w:type="dxa"/>
            <w:gridSpan w:val="2"/>
            <w:tcBorders>
              <w:top w:val="single" w:color="auto" w:sz="4" w:space="0"/>
              <w:left w:val="nil"/>
              <w:bottom w:val="single" w:color="auto" w:sz="4" w:space="0"/>
              <w:right w:val="single" w:color="auto" w:sz="4" w:space="0"/>
            </w:tcBorders>
            <w:noWrap w:val="0"/>
            <w:vAlign w:val="center"/>
          </w:tcPr>
          <w:p w14:paraId="639EBCAE">
            <w:pPr>
              <w:adjustRightInd w:val="0"/>
              <w:snapToGrid w:val="0"/>
              <w:spacing w:line="360" w:lineRule="auto"/>
              <w:ind w:firstLine="435"/>
              <w:jc w:val="center"/>
              <w:rPr>
                <w:rFonts w:ascii="仿宋" w:hAnsi="仿宋" w:eastAsia="仿宋"/>
                <w:color w:val="auto"/>
                <w:sz w:val="23"/>
                <w:szCs w:val="23"/>
              </w:rPr>
            </w:pPr>
          </w:p>
        </w:tc>
      </w:tr>
      <w:tr w14:paraId="5BA0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1BF4F91">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项目建筑物</w:t>
            </w:r>
          </w:p>
        </w:tc>
        <w:tc>
          <w:tcPr>
            <w:tcW w:w="5054" w:type="dxa"/>
            <w:gridSpan w:val="4"/>
            <w:tcBorders>
              <w:top w:val="single" w:color="auto" w:sz="4" w:space="0"/>
              <w:left w:val="nil"/>
              <w:bottom w:val="single" w:color="auto" w:sz="4" w:space="0"/>
              <w:right w:val="single" w:color="auto" w:sz="4" w:space="0"/>
            </w:tcBorders>
            <w:noWrap w:val="0"/>
            <w:vAlign w:val="center"/>
          </w:tcPr>
          <w:p w14:paraId="3E678506">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共</w:t>
            </w:r>
            <w:r>
              <w:rPr>
                <w:rFonts w:hint="eastAsia" w:ascii="仿宋" w:hAnsi="仿宋" w:eastAsia="仿宋"/>
                <w:color w:val="auto"/>
                <w:sz w:val="23"/>
                <w:szCs w:val="23"/>
                <w:u w:val="single"/>
              </w:rPr>
              <w:t xml:space="preserve"> 7 </w:t>
            </w:r>
            <w:r>
              <w:rPr>
                <w:rFonts w:hint="eastAsia" w:ascii="仿宋" w:hAnsi="仿宋" w:eastAsia="仿宋"/>
                <w:color w:val="auto"/>
                <w:sz w:val="23"/>
                <w:szCs w:val="23"/>
              </w:rPr>
              <w:t>幢，多层</w:t>
            </w:r>
            <w:r>
              <w:rPr>
                <w:rFonts w:hint="eastAsia" w:ascii="仿宋" w:hAnsi="仿宋" w:eastAsia="仿宋"/>
                <w:color w:val="auto"/>
                <w:sz w:val="23"/>
                <w:szCs w:val="23"/>
                <w:u w:val="single"/>
              </w:rPr>
              <w:t xml:space="preserve">  / </w:t>
            </w:r>
            <w:r>
              <w:rPr>
                <w:rFonts w:hint="eastAsia" w:ascii="仿宋" w:hAnsi="仿宋" w:eastAsia="仿宋"/>
                <w:color w:val="auto"/>
                <w:sz w:val="23"/>
                <w:szCs w:val="23"/>
              </w:rPr>
              <w:t>幢，高层</w:t>
            </w:r>
            <w:r>
              <w:rPr>
                <w:rFonts w:hint="eastAsia" w:ascii="仿宋" w:hAnsi="仿宋" w:eastAsia="仿宋"/>
                <w:color w:val="auto"/>
                <w:sz w:val="23"/>
                <w:szCs w:val="23"/>
                <w:u w:val="single"/>
              </w:rPr>
              <w:t xml:space="preserve">7 </w:t>
            </w:r>
            <w:r>
              <w:rPr>
                <w:rFonts w:hint="eastAsia" w:ascii="仿宋" w:hAnsi="仿宋" w:eastAsia="仿宋"/>
                <w:color w:val="auto"/>
                <w:sz w:val="23"/>
                <w:szCs w:val="23"/>
              </w:rPr>
              <w:t>幢</w:t>
            </w:r>
          </w:p>
        </w:tc>
        <w:tc>
          <w:tcPr>
            <w:tcW w:w="1862" w:type="dxa"/>
            <w:gridSpan w:val="2"/>
            <w:tcBorders>
              <w:top w:val="single" w:color="auto" w:sz="4" w:space="0"/>
              <w:left w:val="nil"/>
              <w:bottom w:val="single" w:color="auto" w:sz="4" w:space="0"/>
              <w:right w:val="single" w:color="auto" w:sz="4" w:space="0"/>
            </w:tcBorders>
            <w:noWrap w:val="0"/>
            <w:vAlign w:val="center"/>
          </w:tcPr>
          <w:p w14:paraId="33AC0EE7">
            <w:pPr>
              <w:adjustRightInd w:val="0"/>
              <w:snapToGrid w:val="0"/>
              <w:spacing w:line="360" w:lineRule="auto"/>
              <w:ind w:firstLine="435"/>
              <w:jc w:val="center"/>
              <w:rPr>
                <w:rFonts w:ascii="仿宋" w:hAnsi="仿宋" w:eastAsia="仿宋"/>
                <w:color w:val="auto"/>
                <w:sz w:val="23"/>
                <w:szCs w:val="23"/>
              </w:rPr>
            </w:pPr>
          </w:p>
        </w:tc>
      </w:tr>
      <w:tr w14:paraId="5E05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7C6138FC">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项目总户数</w:t>
            </w:r>
          </w:p>
        </w:tc>
        <w:tc>
          <w:tcPr>
            <w:tcW w:w="5054" w:type="dxa"/>
            <w:gridSpan w:val="4"/>
            <w:tcBorders>
              <w:top w:val="single" w:color="auto" w:sz="4" w:space="0"/>
              <w:left w:val="nil"/>
              <w:bottom w:val="single" w:color="auto" w:sz="4" w:space="0"/>
              <w:right w:val="single" w:color="auto" w:sz="4" w:space="0"/>
            </w:tcBorders>
            <w:noWrap w:val="0"/>
            <w:vAlign w:val="center"/>
          </w:tcPr>
          <w:p w14:paraId="1188723A">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总住宅：</w:t>
            </w:r>
            <w:r>
              <w:rPr>
                <w:rFonts w:hint="eastAsia" w:ascii="仿宋" w:hAnsi="仿宋" w:eastAsia="仿宋"/>
                <w:color w:val="auto"/>
                <w:sz w:val="23"/>
                <w:szCs w:val="23"/>
                <w:u w:val="single"/>
              </w:rPr>
              <w:t>638</w:t>
            </w:r>
            <w:r>
              <w:rPr>
                <w:rFonts w:hint="eastAsia" w:ascii="仿宋" w:hAnsi="仿宋" w:eastAsia="仿宋"/>
                <w:color w:val="auto"/>
                <w:sz w:val="23"/>
                <w:szCs w:val="23"/>
              </w:rPr>
              <w:t>户（其中多层</w:t>
            </w:r>
            <w:r>
              <w:rPr>
                <w:rFonts w:hint="eastAsia" w:ascii="仿宋" w:hAnsi="仿宋" w:eastAsia="仿宋"/>
                <w:color w:val="auto"/>
                <w:sz w:val="23"/>
                <w:szCs w:val="23"/>
                <w:u w:val="single"/>
              </w:rPr>
              <w:t xml:space="preserve">  / </w:t>
            </w:r>
            <w:r>
              <w:rPr>
                <w:rFonts w:hint="eastAsia" w:ascii="仿宋" w:hAnsi="仿宋" w:eastAsia="仿宋"/>
                <w:color w:val="auto"/>
                <w:sz w:val="23"/>
                <w:szCs w:val="23"/>
              </w:rPr>
              <w:t>户，高层</w:t>
            </w:r>
            <w:r>
              <w:rPr>
                <w:rFonts w:hint="eastAsia" w:ascii="仿宋" w:hAnsi="仿宋" w:eastAsia="仿宋"/>
                <w:color w:val="auto"/>
                <w:sz w:val="23"/>
                <w:szCs w:val="23"/>
                <w:u w:val="single"/>
              </w:rPr>
              <w:t>638</w:t>
            </w:r>
            <w:r>
              <w:rPr>
                <w:rFonts w:hint="eastAsia" w:ascii="仿宋" w:hAnsi="仿宋" w:eastAsia="仿宋"/>
                <w:color w:val="auto"/>
                <w:sz w:val="23"/>
                <w:szCs w:val="23"/>
              </w:rPr>
              <w:t>户）</w:t>
            </w:r>
          </w:p>
        </w:tc>
        <w:tc>
          <w:tcPr>
            <w:tcW w:w="1862" w:type="dxa"/>
            <w:gridSpan w:val="2"/>
            <w:tcBorders>
              <w:top w:val="single" w:color="auto" w:sz="4" w:space="0"/>
              <w:left w:val="nil"/>
              <w:bottom w:val="single" w:color="auto" w:sz="4" w:space="0"/>
              <w:right w:val="single" w:color="auto" w:sz="4" w:space="0"/>
            </w:tcBorders>
            <w:noWrap w:val="0"/>
            <w:vAlign w:val="center"/>
          </w:tcPr>
          <w:p w14:paraId="07D29B3F">
            <w:pPr>
              <w:adjustRightInd w:val="0"/>
              <w:snapToGrid w:val="0"/>
              <w:spacing w:line="360" w:lineRule="auto"/>
              <w:jc w:val="both"/>
              <w:rPr>
                <w:rFonts w:hint="eastAsia" w:ascii="仿宋" w:hAnsi="仿宋" w:eastAsia="仿宋"/>
                <w:color w:val="auto"/>
                <w:sz w:val="23"/>
                <w:szCs w:val="23"/>
                <w:lang w:val="en-US" w:eastAsia="zh-CN"/>
              </w:rPr>
            </w:pPr>
            <w:r>
              <w:rPr>
                <w:rFonts w:hint="eastAsia" w:ascii="仿宋" w:hAnsi="仿宋" w:eastAsia="仿宋"/>
                <w:b/>
                <w:bCs/>
                <w:color w:val="auto"/>
                <w:sz w:val="23"/>
                <w:szCs w:val="23"/>
                <w:lang w:val="en-US" w:eastAsia="zh-CN"/>
              </w:rPr>
              <w:t>居民生活垃圾清运费24元/户/年</w:t>
            </w:r>
            <w:r>
              <w:rPr>
                <w:rFonts w:hint="eastAsia"/>
                <w:b/>
                <w:bCs/>
                <w:color w:val="auto"/>
                <w:sz w:val="23"/>
                <w:szCs w:val="23"/>
                <w:lang w:val="en-US" w:eastAsia="zh-CN"/>
              </w:rPr>
              <w:t>，由中标单位支付给相关部门</w:t>
            </w:r>
            <w:r>
              <w:rPr>
                <w:rFonts w:hint="eastAsia" w:ascii="仿宋" w:hAnsi="仿宋" w:eastAsia="仿宋"/>
                <w:b/>
                <w:bCs/>
                <w:color w:val="auto"/>
                <w:sz w:val="23"/>
                <w:szCs w:val="23"/>
                <w:lang w:val="en-US" w:eastAsia="zh-CN"/>
              </w:rPr>
              <w:t>。</w:t>
            </w:r>
          </w:p>
        </w:tc>
      </w:tr>
      <w:tr w14:paraId="6B0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3516094">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营业房</w:t>
            </w:r>
          </w:p>
        </w:tc>
        <w:tc>
          <w:tcPr>
            <w:tcW w:w="5054" w:type="dxa"/>
            <w:gridSpan w:val="4"/>
            <w:tcBorders>
              <w:top w:val="single" w:color="auto" w:sz="4" w:space="0"/>
              <w:left w:val="nil"/>
              <w:bottom w:val="single" w:color="auto" w:sz="4" w:space="0"/>
              <w:right w:val="single" w:color="auto" w:sz="4" w:space="0"/>
            </w:tcBorders>
            <w:noWrap w:val="0"/>
            <w:vAlign w:val="center"/>
          </w:tcPr>
          <w:p w14:paraId="09E87F78">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w:t>
            </w:r>
            <w:r>
              <w:rPr>
                <w:rFonts w:hint="eastAsia" w:ascii="仿宋" w:hAnsi="仿宋" w:eastAsia="仿宋"/>
                <w:color w:val="auto"/>
                <w:sz w:val="23"/>
                <w:szCs w:val="23"/>
              </w:rPr>
              <w:t>间，面积约</w:t>
            </w:r>
            <w:r>
              <w:rPr>
                <w:rFonts w:hint="eastAsia" w:ascii="仿宋" w:hAnsi="仿宋" w:eastAsia="仿宋"/>
                <w:color w:val="auto"/>
                <w:sz w:val="23"/>
                <w:szCs w:val="23"/>
                <w:u w:val="single"/>
              </w:rPr>
              <w:t xml:space="preserve">    </w:t>
            </w:r>
            <w:r>
              <w:rPr>
                <w:rFonts w:hint="eastAsia" w:ascii="仿宋" w:hAnsi="仿宋" w:eastAsia="仿宋"/>
                <w:color w:val="auto"/>
                <w:sz w:val="23"/>
                <w:szCs w:val="23"/>
              </w:rPr>
              <w:t>平方米（以实际为准）。</w:t>
            </w:r>
          </w:p>
        </w:tc>
        <w:tc>
          <w:tcPr>
            <w:tcW w:w="1862" w:type="dxa"/>
            <w:gridSpan w:val="2"/>
            <w:tcBorders>
              <w:top w:val="single" w:color="auto" w:sz="4" w:space="0"/>
              <w:left w:val="nil"/>
              <w:bottom w:val="single" w:color="auto" w:sz="4" w:space="0"/>
              <w:right w:val="single" w:color="auto" w:sz="4" w:space="0"/>
            </w:tcBorders>
            <w:noWrap w:val="0"/>
            <w:vAlign w:val="center"/>
          </w:tcPr>
          <w:p w14:paraId="7353A8AB">
            <w:pPr>
              <w:adjustRightInd w:val="0"/>
              <w:snapToGrid w:val="0"/>
              <w:spacing w:line="360" w:lineRule="auto"/>
              <w:rPr>
                <w:rFonts w:ascii="仿宋" w:hAnsi="仿宋" w:eastAsia="仿宋"/>
                <w:color w:val="auto"/>
                <w:sz w:val="23"/>
                <w:szCs w:val="23"/>
              </w:rPr>
            </w:pPr>
            <w:r>
              <w:rPr>
                <w:rFonts w:hint="eastAsia" w:ascii="仿宋" w:hAnsi="仿宋" w:eastAsia="仿宋" w:cs="仿宋"/>
                <w:b/>
                <w:color w:val="auto"/>
                <w:sz w:val="23"/>
                <w:szCs w:val="23"/>
                <w:highlight w:val="none"/>
              </w:rPr>
              <w:t>营业用房如发生租赁则物业费按相关行业标准执行，具体以三方协商为准。</w:t>
            </w:r>
          </w:p>
        </w:tc>
      </w:tr>
      <w:tr w14:paraId="2538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4FC2C74">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道路、广场面积</w:t>
            </w:r>
          </w:p>
        </w:tc>
        <w:tc>
          <w:tcPr>
            <w:tcW w:w="5054" w:type="dxa"/>
            <w:gridSpan w:val="4"/>
            <w:tcBorders>
              <w:top w:val="single" w:color="auto" w:sz="4" w:space="0"/>
              <w:left w:val="nil"/>
              <w:bottom w:val="single" w:color="auto" w:sz="4" w:space="0"/>
              <w:right w:val="single" w:color="auto" w:sz="4" w:space="0"/>
            </w:tcBorders>
            <w:noWrap w:val="0"/>
            <w:vAlign w:val="center"/>
          </w:tcPr>
          <w:p w14:paraId="79851736">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共</w:t>
            </w:r>
            <w:r>
              <w:rPr>
                <w:rFonts w:hint="eastAsia" w:ascii="仿宋" w:hAnsi="仿宋" w:eastAsia="仿宋"/>
                <w:color w:val="auto"/>
                <w:sz w:val="23"/>
                <w:szCs w:val="23"/>
                <w:u w:val="single"/>
              </w:rPr>
              <w:t xml:space="preserve"> 12420  </w:t>
            </w:r>
            <w:r>
              <w:rPr>
                <w:rFonts w:hint="eastAsia" w:ascii="仿宋" w:hAnsi="仿宋" w:eastAsia="仿宋"/>
                <w:color w:val="auto"/>
                <w:sz w:val="23"/>
                <w:szCs w:val="23"/>
              </w:rPr>
              <w:t>平方米，(其中地砖</w:t>
            </w:r>
            <w:r>
              <w:rPr>
                <w:rFonts w:hint="eastAsia" w:ascii="仿宋" w:hAnsi="仿宋" w:eastAsia="仿宋"/>
                <w:color w:val="auto"/>
                <w:sz w:val="23"/>
                <w:szCs w:val="23"/>
                <w:u w:val="single"/>
              </w:rPr>
              <w:t xml:space="preserve"> 7333 </w:t>
            </w:r>
            <w:r>
              <w:rPr>
                <w:rFonts w:hint="eastAsia" w:ascii="仿宋" w:hAnsi="仿宋" w:eastAsia="仿宋"/>
                <w:color w:val="auto"/>
                <w:sz w:val="23"/>
                <w:szCs w:val="23"/>
              </w:rPr>
              <w:t>平方米，沥青</w:t>
            </w:r>
            <w:r>
              <w:rPr>
                <w:rFonts w:hint="eastAsia" w:ascii="仿宋" w:hAnsi="仿宋" w:eastAsia="仿宋"/>
                <w:color w:val="auto"/>
                <w:sz w:val="23"/>
                <w:szCs w:val="23"/>
                <w:u w:val="single"/>
              </w:rPr>
              <w:t xml:space="preserve"> 5087</w:t>
            </w:r>
            <w:r>
              <w:rPr>
                <w:rFonts w:hint="eastAsia" w:ascii="仿宋" w:hAnsi="仿宋" w:eastAsia="仿宋"/>
                <w:color w:val="auto"/>
                <w:sz w:val="23"/>
                <w:szCs w:val="23"/>
              </w:rPr>
              <w:t>平方米)</w:t>
            </w:r>
          </w:p>
        </w:tc>
        <w:tc>
          <w:tcPr>
            <w:tcW w:w="1862" w:type="dxa"/>
            <w:gridSpan w:val="2"/>
            <w:tcBorders>
              <w:top w:val="single" w:color="auto" w:sz="4" w:space="0"/>
              <w:left w:val="nil"/>
              <w:bottom w:val="single" w:color="auto" w:sz="4" w:space="0"/>
              <w:right w:val="single" w:color="auto" w:sz="4" w:space="0"/>
            </w:tcBorders>
            <w:noWrap w:val="0"/>
            <w:vAlign w:val="center"/>
          </w:tcPr>
          <w:p w14:paraId="6F09EA96">
            <w:pPr>
              <w:adjustRightInd w:val="0"/>
              <w:snapToGrid w:val="0"/>
              <w:spacing w:line="360" w:lineRule="auto"/>
              <w:ind w:firstLine="435"/>
              <w:jc w:val="center"/>
              <w:rPr>
                <w:rFonts w:ascii="仿宋" w:hAnsi="仿宋" w:eastAsia="仿宋"/>
                <w:color w:val="auto"/>
                <w:sz w:val="23"/>
                <w:szCs w:val="23"/>
              </w:rPr>
            </w:pPr>
          </w:p>
        </w:tc>
      </w:tr>
      <w:tr w14:paraId="66A3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0682101">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绿化总面积</w:t>
            </w:r>
          </w:p>
        </w:tc>
        <w:tc>
          <w:tcPr>
            <w:tcW w:w="5054" w:type="dxa"/>
            <w:gridSpan w:val="4"/>
            <w:tcBorders>
              <w:top w:val="single" w:color="auto" w:sz="4" w:space="0"/>
              <w:left w:val="nil"/>
              <w:bottom w:val="single" w:color="auto" w:sz="4" w:space="0"/>
              <w:right w:val="single" w:color="auto" w:sz="4" w:space="0"/>
            </w:tcBorders>
            <w:noWrap w:val="0"/>
            <w:vAlign w:val="center"/>
          </w:tcPr>
          <w:p w14:paraId="63E9FEDE">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绿化总面积</w:t>
            </w:r>
            <w:r>
              <w:rPr>
                <w:rFonts w:hint="eastAsia" w:ascii="仿宋" w:hAnsi="仿宋" w:eastAsia="仿宋"/>
                <w:color w:val="auto"/>
                <w:sz w:val="23"/>
                <w:szCs w:val="23"/>
                <w:u w:val="single"/>
              </w:rPr>
              <w:t xml:space="preserve">  9277.32  </w:t>
            </w:r>
            <w:r>
              <w:rPr>
                <w:rFonts w:hint="eastAsia" w:ascii="仿宋" w:hAnsi="仿宋" w:eastAsia="仿宋"/>
                <w:color w:val="auto"/>
                <w:sz w:val="23"/>
                <w:szCs w:val="23"/>
              </w:rPr>
              <w:t>平方米</w:t>
            </w:r>
          </w:p>
        </w:tc>
        <w:tc>
          <w:tcPr>
            <w:tcW w:w="1862" w:type="dxa"/>
            <w:gridSpan w:val="2"/>
            <w:tcBorders>
              <w:top w:val="single" w:color="auto" w:sz="4" w:space="0"/>
              <w:left w:val="nil"/>
              <w:bottom w:val="single" w:color="auto" w:sz="4" w:space="0"/>
              <w:right w:val="single" w:color="auto" w:sz="4" w:space="0"/>
            </w:tcBorders>
            <w:noWrap w:val="0"/>
            <w:vAlign w:val="center"/>
          </w:tcPr>
          <w:p w14:paraId="52E9A53A">
            <w:pPr>
              <w:adjustRightInd w:val="0"/>
              <w:snapToGrid w:val="0"/>
              <w:spacing w:line="360" w:lineRule="auto"/>
              <w:ind w:firstLine="435"/>
              <w:jc w:val="center"/>
              <w:rPr>
                <w:rFonts w:ascii="仿宋" w:hAnsi="仿宋" w:eastAsia="仿宋"/>
                <w:color w:val="auto"/>
                <w:sz w:val="23"/>
                <w:szCs w:val="23"/>
              </w:rPr>
            </w:pPr>
          </w:p>
        </w:tc>
      </w:tr>
      <w:tr w14:paraId="120D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2110E965">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物业管理用房</w:t>
            </w:r>
          </w:p>
        </w:tc>
        <w:tc>
          <w:tcPr>
            <w:tcW w:w="5054" w:type="dxa"/>
            <w:gridSpan w:val="4"/>
            <w:tcBorders>
              <w:top w:val="single" w:color="auto" w:sz="4" w:space="0"/>
              <w:left w:val="nil"/>
              <w:bottom w:val="single" w:color="auto" w:sz="4" w:space="0"/>
              <w:right w:val="single" w:color="auto" w:sz="4" w:space="0"/>
            </w:tcBorders>
            <w:noWrap w:val="0"/>
            <w:vAlign w:val="center"/>
          </w:tcPr>
          <w:p w14:paraId="70966BAC">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共</w:t>
            </w:r>
            <w:r>
              <w:rPr>
                <w:rFonts w:hint="eastAsia" w:ascii="仿宋" w:hAnsi="仿宋" w:eastAsia="仿宋"/>
                <w:color w:val="auto"/>
                <w:sz w:val="23"/>
                <w:szCs w:val="23"/>
                <w:u w:val="single"/>
              </w:rPr>
              <w:t xml:space="preserve">  621.46 </w:t>
            </w:r>
            <w:r>
              <w:rPr>
                <w:rFonts w:hint="eastAsia" w:ascii="仿宋" w:hAnsi="仿宋" w:eastAsia="仿宋"/>
                <w:color w:val="auto"/>
                <w:sz w:val="23"/>
                <w:szCs w:val="23"/>
              </w:rPr>
              <w:t>平方米,(其中物业办公</w:t>
            </w:r>
            <w:r>
              <w:rPr>
                <w:rFonts w:hint="eastAsia" w:ascii="仿宋" w:hAnsi="仿宋" w:eastAsia="仿宋"/>
                <w:color w:val="auto"/>
                <w:sz w:val="23"/>
                <w:szCs w:val="23"/>
                <w:u w:val="single"/>
              </w:rPr>
              <w:t xml:space="preserve"> 257.85</w:t>
            </w:r>
            <w:r>
              <w:rPr>
                <w:rFonts w:hint="eastAsia" w:ascii="仿宋" w:hAnsi="仿宋" w:eastAsia="仿宋"/>
                <w:color w:val="auto"/>
                <w:sz w:val="23"/>
                <w:szCs w:val="23"/>
              </w:rPr>
              <w:t>平方米，物业经营</w:t>
            </w:r>
            <w:r>
              <w:rPr>
                <w:rFonts w:hint="eastAsia" w:ascii="仿宋" w:hAnsi="仿宋" w:eastAsia="仿宋"/>
                <w:color w:val="auto"/>
                <w:sz w:val="23"/>
                <w:szCs w:val="23"/>
                <w:u w:val="single"/>
              </w:rPr>
              <w:t xml:space="preserve"> 363.61 </w:t>
            </w:r>
            <w:r>
              <w:rPr>
                <w:rFonts w:hint="eastAsia" w:ascii="仿宋" w:hAnsi="仿宋" w:eastAsia="仿宋"/>
                <w:color w:val="auto"/>
                <w:sz w:val="23"/>
                <w:szCs w:val="23"/>
              </w:rPr>
              <w:t>平方米)</w:t>
            </w:r>
          </w:p>
        </w:tc>
        <w:tc>
          <w:tcPr>
            <w:tcW w:w="1862" w:type="dxa"/>
            <w:gridSpan w:val="2"/>
            <w:tcBorders>
              <w:top w:val="single" w:color="auto" w:sz="4" w:space="0"/>
              <w:left w:val="nil"/>
              <w:bottom w:val="single" w:color="auto" w:sz="4" w:space="0"/>
              <w:right w:val="single" w:color="auto" w:sz="4" w:space="0"/>
            </w:tcBorders>
            <w:noWrap w:val="0"/>
            <w:vAlign w:val="center"/>
          </w:tcPr>
          <w:p w14:paraId="1DE7DB0D">
            <w:pPr>
              <w:adjustRightInd w:val="0"/>
              <w:snapToGrid w:val="0"/>
              <w:spacing w:line="360" w:lineRule="auto"/>
              <w:jc w:val="both"/>
              <w:rPr>
                <w:rFonts w:hint="default" w:ascii="仿宋" w:hAnsi="仿宋" w:eastAsia="仿宋"/>
                <w:color w:val="auto"/>
                <w:sz w:val="23"/>
                <w:szCs w:val="23"/>
                <w:lang w:val="en-US" w:eastAsia="zh-CN"/>
              </w:rPr>
            </w:pPr>
            <w:r>
              <w:rPr>
                <w:rFonts w:hint="eastAsia"/>
                <w:b/>
                <w:bCs/>
                <w:color w:val="auto"/>
                <w:sz w:val="23"/>
                <w:szCs w:val="23"/>
                <w:lang w:val="en-US" w:eastAsia="zh-CN"/>
              </w:rPr>
              <w:t>物业办公场所及物业经营场所所产生的收益归业主委员会所有。</w:t>
            </w:r>
          </w:p>
        </w:tc>
      </w:tr>
      <w:tr w14:paraId="5C16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4B2446CC">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村民活动中心</w:t>
            </w:r>
          </w:p>
        </w:tc>
        <w:tc>
          <w:tcPr>
            <w:tcW w:w="5054" w:type="dxa"/>
            <w:gridSpan w:val="4"/>
            <w:tcBorders>
              <w:top w:val="single" w:color="auto" w:sz="4" w:space="0"/>
              <w:left w:val="nil"/>
              <w:bottom w:val="single" w:color="auto" w:sz="4" w:space="0"/>
              <w:right w:val="single" w:color="auto" w:sz="4" w:space="0"/>
            </w:tcBorders>
            <w:noWrap w:val="0"/>
            <w:vAlign w:val="center"/>
          </w:tcPr>
          <w:p w14:paraId="64068619">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  </w:t>
            </w:r>
            <w:r>
              <w:rPr>
                <w:rFonts w:hint="eastAsia" w:ascii="仿宋" w:hAnsi="仿宋" w:eastAsia="仿宋"/>
                <w:color w:val="auto"/>
                <w:sz w:val="23"/>
                <w:szCs w:val="23"/>
              </w:rPr>
              <w:t>平方米</w:t>
            </w:r>
          </w:p>
        </w:tc>
        <w:tc>
          <w:tcPr>
            <w:tcW w:w="1862" w:type="dxa"/>
            <w:gridSpan w:val="2"/>
            <w:tcBorders>
              <w:top w:val="single" w:color="auto" w:sz="4" w:space="0"/>
              <w:left w:val="nil"/>
              <w:bottom w:val="single" w:color="auto" w:sz="4" w:space="0"/>
              <w:right w:val="single" w:color="auto" w:sz="4" w:space="0"/>
            </w:tcBorders>
            <w:noWrap w:val="0"/>
            <w:vAlign w:val="center"/>
          </w:tcPr>
          <w:p w14:paraId="112D7597">
            <w:pPr>
              <w:adjustRightInd w:val="0"/>
              <w:snapToGrid w:val="0"/>
              <w:spacing w:line="360" w:lineRule="auto"/>
              <w:ind w:firstLine="435"/>
              <w:jc w:val="center"/>
              <w:rPr>
                <w:rFonts w:ascii="仿宋" w:hAnsi="仿宋" w:eastAsia="仿宋"/>
                <w:color w:val="auto"/>
                <w:sz w:val="23"/>
                <w:szCs w:val="23"/>
              </w:rPr>
            </w:pPr>
          </w:p>
        </w:tc>
      </w:tr>
      <w:tr w14:paraId="478B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16C159">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机动停车泊位</w:t>
            </w:r>
          </w:p>
        </w:tc>
        <w:tc>
          <w:tcPr>
            <w:tcW w:w="5054" w:type="dxa"/>
            <w:gridSpan w:val="4"/>
            <w:tcBorders>
              <w:top w:val="single" w:color="auto" w:sz="4" w:space="0"/>
              <w:left w:val="nil"/>
              <w:bottom w:val="single" w:color="auto" w:sz="4" w:space="0"/>
              <w:right w:val="single" w:color="auto" w:sz="4" w:space="0"/>
            </w:tcBorders>
            <w:noWrap w:val="0"/>
            <w:vAlign w:val="center"/>
          </w:tcPr>
          <w:p w14:paraId="0F2DD581">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地上</w:t>
            </w:r>
            <w:r>
              <w:rPr>
                <w:rFonts w:hint="eastAsia" w:ascii="仿宋" w:hAnsi="仿宋" w:eastAsia="仿宋"/>
                <w:color w:val="auto"/>
                <w:sz w:val="23"/>
                <w:szCs w:val="23"/>
                <w:u w:val="single"/>
              </w:rPr>
              <w:t xml:space="preserve"> 194 </w:t>
            </w:r>
            <w:r>
              <w:rPr>
                <w:rFonts w:hint="eastAsia" w:ascii="仿宋" w:hAnsi="仿宋" w:eastAsia="仿宋"/>
                <w:color w:val="auto"/>
                <w:sz w:val="23"/>
                <w:szCs w:val="23"/>
              </w:rPr>
              <w:t>个，地下</w:t>
            </w:r>
            <w:r>
              <w:rPr>
                <w:rFonts w:hint="eastAsia" w:ascii="仿宋" w:hAnsi="仿宋" w:eastAsia="仿宋"/>
                <w:color w:val="auto"/>
                <w:sz w:val="23"/>
                <w:szCs w:val="23"/>
                <w:u w:val="single"/>
              </w:rPr>
              <w:t xml:space="preserve"> 572 </w:t>
            </w:r>
            <w:r>
              <w:rPr>
                <w:rFonts w:hint="eastAsia" w:ascii="仿宋" w:hAnsi="仿宋" w:eastAsia="仿宋"/>
                <w:color w:val="auto"/>
                <w:sz w:val="23"/>
                <w:szCs w:val="23"/>
              </w:rPr>
              <w:t>个</w:t>
            </w:r>
          </w:p>
        </w:tc>
        <w:tc>
          <w:tcPr>
            <w:tcW w:w="1862" w:type="dxa"/>
            <w:gridSpan w:val="2"/>
            <w:tcBorders>
              <w:top w:val="single" w:color="auto" w:sz="4" w:space="0"/>
              <w:left w:val="nil"/>
              <w:bottom w:val="single" w:color="auto" w:sz="4" w:space="0"/>
              <w:right w:val="single" w:color="auto" w:sz="4" w:space="0"/>
            </w:tcBorders>
            <w:noWrap w:val="0"/>
            <w:vAlign w:val="center"/>
          </w:tcPr>
          <w:p w14:paraId="4E633C96">
            <w:pPr>
              <w:adjustRightInd w:val="0"/>
              <w:snapToGrid w:val="0"/>
              <w:spacing w:line="360" w:lineRule="auto"/>
              <w:ind w:firstLine="435"/>
              <w:jc w:val="center"/>
              <w:rPr>
                <w:rFonts w:ascii="仿宋" w:hAnsi="仿宋" w:eastAsia="仿宋"/>
                <w:color w:val="auto"/>
                <w:sz w:val="23"/>
                <w:szCs w:val="23"/>
              </w:rPr>
            </w:pPr>
          </w:p>
        </w:tc>
      </w:tr>
      <w:tr w14:paraId="1C55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6660055">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垃圾房、桶</w:t>
            </w:r>
          </w:p>
        </w:tc>
        <w:tc>
          <w:tcPr>
            <w:tcW w:w="5054" w:type="dxa"/>
            <w:gridSpan w:val="4"/>
            <w:tcBorders>
              <w:top w:val="single" w:color="auto" w:sz="4" w:space="0"/>
              <w:left w:val="nil"/>
              <w:bottom w:val="single" w:color="auto" w:sz="4" w:space="0"/>
              <w:right w:val="single" w:color="auto" w:sz="4" w:space="0"/>
            </w:tcBorders>
            <w:noWrap w:val="0"/>
            <w:vAlign w:val="center"/>
          </w:tcPr>
          <w:p w14:paraId="29C30B70">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1 </w:t>
            </w:r>
            <w:r>
              <w:rPr>
                <w:rFonts w:hint="eastAsia" w:ascii="仿宋" w:hAnsi="仿宋" w:eastAsia="仿宋"/>
                <w:color w:val="auto"/>
                <w:sz w:val="23"/>
                <w:szCs w:val="23"/>
              </w:rPr>
              <w:t xml:space="preserve"> 座（房）， </w:t>
            </w:r>
            <w:r>
              <w:rPr>
                <w:rFonts w:hint="eastAsia" w:ascii="仿宋" w:hAnsi="仿宋" w:eastAsia="仿宋"/>
                <w:color w:val="auto"/>
                <w:sz w:val="23"/>
                <w:szCs w:val="23"/>
                <w:u w:val="single"/>
              </w:rPr>
              <w:t xml:space="preserve"> / </w:t>
            </w:r>
            <w:r>
              <w:rPr>
                <w:rFonts w:hint="eastAsia" w:ascii="仿宋" w:hAnsi="仿宋" w:eastAsia="仿宋"/>
                <w:color w:val="auto"/>
                <w:sz w:val="23"/>
                <w:szCs w:val="23"/>
              </w:rPr>
              <w:t>个（桶）</w:t>
            </w:r>
          </w:p>
        </w:tc>
        <w:tc>
          <w:tcPr>
            <w:tcW w:w="1862" w:type="dxa"/>
            <w:gridSpan w:val="2"/>
            <w:tcBorders>
              <w:top w:val="single" w:color="auto" w:sz="4" w:space="0"/>
              <w:left w:val="nil"/>
              <w:bottom w:val="single" w:color="auto" w:sz="4" w:space="0"/>
              <w:right w:val="single" w:color="auto" w:sz="4" w:space="0"/>
            </w:tcBorders>
            <w:noWrap w:val="0"/>
            <w:vAlign w:val="center"/>
          </w:tcPr>
          <w:p w14:paraId="0E17473A">
            <w:pPr>
              <w:adjustRightInd w:val="0"/>
              <w:snapToGrid w:val="0"/>
              <w:spacing w:line="360" w:lineRule="auto"/>
              <w:ind w:firstLine="435"/>
              <w:jc w:val="center"/>
              <w:rPr>
                <w:rFonts w:ascii="仿宋" w:hAnsi="仿宋" w:eastAsia="仿宋"/>
                <w:color w:val="auto"/>
                <w:sz w:val="23"/>
                <w:szCs w:val="23"/>
              </w:rPr>
            </w:pPr>
          </w:p>
        </w:tc>
      </w:tr>
      <w:tr w14:paraId="78EE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2C03C023">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管道燃气</w:t>
            </w:r>
          </w:p>
        </w:tc>
        <w:tc>
          <w:tcPr>
            <w:tcW w:w="5054" w:type="dxa"/>
            <w:gridSpan w:val="4"/>
            <w:tcBorders>
              <w:top w:val="single" w:color="auto" w:sz="4" w:space="0"/>
              <w:left w:val="nil"/>
              <w:bottom w:val="single" w:color="auto" w:sz="4" w:space="0"/>
              <w:right w:val="single" w:color="auto" w:sz="4" w:space="0"/>
            </w:tcBorders>
            <w:noWrap w:val="0"/>
            <w:vAlign w:val="center"/>
          </w:tcPr>
          <w:p w14:paraId="6FBEAAF8">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是否安装到每户： 是</w:t>
            </w:r>
          </w:p>
        </w:tc>
        <w:tc>
          <w:tcPr>
            <w:tcW w:w="1862" w:type="dxa"/>
            <w:gridSpan w:val="2"/>
            <w:tcBorders>
              <w:top w:val="single" w:color="auto" w:sz="4" w:space="0"/>
              <w:left w:val="nil"/>
              <w:bottom w:val="single" w:color="auto" w:sz="4" w:space="0"/>
              <w:right w:val="single" w:color="auto" w:sz="4" w:space="0"/>
            </w:tcBorders>
            <w:noWrap w:val="0"/>
            <w:vAlign w:val="center"/>
          </w:tcPr>
          <w:p w14:paraId="38E7EF09">
            <w:pPr>
              <w:adjustRightInd w:val="0"/>
              <w:snapToGrid w:val="0"/>
              <w:spacing w:line="360" w:lineRule="auto"/>
              <w:ind w:firstLine="435"/>
              <w:jc w:val="center"/>
              <w:rPr>
                <w:rFonts w:ascii="仿宋" w:hAnsi="仿宋" w:eastAsia="仿宋"/>
                <w:color w:val="auto"/>
                <w:sz w:val="23"/>
                <w:szCs w:val="23"/>
              </w:rPr>
            </w:pPr>
          </w:p>
        </w:tc>
      </w:tr>
      <w:tr w14:paraId="2E39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5639CBF">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公共架空层</w:t>
            </w:r>
          </w:p>
        </w:tc>
        <w:tc>
          <w:tcPr>
            <w:tcW w:w="5054" w:type="dxa"/>
            <w:gridSpan w:val="4"/>
            <w:tcBorders>
              <w:top w:val="single" w:color="auto" w:sz="4" w:space="0"/>
              <w:left w:val="nil"/>
              <w:bottom w:val="single" w:color="auto" w:sz="4" w:space="0"/>
              <w:right w:val="single" w:color="auto" w:sz="4" w:space="0"/>
            </w:tcBorders>
            <w:noWrap w:val="0"/>
            <w:vAlign w:val="center"/>
          </w:tcPr>
          <w:p w14:paraId="7748C54D">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2 </w:t>
            </w:r>
            <w:r>
              <w:rPr>
                <w:rFonts w:hint="eastAsia" w:ascii="仿宋" w:hAnsi="仿宋" w:eastAsia="仿宋"/>
                <w:color w:val="auto"/>
                <w:sz w:val="23"/>
                <w:szCs w:val="23"/>
              </w:rPr>
              <w:t xml:space="preserve">处；   </w:t>
            </w:r>
            <w:r>
              <w:rPr>
                <w:rFonts w:hint="eastAsia" w:ascii="仿宋" w:hAnsi="仿宋" w:eastAsia="仿宋"/>
                <w:color w:val="auto"/>
                <w:sz w:val="23"/>
                <w:szCs w:val="23"/>
                <w:u w:val="single"/>
              </w:rPr>
              <w:t xml:space="preserve"> 292.10 </w:t>
            </w:r>
            <w:r>
              <w:rPr>
                <w:rFonts w:hint="eastAsia" w:ascii="仿宋" w:hAnsi="仿宋" w:eastAsia="仿宋"/>
                <w:color w:val="auto"/>
                <w:sz w:val="23"/>
                <w:szCs w:val="23"/>
              </w:rPr>
              <w:t>平方米</w:t>
            </w:r>
          </w:p>
        </w:tc>
        <w:tc>
          <w:tcPr>
            <w:tcW w:w="1862" w:type="dxa"/>
            <w:gridSpan w:val="2"/>
            <w:tcBorders>
              <w:top w:val="single" w:color="auto" w:sz="4" w:space="0"/>
              <w:left w:val="nil"/>
              <w:bottom w:val="single" w:color="auto" w:sz="4" w:space="0"/>
              <w:right w:val="single" w:color="auto" w:sz="4" w:space="0"/>
            </w:tcBorders>
            <w:noWrap w:val="0"/>
            <w:vAlign w:val="center"/>
          </w:tcPr>
          <w:p w14:paraId="1D4FFABF">
            <w:pPr>
              <w:adjustRightInd w:val="0"/>
              <w:snapToGrid w:val="0"/>
              <w:spacing w:line="360" w:lineRule="auto"/>
              <w:ind w:firstLine="435"/>
              <w:jc w:val="center"/>
              <w:rPr>
                <w:rFonts w:ascii="仿宋" w:hAnsi="仿宋" w:eastAsia="仿宋"/>
                <w:color w:val="auto"/>
                <w:sz w:val="23"/>
                <w:szCs w:val="23"/>
              </w:rPr>
            </w:pPr>
          </w:p>
        </w:tc>
      </w:tr>
      <w:tr w14:paraId="33A5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787B982E">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文体设施情况（如游泳池、篮球场等）</w:t>
            </w:r>
          </w:p>
        </w:tc>
        <w:tc>
          <w:tcPr>
            <w:tcW w:w="5054" w:type="dxa"/>
            <w:gridSpan w:val="4"/>
            <w:tcBorders>
              <w:top w:val="single" w:color="auto" w:sz="4" w:space="0"/>
              <w:left w:val="nil"/>
              <w:bottom w:val="single" w:color="auto" w:sz="4" w:space="0"/>
              <w:right w:val="single" w:color="auto" w:sz="4" w:space="0"/>
            </w:tcBorders>
            <w:noWrap w:val="0"/>
            <w:vAlign w:val="center"/>
          </w:tcPr>
          <w:p w14:paraId="654A038A">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篮球场1座  </w:t>
            </w:r>
          </w:p>
        </w:tc>
        <w:tc>
          <w:tcPr>
            <w:tcW w:w="1862" w:type="dxa"/>
            <w:gridSpan w:val="2"/>
            <w:tcBorders>
              <w:top w:val="single" w:color="auto" w:sz="4" w:space="0"/>
              <w:left w:val="nil"/>
              <w:bottom w:val="single" w:color="auto" w:sz="4" w:space="0"/>
              <w:right w:val="single" w:color="auto" w:sz="4" w:space="0"/>
            </w:tcBorders>
            <w:noWrap w:val="0"/>
            <w:vAlign w:val="center"/>
          </w:tcPr>
          <w:p w14:paraId="3FDA8CB6">
            <w:pPr>
              <w:adjustRightInd w:val="0"/>
              <w:snapToGrid w:val="0"/>
              <w:spacing w:line="360" w:lineRule="auto"/>
              <w:ind w:firstLine="435"/>
              <w:jc w:val="center"/>
              <w:rPr>
                <w:rFonts w:ascii="仿宋" w:hAnsi="仿宋" w:eastAsia="仿宋"/>
                <w:color w:val="auto"/>
                <w:sz w:val="23"/>
                <w:szCs w:val="23"/>
              </w:rPr>
            </w:pPr>
          </w:p>
        </w:tc>
      </w:tr>
      <w:tr w14:paraId="541A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D23E7D9">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储藏室面积</w:t>
            </w:r>
          </w:p>
        </w:tc>
        <w:tc>
          <w:tcPr>
            <w:tcW w:w="5054" w:type="dxa"/>
            <w:gridSpan w:val="4"/>
            <w:tcBorders>
              <w:top w:val="single" w:color="auto" w:sz="4" w:space="0"/>
              <w:left w:val="nil"/>
              <w:bottom w:val="single" w:color="auto" w:sz="4" w:space="0"/>
              <w:right w:val="single" w:color="auto" w:sz="4" w:space="0"/>
            </w:tcBorders>
            <w:noWrap w:val="0"/>
            <w:vAlign w:val="center"/>
          </w:tcPr>
          <w:p w14:paraId="60219BE4">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该面积不计入总面积中且中标单位需提供无偿服务，不计取任何费用</w:t>
            </w:r>
          </w:p>
        </w:tc>
        <w:tc>
          <w:tcPr>
            <w:tcW w:w="1862" w:type="dxa"/>
            <w:gridSpan w:val="2"/>
            <w:tcBorders>
              <w:top w:val="single" w:color="auto" w:sz="4" w:space="0"/>
              <w:left w:val="nil"/>
              <w:bottom w:val="single" w:color="auto" w:sz="4" w:space="0"/>
              <w:right w:val="single" w:color="auto" w:sz="4" w:space="0"/>
            </w:tcBorders>
            <w:noWrap w:val="0"/>
            <w:vAlign w:val="center"/>
          </w:tcPr>
          <w:p w14:paraId="0DEBD23D">
            <w:pPr>
              <w:adjustRightInd w:val="0"/>
              <w:snapToGrid w:val="0"/>
              <w:spacing w:line="360" w:lineRule="auto"/>
              <w:ind w:firstLine="435"/>
              <w:jc w:val="center"/>
              <w:rPr>
                <w:rFonts w:ascii="仿宋" w:hAnsi="仿宋" w:eastAsia="仿宋"/>
                <w:color w:val="auto"/>
                <w:sz w:val="23"/>
                <w:szCs w:val="23"/>
              </w:rPr>
            </w:pPr>
          </w:p>
        </w:tc>
      </w:tr>
    </w:tbl>
    <w:p w14:paraId="363E1EA8">
      <w:pPr>
        <w:rPr>
          <w:rFonts w:hint="eastAsia"/>
          <w:vanish/>
          <w:color w:val="auto"/>
          <w:szCs w:val="21"/>
        </w:rPr>
      </w:pPr>
    </w:p>
    <w:tbl>
      <w:tblPr>
        <w:tblStyle w:val="8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352"/>
        <w:gridCol w:w="4581"/>
      </w:tblGrid>
      <w:tr w14:paraId="74CE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45" w:type="dxa"/>
            <w:tcBorders>
              <w:top w:val="single" w:color="auto" w:sz="4" w:space="0"/>
              <w:left w:val="single" w:color="auto" w:sz="4" w:space="0"/>
              <w:bottom w:val="single" w:color="auto" w:sz="4" w:space="0"/>
              <w:right w:val="single" w:color="auto" w:sz="4" w:space="0"/>
            </w:tcBorders>
            <w:noWrap w:val="0"/>
            <w:vAlign w:val="center"/>
          </w:tcPr>
          <w:p w14:paraId="0A7CE706">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电梯</w:t>
            </w:r>
          </w:p>
        </w:tc>
        <w:tc>
          <w:tcPr>
            <w:tcW w:w="6933" w:type="dxa"/>
            <w:gridSpan w:val="2"/>
            <w:tcBorders>
              <w:top w:val="single" w:color="auto" w:sz="4" w:space="0"/>
              <w:left w:val="nil"/>
              <w:bottom w:val="single" w:color="auto" w:sz="4" w:space="0"/>
              <w:right w:val="single" w:color="auto" w:sz="4" w:space="0"/>
            </w:tcBorders>
            <w:noWrap w:val="0"/>
            <w:vAlign w:val="center"/>
          </w:tcPr>
          <w:p w14:paraId="06576381">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 xml:space="preserve">小区内所有电梯 </w:t>
            </w:r>
          </w:p>
        </w:tc>
      </w:tr>
      <w:tr w14:paraId="2A65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45" w:type="dxa"/>
            <w:vMerge w:val="restart"/>
            <w:tcBorders>
              <w:top w:val="nil"/>
              <w:left w:val="single" w:color="auto" w:sz="4" w:space="0"/>
              <w:bottom w:val="single" w:color="auto" w:sz="4" w:space="0"/>
              <w:right w:val="single" w:color="auto" w:sz="4" w:space="0"/>
            </w:tcBorders>
            <w:noWrap w:val="0"/>
            <w:vAlign w:val="center"/>
          </w:tcPr>
          <w:p w14:paraId="04717970">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安保系统</w:t>
            </w:r>
          </w:p>
        </w:tc>
        <w:tc>
          <w:tcPr>
            <w:tcW w:w="6933" w:type="dxa"/>
            <w:gridSpan w:val="2"/>
            <w:tcBorders>
              <w:top w:val="single" w:color="auto" w:sz="4" w:space="0"/>
              <w:left w:val="nil"/>
              <w:bottom w:val="single" w:color="auto" w:sz="4" w:space="0"/>
              <w:right w:val="single" w:color="auto" w:sz="4" w:space="0"/>
            </w:tcBorders>
            <w:noWrap w:val="0"/>
            <w:vAlign w:val="center"/>
          </w:tcPr>
          <w:p w14:paraId="560EDFD8">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红外线探头</w:t>
            </w:r>
            <w:r>
              <w:rPr>
                <w:rFonts w:hint="eastAsia" w:ascii="仿宋" w:hAnsi="仿宋" w:eastAsia="仿宋"/>
                <w:color w:val="auto"/>
                <w:sz w:val="23"/>
                <w:szCs w:val="23"/>
                <w:u w:val="single"/>
              </w:rPr>
              <w:t xml:space="preserve">  0   </w:t>
            </w:r>
            <w:r>
              <w:rPr>
                <w:rFonts w:hint="eastAsia" w:ascii="仿宋" w:hAnsi="仿宋" w:eastAsia="仿宋"/>
                <w:color w:val="auto"/>
                <w:sz w:val="23"/>
                <w:szCs w:val="23"/>
              </w:rPr>
              <w:t>对</w:t>
            </w:r>
          </w:p>
        </w:tc>
      </w:tr>
      <w:tr w14:paraId="616F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45" w:type="dxa"/>
            <w:vMerge w:val="continue"/>
            <w:tcBorders>
              <w:top w:val="nil"/>
              <w:left w:val="single" w:color="auto" w:sz="4" w:space="0"/>
              <w:bottom w:val="single" w:color="auto" w:sz="4" w:space="0"/>
              <w:right w:val="single" w:color="auto" w:sz="4" w:space="0"/>
            </w:tcBorders>
            <w:noWrap w:val="0"/>
            <w:vAlign w:val="center"/>
          </w:tcPr>
          <w:p w14:paraId="47E4FD44">
            <w:pPr>
              <w:widowControl/>
              <w:jc w:val="left"/>
              <w:rPr>
                <w:rFonts w:ascii="仿宋" w:hAnsi="仿宋" w:eastAsia="仿宋"/>
                <w:color w:val="auto"/>
                <w:sz w:val="23"/>
                <w:szCs w:val="23"/>
              </w:rPr>
            </w:pPr>
          </w:p>
        </w:tc>
        <w:tc>
          <w:tcPr>
            <w:tcW w:w="6933" w:type="dxa"/>
            <w:gridSpan w:val="2"/>
            <w:tcBorders>
              <w:top w:val="single" w:color="auto" w:sz="4" w:space="0"/>
              <w:left w:val="nil"/>
              <w:bottom w:val="single" w:color="auto" w:sz="4" w:space="0"/>
              <w:right w:val="single" w:color="auto" w:sz="4" w:space="0"/>
            </w:tcBorders>
            <w:noWrap w:val="0"/>
            <w:vAlign w:val="center"/>
          </w:tcPr>
          <w:p w14:paraId="3E527F93">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 xml:space="preserve">摄像头 </w:t>
            </w:r>
            <w:r>
              <w:rPr>
                <w:rFonts w:hint="eastAsia" w:ascii="仿宋" w:hAnsi="仿宋" w:eastAsia="仿宋"/>
                <w:color w:val="auto"/>
                <w:sz w:val="23"/>
                <w:szCs w:val="23"/>
                <w:u w:val="single"/>
              </w:rPr>
              <w:t xml:space="preserve">  468   </w:t>
            </w:r>
            <w:r>
              <w:rPr>
                <w:rFonts w:hint="eastAsia" w:ascii="仿宋" w:hAnsi="仿宋" w:eastAsia="仿宋"/>
                <w:color w:val="auto"/>
                <w:sz w:val="23"/>
                <w:szCs w:val="23"/>
              </w:rPr>
              <w:t>个</w:t>
            </w:r>
          </w:p>
          <w:p w14:paraId="7CC7862E">
            <w:pPr>
              <w:adjustRightInd w:val="0"/>
              <w:snapToGrid w:val="0"/>
              <w:spacing w:line="360" w:lineRule="auto"/>
              <w:rPr>
                <w:rFonts w:hint="eastAsia" w:ascii="仿宋" w:hAnsi="仿宋" w:eastAsia="仿宋"/>
                <w:color w:val="auto"/>
                <w:sz w:val="23"/>
                <w:szCs w:val="23"/>
              </w:rPr>
            </w:pPr>
            <w:r>
              <w:rPr>
                <w:rFonts w:hint="eastAsia" w:ascii="仿宋" w:hAnsi="仿宋" w:eastAsia="仿宋"/>
                <w:color w:val="auto"/>
                <w:sz w:val="23"/>
                <w:szCs w:val="23"/>
              </w:rPr>
              <w:t>其中：</w:t>
            </w:r>
          </w:p>
          <w:p w14:paraId="1FD2333F">
            <w:pPr>
              <w:adjustRightInd w:val="0"/>
              <w:snapToGrid w:val="0"/>
              <w:spacing w:line="360" w:lineRule="auto"/>
              <w:rPr>
                <w:rFonts w:hint="eastAsia" w:ascii="仿宋" w:hAnsi="仿宋" w:eastAsia="仿宋"/>
                <w:color w:val="auto"/>
                <w:sz w:val="23"/>
                <w:szCs w:val="23"/>
              </w:rPr>
            </w:pPr>
            <w:r>
              <w:rPr>
                <w:rFonts w:hint="eastAsia" w:ascii="仿宋" w:hAnsi="仿宋" w:eastAsia="仿宋"/>
                <w:color w:val="auto"/>
                <w:sz w:val="23"/>
                <w:szCs w:val="23"/>
              </w:rPr>
              <w:t>按是否固定分：</w:t>
            </w:r>
            <w:r>
              <w:rPr>
                <w:rFonts w:hint="eastAsia" w:ascii="仿宋" w:hAnsi="仿宋" w:eastAsia="仿宋"/>
                <w:color w:val="auto"/>
                <w:sz w:val="23"/>
                <w:szCs w:val="23"/>
                <w:u w:val="single"/>
              </w:rPr>
              <w:t xml:space="preserve"> 462  </w:t>
            </w:r>
            <w:r>
              <w:rPr>
                <w:rFonts w:hint="eastAsia" w:ascii="仿宋" w:hAnsi="仿宋" w:eastAsia="仿宋"/>
                <w:color w:val="auto"/>
                <w:sz w:val="23"/>
                <w:szCs w:val="23"/>
              </w:rPr>
              <w:t>个，云台</w:t>
            </w:r>
            <w:r>
              <w:rPr>
                <w:rFonts w:hint="eastAsia" w:ascii="仿宋" w:hAnsi="仿宋" w:eastAsia="仿宋"/>
                <w:color w:val="auto"/>
                <w:sz w:val="23"/>
                <w:szCs w:val="23"/>
                <w:u w:val="single"/>
              </w:rPr>
              <w:t xml:space="preserve">  6  </w:t>
            </w:r>
            <w:r>
              <w:rPr>
                <w:rFonts w:hint="eastAsia" w:ascii="仿宋" w:hAnsi="仿宋" w:eastAsia="仿宋"/>
                <w:color w:val="auto"/>
                <w:sz w:val="23"/>
                <w:szCs w:val="23"/>
              </w:rPr>
              <w:t>个</w:t>
            </w:r>
          </w:p>
          <w:p w14:paraId="71B7158C">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按颜色分：彩色</w:t>
            </w:r>
            <w:r>
              <w:rPr>
                <w:rFonts w:hint="eastAsia" w:ascii="仿宋" w:hAnsi="仿宋" w:eastAsia="仿宋"/>
                <w:color w:val="auto"/>
                <w:sz w:val="23"/>
                <w:szCs w:val="23"/>
                <w:u w:val="single"/>
              </w:rPr>
              <w:t xml:space="preserve">   468 </w:t>
            </w:r>
            <w:r>
              <w:rPr>
                <w:rFonts w:hint="eastAsia" w:ascii="仿宋" w:hAnsi="仿宋" w:eastAsia="仿宋"/>
                <w:color w:val="auto"/>
                <w:sz w:val="23"/>
                <w:szCs w:val="23"/>
              </w:rPr>
              <w:t xml:space="preserve">个，黑色 </w:t>
            </w:r>
            <w:r>
              <w:rPr>
                <w:rFonts w:hint="eastAsia" w:ascii="仿宋" w:hAnsi="仿宋" w:eastAsia="仿宋"/>
                <w:color w:val="auto"/>
                <w:sz w:val="23"/>
                <w:szCs w:val="23"/>
                <w:u w:val="single"/>
              </w:rPr>
              <w:t xml:space="preserve">     </w:t>
            </w:r>
            <w:r>
              <w:rPr>
                <w:rFonts w:hint="eastAsia" w:ascii="仿宋" w:hAnsi="仿宋" w:eastAsia="仿宋"/>
                <w:color w:val="auto"/>
                <w:sz w:val="23"/>
                <w:szCs w:val="23"/>
              </w:rPr>
              <w:t>个</w:t>
            </w:r>
          </w:p>
        </w:tc>
      </w:tr>
      <w:tr w14:paraId="39BE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45" w:type="dxa"/>
            <w:vMerge w:val="restart"/>
            <w:tcBorders>
              <w:top w:val="nil"/>
              <w:left w:val="single" w:color="auto" w:sz="4" w:space="0"/>
              <w:bottom w:val="single" w:color="auto" w:sz="4" w:space="0"/>
              <w:right w:val="single" w:color="auto" w:sz="4" w:space="0"/>
            </w:tcBorders>
            <w:noWrap w:val="0"/>
            <w:vAlign w:val="center"/>
          </w:tcPr>
          <w:p w14:paraId="044F87E0">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公共公配电系统</w:t>
            </w:r>
          </w:p>
        </w:tc>
        <w:tc>
          <w:tcPr>
            <w:tcW w:w="2352" w:type="dxa"/>
            <w:tcBorders>
              <w:top w:val="single" w:color="auto" w:sz="4" w:space="0"/>
              <w:left w:val="nil"/>
              <w:bottom w:val="single" w:color="auto" w:sz="4" w:space="0"/>
              <w:right w:val="single" w:color="auto" w:sz="4" w:space="0"/>
            </w:tcBorders>
            <w:noWrap w:val="0"/>
            <w:vAlign w:val="center"/>
          </w:tcPr>
          <w:p w14:paraId="7ADB088B">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开关站</w:t>
            </w:r>
          </w:p>
        </w:tc>
        <w:tc>
          <w:tcPr>
            <w:tcW w:w="4581" w:type="dxa"/>
            <w:tcBorders>
              <w:top w:val="single" w:color="auto" w:sz="4" w:space="0"/>
              <w:left w:val="nil"/>
              <w:bottom w:val="single" w:color="auto" w:sz="4" w:space="0"/>
              <w:right w:val="single" w:color="auto" w:sz="4" w:space="0"/>
            </w:tcBorders>
            <w:noWrap w:val="0"/>
            <w:vAlign w:val="center"/>
          </w:tcPr>
          <w:p w14:paraId="39F52017">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1  </w:t>
            </w:r>
            <w:r>
              <w:rPr>
                <w:rFonts w:hint="eastAsia" w:ascii="仿宋" w:hAnsi="仿宋" w:eastAsia="仿宋"/>
                <w:color w:val="auto"/>
                <w:sz w:val="23"/>
                <w:szCs w:val="23"/>
              </w:rPr>
              <w:t>座，是否有供电局维护（是）</w:t>
            </w:r>
          </w:p>
        </w:tc>
      </w:tr>
      <w:tr w14:paraId="6CFE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45" w:type="dxa"/>
            <w:vMerge w:val="continue"/>
            <w:tcBorders>
              <w:top w:val="nil"/>
              <w:left w:val="single" w:color="auto" w:sz="4" w:space="0"/>
              <w:bottom w:val="single" w:color="auto" w:sz="4" w:space="0"/>
              <w:right w:val="single" w:color="auto" w:sz="4" w:space="0"/>
            </w:tcBorders>
            <w:noWrap w:val="0"/>
            <w:vAlign w:val="center"/>
          </w:tcPr>
          <w:p w14:paraId="7E238240">
            <w:pPr>
              <w:widowControl/>
              <w:jc w:val="left"/>
              <w:rPr>
                <w:rFonts w:ascii="仿宋" w:hAnsi="仿宋" w:eastAsia="仿宋"/>
                <w:color w:val="auto"/>
                <w:sz w:val="23"/>
                <w:szCs w:val="23"/>
              </w:rPr>
            </w:pPr>
          </w:p>
        </w:tc>
        <w:tc>
          <w:tcPr>
            <w:tcW w:w="2352" w:type="dxa"/>
            <w:tcBorders>
              <w:top w:val="single" w:color="auto" w:sz="4" w:space="0"/>
              <w:left w:val="nil"/>
              <w:bottom w:val="single" w:color="auto" w:sz="4" w:space="0"/>
              <w:right w:val="single" w:color="auto" w:sz="4" w:space="0"/>
            </w:tcBorders>
            <w:noWrap w:val="0"/>
            <w:vAlign w:val="center"/>
          </w:tcPr>
          <w:p w14:paraId="0F69C6B0">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低压配电房</w:t>
            </w:r>
          </w:p>
        </w:tc>
        <w:tc>
          <w:tcPr>
            <w:tcW w:w="4581" w:type="dxa"/>
            <w:tcBorders>
              <w:top w:val="single" w:color="auto" w:sz="4" w:space="0"/>
              <w:left w:val="nil"/>
              <w:bottom w:val="single" w:color="auto" w:sz="4" w:space="0"/>
              <w:right w:val="single" w:color="auto" w:sz="4" w:space="0"/>
            </w:tcBorders>
            <w:noWrap w:val="0"/>
            <w:vAlign w:val="center"/>
          </w:tcPr>
          <w:p w14:paraId="6CC42D22">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4   </w:t>
            </w:r>
            <w:r>
              <w:rPr>
                <w:rFonts w:hint="eastAsia" w:ascii="仿宋" w:hAnsi="仿宋" w:eastAsia="仿宋"/>
                <w:color w:val="auto"/>
                <w:sz w:val="23"/>
                <w:szCs w:val="23"/>
              </w:rPr>
              <w:t>座，是否有供电局维护（是）</w:t>
            </w:r>
          </w:p>
        </w:tc>
      </w:tr>
      <w:tr w14:paraId="5DA8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45" w:type="dxa"/>
            <w:vMerge w:val="continue"/>
            <w:tcBorders>
              <w:top w:val="nil"/>
              <w:left w:val="single" w:color="auto" w:sz="4" w:space="0"/>
              <w:bottom w:val="single" w:color="auto" w:sz="4" w:space="0"/>
              <w:right w:val="single" w:color="auto" w:sz="4" w:space="0"/>
            </w:tcBorders>
            <w:noWrap w:val="0"/>
            <w:vAlign w:val="center"/>
          </w:tcPr>
          <w:p w14:paraId="0B779A2E">
            <w:pPr>
              <w:widowControl/>
              <w:jc w:val="left"/>
              <w:rPr>
                <w:rFonts w:ascii="仿宋" w:hAnsi="仿宋" w:eastAsia="仿宋"/>
                <w:color w:val="auto"/>
                <w:sz w:val="23"/>
                <w:szCs w:val="23"/>
              </w:rPr>
            </w:pPr>
          </w:p>
        </w:tc>
        <w:tc>
          <w:tcPr>
            <w:tcW w:w="2352" w:type="dxa"/>
            <w:tcBorders>
              <w:top w:val="single" w:color="auto" w:sz="4" w:space="0"/>
              <w:left w:val="nil"/>
              <w:bottom w:val="single" w:color="auto" w:sz="4" w:space="0"/>
              <w:right w:val="single" w:color="auto" w:sz="4" w:space="0"/>
            </w:tcBorders>
            <w:noWrap w:val="0"/>
            <w:vAlign w:val="center"/>
          </w:tcPr>
          <w:p w14:paraId="393DDBB5">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箱变</w:t>
            </w:r>
          </w:p>
        </w:tc>
        <w:tc>
          <w:tcPr>
            <w:tcW w:w="4581" w:type="dxa"/>
            <w:tcBorders>
              <w:top w:val="single" w:color="auto" w:sz="4" w:space="0"/>
              <w:left w:val="nil"/>
              <w:bottom w:val="single" w:color="auto" w:sz="4" w:space="0"/>
              <w:right w:val="single" w:color="auto" w:sz="4" w:space="0"/>
            </w:tcBorders>
            <w:noWrap w:val="0"/>
            <w:vAlign w:val="center"/>
          </w:tcPr>
          <w:p w14:paraId="24D78F87">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u w:val="single"/>
              </w:rPr>
              <w:t xml:space="preserve">   1  </w:t>
            </w:r>
            <w:r>
              <w:rPr>
                <w:rFonts w:hint="eastAsia" w:ascii="仿宋" w:hAnsi="仿宋" w:eastAsia="仿宋"/>
                <w:color w:val="auto"/>
                <w:sz w:val="23"/>
                <w:szCs w:val="23"/>
              </w:rPr>
              <w:t>台，是否有供电局维护（是）</w:t>
            </w:r>
          </w:p>
        </w:tc>
      </w:tr>
      <w:tr w14:paraId="4B65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045" w:type="dxa"/>
            <w:tcBorders>
              <w:top w:val="single" w:color="auto" w:sz="4" w:space="0"/>
              <w:left w:val="single" w:color="auto" w:sz="4" w:space="0"/>
              <w:bottom w:val="single" w:color="auto" w:sz="4" w:space="0"/>
              <w:right w:val="single" w:color="auto" w:sz="4" w:space="0"/>
            </w:tcBorders>
            <w:noWrap w:val="0"/>
            <w:vAlign w:val="center"/>
          </w:tcPr>
          <w:p w14:paraId="59830827">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防雷系统</w:t>
            </w:r>
          </w:p>
        </w:tc>
        <w:tc>
          <w:tcPr>
            <w:tcW w:w="6933" w:type="dxa"/>
            <w:gridSpan w:val="2"/>
            <w:tcBorders>
              <w:top w:val="single" w:color="auto" w:sz="4" w:space="0"/>
              <w:left w:val="nil"/>
              <w:bottom w:val="single" w:color="auto" w:sz="4" w:space="0"/>
              <w:right w:val="single" w:color="auto" w:sz="4" w:space="0"/>
            </w:tcBorders>
            <w:noWrap w:val="0"/>
            <w:vAlign w:val="center"/>
          </w:tcPr>
          <w:p w14:paraId="4B10CD5C">
            <w:pPr>
              <w:adjustRightInd w:val="0"/>
              <w:snapToGrid w:val="0"/>
              <w:spacing w:line="360" w:lineRule="auto"/>
              <w:rPr>
                <w:rFonts w:ascii="仿宋" w:hAnsi="仿宋" w:eastAsia="仿宋"/>
                <w:color w:val="auto"/>
                <w:sz w:val="23"/>
                <w:szCs w:val="23"/>
              </w:rPr>
            </w:pPr>
            <w:r>
              <w:rPr>
                <w:rFonts w:hint="eastAsia" w:ascii="仿宋" w:hAnsi="仿宋" w:eastAsia="仿宋"/>
                <w:color w:val="auto"/>
                <w:sz w:val="23"/>
                <w:szCs w:val="23"/>
              </w:rPr>
              <w:t>本建筑物属于三类防雷建筑</w:t>
            </w:r>
          </w:p>
        </w:tc>
      </w:tr>
    </w:tbl>
    <w:p w14:paraId="63001E40">
      <w:pPr>
        <w:adjustRightInd w:val="0"/>
        <w:snapToGrid w:val="0"/>
        <w:spacing w:line="360" w:lineRule="auto"/>
        <w:rPr>
          <w:rFonts w:ascii="仿宋" w:hAnsi="仿宋" w:eastAsia="仿宋" w:cs="仿宋"/>
          <w:b/>
          <w:bCs/>
          <w:sz w:val="24"/>
        </w:rPr>
      </w:pPr>
      <w:r>
        <w:rPr>
          <w:rFonts w:hint="eastAsia" w:cs="仿宋"/>
          <w:b/>
          <w:bCs/>
          <w:sz w:val="24"/>
          <w:lang w:val="en-US" w:eastAsia="zh-CN" w:bidi="ar"/>
        </w:rPr>
        <w:t>二</w:t>
      </w:r>
      <w:r>
        <w:rPr>
          <w:rFonts w:hint="eastAsia" w:ascii="仿宋" w:hAnsi="仿宋" w:eastAsia="仿宋" w:cs="仿宋"/>
          <w:b/>
          <w:bCs/>
          <w:sz w:val="24"/>
          <w:lang w:bidi="ar"/>
        </w:rPr>
        <w:t>、小区物业管理的范围</w:t>
      </w:r>
    </w:p>
    <w:p w14:paraId="05A580A9">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2.1房屋建筑本体共用部位（楼盖、屋顶、梁、柱、内外墙体和基础等承重结构部位、外墙面、楼梯间、走廊通道、门厅、设备机房等）的维修、养护和管理；</w:t>
      </w:r>
    </w:p>
    <w:p w14:paraId="4F8E8CE0">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2.2房屋建筑本体共用设施设备（共用的上下水管道、落水管、共用照明、加压供水设备、配电系统、楼内消防设施设备、电梯、煤气管道、弱电系统等）的维修、养护、管理和运行服务。</w:t>
      </w:r>
    </w:p>
    <w:p w14:paraId="2B383DA8">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2.3本物业规划红线内属物业管理范围的市政公用设施（道路、室外雨污水管道、化粪池、沟渠、绿化、路灯等）的维修、养护和管理；</w:t>
      </w:r>
    </w:p>
    <w:p w14:paraId="70F6DBF1">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2.4本物业规划红线内属配套服务设施的维修、养护和管理；</w:t>
      </w:r>
    </w:p>
    <w:p w14:paraId="0DC88CF5">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2.5</w:t>
      </w:r>
      <w:r>
        <w:rPr>
          <w:rFonts w:hint="eastAsia" w:ascii="仿宋" w:hAnsi="仿宋" w:eastAsia="仿宋" w:cs="仿宋"/>
          <w:b/>
          <w:bCs/>
          <w:sz w:val="24"/>
          <w:szCs w:val="24"/>
          <w:lang w:bidi="ar"/>
        </w:rPr>
        <w:t>公共环境（包括公共场地、房屋建筑物共用部位）的清洁卫生、垃圾的</w:t>
      </w:r>
      <w:r>
        <w:rPr>
          <w:rFonts w:hint="eastAsia" w:ascii="仿宋" w:hAnsi="仿宋" w:eastAsia="仿宋" w:cs="仿宋"/>
          <w:b/>
          <w:bCs/>
          <w:sz w:val="24"/>
          <w:szCs w:val="24"/>
          <w:lang w:val="en-US" w:eastAsia="zh-CN" w:bidi="ar"/>
        </w:rPr>
        <w:t>分类</w:t>
      </w:r>
      <w:r>
        <w:rPr>
          <w:rFonts w:hint="eastAsia" w:ascii="仿宋" w:hAnsi="仿宋" w:eastAsia="仿宋" w:cs="仿宋"/>
          <w:b/>
          <w:bCs/>
          <w:sz w:val="24"/>
          <w:szCs w:val="24"/>
          <w:lang w:bidi="ar"/>
        </w:rPr>
        <w:t>收集、清运；</w:t>
      </w:r>
    </w:p>
    <w:p w14:paraId="3EFF141E">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2.6公共绿化的养护和管理；</w:t>
      </w:r>
    </w:p>
    <w:p w14:paraId="13895381">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2.7交通、车辆行驶及停放管理；</w:t>
      </w:r>
    </w:p>
    <w:p w14:paraId="2C4C995D">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2.8小区内住户装修活动进行监督和管理工作（按富阳区装修管理法规内容进行）</w:t>
      </w:r>
    </w:p>
    <w:p w14:paraId="02A1B484">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2.9配合和协助当地公安机关进行安全监控和巡视等保安工作（但不含人身、财产保管责任）；</w:t>
      </w:r>
    </w:p>
    <w:p w14:paraId="566A3C91">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2.10小区文化娱乐活动；</w:t>
      </w:r>
    </w:p>
    <w:p w14:paraId="5031EBD6">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2.11物业及物业管理档案、资料管理。</w:t>
      </w:r>
    </w:p>
    <w:p w14:paraId="3CC44377">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2.12法规和政策规定由物业管理公司管理的其他事项。</w:t>
      </w:r>
    </w:p>
    <w:p w14:paraId="2F39CD7A">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2.13除上述内容同时需完成与《富阳区普通住宅小区物业服务收费等级评分标准》甲级规定的服务内容与服务标准。</w:t>
      </w:r>
    </w:p>
    <w:p w14:paraId="7F6EB6D6">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3、在物业管理区域内，乙方提供的其他服务包括以下事项：</w:t>
      </w:r>
    </w:p>
    <w:p w14:paraId="5EBCFFD5">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3.1、有偿便民服务：维修安装、家政服务、商务服务等；</w:t>
      </w:r>
    </w:p>
    <w:p w14:paraId="49340C91">
      <w:pPr>
        <w:spacing w:line="460" w:lineRule="exact"/>
        <w:ind w:firstLine="200"/>
        <w:rPr>
          <w:rFonts w:hint="eastAsia" w:ascii="仿宋" w:hAnsi="仿宋" w:eastAsia="仿宋" w:cs="仿宋"/>
          <w:sz w:val="24"/>
          <w:szCs w:val="24"/>
        </w:rPr>
      </w:pPr>
      <w:r>
        <w:rPr>
          <w:rFonts w:hint="eastAsia" w:ascii="仿宋" w:hAnsi="仿宋" w:eastAsia="仿宋" w:cs="仿宋"/>
          <w:sz w:val="24"/>
          <w:szCs w:val="24"/>
          <w:lang w:bidi="ar"/>
        </w:rPr>
        <w:t>3.2其它便民服务：房屋转售、租赁等信息发布服务，代订报刊、杂志，收发邮件，订、退牛奶等。</w:t>
      </w:r>
    </w:p>
    <w:p w14:paraId="07C9D999">
      <w:pPr>
        <w:autoSpaceDE w:val="0"/>
        <w:autoSpaceDN w:val="0"/>
        <w:adjustRightInd w:val="0"/>
        <w:spacing w:line="400" w:lineRule="exact"/>
        <w:rPr>
          <w:rFonts w:hint="eastAsia" w:ascii="仿宋" w:hAnsi="仿宋" w:eastAsia="仿宋" w:cs="仿宋"/>
          <w:b/>
          <w:sz w:val="24"/>
          <w:szCs w:val="24"/>
        </w:rPr>
      </w:pPr>
      <w:r>
        <w:rPr>
          <w:rFonts w:hint="eastAsia" w:ascii="仿宋" w:hAnsi="仿宋" w:eastAsia="仿宋" w:cs="仿宋"/>
          <w:sz w:val="24"/>
          <w:szCs w:val="24"/>
          <w:lang w:bidi="ar"/>
        </w:rPr>
        <w:t>三、</w:t>
      </w:r>
      <w:r>
        <w:rPr>
          <w:rFonts w:hint="eastAsia" w:ascii="仿宋" w:hAnsi="仿宋" w:eastAsia="仿宋" w:cs="仿宋"/>
          <w:b/>
          <w:sz w:val="24"/>
          <w:szCs w:val="24"/>
          <w:lang w:bidi="ar"/>
        </w:rPr>
        <w:t>物业管理服务目标：按照《富阳区普通住宅小区物业服务收费等级评分标准》（甲级）要求提供物业服务。具体见采购文件详细条款。</w:t>
      </w:r>
    </w:p>
    <w:p w14:paraId="077A65ED">
      <w:pPr>
        <w:autoSpaceDE w:val="0"/>
        <w:autoSpaceDN w:val="0"/>
        <w:adjustRightInd w:val="0"/>
        <w:spacing w:line="400" w:lineRule="exact"/>
        <w:rPr>
          <w:rFonts w:hint="eastAsia" w:ascii="仿宋" w:hAnsi="仿宋" w:eastAsia="仿宋" w:cs="仿宋"/>
          <w:b/>
          <w:sz w:val="24"/>
          <w:szCs w:val="24"/>
        </w:rPr>
      </w:pPr>
      <w:r>
        <w:rPr>
          <w:rFonts w:hint="eastAsia" w:ascii="仿宋" w:hAnsi="仿宋" w:eastAsia="仿宋" w:cs="仿宋"/>
          <w:b/>
          <w:sz w:val="24"/>
          <w:szCs w:val="24"/>
          <w:lang w:bidi="ar"/>
        </w:rPr>
        <w:t>四、物业管理服务内容与服务标准</w:t>
      </w:r>
    </w:p>
    <w:p w14:paraId="67445065">
      <w:pPr>
        <w:autoSpaceDE w:val="0"/>
        <w:autoSpaceDN w:val="0"/>
        <w:adjustRightInd w:val="0"/>
        <w:spacing w:line="400" w:lineRule="exact"/>
        <w:ind w:firstLine="235" w:firstLineChars="98"/>
        <w:rPr>
          <w:rFonts w:hint="eastAsia" w:ascii="仿宋" w:hAnsi="仿宋" w:eastAsia="仿宋" w:cs="仿宋"/>
          <w:sz w:val="24"/>
          <w:szCs w:val="24"/>
        </w:rPr>
      </w:pPr>
      <w:r>
        <w:rPr>
          <w:rFonts w:hint="eastAsia" w:ascii="仿宋" w:hAnsi="仿宋" w:eastAsia="仿宋" w:cs="仿宋"/>
          <w:sz w:val="24"/>
          <w:szCs w:val="24"/>
          <w:lang w:bidi="ar"/>
        </w:rPr>
        <w:t>（一）基本要求：</w:t>
      </w:r>
    </w:p>
    <w:p w14:paraId="02A6CA83">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1、具有较高的服务水平，有专门的管理处办公机构，办公设施设备较先进完备，应用计算机等现代化管理手段进行科学管理，办公场所整洁有序。</w:t>
      </w:r>
    </w:p>
    <w:p w14:paraId="6466FB08">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2、服务与被服务双方签订规范的物业服务合同，双方权利义务关系明确。</w:t>
      </w:r>
    </w:p>
    <w:p w14:paraId="514535AB">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3、承接项目时，对住宅小区共用部位、共用设施设备进行认真查验，验收手续齐全。</w:t>
      </w:r>
    </w:p>
    <w:p w14:paraId="1B204D7D">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4、管理人员、专业操作人员按照国家有关规定取得物业管理职业资格证书或岗位证书。</w:t>
      </w:r>
    </w:p>
    <w:p w14:paraId="05C509E1">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5、有完善的物业管理方案，质量管理、财务管理、档案管理等制度健全。</w:t>
      </w:r>
    </w:p>
    <w:p w14:paraId="549A677A">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6、管理服务人员着装统一、佩戴标志，行为规范，服务主动、热情。</w:t>
      </w:r>
    </w:p>
    <w:p w14:paraId="70BD9B3D">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7、设有服务接待中心，公示24小时服务电话。急修半小时内，其它报修按双方约定时间到达现场，有完整的报修、维修和回访记录。</w:t>
      </w:r>
    </w:p>
    <w:p w14:paraId="2BA81C3B">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8、根据业主需求，提供物业服务合同之外的特约服务和代办服务的，在明显位置公示服务项目与收费标准。</w:t>
      </w:r>
    </w:p>
    <w:p w14:paraId="41A19459">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9、按有关规定和合同约定公布物业服务资金的收支情况或物业经营性收支情况。</w:t>
      </w:r>
    </w:p>
    <w:p w14:paraId="0D1E19A4">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10、按有关规定和合同约定规范使用物业维修专项资金。</w:t>
      </w:r>
    </w:p>
    <w:p w14:paraId="6CD96A6B">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11、每年至少1次征询业主对物业服务的意见，满意率95%以上。</w:t>
      </w:r>
    </w:p>
    <w:p w14:paraId="21FF5E3E">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（二）房屋管理服务内容与服务标准</w:t>
      </w:r>
    </w:p>
    <w:p w14:paraId="5C07E705">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1、对房屋共用部位进行日常管理和维修养护，检修记录和保养记录齐全。</w:t>
      </w:r>
    </w:p>
    <w:p w14:paraId="0C16A26B">
      <w:pPr>
        <w:autoSpaceDE w:val="0"/>
        <w:autoSpaceDN w:val="0"/>
        <w:adjustRightInd w:val="0"/>
        <w:spacing w:line="400" w:lineRule="exact"/>
        <w:ind w:firstLine="480"/>
        <w:rPr>
          <w:rFonts w:hint="eastAsia" w:ascii="仿宋" w:hAnsi="仿宋" w:eastAsia="仿宋" w:cs="仿宋"/>
          <w:b/>
          <w:bCs/>
          <w:color w:val="0000FF"/>
          <w:sz w:val="24"/>
          <w:szCs w:val="24"/>
        </w:rPr>
      </w:pPr>
      <w:r>
        <w:rPr>
          <w:rFonts w:hint="eastAsia" w:ascii="仿宋" w:hAnsi="仿宋" w:eastAsia="仿宋" w:cs="仿宋"/>
          <w:b/>
          <w:bCs/>
          <w:sz w:val="24"/>
          <w:szCs w:val="24"/>
          <w:lang w:bidi="ar"/>
        </w:rPr>
        <w:t>2</w:t>
      </w:r>
      <w:r>
        <w:rPr>
          <w:rFonts w:hint="eastAsia" w:ascii="仿宋" w:hAnsi="仿宋" w:eastAsia="仿宋" w:cs="仿宋"/>
          <w:b/>
          <w:bCs/>
          <w:color w:val="0000FF"/>
          <w:sz w:val="24"/>
          <w:szCs w:val="24"/>
          <w:lang w:bidi="ar"/>
        </w:rPr>
        <w:t>、根据房屋实际使用年限，定期检查房屋共用部位的使用状况，需要维修</w:t>
      </w:r>
      <w:r>
        <w:rPr>
          <w:rFonts w:hint="eastAsia" w:ascii="仿宋" w:hAnsi="仿宋" w:eastAsia="仿宋" w:cs="仿宋"/>
          <w:b/>
          <w:bCs/>
          <w:color w:val="0000FF"/>
          <w:sz w:val="24"/>
          <w:szCs w:val="24"/>
          <w:lang w:val="en-US" w:eastAsia="zh-CN" w:bidi="ar"/>
        </w:rPr>
        <w:t>更换均由中标单位承担（除质保期内的维修由施工方负责）</w:t>
      </w:r>
      <w:r>
        <w:rPr>
          <w:rFonts w:hint="eastAsia" w:ascii="仿宋" w:hAnsi="仿宋" w:eastAsia="仿宋" w:cs="仿宋"/>
          <w:b/>
          <w:bCs/>
          <w:color w:val="0000FF"/>
          <w:sz w:val="24"/>
          <w:szCs w:val="24"/>
          <w:lang w:bidi="ar"/>
        </w:rPr>
        <w:t>。</w:t>
      </w:r>
    </w:p>
    <w:p w14:paraId="07C02856">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3、按照住宅装饰装修管理有关规定和管理规约（临时管理规约）要求，建立完善的住宅装饰装修管理制度。装修前，依规定审核装修人的装修方案，告知装修人有关装饰装修的禁止行为和注意事项。根据装修进度情况每2天不少于1次巡查装修施工现场，发现影响房屋外观、危及房屋结构安全及拆改共用管线等损害公共利益现象的，及时劝阻并报告业主委员会和有关主管部门。</w:t>
      </w:r>
    </w:p>
    <w:p w14:paraId="5FAA5C01">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4、对违反规划私搭乱建和擅自改变房屋用途的行为及时劝阻，并报告业主委员会和有关主管部门。</w:t>
      </w:r>
    </w:p>
    <w:p w14:paraId="75F86A92">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5、小区主出入口设有小区平面示意图，主要路口设有路标。各组团、栋及单元（门）、户和公共配套设施、场地有明显标志。</w:t>
      </w:r>
    </w:p>
    <w:p w14:paraId="290B784E">
      <w:pPr>
        <w:autoSpaceDE w:val="0"/>
        <w:autoSpaceDN w:val="0"/>
        <w:adjustRightInd w:val="0"/>
        <w:spacing w:line="400" w:lineRule="exact"/>
        <w:ind w:firstLine="235" w:firstLineChars="98"/>
        <w:rPr>
          <w:rFonts w:hint="eastAsia" w:ascii="仿宋" w:hAnsi="仿宋" w:eastAsia="仿宋" w:cs="仿宋"/>
          <w:sz w:val="24"/>
          <w:szCs w:val="24"/>
        </w:rPr>
      </w:pPr>
      <w:r>
        <w:rPr>
          <w:rFonts w:hint="eastAsia" w:ascii="仿宋" w:hAnsi="仿宋" w:eastAsia="仿宋" w:cs="仿宋"/>
          <w:sz w:val="24"/>
          <w:szCs w:val="24"/>
          <w:lang w:bidi="ar"/>
        </w:rPr>
        <w:t>（三）共用设施设备的巡查、维修养护</w:t>
      </w:r>
    </w:p>
    <w:p w14:paraId="3D902B96">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设备房保持整洁、通风，无跑、冒、滴、漏和鼠害现象；设备、设施标志齐全、规范，明确责任人。</w:t>
      </w:r>
    </w:p>
    <w:p w14:paraId="7591D567">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a.消防、监控设施管理。</w:t>
      </w:r>
    </w:p>
    <w:p w14:paraId="268D33D2">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定期对消防、监控主机及各消防、监控点的设备、设施进行巡查，确保设备设施运行正常；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定期对各楼层的灭火器进行检查更换，是否有压力不足或缺少等情况；定期对各楼层消防通道进行检查，是否有遮挡或堵塞，各楼层的疏散指示标志是否有损坏或缺少等情况；定期对各楼层应急电源的主、备电情况进行检查。消防泵、消防栓火警、报警、探测器等消防设备设施运行正常，设施完好、无渗漏，确保可随时正常启用。</w:t>
      </w:r>
    </w:p>
    <w:p w14:paraId="37A5BCC9">
      <w:pPr>
        <w:autoSpaceDE w:val="0"/>
        <w:autoSpaceDN w:val="0"/>
        <w:adjustRightInd w:val="0"/>
        <w:spacing w:line="400" w:lineRule="exact"/>
        <w:ind w:firstLine="482"/>
        <w:rPr>
          <w:rFonts w:hint="eastAsia" w:ascii="仿宋" w:hAnsi="仿宋" w:eastAsia="仿宋" w:cs="仿宋"/>
          <w:sz w:val="24"/>
          <w:szCs w:val="24"/>
        </w:rPr>
      </w:pPr>
      <w:r>
        <w:rPr>
          <w:rFonts w:hint="eastAsia" w:ascii="仿宋" w:hAnsi="仿宋" w:eastAsia="仿宋" w:cs="仿宋"/>
          <w:sz w:val="24"/>
          <w:szCs w:val="24"/>
          <w:lang w:bidi="ar"/>
        </w:rPr>
        <w:t>b.给排水设备运行维护</w:t>
      </w:r>
    </w:p>
    <w:p w14:paraId="169CA3E4">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服务内容：对室内外给排水系统的设备、设施，如水泵、气压给水装置、水处理设备、消火栓、管道、管件、阀门、水嘴、卫生洁具、排水管、透气管、水封设备、室外排水管及附属构筑物等进行日常养护维修，保持正常运行。</w:t>
      </w:r>
    </w:p>
    <w:p w14:paraId="74B085A4">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2、服务质量标准：</w:t>
      </w:r>
    </w:p>
    <w:p w14:paraId="6B15CAC2">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（1）定期对给排水系统进行维护、润滑。</w:t>
      </w:r>
    </w:p>
    <w:p w14:paraId="7E715094">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（2）每天检查一次提升泵、排水泵、阀门等，确保暴气风机、排水系统通畅，各种管道阀门完好，仪表显示正常，无跑、冒、滴、漏现象。</w:t>
      </w:r>
    </w:p>
    <w:p w14:paraId="3C21D86A">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（3）用户末端的水压及流量满足使用要求。</w:t>
      </w:r>
    </w:p>
    <w:p w14:paraId="7D968E94">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（4）每季对排水总管进行检查，每半年对水泵、管道进行防锈处理。</w:t>
      </w:r>
    </w:p>
    <w:p w14:paraId="3AF6F488">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5）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w:t>
      </w:r>
    </w:p>
    <w:p w14:paraId="6DA87E25">
      <w:pPr>
        <w:autoSpaceDE w:val="0"/>
        <w:autoSpaceDN w:val="0"/>
        <w:adjustRightInd w:val="0"/>
        <w:spacing w:line="400" w:lineRule="exact"/>
        <w:ind w:firstLine="482"/>
        <w:rPr>
          <w:rFonts w:hint="eastAsia" w:ascii="仿宋" w:hAnsi="仿宋" w:eastAsia="仿宋" w:cs="仿宋"/>
          <w:sz w:val="24"/>
          <w:szCs w:val="24"/>
        </w:rPr>
      </w:pPr>
      <w:r>
        <w:rPr>
          <w:rFonts w:hint="eastAsia" w:ascii="仿宋" w:hAnsi="仿宋" w:eastAsia="仿宋" w:cs="仿宋"/>
          <w:sz w:val="24"/>
          <w:szCs w:val="24"/>
          <w:lang w:bidi="ar"/>
        </w:rPr>
        <w:t xml:space="preserve"> c.供电设备管理维护</w:t>
      </w:r>
    </w:p>
    <w:p w14:paraId="29C792ED">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1、服务内容： 对变压器、高及低压配电柜、能量管理系统、楼层配电间低压配电柜、设备机房电气控制柜、疏散指示系统、电气管线、电线电缆、电源开关、动力插座、电开水炉、水泵等低压用电设施进行日常管理和维护、维修，保持设施正常运行。</w:t>
      </w:r>
    </w:p>
    <w:p w14:paraId="2BB59AB2">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2、服务质量标准：</w:t>
      </w:r>
    </w:p>
    <w:p w14:paraId="7426EC2E">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（1）建立严格的高配供电室岗任责任制，高低配交接班制度、高低配室操作规程制度、高配倒闸操作制度、工作票制度、高低配及维修巡回检查等制度。</w:t>
      </w:r>
    </w:p>
    <w:p w14:paraId="45DB6440">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（2）高配变电所保证全年365天、每天24小时有人值班，保证整个小区的供电安全。</w:t>
      </w:r>
    </w:p>
    <w:p w14:paraId="66C55EC3">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（3）按照规定周期对变配电设备设施进行检查、维护、清洁，并做好记录，确保高(低)压变(配)电柜操作运行正常，各计量检测表计显示正常。</w:t>
      </w:r>
    </w:p>
    <w:p w14:paraId="1E9742C1">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（4）变(配)电柜、低压配电柜运行正常，符合工作要求，各类表计显示正常。</w:t>
      </w:r>
    </w:p>
    <w:p w14:paraId="47090D6A">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（5）功率因素自动补偿电容器(组)运行正常，自动切换准确可靠。</w:t>
      </w:r>
    </w:p>
    <w:p w14:paraId="535DEEFF">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（6）变(配)电系统联络切换正常。</w:t>
      </w:r>
    </w:p>
    <w:p w14:paraId="5E6D1BF7">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（7）负责各类照明灯具、泛光照明系统、供用电设备设施（包括配电箱柜、桥架、井道、分电箱、开关、插座等）的日常管理和维护修理。</w:t>
      </w:r>
    </w:p>
    <w:p w14:paraId="2A4F25D6">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（8）应急供电系统运行正常。</w:t>
      </w:r>
    </w:p>
    <w:p w14:paraId="352648E2">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（9）变电所等特殊机房保证24小时有值班人员，遇到节假日，双休日现场维护人员数量不能低于日常配置人员。</w:t>
      </w:r>
    </w:p>
    <w:p w14:paraId="51F15200">
      <w:pPr>
        <w:autoSpaceDE w:val="0"/>
        <w:autoSpaceDN w:val="0"/>
        <w:adjustRightInd w:val="0"/>
        <w:spacing w:line="400" w:lineRule="exact"/>
        <w:ind w:firstLine="360"/>
        <w:rPr>
          <w:rFonts w:hint="eastAsia" w:ascii="仿宋" w:hAnsi="仿宋" w:eastAsia="仿宋" w:cs="仿宋"/>
          <w:sz w:val="24"/>
          <w:szCs w:val="24"/>
        </w:rPr>
      </w:pPr>
      <w:r>
        <w:rPr>
          <w:rFonts w:hint="eastAsia" w:ascii="仿宋" w:hAnsi="仿宋" w:eastAsia="仿宋" w:cs="仿宋"/>
          <w:sz w:val="24"/>
          <w:szCs w:val="24"/>
          <w:lang w:bidi="ar"/>
        </w:rPr>
        <w:t>（10）通过有效的管理措施及技术措施，积极开展节能管理工作。</w:t>
      </w:r>
    </w:p>
    <w:p w14:paraId="1B165A7C">
      <w:pPr>
        <w:autoSpaceDE w:val="0"/>
        <w:autoSpaceDN w:val="0"/>
        <w:adjustRightInd w:val="0"/>
        <w:spacing w:line="400" w:lineRule="exact"/>
        <w:ind w:firstLine="482"/>
        <w:rPr>
          <w:rFonts w:hint="eastAsia" w:ascii="仿宋" w:hAnsi="仿宋" w:eastAsia="仿宋" w:cs="仿宋"/>
          <w:sz w:val="24"/>
          <w:szCs w:val="24"/>
        </w:rPr>
      </w:pPr>
      <w:r>
        <w:rPr>
          <w:rFonts w:hint="eastAsia" w:ascii="仿宋" w:hAnsi="仿宋" w:eastAsia="仿宋" w:cs="仿宋"/>
          <w:sz w:val="24"/>
          <w:szCs w:val="24"/>
          <w:lang w:bidi="ar"/>
        </w:rPr>
        <w:t>d.弱电系统管理维护</w:t>
      </w:r>
    </w:p>
    <w:p w14:paraId="538E6207">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1、服务内容：对设备自控系统、安全防范系统、弱电机房、通信机房等进行日常管理和维修，保持正常运行。</w:t>
      </w:r>
    </w:p>
    <w:p w14:paraId="222BD810">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2、服务质量标准：</w:t>
      </w:r>
    </w:p>
    <w:p w14:paraId="5076D4AE">
      <w:pPr>
        <w:snapToGrid w:val="0"/>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bidi="ar"/>
        </w:rPr>
        <w:t>（1）每日巡查1次小区房屋单元门、楼梯通道以及其他共用部位的门窗、玻璃等，做好巡查记录，并及时维修养护。楼宇对讲系统（可视）：每周一次进行调试与保养，保证其24小时运行正常，对讲主机选呼功能正常，且选呼后的对讲（可视）功能正常，语音（图像）清晰，对讲分机开锁功能、门体的闭门器自动闭门功能正常（系统修复后）；</w:t>
      </w:r>
    </w:p>
    <w:p w14:paraId="281CA9DF">
      <w:pPr>
        <w:snapToGrid w:val="0"/>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bidi="ar"/>
        </w:rPr>
        <w:t>（2）周界报警：24小时设防并正常运行，不定期进行调试与保养，保证该系统的警戒线封闭、无盲区和死角，保证中心控制室能通过显示屏、报警控制器或电子地图准确地识别报警区域，收到警情时，能同时发出声光报警信号；</w:t>
      </w:r>
    </w:p>
    <w:p w14:paraId="1829B07F">
      <w:pPr>
        <w:snapToGrid w:val="0"/>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bidi="ar"/>
        </w:rPr>
        <w:t>（3）监视系统：适当增加高清摄像头，不定期进行调试与保养，保证各项监控设备24小时正常运行，能清楚显示出入人员的面部特征和车辆的车牌号，录像功能正常；</w:t>
      </w:r>
    </w:p>
    <w:p w14:paraId="6452AFCC">
      <w:pPr>
        <w:autoSpaceDE w:val="0"/>
        <w:autoSpaceDN w:val="0"/>
        <w:adjustRightInd w:val="0"/>
        <w:spacing w:line="400" w:lineRule="exact"/>
        <w:ind w:firstLine="482"/>
        <w:rPr>
          <w:rFonts w:hint="eastAsia" w:ascii="仿宋" w:hAnsi="仿宋" w:eastAsia="仿宋" w:cs="仿宋"/>
          <w:sz w:val="24"/>
          <w:szCs w:val="24"/>
        </w:rPr>
      </w:pPr>
      <w:r>
        <w:rPr>
          <w:rFonts w:hint="eastAsia" w:ascii="仿宋" w:hAnsi="仿宋" w:eastAsia="仿宋" w:cs="仿宋"/>
          <w:sz w:val="24"/>
          <w:szCs w:val="24"/>
          <w:lang w:bidi="ar"/>
        </w:rPr>
        <w:t>e.电梯管理</w:t>
      </w:r>
    </w:p>
    <w:p w14:paraId="38E9F42E">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1、服务内容：电梯日常管理。</w:t>
      </w:r>
    </w:p>
    <w:p w14:paraId="64591495">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2、服务质量标准：</w:t>
      </w:r>
    </w:p>
    <w:p w14:paraId="6F0057D1">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（1）电梯定时清洁保养。</w:t>
      </w:r>
    </w:p>
    <w:p w14:paraId="52DA3B04">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（2）建立运行安全管理制度，引导乘客安全用梯，确保电梯24小时正常运行；对专业人员电梯保养工作进行监督，并对电梯运行进行管理。</w:t>
      </w:r>
    </w:p>
    <w:p w14:paraId="5CD9B978">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（3）电梯发生一般故障时，应立即通知专业维保单位。发生电梯困人或其他重大事件时，应立即通知专业维保单位并在第一时间赶到现场，协助专业维保单位做好现场的应急处理工作。</w:t>
      </w:r>
    </w:p>
    <w:p w14:paraId="4D52C70C">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（四）其他共用部位、共用设备设施日常运行、保养、维修服务标准</w:t>
      </w:r>
    </w:p>
    <w:p w14:paraId="113C3FFC">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（1）门窗：每日巡视楼内公共部位门窗，保持玻璃、门窗配件完好，门、窗开闭灵活并无异常声响。</w:t>
      </w:r>
    </w:p>
    <w:p w14:paraId="38A72E0D">
      <w:pPr>
        <w:autoSpaceDE w:val="0"/>
        <w:autoSpaceDN w:val="0"/>
        <w:adjustRightInd w:val="0"/>
        <w:spacing w:line="400" w:lineRule="exact"/>
        <w:ind w:firstLine="480"/>
        <w:rPr>
          <w:rFonts w:hint="eastAsia" w:ascii="仿宋" w:hAnsi="仿宋" w:eastAsia="仿宋" w:cs="仿宋"/>
          <w:b/>
          <w:bCs/>
          <w:sz w:val="24"/>
          <w:szCs w:val="24"/>
          <w:lang w:val="en-US" w:eastAsia="zh-CN"/>
        </w:rPr>
      </w:pPr>
      <w:r>
        <w:rPr>
          <w:rFonts w:hint="eastAsia" w:ascii="仿宋" w:hAnsi="仿宋" w:eastAsia="仿宋" w:cs="仿宋"/>
          <w:b/>
          <w:bCs/>
          <w:sz w:val="24"/>
          <w:szCs w:val="24"/>
          <w:lang w:bidi="ar"/>
        </w:rPr>
        <w:t>（2）</w:t>
      </w:r>
      <w:r>
        <w:rPr>
          <w:rFonts w:hint="eastAsia" w:ascii="仿宋" w:hAnsi="仿宋" w:eastAsia="仿宋" w:cs="仿宋"/>
          <w:b/>
          <w:bCs/>
          <w:color w:val="0000FF"/>
          <w:sz w:val="24"/>
          <w:szCs w:val="24"/>
          <w:lang w:bidi="ar"/>
        </w:rPr>
        <w:t>楼内墙面、顶面、地面：墙面、顶面粉刷层无剥落，面砖、地砖平整不起壳、无缺损。发现损坏</w:t>
      </w:r>
      <w:r>
        <w:rPr>
          <w:rFonts w:hint="eastAsia" w:ascii="仿宋" w:hAnsi="仿宋" w:eastAsia="仿宋" w:cs="仿宋"/>
          <w:b/>
          <w:bCs/>
          <w:color w:val="0000FF"/>
          <w:sz w:val="24"/>
          <w:szCs w:val="24"/>
          <w:lang w:val="en-US" w:eastAsia="zh-CN" w:bidi="ar"/>
        </w:rPr>
        <w:t>及时修复，费用由中标单位承担（除质保期内的维修由施工方负责）。</w:t>
      </w:r>
    </w:p>
    <w:p w14:paraId="3522A54E">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（3）路灯、楼道灯：完好率不低于95%。</w:t>
      </w:r>
    </w:p>
    <w:p w14:paraId="5512B00D">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（4）共用雨、污水管道每年疏通1次；雨、污水井每月检查1次，视检查情况及时清掏；</w:t>
      </w:r>
    </w:p>
    <w:p w14:paraId="028F485B">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（5）化粪池：化粪池每月检查1次，每半年清掏1次，发现异常及时清掏。</w:t>
      </w:r>
    </w:p>
    <w:p w14:paraId="2FF69592">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（6）围墙：每周一次巡查围墙，发现损坏立即修复，保持围墙完好。</w:t>
      </w:r>
    </w:p>
    <w:p w14:paraId="7E7BDA85">
      <w:pPr>
        <w:autoSpaceDE w:val="0"/>
        <w:autoSpaceDN w:val="0"/>
        <w:adjustRightInd w:val="0"/>
        <w:spacing w:line="400" w:lineRule="exact"/>
        <w:ind w:firstLine="480"/>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bidi="ar"/>
        </w:rPr>
        <w:t>（7</w:t>
      </w:r>
      <w:r>
        <w:rPr>
          <w:rFonts w:hint="eastAsia" w:ascii="仿宋" w:hAnsi="仿宋" w:eastAsia="仿宋" w:cs="仿宋"/>
          <w:b/>
          <w:bCs/>
          <w:color w:val="0000FF"/>
          <w:sz w:val="24"/>
          <w:szCs w:val="24"/>
          <w:lang w:bidi="ar"/>
        </w:rPr>
        <w:t>）道路、场地等：每周二次巡查道路、路面、侧石、井盖等，发现损坏</w:t>
      </w:r>
      <w:r>
        <w:rPr>
          <w:rFonts w:hint="eastAsia" w:ascii="仿宋" w:hAnsi="仿宋" w:eastAsia="仿宋" w:cs="仿宋"/>
          <w:b/>
          <w:bCs/>
          <w:color w:val="0000FF"/>
          <w:sz w:val="24"/>
          <w:szCs w:val="24"/>
          <w:lang w:val="en-US" w:eastAsia="zh-CN" w:bidi="ar"/>
        </w:rPr>
        <w:t>及时修复，费用由中标单位承担（除质保期内的维修由施工方负责）。</w:t>
      </w:r>
    </w:p>
    <w:p w14:paraId="268D2D42">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（8）室外健身设施等：定期巡查，做好记录，发现损坏立即修复，保证器械、设施的安全使用（如需更换的除外〕。</w:t>
      </w:r>
    </w:p>
    <w:p w14:paraId="337BF423">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（9）安全标志等：对危险隐患部位设置安全防范警示标志，并在主要通道设置安全疏散指示和事故照明设施，保证标志清晰完整，设施运行正常。</w:t>
      </w:r>
    </w:p>
    <w:p w14:paraId="2391A689">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(五) 公共秩序、门卫、车辆管理和消防、监控的服务要求。</w:t>
      </w:r>
    </w:p>
    <w:p w14:paraId="68A06BF5">
      <w:pPr>
        <w:autoSpaceDE w:val="0"/>
        <w:autoSpaceDN w:val="0"/>
        <w:adjustRightInd w:val="0"/>
        <w:spacing w:line="400" w:lineRule="exact"/>
        <w:ind w:firstLine="336"/>
        <w:rPr>
          <w:rFonts w:hint="eastAsia" w:ascii="仿宋" w:hAnsi="仿宋" w:eastAsia="仿宋" w:cs="仿宋"/>
          <w:sz w:val="24"/>
          <w:szCs w:val="24"/>
        </w:rPr>
      </w:pPr>
      <w:r>
        <w:rPr>
          <w:rFonts w:hint="eastAsia" w:ascii="仿宋" w:hAnsi="仿宋" w:eastAsia="仿宋" w:cs="仿宋"/>
          <w:sz w:val="24"/>
          <w:szCs w:val="24"/>
          <w:lang w:bidi="ar"/>
        </w:rPr>
        <w:t>1、服务内容：熟悉周边的环境，能处理和应对公共秩序维护工作，能正确使用各类消防、物防、技防器械和设备，能够熟悉、掌握各类刑事、治安案件和各类灾害事故的应急预案；来人来访的证件检验、登记等；门卫、守护和巡逻，维护公共秩序；处理治安及其他突发事件；负责地面及地下车位交通管理、机动车和非机动车停放管理；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排烟机组等消空设备按安保条例进行监管和操作使用。</w:t>
      </w:r>
    </w:p>
    <w:p w14:paraId="3FA4D85C">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2、服务质量标准：</w:t>
      </w:r>
    </w:p>
    <w:p w14:paraId="2939B8FA">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（1）门卫值班。</w:t>
      </w:r>
    </w:p>
    <w:p w14:paraId="5403458E">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上岗时佩戴统一标志，按需求穿戴统一制服（精致），装备佩戴规范，仪容仪表规范整齐，当值时坐姿挺直，站岗时不倚不靠。文明执勤，训练有素，言语规范，认真负责；配备对讲装置和其他必备的安全护卫器械。</w:t>
      </w:r>
    </w:p>
    <w:p w14:paraId="07DB244B">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小区出入口安排24小时值班看守，主入口6:00-22:00另配站岗值勤人员，并有详细的交接班记录和外来车辆的登记记录。建立门岗、秩序维护、车辆、及公共秩序管理等制度，对进出小区的车辆实行证、卡管理，引导车辆有序通行、停放。对进出小区的装修、家政等人员实行临时出入证管理，大件物品搬出小区实行登记。</w:t>
      </w:r>
    </w:p>
    <w:p w14:paraId="162E5E4D">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（2）巡查</w:t>
      </w:r>
    </w:p>
    <w:p w14:paraId="7E1346FC">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明确巡查工作职责，规范巡视工作流程，制定固定的巡查制度，对重要区域、部位、设备机房进行重点巡视，每3小时至少巡查1次，并记录巡视情况，及时发现和处理备种安全和事故隐患。在接到监控室发出的指令后，巡视人员应及时到达事发现场，采取相应措施妥善处理；如巡视中发现异常情况，应立即通知有关部门并在现场采取必要措施，随时准备启动并执行相应的应急预案。</w:t>
      </w:r>
    </w:p>
    <w:p w14:paraId="7E6AC9F2">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（3）消控、监控室值班。</w:t>
      </w:r>
    </w:p>
    <w:p w14:paraId="687A4380">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消控、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7天，有特殊要求的参照相关规定或行业标准执行。同时，确保治安电话畅通，接听及时。</w:t>
      </w:r>
    </w:p>
    <w:p w14:paraId="2932F55A">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（4）停车管理。</w:t>
      </w:r>
    </w:p>
    <w:p w14:paraId="40F3B8E2">
      <w:pPr>
        <w:autoSpaceDE w:val="0"/>
        <w:autoSpaceDN w:val="0"/>
        <w:adjustRightInd w:val="0"/>
        <w:spacing w:line="400" w:lineRule="exact"/>
        <w:ind w:firstLine="504"/>
        <w:rPr>
          <w:rFonts w:hint="eastAsia" w:ascii="仿宋" w:hAnsi="仿宋" w:eastAsia="仿宋" w:cs="仿宋"/>
          <w:sz w:val="24"/>
          <w:szCs w:val="24"/>
        </w:rPr>
      </w:pPr>
      <w:r>
        <w:rPr>
          <w:rFonts w:hint="eastAsia" w:ascii="仿宋" w:hAnsi="仿宋" w:eastAsia="仿宋" w:cs="仿宋"/>
          <w:sz w:val="24"/>
          <w:szCs w:val="24"/>
          <w:lang w:bidi="ar"/>
        </w:rPr>
        <w:t>地面及地下车位有车位的车辆，一律停放在固定车位内。无固定车位的，应停放整齐、规范。非机动车应实行定点停放。对进出的各类车辆要进行严格管理，维护交通秩序，保证车辆有序通行、有序停放。</w:t>
      </w:r>
    </w:p>
    <w:p w14:paraId="00987C04">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（5）突发事件处理。</w:t>
      </w:r>
    </w:p>
    <w:p w14:paraId="364D9E9A">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按照要求制订各类突发事件应急预案，并将预案内容在物业办公室、监控室、机房等处张榜悬挂。在各楼层固定位置悬挂疏散示意图及引路标志。当发生台风、暴雨等灾害性天气及火灾、治安、公共卫生等其他危害公共突发事件时，应根据应急预案采取应急措施，并及时报告有关部门，各岗位人员必须按规定实行岗位警戒，根据不同突发事件的现场情况进行应变处理，在有关部门到达现场前，确保人身安全，减少财产损失，并全力协助处理相关事宜。</w:t>
      </w:r>
    </w:p>
    <w:p w14:paraId="67400EDF">
      <w:pPr>
        <w:autoSpaceDE w:val="0"/>
        <w:autoSpaceDN w:val="0"/>
        <w:adjustRightInd w:val="0"/>
        <w:spacing w:line="400" w:lineRule="exact"/>
        <w:ind w:firstLine="235" w:firstLineChars="98"/>
        <w:rPr>
          <w:rFonts w:hint="eastAsia" w:ascii="仿宋" w:hAnsi="仿宋" w:eastAsia="仿宋" w:cs="仿宋"/>
          <w:sz w:val="24"/>
          <w:szCs w:val="24"/>
        </w:rPr>
      </w:pPr>
      <w:r>
        <w:rPr>
          <w:rFonts w:hint="eastAsia" w:ascii="仿宋" w:hAnsi="仿宋" w:eastAsia="仿宋" w:cs="仿宋"/>
          <w:sz w:val="24"/>
          <w:szCs w:val="24"/>
          <w:lang w:bidi="ar"/>
        </w:rPr>
        <w:t>（六）环境卫生管理。</w:t>
      </w:r>
    </w:p>
    <w:p w14:paraId="1DD2814C">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服务内容：小区内的楼梯、走廊、屋顶平台（各楼层平台）、电梯厅、电梯间等公共区域、公共活动场所的台（地）面、明沟、墙面、门、窗、灯具、果壳箱等设施和器皿，园林、停车场(库)、垃圾房等所有公共场地及设施和“门前三包”区域的日常保洁保养以及垃圾分类管理、废弃物清理和灭“四害”等所有环境卫生保洁。具体如下：</w:t>
      </w:r>
    </w:p>
    <w:p w14:paraId="58D060B1">
      <w:pPr>
        <w:autoSpaceDE w:val="0"/>
        <w:autoSpaceDN w:val="0"/>
        <w:adjustRightInd w:val="0"/>
        <w:spacing w:line="400" w:lineRule="exact"/>
        <w:ind w:firstLine="475"/>
        <w:rPr>
          <w:rFonts w:hint="eastAsia" w:ascii="仿宋" w:hAnsi="仿宋" w:eastAsia="仿宋" w:cs="仿宋"/>
          <w:sz w:val="24"/>
          <w:szCs w:val="24"/>
        </w:rPr>
      </w:pPr>
      <w:r>
        <w:rPr>
          <w:rFonts w:hint="eastAsia" w:ascii="仿宋" w:hAnsi="仿宋" w:eastAsia="仿宋" w:cs="仿宋"/>
          <w:sz w:val="24"/>
          <w:szCs w:val="24"/>
          <w:lang w:bidi="ar"/>
        </w:rPr>
        <w:t>（1）公共场所日常服务内容：小区道路、广场、停车场、绿地每日普扫二次，石材地面每两个月保养一次，楼梯扶手每日擦洗一次，门窗玻璃、门及门窗框、栏杆每周擦抹一次，天花板、消防楼梯区域每周除尘一次，路灯、楼道灯每月清洁一次，及时清除各种垃圾等杂物，及时清除道路积水、积雪，保证无积灰、印迹、污渍等。</w:t>
      </w:r>
    </w:p>
    <w:p w14:paraId="74EAFF6D">
      <w:pPr>
        <w:autoSpaceDE w:val="0"/>
        <w:autoSpaceDN w:val="0"/>
        <w:adjustRightInd w:val="0"/>
        <w:spacing w:line="400" w:lineRule="exact"/>
        <w:ind w:firstLine="475"/>
        <w:rPr>
          <w:rFonts w:hint="eastAsia" w:ascii="仿宋" w:hAnsi="仿宋" w:eastAsia="仿宋" w:cs="仿宋"/>
          <w:sz w:val="24"/>
          <w:szCs w:val="24"/>
        </w:rPr>
      </w:pPr>
      <w:r>
        <w:rPr>
          <w:rFonts w:hint="eastAsia" w:ascii="仿宋" w:hAnsi="仿宋" w:eastAsia="仿宋" w:cs="仿宋"/>
          <w:sz w:val="24"/>
          <w:szCs w:val="24"/>
          <w:lang w:bidi="ar"/>
        </w:rPr>
        <w:t>（2）门厅等特定区域保洁服务内容：地面每日拖洗一次，天花板、门窗玻璃、门及门窗框、墙壁附体，灯具、垃圾桶等公用设施表面每周除尘一次，电梯及卫生间每日擦拭、清扫一次及以上，循环保洁，严格按要求做好清洁、清运及日常消杀工作，无积灰、印迹、污渍。白色墙面及顶面如有污渍等应及时清除。</w:t>
      </w:r>
    </w:p>
    <w:p w14:paraId="70D3CB1F">
      <w:pPr>
        <w:autoSpaceDE w:val="0"/>
        <w:autoSpaceDN w:val="0"/>
        <w:adjustRightInd w:val="0"/>
        <w:spacing w:line="400" w:lineRule="exact"/>
        <w:ind w:firstLine="482"/>
        <w:rPr>
          <w:rFonts w:hint="eastAsia" w:ascii="仿宋" w:hAnsi="仿宋" w:eastAsia="仿宋" w:cs="仿宋"/>
          <w:sz w:val="24"/>
          <w:szCs w:val="24"/>
        </w:rPr>
      </w:pPr>
      <w:r>
        <w:rPr>
          <w:rFonts w:hint="eastAsia" w:ascii="仿宋" w:hAnsi="仿宋" w:eastAsia="仿宋" w:cs="仿宋"/>
          <w:sz w:val="24"/>
          <w:szCs w:val="24"/>
          <w:lang w:bidi="ar"/>
        </w:rPr>
        <w:t>（3）顶篷等边缘区域服务内容：屋顶屋面、沟槽、地面及边角区域，各种附体表面每月清洁一次。</w:t>
      </w:r>
    </w:p>
    <w:p w14:paraId="6EAF5AE8">
      <w:pPr>
        <w:autoSpaceDE w:val="0"/>
        <w:autoSpaceDN w:val="0"/>
        <w:adjustRightInd w:val="0"/>
        <w:spacing w:line="400" w:lineRule="exact"/>
        <w:ind w:firstLine="482"/>
        <w:rPr>
          <w:rFonts w:hint="eastAsia" w:ascii="仿宋" w:hAnsi="仿宋" w:eastAsia="仿宋" w:cs="仿宋"/>
          <w:sz w:val="24"/>
          <w:szCs w:val="24"/>
        </w:rPr>
      </w:pPr>
      <w:r>
        <w:rPr>
          <w:rFonts w:hint="eastAsia" w:ascii="仿宋" w:hAnsi="仿宋" w:eastAsia="仿宋" w:cs="仿宋"/>
          <w:sz w:val="24"/>
          <w:szCs w:val="24"/>
          <w:lang w:bidi="ar"/>
        </w:rPr>
        <w:t>（4）水电和设备等设施类服务内容：一般机器表面清洁（有特殊规定的设备除外），消防设施、空调的过滤网洗尘与保洁每季度清洁一次。</w:t>
      </w:r>
    </w:p>
    <w:p w14:paraId="172CD7FD">
      <w:pPr>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（5）电梯服务内容：保持电梯轿厢内外无果壳、纸屑等杂物，无污渍、无灰尘、手印、鞋印，表面光亮可映出人影。每天对轿厢内外用油布擦拭一次，每周用不锈钢油对轿厢内外进行轻抹保养一次。</w:t>
      </w:r>
    </w:p>
    <w:p w14:paraId="1D87AAEF">
      <w:pPr>
        <w:autoSpaceDE w:val="0"/>
        <w:autoSpaceDN w:val="0"/>
        <w:adjustRightInd w:val="0"/>
        <w:spacing w:line="400" w:lineRule="exact"/>
        <w:ind w:firstLine="504"/>
        <w:rPr>
          <w:rFonts w:hint="eastAsia" w:ascii="仿宋" w:hAnsi="仿宋" w:eastAsia="仿宋" w:cs="仿宋"/>
          <w:b/>
          <w:bCs/>
          <w:color w:val="0000FF"/>
          <w:sz w:val="24"/>
          <w:szCs w:val="24"/>
        </w:rPr>
      </w:pPr>
      <w:r>
        <w:rPr>
          <w:rFonts w:hint="eastAsia" w:ascii="仿宋" w:hAnsi="仿宋" w:eastAsia="仿宋" w:cs="仿宋"/>
          <w:b/>
          <w:bCs/>
          <w:color w:val="0000FF"/>
          <w:sz w:val="24"/>
          <w:szCs w:val="24"/>
          <w:lang w:bidi="ar"/>
        </w:rPr>
        <w:t>（6）垃圾</w:t>
      </w:r>
      <w:r>
        <w:rPr>
          <w:rFonts w:hint="eastAsia" w:ascii="仿宋" w:hAnsi="仿宋" w:eastAsia="仿宋" w:cs="仿宋"/>
          <w:b/>
          <w:bCs/>
          <w:color w:val="0000FF"/>
          <w:sz w:val="24"/>
          <w:szCs w:val="24"/>
          <w:lang w:val="en-US" w:eastAsia="zh-CN" w:bidi="ar"/>
        </w:rPr>
        <w:t>分类</w:t>
      </w:r>
      <w:r>
        <w:rPr>
          <w:rFonts w:hint="eastAsia" w:ascii="仿宋" w:hAnsi="仿宋" w:eastAsia="仿宋" w:cs="仿宋"/>
          <w:b/>
          <w:bCs/>
          <w:color w:val="0000FF"/>
          <w:sz w:val="24"/>
          <w:szCs w:val="24"/>
          <w:lang w:bidi="ar"/>
        </w:rPr>
        <w:t>清运服务内容：做好垃圾分类管理</w:t>
      </w:r>
      <w:r>
        <w:rPr>
          <w:rFonts w:hint="eastAsia" w:ascii="仿宋" w:hAnsi="仿宋" w:eastAsia="仿宋" w:cs="仿宋"/>
          <w:b/>
          <w:bCs/>
          <w:color w:val="0000FF"/>
          <w:sz w:val="24"/>
          <w:szCs w:val="24"/>
          <w:lang w:eastAsia="zh-CN" w:bidi="ar"/>
        </w:rPr>
        <w:t>（</w:t>
      </w:r>
      <w:r>
        <w:rPr>
          <w:rFonts w:hint="eastAsia" w:ascii="仿宋" w:hAnsi="仿宋" w:eastAsia="仿宋" w:cs="仿宋"/>
          <w:b/>
          <w:bCs/>
          <w:color w:val="0000FF"/>
          <w:sz w:val="24"/>
          <w:szCs w:val="24"/>
          <w:lang w:val="en-US" w:eastAsia="zh-CN" w:bidi="ar"/>
        </w:rPr>
        <w:t>根据相关要求及时开关垃圾投放点，开放时需派专人专管</w:t>
      </w:r>
      <w:r>
        <w:rPr>
          <w:rFonts w:hint="eastAsia" w:ascii="仿宋" w:hAnsi="仿宋" w:eastAsia="仿宋" w:cs="仿宋"/>
          <w:b/>
          <w:bCs/>
          <w:color w:val="0000FF"/>
          <w:sz w:val="24"/>
          <w:szCs w:val="24"/>
          <w:lang w:eastAsia="zh-CN" w:bidi="ar"/>
        </w:rPr>
        <w:t>）</w:t>
      </w:r>
      <w:r>
        <w:rPr>
          <w:rFonts w:hint="eastAsia" w:ascii="仿宋" w:hAnsi="仿宋" w:eastAsia="仿宋" w:cs="仿宋"/>
          <w:b/>
          <w:bCs/>
          <w:color w:val="0000FF"/>
          <w:sz w:val="24"/>
          <w:szCs w:val="24"/>
          <w:lang w:bidi="ar"/>
        </w:rPr>
        <w:t>，垃圾箱、筒的垃圾存量不超过上缘，每日清理不少于二次，做到日产日清，定期清洗，每周消毒一次，无明显积水，无蚊蝇飞舞。垃圾清运工具应保持清洁无破损，清运过程中不得产生二次污染。各类垃圾运到规定的垃圾房，其中公共区域、卫生间无堆积垃圾（根据实际情况增加垃圾清理次数）。</w:t>
      </w:r>
    </w:p>
    <w:p w14:paraId="64DF0D1B">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2、服务质量标准：</w:t>
      </w:r>
    </w:p>
    <w:p w14:paraId="7DFB0944">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围墙内的道路、停车场和“门前三包”及所有公共区域的地面，无有形垃圾和建筑垃圾、无堆积杂物、无积水和淤泥、无阻塞等。做到每日清扫两次，巡回保洁。</w:t>
      </w:r>
    </w:p>
    <w:p w14:paraId="132F0F3C">
      <w:pPr>
        <w:autoSpaceDE w:val="0"/>
        <w:autoSpaceDN w:val="0"/>
        <w:adjustRightInd w:val="0"/>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lang w:bidi="ar"/>
        </w:rPr>
        <w:t>未列入的且为正常保洁工作以及突发性事件造成的保洁工作的项目、部位均包括在本次采购范围内，中标人不得因此拒绝提供保洁服务。</w:t>
      </w:r>
    </w:p>
    <w:p w14:paraId="73C3C35B">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相关材料及药品等应计入服务费。</w:t>
      </w:r>
    </w:p>
    <w:p w14:paraId="3420B507">
      <w:pPr>
        <w:autoSpaceDE w:val="0"/>
        <w:autoSpaceDN w:val="0"/>
        <w:adjustRightInd w:val="0"/>
        <w:spacing w:line="400" w:lineRule="exact"/>
        <w:ind w:firstLine="472"/>
        <w:rPr>
          <w:rFonts w:hint="eastAsia" w:ascii="仿宋" w:hAnsi="仿宋" w:eastAsia="仿宋" w:cs="仿宋"/>
          <w:sz w:val="24"/>
          <w:szCs w:val="24"/>
        </w:rPr>
      </w:pPr>
      <w:r>
        <w:rPr>
          <w:rFonts w:hint="eastAsia" w:ascii="仿宋" w:hAnsi="仿宋" w:eastAsia="仿宋" w:cs="仿宋"/>
          <w:sz w:val="24"/>
          <w:szCs w:val="24"/>
          <w:lang w:bidi="ar"/>
        </w:rPr>
        <w:t xml:space="preserve"> (七)绿化养护管理</w:t>
      </w:r>
    </w:p>
    <w:p w14:paraId="6FC761B2">
      <w:pPr>
        <w:autoSpaceDE w:val="0"/>
        <w:autoSpaceDN w:val="0"/>
        <w:adjustRightInd w:val="0"/>
        <w:spacing w:line="400" w:lineRule="exact"/>
        <w:ind w:firstLine="472"/>
        <w:rPr>
          <w:rFonts w:hint="eastAsia" w:ascii="仿宋" w:hAnsi="仿宋" w:eastAsia="仿宋" w:cs="仿宋"/>
          <w:sz w:val="24"/>
          <w:szCs w:val="24"/>
        </w:rPr>
      </w:pPr>
      <w:r>
        <w:rPr>
          <w:rFonts w:hint="eastAsia" w:ascii="仿宋" w:hAnsi="仿宋" w:eastAsia="仿宋" w:cs="仿宋"/>
          <w:sz w:val="24"/>
          <w:szCs w:val="24"/>
          <w:lang w:bidi="ar"/>
        </w:rPr>
        <w:t>1、服务内容：委派专业养护人员对绿化带和公共区域的树木、花、草等的日常养护和管理。</w:t>
      </w:r>
    </w:p>
    <w:p w14:paraId="4F1DA930">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2、服务质量标准：根据采购单位的要求进行调整；每年普修二遍以上，草坪基本平整，每年清除杂草五遍以上。施肥：按肥力、草种、生长情况及时施肥，每年二遍以上。及时做好病虫害防治。草地生长正常.</w:t>
      </w:r>
    </w:p>
    <w:p w14:paraId="32F83054">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乔、灌木修剪每年二次以上，基本做到无枯枝、萌蘖枝；蓠、球、造型植物及时修剪，每年不少于四遍，做到枝叶紧密、圆整、基本无脱节；地被、攀援植物修剪及时，每年不少于二次，基本无枯枝。适时中耕除草,做到基本无杂草，土壤疏松。按植物品种、生长状况、土壤条件适时施肥，每年普施基肥不少于两遍，花灌木增施追肥一遍。定期喷洒药物，防治结合、及时灭治，树木基本无倾斜。</w:t>
      </w:r>
    </w:p>
    <w:p w14:paraId="72F0F0AC">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sz w:val="24"/>
          <w:szCs w:val="24"/>
          <w:shd w:val="clear" w:color="auto" w:fill="FFFFFF"/>
          <w:lang w:bidi="ar"/>
        </w:rPr>
        <w:t>（八）</w:t>
      </w:r>
      <w:r>
        <w:rPr>
          <w:rFonts w:hint="eastAsia" w:ascii="仿宋" w:hAnsi="仿宋" w:eastAsia="仿宋" w:cs="仿宋"/>
          <w:b/>
          <w:sz w:val="24"/>
          <w:szCs w:val="24"/>
          <w:shd w:val="clear" w:color="auto" w:fill="FFFFFF"/>
          <w:lang w:bidi="ar"/>
        </w:rPr>
        <w:t>重要专项管理服务标准</w:t>
      </w:r>
    </w:p>
    <w:p w14:paraId="36CB97EA">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1、快递物品代为接收和管理</w:t>
      </w:r>
    </w:p>
    <w:p w14:paraId="64E6F423">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根据业主的委托无偿代收、保管快递物品；小件物品配货架有序摆放，按楼道编号导引业主方便领取；大件物品整齐码放，视情整理；创造条件，引进快递柜，按区域划片定点摆放，方便投递与领取。</w:t>
      </w:r>
    </w:p>
    <w:p w14:paraId="52CEA7AB">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2、垃圾桶清洁清运管理</w:t>
      </w:r>
    </w:p>
    <w:p w14:paraId="5E24DF65">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针对性循环保洁，未到清运时段的垃圾桶满溢时及时更换或增加空桶；根据情况及时撤换或更新清运人员与清运方式，缩短清运操作时间，减少噪音扰民；清后彻底扫除细小剩余垃圾，杜绝脏水、黑水流泻；</w:t>
      </w:r>
    </w:p>
    <w:p w14:paraId="2054BB68">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垃圾桶由采购人按需补足。</w:t>
      </w:r>
    </w:p>
    <w:p w14:paraId="3952C3C9">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3、小广告的管理与清除</w:t>
      </w:r>
    </w:p>
    <w:p w14:paraId="56860403">
      <w:pPr>
        <w:shd w:val="clear" w:color="auto" w:fill="FFFFFF"/>
        <w:snapToGrid w:val="0"/>
        <w:spacing w:line="460" w:lineRule="exac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 xml:space="preserve">    堵疏结合，小广告的清除纳入保洁员的日常工作，全面彻底清理小广告牛皮癣；统一提供相对可信的便民服务指定服务商，杜绝其他闲杂人等进入小区。将其纳入居民的举报投诉受理事项，每十天开展一次专项检查。</w:t>
      </w:r>
    </w:p>
    <w:p w14:paraId="0673907D">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4、大件生活垃圾管理</w:t>
      </w:r>
    </w:p>
    <w:p w14:paraId="12355343">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迅速发现、介入处置居民反映的大件垃圾，跟踪了解乱堆乱扔行为人，协商代为有偿处置，不侵占其他业主的资源。有偿处置的大件垃圾清运不超过3天，对找不到户主的垃圾3天内必须转运到中转地点。公布指定堆放地点，制定诚信曝光机制。</w:t>
      </w:r>
    </w:p>
    <w:p w14:paraId="28FC7E79">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5、装修建筑垃圾管理</w:t>
      </w:r>
    </w:p>
    <w:p w14:paraId="05A0917B">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按住建部门要求，对房屋装修严格登记介入管理。实行装修承诺协定管理制，缴纳承诺制保证金约束，对违规装修及乱扔建筑垃圾进行追诉。</w:t>
      </w:r>
    </w:p>
    <w:p w14:paraId="5A9184CD">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6、地下空间的大件垃圾清理</w:t>
      </w:r>
    </w:p>
    <w:p w14:paraId="6E1C196D">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限期整理地下车库等公共部位“僵尸车”及陈年废弃物；甄别垃圾与遗弃物的类别，无条件清除垃圾，寻找遗弃物户主；通知业主限期整改，并通报业委会协商处置办法；对公告后无人认领的遗弃物，将视作垃圾处理。对于协商不成的大件堆积物，公告该单元全体住户联合监督。</w:t>
      </w:r>
    </w:p>
    <w:p w14:paraId="4E3D4FD0">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7、车辆门禁管理</w:t>
      </w:r>
    </w:p>
    <w:p w14:paraId="56EDE5D6">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更新改进小区出入口，公共车库门禁系统智能化水平，加强车库通道乱驻停车辆管理。对呼叫保安人工放行的车辆要核对蓝牙或门禁卡，没有凭证的拒绝放入；登记核对乱停放车辆，张贴提示、电话催促驶离。对于屡教不改者进行诚信曝光。</w:t>
      </w:r>
    </w:p>
    <w:p w14:paraId="0D3C7B88">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8、电瓶车的充电管理</w:t>
      </w:r>
    </w:p>
    <w:p w14:paraId="3ED5ECCF">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设立统一的电瓶车集中充电处，劝阻业主收拾私拉乱接的电线，协同派出所定期清除私拉乱接乱象，减少安全隐患。</w:t>
      </w:r>
    </w:p>
    <w:p w14:paraId="6950C8E3">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9、公共区域收益账务管理</w:t>
      </w:r>
    </w:p>
    <w:p w14:paraId="1449E8DB">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广告收入、摊位费等所有公共区域收入全额用于小区公共部位维修，并设立专项账目，定期汇总公布，便于查询。</w:t>
      </w:r>
    </w:p>
    <w:p w14:paraId="0C1A9F39">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10、地上露天车位的维修管理。</w:t>
      </w:r>
    </w:p>
    <w:p w14:paraId="3CC884AD">
      <w:pPr>
        <w:spacing w:line="460" w:lineRule="exact"/>
        <w:rPr>
          <w:rFonts w:hint="eastAsia" w:ascii="仿宋" w:hAnsi="仿宋" w:eastAsia="仿宋" w:cs="仿宋"/>
          <w:bCs/>
          <w:kern w:val="0"/>
          <w:sz w:val="24"/>
          <w:szCs w:val="24"/>
        </w:rPr>
      </w:pPr>
      <w:r>
        <w:rPr>
          <w:rFonts w:hint="eastAsia" w:ascii="仿宋" w:hAnsi="仿宋" w:eastAsia="仿宋" w:cs="仿宋"/>
          <w:bCs/>
          <w:kern w:val="0"/>
          <w:sz w:val="24"/>
          <w:szCs w:val="24"/>
          <w:lang w:bidi="ar"/>
        </w:rPr>
        <w:t xml:space="preserve">   定期登记摸底住户车辆添置变更情况，探索外来车辆收费制度；恰当设立禁停区域，及时巡查发现违停车辆，有力提醒监督其整改，杜绝出入口、转角被堵塞现象；公共区域收入优先使用于草坪砖车位的维修，杜绝积水、溅泥现象。</w:t>
      </w:r>
    </w:p>
    <w:p w14:paraId="4AF33C79">
      <w:pPr>
        <w:spacing w:line="460" w:lineRule="exact"/>
        <w:ind w:firstLine="240" w:firstLineChars="100"/>
        <w:rPr>
          <w:rFonts w:hint="eastAsia" w:ascii="仿宋" w:hAnsi="仿宋" w:eastAsia="仿宋" w:cs="仿宋"/>
          <w:bCs/>
          <w:kern w:val="0"/>
          <w:sz w:val="24"/>
          <w:szCs w:val="24"/>
        </w:rPr>
      </w:pPr>
      <w:r>
        <w:rPr>
          <w:rFonts w:hint="eastAsia" w:ascii="仿宋" w:hAnsi="仿宋" w:eastAsia="仿宋" w:cs="仿宋"/>
          <w:bCs/>
          <w:kern w:val="0"/>
          <w:sz w:val="24"/>
          <w:szCs w:val="24"/>
          <w:lang w:bidi="ar"/>
        </w:rPr>
        <w:t xml:space="preserve">  11、生活垃圾分类处理</w:t>
      </w:r>
    </w:p>
    <w:p w14:paraId="70BC626F">
      <w:pPr>
        <w:spacing w:line="460" w:lineRule="exact"/>
        <w:rPr>
          <w:rFonts w:hint="eastAsia" w:ascii="仿宋" w:hAnsi="仿宋" w:eastAsia="仿宋" w:cs="仿宋"/>
          <w:b/>
          <w:bCs w:val="0"/>
          <w:color w:val="0000FF"/>
          <w:kern w:val="0"/>
          <w:sz w:val="24"/>
          <w:szCs w:val="24"/>
        </w:rPr>
      </w:pPr>
      <w:r>
        <w:rPr>
          <w:rFonts w:hint="eastAsia" w:ascii="仿宋" w:hAnsi="仿宋" w:eastAsia="仿宋" w:cs="仿宋"/>
          <w:b/>
          <w:bCs w:val="0"/>
          <w:color w:val="0000FF"/>
          <w:kern w:val="0"/>
          <w:sz w:val="24"/>
          <w:szCs w:val="24"/>
          <w:lang w:bidi="ar"/>
        </w:rPr>
        <w:t xml:space="preserve">    按照区政府、街道以及社区关于生活垃圾“三化四分”和分级管理要求，设立垃圾分类管理员，积极改造基础设施和收集条件，尽早宣传引导培育居民分类投放习惯，按时达到达标小区标准。</w:t>
      </w:r>
    </w:p>
    <w:p w14:paraId="0C1823F5">
      <w:pPr>
        <w:spacing w:line="460" w:lineRule="exact"/>
        <w:rPr>
          <w:rFonts w:hint="eastAsia" w:ascii="仿宋" w:hAnsi="仿宋" w:eastAsia="仿宋" w:cs="仿宋"/>
          <w:bCs/>
          <w:kern w:val="0"/>
          <w:sz w:val="24"/>
          <w:szCs w:val="24"/>
        </w:rPr>
      </w:pPr>
      <w:r>
        <w:rPr>
          <w:rFonts w:hint="eastAsia" w:ascii="仿宋" w:hAnsi="仿宋" w:eastAsia="仿宋" w:cs="仿宋"/>
          <w:bCs/>
          <w:kern w:val="0"/>
          <w:sz w:val="24"/>
          <w:szCs w:val="24"/>
          <w:lang w:bidi="ar"/>
        </w:rPr>
        <w:t xml:space="preserve">   12、猫狗等宠物管理</w:t>
      </w:r>
    </w:p>
    <w:p w14:paraId="4E8F7A63">
      <w:pPr>
        <w:spacing w:line="460" w:lineRule="exact"/>
        <w:rPr>
          <w:rFonts w:hint="eastAsia" w:ascii="仿宋" w:hAnsi="仿宋" w:eastAsia="仿宋" w:cs="仿宋"/>
          <w:bCs/>
          <w:kern w:val="0"/>
          <w:sz w:val="24"/>
          <w:szCs w:val="24"/>
        </w:rPr>
      </w:pPr>
      <w:r>
        <w:rPr>
          <w:rFonts w:hint="eastAsia" w:ascii="仿宋" w:hAnsi="仿宋" w:eastAsia="仿宋" w:cs="仿宋"/>
          <w:bCs/>
          <w:kern w:val="0"/>
          <w:sz w:val="24"/>
          <w:szCs w:val="24"/>
          <w:lang w:bidi="ar"/>
        </w:rPr>
        <w:t xml:space="preserve">   引导居民文明养宠物，及时清除公共区域的粪便，监督举报不按规定养犬、溜狗行为，定期扑杀无主流浪猫狗。</w:t>
      </w:r>
    </w:p>
    <w:p w14:paraId="1F9302C0">
      <w:pPr>
        <w:spacing w:line="460" w:lineRule="exact"/>
        <w:rPr>
          <w:rFonts w:hint="eastAsia" w:ascii="仿宋" w:hAnsi="仿宋" w:eastAsia="仿宋" w:cs="仿宋"/>
          <w:bCs/>
          <w:kern w:val="0"/>
          <w:sz w:val="24"/>
          <w:szCs w:val="24"/>
        </w:rPr>
      </w:pPr>
      <w:r>
        <w:rPr>
          <w:rFonts w:hint="eastAsia" w:ascii="仿宋" w:hAnsi="仿宋" w:eastAsia="仿宋" w:cs="仿宋"/>
          <w:bCs/>
          <w:kern w:val="0"/>
          <w:sz w:val="24"/>
          <w:szCs w:val="24"/>
          <w:lang w:bidi="ar"/>
        </w:rPr>
        <w:t xml:space="preserve">    13、节假日的安排</w:t>
      </w:r>
    </w:p>
    <w:p w14:paraId="5040F10B">
      <w:pPr>
        <w:shd w:val="clear" w:color="auto" w:fill="FFFFFF"/>
        <w:snapToGrid w:val="0"/>
        <w:spacing w:line="460" w:lineRule="exact"/>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lang w:bidi="ar"/>
        </w:rPr>
        <w:t xml:space="preserve">  春节、五一、国庆、元旦等重要节假日要有节日气氛。</w:t>
      </w:r>
    </w:p>
    <w:p w14:paraId="393050F2">
      <w:pPr>
        <w:autoSpaceDE w:val="0"/>
        <w:autoSpaceDN w:val="0"/>
        <w:adjustRightInd w:val="0"/>
        <w:spacing w:line="400" w:lineRule="exact"/>
        <w:ind w:firstLine="482"/>
        <w:rPr>
          <w:rFonts w:hint="eastAsia" w:ascii="仿宋" w:hAnsi="仿宋" w:eastAsia="仿宋" w:cs="仿宋"/>
          <w:sz w:val="24"/>
          <w:szCs w:val="24"/>
        </w:rPr>
      </w:pPr>
      <w:r>
        <w:rPr>
          <w:rFonts w:hint="eastAsia" w:ascii="仿宋" w:hAnsi="仿宋" w:eastAsia="仿宋" w:cs="仿宋"/>
          <w:sz w:val="24"/>
          <w:szCs w:val="24"/>
          <w:lang w:bidi="ar"/>
        </w:rPr>
        <w:t>（九）其他要求</w:t>
      </w:r>
    </w:p>
    <w:p w14:paraId="3C43FC1C">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1、设施设备运行及维护</w:t>
      </w:r>
    </w:p>
    <w:p w14:paraId="489B9D53">
      <w:pPr>
        <w:autoSpaceDE w:val="0"/>
        <w:autoSpaceDN w:val="0"/>
        <w:adjustRightInd w:val="0"/>
        <w:spacing w:line="4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bidi="ar"/>
        </w:rPr>
        <w:t>（1）设施设备做到安全运行和节能操作，发现故障立即通知及时排除；水、电、门锁维修不过夜；遇电路故障没电，水管爆裂、水龙头漏水、门锁开不了、门窗毁坏及墙面破损，要随叫随修；排水管、排污管要保持畅通，如有堵塞应立即疏通，厕所堵塞应当天疏通（需换厕盆的除外）。维护维修闭路防盗装置和电铃设施。公共照明、水电设施每天检查一遍。公共区域灯具每季清洗、检修更换1次。楼宇公共区域内门窗、内墙面、所有照明设施的检查每季度1次。</w:t>
      </w:r>
    </w:p>
    <w:p w14:paraId="26AF878A">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（2）日常维修接到报修信息后，必须15分钟内赶到现场进行处理。若无能力修复，立即报告相关部门的有关人员及领导。</w:t>
      </w:r>
    </w:p>
    <w:p w14:paraId="558369E2">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（3）配合专业单位进行保养及维修工作。</w:t>
      </w:r>
    </w:p>
    <w:p w14:paraId="7D402983">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3、综合维修及巡查</w:t>
      </w:r>
    </w:p>
    <w:p w14:paraId="74ED1494">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（1）工程综合维修人员日常工作除特定工作外，实行定期巡查维修制；</w:t>
      </w:r>
    </w:p>
    <w:p w14:paraId="3AD8AF3E">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（2）巡查内容包括配电设施、照明及供用电设施、给排水设施、房屋及装修设施、室外构筑设施与其他公用设施；</w:t>
      </w:r>
    </w:p>
    <w:p w14:paraId="58DC7165">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（3）每天对所有区域巡查一次，并随时记录和处理；</w:t>
      </w:r>
    </w:p>
    <w:p w14:paraId="1E581169">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4、环境卫生</w:t>
      </w:r>
    </w:p>
    <w:p w14:paraId="24C34F1E">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1）实行“零打扰”、“无滞留”、“不损伤”服务。即第一次保洁须在使用前清洁完毕，并且做到随脏随清不影响使用；出入口和主要通道及场所丢弃废物滞留时间不超过30分钟；保洁用清洗剂及工具不损伤清洁物表面和牢固度；</w:t>
      </w:r>
    </w:p>
    <w:p w14:paraId="4DA4A9BF">
      <w:pPr>
        <w:autoSpaceDE w:val="0"/>
        <w:autoSpaceDN w:val="0"/>
        <w:adjustRightInd w:val="0"/>
        <w:spacing w:line="400" w:lineRule="exact"/>
        <w:ind w:firstLine="480"/>
        <w:rPr>
          <w:rFonts w:hint="eastAsia" w:ascii="仿宋" w:hAnsi="仿宋" w:eastAsia="仿宋" w:cs="仿宋"/>
          <w:sz w:val="24"/>
          <w:szCs w:val="24"/>
        </w:rPr>
      </w:pPr>
      <w:r>
        <w:rPr>
          <w:rFonts w:hint="eastAsia" w:ascii="仿宋" w:hAnsi="仿宋" w:eastAsia="仿宋" w:cs="仿宋"/>
          <w:sz w:val="24"/>
          <w:szCs w:val="24"/>
          <w:lang w:bidi="ar"/>
        </w:rPr>
        <w:t>（2）内外墙无乱贴、涂、划之物。做好符合辖区要求的门前工作。</w:t>
      </w:r>
    </w:p>
    <w:p w14:paraId="0A9E9A1B">
      <w:pPr>
        <w:autoSpaceDE w:val="0"/>
        <w:autoSpaceDN w:val="0"/>
        <w:spacing w:line="400" w:lineRule="exact"/>
        <w:ind w:firstLine="482"/>
        <w:rPr>
          <w:rFonts w:hint="eastAsia" w:ascii="仿宋" w:hAnsi="仿宋" w:eastAsia="仿宋" w:cs="仿宋"/>
          <w:b/>
          <w:sz w:val="24"/>
          <w:szCs w:val="24"/>
        </w:rPr>
      </w:pPr>
      <w:r>
        <w:rPr>
          <w:rFonts w:hint="eastAsia" w:ascii="仿宋" w:hAnsi="仿宋" w:eastAsia="仿宋" w:cs="仿宋"/>
          <w:b/>
          <w:sz w:val="24"/>
          <w:szCs w:val="24"/>
          <w:lang w:bidi="ar"/>
        </w:rPr>
        <w:t>六、管理及服务人员要求（以下配置为采购人建议配置，投标人可根据项目情况调整人员配置，但配置人员及专业素质不得少于以下配置。）</w:t>
      </w:r>
    </w:p>
    <w:tbl>
      <w:tblPr>
        <w:tblStyle w:val="89"/>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11"/>
        <w:gridCol w:w="2922"/>
        <w:gridCol w:w="4122"/>
      </w:tblGrid>
      <w:tr w14:paraId="6475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90A6AB"/>
            <w:noWrap w:val="0"/>
            <w:vAlign w:val="center"/>
          </w:tcPr>
          <w:p w14:paraId="7F41EA25">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岗位</w:t>
            </w:r>
          </w:p>
        </w:tc>
        <w:tc>
          <w:tcPr>
            <w:tcW w:w="711" w:type="dxa"/>
            <w:tcBorders>
              <w:top w:val="single" w:color="auto" w:sz="4" w:space="0"/>
              <w:left w:val="single" w:color="auto" w:sz="4" w:space="0"/>
              <w:bottom w:val="single" w:color="auto" w:sz="4" w:space="0"/>
              <w:right w:val="single" w:color="auto" w:sz="4" w:space="0"/>
            </w:tcBorders>
            <w:shd w:val="clear" w:color="auto" w:fill="90A6AB"/>
            <w:noWrap w:val="0"/>
            <w:vAlign w:val="center"/>
          </w:tcPr>
          <w:p w14:paraId="4BBA7069">
            <w:pPr>
              <w:jc w:val="center"/>
              <w:rPr>
                <w:rFonts w:hint="eastAsia" w:ascii="仿宋" w:hAnsi="仿宋" w:eastAsia="仿宋" w:cs="仿宋"/>
                <w:b/>
                <w:bCs/>
                <w:color w:val="0070C0"/>
                <w:sz w:val="24"/>
                <w:szCs w:val="24"/>
                <w:lang w:val="en-US" w:eastAsia="zh-CN" w:bidi="ar"/>
              </w:rPr>
            </w:pPr>
            <w:r>
              <w:rPr>
                <w:rFonts w:hint="eastAsia" w:ascii="仿宋" w:hAnsi="仿宋" w:eastAsia="仿宋" w:cs="仿宋"/>
                <w:b/>
                <w:bCs/>
                <w:color w:val="0070C0"/>
                <w:sz w:val="24"/>
                <w:szCs w:val="24"/>
                <w:lang w:val="en-US" w:eastAsia="zh-CN" w:bidi="ar"/>
              </w:rPr>
              <w:t>人数</w:t>
            </w:r>
          </w:p>
        </w:tc>
        <w:tc>
          <w:tcPr>
            <w:tcW w:w="2922" w:type="dxa"/>
            <w:tcBorders>
              <w:top w:val="single" w:color="auto" w:sz="4" w:space="0"/>
              <w:left w:val="single" w:color="auto" w:sz="4" w:space="0"/>
              <w:bottom w:val="single" w:color="auto" w:sz="4" w:space="0"/>
              <w:right w:val="single" w:color="auto" w:sz="4" w:space="0"/>
            </w:tcBorders>
            <w:shd w:val="clear" w:color="auto" w:fill="90A6AB"/>
            <w:noWrap w:val="0"/>
            <w:vAlign w:val="center"/>
          </w:tcPr>
          <w:p w14:paraId="70950F8B">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主要工作职责</w:t>
            </w:r>
          </w:p>
        </w:tc>
        <w:tc>
          <w:tcPr>
            <w:tcW w:w="4122" w:type="dxa"/>
            <w:tcBorders>
              <w:top w:val="single" w:color="auto" w:sz="4" w:space="0"/>
              <w:left w:val="single" w:color="auto" w:sz="4" w:space="0"/>
              <w:bottom w:val="single" w:color="auto" w:sz="4" w:space="0"/>
              <w:right w:val="single" w:color="auto" w:sz="4" w:space="0"/>
            </w:tcBorders>
            <w:shd w:val="clear" w:color="auto" w:fill="90A6AB"/>
            <w:noWrap w:val="0"/>
            <w:vAlign w:val="center"/>
          </w:tcPr>
          <w:p w14:paraId="2388968B">
            <w:pPr>
              <w:jc w:val="center"/>
              <w:rPr>
                <w:rFonts w:hint="eastAsia" w:ascii="仿宋" w:hAnsi="仿宋" w:eastAsia="仿宋" w:cs="仿宋"/>
                <w:b/>
                <w:bCs/>
                <w:color w:val="0070C0"/>
                <w:sz w:val="24"/>
                <w:szCs w:val="24"/>
                <w:highlight w:val="yellow"/>
              </w:rPr>
            </w:pPr>
            <w:r>
              <w:rPr>
                <w:rFonts w:hint="eastAsia" w:ascii="仿宋" w:hAnsi="仿宋" w:eastAsia="仿宋" w:cs="仿宋"/>
                <w:b/>
                <w:bCs/>
                <w:color w:val="0070C0"/>
                <w:sz w:val="24"/>
                <w:szCs w:val="24"/>
                <w:highlight w:val="none"/>
                <w:lang w:bidi="ar"/>
              </w:rPr>
              <w:t>专业素质</w:t>
            </w:r>
          </w:p>
        </w:tc>
      </w:tr>
      <w:tr w14:paraId="7CB5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38FE9AD2">
            <w:pPr>
              <w:jc w:val="center"/>
              <w:rPr>
                <w:rFonts w:hint="eastAsia" w:ascii="仿宋" w:hAnsi="仿宋" w:eastAsia="仿宋" w:cs="仿宋"/>
                <w:b/>
                <w:bCs/>
                <w:color w:val="0070C0"/>
                <w:sz w:val="24"/>
                <w:szCs w:val="24"/>
                <w:highlight w:val="none"/>
              </w:rPr>
            </w:pPr>
            <w:r>
              <w:rPr>
                <w:rFonts w:hint="eastAsia" w:ascii="仿宋" w:hAnsi="仿宋" w:eastAsia="仿宋" w:cs="仿宋"/>
                <w:b/>
                <w:bCs/>
                <w:color w:val="0070C0"/>
                <w:sz w:val="24"/>
                <w:szCs w:val="24"/>
                <w:highlight w:val="none"/>
                <w:lang w:bidi="ar"/>
              </w:rPr>
              <w:t>项目经理</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366EA529">
            <w:pPr>
              <w:jc w:val="center"/>
              <w:rPr>
                <w:rFonts w:hint="eastAsia" w:ascii="仿宋" w:hAnsi="仿宋" w:eastAsia="仿宋" w:cs="仿宋"/>
                <w:b/>
                <w:bCs/>
                <w:color w:val="0070C0"/>
                <w:sz w:val="24"/>
                <w:szCs w:val="24"/>
                <w:highlight w:val="none"/>
                <w:lang w:val="en-US" w:eastAsia="zh-CN" w:bidi="ar"/>
              </w:rPr>
            </w:pPr>
            <w:r>
              <w:rPr>
                <w:rFonts w:hint="eastAsia" w:ascii="仿宋" w:hAnsi="仿宋" w:eastAsia="仿宋" w:cs="仿宋"/>
                <w:b/>
                <w:bCs/>
                <w:color w:val="0070C0"/>
                <w:sz w:val="24"/>
                <w:szCs w:val="24"/>
                <w:highlight w:val="none"/>
                <w:lang w:val="en-US" w:eastAsia="zh-CN" w:bidi="ar"/>
              </w:rPr>
              <w:t>1</w:t>
            </w:r>
          </w:p>
        </w:tc>
        <w:tc>
          <w:tcPr>
            <w:tcW w:w="2922" w:type="dxa"/>
            <w:tcBorders>
              <w:top w:val="single" w:color="auto" w:sz="4" w:space="0"/>
              <w:left w:val="single" w:color="auto" w:sz="4" w:space="0"/>
              <w:bottom w:val="single" w:color="auto" w:sz="4" w:space="0"/>
              <w:right w:val="single" w:color="auto" w:sz="4" w:space="0"/>
            </w:tcBorders>
            <w:noWrap w:val="0"/>
            <w:vAlign w:val="center"/>
          </w:tcPr>
          <w:p w14:paraId="57A0592E">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全面负责物业服务工作。在公司、业主会授权限内展开工作。</w:t>
            </w:r>
          </w:p>
        </w:tc>
        <w:tc>
          <w:tcPr>
            <w:tcW w:w="4122" w:type="dxa"/>
            <w:tcBorders>
              <w:top w:val="single" w:color="auto" w:sz="4" w:space="0"/>
              <w:left w:val="single" w:color="auto" w:sz="4" w:space="0"/>
              <w:bottom w:val="single" w:color="auto" w:sz="4" w:space="0"/>
              <w:right w:val="single" w:color="auto" w:sz="4" w:space="0"/>
            </w:tcBorders>
            <w:noWrap w:val="0"/>
            <w:vAlign w:val="top"/>
          </w:tcPr>
          <w:p w14:paraId="161D6D77">
            <w:pPr>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kern w:val="0"/>
                <w:sz w:val="24"/>
                <w:szCs w:val="24"/>
                <w:highlight w:val="none"/>
                <w:lang w:val="en-US" w:eastAsia="zh-CN" w:bidi="bo-CN"/>
              </w:rPr>
              <w:t>1.</w:t>
            </w:r>
            <w:r>
              <w:rPr>
                <w:rFonts w:hint="eastAsia" w:ascii="仿宋" w:hAnsi="仿宋" w:eastAsia="仿宋" w:cs="仿宋"/>
                <w:color w:val="auto"/>
                <w:kern w:val="0"/>
                <w:sz w:val="24"/>
                <w:szCs w:val="24"/>
                <w:highlight w:val="none"/>
                <w:lang w:bidi="bo-CN"/>
              </w:rPr>
              <w:t>具有本科及以上学历</w:t>
            </w:r>
            <w:r>
              <w:rPr>
                <w:rFonts w:hint="eastAsia" w:ascii="仿宋" w:hAnsi="仿宋" w:eastAsia="仿宋" w:cs="仿宋"/>
                <w:b/>
                <w:bCs/>
                <w:color w:val="auto"/>
                <w:sz w:val="24"/>
                <w:szCs w:val="24"/>
                <w:highlight w:val="none"/>
                <w:lang w:eastAsia="zh-CN"/>
              </w:rPr>
              <w:t>；</w:t>
            </w:r>
          </w:p>
          <w:p w14:paraId="5AAEEA10">
            <w:pPr>
              <w:jc w:val="left"/>
              <w:rPr>
                <w:rFonts w:hint="eastAsia"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bidi="ar-SA"/>
              </w:rPr>
              <w:t>具备中级及以上职称</w:t>
            </w:r>
            <w:r>
              <w:rPr>
                <w:rFonts w:hint="eastAsia" w:ascii="仿宋" w:hAnsi="仿宋" w:eastAsia="仿宋" w:cs="仿宋"/>
                <w:b/>
                <w:bCs/>
                <w:color w:val="auto"/>
                <w:sz w:val="24"/>
                <w:szCs w:val="24"/>
                <w:highlight w:val="none"/>
              </w:rPr>
              <w:t>；</w:t>
            </w:r>
          </w:p>
          <w:p w14:paraId="27DE8B67">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具备良好的管理能力、沟通协调能力和执行能力，敬业程度高。</w:t>
            </w:r>
          </w:p>
          <w:p w14:paraId="6E117F7E">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rPr>
              <w:t>需持有本单位社保证明材料（</w:t>
            </w:r>
            <w:r>
              <w:rPr>
                <w:rFonts w:hint="eastAsia" w:ascii="仿宋" w:hAnsi="仿宋" w:eastAsia="仿宋" w:cs="仿宋"/>
                <w:b/>
                <w:bCs/>
                <w:color w:val="auto"/>
                <w:sz w:val="24"/>
                <w:szCs w:val="24"/>
                <w:highlight w:val="none"/>
                <w:lang w:val="en-US" w:eastAsia="zh-CN"/>
              </w:rPr>
              <w:t>近三</w:t>
            </w:r>
            <w:r>
              <w:rPr>
                <w:rFonts w:hint="eastAsia" w:ascii="仿宋" w:hAnsi="仿宋" w:eastAsia="仿宋" w:cs="仿宋"/>
                <w:b/>
                <w:bCs/>
                <w:color w:val="auto"/>
                <w:sz w:val="24"/>
                <w:szCs w:val="24"/>
                <w:highlight w:val="none"/>
              </w:rPr>
              <w:t>个月</w:t>
            </w:r>
            <w:r>
              <w:rPr>
                <w:rFonts w:hint="eastAsia" w:ascii="仿宋" w:hAnsi="仿宋" w:eastAsia="仿宋" w:cs="仿宋"/>
                <w:b/>
                <w:bCs/>
                <w:color w:val="auto"/>
                <w:sz w:val="24"/>
                <w:szCs w:val="24"/>
                <w:highlight w:val="none"/>
                <w:lang w:val="en-US" w:eastAsia="zh-CN"/>
              </w:rPr>
              <w:t>任意一个月</w:t>
            </w:r>
            <w:r>
              <w:rPr>
                <w:rFonts w:hint="eastAsia" w:ascii="仿宋" w:hAnsi="仿宋" w:eastAsia="仿宋" w:cs="仿宋"/>
                <w:b/>
                <w:bCs/>
                <w:color w:val="auto"/>
                <w:sz w:val="24"/>
                <w:szCs w:val="24"/>
                <w:highlight w:val="none"/>
              </w:rPr>
              <w:t>的社保）</w:t>
            </w:r>
          </w:p>
        </w:tc>
      </w:tr>
      <w:tr w14:paraId="2354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5F0406C1">
            <w:pPr>
              <w:jc w:val="center"/>
              <w:rPr>
                <w:rFonts w:hint="eastAsia" w:ascii="仿宋" w:hAnsi="仿宋" w:eastAsia="仿宋" w:cs="仿宋"/>
                <w:b/>
                <w:bCs/>
                <w:color w:val="0070C0"/>
                <w:sz w:val="24"/>
                <w:szCs w:val="24"/>
                <w:highlight w:val="none"/>
                <w:lang w:bidi="ar"/>
              </w:rPr>
            </w:pPr>
            <w:r>
              <w:rPr>
                <w:rFonts w:hint="eastAsia" w:ascii="仿宋" w:hAnsi="仿宋" w:eastAsia="仿宋" w:cs="仿宋"/>
                <w:b/>
                <w:bCs/>
                <w:color w:val="0070C0"/>
                <w:sz w:val="24"/>
                <w:szCs w:val="24"/>
                <w:highlight w:val="none"/>
                <w:lang w:bidi="ar"/>
              </w:rPr>
              <w:t>客服</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3ABACD36">
            <w:pPr>
              <w:jc w:val="center"/>
              <w:rPr>
                <w:rFonts w:hint="eastAsia" w:ascii="仿宋" w:hAnsi="仿宋" w:eastAsia="仿宋" w:cs="仿宋"/>
                <w:b/>
                <w:bCs/>
                <w:color w:val="0070C0"/>
                <w:sz w:val="24"/>
                <w:szCs w:val="24"/>
                <w:highlight w:val="none"/>
                <w:lang w:val="en-US" w:eastAsia="zh-CN" w:bidi="ar"/>
              </w:rPr>
            </w:pPr>
            <w:r>
              <w:rPr>
                <w:rFonts w:hint="eastAsia" w:ascii="仿宋" w:hAnsi="仿宋" w:eastAsia="仿宋" w:cs="仿宋"/>
                <w:b/>
                <w:bCs/>
                <w:color w:val="0070C0"/>
                <w:sz w:val="24"/>
                <w:szCs w:val="24"/>
                <w:highlight w:val="none"/>
                <w:lang w:val="en-US" w:eastAsia="zh-CN" w:bidi="ar"/>
              </w:rPr>
              <w:t>1</w:t>
            </w:r>
          </w:p>
        </w:tc>
        <w:tc>
          <w:tcPr>
            <w:tcW w:w="2922" w:type="dxa"/>
            <w:tcBorders>
              <w:top w:val="single" w:color="auto" w:sz="4" w:space="0"/>
              <w:left w:val="single" w:color="auto" w:sz="4" w:space="0"/>
              <w:bottom w:val="single" w:color="auto" w:sz="4" w:space="0"/>
              <w:right w:val="single" w:color="auto" w:sz="4" w:space="0"/>
            </w:tcBorders>
            <w:noWrap w:val="0"/>
            <w:vAlign w:val="center"/>
          </w:tcPr>
          <w:p w14:paraId="00E88C83">
            <w:pPr>
              <w:jc w:val="center"/>
              <w:rPr>
                <w:rFonts w:hint="eastAsia" w:ascii="仿宋" w:hAnsi="仿宋" w:eastAsia="仿宋" w:cs="仿宋"/>
                <w:b/>
                <w:bCs/>
                <w:color w:val="0070C0"/>
                <w:sz w:val="24"/>
                <w:szCs w:val="24"/>
                <w:lang w:bidi="ar"/>
              </w:rPr>
            </w:pPr>
            <w:r>
              <w:rPr>
                <w:rFonts w:hint="eastAsia" w:ascii="仿宋" w:hAnsi="仿宋" w:eastAsia="仿宋" w:cs="仿宋"/>
                <w:b/>
                <w:bCs/>
                <w:color w:val="0070C0"/>
                <w:sz w:val="24"/>
                <w:szCs w:val="24"/>
                <w:lang w:bidi="ar"/>
              </w:rPr>
              <w:t>全面负责与小区业主的沟通、协调，全小区的信息采纳汇总</w:t>
            </w:r>
          </w:p>
        </w:tc>
        <w:tc>
          <w:tcPr>
            <w:tcW w:w="4122" w:type="dxa"/>
            <w:tcBorders>
              <w:top w:val="single" w:color="auto" w:sz="4" w:space="0"/>
              <w:left w:val="single" w:color="auto" w:sz="4" w:space="0"/>
              <w:bottom w:val="single" w:color="auto" w:sz="4" w:space="0"/>
              <w:right w:val="single" w:color="auto" w:sz="4" w:space="0"/>
            </w:tcBorders>
            <w:noWrap w:val="0"/>
            <w:vAlign w:val="top"/>
          </w:tcPr>
          <w:p w14:paraId="160E6FA8">
            <w:pPr>
              <w:jc w:val="left"/>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年龄在40周岁及以下，大专及以上学历等；</w:t>
            </w:r>
          </w:p>
          <w:p w14:paraId="75D7BBEA">
            <w:pPr>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rPr>
              <w:t>需持有本单位社保证明材料（</w:t>
            </w:r>
            <w:r>
              <w:rPr>
                <w:rFonts w:hint="eastAsia" w:ascii="仿宋" w:hAnsi="仿宋" w:eastAsia="仿宋" w:cs="仿宋"/>
                <w:b/>
                <w:bCs/>
                <w:color w:val="auto"/>
                <w:sz w:val="24"/>
                <w:szCs w:val="24"/>
                <w:highlight w:val="none"/>
                <w:lang w:val="en-US" w:eastAsia="zh-CN"/>
              </w:rPr>
              <w:t>近三</w:t>
            </w:r>
            <w:r>
              <w:rPr>
                <w:rFonts w:hint="eastAsia" w:ascii="仿宋" w:hAnsi="仿宋" w:eastAsia="仿宋" w:cs="仿宋"/>
                <w:b/>
                <w:bCs/>
                <w:color w:val="auto"/>
                <w:sz w:val="24"/>
                <w:szCs w:val="24"/>
                <w:highlight w:val="none"/>
              </w:rPr>
              <w:t>个月</w:t>
            </w:r>
            <w:r>
              <w:rPr>
                <w:rFonts w:hint="eastAsia" w:ascii="仿宋" w:hAnsi="仿宋" w:eastAsia="仿宋" w:cs="仿宋"/>
                <w:b/>
                <w:bCs/>
                <w:color w:val="auto"/>
                <w:sz w:val="24"/>
                <w:szCs w:val="24"/>
                <w:highlight w:val="none"/>
                <w:lang w:val="en-US" w:eastAsia="zh-CN"/>
              </w:rPr>
              <w:t>任意一个月</w:t>
            </w:r>
            <w:r>
              <w:rPr>
                <w:rFonts w:hint="eastAsia" w:ascii="仿宋" w:hAnsi="仿宋" w:eastAsia="仿宋" w:cs="仿宋"/>
                <w:b/>
                <w:bCs/>
                <w:color w:val="auto"/>
                <w:sz w:val="24"/>
                <w:szCs w:val="24"/>
                <w:highlight w:val="none"/>
              </w:rPr>
              <w:t>的社保）</w:t>
            </w:r>
          </w:p>
          <w:p w14:paraId="5168C33A">
            <w:pPr>
              <w:jc w:val="left"/>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能熟练操作电脑，有良好的沟通协调能力和执行能力，敬业程度高。</w:t>
            </w:r>
          </w:p>
        </w:tc>
      </w:tr>
      <w:tr w14:paraId="2BB7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5FFFD0F9">
            <w:pPr>
              <w:jc w:val="center"/>
              <w:rPr>
                <w:rFonts w:hint="eastAsia" w:ascii="仿宋" w:hAnsi="仿宋" w:eastAsia="仿宋" w:cs="仿宋"/>
                <w:b/>
                <w:bCs/>
                <w:color w:val="0070C0"/>
                <w:sz w:val="24"/>
                <w:szCs w:val="24"/>
                <w:highlight w:val="none"/>
              </w:rPr>
            </w:pPr>
            <w:r>
              <w:rPr>
                <w:rFonts w:hint="eastAsia" w:ascii="仿宋" w:hAnsi="仿宋" w:eastAsia="仿宋" w:cs="仿宋"/>
                <w:b/>
                <w:bCs/>
                <w:color w:val="0070C0"/>
                <w:sz w:val="24"/>
                <w:szCs w:val="24"/>
                <w:highlight w:val="none"/>
                <w:lang w:bidi="ar"/>
              </w:rPr>
              <w:t>保安人员</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67154A2F">
            <w:pPr>
              <w:jc w:val="center"/>
              <w:rPr>
                <w:rFonts w:hint="eastAsia" w:ascii="仿宋" w:hAnsi="仿宋" w:eastAsia="仿宋" w:cs="仿宋"/>
                <w:b/>
                <w:bCs/>
                <w:color w:val="0070C0"/>
                <w:sz w:val="24"/>
                <w:szCs w:val="24"/>
                <w:highlight w:val="none"/>
                <w:lang w:val="en-US" w:eastAsia="zh-CN" w:bidi="ar"/>
              </w:rPr>
            </w:pPr>
            <w:r>
              <w:rPr>
                <w:rFonts w:hint="eastAsia" w:ascii="仿宋" w:hAnsi="仿宋" w:eastAsia="仿宋" w:cs="仿宋"/>
                <w:b/>
                <w:bCs/>
                <w:color w:val="0070C0"/>
                <w:sz w:val="24"/>
                <w:szCs w:val="24"/>
                <w:highlight w:val="none"/>
                <w:lang w:val="en-US" w:eastAsia="zh-CN" w:bidi="ar"/>
              </w:rPr>
              <w:t>5</w:t>
            </w:r>
          </w:p>
        </w:tc>
        <w:tc>
          <w:tcPr>
            <w:tcW w:w="2922" w:type="dxa"/>
            <w:tcBorders>
              <w:top w:val="single" w:color="auto" w:sz="4" w:space="0"/>
              <w:left w:val="single" w:color="auto" w:sz="4" w:space="0"/>
              <w:bottom w:val="single" w:color="auto" w:sz="4" w:space="0"/>
              <w:right w:val="single" w:color="auto" w:sz="4" w:space="0"/>
            </w:tcBorders>
            <w:noWrap w:val="0"/>
            <w:vAlign w:val="center"/>
          </w:tcPr>
          <w:p w14:paraId="05E212B1">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全面负责小区的秩序维护、消防、车辆管理及与相关部门的协调，建立管理规范，落实各项培训与专业指导工作。</w:t>
            </w:r>
          </w:p>
        </w:tc>
        <w:tc>
          <w:tcPr>
            <w:tcW w:w="4122" w:type="dxa"/>
            <w:tcBorders>
              <w:top w:val="single" w:color="auto" w:sz="4" w:space="0"/>
              <w:left w:val="single" w:color="auto" w:sz="4" w:space="0"/>
              <w:bottom w:val="single" w:color="auto" w:sz="4" w:space="0"/>
              <w:right w:val="single" w:color="auto" w:sz="4" w:space="0"/>
            </w:tcBorders>
            <w:noWrap w:val="0"/>
            <w:vAlign w:val="top"/>
          </w:tcPr>
          <w:p w14:paraId="00546F41">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具有</w:t>
            </w:r>
            <w:r>
              <w:rPr>
                <w:rFonts w:hint="eastAsia" w:ascii="仿宋" w:hAnsi="仿宋" w:eastAsia="仿宋" w:cs="仿宋"/>
                <w:b/>
                <w:bCs/>
                <w:color w:val="auto"/>
                <w:sz w:val="24"/>
                <w:szCs w:val="24"/>
                <w:highlight w:val="none"/>
                <w:lang w:val="en-US" w:eastAsia="zh-CN"/>
              </w:rPr>
              <w:t>公安部门颁发的保安员上岗证，</w:t>
            </w:r>
            <w:r>
              <w:rPr>
                <w:rFonts w:hint="eastAsia" w:ascii="仿宋" w:hAnsi="仿宋" w:eastAsia="仿宋" w:cs="仿宋"/>
                <w:b/>
                <w:bCs/>
                <w:color w:val="auto"/>
                <w:sz w:val="24"/>
                <w:szCs w:val="24"/>
                <w:highlight w:val="none"/>
              </w:rPr>
              <w:t>物业行业同等职位工作经验，具优秀的管理能力与全面的专业素养，退伍军人优先；</w:t>
            </w:r>
          </w:p>
          <w:p w14:paraId="0E3A79F2">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具良好的管理能力、沟通协调能力和执行能力，敬业程度高；</w:t>
            </w:r>
          </w:p>
        </w:tc>
      </w:tr>
      <w:tr w14:paraId="65EE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29BF3F80">
            <w:pPr>
              <w:jc w:val="center"/>
              <w:rPr>
                <w:rFonts w:hint="eastAsia" w:ascii="仿宋" w:hAnsi="仿宋" w:eastAsia="仿宋" w:cs="仿宋"/>
                <w:b/>
                <w:bCs/>
                <w:color w:val="0070C0"/>
                <w:sz w:val="24"/>
                <w:szCs w:val="24"/>
                <w:highlight w:val="none"/>
              </w:rPr>
            </w:pPr>
            <w:r>
              <w:rPr>
                <w:rFonts w:hint="eastAsia" w:ascii="仿宋" w:hAnsi="仿宋" w:eastAsia="仿宋" w:cs="仿宋"/>
                <w:b/>
                <w:bCs/>
                <w:color w:val="0070C0"/>
                <w:sz w:val="24"/>
                <w:szCs w:val="24"/>
                <w:highlight w:val="none"/>
                <w:lang w:bidi="ar"/>
              </w:rPr>
              <w:t>消控人员</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2FB59A9D">
            <w:pPr>
              <w:jc w:val="center"/>
              <w:rPr>
                <w:rFonts w:hint="eastAsia" w:ascii="仿宋" w:hAnsi="仿宋" w:eastAsia="仿宋" w:cs="仿宋"/>
                <w:b/>
                <w:bCs/>
                <w:color w:val="0070C0"/>
                <w:sz w:val="24"/>
                <w:szCs w:val="24"/>
                <w:highlight w:val="none"/>
                <w:lang w:val="en-US" w:eastAsia="zh-CN" w:bidi="ar"/>
              </w:rPr>
            </w:pPr>
            <w:r>
              <w:rPr>
                <w:rFonts w:hint="eastAsia" w:ascii="仿宋" w:hAnsi="仿宋" w:eastAsia="仿宋" w:cs="仿宋"/>
                <w:b/>
                <w:bCs/>
                <w:color w:val="0070C0"/>
                <w:sz w:val="24"/>
                <w:szCs w:val="24"/>
                <w:highlight w:val="none"/>
                <w:lang w:val="en-US" w:eastAsia="zh-CN" w:bidi="ar"/>
              </w:rPr>
              <w:t>2</w:t>
            </w:r>
          </w:p>
        </w:tc>
        <w:tc>
          <w:tcPr>
            <w:tcW w:w="2922" w:type="dxa"/>
            <w:tcBorders>
              <w:top w:val="single" w:color="auto" w:sz="4" w:space="0"/>
              <w:left w:val="single" w:color="auto" w:sz="4" w:space="0"/>
              <w:bottom w:val="single" w:color="auto" w:sz="4" w:space="0"/>
              <w:right w:val="single" w:color="auto" w:sz="4" w:space="0"/>
            </w:tcBorders>
            <w:noWrap w:val="0"/>
            <w:vAlign w:val="center"/>
          </w:tcPr>
          <w:p w14:paraId="6182C2C9">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全面负责小区的消防监控工作</w:t>
            </w:r>
            <w:r>
              <w:rPr>
                <w:rFonts w:hint="eastAsia" w:ascii="仿宋" w:hAnsi="仿宋" w:eastAsia="仿宋" w:cs="仿宋"/>
                <w:b/>
                <w:bCs/>
                <w:color w:val="0070C0"/>
                <w:sz w:val="24"/>
                <w:szCs w:val="24"/>
                <w:lang w:val="en-US" w:eastAsia="zh-CN" w:bidi="ar"/>
              </w:rPr>
              <w:t>及泵房管理，</w:t>
            </w:r>
            <w:r>
              <w:rPr>
                <w:rFonts w:hint="eastAsia" w:ascii="仿宋" w:hAnsi="仿宋" w:eastAsia="仿宋" w:cs="仿宋"/>
                <w:b/>
                <w:bCs/>
                <w:color w:val="0070C0"/>
                <w:sz w:val="24"/>
                <w:szCs w:val="24"/>
                <w:lang w:bidi="ar"/>
              </w:rPr>
              <w:t>及时与相关部门协调。</w:t>
            </w:r>
          </w:p>
        </w:tc>
        <w:tc>
          <w:tcPr>
            <w:tcW w:w="4122" w:type="dxa"/>
            <w:tcBorders>
              <w:top w:val="single" w:color="auto" w:sz="4" w:space="0"/>
              <w:left w:val="single" w:color="auto" w:sz="4" w:space="0"/>
              <w:bottom w:val="single" w:color="auto" w:sz="4" w:space="0"/>
              <w:right w:val="single" w:color="auto" w:sz="4" w:space="0"/>
            </w:tcBorders>
            <w:noWrap w:val="0"/>
            <w:vAlign w:val="top"/>
          </w:tcPr>
          <w:p w14:paraId="259F0714">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具有建构筑物消防员</w:t>
            </w:r>
            <w:r>
              <w:rPr>
                <w:rFonts w:hint="eastAsia" w:ascii="仿宋" w:hAnsi="仿宋" w:eastAsia="仿宋" w:cs="仿宋"/>
                <w:b/>
                <w:bCs/>
                <w:color w:val="auto"/>
                <w:sz w:val="24"/>
                <w:szCs w:val="24"/>
                <w:highlight w:val="none"/>
                <w:lang w:val="en-US" w:eastAsia="zh-CN"/>
              </w:rPr>
              <w:t>证</w:t>
            </w:r>
            <w:r>
              <w:rPr>
                <w:rFonts w:hint="eastAsia" w:ascii="仿宋" w:hAnsi="仿宋" w:eastAsia="仿宋" w:cs="仿宋"/>
                <w:b/>
                <w:bCs/>
                <w:color w:val="auto"/>
                <w:sz w:val="24"/>
                <w:szCs w:val="24"/>
                <w:highlight w:val="none"/>
              </w:rPr>
              <w:t>或消防设施操作员</w:t>
            </w:r>
            <w:r>
              <w:rPr>
                <w:rFonts w:hint="eastAsia" w:ascii="仿宋" w:hAnsi="仿宋" w:eastAsia="仿宋" w:cs="仿宋"/>
                <w:b/>
                <w:bCs/>
                <w:color w:val="auto"/>
                <w:sz w:val="24"/>
                <w:szCs w:val="24"/>
                <w:highlight w:val="none"/>
                <w:lang w:val="en-US" w:eastAsia="zh-CN"/>
              </w:rPr>
              <w:t>证</w:t>
            </w:r>
            <w:r>
              <w:rPr>
                <w:rFonts w:hint="eastAsia" w:ascii="仿宋" w:hAnsi="仿宋" w:eastAsia="仿宋" w:cs="仿宋"/>
                <w:b/>
                <w:bCs/>
                <w:color w:val="auto"/>
                <w:sz w:val="24"/>
                <w:szCs w:val="24"/>
                <w:highlight w:val="none"/>
              </w:rPr>
              <w:t>，</w:t>
            </w:r>
          </w:p>
          <w:p w14:paraId="7B2794E7">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能熟练操作监控系统，身体健康、爱岗敬业、吃苦耐劳</w:t>
            </w:r>
          </w:p>
        </w:tc>
      </w:tr>
      <w:tr w14:paraId="6724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1CCCA13F">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保洁人员</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176C3A50">
            <w:pPr>
              <w:jc w:val="center"/>
              <w:rPr>
                <w:rFonts w:hint="eastAsia" w:ascii="仿宋" w:hAnsi="仿宋" w:eastAsia="仿宋" w:cs="仿宋"/>
                <w:b/>
                <w:bCs/>
                <w:color w:val="0070C0"/>
                <w:sz w:val="24"/>
                <w:szCs w:val="24"/>
                <w:lang w:val="en-US" w:eastAsia="zh-CN" w:bidi="ar"/>
              </w:rPr>
            </w:pPr>
            <w:r>
              <w:rPr>
                <w:rFonts w:hint="eastAsia" w:ascii="仿宋" w:hAnsi="仿宋" w:eastAsia="仿宋" w:cs="仿宋"/>
                <w:b/>
                <w:bCs/>
                <w:color w:val="0070C0"/>
                <w:sz w:val="24"/>
                <w:szCs w:val="24"/>
                <w:lang w:val="en-US" w:eastAsia="zh-CN" w:bidi="ar"/>
              </w:rPr>
              <w:t>3</w:t>
            </w:r>
          </w:p>
        </w:tc>
        <w:tc>
          <w:tcPr>
            <w:tcW w:w="2922" w:type="dxa"/>
            <w:tcBorders>
              <w:top w:val="single" w:color="auto" w:sz="4" w:space="0"/>
              <w:left w:val="single" w:color="auto" w:sz="4" w:space="0"/>
              <w:bottom w:val="single" w:color="auto" w:sz="4" w:space="0"/>
              <w:right w:val="single" w:color="auto" w:sz="4" w:space="0"/>
            </w:tcBorders>
            <w:noWrap w:val="0"/>
            <w:vAlign w:val="center"/>
          </w:tcPr>
          <w:p w14:paraId="3B0DC57A">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负责项目整体的保洁服务工作。</w:t>
            </w:r>
          </w:p>
        </w:tc>
        <w:tc>
          <w:tcPr>
            <w:tcW w:w="4122" w:type="dxa"/>
            <w:tcBorders>
              <w:top w:val="single" w:color="auto" w:sz="4" w:space="0"/>
              <w:left w:val="single" w:color="auto" w:sz="4" w:space="0"/>
              <w:bottom w:val="single" w:color="auto" w:sz="4" w:space="0"/>
              <w:right w:val="single" w:color="auto" w:sz="4" w:space="0"/>
            </w:tcBorders>
            <w:noWrap w:val="0"/>
            <w:vAlign w:val="top"/>
          </w:tcPr>
          <w:p w14:paraId="11551706">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具物业行业相关工作经验优先；服务意识好，吃苦耐劳。</w:t>
            </w:r>
          </w:p>
        </w:tc>
      </w:tr>
      <w:tr w14:paraId="6C85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18DF40FA">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综合维修技术员</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0A24E1F1">
            <w:pPr>
              <w:jc w:val="center"/>
              <w:rPr>
                <w:rFonts w:hint="eastAsia" w:ascii="仿宋" w:hAnsi="仿宋" w:eastAsia="仿宋" w:cs="仿宋"/>
                <w:b/>
                <w:bCs/>
                <w:color w:val="0070C0"/>
                <w:sz w:val="24"/>
                <w:szCs w:val="24"/>
                <w:lang w:val="en-US" w:eastAsia="zh-CN" w:bidi="ar"/>
              </w:rPr>
            </w:pPr>
            <w:r>
              <w:rPr>
                <w:rFonts w:hint="eastAsia" w:ascii="仿宋" w:hAnsi="仿宋" w:eastAsia="仿宋" w:cs="仿宋"/>
                <w:b/>
                <w:bCs/>
                <w:color w:val="0070C0"/>
                <w:sz w:val="24"/>
                <w:szCs w:val="24"/>
                <w:lang w:val="en-US" w:eastAsia="zh-CN" w:bidi="ar"/>
              </w:rPr>
              <w:t>1</w:t>
            </w:r>
          </w:p>
        </w:tc>
        <w:tc>
          <w:tcPr>
            <w:tcW w:w="2922" w:type="dxa"/>
            <w:tcBorders>
              <w:top w:val="single" w:color="auto" w:sz="4" w:space="0"/>
              <w:left w:val="single" w:color="auto" w:sz="4" w:space="0"/>
              <w:bottom w:val="single" w:color="auto" w:sz="4" w:space="0"/>
              <w:right w:val="single" w:color="auto" w:sz="4" w:space="0"/>
            </w:tcBorders>
            <w:noWrap w:val="0"/>
            <w:vAlign w:val="center"/>
          </w:tcPr>
          <w:p w14:paraId="3E57EC2E">
            <w:pPr>
              <w:jc w:val="center"/>
              <w:rPr>
                <w:rFonts w:hint="eastAsia" w:ascii="仿宋" w:hAnsi="仿宋" w:eastAsia="仿宋" w:cs="仿宋"/>
                <w:b/>
                <w:bCs/>
                <w:color w:val="0070C0"/>
                <w:sz w:val="24"/>
                <w:szCs w:val="24"/>
              </w:rPr>
            </w:pPr>
            <w:r>
              <w:rPr>
                <w:rFonts w:hint="eastAsia" w:ascii="仿宋" w:hAnsi="仿宋" w:eastAsia="仿宋" w:cs="仿宋"/>
                <w:b/>
                <w:bCs/>
                <w:color w:val="0070C0"/>
                <w:sz w:val="24"/>
                <w:szCs w:val="24"/>
                <w:lang w:bidi="ar"/>
              </w:rPr>
              <w:t>全面负责工程维修及设施保养工作、维修人员的工作调配与管理工作。</w:t>
            </w:r>
          </w:p>
        </w:tc>
        <w:tc>
          <w:tcPr>
            <w:tcW w:w="4122" w:type="dxa"/>
            <w:tcBorders>
              <w:top w:val="single" w:color="auto" w:sz="4" w:space="0"/>
              <w:left w:val="single" w:color="auto" w:sz="4" w:space="0"/>
              <w:bottom w:val="single" w:color="auto" w:sz="4" w:space="0"/>
              <w:right w:val="single" w:color="auto" w:sz="4" w:space="0"/>
            </w:tcBorders>
            <w:noWrap w:val="0"/>
            <w:vAlign w:val="top"/>
          </w:tcPr>
          <w:p w14:paraId="061A6ADB">
            <w:pPr>
              <w:jc w:val="left"/>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具有</w:t>
            </w:r>
            <w:r>
              <w:rPr>
                <w:rFonts w:hint="eastAsia" w:ascii="仿宋" w:hAnsi="仿宋" w:eastAsia="仿宋" w:cs="仿宋"/>
                <w:b/>
                <w:bCs/>
                <w:color w:val="auto"/>
                <w:sz w:val="24"/>
                <w:szCs w:val="24"/>
                <w:highlight w:val="none"/>
                <w:lang w:val="en-US" w:eastAsia="zh-CN"/>
              </w:rPr>
              <w:t>高压</w:t>
            </w:r>
            <w:r>
              <w:rPr>
                <w:rFonts w:hint="eastAsia" w:ascii="仿宋" w:hAnsi="仿宋" w:eastAsia="仿宋" w:cs="仿宋"/>
                <w:b/>
                <w:bCs/>
                <w:color w:val="auto"/>
                <w:sz w:val="24"/>
                <w:szCs w:val="24"/>
                <w:highlight w:val="none"/>
              </w:rPr>
              <w:t>电工证</w:t>
            </w:r>
            <w:r>
              <w:rPr>
                <w:rFonts w:hint="eastAsia" w:ascii="仿宋" w:hAnsi="仿宋" w:eastAsia="仿宋" w:cs="仿宋"/>
                <w:b/>
                <w:bCs/>
                <w:color w:val="auto"/>
                <w:sz w:val="24"/>
                <w:szCs w:val="24"/>
                <w:highlight w:val="none"/>
                <w:lang w:val="en-US" w:eastAsia="zh-CN"/>
              </w:rPr>
              <w:t xml:space="preserve">或低压电工证或特种设备安全管理和作业人员证（A） </w:t>
            </w:r>
          </w:p>
          <w:p w14:paraId="33AC5DE7">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熟悉各类设施设备的维护保养，具优秀的管理能力与专业素养；服务意识好，沟通能力强。</w:t>
            </w:r>
          </w:p>
        </w:tc>
      </w:tr>
      <w:tr w14:paraId="11B7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3E162BFA">
            <w:pPr>
              <w:jc w:val="center"/>
              <w:rPr>
                <w:rFonts w:hint="eastAsia" w:ascii="仿宋" w:hAnsi="仿宋" w:eastAsia="仿宋" w:cs="仿宋"/>
                <w:b/>
                <w:bCs/>
                <w:color w:val="0070C0"/>
                <w:sz w:val="24"/>
                <w:szCs w:val="24"/>
                <w:lang w:val="en-US" w:eastAsia="zh-CN" w:bidi="ar"/>
              </w:rPr>
            </w:pPr>
            <w:r>
              <w:rPr>
                <w:rFonts w:hint="eastAsia" w:ascii="仿宋" w:hAnsi="仿宋" w:eastAsia="仿宋" w:cs="仿宋"/>
                <w:b/>
                <w:bCs/>
                <w:color w:val="0070C0"/>
                <w:sz w:val="24"/>
                <w:szCs w:val="24"/>
                <w:lang w:val="en-US" w:eastAsia="zh-CN" w:bidi="ar"/>
              </w:rPr>
              <w:t>合计</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312CBC6D">
            <w:pPr>
              <w:jc w:val="center"/>
              <w:rPr>
                <w:rFonts w:hint="eastAsia" w:ascii="仿宋" w:hAnsi="仿宋" w:eastAsia="仿宋" w:cs="仿宋"/>
                <w:b/>
                <w:bCs/>
                <w:color w:val="0070C0"/>
                <w:sz w:val="24"/>
                <w:szCs w:val="24"/>
                <w:lang w:val="en-US" w:eastAsia="zh-CN" w:bidi="ar"/>
              </w:rPr>
            </w:pPr>
            <w:r>
              <w:rPr>
                <w:rFonts w:hint="eastAsia" w:ascii="仿宋" w:hAnsi="仿宋" w:eastAsia="仿宋" w:cs="仿宋"/>
                <w:b/>
                <w:bCs/>
                <w:color w:val="0070C0"/>
                <w:sz w:val="24"/>
                <w:szCs w:val="24"/>
                <w:lang w:val="en-US" w:eastAsia="zh-CN" w:bidi="ar"/>
              </w:rPr>
              <w:t>13</w:t>
            </w:r>
          </w:p>
        </w:tc>
        <w:tc>
          <w:tcPr>
            <w:tcW w:w="2922" w:type="dxa"/>
            <w:tcBorders>
              <w:top w:val="single" w:color="auto" w:sz="4" w:space="0"/>
              <w:left w:val="single" w:color="auto" w:sz="4" w:space="0"/>
              <w:bottom w:val="single" w:color="auto" w:sz="4" w:space="0"/>
              <w:right w:val="single" w:color="auto" w:sz="4" w:space="0"/>
            </w:tcBorders>
            <w:noWrap w:val="0"/>
            <w:vAlign w:val="center"/>
          </w:tcPr>
          <w:p w14:paraId="6FF989D6">
            <w:pPr>
              <w:jc w:val="center"/>
              <w:rPr>
                <w:rFonts w:hint="eastAsia" w:ascii="仿宋" w:hAnsi="仿宋" w:eastAsia="仿宋" w:cs="仿宋"/>
                <w:b/>
                <w:bCs/>
                <w:color w:val="0070C0"/>
                <w:sz w:val="24"/>
                <w:szCs w:val="24"/>
                <w:lang w:bidi="ar"/>
              </w:rPr>
            </w:pPr>
          </w:p>
        </w:tc>
        <w:tc>
          <w:tcPr>
            <w:tcW w:w="4122" w:type="dxa"/>
            <w:tcBorders>
              <w:top w:val="single" w:color="auto" w:sz="4" w:space="0"/>
              <w:left w:val="single" w:color="auto" w:sz="4" w:space="0"/>
              <w:bottom w:val="single" w:color="auto" w:sz="4" w:space="0"/>
              <w:right w:val="single" w:color="auto" w:sz="4" w:space="0"/>
            </w:tcBorders>
            <w:noWrap w:val="0"/>
            <w:vAlign w:val="top"/>
          </w:tcPr>
          <w:p w14:paraId="20DB0DB1">
            <w:pPr>
              <w:jc w:val="left"/>
              <w:rPr>
                <w:rFonts w:hint="eastAsia" w:ascii="仿宋" w:hAnsi="仿宋" w:eastAsia="仿宋" w:cs="仿宋"/>
                <w:b/>
                <w:bCs/>
                <w:color w:val="0070C0"/>
                <w:sz w:val="24"/>
                <w:szCs w:val="24"/>
                <w:highlight w:val="yellow"/>
              </w:rPr>
            </w:pPr>
          </w:p>
        </w:tc>
      </w:tr>
    </w:tbl>
    <w:p w14:paraId="166B4ED3">
      <w:pPr>
        <w:widowControl/>
        <w:overflowPunct w:val="0"/>
        <w:autoSpaceDE w:val="0"/>
        <w:autoSpaceDN w:val="0"/>
        <w:snapToGrid w:val="0"/>
        <w:spacing w:before="156" w:beforeLines="50" w:line="360" w:lineRule="auto"/>
        <w:ind w:firstLine="482" w:firstLineChars="200"/>
        <w:jc w:val="left"/>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备注：本项目原则上要求</w:t>
      </w:r>
      <w:r>
        <w:rPr>
          <w:rFonts w:hint="eastAsia" w:ascii="仿宋" w:hAnsi="仿宋" w:eastAsia="仿宋" w:cs="仿宋"/>
          <w:b/>
          <w:bCs/>
          <w:color w:val="auto"/>
          <w:sz w:val="24"/>
          <w:szCs w:val="24"/>
          <w:lang w:val="en-US" w:eastAsia="zh-CN"/>
        </w:rPr>
        <w:t>除保洁人员外其他</w:t>
      </w:r>
      <w:r>
        <w:rPr>
          <w:rFonts w:hint="eastAsia" w:ascii="仿宋" w:hAnsi="仿宋" w:eastAsia="仿宋" w:cs="仿宋"/>
          <w:b/>
          <w:bCs/>
          <w:color w:val="auto"/>
          <w:sz w:val="24"/>
          <w:szCs w:val="24"/>
        </w:rPr>
        <w:t>人员为适龄人员。应严格遵守有关劳动法规，保障员工合法权益，结合富阳实际。</w:t>
      </w:r>
      <w:r>
        <w:rPr>
          <w:rFonts w:hint="eastAsia" w:ascii="仿宋" w:hAnsi="仿宋" w:eastAsia="仿宋" w:cs="仿宋"/>
          <w:b/>
          <w:bCs/>
          <w:color w:val="auto"/>
          <w:sz w:val="24"/>
          <w:szCs w:val="24"/>
          <w:highlight w:val="none"/>
        </w:rPr>
        <w:t>中标人支付给作业人员的工资不得低于最低工资标准（《浙江省人民政府关于调整全省最低工资标准的通知》（浙政发〔2024〕3 号）精神要求规定的最低工资标准（2490元/月）），以上费用投标人需自行考虑在投标报价中。如在服务期内富阳区最低工资标准提高的，采购人不给予中标人补助。</w:t>
      </w:r>
      <w:r>
        <w:rPr>
          <w:rFonts w:hint="eastAsia" w:ascii="仿宋" w:hAnsi="仿宋" w:eastAsia="仿宋" w:cs="仿宋"/>
          <w:b/>
          <w:bCs/>
          <w:color w:val="auto"/>
          <w:sz w:val="24"/>
          <w:szCs w:val="24"/>
        </w:rPr>
        <w:t>参考相关标准合理发放各类补贴、工具与服装费。各中标单位在合同履行期间必须保障员工合法权益。如因中标人违规造成上访或群体性事件的，由中标人负责处理。”乙方未有效落实上述要求的，甲方有权终止合同。</w:t>
      </w:r>
    </w:p>
    <w:p w14:paraId="7AA2D998">
      <w:pPr>
        <w:widowControl/>
        <w:autoSpaceDE w:val="0"/>
        <w:autoSpaceDN w:val="0"/>
        <w:adjustRightIn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bidi="ar"/>
        </w:rPr>
        <w:t>七、其他要求</w:t>
      </w:r>
    </w:p>
    <w:p w14:paraId="6E0A978F">
      <w:pPr>
        <w:widowControl/>
        <w:autoSpaceDE w:val="0"/>
        <w:autoSpaceDN w:val="0"/>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（1）投标人应制订具体的质量保证措施及质量保证及相关服务的承诺。如因服务质量未达到目标，供应商应因此承担责任和经济赔偿。在维保范围项目，供应商无任何理由拒绝保养维修。</w:t>
      </w:r>
    </w:p>
    <w:p w14:paraId="32E3A997">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（2）服务方须在合同签订前须提供项目经理、客服人员等重要岗位人员的相关有效证件和信息，如果服务方不能提供，则采购单位有权终止合同签订。其他人员聘用须将人员信息向采购单位备案。</w:t>
      </w:r>
    </w:p>
    <w:p w14:paraId="6E5CE29A">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3）按要求和事项发生量及时配备足够和胜任的相关管理和服务人员，并保持人员的稳定。遇调动或辞职时，需提前15天告知委托方并得到同意后才能更换，按要求及时补充相应人员，提前做好交接班。对委托方认为无能力、工作失职或不合适人员，应立即更换。岗位人数不足时，按相应岗位成本扣除服务费。</w:t>
      </w:r>
    </w:p>
    <w:p w14:paraId="43B31821">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（4）按国家和当地政府有关劳动法规、条例，向管理服务人员提供相应工种的劳动工资、加班工资、劳动保护等待遇。为保证服务人员的技能素质、队伍的相对稳定，应保障关键技术岗位的工资待遇。</w:t>
      </w:r>
    </w:p>
    <w:p w14:paraId="3C44577D">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（5）管理服务人员上岗时须统一着装，服装样式体现岗位特色和方便不同岗位操作，并经采购单位认可。</w:t>
      </w:r>
    </w:p>
    <w:p w14:paraId="317F4620">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（6）为提高物业管理服务水平，所有管理服务人员在服务期间按岗位要求进行定期短期培训。需要时，应接受物业管理委员会对服务人员的集中培训。</w:t>
      </w:r>
    </w:p>
    <w:p w14:paraId="33634689">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（7）服务方需建立上岗前培训制度，并通过考试方式，经应标人合同者准许上岗。</w:t>
      </w:r>
    </w:p>
    <w:p w14:paraId="4F9BDCC2">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（8）服务方应承诺在合同期内，为承包区域内提供物业安保、保洁、水电与设备维护及其他相关服务，并承担由此带来的一切风险。</w:t>
      </w:r>
    </w:p>
    <w:p w14:paraId="5C875A97">
      <w:pPr>
        <w:tabs>
          <w:tab w:val="left" w:pos="360"/>
          <w:tab w:val="left" w:pos="1440"/>
        </w:tabs>
        <w:adjustRightInd w:val="0"/>
        <w:snapToGrid w:val="0"/>
        <w:spacing w:line="400" w:lineRule="exact"/>
        <w:ind w:firstLine="472" w:firstLineChars="197"/>
        <w:rPr>
          <w:rFonts w:hint="eastAsia" w:ascii="仿宋" w:hAnsi="仿宋" w:eastAsia="仿宋" w:cs="仿宋"/>
          <w:sz w:val="24"/>
          <w:szCs w:val="24"/>
        </w:rPr>
      </w:pPr>
      <w:r>
        <w:rPr>
          <w:rFonts w:hint="eastAsia" w:ascii="仿宋" w:hAnsi="仿宋" w:eastAsia="仿宋" w:cs="仿宋"/>
          <w:sz w:val="24"/>
          <w:szCs w:val="24"/>
          <w:lang w:bidi="ar"/>
        </w:rPr>
        <w:t>（9）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14:paraId="69102EDA">
      <w:pPr>
        <w:widowControl/>
        <w:spacing w:line="520" w:lineRule="exact"/>
        <w:ind w:firstLine="463" w:firstLineChars="192"/>
        <w:jc w:val="left"/>
        <w:rPr>
          <w:rFonts w:hint="eastAsia" w:ascii="仿宋" w:hAnsi="仿宋" w:eastAsia="仿宋" w:cs="仿宋"/>
          <w:b/>
          <w:bCs/>
          <w:color w:val="0000FF"/>
          <w:kern w:val="0"/>
          <w:sz w:val="24"/>
          <w:szCs w:val="24"/>
          <w:lang w:bidi="ar"/>
        </w:rPr>
      </w:pPr>
      <w:r>
        <w:rPr>
          <w:rFonts w:hint="eastAsia" w:ascii="仿宋" w:hAnsi="仿宋" w:eastAsia="仿宋" w:cs="仿宋"/>
          <w:b/>
          <w:bCs/>
          <w:color w:val="0000FF"/>
          <w:kern w:val="0"/>
          <w:sz w:val="24"/>
          <w:szCs w:val="24"/>
          <w:lang w:bidi="ar"/>
        </w:rPr>
        <w:t>（10）房屋及小区公共设施设备（含电梯、水泵等）的修理</w:t>
      </w:r>
      <w:r>
        <w:rPr>
          <w:rFonts w:hint="eastAsia" w:ascii="仿宋" w:hAnsi="仿宋" w:eastAsia="仿宋" w:cs="仿宋"/>
          <w:b/>
          <w:bCs/>
          <w:color w:val="0000FF"/>
          <w:kern w:val="0"/>
          <w:sz w:val="24"/>
          <w:szCs w:val="24"/>
          <w:lang w:val="en-US" w:eastAsia="zh-CN" w:bidi="ar"/>
        </w:rPr>
        <w:t>更换</w:t>
      </w:r>
      <w:r>
        <w:rPr>
          <w:rFonts w:hint="eastAsia" w:ascii="仿宋" w:hAnsi="仿宋" w:eastAsia="仿宋" w:cs="仿宋"/>
          <w:b/>
          <w:bCs/>
          <w:color w:val="0000FF"/>
          <w:kern w:val="0"/>
          <w:sz w:val="24"/>
          <w:szCs w:val="24"/>
          <w:lang w:bidi="ar"/>
        </w:rPr>
        <w:t>费用</w:t>
      </w:r>
      <w:r>
        <w:rPr>
          <w:rFonts w:hint="eastAsia" w:ascii="仿宋" w:hAnsi="仿宋" w:eastAsia="仿宋" w:cs="仿宋"/>
          <w:b/>
          <w:bCs/>
          <w:color w:val="0000FF"/>
          <w:kern w:val="0"/>
          <w:sz w:val="24"/>
          <w:szCs w:val="24"/>
          <w:lang w:val="en-US" w:eastAsia="zh-CN" w:bidi="ar"/>
        </w:rPr>
        <w:t>均由中标单位承担，投标单位在投标时需自行承担风险</w:t>
      </w:r>
      <w:r>
        <w:rPr>
          <w:rFonts w:hint="eastAsia" w:ascii="仿宋" w:hAnsi="仿宋" w:eastAsia="仿宋" w:cs="仿宋"/>
          <w:b/>
          <w:bCs/>
          <w:color w:val="0000FF"/>
          <w:kern w:val="0"/>
          <w:sz w:val="24"/>
          <w:szCs w:val="24"/>
          <w:lang w:bidi="ar"/>
        </w:rPr>
        <w:t>。</w:t>
      </w:r>
    </w:p>
    <w:p w14:paraId="64609F11">
      <w:pPr>
        <w:widowControl/>
        <w:spacing w:line="520" w:lineRule="exact"/>
        <w:ind w:firstLine="463" w:firstLineChars="192"/>
        <w:jc w:val="left"/>
        <w:rPr>
          <w:rFonts w:hint="eastAsia" w:ascii="仿宋" w:hAnsi="仿宋" w:eastAsia="仿宋" w:cs="仿宋"/>
          <w:b/>
          <w:bCs/>
          <w:color w:val="0000FF"/>
          <w:kern w:val="0"/>
          <w:sz w:val="24"/>
          <w:szCs w:val="24"/>
          <w:lang w:bidi="ar"/>
        </w:rPr>
      </w:pPr>
      <w:r>
        <w:rPr>
          <w:rFonts w:hint="eastAsia" w:ascii="仿宋" w:hAnsi="仿宋" w:eastAsia="仿宋" w:cs="仿宋"/>
          <w:b/>
          <w:bCs/>
          <w:color w:val="0000FF"/>
          <w:kern w:val="0"/>
          <w:sz w:val="24"/>
          <w:szCs w:val="24"/>
          <w:lang w:bidi="ar"/>
        </w:rPr>
        <w:t>（11）高层住宅物业管理费（电梯、增压水泵、小区水系、中央空调等高耗能设备运行消耗的电费、水费；电梯的维保及年检费用）由中标单位承担。</w:t>
      </w:r>
    </w:p>
    <w:p w14:paraId="6740CCED">
      <w:pPr>
        <w:widowControl/>
        <w:spacing w:line="520" w:lineRule="exact"/>
        <w:ind w:firstLine="463" w:firstLineChars="192"/>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bidi="ar"/>
        </w:rPr>
        <w:t>（13）本项目涉及到的维修</w:t>
      </w:r>
      <w:r>
        <w:rPr>
          <w:rFonts w:hint="eastAsia" w:ascii="仿宋" w:hAnsi="仿宋" w:eastAsia="仿宋" w:cs="仿宋"/>
          <w:b/>
          <w:bCs/>
          <w:kern w:val="0"/>
          <w:sz w:val="24"/>
          <w:szCs w:val="24"/>
          <w:lang w:val="en-US" w:eastAsia="zh-CN" w:bidi="ar"/>
        </w:rPr>
        <w:t>更换</w:t>
      </w:r>
      <w:r>
        <w:rPr>
          <w:rFonts w:hint="eastAsia" w:ascii="仿宋" w:hAnsi="仿宋" w:eastAsia="仿宋" w:cs="仿宋"/>
          <w:b/>
          <w:bCs/>
          <w:kern w:val="0"/>
          <w:sz w:val="24"/>
          <w:szCs w:val="24"/>
          <w:lang w:bidi="ar"/>
        </w:rPr>
        <w:t>（包</w:t>
      </w:r>
      <w:r>
        <w:rPr>
          <w:rFonts w:hint="eastAsia" w:ascii="仿宋" w:hAnsi="仿宋" w:eastAsia="仿宋" w:cs="仿宋"/>
          <w:b/>
          <w:bCs/>
          <w:color w:val="0000FF"/>
          <w:kern w:val="0"/>
          <w:sz w:val="24"/>
          <w:szCs w:val="24"/>
          <w:lang w:bidi="ar"/>
        </w:rPr>
        <w:t>括但不仅限于：房屋建筑本体共用部位、房屋建筑本体共用设施设备、物业管理范围内的市政共用设施、红线范围内属配套服务设施等）</w:t>
      </w:r>
      <w:r>
        <w:rPr>
          <w:rFonts w:hint="eastAsia" w:ascii="仿宋" w:hAnsi="仿宋" w:eastAsia="仿宋" w:cs="仿宋"/>
          <w:b/>
          <w:bCs/>
          <w:color w:val="0000FF"/>
          <w:kern w:val="0"/>
          <w:sz w:val="24"/>
          <w:szCs w:val="24"/>
          <w:lang w:eastAsia="zh-CN" w:bidi="ar"/>
        </w:rPr>
        <w:t>，</w:t>
      </w:r>
      <w:r>
        <w:rPr>
          <w:rFonts w:hint="eastAsia" w:ascii="仿宋" w:hAnsi="仿宋" w:eastAsia="仿宋" w:cs="仿宋"/>
          <w:b/>
          <w:bCs/>
          <w:color w:val="0000FF"/>
          <w:kern w:val="0"/>
          <w:sz w:val="24"/>
          <w:szCs w:val="24"/>
          <w:lang w:val="en-US" w:eastAsia="zh-CN" w:bidi="ar"/>
        </w:rPr>
        <w:t>产生的所有费用均需由中标单位承担</w:t>
      </w:r>
      <w:r>
        <w:rPr>
          <w:rFonts w:hint="eastAsia" w:ascii="仿宋" w:hAnsi="仿宋" w:eastAsia="仿宋" w:cs="仿宋"/>
          <w:b/>
          <w:bCs/>
          <w:color w:val="0000FF"/>
          <w:kern w:val="0"/>
          <w:sz w:val="24"/>
          <w:szCs w:val="24"/>
          <w:lang w:bidi="ar"/>
        </w:rPr>
        <w:t>。</w:t>
      </w:r>
    </w:p>
    <w:p w14:paraId="13A0555E">
      <w:pPr>
        <w:widowControl/>
        <w:autoSpaceDE w:val="0"/>
        <w:autoSpaceDN w:val="0"/>
        <w:adjustRightIn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bidi="ar"/>
        </w:rPr>
        <w:t>八、管理服务应达到的各项指标</w:t>
      </w:r>
    </w:p>
    <w:p w14:paraId="481982B0">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1、杜绝火灾责任事故，杜绝刑事案件；</w:t>
      </w:r>
    </w:p>
    <w:p w14:paraId="4A2F2E8E">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2、环境卫生、清洁率达99%；</w:t>
      </w:r>
    </w:p>
    <w:p w14:paraId="61CB89A6">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3、消防设备设施完好率100%；</w:t>
      </w:r>
    </w:p>
    <w:p w14:paraId="4229B36B">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4、房屋完好率98%；</w:t>
      </w:r>
    </w:p>
    <w:p w14:paraId="46905BF0">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5、设备完好率100%；</w:t>
      </w:r>
    </w:p>
    <w:p w14:paraId="23937FE5">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6、智能化系统运行正常率98%；</w:t>
      </w:r>
    </w:p>
    <w:p w14:paraId="207375A0">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7、零修、报修及时率100%，返修率小于1%；</w:t>
      </w:r>
    </w:p>
    <w:p w14:paraId="21FC4D76">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8、服务有效投诉少于1%，处理率100%；</w:t>
      </w:r>
    </w:p>
    <w:p w14:paraId="67711806">
      <w:pPr>
        <w:adjustRightInd w:val="0"/>
        <w:spacing w:line="400" w:lineRule="exact"/>
        <w:ind w:left="545" w:leftChars="227"/>
        <w:outlineLvl w:val="0"/>
        <w:rPr>
          <w:rFonts w:hint="eastAsia" w:ascii="仿宋" w:hAnsi="仿宋" w:eastAsia="仿宋" w:cs="仿宋"/>
          <w:sz w:val="24"/>
          <w:szCs w:val="24"/>
          <w:lang w:bidi="ar"/>
        </w:rPr>
      </w:pPr>
      <w:r>
        <w:rPr>
          <w:rFonts w:hint="eastAsia" w:ascii="仿宋" w:hAnsi="仿宋" w:eastAsia="仿宋" w:cs="仿宋"/>
          <w:sz w:val="24"/>
          <w:szCs w:val="24"/>
          <w:lang w:bidi="ar"/>
        </w:rPr>
        <w:t>9、业主满意率80%，如满意率小于80%，业委会和招标人有权终止服务合同。</w:t>
      </w:r>
    </w:p>
    <w:p w14:paraId="7585F5C7">
      <w:pPr>
        <w:adjustRightInd w:val="0"/>
        <w:spacing w:line="400" w:lineRule="exact"/>
        <w:ind w:left="545" w:leftChars="227"/>
        <w:outlineLvl w:val="0"/>
        <w:rPr>
          <w:rFonts w:hint="eastAsia" w:ascii="仿宋" w:hAnsi="仿宋" w:eastAsia="仿宋" w:cs="仿宋"/>
          <w:b/>
          <w:sz w:val="24"/>
          <w:szCs w:val="24"/>
        </w:rPr>
      </w:pPr>
      <w:r>
        <w:rPr>
          <w:rFonts w:hint="eastAsia" w:ascii="仿宋" w:hAnsi="仿宋" w:eastAsia="仿宋" w:cs="仿宋"/>
          <w:b/>
          <w:sz w:val="24"/>
          <w:szCs w:val="24"/>
          <w:lang w:bidi="ar"/>
        </w:rPr>
        <w:t>九、管理服务费用及财务管理要求</w:t>
      </w:r>
    </w:p>
    <w:p w14:paraId="5E3BFA3F">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1、本项目的投标总价应包括所有本项目的人工费、材料费、保险费、税费、利润税金等其他包含本项目的全部费用。</w:t>
      </w:r>
    </w:p>
    <w:p w14:paraId="2C9EB081">
      <w:pPr>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2、本项目在质保期范围内的，由质保单位负责维修。正常使用条件下，质保期限为:</w:t>
      </w:r>
    </w:p>
    <w:p w14:paraId="75D7A05D">
      <w:pPr>
        <w:adjustRightInd w:val="0"/>
        <w:spacing w:line="40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 xml:space="preserve">(1).屋面防水工程：5 年; </w:t>
      </w:r>
    </w:p>
    <w:p w14:paraId="7F8ED11B">
      <w:pPr>
        <w:adjustRightInd w:val="0"/>
        <w:spacing w:line="40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 xml:space="preserve">(2).有防水要求的卫生间、房间和外墙面的防渗漏: 5 年； </w:t>
      </w:r>
    </w:p>
    <w:p w14:paraId="368EB9A0">
      <w:pPr>
        <w:adjustRightInd w:val="0"/>
        <w:spacing w:line="40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 xml:space="preserve">(3).供热与供冷系统，为2个采暖期、供冷期； </w:t>
      </w:r>
    </w:p>
    <w:p w14:paraId="40EF5AFD">
      <w:pPr>
        <w:adjustRightInd w:val="0"/>
        <w:spacing w:line="40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 xml:space="preserve">(4).电气管线、给排水管道、设备安装和装修工程: 2年； </w:t>
      </w:r>
    </w:p>
    <w:p w14:paraId="1C6D9B86">
      <w:pPr>
        <w:adjustRightInd w:val="0"/>
        <w:spacing w:line="40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(5).房屋建筑的地基工程和主体结构工程、基础设施工程，为设计文件规定的该工程的合理使用年限；</w:t>
      </w:r>
    </w:p>
    <w:p w14:paraId="62CC3B03">
      <w:pPr>
        <w:adjustRightInd w:val="0"/>
        <w:spacing w:line="400" w:lineRule="exact"/>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(6).小区内的道路、绿化、电梯、监控系统、消控系统、其他设施设备：1年；</w:t>
      </w:r>
    </w:p>
    <w:p w14:paraId="07B45007">
      <w:pPr>
        <w:adjustRightInd w:val="0"/>
        <w:spacing w:line="400" w:lineRule="exact"/>
        <w:ind w:firstLine="482" w:firstLineChars="200"/>
        <w:rPr>
          <w:rFonts w:hint="eastAsia" w:ascii="仿宋" w:hAnsi="仿宋" w:eastAsia="仿宋" w:cs="仿宋"/>
          <w:b/>
          <w:bCs/>
          <w:color w:val="00B0F0"/>
          <w:sz w:val="24"/>
          <w:szCs w:val="24"/>
        </w:rPr>
      </w:pPr>
      <w:r>
        <w:rPr>
          <w:rFonts w:hint="eastAsia" w:ascii="仿宋" w:hAnsi="仿宋" w:eastAsia="仿宋" w:cs="仿宋"/>
          <w:b/>
          <w:bCs/>
          <w:color w:val="0000FF"/>
          <w:kern w:val="0"/>
          <w:sz w:val="24"/>
          <w:szCs w:val="24"/>
          <w:lang w:val="en-US" w:eastAsia="zh-CN" w:bidi="ar"/>
        </w:rPr>
        <w:t>在质保期范围外的，由中标单位负责对共用设施设备定期组织巡查，做好巡查记录，需要维修更换的及时处理，所产生的一切费用均由中标人承担。</w:t>
      </w:r>
    </w:p>
    <w:p w14:paraId="0B7E09DA">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bidi="ar"/>
        </w:rPr>
        <w:t>4、物业管理服务人员缺岗的，按其岗位平均每月人员开支的标准扣除服务费。</w:t>
      </w:r>
    </w:p>
    <w:p w14:paraId="1738961F">
      <w:pPr>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5、中标单位需承担相关所需物业保洁和维护设备、工具。</w:t>
      </w:r>
    </w:p>
    <w:p w14:paraId="7CB42F21">
      <w:pPr>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6、中标单位需前期派员全程参与本工程的交接工作，按国家有关规范要求做好与各有关单位的资料、工程等移交、交接工作。</w:t>
      </w:r>
    </w:p>
    <w:p w14:paraId="7C1B81C5">
      <w:pPr>
        <w:adjustRightIn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bidi="ar"/>
        </w:rPr>
        <w:t>十、服务期限：</w:t>
      </w:r>
    </w:p>
    <w:p w14:paraId="32036F45">
      <w:pPr>
        <w:adjustRightInd w:val="0"/>
        <w:spacing w:line="40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lang w:val="en-US" w:eastAsia="zh-CN" w:bidi="ar"/>
        </w:rPr>
        <w:t>自合同签订之日起三年（合同一年一签，前一年物业服务满意的则续签下一年合同）</w:t>
      </w:r>
      <w:r>
        <w:rPr>
          <w:rFonts w:hint="eastAsia" w:ascii="仿宋" w:hAnsi="仿宋" w:eastAsia="仿宋" w:cs="仿宋"/>
          <w:sz w:val="24"/>
          <w:szCs w:val="24"/>
          <w:lang w:bidi="ar"/>
        </w:rPr>
        <w:t>。中标单位需与下一期服务商办理相关交接手续，移交原招标人提供的固定资产及原物业管理中相关管理资料。</w:t>
      </w:r>
    </w:p>
    <w:p w14:paraId="36D6305E">
      <w:pPr>
        <w:adjustRightInd w:val="0"/>
        <w:spacing w:line="400" w:lineRule="exact"/>
        <w:ind w:firstLine="482" w:firstLineChars="200"/>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lang w:bidi="ar"/>
        </w:rPr>
        <w:t>十一、相关场地提供</w:t>
      </w:r>
    </w:p>
    <w:p w14:paraId="3E386179">
      <w:pPr>
        <w:adjustRightInd w:val="0"/>
        <w:spacing w:line="400" w:lineRule="exact"/>
        <w:ind w:firstLine="480" w:firstLineChars="20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物业管理办公用房由采购方指定，使用面积需满足物业单位办公需求；物业管理办公用房由中标单位进行简单装修，并配齐电脑、空调等所有办公设备，如合同期满后，需把物业管理用房恢复原样</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由此产生的收益归属于业委会</w:t>
      </w:r>
      <w:r>
        <w:rPr>
          <w:rFonts w:hint="eastAsia" w:ascii="仿宋" w:hAnsi="仿宋" w:eastAsia="仿宋" w:cs="仿宋"/>
          <w:sz w:val="24"/>
          <w:szCs w:val="24"/>
          <w:highlight w:val="none"/>
          <w:lang w:bidi="ar"/>
        </w:rPr>
        <w:t>。</w:t>
      </w:r>
    </w:p>
    <w:p w14:paraId="51E8C542">
      <w:pPr>
        <w:adjustRightIn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bidi="ar"/>
        </w:rPr>
        <w:t>十二、检查与考核</w:t>
      </w:r>
    </w:p>
    <w:p w14:paraId="3FF5A803">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bidi="ar"/>
        </w:rPr>
        <w:t>1、中标单位应制订具体的质量保证措施及质量保证和相关服务承诺。供应商所有的工作除应按供应商的内部流程实施外，还应接受采购单位或第三方的随时检查。如因质量未达到目标，采购单位有权要求其整改，同时中标单位应承担责任和经济赔偿（扣款或终止合同）。</w:t>
      </w:r>
    </w:p>
    <w:p w14:paraId="314022F3">
      <w:pPr>
        <w:pStyle w:val="1035"/>
        <w:widowControl/>
        <w:spacing w:line="400" w:lineRule="exact"/>
        <w:ind w:firstLine="480"/>
        <w:rPr>
          <w:rFonts w:hint="eastAsia" w:ascii="仿宋" w:hAnsi="仿宋" w:eastAsia="仿宋" w:cs="仿宋"/>
          <w:sz w:val="24"/>
          <w:szCs w:val="24"/>
        </w:rPr>
        <w:sectPr>
          <w:headerReference r:id="rId11" w:type="default"/>
          <w:footerReference r:id="rId12" w:type="default"/>
          <w:pgSz w:w="11906" w:h="16838"/>
          <w:pgMar w:top="1417" w:right="1418" w:bottom="1417" w:left="1588" w:header="851" w:footer="992" w:gutter="0"/>
          <w:cols w:space="0" w:num="1"/>
          <w:docGrid w:type="lines" w:linePitch="312" w:charSpace="0"/>
        </w:sectPr>
      </w:pPr>
      <w:r>
        <w:rPr>
          <w:rFonts w:hint="eastAsia" w:ascii="仿宋" w:hAnsi="仿宋" w:eastAsia="仿宋" w:cs="仿宋"/>
          <w:sz w:val="24"/>
          <w:szCs w:val="24"/>
        </w:rPr>
        <w:t>2、采购单位定期和不定期地对供应商管理服务进行检查和抽查，检查记录和整改时限反馈中标单位。并每季对“传达、保安和秩序管理”，“环境卫生”，“综合维修”等内容的检查结果进行考核。</w:t>
      </w:r>
    </w:p>
    <w:p w14:paraId="2532B459">
      <w:pPr>
        <w:pStyle w:val="1035"/>
        <w:widowControl/>
        <w:spacing w:line="400" w:lineRule="exact"/>
        <w:ind w:left="0" w:leftChars="0" w:firstLine="0" w:firstLineChars="0"/>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考核办法</w:t>
      </w:r>
    </w:p>
    <w:tbl>
      <w:tblPr>
        <w:tblStyle w:val="89"/>
        <w:tblW w:w="15910" w:type="dxa"/>
        <w:jc w:val="center"/>
        <w:tblLayout w:type="fixed"/>
        <w:tblCellMar>
          <w:top w:w="0" w:type="dxa"/>
          <w:left w:w="108" w:type="dxa"/>
          <w:bottom w:w="0" w:type="dxa"/>
          <w:right w:w="108" w:type="dxa"/>
        </w:tblCellMar>
      </w:tblPr>
      <w:tblGrid>
        <w:gridCol w:w="528"/>
        <w:gridCol w:w="957"/>
        <w:gridCol w:w="875"/>
        <w:gridCol w:w="9492"/>
        <w:gridCol w:w="960"/>
        <w:gridCol w:w="960"/>
        <w:gridCol w:w="2138"/>
      </w:tblGrid>
      <w:tr w14:paraId="2B1F26BB">
        <w:tblPrEx>
          <w:tblCellMar>
            <w:top w:w="0" w:type="dxa"/>
            <w:left w:w="108" w:type="dxa"/>
            <w:bottom w:w="0" w:type="dxa"/>
            <w:right w:w="108" w:type="dxa"/>
          </w:tblCellMar>
        </w:tblPrEx>
        <w:trPr>
          <w:trHeight w:val="669"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0F3F5747">
            <w:pPr>
              <w:kinsoku w:val="0"/>
              <w:autoSpaceDE w:val="0"/>
              <w:autoSpaceDN w:val="0"/>
              <w:adjustRightInd w:val="0"/>
              <w:snapToGrid w:val="0"/>
              <w:jc w:val="center"/>
              <w:textAlignment w:val="center"/>
              <w:rPr>
                <w:rFonts w:ascii="仿宋" w:hAnsi="仿宋" w:eastAsia="仿宋" w:cs="仿宋"/>
                <w:b/>
                <w:bCs/>
              </w:rPr>
            </w:pPr>
            <w:r>
              <w:rPr>
                <w:rFonts w:hint="eastAsia" w:ascii="仿宋" w:hAnsi="仿宋" w:eastAsia="仿宋" w:cs="仿宋"/>
                <w:b/>
                <w:bCs/>
                <w:lang w:bidi="ar"/>
              </w:rPr>
              <w:t>序号</w:t>
            </w:r>
          </w:p>
        </w:tc>
        <w:tc>
          <w:tcPr>
            <w:tcW w:w="957" w:type="dxa"/>
            <w:tcBorders>
              <w:top w:val="single" w:color="000000" w:sz="4" w:space="0"/>
              <w:left w:val="nil"/>
              <w:bottom w:val="single" w:color="000000" w:sz="4" w:space="0"/>
              <w:right w:val="single" w:color="000000" w:sz="4" w:space="0"/>
            </w:tcBorders>
            <w:vAlign w:val="center"/>
          </w:tcPr>
          <w:p w14:paraId="0C03E589">
            <w:pPr>
              <w:kinsoku w:val="0"/>
              <w:autoSpaceDE w:val="0"/>
              <w:autoSpaceDN w:val="0"/>
              <w:adjustRightInd w:val="0"/>
              <w:snapToGrid w:val="0"/>
              <w:jc w:val="center"/>
              <w:textAlignment w:val="center"/>
              <w:rPr>
                <w:rFonts w:ascii="仿宋" w:hAnsi="仿宋" w:eastAsia="仿宋" w:cs="仿宋"/>
                <w:b/>
                <w:bCs/>
              </w:rPr>
            </w:pPr>
            <w:r>
              <w:rPr>
                <w:rFonts w:hint="eastAsia" w:ascii="仿宋" w:hAnsi="仿宋" w:eastAsia="仿宋" w:cs="仿宋"/>
                <w:b/>
                <w:bCs/>
                <w:lang w:bidi="ar"/>
              </w:rPr>
              <w:t>项目</w:t>
            </w:r>
          </w:p>
        </w:tc>
        <w:tc>
          <w:tcPr>
            <w:tcW w:w="875" w:type="dxa"/>
            <w:tcBorders>
              <w:top w:val="single" w:color="000000" w:sz="4" w:space="0"/>
              <w:left w:val="nil"/>
              <w:bottom w:val="single" w:color="000000" w:sz="4" w:space="0"/>
              <w:right w:val="single" w:color="000000" w:sz="4" w:space="0"/>
            </w:tcBorders>
            <w:vAlign w:val="center"/>
          </w:tcPr>
          <w:p w14:paraId="0C8968BA">
            <w:pPr>
              <w:kinsoku w:val="0"/>
              <w:autoSpaceDE w:val="0"/>
              <w:autoSpaceDN w:val="0"/>
              <w:adjustRightInd w:val="0"/>
              <w:snapToGrid w:val="0"/>
              <w:jc w:val="center"/>
              <w:textAlignment w:val="center"/>
              <w:rPr>
                <w:rFonts w:ascii="仿宋" w:hAnsi="仿宋" w:eastAsia="仿宋" w:cs="仿宋"/>
                <w:b/>
                <w:bCs/>
              </w:rPr>
            </w:pPr>
            <w:r>
              <w:rPr>
                <w:rFonts w:hint="eastAsia" w:ascii="仿宋" w:hAnsi="仿宋" w:eastAsia="仿宋" w:cs="仿宋"/>
                <w:b/>
                <w:bCs/>
                <w:lang w:bidi="ar"/>
              </w:rPr>
              <w:t>总分</w:t>
            </w:r>
          </w:p>
        </w:tc>
        <w:tc>
          <w:tcPr>
            <w:tcW w:w="9492" w:type="dxa"/>
            <w:tcBorders>
              <w:top w:val="single" w:color="000000" w:sz="4" w:space="0"/>
              <w:left w:val="nil"/>
              <w:bottom w:val="single" w:color="000000" w:sz="4" w:space="0"/>
              <w:right w:val="single" w:color="000000" w:sz="4" w:space="0"/>
            </w:tcBorders>
            <w:vAlign w:val="center"/>
          </w:tcPr>
          <w:p w14:paraId="0E8364A4">
            <w:pPr>
              <w:kinsoku w:val="0"/>
              <w:autoSpaceDE w:val="0"/>
              <w:autoSpaceDN w:val="0"/>
              <w:adjustRightInd w:val="0"/>
              <w:snapToGrid w:val="0"/>
              <w:jc w:val="center"/>
              <w:textAlignment w:val="center"/>
              <w:rPr>
                <w:rFonts w:ascii="仿宋" w:hAnsi="仿宋" w:eastAsia="仿宋" w:cs="仿宋"/>
                <w:b/>
                <w:bCs/>
              </w:rPr>
            </w:pPr>
            <w:r>
              <w:rPr>
                <w:rFonts w:hint="eastAsia" w:ascii="仿宋" w:hAnsi="仿宋" w:eastAsia="仿宋" w:cs="仿宋"/>
                <w:b/>
                <w:bCs/>
                <w:lang w:bidi="ar"/>
              </w:rPr>
              <w:t>参考标准内容</w:t>
            </w:r>
          </w:p>
        </w:tc>
        <w:tc>
          <w:tcPr>
            <w:tcW w:w="960" w:type="dxa"/>
            <w:tcBorders>
              <w:top w:val="single" w:color="000000" w:sz="4" w:space="0"/>
              <w:left w:val="nil"/>
              <w:bottom w:val="single" w:color="000000" w:sz="4" w:space="0"/>
              <w:right w:val="single" w:color="000000" w:sz="4" w:space="0"/>
            </w:tcBorders>
            <w:vAlign w:val="center"/>
          </w:tcPr>
          <w:p w14:paraId="61B89C7A">
            <w:pPr>
              <w:kinsoku w:val="0"/>
              <w:autoSpaceDE w:val="0"/>
              <w:autoSpaceDN w:val="0"/>
              <w:adjustRightInd w:val="0"/>
              <w:snapToGrid w:val="0"/>
              <w:jc w:val="center"/>
              <w:textAlignment w:val="center"/>
              <w:rPr>
                <w:rFonts w:ascii="仿宋" w:hAnsi="仿宋" w:eastAsia="仿宋" w:cs="仿宋"/>
                <w:b/>
                <w:bCs/>
              </w:rPr>
            </w:pPr>
            <w:r>
              <w:rPr>
                <w:rFonts w:hint="eastAsia" w:ascii="仿宋" w:hAnsi="仿宋" w:eastAsia="仿宋" w:cs="仿宋"/>
                <w:b/>
                <w:bCs/>
                <w:lang w:bidi="ar"/>
              </w:rPr>
              <w:t>分值</w:t>
            </w:r>
          </w:p>
        </w:tc>
        <w:tc>
          <w:tcPr>
            <w:tcW w:w="960" w:type="dxa"/>
            <w:tcBorders>
              <w:top w:val="single" w:color="000000" w:sz="4" w:space="0"/>
              <w:left w:val="nil"/>
              <w:bottom w:val="single" w:color="000000" w:sz="4" w:space="0"/>
              <w:right w:val="single" w:color="000000" w:sz="4" w:space="0"/>
            </w:tcBorders>
            <w:vAlign w:val="center"/>
          </w:tcPr>
          <w:p w14:paraId="0257D74E">
            <w:pPr>
              <w:kinsoku w:val="0"/>
              <w:autoSpaceDE w:val="0"/>
              <w:autoSpaceDN w:val="0"/>
              <w:adjustRightInd w:val="0"/>
              <w:snapToGrid w:val="0"/>
              <w:jc w:val="center"/>
              <w:textAlignment w:val="center"/>
              <w:rPr>
                <w:rFonts w:ascii="仿宋" w:hAnsi="仿宋" w:eastAsia="仿宋" w:cs="仿宋"/>
                <w:b/>
                <w:bCs/>
              </w:rPr>
            </w:pPr>
            <w:r>
              <w:rPr>
                <w:rFonts w:hint="eastAsia" w:ascii="仿宋" w:hAnsi="仿宋" w:eastAsia="仿宋" w:cs="仿宋"/>
                <w:b/>
                <w:bCs/>
                <w:lang w:bidi="ar"/>
              </w:rPr>
              <w:t>评分</w:t>
            </w:r>
          </w:p>
        </w:tc>
        <w:tc>
          <w:tcPr>
            <w:tcW w:w="2138" w:type="dxa"/>
            <w:tcBorders>
              <w:top w:val="single" w:color="000000" w:sz="4" w:space="0"/>
              <w:left w:val="nil"/>
              <w:bottom w:val="single" w:color="000000" w:sz="4" w:space="0"/>
              <w:right w:val="single" w:color="000000" w:sz="4" w:space="0"/>
            </w:tcBorders>
            <w:vAlign w:val="center"/>
          </w:tcPr>
          <w:p w14:paraId="7EEB7CC9">
            <w:pPr>
              <w:kinsoku w:val="0"/>
              <w:autoSpaceDE w:val="0"/>
              <w:autoSpaceDN w:val="0"/>
              <w:adjustRightInd w:val="0"/>
              <w:snapToGrid w:val="0"/>
              <w:jc w:val="center"/>
              <w:textAlignment w:val="center"/>
              <w:rPr>
                <w:rFonts w:ascii="仿宋" w:hAnsi="仿宋" w:eastAsia="仿宋" w:cs="仿宋"/>
                <w:b/>
                <w:bCs/>
              </w:rPr>
            </w:pPr>
            <w:r>
              <w:rPr>
                <w:rFonts w:hint="eastAsia" w:ascii="仿宋" w:hAnsi="仿宋" w:eastAsia="仿宋" w:cs="仿宋"/>
                <w:b/>
                <w:bCs/>
                <w:lang w:bidi="ar"/>
              </w:rPr>
              <w:t>评分细则</w:t>
            </w:r>
          </w:p>
        </w:tc>
      </w:tr>
      <w:tr w14:paraId="14F49A4D">
        <w:tblPrEx>
          <w:tblCellMar>
            <w:top w:w="0" w:type="dxa"/>
            <w:left w:w="108" w:type="dxa"/>
            <w:bottom w:w="0" w:type="dxa"/>
            <w:right w:w="108" w:type="dxa"/>
          </w:tblCellMar>
        </w:tblPrEx>
        <w:trPr>
          <w:trHeight w:val="500" w:hRule="atLeast"/>
          <w:jc w:val="center"/>
        </w:trPr>
        <w:tc>
          <w:tcPr>
            <w:tcW w:w="528" w:type="dxa"/>
            <w:vMerge w:val="restart"/>
            <w:tcBorders>
              <w:top w:val="nil"/>
              <w:left w:val="single" w:color="000000" w:sz="4" w:space="0"/>
              <w:bottom w:val="single" w:color="000000" w:sz="4" w:space="0"/>
              <w:right w:val="single" w:color="000000" w:sz="4" w:space="0"/>
            </w:tcBorders>
            <w:vAlign w:val="center"/>
          </w:tcPr>
          <w:p w14:paraId="651D9A24">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1</w:t>
            </w:r>
          </w:p>
        </w:tc>
        <w:tc>
          <w:tcPr>
            <w:tcW w:w="957" w:type="dxa"/>
            <w:vMerge w:val="restart"/>
            <w:tcBorders>
              <w:top w:val="nil"/>
              <w:left w:val="nil"/>
              <w:bottom w:val="single" w:color="000000" w:sz="4" w:space="0"/>
              <w:right w:val="single" w:color="000000" w:sz="4" w:space="0"/>
            </w:tcBorders>
            <w:vAlign w:val="center"/>
          </w:tcPr>
          <w:p w14:paraId="3BAF387C">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人员制度内部管理</w:t>
            </w:r>
          </w:p>
        </w:tc>
        <w:tc>
          <w:tcPr>
            <w:tcW w:w="875" w:type="dxa"/>
            <w:vMerge w:val="restart"/>
            <w:tcBorders>
              <w:top w:val="nil"/>
              <w:left w:val="nil"/>
              <w:bottom w:val="single" w:color="000000" w:sz="4" w:space="0"/>
              <w:right w:val="single" w:color="000000" w:sz="4" w:space="0"/>
            </w:tcBorders>
            <w:vAlign w:val="center"/>
          </w:tcPr>
          <w:p w14:paraId="4C16CBFB">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val="en-US" w:eastAsia="zh-CN" w:bidi="ar"/>
              </w:rPr>
              <w:t>19</w:t>
            </w:r>
            <w:r>
              <w:rPr>
                <w:rFonts w:hint="eastAsia" w:ascii="仿宋" w:hAnsi="仿宋" w:eastAsia="仿宋" w:cs="仿宋"/>
                <w:lang w:bidi="ar"/>
              </w:rPr>
              <w:t>分</w:t>
            </w:r>
          </w:p>
        </w:tc>
        <w:tc>
          <w:tcPr>
            <w:tcW w:w="9492" w:type="dxa"/>
            <w:tcBorders>
              <w:top w:val="single" w:color="000000" w:sz="4" w:space="0"/>
              <w:left w:val="nil"/>
              <w:bottom w:val="single" w:color="000000" w:sz="4" w:space="0"/>
              <w:right w:val="single" w:color="000000" w:sz="4" w:space="0"/>
            </w:tcBorders>
            <w:vAlign w:val="center"/>
          </w:tcPr>
          <w:p w14:paraId="219C3B58">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1、</w:t>
            </w:r>
            <w:r>
              <w:rPr>
                <w:rFonts w:hint="eastAsia" w:ascii="仿宋" w:hAnsi="仿宋" w:eastAsia="仿宋" w:cs="仿宋"/>
                <w:lang w:val="en-US" w:eastAsia="zh-CN" w:bidi="ar"/>
              </w:rPr>
              <w:t>投标人对招标人提出的人员数量，在投标文件中做出响应承诺（人员严格按照招标文件内到岗）。今后如不能按要求到位，被投标人查实未到岗的，承担违约责任，违约金按照项目负责人缺岗500元/次/人，其他重要岗位管理人员缺岗300元/天/人，其余人员缺岗200元/天/人，招标人将在每季度支付中标人的物业费时直接扣除</w:t>
            </w:r>
            <w:r>
              <w:rPr>
                <w:rFonts w:hint="eastAsia" w:ascii="仿宋" w:hAnsi="仿宋" w:eastAsia="仿宋" w:cs="仿宋"/>
                <w:lang w:bidi="ar"/>
              </w:rPr>
              <w:t>。</w:t>
            </w:r>
            <w:r>
              <w:rPr>
                <w:rFonts w:hint="eastAsia" w:ascii="仿宋" w:hAnsi="仿宋" w:eastAsia="仿宋" w:cs="仿宋"/>
                <w:lang w:val="en-US" w:eastAsia="zh-CN" w:bidi="ar"/>
              </w:rPr>
              <w:t>发现一次不合规定扣除500元</w:t>
            </w:r>
          </w:p>
        </w:tc>
        <w:tc>
          <w:tcPr>
            <w:tcW w:w="960" w:type="dxa"/>
            <w:tcBorders>
              <w:top w:val="single" w:color="000000" w:sz="4" w:space="0"/>
              <w:left w:val="nil"/>
              <w:bottom w:val="single" w:color="000000" w:sz="4" w:space="0"/>
              <w:right w:val="single" w:color="000000" w:sz="4" w:space="0"/>
            </w:tcBorders>
            <w:vAlign w:val="center"/>
          </w:tcPr>
          <w:p w14:paraId="019D6CAC">
            <w:pPr>
              <w:kinsoku w:val="0"/>
              <w:autoSpaceDE w:val="0"/>
              <w:autoSpaceDN w:val="0"/>
              <w:adjustRightInd w:val="0"/>
              <w:snapToGrid w:val="0"/>
              <w:jc w:val="center"/>
              <w:textAlignment w:val="center"/>
              <w:rPr>
                <w:rFonts w:hint="eastAsia" w:ascii="仿宋" w:hAnsi="仿宋" w:eastAsia="仿宋" w:cs="仿宋"/>
                <w:lang w:eastAsia="zh-CN"/>
              </w:rPr>
            </w:pPr>
            <w:r>
              <w:rPr>
                <w:rFonts w:hint="eastAsia" w:ascii="仿宋" w:hAnsi="仿宋" w:eastAsia="仿宋" w:cs="仿宋"/>
                <w:lang w:val="en-US" w:eastAsia="zh-CN" w:bidi="ar"/>
              </w:rPr>
              <w:t>5</w:t>
            </w:r>
          </w:p>
        </w:tc>
        <w:tc>
          <w:tcPr>
            <w:tcW w:w="960" w:type="dxa"/>
            <w:tcBorders>
              <w:top w:val="single" w:color="000000" w:sz="4" w:space="0"/>
              <w:left w:val="nil"/>
              <w:bottom w:val="single" w:color="000000" w:sz="4" w:space="0"/>
              <w:right w:val="single" w:color="000000" w:sz="4" w:space="0"/>
            </w:tcBorders>
            <w:vAlign w:val="center"/>
          </w:tcPr>
          <w:p w14:paraId="0F5EC3D3">
            <w:pPr>
              <w:kinsoku w:val="0"/>
              <w:autoSpaceDE w:val="0"/>
              <w:autoSpaceDN w:val="0"/>
              <w:adjustRightInd w:val="0"/>
              <w:snapToGrid w:val="0"/>
              <w:textAlignment w:val="baseline"/>
              <w:rPr>
                <w:rFonts w:ascii="仿宋" w:hAnsi="仿宋" w:eastAsia="仿宋" w:cs="仿宋"/>
              </w:rPr>
            </w:pPr>
          </w:p>
        </w:tc>
        <w:tc>
          <w:tcPr>
            <w:tcW w:w="2138" w:type="dxa"/>
            <w:vMerge w:val="restart"/>
            <w:tcBorders>
              <w:top w:val="nil"/>
              <w:left w:val="nil"/>
              <w:bottom w:val="single" w:color="000000" w:sz="4" w:space="0"/>
              <w:right w:val="single" w:color="000000" w:sz="4" w:space="0"/>
            </w:tcBorders>
            <w:vAlign w:val="center"/>
          </w:tcPr>
          <w:p w14:paraId="418B381D">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凡有 1 人不符合，扣除 1 分</w:t>
            </w:r>
          </w:p>
        </w:tc>
      </w:tr>
      <w:tr w14:paraId="0CCD631E">
        <w:tblPrEx>
          <w:tblCellMar>
            <w:top w:w="0" w:type="dxa"/>
            <w:left w:w="108" w:type="dxa"/>
            <w:bottom w:w="0" w:type="dxa"/>
            <w:right w:w="108" w:type="dxa"/>
          </w:tblCellMar>
        </w:tblPrEx>
        <w:trPr>
          <w:trHeight w:val="624"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06D02B08">
            <w:pPr>
              <w:rPr>
                <w:rFonts w:ascii="Times New Roman" w:hAnsi="Times New Roman" w:cs="Times New Roman"/>
                <w:sz w:val="20"/>
                <w:szCs w:val="20"/>
              </w:rPr>
            </w:pPr>
          </w:p>
        </w:tc>
        <w:tc>
          <w:tcPr>
            <w:tcW w:w="957" w:type="dxa"/>
            <w:vMerge w:val="continue"/>
            <w:tcBorders>
              <w:top w:val="nil"/>
              <w:left w:val="nil"/>
              <w:bottom w:val="single" w:color="000000" w:sz="4" w:space="0"/>
              <w:right w:val="single" w:color="000000" w:sz="4" w:space="0"/>
            </w:tcBorders>
            <w:vAlign w:val="center"/>
          </w:tcPr>
          <w:p w14:paraId="7B0F8813">
            <w:pPr>
              <w:rPr>
                <w:rFonts w:ascii="Times New Roman" w:hAnsi="Times New Roman" w:cs="Times New Roman"/>
                <w:sz w:val="20"/>
                <w:szCs w:val="20"/>
              </w:rPr>
            </w:pPr>
          </w:p>
        </w:tc>
        <w:tc>
          <w:tcPr>
            <w:tcW w:w="875" w:type="dxa"/>
            <w:vMerge w:val="continue"/>
            <w:tcBorders>
              <w:top w:val="nil"/>
              <w:left w:val="nil"/>
              <w:bottom w:val="single" w:color="000000" w:sz="4" w:space="0"/>
              <w:right w:val="single" w:color="000000" w:sz="4" w:space="0"/>
            </w:tcBorders>
            <w:vAlign w:val="center"/>
          </w:tcPr>
          <w:p w14:paraId="1DE44D9F">
            <w:pPr>
              <w:rPr>
                <w:rFonts w:ascii="Times New Roman" w:hAnsi="Times New Roman" w:cs="Times New Roman"/>
                <w:sz w:val="20"/>
                <w:szCs w:val="20"/>
              </w:rPr>
            </w:pPr>
          </w:p>
        </w:tc>
        <w:tc>
          <w:tcPr>
            <w:tcW w:w="9492" w:type="dxa"/>
            <w:tcBorders>
              <w:top w:val="single" w:color="000000" w:sz="4" w:space="0"/>
              <w:left w:val="nil"/>
              <w:bottom w:val="single" w:color="000000" w:sz="4" w:space="0"/>
              <w:right w:val="single" w:color="000000" w:sz="4" w:space="0"/>
            </w:tcBorders>
            <w:vAlign w:val="center"/>
          </w:tcPr>
          <w:p w14:paraId="5A828508">
            <w:pPr>
              <w:kinsoku w:val="0"/>
              <w:autoSpaceDE w:val="0"/>
              <w:autoSpaceDN w:val="0"/>
              <w:adjustRightInd w:val="0"/>
              <w:snapToGrid w:val="0"/>
              <w:textAlignment w:val="center"/>
              <w:rPr>
                <w:rFonts w:hint="eastAsia" w:ascii="仿宋" w:hAnsi="仿宋" w:eastAsia="仿宋" w:cs="仿宋"/>
                <w:lang w:eastAsia="zh-CN"/>
              </w:rPr>
            </w:pPr>
            <w:r>
              <w:rPr>
                <w:rFonts w:hint="eastAsia" w:ascii="仿宋" w:hAnsi="仿宋" w:eastAsia="仿宋" w:cs="仿宋"/>
                <w:lang w:bidi="ar"/>
              </w:rPr>
              <w:t>2、</w:t>
            </w:r>
            <w:r>
              <w:rPr>
                <w:rFonts w:hint="eastAsia" w:ascii="仿宋" w:hAnsi="仿宋" w:eastAsia="仿宋" w:cs="仿宋"/>
                <w:lang w:val="en-US" w:eastAsia="zh-CN" w:bidi="ar"/>
              </w:rPr>
              <w:t>招标人将不定期随时对投标人到岗及履约情况进行检查。中标人应现场配备指纹考勤机。（物业经理、消控员、水电工等人员必须在本物业公司缴纳养老保险3个月以上）。发现一次不合规定扣除500元。</w:t>
            </w:r>
          </w:p>
        </w:tc>
        <w:tc>
          <w:tcPr>
            <w:tcW w:w="960" w:type="dxa"/>
            <w:tcBorders>
              <w:top w:val="single" w:color="000000" w:sz="4" w:space="0"/>
              <w:left w:val="nil"/>
              <w:bottom w:val="single" w:color="000000" w:sz="4" w:space="0"/>
              <w:right w:val="single" w:color="000000" w:sz="4" w:space="0"/>
            </w:tcBorders>
            <w:vAlign w:val="center"/>
          </w:tcPr>
          <w:p w14:paraId="5C366D8E">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4</w:t>
            </w:r>
          </w:p>
        </w:tc>
        <w:tc>
          <w:tcPr>
            <w:tcW w:w="960" w:type="dxa"/>
            <w:tcBorders>
              <w:top w:val="single" w:color="000000" w:sz="4" w:space="0"/>
              <w:left w:val="nil"/>
              <w:bottom w:val="single" w:color="000000" w:sz="4" w:space="0"/>
              <w:right w:val="single" w:color="000000" w:sz="4" w:space="0"/>
            </w:tcBorders>
            <w:vAlign w:val="center"/>
          </w:tcPr>
          <w:p w14:paraId="2F15BEC6">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704471C4">
            <w:pPr>
              <w:rPr>
                <w:rFonts w:ascii="Times New Roman" w:hAnsi="Times New Roman" w:cs="Times New Roman"/>
                <w:sz w:val="20"/>
                <w:szCs w:val="20"/>
              </w:rPr>
            </w:pPr>
          </w:p>
        </w:tc>
      </w:tr>
      <w:tr w14:paraId="14EC0FD3">
        <w:tblPrEx>
          <w:tblCellMar>
            <w:top w:w="0" w:type="dxa"/>
            <w:left w:w="108" w:type="dxa"/>
            <w:bottom w:w="0" w:type="dxa"/>
            <w:right w:w="108" w:type="dxa"/>
          </w:tblCellMar>
        </w:tblPrEx>
        <w:trPr>
          <w:trHeight w:val="460" w:hRule="atLeast"/>
          <w:jc w:val="center"/>
        </w:trPr>
        <w:tc>
          <w:tcPr>
            <w:tcW w:w="528" w:type="dxa"/>
            <w:vMerge w:val="continue"/>
            <w:tcBorders>
              <w:top w:val="nil"/>
              <w:left w:val="single" w:color="000000" w:sz="4" w:space="0"/>
              <w:bottom w:val="single" w:color="000000" w:sz="4" w:space="0"/>
              <w:right w:val="single" w:color="000000" w:sz="4" w:space="0"/>
            </w:tcBorders>
            <w:vAlign w:val="center"/>
          </w:tcPr>
          <w:p w14:paraId="3E603391">
            <w:pPr>
              <w:rPr>
                <w:rFonts w:ascii="Times New Roman" w:hAnsi="Times New Roman" w:cs="Times New Roman"/>
                <w:sz w:val="20"/>
                <w:szCs w:val="20"/>
              </w:rPr>
            </w:pPr>
          </w:p>
        </w:tc>
        <w:tc>
          <w:tcPr>
            <w:tcW w:w="957" w:type="dxa"/>
            <w:vMerge w:val="continue"/>
            <w:tcBorders>
              <w:top w:val="nil"/>
              <w:left w:val="nil"/>
              <w:bottom w:val="single" w:color="000000" w:sz="4" w:space="0"/>
              <w:right w:val="single" w:color="000000" w:sz="4" w:space="0"/>
            </w:tcBorders>
            <w:vAlign w:val="center"/>
          </w:tcPr>
          <w:p w14:paraId="0BA707F6">
            <w:pPr>
              <w:rPr>
                <w:rFonts w:ascii="Times New Roman" w:hAnsi="Times New Roman" w:cs="Times New Roman"/>
                <w:sz w:val="20"/>
                <w:szCs w:val="20"/>
              </w:rPr>
            </w:pPr>
          </w:p>
        </w:tc>
        <w:tc>
          <w:tcPr>
            <w:tcW w:w="875" w:type="dxa"/>
            <w:vMerge w:val="continue"/>
            <w:tcBorders>
              <w:top w:val="nil"/>
              <w:left w:val="nil"/>
              <w:bottom w:val="single" w:color="000000" w:sz="4" w:space="0"/>
              <w:right w:val="single" w:color="000000" w:sz="4" w:space="0"/>
            </w:tcBorders>
            <w:vAlign w:val="center"/>
          </w:tcPr>
          <w:p w14:paraId="21E92A62">
            <w:pPr>
              <w:rPr>
                <w:rFonts w:ascii="Times New Roman" w:hAnsi="Times New Roman" w:cs="Times New Roman"/>
                <w:sz w:val="20"/>
                <w:szCs w:val="20"/>
              </w:rPr>
            </w:pPr>
          </w:p>
        </w:tc>
        <w:tc>
          <w:tcPr>
            <w:tcW w:w="9492" w:type="dxa"/>
            <w:tcBorders>
              <w:top w:val="single" w:color="000000" w:sz="4" w:space="0"/>
              <w:left w:val="nil"/>
              <w:bottom w:val="single" w:color="000000" w:sz="4" w:space="0"/>
              <w:right w:val="single" w:color="000000" w:sz="4" w:space="0"/>
            </w:tcBorders>
            <w:vAlign w:val="center"/>
          </w:tcPr>
          <w:p w14:paraId="090BA60E">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3、</w:t>
            </w:r>
            <w:r>
              <w:rPr>
                <w:rFonts w:hint="eastAsia" w:ascii="仿宋" w:hAnsi="仿宋" w:eastAsia="仿宋" w:cs="仿宋"/>
                <w:lang w:val="en-US" w:eastAsia="zh-CN" w:bidi="ar"/>
              </w:rPr>
              <w:t>投标人若未按照物业服务合同物业服务内容及标准提供物业服务(以附件为准)履约的，或被甲方、业主代表有效投诉的，处以扣减物业费1000-2000元/次，于当季拨付物业费中扣除。</w:t>
            </w:r>
          </w:p>
        </w:tc>
        <w:tc>
          <w:tcPr>
            <w:tcW w:w="960" w:type="dxa"/>
            <w:tcBorders>
              <w:top w:val="single" w:color="000000" w:sz="4" w:space="0"/>
              <w:left w:val="nil"/>
              <w:bottom w:val="single" w:color="000000" w:sz="4" w:space="0"/>
              <w:right w:val="single" w:color="000000" w:sz="4" w:space="0"/>
            </w:tcBorders>
            <w:vAlign w:val="center"/>
          </w:tcPr>
          <w:p w14:paraId="1EEE2042">
            <w:pPr>
              <w:kinsoku w:val="0"/>
              <w:autoSpaceDE w:val="0"/>
              <w:autoSpaceDN w:val="0"/>
              <w:adjustRightInd w:val="0"/>
              <w:snapToGrid w:val="0"/>
              <w:jc w:val="center"/>
              <w:textAlignment w:val="center"/>
              <w:rPr>
                <w:rFonts w:hint="eastAsia" w:ascii="仿宋" w:hAnsi="仿宋" w:eastAsia="仿宋" w:cs="仿宋"/>
                <w:lang w:eastAsia="zh-CN"/>
              </w:rPr>
            </w:pPr>
            <w:r>
              <w:rPr>
                <w:rFonts w:hint="eastAsia" w:ascii="仿宋" w:hAnsi="仿宋" w:eastAsia="仿宋" w:cs="仿宋"/>
                <w:lang w:val="en-US" w:eastAsia="zh-CN" w:bidi="ar"/>
              </w:rPr>
              <w:t>5</w:t>
            </w:r>
          </w:p>
        </w:tc>
        <w:tc>
          <w:tcPr>
            <w:tcW w:w="960" w:type="dxa"/>
            <w:tcBorders>
              <w:top w:val="single" w:color="000000" w:sz="4" w:space="0"/>
              <w:left w:val="nil"/>
              <w:bottom w:val="single" w:color="000000" w:sz="4" w:space="0"/>
              <w:right w:val="single" w:color="000000" w:sz="4" w:space="0"/>
            </w:tcBorders>
            <w:vAlign w:val="center"/>
          </w:tcPr>
          <w:p w14:paraId="30584E28">
            <w:pPr>
              <w:kinsoku w:val="0"/>
              <w:autoSpaceDE w:val="0"/>
              <w:autoSpaceDN w:val="0"/>
              <w:adjustRightInd w:val="0"/>
              <w:snapToGrid w:val="0"/>
              <w:textAlignment w:val="baseline"/>
              <w:rPr>
                <w:rFonts w:ascii="仿宋" w:hAnsi="仿宋" w:eastAsia="仿宋" w:cs="仿宋"/>
              </w:rPr>
            </w:pPr>
          </w:p>
        </w:tc>
        <w:tc>
          <w:tcPr>
            <w:tcW w:w="2138" w:type="dxa"/>
            <w:vMerge w:val="restart"/>
            <w:tcBorders>
              <w:top w:val="nil"/>
              <w:left w:val="nil"/>
              <w:bottom w:val="single" w:color="000000" w:sz="4" w:space="0"/>
              <w:right w:val="single" w:color="000000" w:sz="4" w:space="0"/>
            </w:tcBorders>
            <w:vAlign w:val="center"/>
          </w:tcPr>
          <w:p w14:paraId="46BB27A0">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完全符合得满分，部分符合相应递减，不符合得 0 分</w:t>
            </w:r>
          </w:p>
        </w:tc>
      </w:tr>
      <w:tr w14:paraId="32BC55A5">
        <w:tblPrEx>
          <w:tblCellMar>
            <w:top w:w="0" w:type="dxa"/>
            <w:left w:w="108" w:type="dxa"/>
            <w:bottom w:w="0" w:type="dxa"/>
            <w:right w:w="108" w:type="dxa"/>
          </w:tblCellMar>
        </w:tblPrEx>
        <w:trPr>
          <w:trHeight w:val="540" w:hRule="atLeast"/>
          <w:jc w:val="center"/>
        </w:trPr>
        <w:tc>
          <w:tcPr>
            <w:tcW w:w="528" w:type="dxa"/>
            <w:vMerge w:val="continue"/>
            <w:tcBorders>
              <w:top w:val="nil"/>
              <w:left w:val="single" w:color="000000" w:sz="4" w:space="0"/>
              <w:bottom w:val="single" w:color="auto" w:sz="4" w:space="0"/>
              <w:right w:val="single" w:color="000000" w:sz="4" w:space="0"/>
            </w:tcBorders>
            <w:vAlign w:val="center"/>
          </w:tcPr>
          <w:p w14:paraId="3F27DE4E">
            <w:pPr>
              <w:rPr>
                <w:rFonts w:ascii="Times New Roman" w:hAnsi="Times New Roman" w:cs="Times New Roman"/>
                <w:sz w:val="20"/>
                <w:szCs w:val="20"/>
              </w:rPr>
            </w:pPr>
          </w:p>
        </w:tc>
        <w:tc>
          <w:tcPr>
            <w:tcW w:w="957" w:type="dxa"/>
            <w:vMerge w:val="continue"/>
            <w:tcBorders>
              <w:top w:val="nil"/>
              <w:left w:val="nil"/>
              <w:bottom w:val="single" w:color="auto" w:sz="4" w:space="0"/>
              <w:right w:val="single" w:color="000000" w:sz="4" w:space="0"/>
            </w:tcBorders>
            <w:vAlign w:val="center"/>
          </w:tcPr>
          <w:p w14:paraId="77882934">
            <w:pPr>
              <w:rPr>
                <w:rFonts w:ascii="Times New Roman" w:hAnsi="Times New Roman" w:cs="Times New Roman"/>
                <w:sz w:val="20"/>
                <w:szCs w:val="20"/>
              </w:rPr>
            </w:pPr>
          </w:p>
        </w:tc>
        <w:tc>
          <w:tcPr>
            <w:tcW w:w="875" w:type="dxa"/>
            <w:vMerge w:val="continue"/>
            <w:tcBorders>
              <w:top w:val="nil"/>
              <w:left w:val="nil"/>
              <w:bottom w:val="single" w:color="auto" w:sz="4" w:space="0"/>
              <w:right w:val="single" w:color="000000" w:sz="4" w:space="0"/>
            </w:tcBorders>
            <w:vAlign w:val="center"/>
          </w:tcPr>
          <w:p w14:paraId="3DA1AC0C">
            <w:pPr>
              <w:rPr>
                <w:rFonts w:ascii="Times New Roman" w:hAnsi="Times New Roman" w:cs="Times New Roman"/>
                <w:sz w:val="20"/>
                <w:szCs w:val="20"/>
              </w:rPr>
            </w:pPr>
          </w:p>
        </w:tc>
        <w:tc>
          <w:tcPr>
            <w:tcW w:w="9492" w:type="dxa"/>
            <w:tcBorders>
              <w:top w:val="single" w:color="000000" w:sz="4" w:space="0"/>
              <w:left w:val="nil"/>
              <w:bottom w:val="single" w:color="000000" w:sz="4" w:space="0"/>
              <w:right w:val="single" w:color="000000" w:sz="4" w:space="0"/>
            </w:tcBorders>
            <w:vAlign w:val="center"/>
          </w:tcPr>
          <w:p w14:paraId="7E522172">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4、</w:t>
            </w:r>
            <w:r>
              <w:rPr>
                <w:rFonts w:hint="eastAsia" w:ascii="仿宋" w:hAnsi="仿宋" w:eastAsia="仿宋" w:cs="仿宋"/>
                <w:lang w:val="en-US" w:eastAsia="zh-CN" w:bidi="ar"/>
              </w:rPr>
              <w:t>投标方案中的重要岗位的管理人员和技术人员原则上不同意变更，若确须更换，须由投标人提出申请，经招标人同意后才能变更，否则处以以下数额扣减物业费:物业经理变更 2000元/次:其他重要岗位人员变更1000元/次</w:t>
            </w:r>
            <w:r>
              <w:rPr>
                <w:rFonts w:hint="eastAsia" w:ascii="仿宋" w:hAnsi="仿宋" w:eastAsia="仿宋" w:cs="仿宋"/>
                <w:lang w:bidi="ar"/>
              </w:rPr>
              <w:t>。</w:t>
            </w:r>
          </w:p>
        </w:tc>
        <w:tc>
          <w:tcPr>
            <w:tcW w:w="960" w:type="dxa"/>
            <w:tcBorders>
              <w:top w:val="single" w:color="000000" w:sz="4" w:space="0"/>
              <w:left w:val="nil"/>
              <w:bottom w:val="single" w:color="000000" w:sz="4" w:space="0"/>
              <w:right w:val="single" w:color="000000" w:sz="4" w:space="0"/>
            </w:tcBorders>
            <w:vAlign w:val="center"/>
          </w:tcPr>
          <w:p w14:paraId="2FDA117E">
            <w:pPr>
              <w:kinsoku w:val="0"/>
              <w:autoSpaceDE w:val="0"/>
              <w:autoSpaceDN w:val="0"/>
              <w:adjustRightInd w:val="0"/>
              <w:snapToGrid w:val="0"/>
              <w:jc w:val="center"/>
              <w:textAlignment w:val="center"/>
              <w:rPr>
                <w:rFonts w:hint="eastAsia" w:ascii="仿宋" w:hAnsi="仿宋" w:eastAsia="仿宋" w:cs="仿宋"/>
                <w:lang w:eastAsia="zh-CN"/>
              </w:rPr>
            </w:pPr>
            <w:r>
              <w:rPr>
                <w:rFonts w:hint="eastAsia" w:ascii="仿宋" w:hAnsi="仿宋" w:eastAsia="仿宋" w:cs="仿宋"/>
                <w:lang w:val="en-US" w:eastAsia="zh-CN" w:bidi="ar"/>
              </w:rPr>
              <w:t>5</w:t>
            </w:r>
          </w:p>
        </w:tc>
        <w:tc>
          <w:tcPr>
            <w:tcW w:w="960" w:type="dxa"/>
            <w:tcBorders>
              <w:top w:val="single" w:color="000000" w:sz="4" w:space="0"/>
              <w:left w:val="nil"/>
              <w:bottom w:val="single" w:color="000000" w:sz="4" w:space="0"/>
              <w:right w:val="single" w:color="000000" w:sz="4" w:space="0"/>
            </w:tcBorders>
            <w:vAlign w:val="center"/>
          </w:tcPr>
          <w:p w14:paraId="5BDDEB02">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6B8D9C91">
            <w:pPr>
              <w:rPr>
                <w:rFonts w:ascii="Times New Roman" w:hAnsi="Times New Roman" w:cs="Times New Roman"/>
                <w:sz w:val="20"/>
                <w:szCs w:val="20"/>
              </w:rPr>
            </w:pPr>
          </w:p>
        </w:tc>
      </w:tr>
      <w:tr w14:paraId="3827875A">
        <w:tblPrEx>
          <w:tblCellMar>
            <w:top w:w="0" w:type="dxa"/>
            <w:left w:w="108" w:type="dxa"/>
            <w:bottom w:w="0" w:type="dxa"/>
            <w:right w:w="108" w:type="dxa"/>
          </w:tblCellMar>
        </w:tblPrEx>
        <w:trPr>
          <w:trHeight w:val="357" w:hRule="atLeast"/>
          <w:jc w:val="center"/>
        </w:trPr>
        <w:tc>
          <w:tcPr>
            <w:tcW w:w="528" w:type="dxa"/>
            <w:vMerge w:val="restart"/>
            <w:tcBorders>
              <w:top w:val="single" w:color="auto" w:sz="4" w:space="0"/>
              <w:left w:val="single" w:color="auto" w:sz="4" w:space="0"/>
              <w:bottom w:val="single" w:color="auto" w:sz="4" w:space="0"/>
              <w:right w:val="single" w:color="auto" w:sz="4" w:space="0"/>
            </w:tcBorders>
            <w:vAlign w:val="center"/>
          </w:tcPr>
          <w:p w14:paraId="7E2E753A">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2</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14:paraId="57542D8D">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秩序维护服务</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14:paraId="53646140">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2</w:t>
            </w:r>
            <w:r>
              <w:rPr>
                <w:rFonts w:hint="eastAsia" w:ascii="仿宋" w:hAnsi="仿宋" w:eastAsia="仿宋" w:cs="仿宋"/>
                <w:lang w:val="en-US" w:eastAsia="zh-CN" w:bidi="ar"/>
              </w:rPr>
              <w:t>6</w:t>
            </w:r>
            <w:r>
              <w:rPr>
                <w:rFonts w:hint="eastAsia" w:ascii="仿宋" w:hAnsi="仿宋" w:eastAsia="仿宋" w:cs="仿宋"/>
                <w:lang w:bidi="ar"/>
              </w:rPr>
              <w:t xml:space="preserve"> 分</w:t>
            </w:r>
          </w:p>
        </w:tc>
        <w:tc>
          <w:tcPr>
            <w:tcW w:w="9492" w:type="dxa"/>
            <w:tcBorders>
              <w:top w:val="single" w:color="000000" w:sz="4" w:space="0"/>
              <w:left w:val="single" w:color="auto" w:sz="4" w:space="0"/>
              <w:bottom w:val="single" w:color="000000" w:sz="4" w:space="0"/>
              <w:right w:val="single" w:color="000000" w:sz="4" w:space="0"/>
            </w:tcBorders>
            <w:vAlign w:val="center"/>
          </w:tcPr>
          <w:p w14:paraId="4CF3A4B9">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1、项目 24 小时有治安管理人员和值班电话。</w:t>
            </w:r>
          </w:p>
        </w:tc>
        <w:tc>
          <w:tcPr>
            <w:tcW w:w="960" w:type="dxa"/>
            <w:tcBorders>
              <w:top w:val="single" w:color="000000" w:sz="4" w:space="0"/>
              <w:left w:val="nil"/>
              <w:bottom w:val="single" w:color="000000" w:sz="4" w:space="0"/>
              <w:right w:val="single" w:color="000000" w:sz="4" w:space="0"/>
            </w:tcBorders>
            <w:vAlign w:val="center"/>
          </w:tcPr>
          <w:p w14:paraId="3A032A32">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2676839A">
            <w:pPr>
              <w:kinsoku w:val="0"/>
              <w:autoSpaceDE w:val="0"/>
              <w:autoSpaceDN w:val="0"/>
              <w:adjustRightInd w:val="0"/>
              <w:snapToGrid w:val="0"/>
              <w:textAlignment w:val="baseline"/>
              <w:rPr>
                <w:rFonts w:ascii="仿宋" w:hAnsi="仿宋" w:eastAsia="仿宋" w:cs="仿宋"/>
              </w:rPr>
            </w:pPr>
          </w:p>
        </w:tc>
        <w:tc>
          <w:tcPr>
            <w:tcW w:w="2138" w:type="dxa"/>
            <w:vMerge w:val="restart"/>
            <w:tcBorders>
              <w:top w:val="nil"/>
              <w:left w:val="nil"/>
              <w:bottom w:val="single" w:color="000000" w:sz="4" w:space="0"/>
              <w:right w:val="single" w:color="000000" w:sz="4" w:space="0"/>
            </w:tcBorders>
            <w:vAlign w:val="center"/>
          </w:tcPr>
          <w:p w14:paraId="2BA370B5">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完全符合得满分，部分符合相应递减，不符合得 0 分</w:t>
            </w:r>
          </w:p>
        </w:tc>
      </w:tr>
      <w:tr w14:paraId="1CAF13D1">
        <w:tblPrEx>
          <w:tblCellMar>
            <w:top w:w="0" w:type="dxa"/>
            <w:left w:w="108" w:type="dxa"/>
            <w:bottom w:w="0" w:type="dxa"/>
            <w:right w:w="108" w:type="dxa"/>
          </w:tblCellMar>
        </w:tblPrEx>
        <w:trPr>
          <w:trHeight w:val="669"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5F8058FE">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59E2E52F">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auto" w:sz="4" w:space="0"/>
            </w:tcBorders>
            <w:vAlign w:val="center"/>
          </w:tcPr>
          <w:p w14:paraId="707F1EE7">
            <w:pPr>
              <w:rPr>
                <w:rFonts w:ascii="Times New Roman" w:hAnsi="Times New Roman" w:cs="Times New Roman"/>
                <w:sz w:val="20"/>
                <w:szCs w:val="20"/>
              </w:rPr>
            </w:pPr>
          </w:p>
        </w:tc>
        <w:tc>
          <w:tcPr>
            <w:tcW w:w="9492" w:type="dxa"/>
            <w:tcBorders>
              <w:top w:val="single" w:color="000000" w:sz="4" w:space="0"/>
              <w:left w:val="single" w:color="auto" w:sz="4" w:space="0"/>
              <w:bottom w:val="single" w:color="000000" w:sz="4" w:space="0"/>
              <w:right w:val="single" w:color="000000" w:sz="4" w:space="0"/>
            </w:tcBorders>
            <w:vAlign w:val="center"/>
          </w:tcPr>
          <w:p w14:paraId="57D17429">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2、项目内公共秩序良好。发生刑事案件、火警事故、交通事故等紧急情况时，秩序维护人员应保护现场，并上报有关主管部门，无借故推诿和拖沓现象。</w:t>
            </w:r>
          </w:p>
        </w:tc>
        <w:tc>
          <w:tcPr>
            <w:tcW w:w="960" w:type="dxa"/>
            <w:tcBorders>
              <w:top w:val="single" w:color="000000" w:sz="4" w:space="0"/>
              <w:left w:val="nil"/>
              <w:bottom w:val="single" w:color="000000" w:sz="4" w:space="0"/>
              <w:right w:val="single" w:color="000000" w:sz="4" w:space="0"/>
            </w:tcBorders>
            <w:vAlign w:val="center"/>
          </w:tcPr>
          <w:p w14:paraId="196226A2">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6570D13E">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341820CC">
            <w:pPr>
              <w:rPr>
                <w:rFonts w:ascii="Times New Roman" w:hAnsi="Times New Roman" w:cs="Times New Roman"/>
                <w:sz w:val="20"/>
                <w:szCs w:val="20"/>
              </w:rPr>
            </w:pPr>
          </w:p>
        </w:tc>
      </w:tr>
      <w:tr w14:paraId="436F4856">
        <w:tblPrEx>
          <w:tblCellMar>
            <w:top w:w="0" w:type="dxa"/>
            <w:left w:w="108" w:type="dxa"/>
            <w:bottom w:w="0" w:type="dxa"/>
            <w:right w:w="108" w:type="dxa"/>
          </w:tblCellMar>
        </w:tblPrEx>
        <w:trPr>
          <w:trHeight w:val="342"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03980D60">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7B45C42F">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auto" w:sz="4" w:space="0"/>
            </w:tcBorders>
            <w:vAlign w:val="center"/>
          </w:tcPr>
          <w:p w14:paraId="3E8434A3">
            <w:pPr>
              <w:rPr>
                <w:rFonts w:ascii="Times New Roman" w:hAnsi="Times New Roman" w:cs="Times New Roman"/>
                <w:sz w:val="20"/>
                <w:szCs w:val="20"/>
              </w:rPr>
            </w:pPr>
          </w:p>
        </w:tc>
        <w:tc>
          <w:tcPr>
            <w:tcW w:w="9492" w:type="dxa"/>
            <w:tcBorders>
              <w:top w:val="single" w:color="000000" w:sz="4" w:space="0"/>
              <w:left w:val="single" w:color="auto" w:sz="4" w:space="0"/>
              <w:bottom w:val="single" w:color="000000" w:sz="4" w:space="0"/>
              <w:right w:val="single" w:color="000000" w:sz="4" w:space="0"/>
            </w:tcBorders>
            <w:vAlign w:val="center"/>
          </w:tcPr>
          <w:p w14:paraId="70E42AE7">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3、安保人员着装整齐，熟悉项目情况，文明执勤、不徇私舞弊。</w:t>
            </w:r>
          </w:p>
        </w:tc>
        <w:tc>
          <w:tcPr>
            <w:tcW w:w="960" w:type="dxa"/>
            <w:tcBorders>
              <w:top w:val="single" w:color="000000" w:sz="4" w:space="0"/>
              <w:left w:val="nil"/>
              <w:bottom w:val="single" w:color="000000" w:sz="4" w:space="0"/>
              <w:right w:val="single" w:color="000000" w:sz="4" w:space="0"/>
            </w:tcBorders>
            <w:vAlign w:val="center"/>
          </w:tcPr>
          <w:p w14:paraId="7C4ECA03">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2</w:t>
            </w:r>
          </w:p>
        </w:tc>
        <w:tc>
          <w:tcPr>
            <w:tcW w:w="960" w:type="dxa"/>
            <w:tcBorders>
              <w:top w:val="single" w:color="000000" w:sz="4" w:space="0"/>
              <w:left w:val="nil"/>
              <w:bottom w:val="single" w:color="000000" w:sz="4" w:space="0"/>
              <w:right w:val="single" w:color="000000" w:sz="4" w:space="0"/>
            </w:tcBorders>
            <w:vAlign w:val="center"/>
          </w:tcPr>
          <w:p w14:paraId="75A8DD15">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6A36628A">
            <w:pPr>
              <w:rPr>
                <w:rFonts w:ascii="Times New Roman" w:hAnsi="Times New Roman" w:cs="Times New Roman"/>
                <w:sz w:val="20"/>
                <w:szCs w:val="20"/>
              </w:rPr>
            </w:pPr>
          </w:p>
        </w:tc>
      </w:tr>
      <w:tr w14:paraId="4BF5D283">
        <w:tblPrEx>
          <w:tblCellMar>
            <w:top w:w="0" w:type="dxa"/>
            <w:left w:w="108" w:type="dxa"/>
            <w:bottom w:w="0" w:type="dxa"/>
            <w:right w:w="108" w:type="dxa"/>
          </w:tblCellMar>
        </w:tblPrEx>
        <w:trPr>
          <w:trHeight w:val="669"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1F36DCEB">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16C5D666">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auto" w:sz="4" w:space="0"/>
            </w:tcBorders>
            <w:vAlign w:val="center"/>
          </w:tcPr>
          <w:p w14:paraId="3EBED548">
            <w:pPr>
              <w:rPr>
                <w:rFonts w:ascii="Times New Roman" w:hAnsi="Times New Roman" w:cs="Times New Roman"/>
                <w:sz w:val="20"/>
                <w:szCs w:val="20"/>
              </w:rPr>
            </w:pPr>
          </w:p>
        </w:tc>
        <w:tc>
          <w:tcPr>
            <w:tcW w:w="9492" w:type="dxa"/>
            <w:tcBorders>
              <w:top w:val="single" w:color="000000" w:sz="4" w:space="0"/>
              <w:left w:val="single" w:color="auto" w:sz="4" w:space="0"/>
              <w:bottom w:val="single" w:color="000000" w:sz="4" w:space="0"/>
              <w:right w:val="single" w:color="000000" w:sz="4" w:space="0"/>
            </w:tcBorders>
            <w:vAlign w:val="center"/>
          </w:tcPr>
          <w:p w14:paraId="3A08F6E9">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4、安保人员执行严格的交接班制度，有书面的交接班记录，交班治安管理人员把需要在值班中继续注意或处理的问题向接班人员交代清楚。</w:t>
            </w:r>
          </w:p>
        </w:tc>
        <w:tc>
          <w:tcPr>
            <w:tcW w:w="960" w:type="dxa"/>
            <w:tcBorders>
              <w:top w:val="single" w:color="000000" w:sz="4" w:space="0"/>
              <w:left w:val="nil"/>
              <w:bottom w:val="single" w:color="000000" w:sz="4" w:space="0"/>
              <w:right w:val="single" w:color="000000" w:sz="4" w:space="0"/>
            </w:tcBorders>
            <w:vAlign w:val="center"/>
          </w:tcPr>
          <w:p w14:paraId="04F514A0">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4924F8A5">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2A63A676">
            <w:pPr>
              <w:rPr>
                <w:rFonts w:ascii="Times New Roman" w:hAnsi="Times New Roman" w:cs="Times New Roman"/>
                <w:sz w:val="20"/>
                <w:szCs w:val="20"/>
              </w:rPr>
            </w:pPr>
          </w:p>
        </w:tc>
      </w:tr>
      <w:tr w14:paraId="5C6A3F94">
        <w:tblPrEx>
          <w:tblCellMar>
            <w:top w:w="0" w:type="dxa"/>
            <w:left w:w="108" w:type="dxa"/>
            <w:bottom w:w="0" w:type="dxa"/>
            <w:right w:w="108" w:type="dxa"/>
          </w:tblCellMar>
        </w:tblPrEx>
        <w:trPr>
          <w:trHeight w:val="342"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3099B6AB">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1401981D">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auto" w:sz="4" w:space="0"/>
            </w:tcBorders>
            <w:vAlign w:val="center"/>
          </w:tcPr>
          <w:p w14:paraId="1C3549C8">
            <w:pPr>
              <w:rPr>
                <w:rFonts w:ascii="Times New Roman" w:hAnsi="Times New Roman" w:cs="Times New Roman"/>
                <w:sz w:val="20"/>
                <w:szCs w:val="20"/>
              </w:rPr>
            </w:pPr>
          </w:p>
        </w:tc>
        <w:tc>
          <w:tcPr>
            <w:tcW w:w="9492" w:type="dxa"/>
            <w:tcBorders>
              <w:top w:val="single" w:color="000000" w:sz="4" w:space="0"/>
              <w:left w:val="single" w:color="auto" w:sz="4" w:space="0"/>
              <w:bottom w:val="single" w:color="000000" w:sz="4" w:space="0"/>
              <w:right w:val="single" w:color="000000" w:sz="4" w:space="0"/>
            </w:tcBorders>
            <w:vAlign w:val="center"/>
          </w:tcPr>
          <w:p w14:paraId="435C4ECE">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5、对进出项目的外来车辆进行登记，对携带大宗物品外出的实行登记制度。</w:t>
            </w:r>
          </w:p>
        </w:tc>
        <w:tc>
          <w:tcPr>
            <w:tcW w:w="960" w:type="dxa"/>
            <w:tcBorders>
              <w:top w:val="single" w:color="000000" w:sz="4" w:space="0"/>
              <w:left w:val="nil"/>
              <w:bottom w:val="single" w:color="000000" w:sz="4" w:space="0"/>
              <w:right w:val="single" w:color="000000" w:sz="4" w:space="0"/>
            </w:tcBorders>
            <w:vAlign w:val="center"/>
          </w:tcPr>
          <w:p w14:paraId="474803CF">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30C70746">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5E6ED18F">
            <w:pPr>
              <w:rPr>
                <w:rFonts w:ascii="Times New Roman" w:hAnsi="Times New Roman" w:cs="Times New Roman"/>
                <w:sz w:val="20"/>
                <w:szCs w:val="20"/>
              </w:rPr>
            </w:pPr>
          </w:p>
        </w:tc>
      </w:tr>
      <w:tr w14:paraId="64885725">
        <w:tblPrEx>
          <w:tblCellMar>
            <w:top w:w="0" w:type="dxa"/>
            <w:left w:w="108" w:type="dxa"/>
            <w:bottom w:w="0" w:type="dxa"/>
            <w:right w:w="108" w:type="dxa"/>
          </w:tblCellMar>
        </w:tblPrEx>
        <w:trPr>
          <w:trHeight w:val="357"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7315E86E">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2A82B1BC">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auto" w:sz="4" w:space="0"/>
            </w:tcBorders>
            <w:vAlign w:val="center"/>
          </w:tcPr>
          <w:p w14:paraId="72E930D1">
            <w:pPr>
              <w:rPr>
                <w:rFonts w:ascii="Times New Roman" w:hAnsi="Times New Roman" w:cs="Times New Roman"/>
                <w:sz w:val="20"/>
                <w:szCs w:val="20"/>
              </w:rPr>
            </w:pPr>
          </w:p>
        </w:tc>
        <w:tc>
          <w:tcPr>
            <w:tcW w:w="9492" w:type="dxa"/>
            <w:tcBorders>
              <w:top w:val="single" w:color="000000" w:sz="4" w:space="0"/>
              <w:left w:val="single" w:color="auto" w:sz="4" w:space="0"/>
              <w:bottom w:val="single" w:color="000000" w:sz="4" w:space="0"/>
              <w:right w:val="single" w:color="000000" w:sz="4" w:space="0"/>
            </w:tcBorders>
            <w:vAlign w:val="center"/>
          </w:tcPr>
          <w:p w14:paraId="7702B29D">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6、车辆停放规范有序，机动车和非机动车实行分区域停放。</w:t>
            </w:r>
          </w:p>
        </w:tc>
        <w:tc>
          <w:tcPr>
            <w:tcW w:w="960" w:type="dxa"/>
            <w:tcBorders>
              <w:top w:val="single" w:color="000000" w:sz="4" w:space="0"/>
              <w:left w:val="nil"/>
              <w:bottom w:val="single" w:color="000000" w:sz="4" w:space="0"/>
              <w:right w:val="single" w:color="000000" w:sz="4" w:space="0"/>
            </w:tcBorders>
            <w:vAlign w:val="center"/>
          </w:tcPr>
          <w:p w14:paraId="3D8B386E">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2100B67E">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3365D425">
            <w:pPr>
              <w:rPr>
                <w:rFonts w:ascii="Times New Roman" w:hAnsi="Times New Roman" w:cs="Times New Roman"/>
                <w:sz w:val="20"/>
                <w:szCs w:val="20"/>
              </w:rPr>
            </w:pPr>
          </w:p>
        </w:tc>
      </w:tr>
      <w:tr w14:paraId="0AE096A1">
        <w:tblPrEx>
          <w:tblCellMar>
            <w:top w:w="0" w:type="dxa"/>
            <w:left w:w="108" w:type="dxa"/>
            <w:bottom w:w="0" w:type="dxa"/>
            <w:right w:w="108" w:type="dxa"/>
          </w:tblCellMar>
        </w:tblPrEx>
        <w:trPr>
          <w:trHeight w:val="624"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5D842020">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30D144DE">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auto" w:sz="4" w:space="0"/>
            </w:tcBorders>
            <w:vAlign w:val="center"/>
          </w:tcPr>
          <w:p w14:paraId="674BB8EF">
            <w:pPr>
              <w:rPr>
                <w:rFonts w:ascii="Times New Roman" w:hAnsi="Times New Roman" w:cs="Times New Roman"/>
                <w:sz w:val="20"/>
                <w:szCs w:val="20"/>
              </w:rPr>
            </w:pPr>
          </w:p>
        </w:tc>
        <w:tc>
          <w:tcPr>
            <w:tcW w:w="9492" w:type="dxa"/>
            <w:tcBorders>
              <w:top w:val="single" w:color="000000" w:sz="4" w:space="0"/>
              <w:left w:val="single" w:color="auto" w:sz="4" w:space="0"/>
              <w:bottom w:val="single" w:color="000000" w:sz="4" w:space="0"/>
              <w:right w:val="single" w:color="000000" w:sz="4" w:space="0"/>
            </w:tcBorders>
            <w:vAlign w:val="center"/>
          </w:tcPr>
          <w:p w14:paraId="5F02A32E">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7、项目内建立消防责任制，工作人员掌握基本消防技能。</w:t>
            </w:r>
            <w:r>
              <w:rPr>
                <w:rFonts w:hint="eastAsia" w:ascii="仿宋" w:hAnsi="仿宋" w:eastAsia="仿宋" w:cs="仿宋"/>
                <w:lang w:val="en-US" w:eastAsia="zh-CN" w:bidi="ar"/>
              </w:rPr>
              <w:t>针对小区消防要求的管理，物业服务企业需加强小区每个楼层保证消防栓有水、水表井、弱电井、消防栓箱子、电表箱违法占用或堆放杂物等现象发生。若物业服务企业未劝阻且未及时报告甲方。有关部门造成不良影响的扣减物业费500元/起。</w:t>
            </w:r>
          </w:p>
        </w:tc>
        <w:tc>
          <w:tcPr>
            <w:tcW w:w="960" w:type="dxa"/>
            <w:tcBorders>
              <w:top w:val="single" w:color="000000" w:sz="4" w:space="0"/>
              <w:left w:val="nil"/>
              <w:bottom w:val="single" w:color="000000" w:sz="4" w:space="0"/>
              <w:right w:val="single" w:color="000000" w:sz="4" w:space="0"/>
            </w:tcBorders>
            <w:vAlign w:val="center"/>
          </w:tcPr>
          <w:p w14:paraId="033B0D4E">
            <w:pPr>
              <w:kinsoku w:val="0"/>
              <w:autoSpaceDE w:val="0"/>
              <w:autoSpaceDN w:val="0"/>
              <w:adjustRightInd w:val="0"/>
              <w:snapToGrid w:val="0"/>
              <w:jc w:val="center"/>
              <w:textAlignment w:val="center"/>
              <w:rPr>
                <w:rFonts w:hint="eastAsia" w:ascii="仿宋" w:hAnsi="仿宋" w:eastAsia="仿宋" w:cs="仿宋"/>
                <w:lang w:eastAsia="zh-CN"/>
              </w:rPr>
            </w:pPr>
            <w:r>
              <w:rPr>
                <w:rFonts w:hint="eastAsia" w:ascii="仿宋" w:hAnsi="仿宋" w:eastAsia="仿宋" w:cs="仿宋"/>
                <w:lang w:val="en-US" w:eastAsia="zh-CN" w:bidi="ar"/>
              </w:rPr>
              <w:t>3</w:t>
            </w:r>
          </w:p>
        </w:tc>
        <w:tc>
          <w:tcPr>
            <w:tcW w:w="960" w:type="dxa"/>
            <w:tcBorders>
              <w:top w:val="single" w:color="000000" w:sz="4" w:space="0"/>
              <w:left w:val="nil"/>
              <w:bottom w:val="single" w:color="000000" w:sz="4" w:space="0"/>
              <w:right w:val="single" w:color="000000" w:sz="4" w:space="0"/>
            </w:tcBorders>
            <w:vAlign w:val="center"/>
          </w:tcPr>
          <w:p w14:paraId="0B7A2AE7">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68CC90EC">
            <w:pPr>
              <w:rPr>
                <w:rFonts w:ascii="Times New Roman" w:hAnsi="Times New Roman" w:cs="Times New Roman"/>
                <w:sz w:val="20"/>
                <w:szCs w:val="20"/>
              </w:rPr>
            </w:pPr>
          </w:p>
        </w:tc>
      </w:tr>
      <w:tr w14:paraId="387DFFAB">
        <w:tblPrEx>
          <w:tblCellMar>
            <w:top w:w="0" w:type="dxa"/>
            <w:left w:w="108" w:type="dxa"/>
            <w:bottom w:w="0" w:type="dxa"/>
            <w:right w:w="108" w:type="dxa"/>
          </w:tblCellMar>
        </w:tblPrEx>
        <w:trPr>
          <w:trHeight w:val="312"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64FF4E11">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3162C921">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auto" w:sz="4" w:space="0"/>
            </w:tcBorders>
            <w:vAlign w:val="center"/>
          </w:tcPr>
          <w:p w14:paraId="35CAC07E">
            <w:pPr>
              <w:rPr>
                <w:rFonts w:ascii="Times New Roman" w:hAnsi="Times New Roman" w:cs="Times New Roman"/>
                <w:sz w:val="20"/>
                <w:szCs w:val="20"/>
              </w:rPr>
            </w:pPr>
          </w:p>
        </w:tc>
        <w:tc>
          <w:tcPr>
            <w:tcW w:w="9492" w:type="dxa"/>
            <w:tcBorders>
              <w:top w:val="single" w:color="000000" w:sz="4" w:space="0"/>
              <w:left w:val="single" w:color="auto" w:sz="4" w:space="0"/>
              <w:bottom w:val="single" w:color="000000" w:sz="4" w:space="0"/>
              <w:right w:val="single" w:color="000000" w:sz="4" w:space="0"/>
            </w:tcBorders>
            <w:vAlign w:val="center"/>
          </w:tcPr>
          <w:p w14:paraId="3E4782E2">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8、</w:t>
            </w:r>
            <w:r>
              <w:rPr>
                <w:rFonts w:hint="eastAsia" w:ascii="仿宋" w:hAnsi="仿宋" w:eastAsia="仿宋" w:cs="仿宋"/>
                <w:lang w:val="en-US" w:eastAsia="zh-CN" w:bidi="ar"/>
              </w:rPr>
              <w:t>针对小区违章建设的管理，物业服务企业需加强小区防盗窗安装、外立面改变等，违章搭建设施管理。禁止建筑外立面乱搭乱建等现象发生。若未对违章搭建进行合理管理劝阻且未及时报告甲方。有关部门造成不良影响的扣减物业费2000元/起</w:t>
            </w:r>
            <w:r>
              <w:rPr>
                <w:rFonts w:hint="eastAsia" w:ascii="仿宋" w:hAnsi="仿宋" w:eastAsia="仿宋" w:cs="仿宋"/>
                <w:lang w:bidi="ar"/>
              </w:rPr>
              <w:t>。</w:t>
            </w:r>
          </w:p>
        </w:tc>
        <w:tc>
          <w:tcPr>
            <w:tcW w:w="960" w:type="dxa"/>
            <w:tcBorders>
              <w:top w:val="single" w:color="000000" w:sz="4" w:space="0"/>
              <w:left w:val="nil"/>
              <w:bottom w:val="single" w:color="000000" w:sz="4" w:space="0"/>
              <w:right w:val="single" w:color="000000" w:sz="4" w:space="0"/>
            </w:tcBorders>
            <w:vAlign w:val="center"/>
          </w:tcPr>
          <w:p w14:paraId="5874DB29">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1608A38A">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6476B155">
            <w:pPr>
              <w:rPr>
                <w:rFonts w:ascii="Times New Roman" w:hAnsi="Times New Roman" w:cs="Times New Roman"/>
                <w:sz w:val="20"/>
                <w:szCs w:val="20"/>
              </w:rPr>
            </w:pPr>
          </w:p>
        </w:tc>
      </w:tr>
      <w:tr w14:paraId="1FAD0DBC">
        <w:tblPrEx>
          <w:tblCellMar>
            <w:top w:w="0" w:type="dxa"/>
            <w:left w:w="108" w:type="dxa"/>
            <w:bottom w:w="0" w:type="dxa"/>
            <w:right w:w="108" w:type="dxa"/>
          </w:tblCellMar>
        </w:tblPrEx>
        <w:trPr>
          <w:trHeight w:val="654"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54C60B47">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4CAB798F">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auto" w:sz="4" w:space="0"/>
            </w:tcBorders>
            <w:vAlign w:val="center"/>
          </w:tcPr>
          <w:p w14:paraId="696349D3">
            <w:pPr>
              <w:rPr>
                <w:rFonts w:ascii="Times New Roman" w:hAnsi="Times New Roman" w:cs="Times New Roman"/>
                <w:sz w:val="20"/>
                <w:szCs w:val="20"/>
              </w:rPr>
            </w:pPr>
          </w:p>
        </w:tc>
        <w:tc>
          <w:tcPr>
            <w:tcW w:w="9492" w:type="dxa"/>
            <w:tcBorders>
              <w:top w:val="single" w:color="000000" w:sz="4" w:space="0"/>
              <w:left w:val="single" w:color="auto" w:sz="4" w:space="0"/>
              <w:bottom w:val="single" w:color="auto" w:sz="4" w:space="0"/>
              <w:right w:val="single" w:color="000000" w:sz="4" w:space="0"/>
            </w:tcBorders>
            <w:vAlign w:val="center"/>
          </w:tcPr>
          <w:p w14:paraId="21140C8E">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9、队员熟悉岗位职责和工作流程，掌握火灾、大风、暴雨等方面突发事件的 应急措施及救生知识。节假日前有安全检查。</w:t>
            </w:r>
          </w:p>
        </w:tc>
        <w:tc>
          <w:tcPr>
            <w:tcW w:w="960" w:type="dxa"/>
            <w:tcBorders>
              <w:top w:val="single" w:color="000000" w:sz="4" w:space="0"/>
              <w:left w:val="nil"/>
              <w:bottom w:val="single" w:color="000000" w:sz="4" w:space="0"/>
              <w:right w:val="single" w:color="000000" w:sz="4" w:space="0"/>
            </w:tcBorders>
            <w:vAlign w:val="center"/>
          </w:tcPr>
          <w:p w14:paraId="19326274">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auto" w:sz="4" w:space="0"/>
              <w:right w:val="single" w:color="000000" w:sz="4" w:space="0"/>
            </w:tcBorders>
            <w:vAlign w:val="center"/>
          </w:tcPr>
          <w:p w14:paraId="3CF7BED4">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auto" w:sz="4" w:space="0"/>
              <w:right w:val="single" w:color="000000" w:sz="4" w:space="0"/>
            </w:tcBorders>
            <w:vAlign w:val="center"/>
          </w:tcPr>
          <w:p w14:paraId="076097D2">
            <w:pPr>
              <w:rPr>
                <w:rFonts w:ascii="Times New Roman" w:hAnsi="Times New Roman" w:cs="Times New Roman"/>
                <w:sz w:val="20"/>
                <w:szCs w:val="20"/>
              </w:rPr>
            </w:pPr>
          </w:p>
        </w:tc>
      </w:tr>
      <w:tr w14:paraId="477AA0A1">
        <w:tblPrEx>
          <w:tblCellMar>
            <w:top w:w="0" w:type="dxa"/>
            <w:left w:w="108" w:type="dxa"/>
            <w:bottom w:w="0" w:type="dxa"/>
            <w:right w:w="108" w:type="dxa"/>
          </w:tblCellMar>
        </w:tblPrEx>
        <w:trPr>
          <w:trHeight w:val="680" w:hRule="atLeast"/>
          <w:jc w:val="center"/>
        </w:trPr>
        <w:tc>
          <w:tcPr>
            <w:tcW w:w="528" w:type="dxa"/>
            <w:vMerge w:val="restart"/>
            <w:tcBorders>
              <w:top w:val="single" w:color="auto" w:sz="4" w:space="0"/>
              <w:left w:val="single" w:color="auto" w:sz="4" w:space="0"/>
              <w:bottom w:val="single" w:color="auto" w:sz="4" w:space="0"/>
              <w:right w:val="single" w:color="auto" w:sz="4" w:space="0"/>
            </w:tcBorders>
            <w:vAlign w:val="center"/>
          </w:tcPr>
          <w:p w14:paraId="4CF4B2D9">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14:paraId="627E0898">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保洁服务</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14:paraId="181CA04A">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21 分</w:t>
            </w:r>
          </w:p>
        </w:tc>
        <w:tc>
          <w:tcPr>
            <w:tcW w:w="9492" w:type="dxa"/>
            <w:tcBorders>
              <w:top w:val="single" w:color="auto" w:sz="4" w:space="0"/>
              <w:left w:val="single" w:color="auto" w:sz="4" w:space="0"/>
              <w:bottom w:val="single" w:color="auto" w:sz="4" w:space="0"/>
              <w:right w:val="single" w:color="auto" w:sz="4" w:space="0"/>
            </w:tcBorders>
            <w:vAlign w:val="center"/>
          </w:tcPr>
          <w:p w14:paraId="1D3DEE08">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1、保洁服务管理制度完善并落实。实行标准化清扫保洁，保证公共场地整洁、舒适。实行微笑服务，态度和蔼，不得与工工作人员发生争执。</w:t>
            </w:r>
          </w:p>
        </w:tc>
        <w:tc>
          <w:tcPr>
            <w:tcW w:w="960" w:type="dxa"/>
            <w:tcBorders>
              <w:top w:val="single" w:color="000000" w:sz="4" w:space="0"/>
              <w:left w:val="single" w:color="auto" w:sz="4" w:space="0"/>
              <w:bottom w:val="single" w:color="000000" w:sz="4" w:space="0"/>
              <w:right w:val="single" w:color="auto" w:sz="4" w:space="0"/>
            </w:tcBorders>
            <w:vAlign w:val="center"/>
          </w:tcPr>
          <w:p w14:paraId="6BE176C1">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auto" w:sz="4" w:space="0"/>
              <w:left w:val="single" w:color="auto" w:sz="4" w:space="0"/>
              <w:bottom w:val="single" w:color="auto" w:sz="4" w:space="0"/>
              <w:right w:val="single" w:color="auto" w:sz="4" w:space="0"/>
            </w:tcBorders>
            <w:vAlign w:val="center"/>
          </w:tcPr>
          <w:p w14:paraId="4395BFC0">
            <w:pPr>
              <w:kinsoku w:val="0"/>
              <w:autoSpaceDE w:val="0"/>
              <w:autoSpaceDN w:val="0"/>
              <w:adjustRightInd w:val="0"/>
              <w:snapToGrid w:val="0"/>
              <w:textAlignment w:val="baseline"/>
              <w:rPr>
                <w:rFonts w:ascii="仿宋" w:hAnsi="仿宋" w:eastAsia="仿宋" w:cs="仿宋"/>
              </w:rPr>
            </w:pPr>
          </w:p>
        </w:tc>
        <w:tc>
          <w:tcPr>
            <w:tcW w:w="2138" w:type="dxa"/>
            <w:vMerge w:val="restart"/>
            <w:tcBorders>
              <w:top w:val="single" w:color="auto" w:sz="4" w:space="0"/>
              <w:left w:val="single" w:color="auto" w:sz="4" w:space="0"/>
              <w:bottom w:val="single" w:color="auto" w:sz="4" w:space="0"/>
              <w:right w:val="single" w:color="auto" w:sz="4" w:space="0"/>
            </w:tcBorders>
            <w:vAlign w:val="center"/>
          </w:tcPr>
          <w:p w14:paraId="62EA097B">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完全符合得满分，部分符合相应 递减，不符合得 0 分</w:t>
            </w:r>
          </w:p>
        </w:tc>
      </w:tr>
      <w:tr w14:paraId="02469384">
        <w:tblPrEx>
          <w:tblCellMar>
            <w:top w:w="0" w:type="dxa"/>
            <w:left w:w="108" w:type="dxa"/>
            <w:bottom w:w="0" w:type="dxa"/>
            <w:right w:w="108" w:type="dxa"/>
          </w:tblCellMar>
        </w:tblPrEx>
        <w:trPr>
          <w:trHeight w:val="624" w:hRule="atLeast"/>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14:paraId="46711E60">
            <w:pPr>
              <w:rPr>
                <w:rFonts w:ascii="Times New Roman" w:hAnsi="Times New Roman" w:cs="Times New Roman"/>
                <w:sz w:val="20"/>
                <w:szCs w:val="20"/>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7CA71333">
            <w:pPr>
              <w:rPr>
                <w:rFonts w:ascii="Times New Roman" w:hAnsi="Times New Roman" w:cs="Times New Roman"/>
                <w:sz w:val="20"/>
                <w:szCs w:val="20"/>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14:paraId="309892ED">
            <w:pPr>
              <w:rPr>
                <w:rFonts w:ascii="Times New Roman" w:hAnsi="Times New Roman" w:cs="Times New Roman"/>
                <w:sz w:val="20"/>
                <w:szCs w:val="20"/>
              </w:rPr>
            </w:pPr>
          </w:p>
        </w:tc>
        <w:tc>
          <w:tcPr>
            <w:tcW w:w="9492" w:type="dxa"/>
            <w:tcBorders>
              <w:top w:val="single" w:color="auto" w:sz="4" w:space="0"/>
              <w:left w:val="single" w:color="auto" w:sz="4" w:space="0"/>
              <w:bottom w:val="single" w:color="auto" w:sz="4" w:space="0"/>
              <w:right w:val="single" w:color="auto" w:sz="4" w:space="0"/>
            </w:tcBorders>
            <w:vAlign w:val="center"/>
          </w:tcPr>
          <w:p w14:paraId="68494A43">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2、公共区域的地面、墙面、楼梯、扶手、踢脚线、台阶、梯道大门、走廊、大厅、消火栓箱表面、灭火器、开关面板、消防报警按钮等整洁干净，无垃圾、无积灰、无污渍、无手印。</w:t>
            </w:r>
          </w:p>
        </w:tc>
        <w:tc>
          <w:tcPr>
            <w:tcW w:w="960" w:type="dxa"/>
            <w:tcBorders>
              <w:top w:val="single" w:color="000000" w:sz="4" w:space="0"/>
              <w:left w:val="single" w:color="auto" w:sz="4" w:space="0"/>
              <w:bottom w:val="single" w:color="000000" w:sz="4" w:space="0"/>
              <w:right w:val="single" w:color="000000" w:sz="4" w:space="0"/>
            </w:tcBorders>
            <w:vAlign w:val="center"/>
          </w:tcPr>
          <w:p w14:paraId="5EB2E712">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auto" w:sz="4" w:space="0"/>
              <w:left w:val="nil"/>
              <w:bottom w:val="single" w:color="000000" w:sz="4" w:space="0"/>
              <w:right w:val="single" w:color="000000" w:sz="4" w:space="0"/>
            </w:tcBorders>
            <w:vAlign w:val="center"/>
          </w:tcPr>
          <w:p w14:paraId="10578B9D">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single" w:color="auto" w:sz="4" w:space="0"/>
              <w:left w:val="nil"/>
              <w:bottom w:val="single" w:color="000000" w:sz="4" w:space="0"/>
              <w:right w:val="single" w:color="auto" w:sz="4" w:space="0"/>
            </w:tcBorders>
            <w:vAlign w:val="center"/>
          </w:tcPr>
          <w:p w14:paraId="0993B2FF">
            <w:pPr>
              <w:rPr>
                <w:rFonts w:ascii="Times New Roman" w:hAnsi="Times New Roman" w:cs="Times New Roman"/>
                <w:sz w:val="20"/>
                <w:szCs w:val="20"/>
              </w:rPr>
            </w:pPr>
          </w:p>
        </w:tc>
      </w:tr>
      <w:tr w14:paraId="687CDA72">
        <w:tblPrEx>
          <w:tblCellMar>
            <w:top w:w="0" w:type="dxa"/>
            <w:left w:w="108" w:type="dxa"/>
            <w:bottom w:w="0" w:type="dxa"/>
            <w:right w:w="108" w:type="dxa"/>
          </w:tblCellMar>
        </w:tblPrEx>
        <w:trPr>
          <w:trHeight w:val="624"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6895EF3D">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5B07F185">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5AC95D8C">
            <w:pPr>
              <w:rPr>
                <w:rFonts w:ascii="Times New Roman" w:hAnsi="Times New Roman" w:cs="Times New Roman"/>
                <w:sz w:val="20"/>
                <w:szCs w:val="20"/>
              </w:rPr>
            </w:pPr>
          </w:p>
        </w:tc>
        <w:tc>
          <w:tcPr>
            <w:tcW w:w="9492" w:type="dxa"/>
            <w:tcBorders>
              <w:top w:val="single" w:color="auto" w:sz="4" w:space="0"/>
              <w:left w:val="nil"/>
              <w:bottom w:val="single" w:color="000000" w:sz="4" w:space="0"/>
              <w:right w:val="single" w:color="000000" w:sz="4" w:space="0"/>
            </w:tcBorders>
            <w:vAlign w:val="center"/>
          </w:tcPr>
          <w:p w14:paraId="7A16A2B7">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3、电梯轿厢内外、灯具、沟槽、墙面、吊顶、灯罩、门、窗（含2米以下内外玻璃）整洁程度。公共区域的地面光洁及垃圾的收集处理及屋顶平台等保洁消毒情况。</w:t>
            </w:r>
          </w:p>
        </w:tc>
        <w:tc>
          <w:tcPr>
            <w:tcW w:w="960" w:type="dxa"/>
            <w:tcBorders>
              <w:top w:val="single" w:color="000000" w:sz="4" w:space="0"/>
              <w:left w:val="nil"/>
              <w:bottom w:val="single" w:color="000000" w:sz="4" w:space="0"/>
              <w:right w:val="single" w:color="000000" w:sz="4" w:space="0"/>
            </w:tcBorders>
            <w:vAlign w:val="center"/>
          </w:tcPr>
          <w:p w14:paraId="516D4509">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67FE3C2A">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auto" w:sz="4" w:space="0"/>
            </w:tcBorders>
            <w:vAlign w:val="center"/>
          </w:tcPr>
          <w:p w14:paraId="1F57058E">
            <w:pPr>
              <w:rPr>
                <w:rFonts w:ascii="Times New Roman" w:hAnsi="Times New Roman" w:cs="Times New Roman"/>
                <w:sz w:val="20"/>
                <w:szCs w:val="20"/>
              </w:rPr>
            </w:pPr>
          </w:p>
        </w:tc>
      </w:tr>
      <w:tr w14:paraId="17F0F3AC">
        <w:tblPrEx>
          <w:tblCellMar>
            <w:top w:w="0" w:type="dxa"/>
            <w:left w:w="108" w:type="dxa"/>
            <w:bottom w:w="0" w:type="dxa"/>
            <w:right w:w="108" w:type="dxa"/>
          </w:tblCellMar>
        </w:tblPrEx>
        <w:trPr>
          <w:trHeight w:val="948"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18D53AA8">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47380072">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4A75DED8">
            <w:pPr>
              <w:rPr>
                <w:rFonts w:ascii="Times New Roman" w:hAnsi="Times New Roman" w:cs="Times New Roman"/>
                <w:sz w:val="20"/>
                <w:szCs w:val="20"/>
              </w:rPr>
            </w:pPr>
          </w:p>
        </w:tc>
        <w:tc>
          <w:tcPr>
            <w:tcW w:w="9492" w:type="dxa"/>
            <w:tcBorders>
              <w:top w:val="single" w:color="000000" w:sz="4" w:space="0"/>
              <w:left w:val="nil"/>
              <w:right w:val="single" w:color="000000" w:sz="4" w:space="0"/>
            </w:tcBorders>
            <w:vAlign w:val="center"/>
          </w:tcPr>
          <w:p w14:paraId="26F2DE9C">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4、</w:t>
            </w:r>
            <w:r>
              <w:rPr>
                <w:rFonts w:hint="eastAsia" w:ascii="仿宋" w:hAnsi="仿宋" w:eastAsia="仿宋" w:cs="仿宋"/>
                <w:lang w:val="en-US" w:eastAsia="zh-CN" w:bidi="ar"/>
              </w:rPr>
              <w:t>垃圾分类亭整体环境保持清洁，生活垃圾日产日清，小区内保持整洁，无乱堆、乱放、乱贴、乱刻字和乱挂现象，且无卫生死角，建筑垃圾及时清运。检查有问题每次扣减物业费100元/处/次。</w:t>
            </w:r>
          </w:p>
        </w:tc>
        <w:tc>
          <w:tcPr>
            <w:tcW w:w="960" w:type="dxa"/>
            <w:tcBorders>
              <w:top w:val="single" w:color="000000" w:sz="4" w:space="0"/>
              <w:left w:val="nil"/>
              <w:right w:val="single" w:color="000000" w:sz="4" w:space="0"/>
            </w:tcBorders>
            <w:vAlign w:val="center"/>
          </w:tcPr>
          <w:p w14:paraId="4E52CDDA">
            <w:pPr>
              <w:kinsoku w:val="0"/>
              <w:autoSpaceDE w:val="0"/>
              <w:autoSpaceDN w:val="0"/>
              <w:adjustRightInd w:val="0"/>
              <w:snapToGrid w:val="0"/>
              <w:jc w:val="center"/>
              <w:textAlignment w:val="center"/>
              <w:rPr>
                <w:rFonts w:hint="eastAsia" w:ascii="仿宋" w:hAnsi="仿宋" w:eastAsia="仿宋" w:cs="仿宋"/>
                <w:lang w:eastAsia="zh-CN"/>
              </w:rPr>
            </w:pPr>
            <w:r>
              <w:rPr>
                <w:rFonts w:hint="eastAsia" w:ascii="仿宋" w:hAnsi="仿宋" w:eastAsia="仿宋" w:cs="仿宋"/>
                <w:lang w:val="en-US" w:eastAsia="zh-CN" w:bidi="ar"/>
              </w:rPr>
              <w:t>6</w:t>
            </w:r>
          </w:p>
        </w:tc>
        <w:tc>
          <w:tcPr>
            <w:tcW w:w="960" w:type="dxa"/>
            <w:tcBorders>
              <w:top w:val="single" w:color="000000" w:sz="4" w:space="0"/>
              <w:left w:val="nil"/>
              <w:bottom w:val="single" w:color="000000" w:sz="4" w:space="0"/>
              <w:right w:val="single" w:color="000000" w:sz="4" w:space="0"/>
            </w:tcBorders>
            <w:vAlign w:val="center"/>
          </w:tcPr>
          <w:p w14:paraId="59B01376">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auto" w:sz="4" w:space="0"/>
            </w:tcBorders>
            <w:vAlign w:val="center"/>
          </w:tcPr>
          <w:p w14:paraId="52E78BF4">
            <w:pPr>
              <w:rPr>
                <w:rFonts w:ascii="Times New Roman" w:hAnsi="Times New Roman" w:cs="Times New Roman"/>
                <w:sz w:val="20"/>
                <w:szCs w:val="20"/>
              </w:rPr>
            </w:pPr>
          </w:p>
        </w:tc>
      </w:tr>
      <w:tr w14:paraId="5709A63C">
        <w:tblPrEx>
          <w:tblCellMar>
            <w:top w:w="0" w:type="dxa"/>
            <w:left w:w="108" w:type="dxa"/>
            <w:bottom w:w="0" w:type="dxa"/>
            <w:right w:w="108" w:type="dxa"/>
          </w:tblCellMar>
        </w:tblPrEx>
        <w:trPr>
          <w:trHeight w:val="624"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0452B5A2">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740EC4EA">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75A546A1">
            <w:pPr>
              <w:rPr>
                <w:rFonts w:ascii="Times New Roman" w:hAnsi="Times New Roman" w:cs="Times New Roman"/>
                <w:sz w:val="20"/>
                <w:szCs w:val="20"/>
              </w:rPr>
            </w:pPr>
          </w:p>
        </w:tc>
        <w:tc>
          <w:tcPr>
            <w:tcW w:w="9492" w:type="dxa"/>
            <w:tcBorders>
              <w:top w:val="single" w:color="000000" w:sz="4" w:space="0"/>
              <w:left w:val="nil"/>
              <w:bottom w:val="single" w:color="000000" w:sz="4" w:space="0"/>
              <w:right w:val="single" w:color="000000" w:sz="4" w:space="0"/>
            </w:tcBorders>
            <w:vAlign w:val="center"/>
          </w:tcPr>
          <w:p w14:paraId="609397FB">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val="en-US" w:eastAsia="zh-CN" w:bidi="ar"/>
              </w:rPr>
              <w:t>5</w:t>
            </w:r>
            <w:r>
              <w:rPr>
                <w:rFonts w:hint="eastAsia" w:ascii="仿宋" w:hAnsi="仿宋" w:eastAsia="仿宋" w:cs="仿宋"/>
                <w:lang w:bidi="ar"/>
              </w:rPr>
              <w:t>、道路、停车场（库）、雨水沟管道、“门前三包”等公共区域的地面干净无杂物、无积水和淤泥、污垢。</w:t>
            </w:r>
          </w:p>
        </w:tc>
        <w:tc>
          <w:tcPr>
            <w:tcW w:w="960" w:type="dxa"/>
            <w:tcBorders>
              <w:top w:val="single" w:color="000000" w:sz="4" w:space="0"/>
              <w:left w:val="nil"/>
              <w:bottom w:val="single" w:color="000000" w:sz="4" w:space="0"/>
              <w:right w:val="single" w:color="000000" w:sz="4" w:space="0"/>
            </w:tcBorders>
            <w:vAlign w:val="center"/>
          </w:tcPr>
          <w:p w14:paraId="193A5E04">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6F356D28">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auto" w:sz="4" w:space="0"/>
            </w:tcBorders>
            <w:vAlign w:val="center"/>
          </w:tcPr>
          <w:p w14:paraId="6FA99017">
            <w:pPr>
              <w:rPr>
                <w:rFonts w:ascii="Times New Roman" w:hAnsi="Times New Roman" w:cs="Times New Roman"/>
                <w:sz w:val="20"/>
                <w:szCs w:val="20"/>
              </w:rPr>
            </w:pPr>
          </w:p>
        </w:tc>
      </w:tr>
      <w:tr w14:paraId="268E14BA">
        <w:tblPrEx>
          <w:tblCellMar>
            <w:top w:w="0" w:type="dxa"/>
            <w:left w:w="108" w:type="dxa"/>
            <w:bottom w:w="0" w:type="dxa"/>
            <w:right w:w="108" w:type="dxa"/>
          </w:tblCellMar>
        </w:tblPrEx>
        <w:trPr>
          <w:trHeight w:val="936"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283B2A95">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00DD675B">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48D2BDA3">
            <w:pPr>
              <w:rPr>
                <w:rFonts w:ascii="Times New Roman" w:hAnsi="Times New Roman" w:cs="Times New Roman"/>
                <w:sz w:val="20"/>
                <w:szCs w:val="20"/>
              </w:rPr>
            </w:pPr>
          </w:p>
        </w:tc>
        <w:tc>
          <w:tcPr>
            <w:tcW w:w="9492" w:type="dxa"/>
            <w:tcBorders>
              <w:top w:val="single" w:color="000000" w:sz="4" w:space="0"/>
              <w:left w:val="nil"/>
              <w:bottom w:val="single" w:color="auto" w:sz="4" w:space="0"/>
              <w:right w:val="single" w:color="000000" w:sz="4" w:space="0"/>
            </w:tcBorders>
            <w:vAlign w:val="center"/>
          </w:tcPr>
          <w:p w14:paraId="57C1FD2B">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val="en-US" w:eastAsia="zh-CN" w:bidi="ar"/>
              </w:rPr>
              <w:t>6</w:t>
            </w:r>
            <w:r>
              <w:rPr>
                <w:rFonts w:hint="eastAsia" w:ascii="仿宋" w:hAnsi="仿宋" w:eastAsia="仿宋" w:cs="仿宋"/>
                <w:lang w:bidi="ar"/>
              </w:rPr>
              <w:t>、垃圾、废弃物按分类要求收集，日产日清；化粪池进行清</w:t>
            </w:r>
            <w:r>
              <w:rPr>
                <w:rFonts w:hint="eastAsia" w:ascii="仿宋" w:hAnsi="仿宋" w:cs="仿宋"/>
                <w:lang w:bidi="ar"/>
              </w:rPr>
              <w:t>掏</w:t>
            </w:r>
            <w:r>
              <w:rPr>
                <w:rFonts w:hint="eastAsia" w:ascii="仿宋" w:hAnsi="仿宋" w:eastAsia="仿宋" w:cs="仿宋"/>
                <w:lang w:bidi="ar"/>
              </w:rPr>
              <w:t>，保持常年清洁；垃圾桶（房）外侧表面清洁、内侧无残留物，无异味；定期开展消毒灭 害活动，对窨井、明沟、垃圾桶（房）等喷洒药水。</w:t>
            </w:r>
          </w:p>
        </w:tc>
        <w:tc>
          <w:tcPr>
            <w:tcW w:w="960" w:type="dxa"/>
            <w:tcBorders>
              <w:top w:val="single" w:color="000000" w:sz="4" w:space="0"/>
              <w:left w:val="nil"/>
              <w:bottom w:val="single" w:color="auto" w:sz="4" w:space="0"/>
              <w:right w:val="single" w:color="000000" w:sz="4" w:space="0"/>
            </w:tcBorders>
            <w:vAlign w:val="center"/>
          </w:tcPr>
          <w:p w14:paraId="481A2F97">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auto" w:sz="4" w:space="0"/>
              <w:right w:val="single" w:color="000000" w:sz="4" w:space="0"/>
            </w:tcBorders>
            <w:vAlign w:val="center"/>
          </w:tcPr>
          <w:p w14:paraId="2FA08CF2">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auto" w:sz="4" w:space="0"/>
              <w:right w:val="single" w:color="auto" w:sz="4" w:space="0"/>
            </w:tcBorders>
            <w:vAlign w:val="center"/>
          </w:tcPr>
          <w:p w14:paraId="3D4BF8A1">
            <w:pPr>
              <w:rPr>
                <w:rFonts w:ascii="Times New Roman" w:hAnsi="Times New Roman" w:cs="Times New Roman"/>
                <w:sz w:val="20"/>
                <w:szCs w:val="20"/>
              </w:rPr>
            </w:pPr>
          </w:p>
        </w:tc>
      </w:tr>
      <w:tr w14:paraId="0038B892">
        <w:tblPrEx>
          <w:tblCellMar>
            <w:top w:w="0" w:type="dxa"/>
            <w:left w:w="108" w:type="dxa"/>
            <w:bottom w:w="0" w:type="dxa"/>
            <w:right w:w="108" w:type="dxa"/>
          </w:tblCellMar>
        </w:tblPrEx>
        <w:trPr>
          <w:trHeight w:val="312" w:hRule="atLeast"/>
          <w:jc w:val="center"/>
        </w:trPr>
        <w:tc>
          <w:tcPr>
            <w:tcW w:w="528" w:type="dxa"/>
            <w:vMerge w:val="restart"/>
            <w:tcBorders>
              <w:top w:val="single" w:color="auto" w:sz="4" w:space="0"/>
              <w:left w:val="single" w:color="auto" w:sz="4" w:space="0"/>
              <w:bottom w:val="single" w:color="auto" w:sz="4" w:space="0"/>
              <w:right w:val="single" w:color="auto" w:sz="4" w:space="0"/>
            </w:tcBorders>
            <w:vAlign w:val="center"/>
          </w:tcPr>
          <w:p w14:paraId="33BDEE0D">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4</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14:paraId="18623155">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工程服务</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14:paraId="0A0B3DBC">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val="en-US" w:eastAsia="zh-CN" w:bidi="ar"/>
              </w:rPr>
              <w:t>15</w:t>
            </w:r>
            <w:r>
              <w:rPr>
                <w:rFonts w:hint="eastAsia" w:ascii="仿宋" w:hAnsi="仿宋" w:eastAsia="仿宋" w:cs="仿宋"/>
                <w:lang w:bidi="ar"/>
              </w:rPr>
              <w:t xml:space="preserve"> 分</w:t>
            </w:r>
          </w:p>
        </w:tc>
        <w:tc>
          <w:tcPr>
            <w:tcW w:w="9492" w:type="dxa"/>
            <w:tcBorders>
              <w:top w:val="single" w:color="auto" w:sz="4" w:space="0"/>
              <w:left w:val="single" w:color="auto" w:sz="4" w:space="0"/>
              <w:bottom w:val="single" w:color="auto" w:sz="4" w:space="0"/>
              <w:right w:val="single" w:color="auto" w:sz="4" w:space="0"/>
            </w:tcBorders>
            <w:vAlign w:val="center"/>
          </w:tcPr>
          <w:p w14:paraId="6C4BFD15">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1、工程维修保养制度及操作规程完善并落实。落实保证</w:t>
            </w:r>
            <w:r>
              <w:rPr>
                <w:rFonts w:hint="eastAsia" w:ascii="仿宋" w:hAnsi="仿宋" w:eastAsia="仿宋" w:cs="仿宋"/>
                <w:lang w:val="en-US" w:eastAsia="zh-CN" w:bidi="ar"/>
              </w:rPr>
              <w:t>小区</w:t>
            </w:r>
            <w:r>
              <w:rPr>
                <w:rFonts w:hint="eastAsia" w:ascii="仿宋" w:hAnsi="仿宋" w:eastAsia="仿宋" w:cs="仿宋"/>
                <w:lang w:bidi="ar"/>
              </w:rPr>
              <w:t>各项设备设施安全有效运行。</w:t>
            </w:r>
          </w:p>
        </w:tc>
        <w:tc>
          <w:tcPr>
            <w:tcW w:w="960" w:type="dxa"/>
            <w:tcBorders>
              <w:top w:val="single" w:color="auto" w:sz="4" w:space="0"/>
              <w:left w:val="single" w:color="auto" w:sz="4" w:space="0"/>
              <w:bottom w:val="single" w:color="auto" w:sz="4" w:space="0"/>
              <w:right w:val="single" w:color="auto" w:sz="4" w:space="0"/>
            </w:tcBorders>
            <w:vAlign w:val="center"/>
          </w:tcPr>
          <w:p w14:paraId="3A38F9C7">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auto" w:sz="4" w:space="0"/>
              <w:left w:val="single" w:color="auto" w:sz="4" w:space="0"/>
              <w:bottom w:val="single" w:color="auto" w:sz="4" w:space="0"/>
              <w:right w:val="single" w:color="auto" w:sz="4" w:space="0"/>
            </w:tcBorders>
            <w:vAlign w:val="center"/>
          </w:tcPr>
          <w:p w14:paraId="36D3178B">
            <w:pPr>
              <w:kinsoku w:val="0"/>
              <w:autoSpaceDE w:val="0"/>
              <w:autoSpaceDN w:val="0"/>
              <w:adjustRightInd w:val="0"/>
              <w:snapToGrid w:val="0"/>
              <w:textAlignment w:val="baseline"/>
              <w:rPr>
                <w:rFonts w:ascii="仿宋" w:hAnsi="仿宋" w:eastAsia="仿宋" w:cs="仿宋"/>
              </w:rPr>
            </w:pPr>
          </w:p>
        </w:tc>
        <w:tc>
          <w:tcPr>
            <w:tcW w:w="2138" w:type="dxa"/>
            <w:vMerge w:val="restart"/>
            <w:tcBorders>
              <w:top w:val="single" w:color="auto" w:sz="4" w:space="0"/>
              <w:left w:val="single" w:color="auto" w:sz="4" w:space="0"/>
              <w:bottom w:val="single" w:color="auto" w:sz="4" w:space="0"/>
              <w:right w:val="single" w:color="auto" w:sz="4" w:space="0"/>
            </w:tcBorders>
            <w:vAlign w:val="center"/>
          </w:tcPr>
          <w:p w14:paraId="5B3AF793">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完全符合得满分，部分符合相应递减，不符合得 0 分</w:t>
            </w:r>
          </w:p>
        </w:tc>
      </w:tr>
      <w:tr w14:paraId="3EF9F957">
        <w:tblPrEx>
          <w:tblCellMar>
            <w:top w:w="0" w:type="dxa"/>
            <w:left w:w="108" w:type="dxa"/>
            <w:bottom w:w="0" w:type="dxa"/>
            <w:right w:w="108" w:type="dxa"/>
          </w:tblCellMar>
        </w:tblPrEx>
        <w:trPr>
          <w:trHeight w:val="624" w:hRule="atLeast"/>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14:paraId="5BD3380D">
            <w:pPr>
              <w:rPr>
                <w:rFonts w:ascii="Times New Roman" w:hAnsi="Times New Roman" w:cs="Times New Roman"/>
                <w:sz w:val="20"/>
                <w:szCs w:val="20"/>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511A2BC1">
            <w:pPr>
              <w:rPr>
                <w:rFonts w:ascii="Times New Roman" w:hAnsi="Times New Roman" w:cs="Times New Roman"/>
                <w:sz w:val="20"/>
                <w:szCs w:val="20"/>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14:paraId="740D6D91">
            <w:pPr>
              <w:rPr>
                <w:rFonts w:ascii="Times New Roman" w:hAnsi="Times New Roman" w:cs="Times New Roman"/>
                <w:sz w:val="20"/>
                <w:szCs w:val="20"/>
              </w:rPr>
            </w:pPr>
          </w:p>
        </w:tc>
        <w:tc>
          <w:tcPr>
            <w:tcW w:w="9492" w:type="dxa"/>
            <w:tcBorders>
              <w:top w:val="single" w:color="auto" w:sz="4" w:space="0"/>
              <w:left w:val="single" w:color="auto" w:sz="4" w:space="0"/>
              <w:bottom w:val="single" w:color="auto" w:sz="4" w:space="0"/>
              <w:right w:val="single" w:color="auto" w:sz="4" w:space="0"/>
            </w:tcBorders>
            <w:vAlign w:val="center"/>
          </w:tcPr>
          <w:p w14:paraId="42314771">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val="en-US" w:eastAsia="zh-CN" w:bidi="ar"/>
              </w:rPr>
              <w:t>2</w:t>
            </w:r>
            <w:r>
              <w:rPr>
                <w:rFonts w:hint="eastAsia" w:ascii="仿宋" w:hAnsi="仿宋" w:eastAsia="仿宋" w:cs="仿宋"/>
                <w:lang w:bidi="ar"/>
              </w:rPr>
              <w:t>、配备专职人员上岗，正确操作各项电气设备，做好原始记录；定时检查巡视高低压配电系统， 并抄录各种表计，发现设备出现异常和故障，应通知有关部门进行检修，并做好记录。</w:t>
            </w:r>
          </w:p>
        </w:tc>
        <w:tc>
          <w:tcPr>
            <w:tcW w:w="960" w:type="dxa"/>
            <w:tcBorders>
              <w:top w:val="single" w:color="auto" w:sz="4" w:space="0"/>
              <w:left w:val="single" w:color="auto" w:sz="4" w:space="0"/>
              <w:bottom w:val="single" w:color="auto" w:sz="4" w:space="0"/>
              <w:right w:val="single" w:color="auto" w:sz="4" w:space="0"/>
            </w:tcBorders>
            <w:vAlign w:val="center"/>
          </w:tcPr>
          <w:p w14:paraId="778E85F3">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auto" w:sz="4" w:space="0"/>
              <w:left w:val="single" w:color="auto" w:sz="4" w:space="0"/>
              <w:bottom w:val="single" w:color="auto" w:sz="4" w:space="0"/>
              <w:right w:val="single" w:color="auto" w:sz="4" w:space="0"/>
            </w:tcBorders>
            <w:vAlign w:val="center"/>
          </w:tcPr>
          <w:p w14:paraId="31B5BB8E">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single" w:color="auto" w:sz="4" w:space="0"/>
              <w:left w:val="single" w:color="auto" w:sz="4" w:space="0"/>
              <w:bottom w:val="single" w:color="auto" w:sz="4" w:space="0"/>
              <w:right w:val="single" w:color="auto" w:sz="4" w:space="0"/>
            </w:tcBorders>
            <w:vAlign w:val="center"/>
          </w:tcPr>
          <w:p w14:paraId="23E90F3A">
            <w:pPr>
              <w:rPr>
                <w:rFonts w:ascii="Times New Roman" w:hAnsi="Times New Roman" w:cs="Times New Roman"/>
                <w:sz w:val="20"/>
                <w:szCs w:val="20"/>
              </w:rPr>
            </w:pPr>
          </w:p>
        </w:tc>
      </w:tr>
      <w:tr w14:paraId="265E4A4B">
        <w:tblPrEx>
          <w:tblCellMar>
            <w:top w:w="0" w:type="dxa"/>
            <w:left w:w="108" w:type="dxa"/>
            <w:bottom w:w="0" w:type="dxa"/>
            <w:right w:w="108" w:type="dxa"/>
          </w:tblCellMar>
        </w:tblPrEx>
        <w:trPr>
          <w:trHeight w:val="312" w:hRule="atLeast"/>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14:paraId="16DF4D35">
            <w:pPr>
              <w:rPr>
                <w:rFonts w:ascii="Times New Roman" w:hAnsi="Times New Roman" w:cs="Times New Roman"/>
                <w:sz w:val="20"/>
                <w:szCs w:val="20"/>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0FA1B27D">
            <w:pPr>
              <w:rPr>
                <w:rFonts w:ascii="Times New Roman" w:hAnsi="Times New Roman" w:cs="Times New Roman"/>
                <w:sz w:val="20"/>
                <w:szCs w:val="20"/>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14:paraId="49491CC8">
            <w:pPr>
              <w:rPr>
                <w:rFonts w:ascii="Times New Roman" w:hAnsi="Times New Roman" w:cs="Times New Roman"/>
                <w:sz w:val="20"/>
                <w:szCs w:val="20"/>
              </w:rPr>
            </w:pPr>
          </w:p>
        </w:tc>
        <w:tc>
          <w:tcPr>
            <w:tcW w:w="9492" w:type="dxa"/>
            <w:tcBorders>
              <w:top w:val="single" w:color="auto" w:sz="4" w:space="0"/>
              <w:left w:val="single" w:color="auto" w:sz="4" w:space="0"/>
              <w:bottom w:val="single" w:color="auto" w:sz="4" w:space="0"/>
              <w:right w:val="single" w:color="auto" w:sz="4" w:space="0"/>
            </w:tcBorders>
            <w:vAlign w:val="center"/>
          </w:tcPr>
          <w:p w14:paraId="14E2076A">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val="en-US" w:eastAsia="zh-CN" w:bidi="ar"/>
              </w:rPr>
              <w:t>3</w:t>
            </w:r>
            <w:r>
              <w:rPr>
                <w:rFonts w:hint="eastAsia" w:ascii="仿宋" w:hAnsi="仿宋" w:eastAsia="仿宋" w:cs="仿宋"/>
                <w:lang w:bidi="ar"/>
              </w:rPr>
              <w:t>、给排水设备运行正常，设施完好，无跑冒滴漏；机房整洁无积尘、积水，无杂物。</w:t>
            </w:r>
          </w:p>
        </w:tc>
        <w:tc>
          <w:tcPr>
            <w:tcW w:w="960" w:type="dxa"/>
            <w:tcBorders>
              <w:top w:val="single" w:color="auto" w:sz="4" w:space="0"/>
              <w:left w:val="single" w:color="auto" w:sz="4" w:space="0"/>
              <w:bottom w:val="single" w:color="auto" w:sz="4" w:space="0"/>
              <w:right w:val="single" w:color="auto" w:sz="4" w:space="0"/>
            </w:tcBorders>
            <w:vAlign w:val="center"/>
          </w:tcPr>
          <w:p w14:paraId="3E43306B">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auto" w:sz="4" w:space="0"/>
              <w:left w:val="single" w:color="auto" w:sz="4" w:space="0"/>
              <w:bottom w:val="single" w:color="auto" w:sz="4" w:space="0"/>
              <w:right w:val="single" w:color="auto" w:sz="4" w:space="0"/>
            </w:tcBorders>
            <w:vAlign w:val="center"/>
          </w:tcPr>
          <w:p w14:paraId="32A55A94">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single" w:color="auto" w:sz="4" w:space="0"/>
              <w:left w:val="single" w:color="auto" w:sz="4" w:space="0"/>
              <w:bottom w:val="single" w:color="auto" w:sz="4" w:space="0"/>
              <w:right w:val="single" w:color="auto" w:sz="4" w:space="0"/>
            </w:tcBorders>
            <w:vAlign w:val="center"/>
          </w:tcPr>
          <w:p w14:paraId="0C90B437">
            <w:pPr>
              <w:rPr>
                <w:rFonts w:ascii="Times New Roman" w:hAnsi="Times New Roman" w:cs="Times New Roman"/>
                <w:sz w:val="20"/>
                <w:szCs w:val="20"/>
              </w:rPr>
            </w:pPr>
          </w:p>
        </w:tc>
      </w:tr>
      <w:tr w14:paraId="3D42266E">
        <w:tblPrEx>
          <w:tblCellMar>
            <w:top w:w="0" w:type="dxa"/>
            <w:left w:w="108" w:type="dxa"/>
            <w:bottom w:w="0" w:type="dxa"/>
            <w:right w:w="108" w:type="dxa"/>
          </w:tblCellMar>
        </w:tblPrEx>
        <w:trPr>
          <w:trHeight w:val="312" w:hRule="atLeast"/>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14:paraId="0A54EE73">
            <w:pPr>
              <w:rPr>
                <w:rFonts w:ascii="Times New Roman" w:hAnsi="Times New Roman" w:cs="Times New Roman"/>
                <w:sz w:val="20"/>
                <w:szCs w:val="20"/>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774C6506">
            <w:pPr>
              <w:rPr>
                <w:rFonts w:ascii="Times New Roman" w:hAnsi="Times New Roman" w:cs="Times New Roman"/>
                <w:sz w:val="20"/>
                <w:szCs w:val="20"/>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14:paraId="48CCA0AC">
            <w:pPr>
              <w:rPr>
                <w:rFonts w:ascii="Times New Roman" w:hAnsi="Times New Roman" w:cs="Times New Roman"/>
                <w:sz w:val="20"/>
                <w:szCs w:val="20"/>
              </w:rPr>
            </w:pPr>
          </w:p>
        </w:tc>
        <w:tc>
          <w:tcPr>
            <w:tcW w:w="9492" w:type="dxa"/>
            <w:tcBorders>
              <w:top w:val="single" w:color="auto" w:sz="4" w:space="0"/>
              <w:left w:val="single" w:color="auto" w:sz="4" w:space="0"/>
              <w:bottom w:val="single" w:color="auto" w:sz="4" w:space="0"/>
              <w:right w:val="single" w:color="auto" w:sz="4" w:space="0"/>
            </w:tcBorders>
            <w:vAlign w:val="center"/>
          </w:tcPr>
          <w:p w14:paraId="6D3CCC4F">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val="en-US" w:eastAsia="zh-CN" w:bidi="ar"/>
              </w:rPr>
              <w:t>4</w:t>
            </w:r>
            <w:r>
              <w:rPr>
                <w:rFonts w:hint="eastAsia" w:ascii="仿宋" w:hAnsi="仿宋" w:eastAsia="仿宋" w:cs="仿宋"/>
                <w:lang w:bidi="ar"/>
              </w:rPr>
              <w:t>、空调完好，运行正常。管道、阀门无跑冒滴漏现象及事故隐患。</w:t>
            </w:r>
          </w:p>
        </w:tc>
        <w:tc>
          <w:tcPr>
            <w:tcW w:w="960" w:type="dxa"/>
            <w:tcBorders>
              <w:top w:val="single" w:color="auto" w:sz="4" w:space="0"/>
              <w:left w:val="single" w:color="auto" w:sz="4" w:space="0"/>
              <w:bottom w:val="single" w:color="auto" w:sz="4" w:space="0"/>
              <w:right w:val="single" w:color="auto" w:sz="4" w:space="0"/>
            </w:tcBorders>
            <w:vAlign w:val="center"/>
          </w:tcPr>
          <w:p w14:paraId="5076ED22">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auto" w:sz="4" w:space="0"/>
              <w:left w:val="single" w:color="auto" w:sz="4" w:space="0"/>
              <w:bottom w:val="single" w:color="auto" w:sz="4" w:space="0"/>
              <w:right w:val="single" w:color="auto" w:sz="4" w:space="0"/>
            </w:tcBorders>
            <w:vAlign w:val="center"/>
          </w:tcPr>
          <w:p w14:paraId="7D7403B2">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single" w:color="auto" w:sz="4" w:space="0"/>
              <w:left w:val="single" w:color="auto" w:sz="4" w:space="0"/>
              <w:bottom w:val="single" w:color="auto" w:sz="4" w:space="0"/>
              <w:right w:val="single" w:color="auto" w:sz="4" w:space="0"/>
            </w:tcBorders>
            <w:vAlign w:val="center"/>
          </w:tcPr>
          <w:p w14:paraId="66BEB567">
            <w:pPr>
              <w:rPr>
                <w:rFonts w:ascii="Times New Roman" w:hAnsi="Times New Roman" w:cs="Times New Roman"/>
                <w:sz w:val="20"/>
                <w:szCs w:val="20"/>
              </w:rPr>
            </w:pPr>
          </w:p>
        </w:tc>
      </w:tr>
      <w:tr w14:paraId="049E6BEC">
        <w:tblPrEx>
          <w:tblCellMar>
            <w:top w:w="0" w:type="dxa"/>
            <w:left w:w="108" w:type="dxa"/>
            <w:bottom w:w="0" w:type="dxa"/>
            <w:right w:w="108" w:type="dxa"/>
          </w:tblCellMar>
        </w:tblPrEx>
        <w:trPr>
          <w:trHeight w:val="1256" w:hRule="atLeast"/>
          <w:jc w:val="center"/>
        </w:trPr>
        <w:tc>
          <w:tcPr>
            <w:tcW w:w="528" w:type="dxa"/>
            <w:vMerge w:val="continue"/>
            <w:tcBorders>
              <w:top w:val="single" w:color="auto" w:sz="4" w:space="0"/>
              <w:left w:val="single" w:color="auto" w:sz="4" w:space="0"/>
              <w:bottom w:val="single" w:color="auto" w:sz="4" w:space="0"/>
              <w:right w:val="single" w:color="000000" w:sz="4" w:space="0"/>
            </w:tcBorders>
            <w:vAlign w:val="center"/>
          </w:tcPr>
          <w:p w14:paraId="2DC92706">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18EADB96">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04F6CB22">
            <w:pPr>
              <w:rPr>
                <w:rFonts w:ascii="Times New Roman" w:hAnsi="Times New Roman" w:cs="Times New Roman"/>
                <w:sz w:val="20"/>
                <w:szCs w:val="20"/>
              </w:rPr>
            </w:pPr>
          </w:p>
        </w:tc>
        <w:tc>
          <w:tcPr>
            <w:tcW w:w="9492" w:type="dxa"/>
            <w:tcBorders>
              <w:top w:val="single" w:color="auto" w:sz="4" w:space="0"/>
              <w:left w:val="nil"/>
              <w:bottom w:val="nil"/>
              <w:right w:val="single" w:color="000000" w:sz="4" w:space="0"/>
            </w:tcBorders>
            <w:vAlign w:val="center"/>
          </w:tcPr>
          <w:p w14:paraId="0ADB8F54">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val="en-US" w:eastAsia="zh-CN" w:bidi="ar"/>
              </w:rPr>
              <w:t>5</w:t>
            </w:r>
            <w:r>
              <w:rPr>
                <w:rFonts w:hint="eastAsia" w:ascii="仿宋" w:hAnsi="仿宋" w:eastAsia="仿宋" w:cs="仿宋"/>
                <w:lang w:bidi="ar"/>
              </w:rPr>
              <w:t>、实行 24 小时工程运行维修值班制度。接到报修后30 分钟内到现场并排除故障，维修合格率为 100％，零返修。微笑服务、文明施工、安全操作，维修工作完成后做好现场清理工作。</w:t>
            </w:r>
          </w:p>
        </w:tc>
        <w:tc>
          <w:tcPr>
            <w:tcW w:w="960" w:type="dxa"/>
            <w:tcBorders>
              <w:top w:val="single" w:color="auto" w:sz="4" w:space="0"/>
              <w:left w:val="nil"/>
              <w:bottom w:val="single" w:color="000000" w:sz="4" w:space="0"/>
              <w:right w:val="single" w:color="000000" w:sz="4" w:space="0"/>
            </w:tcBorders>
            <w:vAlign w:val="center"/>
          </w:tcPr>
          <w:p w14:paraId="241630EE">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auto" w:sz="4" w:space="0"/>
              <w:left w:val="nil"/>
              <w:bottom w:val="single" w:color="000000" w:sz="4" w:space="0"/>
              <w:right w:val="single" w:color="000000" w:sz="4" w:space="0"/>
            </w:tcBorders>
            <w:vAlign w:val="center"/>
          </w:tcPr>
          <w:p w14:paraId="025FE2C5">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single" w:color="auto" w:sz="4" w:space="0"/>
              <w:left w:val="nil"/>
              <w:bottom w:val="single" w:color="000000" w:sz="4" w:space="0"/>
              <w:right w:val="single" w:color="auto" w:sz="4" w:space="0"/>
            </w:tcBorders>
            <w:vAlign w:val="center"/>
          </w:tcPr>
          <w:p w14:paraId="338B5DE8">
            <w:pPr>
              <w:rPr>
                <w:rFonts w:ascii="Times New Roman" w:hAnsi="Times New Roman" w:cs="Times New Roman"/>
                <w:sz w:val="20"/>
                <w:szCs w:val="20"/>
              </w:rPr>
            </w:pPr>
          </w:p>
        </w:tc>
      </w:tr>
      <w:tr w14:paraId="0B57F42B">
        <w:tblPrEx>
          <w:tblCellMar>
            <w:top w:w="0" w:type="dxa"/>
            <w:left w:w="108" w:type="dxa"/>
            <w:bottom w:w="0" w:type="dxa"/>
            <w:right w:w="108" w:type="dxa"/>
          </w:tblCellMar>
        </w:tblPrEx>
        <w:trPr>
          <w:trHeight w:val="312" w:hRule="atLeast"/>
          <w:jc w:val="center"/>
        </w:trPr>
        <w:tc>
          <w:tcPr>
            <w:tcW w:w="528" w:type="dxa"/>
            <w:vMerge w:val="restart"/>
            <w:tcBorders>
              <w:top w:val="single" w:color="auto" w:sz="4" w:space="0"/>
              <w:left w:val="single" w:color="000000" w:sz="4" w:space="0"/>
              <w:bottom w:val="single" w:color="auto" w:sz="4" w:space="0"/>
              <w:right w:val="single" w:color="000000" w:sz="4" w:space="0"/>
            </w:tcBorders>
            <w:vAlign w:val="center"/>
          </w:tcPr>
          <w:p w14:paraId="77BD8B2D">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5</w:t>
            </w:r>
          </w:p>
        </w:tc>
        <w:tc>
          <w:tcPr>
            <w:tcW w:w="957" w:type="dxa"/>
            <w:vMerge w:val="restart"/>
            <w:tcBorders>
              <w:top w:val="single" w:color="auto" w:sz="4" w:space="0"/>
              <w:left w:val="nil"/>
              <w:bottom w:val="single" w:color="auto" w:sz="4" w:space="0"/>
              <w:right w:val="single" w:color="000000" w:sz="4" w:space="0"/>
            </w:tcBorders>
            <w:vAlign w:val="center"/>
          </w:tcPr>
          <w:p w14:paraId="3D914857">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绿化</w:t>
            </w:r>
          </w:p>
        </w:tc>
        <w:tc>
          <w:tcPr>
            <w:tcW w:w="875" w:type="dxa"/>
            <w:vMerge w:val="restart"/>
            <w:tcBorders>
              <w:top w:val="single" w:color="auto" w:sz="4" w:space="0"/>
              <w:left w:val="nil"/>
              <w:bottom w:val="single" w:color="auto" w:sz="4" w:space="0"/>
              <w:right w:val="single" w:color="000000" w:sz="4" w:space="0"/>
            </w:tcBorders>
            <w:vAlign w:val="center"/>
          </w:tcPr>
          <w:p w14:paraId="0991095A">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10 分</w:t>
            </w:r>
          </w:p>
        </w:tc>
        <w:tc>
          <w:tcPr>
            <w:tcW w:w="9492" w:type="dxa"/>
            <w:tcBorders>
              <w:top w:val="single" w:color="000000" w:sz="4" w:space="0"/>
              <w:left w:val="nil"/>
              <w:bottom w:val="single" w:color="000000" w:sz="4" w:space="0"/>
              <w:right w:val="single" w:color="000000" w:sz="4" w:space="0"/>
            </w:tcBorders>
            <w:vAlign w:val="center"/>
          </w:tcPr>
          <w:p w14:paraId="1C2069B6">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1、花木植物摆放品种、数量、规格符合招标文件要求。</w:t>
            </w:r>
          </w:p>
        </w:tc>
        <w:tc>
          <w:tcPr>
            <w:tcW w:w="960" w:type="dxa"/>
            <w:tcBorders>
              <w:top w:val="single" w:color="000000" w:sz="4" w:space="0"/>
              <w:left w:val="nil"/>
              <w:bottom w:val="single" w:color="000000" w:sz="4" w:space="0"/>
              <w:right w:val="single" w:color="000000" w:sz="4" w:space="0"/>
            </w:tcBorders>
            <w:vAlign w:val="center"/>
          </w:tcPr>
          <w:p w14:paraId="22841E72">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2</w:t>
            </w:r>
          </w:p>
        </w:tc>
        <w:tc>
          <w:tcPr>
            <w:tcW w:w="960" w:type="dxa"/>
            <w:tcBorders>
              <w:top w:val="single" w:color="000000" w:sz="4" w:space="0"/>
              <w:left w:val="nil"/>
              <w:bottom w:val="single" w:color="000000" w:sz="4" w:space="0"/>
              <w:right w:val="single" w:color="000000" w:sz="4" w:space="0"/>
            </w:tcBorders>
            <w:vAlign w:val="center"/>
          </w:tcPr>
          <w:p w14:paraId="4190BF26">
            <w:pPr>
              <w:kinsoku w:val="0"/>
              <w:autoSpaceDE w:val="0"/>
              <w:autoSpaceDN w:val="0"/>
              <w:adjustRightInd w:val="0"/>
              <w:snapToGrid w:val="0"/>
              <w:textAlignment w:val="baseline"/>
              <w:rPr>
                <w:rFonts w:ascii="仿宋" w:hAnsi="仿宋" w:eastAsia="仿宋" w:cs="仿宋"/>
              </w:rPr>
            </w:pPr>
          </w:p>
        </w:tc>
        <w:tc>
          <w:tcPr>
            <w:tcW w:w="2138" w:type="dxa"/>
            <w:vMerge w:val="restart"/>
            <w:tcBorders>
              <w:top w:val="nil"/>
              <w:left w:val="nil"/>
              <w:bottom w:val="single" w:color="000000" w:sz="4" w:space="0"/>
              <w:right w:val="single" w:color="000000" w:sz="4" w:space="0"/>
            </w:tcBorders>
            <w:vAlign w:val="center"/>
          </w:tcPr>
          <w:p w14:paraId="6901F66F">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完全符合得满分，部分符合相应递减，不符合得 0 分</w:t>
            </w:r>
          </w:p>
        </w:tc>
      </w:tr>
      <w:tr w14:paraId="2EF1DD42">
        <w:tblPrEx>
          <w:tblCellMar>
            <w:top w:w="0" w:type="dxa"/>
            <w:left w:w="108" w:type="dxa"/>
            <w:bottom w:w="0" w:type="dxa"/>
            <w:right w:w="108" w:type="dxa"/>
          </w:tblCellMar>
        </w:tblPrEx>
        <w:trPr>
          <w:trHeight w:val="312" w:hRule="atLeast"/>
          <w:jc w:val="center"/>
        </w:trPr>
        <w:tc>
          <w:tcPr>
            <w:tcW w:w="528" w:type="dxa"/>
            <w:vMerge w:val="continue"/>
            <w:tcBorders>
              <w:top w:val="single" w:color="auto" w:sz="4" w:space="0"/>
              <w:left w:val="single" w:color="000000" w:sz="4" w:space="0"/>
              <w:bottom w:val="single" w:color="auto" w:sz="4" w:space="0"/>
              <w:right w:val="single" w:color="000000" w:sz="4" w:space="0"/>
            </w:tcBorders>
            <w:vAlign w:val="center"/>
          </w:tcPr>
          <w:p w14:paraId="483EC20E">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2AA761EA">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726404C7">
            <w:pPr>
              <w:rPr>
                <w:rFonts w:ascii="Times New Roman" w:hAnsi="Times New Roman" w:cs="Times New Roman"/>
                <w:sz w:val="20"/>
                <w:szCs w:val="20"/>
              </w:rPr>
            </w:pPr>
          </w:p>
        </w:tc>
        <w:tc>
          <w:tcPr>
            <w:tcW w:w="9492" w:type="dxa"/>
            <w:tcBorders>
              <w:top w:val="single" w:color="000000" w:sz="4" w:space="0"/>
              <w:left w:val="nil"/>
              <w:bottom w:val="single" w:color="000000" w:sz="4" w:space="0"/>
              <w:right w:val="single" w:color="000000" w:sz="4" w:space="0"/>
            </w:tcBorders>
            <w:vAlign w:val="center"/>
          </w:tcPr>
          <w:p w14:paraId="02183E08">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2、项目内植物种植的成活率达到100%。病虫害防治率 100%，危害率低于5%。</w:t>
            </w:r>
          </w:p>
        </w:tc>
        <w:tc>
          <w:tcPr>
            <w:tcW w:w="960" w:type="dxa"/>
            <w:tcBorders>
              <w:top w:val="single" w:color="000000" w:sz="4" w:space="0"/>
              <w:left w:val="nil"/>
              <w:bottom w:val="single" w:color="000000" w:sz="4" w:space="0"/>
              <w:right w:val="single" w:color="000000" w:sz="4" w:space="0"/>
            </w:tcBorders>
            <w:vAlign w:val="center"/>
          </w:tcPr>
          <w:p w14:paraId="77107692">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4DA1ABB0">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4E445807">
            <w:pPr>
              <w:rPr>
                <w:rFonts w:ascii="Times New Roman" w:hAnsi="Times New Roman" w:cs="Times New Roman"/>
                <w:sz w:val="20"/>
                <w:szCs w:val="20"/>
              </w:rPr>
            </w:pPr>
          </w:p>
        </w:tc>
      </w:tr>
      <w:tr w14:paraId="486AD917">
        <w:tblPrEx>
          <w:tblCellMar>
            <w:top w:w="0" w:type="dxa"/>
            <w:left w:w="108" w:type="dxa"/>
            <w:bottom w:w="0" w:type="dxa"/>
            <w:right w:w="108" w:type="dxa"/>
          </w:tblCellMar>
        </w:tblPrEx>
        <w:trPr>
          <w:trHeight w:val="312" w:hRule="atLeast"/>
          <w:jc w:val="center"/>
        </w:trPr>
        <w:tc>
          <w:tcPr>
            <w:tcW w:w="528" w:type="dxa"/>
            <w:vMerge w:val="continue"/>
            <w:tcBorders>
              <w:top w:val="single" w:color="auto" w:sz="4" w:space="0"/>
              <w:left w:val="single" w:color="000000" w:sz="4" w:space="0"/>
              <w:bottom w:val="single" w:color="auto" w:sz="4" w:space="0"/>
              <w:right w:val="single" w:color="000000" w:sz="4" w:space="0"/>
            </w:tcBorders>
            <w:vAlign w:val="center"/>
          </w:tcPr>
          <w:p w14:paraId="0FC20937">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21E84D76">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67F07078">
            <w:pPr>
              <w:rPr>
                <w:rFonts w:ascii="Times New Roman" w:hAnsi="Times New Roman" w:cs="Times New Roman"/>
                <w:sz w:val="20"/>
                <w:szCs w:val="20"/>
              </w:rPr>
            </w:pPr>
          </w:p>
        </w:tc>
        <w:tc>
          <w:tcPr>
            <w:tcW w:w="9492" w:type="dxa"/>
            <w:tcBorders>
              <w:top w:val="single" w:color="000000" w:sz="4" w:space="0"/>
              <w:left w:val="nil"/>
              <w:bottom w:val="single" w:color="000000" w:sz="4" w:space="0"/>
              <w:right w:val="single" w:color="000000" w:sz="4" w:space="0"/>
            </w:tcBorders>
            <w:vAlign w:val="center"/>
          </w:tcPr>
          <w:p w14:paraId="0E17AC2D">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3、植株修剪及时，做到枝叶紧密、圆整，无脱节、无倾斜，无枯枝死杈。</w:t>
            </w:r>
          </w:p>
        </w:tc>
        <w:tc>
          <w:tcPr>
            <w:tcW w:w="960" w:type="dxa"/>
            <w:tcBorders>
              <w:top w:val="single" w:color="000000" w:sz="4" w:space="0"/>
              <w:left w:val="nil"/>
              <w:bottom w:val="single" w:color="000000" w:sz="4" w:space="0"/>
              <w:right w:val="single" w:color="000000" w:sz="4" w:space="0"/>
            </w:tcBorders>
            <w:vAlign w:val="center"/>
          </w:tcPr>
          <w:p w14:paraId="3D34E223">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30D41D80">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547C8799">
            <w:pPr>
              <w:rPr>
                <w:rFonts w:ascii="Times New Roman" w:hAnsi="Times New Roman" w:cs="Times New Roman"/>
                <w:sz w:val="20"/>
                <w:szCs w:val="20"/>
              </w:rPr>
            </w:pPr>
          </w:p>
        </w:tc>
      </w:tr>
      <w:tr w14:paraId="47DE0506">
        <w:tblPrEx>
          <w:tblCellMar>
            <w:top w:w="0" w:type="dxa"/>
            <w:left w:w="108" w:type="dxa"/>
            <w:bottom w:w="0" w:type="dxa"/>
            <w:right w:w="108" w:type="dxa"/>
          </w:tblCellMar>
        </w:tblPrEx>
        <w:trPr>
          <w:trHeight w:val="312" w:hRule="atLeast"/>
          <w:jc w:val="center"/>
        </w:trPr>
        <w:tc>
          <w:tcPr>
            <w:tcW w:w="528" w:type="dxa"/>
            <w:vMerge w:val="continue"/>
            <w:tcBorders>
              <w:top w:val="single" w:color="auto" w:sz="4" w:space="0"/>
              <w:left w:val="single" w:color="000000" w:sz="4" w:space="0"/>
              <w:bottom w:val="single" w:color="auto" w:sz="4" w:space="0"/>
              <w:right w:val="single" w:color="000000" w:sz="4" w:space="0"/>
            </w:tcBorders>
            <w:vAlign w:val="center"/>
          </w:tcPr>
          <w:p w14:paraId="46171F65">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001C4FF2">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593399C1">
            <w:pPr>
              <w:rPr>
                <w:rFonts w:ascii="Times New Roman" w:hAnsi="Times New Roman" w:cs="Times New Roman"/>
                <w:sz w:val="20"/>
                <w:szCs w:val="20"/>
              </w:rPr>
            </w:pPr>
          </w:p>
        </w:tc>
        <w:tc>
          <w:tcPr>
            <w:tcW w:w="9492" w:type="dxa"/>
            <w:tcBorders>
              <w:top w:val="single" w:color="000000" w:sz="4" w:space="0"/>
              <w:left w:val="nil"/>
              <w:bottom w:val="single" w:color="000000" w:sz="4" w:space="0"/>
              <w:right w:val="single" w:color="000000" w:sz="4" w:space="0"/>
            </w:tcBorders>
            <w:vAlign w:val="center"/>
          </w:tcPr>
          <w:p w14:paraId="2B9E6CB7">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4</w:t>
            </w:r>
            <w:r>
              <w:rPr>
                <w:rFonts w:hint="eastAsia" w:ascii="仿宋" w:hAnsi="仿宋" w:cs="仿宋"/>
                <w:lang w:bidi="ar"/>
              </w:rPr>
              <w:t>、</w:t>
            </w:r>
            <w:r>
              <w:rPr>
                <w:rFonts w:hint="eastAsia" w:ascii="仿宋" w:hAnsi="仿宋" w:eastAsia="仿宋" w:cs="仿宋"/>
                <w:lang w:bidi="ar"/>
              </w:rPr>
              <w:t>绿植长势良好，无残叶、杂草。</w:t>
            </w:r>
          </w:p>
        </w:tc>
        <w:tc>
          <w:tcPr>
            <w:tcW w:w="960" w:type="dxa"/>
            <w:tcBorders>
              <w:top w:val="single" w:color="000000" w:sz="4" w:space="0"/>
              <w:left w:val="nil"/>
              <w:bottom w:val="single" w:color="000000" w:sz="4" w:space="0"/>
              <w:right w:val="single" w:color="000000" w:sz="4" w:space="0"/>
            </w:tcBorders>
            <w:vAlign w:val="center"/>
          </w:tcPr>
          <w:p w14:paraId="77BD640C">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2</w:t>
            </w:r>
          </w:p>
        </w:tc>
        <w:tc>
          <w:tcPr>
            <w:tcW w:w="960" w:type="dxa"/>
            <w:tcBorders>
              <w:top w:val="single" w:color="000000" w:sz="4" w:space="0"/>
              <w:left w:val="nil"/>
              <w:bottom w:val="single" w:color="000000" w:sz="4" w:space="0"/>
              <w:right w:val="single" w:color="000000" w:sz="4" w:space="0"/>
            </w:tcBorders>
            <w:vAlign w:val="center"/>
          </w:tcPr>
          <w:p w14:paraId="37B409B6">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10E54D95">
            <w:pPr>
              <w:rPr>
                <w:rFonts w:ascii="Times New Roman" w:hAnsi="Times New Roman" w:cs="Times New Roman"/>
                <w:sz w:val="20"/>
                <w:szCs w:val="20"/>
              </w:rPr>
            </w:pPr>
          </w:p>
        </w:tc>
      </w:tr>
      <w:tr w14:paraId="5771C868">
        <w:tblPrEx>
          <w:tblCellMar>
            <w:top w:w="0" w:type="dxa"/>
            <w:left w:w="108" w:type="dxa"/>
            <w:bottom w:w="0" w:type="dxa"/>
            <w:right w:w="108" w:type="dxa"/>
          </w:tblCellMar>
        </w:tblPrEx>
        <w:trPr>
          <w:trHeight w:val="312" w:hRule="atLeast"/>
          <w:jc w:val="center"/>
        </w:trPr>
        <w:tc>
          <w:tcPr>
            <w:tcW w:w="528" w:type="dxa"/>
            <w:vMerge w:val="restart"/>
            <w:tcBorders>
              <w:top w:val="single" w:color="auto" w:sz="4" w:space="0"/>
              <w:left w:val="single" w:color="000000" w:sz="4" w:space="0"/>
              <w:bottom w:val="single" w:color="auto" w:sz="4" w:space="0"/>
              <w:right w:val="single" w:color="000000" w:sz="4" w:space="0"/>
            </w:tcBorders>
            <w:vAlign w:val="center"/>
          </w:tcPr>
          <w:p w14:paraId="2B73A45A">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6</w:t>
            </w:r>
          </w:p>
        </w:tc>
        <w:tc>
          <w:tcPr>
            <w:tcW w:w="957" w:type="dxa"/>
            <w:vMerge w:val="restart"/>
            <w:tcBorders>
              <w:top w:val="single" w:color="auto" w:sz="4" w:space="0"/>
              <w:left w:val="nil"/>
              <w:bottom w:val="single" w:color="auto" w:sz="4" w:space="0"/>
              <w:right w:val="single" w:color="000000" w:sz="4" w:space="0"/>
            </w:tcBorders>
            <w:vAlign w:val="center"/>
          </w:tcPr>
          <w:p w14:paraId="0E74DD20">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投诉检查整改</w:t>
            </w:r>
          </w:p>
        </w:tc>
        <w:tc>
          <w:tcPr>
            <w:tcW w:w="875" w:type="dxa"/>
            <w:vMerge w:val="restart"/>
            <w:tcBorders>
              <w:top w:val="single" w:color="auto" w:sz="4" w:space="0"/>
              <w:left w:val="nil"/>
              <w:bottom w:val="single" w:color="auto" w:sz="4" w:space="0"/>
              <w:right w:val="single" w:color="000000" w:sz="4" w:space="0"/>
            </w:tcBorders>
            <w:vAlign w:val="center"/>
          </w:tcPr>
          <w:p w14:paraId="3453D297">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9分</w:t>
            </w:r>
          </w:p>
        </w:tc>
        <w:tc>
          <w:tcPr>
            <w:tcW w:w="9492" w:type="dxa"/>
            <w:tcBorders>
              <w:top w:val="single" w:color="000000" w:sz="4" w:space="0"/>
              <w:left w:val="nil"/>
              <w:bottom w:val="single" w:color="000000" w:sz="4" w:space="0"/>
              <w:right w:val="single" w:color="000000" w:sz="4" w:space="0"/>
            </w:tcBorders>
            <w:vAlign w:val="center"/>
          </w:tcPr>
          <w:p w14:paraId="0EC2CD04">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1、建立完善的投诉响应机制， 并能妥善处理各类投诉及建议，给予投诉客户 答复。</w:t>
            </w:r>
          </w:p>
        </w:tc>
        <w:tc>
          <w:tcPr>
            <w:tcW w:w="960" w:type="dxa"/>
            <w:tcBorders>
              <w:top w:val="single" w:color="000000" w:sz="4" w:space="0"/>
              <w:left w:val="nil"/>
              <w:bottom w:val="single" w:color="000000" w:sz="4" w:space="0"/>
              <w:right w:val="single" w:color="000000" w:sz="4" w:space="0"/>
            </w:tcBorders>
            <w:vAlign w:val="center"/>
          </w:tcPr>
          <w:p w14:paraId="623FC3FB">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434E507F">
            <w:pPr>
              <w:kinsoku w:val="0"/>
              <w:autoSpaceDE w:val="0"/>
              <w:autoSpaceDN w:val="0"/>
              <w:adjustRightInd w:val="0"/>
              <w:snapToGrid w:val="0"/>
              <w:textAlignment w:val="baseline"/>
              <w:rPr>
                <w:rFonts w:ascii="仿宋" w:hAnsi="仿宋" w:eastAsia="仿宋" w:cs="仿宋"/>
              </w:rPr>
            </w:pPr>
          </w:p>
        </w:tc>
        <w:tc>
          <w:tcPr>
            <w:tcW w:w="2138" w:type="dxa"/>
            <w:vMerge w:val="restart"/>
            <w:tcBorders>
              <w:top w:val="nil"/>
              <w:left w:val="nil"/>
              <w:bottom w:val="single" w:color="000000" w:sz="4" w:space="0"/>
              <w:right w:val="single" w:color="000000" w:sz="4" w:space="0"/>
            </w:tcBorders>
            <w:vAlign w:val="center"/>
          </w:tcPr>
          <w:p w14:paraId="2E72E996">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①投诉事件经认定属实，未妥善处理或未答复，扣1分。</w:t>
            </w:r>
          </w:p>
          <w:p w14:paraId="0977E3FB">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②符合得3分，基本符合得1分，不符合得0分</w:t>
            </w:r>
          </w:p>
        </w:tc>
      </w:tr>
      <w:tr w14:paraId="4171E7B0">
        <w:tblPrEx>
          <w:tblCellMar>
            <w:top w:w="0" w:type="dxa"/>
            <w:left w:w="108" w:type="dxa"/>
            <w:bottom w:w="0" w:type="dxa"/>
            <w:right w:w="108" w:type="dxa"/>
          </w:tblCellMar>
        </w:tblPrEx>
        <w:trPr>
          <w:trHeight w:val="312" w:hRule="atLeast"/>
          <w:jc w:val="center"/>
        </w:trPr>
        <w:tc>
          <w:tcPr>
            <w:tcW w:w="528" w:type="dxa"/>
            <w:vMerge w:val="continue"/>
            <w:tcBorders>
              <w:top w:val="single" w:color="auto" w:sz="4" w:space="0"/>
              <w:left w:val="single" w:color="000000" w:sz="4" w:space="0"/>
              <w:bottom w:val="single" w:color="auto" w:sz="4" w:space="0"/>
              <w:right w:val="single" w:color="000000" w:sz="4" w:space="0"/>
            </w:tcBorders>
            <w:vAlign w:val="center"/>
          </w:tcPr>
          <w:p w14:paraId="43222EC6">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1169387A">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0CA84BEF">
            <w:pPr>
              <w:rPr>
                <w:rFonts w:ascii="Times New Roman" w:hAnsi="Times New Roman" w:cs="Times New Roman"/>
                <w:sz w:val="20"/>
                <w:szCs w:val="20"/>
              </w:rPr>
            </w:pPr>
          </w:p>
        </w:tc>
        <w:tc>
          <w:tcPr>
            <w:tcW w:w="9492" w:type="dxa"/>
            <w:tcBorders>
              <w:top w:val="single" w:color="000000" w:sz="4" w:space="0"/>
              <w:left w:val="nil"/>
              <w:bottom w:val="single" w:color="000000" w:sz="4" w:space="0"/>
              <w:right w:val="single" w:color="000000" w:sz="4" w:space="0"/>
            </w:tcBorders>
            <w:vAlign w:val="center"/>
          </w:tcPr>
          <w:p w14:paraId="2F75B85D">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2、检查整改有效落实。</w:t>
            </w:r>
          </w:p>
        </w:tc>
        <w:tc>
          <w:tcPr>
            <w:tcW w:w="960" w:type="dxa"/>
            <w:tcBorders>
              <w:top w:val="single" w:color="000000" w:sz="4" w:space="0"/>
              <w:left w:val="nil"/>
              <w:bottom w:val="single" w:color="000000" w:sz="4" w:space="0"/>
              <w:right w:val="single" w:color="000000" w:sz="4" w:space="0"/>
            </w:tcBorders>
            <w:vAlign w:val="center"/>
          </w:tcPr>
          <w:p w14:paraId="522E8586">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5DC5594B">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76FF767F">
            <w:pPr>
              <w:rPr>
                <w:rFonts w:ascii="Times New Roman" w:hAnsi="Times New Roman" w:cs="Times New Roman"/>
                <w:sz w:val="20"/>
                <w:szCs w:val="20"/>
              </w:rPr>
            </w:pPr>
          </w:p>
        </w:tc>
      </w:tr>
      <w:tr w14:paraId="3E234850">
        <w:tblPrEx>
          <w:tblCellMar>
            <w:top w:w="0" w:type="dxa"/>
            <w:left w:w="108" w:type="dxa"/>
            <w:bottom w:w="0" w:type="dxa"/>
            <w:right w:w="108" w:type="dxa"/>
          </w:tblCellMar>
        </w:tblPrEx>
        <w:trPr>
          <w:trHeight w:val="312" w:hRule="atLeast"/>
          <w:jc w:val="center"/>
        </w:trPr>
        <w:tc>
          <w:tcPr>
            <w:tcW w:w="528" w:type="dxa"/>
            <w:vMerge w:val="continue"/>
            <w:tcBorders>
              <w:top w:val="single" w:color="auto" w:sz="4" w:space="0"/>
              <w:left w:val="single" w:color="000000" w:sz="4" w:space="0"/>
              <w:bottom w:val="single" w:color="auto" w:sz="4" w:space="0"/>
              <w:right w:val="single" w:color="000000" w:sz="4" w:space="0"/>
            </w:tcBorders>
            <w:vAlign w:val="center"/>
          </w:tcPr>
          <w:p w14:paraId="49D22706">
            <w:pPr>
              <w:rPr>
                <w:rFonts w:ascii="Times New Roman" w:hAnsi="Times New Roman" w:cs="Times New Roman"/>
                <w:sz w:val="20"/>
                <w:szCs w:val="20"/>
              </w:rPr>
            </w:pPr>
          </w:p>
        </w:tc>
        <w:tc>
          <w:tcPr>
            <w:tcW w:w="957" w:type="dxa"/>
            <w:vMerge w:val="continue"/>
            <w:tcBorders>
              <w:top w:val="single" w:color="auto" w:sz="4" w:space="0"/>
              <w:left w:val="nil"/>
              <w:bottom w:val="single" w:color="auto" w:sz="4" w:space="0"/>
              <w:right w:val="single" w:color="000000" w:sz="4" w:space="0"/>
            </w:tcBorders>
            <w:vAlign w:val="center"/>
          </w:tcPr>
          <w:p w14:paraId="1E2FF416">
            <w:pPr>
              <w:rPr>
                <w:rFonts w:ascii="Times New Roman" w:hAnsi="Times New Roman" w:cs="Times New Roman"/>
                <w:sz w:val="20"/>
                <w:szCs w:val="20"/>
              </w:rPr>
            </w:pPr>
          </w:p>
        </w:tc>
        <w:tc>
          <w:tcPr>
            <w:tcW w:w="875" w:type="dxa"/>
            <w:vMerge w:val="continue"/>
            <w:tcBorders>
              <w:top w:val="single" w:color="auto" w:sz="4" w:space="0"/>
              <w:left w:val="nil"/>
              <w:bottom w:val="single" w:color="auto" w:sz="4" w:space="0"/>
              <w:right w:val="single" w:color="000000" w:sz="4" w:space="0"/>
            </w:tcBorders>
            <w:vAlign w:val="center"/>
          </w:tcPr>
          <w:p w14:paraId="30B3C0D7">
            <w:pPr>
              <w:rPr>
                <w:rFonts w:ascii="Times New Roman" w:hAnsi="Times New Roman" w:cs="Times New Roman"/>
                <w:sz w:val="20"/>
                <w:szCs w:val="20"/>
              </w:rPr>
            </w:pPr>
          </w:p>
        </w:tc>
        <w:tc>
          <w:tcPr>
            <w:tcW w:w="9492" w:type="dxa"/>
            <w:tcBorders>
              <w:top w:val="single" w:color="000000" w:sz="4" w:space="0"/>
              <w:left w:val="nil"/>
              <w:bottom w:val="nil"/>
              <w:right w:val="single" w:color="000000" w:sz="4" w:space="0"/>
            </w:tcBorders>
            <w:vAlign w:val="center"/>
          </w:tcPr>
          <w:p w14:paraId="7AF9D191">
            <w:pPr>
              <w:kinsoku w:val="0"/>
              <w:autoSpaceDE w:val="0"/>
              <w:autoSpaceDN w:val="0"/>
              <w:adjustRightInd w:val="0"/>
              <w:snapToGrid w:val="0"/>
              <w:textAlignment w:val="center"/>
              <w:rPr>
                <w:rFonts w:ascii="仿宋" w:hAnsi="仿宋" w:eastAsia="仿宋" w:cs="仿宋"/>
              </w:rPr>
            </w:pPr>
            <w:r>
              <w:rPr>
                <w:rFonts w:hint="eastAsia" w:ascii="仿宋" w:hAnsi="仿宋" w:eastAsia="仿宋" w:cs="仿宋"/>
                <w:lang w:bidi="ar"/>
              </w:rPr>
              <w:t>3、无其他违反甲方相关规定之事项。</w:t>
            </w:r>
          </w:p>
        </w:tc>
        <w:tc>
          <w:tcPr>
            <w:tcW w:w="960" w:type="dxa"/>
            <w:tcBorders>
              <w:top w:val="single" w:color="000000" w:sz="4" w:space="0"/>
              <w:left w:val="nil"/>
              <w:bottom w:val="single" w:color="000000" w:sz="4" w:space="0"/>
              <w:right w:val="single" w:color="000000" w:sz="4" w:space="0"/>
            </w:tcBorders>
            <w:vAlign w:val="center"/>
          </w:tcPr>
          <w:p w14:paraId="5CE9A33B">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3</w:t>
            </w:r>
          </w:p>
        </w:tc>
        <w:tc>
          <w:tcPr>
            <w:tcW w:w="960" w:type="dxa"/>
            <w:tcBorders>
              <w:top w:val="single" w:color="000000" w:sz="4" w:space="0"/>
              <w:left w:val="nil"/>
              <w:bottom w:val="single" w:color="000000" w:sz="4" w:space="0"/>
              <w:right w:val="single" w:color="000000" w:sz="4" w:space="0"/>
            </w:tcBorders>
            <w:vAlign w:val="center"/>
          </w:tcPr>
          <w:p w14:paraId="0A27FC82">
            <w:pPr>
              <w:kinsoku w:val="0"/>
              <w:autoSpaceDE w:val="0"/>
              <w:autoSpaceDN w:val="0"/>
              <w:adjustRightInd w:val="0"/>
              <w:snapToGrid w:val="0"/>
              <w:textAlignment w:val="baseline"/>
              <w:rPr>
                <w:rFonts w:ascii="仿宋" w:hAnsi="仿宋" w:eastAsia="仿宋" w:cs="仿宋"/>
              </w:rPr>
            </w:pPr>
          </w:p>
        </w:tc>
        <w:tc>
          <w:tcPr>
            <w:tcW w:w="2138" w:type="dxa"/>
            <w:vMerge w:val="continue"/>
            <w:tcBorders>
              <w:top w:val="nil"/>
              <w:left w:val="nil"/>
              <w:bottom w:val="single" w:color="000000" w:sz="4" w:space="0"/>
              <w:right w:val="single" w:color="000000" w:sz="4" w:space="0"/>
            </w:tcBorders>
            <w:vAlign w:val="center"/>
          </w:tcPr>
          <w:p w14:paraId="3B0EB42F">
            <w:pPr>
              <w:rPr>
                <w:rFonts w:ascii="Times New Roman" w:hAnsi="Times New Roman" w:cs="Times New Roman"/>
                <w:sz w:val="20"/>
                <w:szCs w:val="20"/>
              </w:rPr>
            </w:pPr>
          </w:p>
        </w:tc>
      </w:tr>
      <w:tr w14:paraId="696F45DC">
        <w:tblPrEx>
          <w:tblCellMar>
            <w:top w:w="0" w:type="dxa"/>
            <w:left w:w="108" w:type="dxa"/>
            <w:bottom w:w="0" w:type="dxa"/>
            <w:right w:w="108" w:type="dxa"/>
          </w:tblCellMar>
        </w:tblPrEx>
        <w:trPr>
          <w:trHeight w:val="389" w:hRule="atLeast"/>
          <w:jc w:val="center"/>
        </w:trPr>
        <w:tc>
          <w:tcPr>
            <w:tcW w:w="528" w:type="dxa"/>
            <w:tcBorders>
              <w:top w:val="single" w:color="auto" w:sz="4" w:space="0"/>
              <w:left w:val="single" w:color="000000" w:sz="4" w:space="0"/>
              <w:bottom w:val="single" w:color="000000" w:sz="4" w:space="0"/>
              <w:right w:val="single" w:color="000000" w:sz="4" w:space="0"/>
            </w:tcBorders>
            <w:vAlign w:val="center"/>
          </w:tcPr>
          <w:p w14:paraId="6A9A0BB6">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7</w:t>
            </w:r>
          </w:p>
        </w:tc>
        <w:tc>
          <w:tcPr>
            <w:tcW w:w="1832" w:type="dxa"/>
            <w:gridSpan w:val="2"/>
            <w:tcBorders>
              <w:top w:val="single" w:color="auto" w:sz="4" w:space="0"/>
              <w:left w:val="nil"/>
              <w:bottom w:val="single" w:color="000000" w:sz="4" w:space="0"/>
              <w:right w:val="single" w:color="000000" w:sz="4" w:space="0"/>
            </w:tcBorders>
            <w:vAlign w:val="center"/>
          </w:tcPr>
          <w:p w14:paraId="32C03F7A">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总得分</w:t>
            </w:r>
          </w:p>
        </w:tc>
        <w:tc>
          <w:tcPr>
            <w:tcW w:w="10452" w:type="dxa"/>
            <w:gridSpan w:val="2"/>
            <w:tcBorders>
              <w:top w:val="single" w:color="000000" w:sz="4" w:space="0"/>
              <w:left w:val="nil"/>
              <w:bottom w:val="single" w:color="000000" w:sz="4" w:space="0"/>
              <w:right w:val="single" w:color="000000" w:sz="4" w:space="0"/>
            </w:tcBorders>
            <w:vAlign w:val="center"/>
          </w:tcPr>
          <w:p w14:paraId="144FF68D">
            <w:pPr>
              <w:kinsoku w:val="0"/>
              <w:autoSpaceDE w:val="0"/>
              <w:autoSpaceDN w:val="0"/>
              <w:adjustRightInd w:val="0"/>
              <w:snapToGrid w:val="0"/>
              <w:jc w:val="center"/>
              <w:textAlignment w:val="center"/>
              <w:rPr>
                <w:rFonts w:ascii="仿宋" w:hAnsi="仿宋" w:eastAsia="仿宋" w:cs="仿宋"/>
              </w:rPr>
            </w:pPr>
            <w:r>
              <w:rPr>
                <w:rFonts w:hint="eastAsia" w:ascii="仿宋" w:hAnsi="仿宋" w:eastAsia="仿宋" w:cs="仿宋"/>
                <w:lang w:bidi="ar"/>
              </w:rPr>
              <w:t>考核实际得分（标准分100分）</w:t>
            </w:r>
          </w:p>
        </w:tc>
        <w:tc>
          <w:tcPr>
            <w:tcW w:w="960" w:type="dxa"/>
            <w:tcBorders>
              <w:top w:val="single" w:color="000000" w:sz="4" w:space="0"/>
              <w:left w:val="nil"/>
              <w:bottom w:val="single" w:color="000000" w:sz="4" w:space="0"/>
              <w:right w:val="single" w:color="000000" w:sz="4" w:space="0"/>
            </w:tcBorders>
            <w:vAlign w:val="center"/>
          </w:tcPr>
          <w:p w14:paraId="5AB240C9">
            <w:pPr>
              <w:kinsoku w:val="0"/>
              <w:autoSpaceDE w:val="0"/>
              <w:autoSpaceDN w:val="0"/>
              <w:adjustRightInd w:val="0"/>
              <w:snapToGrid w:val="0"/>
              <w:textAlignment w:val="baseline"/>
              <w:rPr>
                <w:rFonts w:ascii="仿宋" w:hAnsi="仿宋" w:eastAsia="仿宋" w:cs="仿宋"/>
              </w:rPr>
            </w:pPr>
          </w:p>
        </w:tc>
        <w:tc>
          <w:tcPr>
            <w:tcW w:w="2138" w:type="dxa"/>
            <w:tcBorders>
              <w:top w:val="single" w:color="000000" w:sz="4" w:space="0"/>
              <w:left w:val="nil"/>
              <w:bottom w:val="single" w:color="000000" w:sz="4" w:space="0"/>
              <w:right w:val="single" w:color="000000" w:sz="4" w:space="0"/>
            </w:tcBorders>
            <w:noWrap/>
            <w:vAlign w:val="center"/>
          </w:tcPr>
          <w:p w14:paraId="036C3664">
            <w:pPr>
              <w:kinsoku w:val="0"/>
              <w:autoSpaceDE w:val="0"/>
              <w:autoSpaceDN w:val="0"/>
              <w:adjustRightInd w:val="0"/>
              <w:snapToGrid w:val="0"/>
              <w:textAlignment w:val="center"/>
              <w:rPr>
                <w:rFonts w:hint="default" w:eastAsia="仿宋"/>
                <w:sz w:val="22"/>
                <w:szCs w:val="22"/>
                <w:lang w:val="en-US" w:eastAsia="zh-CN"/>
              </w:rPr>
            </w:pPr>
          </w:p>
        </w:tc>
      </w:tr>
    </w:tbl>
    <w:p w14:paraId="307C8207">
      <w:pPr>
        <w:pStyle w:val="4"/>
        <w:pageBreakBefore w:val="0"/>
        <w:kinsoku/>
        <w:bidi w:val="0"/>
        <w:spacing w:beforeAutospacing="0" w:afterAutospacing="0" w:line="440" w:lineRule="exact"/>
        <w:ind w:left="0" w:leftChars="0" w:firstLine="0" w:firstLineChars="0"/>
        <w:jc w:val="both"/>
        <w:rPr>
          <w:rFonts w:hint="eastAsia" w:eastAsia="仿宋"/>
          <w:color w:val="auto"/>
          <w:sz w:val="28"/>
          <w:szCs w:val="28"/>
          <w:highlight w:val="none"/>
          <w:lang w:val="en-US" w:eastAsia="zh-CN"/>
        </w:rPr>
        <w:sectPr>
          <w:pgSz w:w="16838" w:h="11906" w:orient="landscape"/>
          <w:pgMar w:top="1588" w:right="1417" w:bottom="1418" w:left="1417" w:header="851" w:footer="992" w:gutter="0"/>
          <w:cols w:space="0" w:num="1"/>
          <w:docGrid w:type="lines" w:linePitch="312" w:charSpace="0"/>
        </w:sectPr>
      </w:pPr>
      <w:r>
        <w:rPr>
          <w:rFonts w:hint="eastAsia"/>
          <w:color w:val="auto"/>
          <w:sz w:val="24"/>
          <w:szCs w:val="24"/>
          <w:highlight w:val="none"/>
          <w:lang w:val="en-US" w:eastAsia="zh-CN"/>
        </w:rPr>
        <w:t>注：</w:t>
      </w:r>
      <w:r>
        <w:rPr>
          <w:rFonts w:hint="eastAsia"/>
          <w:sz w:val="22"/>
          <w:szCs w:val="22"/>
          <w:lang w:val="en-US" w:eastAsia="zh-CN"/>
        </w:rPr>
        <w:t>以上考核检查频次由采购人根据实际工作开展确定，考核细则根据各类管理文件、技术规范及要求、实际工作开展情况作动态调整。年度平均考核得分90分及以上可续签下一年合同，考核细则适用于招标文件及合同其他条款。</w:t>
      </w:r>
    </w:p>
    <w:p w14:paraId="1DEB9E36">
      <w:pPr>
        <w:pStyle w:val="4"/>
        <w:pageBreakBefore w:val="0"/>
        <w:kinsoku/>
        <w:bidi w:val="0"/>
        <w:spacing w:beforeAutospacing="0" w:afterAutospacing="0" w:line="440" w:lineRule="exact"/>
        <w:rPr>
          <w:color w:val="auto"/>
          <w:highlight w:val="none"/>
        </w:rPr>
      </w:pPr>
      <w:r>
        <w:rPr>
          <w:rFonts w:hint="eastAsia"/>
          <w:color w:val="auto"/>
          <w:highlight w:val="none"/>
        </w:rPr>
        <w:t>第五章  杭州市富阳区采购合同主要条款</w:t>
      </w:r>
      <w:bookmarkEnd w:id="3"/>
    </w:p>
    <w:p w14:paraId="457273A7">
      <w:pPr>
        <w:pageBreakBefore w:val="0"/>
        <w:widowControl/>
        <w:kinsoku/>
        <w:wordWrap w:val="0"/>
        <w:topLinePunct/>
        <w:bidi w:val="0"/>
        <w:adjustRightInd w:val="0"/>
        <w:spacing w:beforeAutospacing="0" w:afterAutospacing="0" w:line="440" w:lineRule="exact"/>
        <w:jc w:val="center"/>
        <w:textAlignment w:val="baseline"/>
        <w:rPr>
          <w:rFonts w:hint="eastAsia" w:cs="仿宋_GB2312"/>
          <w:color w:val="auto"/>
          <w:kern w:val="0"/>
          <w:sz w:val="28"/>
          <w:szCs w:val="28"/>
          <w:highlight w:val="none"/>
        </w:rPr>
      </w:pPr>
      <w:r>
        <w:rPr>
          <w:rFonts w:hint="eastAsia" w:cs="仿宋_GB2312"/>
          <w:color w:val="auto"/>
          <w:kern w:val="0"/>
          <w:sz w:val="28"/>
          <w:szCs w:val="28"/>
          <w:highlight w:val="none"/>
        </w:rPr>
        <w:t>（本合同为合同样稿，最终稿由</w:t>
      </w:r>
      <w:r>
        <w:rPr>
          <w:rFonts w:hint="eastAsia" w:cs="仿宋_GB2312"/>
          <w:color w:val="auto"/>
          <w:kern w:val="0"/>
          <w:sz w:val="28"/>
          <w:szCs w:val="28"/>
          <w:highlight w:val="none"/>
          <w:lang w:eastAsia="zh-CN"/>
        </w:rPr>
        <w:t>双</w:t>
      </w:r>
      <w:r>
        <w:rPr>
          <w:rFonts w:hint="eastAsia" w:cs="仿宋_GB2312"/>
          <w:color w:val="auto"/>
          <w:kern w:val="0"/>
          <w:sz w:val="28"/>
          <w:szCs w:val="28"/>
          <w:highlight w:val="none"/>
        </w:rPr>
        <w:t>方协商后确定）</w:t>
      </w:r>
    </w:p>
    <w:p w14:paraId="6BE87915">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bookmarkStart w:id="4" w:name="_Toc1399953345"/>
    </w:p>
    <w:p w14:paraId="27D06E0C">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甲  方（采购人）：</w:t>
      </w:r>
    </w:p>
    <w:p w14:paraId="69BE5A38">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乙  方（中标人）：</w:t>
      </w:r>
    </w:p>
    <w:p w14:paraId="553B616C">
      <w:pPr>
        <w:pageBreakBefore w:val="0"/>
        <w:kinsoku/>
        <w:bidi w:val="0"/>
        <w:spacing w:beforeAutospacing="0" w:afterAutospacing="0" w:line="440" w:lineRule="exact"/>
        <w:ind w:firstLine="480" w:firstLineChars="200"/>
        <w:rPr>
          <w:rFonts w:ascii="仿宋" w:hAnsi="仿宋" w:eastAsia="仿宋"/>
          <w:color w:val="auto"/>
          <w:sz w:val="24"/>
          <w:highlight w:val="none"/>
        </w:rPr>
      </w:pPr>
      <w:r>
        <w:rPr>
          <w:rFonts w:hint="eastAsia" w:ascii="仿宋" w:hAnsi="仿宋"/>
          <w:color w:val="auto"/>
          <w:highlight w:val="none"/>
        </w:rPr>
        <w:t>经过公开招标采购（编号：      ），确定</w:t>
      </w:r>
      <w:r>
        <w:rPr>
          <w:rFonts w:hint="eastAsia"/>
          <w:color w:val="auto"/>
          <w:highlight w:val="none"/>
          <w:u w:val="single"/>
          <w:lang w:val="en-US" w:eastAsia="zh-CN"/>
        </w:rPr>
        <w:t xml:space="preserve">        </w:t>
      </w:r>
      <w:r>
        <w:rPr>
          <w:rFonts w:hint="eastAsia" w:ascii="仿宋" w:hAnsi="仿宋"/>
          <w:color w:val="auto"/>
          <w:highlight w:val="none"/>
        </w:rPr>
        <w:t>为中标人，</w:t>
      </w:r>
      <w:r>
        <w:rPr>
          <w:rFonts w:hint="eastAsia" w:ascii="仿宋" w:hAnsi="仿宋" w:eastAsia="仿宋"/>
          <w:color w:val="auto"/>
          <w:sz w:val="24"/>
          <w:highlight w:val="none"/>
          <w:lang w:val="zh-CN"/>
        </w:rPr>
        <w:t>根据《中华人民共和国民法典》等相关法律法规之规定，按照平等、自愿、公平、诚实信用和绿色的原则，经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14:paraId="258A92E0">
      <w:pPr>
        <w:pStyle w:val="48"/>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auto"/>
          <w:highlight w:val="none"/>
        </w:rPr>
      </w:pPr>
    </w:p>
    <w:p w14:paraId="41B9B51F">
      <w:pPr>
        <w:pageBreakBefore w:val="0"/>
        <w:shd w:val="clear" w:color="auto" w:fill="FFFFFF"/>
        <w:kinsoku/>
        <w:wordWrap w:val="0"/>
        <w:topLinePunct/>
        <w:bidi w:val="0"/>
        <w:adjustRightInd w:val="0"/>
        <w:spacing w:beforeAutospacing="0" w:afterAutospacing="0" w:line="440" w:lineRule="exact"/>
        <w:ind w:firstLine="482" w:firstLineChars="200"/>
        <w:rPr>
          <w:b/>
          <w:bCs/>
          <w:color w:val="auto"/>
          <w:highlight w:val="none"/>
        </w:rPr>
      </w:pPr>
      <w:r>
        <w:rPr>
          <w:rFonts w:hint="eastAsia"/>
          <w:b/>
          <w:bCs/>
          <w:color w:val="auto"/>
          <w:highlight w:val="none"/>
        </w:rPr>
        <w:t>第一条：采购清单及合同价格</w:t>
      </w:r>
    </w:p>
    <w:p w14:paraId="25A992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14:paraId="431965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39C1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0801DA14">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14:paraId="4D856DCC">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14:paraId="1852A191">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服务需求</w:t>
            </w:r>
          </w:p>
        </w:tc>
        <w:tc>
          <w:tcPr>
            <w:tcW w:w="1449" w:type="dxa"/>
            <w:noWrap w:val="0"/>
            <w:vAlign w:val="top"/>
          </w:tcPr>
          <w:p w14:paraId="6E6F6B6C">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14:paraId="3698E410">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14:paraId="39AE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4E91E25A">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14:paraId="457297BD">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5172538B">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11DDFDFA">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594515C2">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236E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292E5F59">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14:paraId="5A9E07A3">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746B40AB">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0E2AA343">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672EC4CD">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40E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25CEFCC0">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14:paraId="5D28CC8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3DA2AD80">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23F48521">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1131B260">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3FE6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3B872242">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14:paraId="3D362C0A">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14:paraId="420032FC">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合同形式：固定总价合同。</w:t>
      </w:r>
    </w:p>
    <w:p w14:paraId="59E5D5A9">
      <w:pPr>
        <w:pStyle w:val="48"/>
        <w:spacing w:before="156" w:after="156"/>
        <w:ind w:firstLine="482" w:firstLineChars="200"/>
        <w:rPr>
          <w:b/>
          <w:color w:val="auto"/>
          <w:kern w:val="0"/>
          <w:highlight w:val="none"/>
        </w:rPr>
      </w:pPr>
      <w:r>
        <w:rPr>
          <w:rFonts w:hint="eastAsia"/>
          <w:b/>
          <w:color w:val="auto"/>
          <w:kern w:val="0"/>
          <w:highlight w:val="none"/>
        </w:rPr>
        <w:t>第二条：服务内容</w:t>
      </w:r>
    </w:p>
    <w:p w14:paraId="7D710537">
      <w:pPr>
        <w:autoSpaceDE w:val="0"/>
        <w:autoSpaceDN w:val="0"/>
        <w:adjustRightInd w:val="0"/>
        <w:spacing w:line="440" w:lineRule="exact"/>
        <w:ind w:firstLine="482" w:firstLineChars="200"/>
        <w:rPr>
          <w:rFonts w:hint="eastAsia"/>
          <w:b/>
          <w:bCs/>
          <w:color w:val="auto"/>
          <w:kern w:val="0"/>
          <w:highlight w:val="none"/>
        </w:rPr>
      </w:pPr>
    </w:p>
    <w:p w14:paraId="69030EC2">
      <w:pPr>
        <w:autoSpaceDE w:val="0"/>
        <w:autoSpaceDN w:val="0"/>
        <w:adjustRightInd w:val="0"/>
        <w:spacing w:line="440" w:lineRule="exact"/>
        <w:ind w:firstLine="482" w:firstLineChars="200"/>
        <w:rPr>
          <w:b/>
          <w:bCs/>
          <w:color w:val="auto"/>
          <w:highlight w:val="none"/>
        </w:rPr>
      </w:pPr>
      <w:r>
        <w:rPr>
          <w:rFonts w:hint="eastAsia"/>
          <w:b/>
          <w:bCs/>
          <w:color w:val="auto"/>
          <w:kern w:val="0"/>
          <w:highlight w:val="none"/>
        </w:rPr>
        <w:t>第三条：技术资料</w:t>
      </w:r>
    </w:p>
    <w:p w14:paraId="7920D6DF">
      <w:pPr>
        <w:autoSpaceDE w:val="0"/>
        <w:autoSpaceDN w:val="0"/>
        <w:adjustRightInd w:val="0"/>
        <w:spacing w:line="440" w:lineRule="exact"/>
        <w:ind w:firstLine="480" w:firstLineChars="200"/>
        <w:rPr>
          <w:color w:val="auto"/>
          <w:kern w:val="0"/>
          <w:highlight w:val="none"/>
        </w:rPr>
      </w:pPr>
      <w:r>
        <w:rPr>
          <w:rFonts w:hint="eastAsia"/>
          <w:color w:val="auto"/>
          <w:kern w:val="0"/>
          <w:highlight w:val="none"/>
        </w:rPr>
        <w:t>1.乙方应按招标文件规定的时间向甲方提供有关技术资料。</w:t>
      </w:r>
    </w:p>
    <w:p w14:paraId="6DF38954">
      <w:pPr>
        <w:autoSpaceDE w:val="0"/>
        <w:autoSpaceDN w:val="0"/>
        <w:adjustRightInd w:val="0"/>
        <w:spacing w:line="440" w:lineRule="exact"/>
        <w:ind w:firstLine="480" w:firstLineChars="200"/>
        <w:rPr>
          <w:color w:val="auto"/>
          <w:kern w:val="0"/>
          <w:highlight w:val="none"/>
        </w:rPr>
      </w:pPr>
      <w:r>
        <w:rPr>
          <w:rFonts w:hint="eastAsia"/>
          <w:color w:val="auto"/>
          <w:kern w:val="0"/>
          <w:highlight w:val="none"/>
        </w:rPr>
        <w:t>2.没有甲方事先书面同意，乙方不得将由甲方的任何资料提供给与履行本合同无关的任何其他人。即使向履行本合同有关的人员提供，也应注意保密并限于履行合同的必需范围。</w:t>
      </w:r>
    </w:p>
    <w:p w14:paraId="22C8D424">
      <w:pPr>
        <w:spacing w:line="440" w:lineRule="exact"/>
        <w:ind w:firstLine="482" w:firstLineChars="200"/>
        <w:rPr>
          <w:b/>
          <w:bCs/>
          <w:color w:val="auto"/>
          <w:highlight w:val="none"/>
        </w:rPr>
      </w:pPr>
      <w:r>
        <w:rPr>
          <w:rFonts w:hint="eastAsia"/>
          <w:b/>
          <w:bCs/>
          <w:color w:val="auto"/>
          <w:highlight w:val="none"/>
        </w:rPr>
        <w:t>第四条：知识产权</w:t>
      </w:r>
    </w:p>
    <w:p w14:paraId="6A6FB2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lang w:val="en-US" w:eastAsia="zh-CN"/>
        </w:rPr>
        <w:t>1.</w:t>
      </w:r>
      <w:r>
        <w:rPr>
          <w:rFonts w:hint="eastAsia"/>
          <w:color w:val="auto"/>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434F4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lang w:val="en-US" w:eastAsia="zh-CN"/>
        </w:rPr>
        <w:t>2.</w:t>
      </w:r>
      <w:r>
        <w:rPr>
          <w:rFonts w:hint="eastAsia"/>
          <w:color w:val="auto"/>
          <w:highlight w:val="none"/>
        </w:rPr>
        <w:t>具有知识产权的</w:t>
      </w:r>
      <w:r>
        <w:rPr>
          <w:rFonts w:hint="eastAsia"/>
          <w:color w:val="auto"/>
          <w:highlight w:val="none"/>
          <w:u w:val="single"/>
        </w:rPr>
        <w:t xml:space="preserve">                 </w:t>
      </w:r>
      <w:r>
        <w:rPr>
          <w:rFonts w:hint="eastAsia"/>
          <w:color w:val="auto"/>
          <w:highlight w:val="none"/>
        </w:rPr>
        <w:t>等标的物的知识产权归属，详见以下专用条款：</w:t>
      </w:r>
      <w:r>
        <w:rPr>
          <w:rFonts w:hint="eastAsia"/>
          <w:color w:val="auto"/>
          <w:highlight w:val="none"/>
          <w:u w:val="single"/>
        </w:rPr>
        <w:t xml:space="preserve">                                                               </w:t>
      </w:r>
      <w:r>
        <w:rPr>
          <w:rFonts w:hint="eastAsia"/>
          <w:color w:val="auto"/>
          <w:highlight w:val="none"/>
        </w:rPr>
        <w:t xml:space="preserve"> 。</w:t>
      </w:r>
    </w:p>
    <w:p w14:paraId="58A69D3F">
      <w:pPr>
        <w:spacing w:line="440" w:lineRule="exact"/>
        <w:ind w:firstLine="482" w:firstLineChars="200"/>
        <w:rPr>
          <w:b/>
          <w:bCs/>
          <w:color w:val="auto"/>
          <w:highlight w:val="none"/>
        </w:rPr>
      </w:pPr>
      <w:r>
        <w:rPr>
          <w:rFonts w:hint="eastAsia"/>
          <w:b/>
          <w:bCs/>
          <w:color w:val="auto"/>
          <w:highlight w:val="none"/>
        </w:rPr>
        <w:t>第五条：技术资料和保密义务</w:t>
      </w:r>
    </w:p>
    <w:p w14:paraId="0CF654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lang w:val="en-US" w:eastAsia="zh-CN"/>
        </w:rPr>
        <w:t>1.</w:t>
      </w:r>
      <w:r>
        <w:rPr>
          <w:rFonts w:hint="eastAsia"/>
          <w:color w:val="auto"/>
          <w:highlight w:val="none"/>
        </w:rPr>
        <w:t>乙方有权依据合同约定和项目需要，向甲方了解有关情况，调阅有关资料等，甲方应予积极配合；</w:t>
      </w:r>
    </w:p>
    <w:p w14:paraId="657668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lang w:val="en-US" w:eastAsia="zh-CN"/>
        </w:rPr>
        <w:t>2.</w:t>
      </w:r>
      <w:r>
        <w:rPr>
          <w:rFonts w:hint="eastAsia"/>
          <w:color w:val="auto"/>
          <w:highlight w:val="none"/>
        </w:rPr>
        <w:t>乙方有义务妥善保管和保护由甲方提供的前款信息和资料等；</w:t>
      </w:r>
    </w:p>
    <w:p w14:paraId="2FDE4D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lang w:val="en-US" w:eastAsia="zh-CN"/>
        </w:rPr>
        <w:t>3.</w:t>
      </w: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B862368">
      <w:pPr>
        <w:spacing w:line="440" w:lineRule="exact"/>
        <w:ind w:firstLine="482" w:firstLineChars="200"/>
        <w:rPr>
          <w:b/>
          <w:bCs/>
          <w:color w:val="auto"/>
          <w:highlight w:val="none"/>
        </w:rPr>
      </w:pPr>
      <w:r>
        <w:rPr>
          <w:rFonts w:hint="eastAsia"/>
          <w:b/>
          <w:bCs/>
          <w:color w:val="auto"/>
          <w:kern w:val="0"/>
          <w:highlight w:val="none"/>
        </w:rPr>
        <w:t>第六条：</w:t>
      </w:r>
      <w:r>
        <w:rPr>
          <w:rFonts w:hint="eastAsia"/>
          <w:b/>
          <w:bCs/>
          <w:color w:val="auto"/>
          <w:highlight w:val="none"/>
        </w:rPr>
        <w:t>检验和验收</w:t>
      </w:r>
    </w:p>
    <w:p w14:paraId="1A406E72">
      <w:pPr>
        <w:widowControl/>
        <w:overflowPunct w:val="0"/>
        <w:autoSpaceDE w:val="0"/>
        <w:autoSpaceDN w:val="0"/>
        <w:adjustRightInd w:val="0"/>
        <w:snapToGrid w:val="0"/>
        <w:spacing w:line="440" w:lineRule="exact"/>
        <w:ind w:firstLine="480" w:firstLineChars="200"/>
        <w:jc w:val="left"/>
        <w:textAlignment w:val="baseline"/>
        <w:rPr>
          <w:color w:val="auto"/>
          <w:kern w:val="0"/>
          <w:highlight w:val="none"/>
        </w:rPr>
      </w:pPr>
      <w:r>
        <w:rPr>
          <w:rFonts w:hint="eastAsia"/>
          <w:bCs/>
          <w:color w:val="auto"/>
          <w:kern w:val="0"/>
          <w:szCs w:val="22"/>
          <w:highlight w:val="none"/>
        </w:rPr>
        <w:t>项目服务过程中，甲方有权对乙方的服务工作进行阶段性抽样检查，不符合档案整理及管理要求的，甲方有权要求返工，直至乙方的工作成果符合档案整理及管理的规范要求。服务结束后由甲方组织工作小组验收。验收以相关行业标准及富阳区档案馆档案整理标准为基础，结合本次采购文件和正式合同为依据进行。如不符要求，一律返工，工期不得延误，直到符合要求为止，否则不予支付款项。若</w:t>
      </w:r>
      <w:r>
        <w:rPr>
          <w:rFonts w:hint="eastAsia"/>
          <w:color w:val="auto"/>
          <w:kern w:val="0"/>
          <w:szCs w:val="22"/>
          <w:highlight w:val="none"/>
        </w:rPr>
        <w:t>验收涉及相关费用，则由乙方承担，计入投标人投标总价中，不单独另行支付。</w:t>
      </w:r>
    </w:p>
    <w:p w14:paraId="7D76E329">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第七条：合同款的支付</w:t>
      </w:r>
    </w:p>
    <w:p w14:paraId="6F41452D">
      <w:pPr>
        <w:wordWrap w:val="0"/>
        <w:topLinePunct/>
        <w:spacing w:line="440" w:lineRule="exact"/>
        <w:ind w:firstLine="480" w:firstLineChars="200"/>
        <w:rPr>
          <w:color w:val="auto"/>
          <w:highlight w:val="none"/>
        </w:rPr>
      </w:pPr>
      <w:r>
        <w:rPr>
          <w:rFonts w:hint="eastAsia"/>
          <w:color w:val="auto"/>
          <w:kern w:val="0"/>
          <w:highlight w:val="none"/>
        </w:rPr>
        <w:t>1.</w:t>
      </w:r>
      <w:r>
        <w:rPr>
          <w:rFonts w:hint="eastAsia"/>
          <w:color w:val="auto"/>
          <w:highlight w:val="none"/>
        </w:rPr>
        <w:t>合同签订后，采购人预付金额为合同总价的</w:t>
      </w:r>
      <w:r>
        <w:rPr>
          <w:rFonts w:hint="eastAsia"/>
          <w:color w:val="auto"/>
          <w:highlight w:val="none"/>
          <w:u w:val="single"/>
        </w:rPr>
        <w:t xml:space="preserve">      </w:t>
      </w:r>
      <w:r>
        <w:rPr>
          <w:rFonts w:hint="eastAsia"/>
          <w:color w:val="auto"/>
          <w:highlight w:val="none"/>
        </w:rPr>
        <w:t>%；验收合格后支付剩余款项。</w:t>
      </w:r>
    </w:p>
    <w:p w14:paraId="5B851CA2">
      <w:pPr>
        <w:wordWrap w:val="0"/>
        <w:topLinePunct/>
        <w:adjustRightInd w:val="0"/>
        <w:spacing w:line="440" w:lineRule="exact"/>
        <w:ind w:firstLine="480" w:firstLineChars="200"/>
        <w:rPr>
          <w:color w:val="auto"/>
          <w:kern w:val="0"/>
          <w:highlight w:val="none"/>
        </w:rPr>
      </w:pPr>
      <w:r>
        <w:rPr>
          <w:rFonts w:hint="eastAsia"/>
          <w:color w:val="auto"/>
          <w:kern w:val="0"/>
          <w:highlight w:val="none"/>
        </w:rPr>
        <w:t>2.乙方信息</w:t>
      </w:r>
    </w:p>
    <w:p w14:paraId="064118E2">
      <w:pPr>
        <w:wordWrap w:val="0"/>
        <w:topLinePunct/>
        <w:adjustRightInd w:val="0"/>
        <w:spacing w:line="440" w:lineRule="exact"/>
        <w:ind w:firstLine="480" w:firstLineChars="200"/>
        <w:rPr>
          <w:color w:val="auto"/>
          <w:kern w:val="0"/>
          <w:highlight w:val="none"/>
        </w:rPr>
      </w:pPr>
      <w:r>
        <w:rPr>
          <w:rFonts w:hint="eastAsia"/>
          <w:color w:val="auto"/>
          <w:kern w:val="0"/>
          <w:highlight w:val="none"/>
        </w:rPr>
        <w:t>乙方开户行名称：_________________</w:t>
      </w:r>
    </w:p>
    <w:p w14:paraId="5E1DC0D2">
      <w:pPr>
        <w:wordWrap w:val="0"/>
        <w:topLinePunct/>
        <w:adjustRightInd w:val="0"/>
        <w:spacing w:line="440" w:lineRule="exact"/>
        <w:ind w:firstLine="480" w:firstLineChars="200"/>
        <w:rPr>
          <w:color w:val="auto"/>
          <w:kern w:val="0"/>
          <w:highlight w:val="none"/>
        </w:rPr>
      </w:pPr>
      <w:r>
        <w:rPr>
          <w:rFonts w:hint="eastAsia"/>
          <w:color w:val="auto"/>
          <w:kern w:val="0"/>
          <w:highlight w:val="none"/>
        </w:rPr>
        <w:t>开户行账号：_____________________</w:t>
      </w:r>
    </w:p>
    <w:p w14:paraId="241C63AD">
      <w:pPr>
        <w:keepNext w:val="0"/>
        <w:keepLines w:val="0"/>
        <w:pageBreakBefore w:val="0"/>
        <w:widowControl w:val="0"/>
        <w:numPr>
          <w:ilvl w:val="0"/>
          <w:numId w:val="0"/>
        </w:numPr>
        <w:kinsoku/>
        <w:wordWrap w:val="0"/>
        <w:overflowPunct/>
        <w:topLinePunct/>
        <w:autoSpaceDE/>
        <w:autoSpaceDN/>
        <w:bidi w:val="0"/>
        <w:adjustRightInd w:val="0"/>
        <w:snapToGrid/>
        <w:spacing w:line="440" w:lineRule="exact"/>
        <w:ind w:firstLine="480" w:firstLineChars="200"/>
        <w:textAlignment w:val="auto"/>
        <w:rPr>
          <w:color w:val="auto"/>
          <w:highlight w:val="none"/>
        </w:rPr>
      </w:pPr>
      <w:r>
        <w:rPr>
          <w:rFonts w:hint="eastAsia"/>
          <w:color w:val="auto"/>
          <w:highlight w:val="none"/>
          <w:lang w:val="en-US" w:eastAsia="zh-CN"/>
        </w:rPr>
        <w:t>3.</w:t>
      </w:r>
      <w:r>
        <w:rPr>
          <w:rFonts w:hint="eastAsia"/>
          <w:color w:val="auto"/>
          <w:highlight w:val="none"/>
        </w:rPr>
        <w:t>预付款：本项目合同金额的</w:t>
      </w:r>
      <w:r>
        <w:rPr>
          <w:rFonts w:hint="eastAsia"/>
          <w:color w:val="auto"/>
          <w:highlight w:val="none"/>
          <w:u w:val="single"/>
        </w:rPr>
        <w:t xml:space="preserve">      </w:t>
      </w:r>
      <w:r>
        <w:rPr>
          <w:rFonts w:hint="eastAsia"/>
          <w:color w:val="auto"/>
          <w:highlight w:val="none"/>
        </w:rPr>
        <w:t>％ ，即</w:t>
      </w:r>
      <w:r>
        <w:rPr>
          <w:rFonts w:hint="eastAsia"/>
          <w:color w:val="auto"/>
          <w:highlight w:val="none"/>
          <w:u w:val="single"/>
        </w:rPr>
        <w:t xml:space="preserve">          </w:t>
      </w:r>
      <w:r>
        <w:rPr>
          <w:rFonts w:hint="eastAsia"/>
          <w:color w:val="auto"/>
          <w:highlight w:val="none"/>
        </w:rPr>
        <w:t>元。</w:t>
      </w:r>
    </w:p>
    <w:p w14:paraId="669B3EFE">
      <w:pPr>
        <w:tabs>
          <w:tab w:val="left" w:pos="0"/>
        </w:tabs>
        <w:spacing w:line="288" w:lineRule="auto"/>
        <w:ind w:left="480" w:leftChars="200"/>
        <w:rPr>
          <w:color w:val="auto"/>
          <w:highlight w:val="none"/>
        </w:rPr>
      </w:pPr>
      <w:r>
        <w:rPr>
          <w:rFonts w:hint="eastAsia"/>
          <w:color w:val="auto"/>
          <w:highlight w:val="none"/>
        </w:rPr>
        <w:t>4.尾款：本项目合同金额的</w:t>
      </w:r>
      <w:r>
        <w:rPr>
          <w:rFonts w:hint="eastAsia"/>
          <w:color w:val="auto"/>
          <w:highlight w:val="none"/>
          <w:u w:val="single"/>
        </w:rPr>
        <w:t xml:space="preserve">       </w:t>
      </w:r>
      <w:r>
        <w:rPr>
          <w:rFonts w:hint="eastAsia"/>
          <w:color w:val="auto"/>
          <w:highlight w:val="none"/>
        </w:rPr>
        <w:t>％ ，即</w:t>
      </w:r>
      <w:r>
        <w:rPr>
          <w:rFonts w:hint="eastAsia"/>
          <w:color w:val="auto"/>
          <w:highlight w:val="none"/>
          <w:u w:val="single"/>
        </w:rPr>
        <w:t xml:space="preserve">          </w:t>
      </w:r>
      <w:r>
        <w:rPr>
          <w:rFonts w:hint="eastAsia"/>
          <w:color w:val="auto"/>
          <w:highlight w:val="none"/>
        </w:rPr>
        <w:t>元。支付方式：</w:t>
      </w:r>
      <w:r>
        <w:rPr>
          <w:rFonts w:hint="eastAsia"/>
          <w:color w:val="auto"/>
          <w:highlight w:val="none"/>
          <w:u w:val="single"/>
        </w:rPr>
        <w:t xml:space="preserve">        </w:t>
      </w:r>
      <w:r>
        <w:rPr>
          <w:rFonts w:hint="eastAsia"/>
          <w:color w:val="auto"/>
          <w:highlight w:val="none"/>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14:paraId="1851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7C90B35B">
            <w:pPr>
              <w:wordWrap w:val="0"/>
              <w:topLinePunct/>
              <w:spacing w:line="440" w:lineRule="exact"/>
              <w:jc w:val="center"/>
              <w:rPr>
                <w:b/>
                <w:color w:val="auto"/>
                <w:highlight w:val="none"/>
              </w:rPr>
            </w:pPr>
            <w:r>
              <w:rPr>
                <w:rFonts w:hint="eastAsia"/>
                <w:b/>
                <w:color w:val="auto"/>
                <w:highlight w:val="none"/>
              </w:rPr>
              <w:t>付款阶段</w:t>
            </w:r>
          </w:p>
        </w:tc>
        <w:tc>
          <w:tcPr>
            <w:tcW w:w="3827" w:type="dxa"/>
            <w:vAlign w:val="center"/>
          </w:tcPr>
          <w:p w14:paraId="5A19E4BE">
            <w:pPr>
              <w:wordWrap w:val="0"/>
              <w:topLinePunct/>
              <w:spacing w:line="440" w:lineRule="exact"/>
              <w:jc w:val="center"/>
              <w:rPr>
                <w:b/>
                <w:color w:val="auto"/>
                <w:highlight w:val="none"/>
              </w:rPr>
            </w:pPr>
            <w:r>
              <w:rPr>
                <w:rFonts w:hint="eastAsia"/>
                <w:b/>
                <w:color w:val="auto"/>
                <w:highlight w:val="none"/>
              </w:rPr>
              <w:t>付款额度</w:t>
            </w:r>
          </w:p>
        </w:tc>
        <w:tc>
          <w:tcPr>
            <w:tcW w:w="3402" w:type="dxa"/>
            <w:vAlign w:val="center"/>
          </w:tcPr>
          <w:p w14:paraId="7B0A7597">
            <w:pPr>
              <w:wordWrap w:val="0"/>
              <w:topLinePunct/>
              <w:spacing w:line="440" w:lineRule="exact"/>
              <w:jc w:val="center"/>
              <w:rPr>
                <w:b/>
                <w:color w:val="auto"/>
                <w:highlight w:val="none"/>
              </w:rPr>
            </w:pPr>
            <w:r>
              <w:rPr>
                <w:rFonts w:hint="eastAsia"/>
                <w:b/>
                <w:color w:val="auto"/>
                <w:highlight w:val="none"/>
              </w:rPr>
              <w:t>付款时间</w:t>
            </w:r>
          </w:p>
        </w:tc>
      </w:tr>
      <w:tr w14:paraId="0887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05745DA7">
            <w:pPr>
              <w:wordWrap w:val="0"/>
              <w:topLinePunct/>
              <w:spacing w:line="440" w:lineRule="exact"/>
              <w:jc w:val="center"/>
              <w:rPr>
                <w:color w:val="auto"/>
                <w:highlight w:val="none"/>
              </w:rPr>
            </w:pPr>
            <w:r>
              <w:rPr>
                <w:rFonts w:hint="eastAsia"/>
                <w:color w:val="auto"/>
                <w:highlight w:val="none"/>
              </w:rPr>
              <w:t>预付款</w:t>
            </w:r>
          </w:p>
        </w:tc>
        <w:tc>
          <w:tcPr>
            <w:tcW w:w="3827" w:type="dxa"/>
            <w:vAlign w:val="center"/>
          </w:tcPr>
          <w:p w14:paraId="5BDD952C">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2AA1B6AB">
            <w:pPr>
              <w:wordWrap w:val="0"/>
              <w:topLinePunct/>
              <w:spacing w:line="440" w:lineRule="exact"/>
              <w:rPr>
                <w:color w:val="auto"/>
                <w:highlight w:val="none"/>
              </w:rPr>
            </w:pPr>
            <w:r>
              <w:rPr>
                <w:rFonts w:hint="eastAsia"/>
                <w:color w:val="auto"/>
                <w:highlight w:val="none"/>
              </w:rPr>
              <w:t>合同生效后7个工作日内，即_____年_____月_____日。</w:t>
            </w:r>
          </w:p>
        </w:tc>
      </w:tr>
      <w:tr w14:paraId="0C74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6F284D4F">
            <w:pPr>
              <w:wordWrap w:val="0"/>
              <w:topLinePunct/>
              <w:spacing w:line="440" w:lineRule="exact"/>
              <w:jc w:val="center"/>
              <w:rPr>
                <w:color w:val="auto"/>
                <w:highlight w:val="none"/>
              </w:rPr>
            </w:pPr>
            <w:r>
              <w:rPr>
                <w:rFonts w:hint="eastAsia"/>
                <w:color w:val="auto"/>
                <w:highlight w:val="none"/>
              </w:rPr>
              <w:t>二期款</w:t>
            </w:r>
          </w:p>
        </w:tc>
        <w:tc>
          <w:tcPr>
            <w:tcW w:w="3827" w:type="dxa"/>
            <w:vAlign w:val="center"/>
          </w:tcPr>
          <w:p w14:paraId="5E5E5DAC">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26B023BC">
            <w:pPr>
              <w:wordWrap w:val="0"/>
              <w:topLinePunct/>
              <w:spacing w:line="440" w:lineRule="exact"/>
              <w:rPr>
                <w:color w:val="auto"/>
                <w:highlight w:val="none"/>
              </w:rPr>
            </w:pPr>
            <w:r>
              <w:rPr>
                <w:rFonts w:hint="eastAsia"/>
                <w:color w:val="auto"/>
                <w:highlight w:val="none"/>
              </w:rPr>
              <w:t>收到发票后5个工作日内，</w:t>
            </w:r>
          </w:p>
          <w:p w14:paraId="001E9A9B">
            <w:pPr>
              <w:wordWrap w:val="0"/>
              <w:topLinePunct/>
              <w:spacing w:line="440" w:lineRule="exact"/>
              <w:rPr>
                <w:color w:val="auto"/>
                <w:highlight w:val="none"/>
              </w:rPr>
            </w:pPr>
            <w:r>
              <w:rPr>
                <w:rFonts w:hint="eastAsia"/>
                <w:color w:val="auto"/>
                <w:highlight w:val="none"/>
              </w:rPr>
              <w:t>即_____年_____月_____日。</w:t>
            </w:r>
          </w:p>
        </w:tc>
      </w:tr>
      <w:tr w14:paraId="3374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645FD22B">
            <w:pPr>
              <w:wordWrap w:val="0"/>
              <w:topLinePunct/>
              <w:spacing w:line="440" w:lineRule="exact"/>
              <w:jc w:val="center"/>
              <w:rPr>
                <w:color w:val="auto"/>
                <w:highlight w:val="none"/>
              </w:rPr>
            </w:pPr>
            <w:r>
              <w:rPr>
                <w:rFonts w:hint="eastAsia"/>
                <w:color w:val="auto"/>
                <w:highlight w:val="none"/>
              </w:rPr>
              <w:t>三期款</w:t>
            </w:r>
          </w:p>
        </w:tc>
        <w:tc>
          <w:tcPr>
            <w:tcW w:w="3827" w:type="dxa"/>
            <w:vAlign w:val="center"/>
          </w:tcPr>
          <w:p w14:paraId="7A0E1A73">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5BB18C1B">
            <w:pPr>
              <w:wordWrap w:val="0"/>
              <w:topLinePunct/>
              <w:spacing w:line="440" w:lineRule="exact"/>
              <w:rPr>
                <w:color w:val="auto"/>
                <w:highlight w:val="none"/>
              </w:rPr>
            </w:pPr>
            <w:r>
              <w:rPr>
                <w:rFonts w:hint="eastAsia"/>
                <w:color w:val="auto"/>
                <w:highlight w:val="none"/>
              </w:rPr>
              <w:t>收到发票后5个工作日内，</w:t>
            </w:r>
          </w:p>
          <w:p w14:paraId="7CF9C1E6">
            <w:pPr>
              <w:wordWrap w:val="0"/>
              <w:topLinePunct/>
              <w:spacing w:line="440" w:lineRule="exact"/>
              <w:rPr>
                <w:color w:val="auto"/>
                <w:highlight w:val="none"/>
              </w:rPr>
            </w:pPr>
            <w:r>
              <w:rPr>
                <w:rFonts w:hint="eastAsia"/>
                <w:color w:val="auto"/>
                <w:highlight w:val="none"/>
              </w:rPr>
              <w:t>即_____年_____月_____日。</w:t>
            </w:r>
          </w:p>
        </w:tc>
      </w:tr>
      <w:tr w14:paraId="1392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5C21BA7A">
            <w:pPr>
              <w:wordWrap w:val="0"/>
              <w:topLinePunct/>
              <w:spacing w:line="440" w:lineRule="exact"/>
              <w:jc w:val="center"/>
              <w:rPr>
                <w:color w:val="auto"/>
                <w:highlight w:val="none"/>
              </w:rPr>
            </w:pPr>
          </w:p>
        </w:tc>
        <w:tc>
          <w:tcPr>
            <w:tcW w:w="3827" w:type="dxa"/>
            <w:vAlign w:val="center"/>
          </w:tcPr>
          <w:p w14:paraId="2B30FBE7">
            <w:pPr>
              <w:wordWrap w:val="0"/>
              <w:topLinePunct/>
              <w:spacing w:line="440" w:lineRule="exact"/>
              <w:jc w:val="center"/>
              <w:rPr>
                <w:color w:val="auto"/>
                <w:highlight w:val="none"/>
              </w:rPr>
            </w:pPr>
            <w:r>
              <w:rPr>
                <w:rFonts w:hint="eastAsia"/>
                <w:color w:val="auto"/>
                <w:highlight w:val="none"/>
              </w:rPr>
              <w:t>……</w:t>
            </w:r>
          </w:p>
        </w:tc>
        <w:tc>
          <w:tcPr>
            <w:tcW w:w="3402" w:type="dxa"/>
            <w:vAlign w:val="center"/>
          </w:tcPr>
          <w:p w14:paraId="1996982B">
            <w:pPr>
              <w:wordWrap w:val="0"/>
              <w:topLinePunct/>
              <w:spacing w:line="440" w:lineRule="exact"/>
              <w:rPr>
                <w:color w:val="auto"/>
                <w:highlight w:val="none"/>
              </w:rPr>
            </w:pPr>
          </w:p>
        </w:tc>
      </w:tr>
    </w:tbl>
    <w:p w14:paraId="4AD5D32F">
      <w:pPr>
        <w:rPr>
          <w:color w:val="auto"/>
          <w:highlight w:val="none"/>
        </w:rPr>
      </w:pPr>
      <w:r>
        <w:rPr>
          <w:rFonts w:hint="eastAsia"/>
          <w:color w:val="auto"/>
          <w:highlight w:val="none"/>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14:paraId="6B8978FB">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第八条：履约保证金</w:t>
      </w:r>
    </w:p>
    <w:p w14:paraId="1D9832CF">
      <w:pPr>
        <w:spacing w:line="440" w:lineRule="exact"/>
        <w:ind w:firstLine="480" w:firstLineChars="200"/>
        <w:rPr>
          <w:color w:val="auto"/>
          <w:highlight w:val="none"/>
        </w:rPr>
      </w:pPr>
      <w:r>
        <w:rPr>
          <w:rFonts w:hint="eastAsia"/>
          <w:color w:val="auto"/>
          <w:highlight w:val="none"/>
        </w:rPr>
        <w:t>1.乙方需提交合同价</w:t>
      </w:r>
      <w:r>
        <w:rPr>
          <w:rFonts w:hint="eastAsia"/>
          <w:color w:val="auto"/>
          <w:highlight w:val="none"/>
          <w:u w:val="single"/>
        </w:rPr>
        <w:t>1</w:t>
      </w:r>
      <w:r>
        <w:rPr>
          <w:rFonts w:hint="eastAsia"/>
          <w:color w:val="auto"/>
          <w:highlight w:val="none"/>
        </w:rPr>
        <w:t>%的履约保证金。乙方</w:t>
      </w:r>
      <w:r>
        <w:rPr>
          <w:rFonts w:hint="eastAsia"/>
          <w:color w:val="auto"/>
          <w:highlight w:val="none"/>
          <w:lang w:val="zh-CN"/>
        </w:rPr>
        <w:t>应在合同签订后</w:t>
      </w:r>
      <w:r>
        <w:rPr>
          <w:rFonts w:hint="eastAsia"/>
          <w:color w:val="auto"/>
          <w:highlight w:val="none"/>
        </w:rPr>
        <w:t>5</w:t>
      </w:r>
      <w:r>
        <w:rPr>
          <w:rFonts w:hint="eastAsia"/>
          <w:color w:val="auto"/>
          <w:highlight w:val="none"/>
          <w:lang w:val="zh-CN"/>
        </w:rPr>
        <w:t>个工作日内</w:t>
      </w:r>
      <w:r>
        <w:rPr>
          <w:rFonts w:hint="eastAsia"/>
          <w:color w:val="auto"/>
          <w:highlight w:val="none"/>
        </w:rPr>
        <w:t>，以支票、汇票、本票或者金融机构、担保机构出具的保函等非现金形式（特别说明：鼓励和支持供应商以银行、保险公司出具的保函形式提供履约保证金。采购人可根据杭州市政府采购网公布的供应商履约评价情况减免履约保证金。）</w:t>
      </w:r>
    </w:p>
    <w:p w14:paraId="2350EA27">
      <w:pPr>
        <w:snapToGrid w:val="0"/>
        <w:spacing w:line="440" w:lineRule="exact"/>
        <w:ind w:firstLine="480" w:firstLineChars="200"/>
        <w:rPr>
          <w:color w:val="auto"/>
          <w:highlight w:val="none"/>
        </w:rPr>
      </w:pPr>
      <w:r>
        <w:rPr>
          <w:rFonts w:hint="eastAsia"/>
          <w:snapToGrid w:val="0"/>
          <w:color w:val="auto"/>
          <w:kern w:val="0"/>
          <w:highlight w:val="none"/>
        </w:rPr>
        <w:t>2.履约期满，通过验收，甲方于收到乙方退还履约保证金申请之日起</w:t>
      </w:r>
      <w:r>
        <w:rPr>
          <w:rFonts w:hint="eastAsia"/>
          <w:snapToGrid w:val="0"/>
          <w:color w:val="auto"/>
          <w:kern w:val="0"/>
          <w:highlight w:val="none"/>
          <w:u w:val="single"/>
        </w:rPr>
        <w:t xml:space="preserve">     </w:t>
      </w:r>
      <w:r>
        <w:rPr>
          <w:rFonts w:hint="eastAsia"/>
          <w:snapToGrid w:val="0"/>
          <w:color w:val="auto"/>
          <w:kern w:val="0"/>
          <w:highlight w:val="none"/>
        </w:rPr>
        <w:t>个工作日内退还乙方履约保证金。甲方无故逾期退还的，按照每逾期一日支付履约保证金5‰的额度承担违约责任。</w:t>
      </w:r>
    </w:p>
    <w:p w14:paraId="20689D3C">
      <w:pPr>
        <w:spacing w:line="440" w:lineRule="exact"/>
        <w:ind w:firstLine="480" w:firstLineChars="200"/>
        <w:rPr>
          <w:color w:val="auto"/>
          <w:highlight w:val="none"/>
        </w:rPr>
      </w:pPr>
      <w:r>
        <w:rPr>
          <w:rFonts w:hint="eastAsia"/>
          <w:color w:val="auto"/>
          <w:highlight w:val="none"/>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7E4FC5F">
      <w:pPr>
        <w:spacing w:line="440" w:lineRule="exact"/>
        <w:ind w:firstLine="482" w:firstLineChars="200"/>
        <w:rPr>
          <w:b/>
          <w:bCs/>
          <w:color w:val="auto"/>
          <w:highlight w:val="none"/>
        </w:rPr>
      </w:pPr>
      <w:r>
        <w:rPr>
          <w:rFonts w:hint="eastAsia"/>
          <w:b/>
          <w:bCs/>
          <w:color w:val="auto"/>
          <w:highlight w:val="none"/>
        </w:rPr>
        <w:t>第九条：售后服务</w:t>
      </w:r>
    </w:p>
    <w:p w14:paraId="0B6E4009">
      <w:pPr>
        <w:pStyle w:val="477"/>
        <w:spacing w:beforeLines="0" w:afterLines="0" w:line="440" w:lineRule="exact"/>
        <w:ind w:firstLine="480" w:firstLineChars="200"/>
        <w:rPr>
          <w:color w:val="auto"/>
          <w:highlight w:val="none"/>
        </w:rPr>
      </w:pPr>
      <w:r>
        <w:rPr>
          <w:rFonts w:hint="eastAsia"/>
          <w:color w:val="auto"/>
          <w:highlight w:val="none"/>
        </w:rPr>
        <w:t>乙方应根据投标文件提供相关售后服务承诺：</w:t>
      </w:r>
    </w:p>
    <w:p w14:paraId="61818042">
      <w:pPr>
        <w:pStyle w:val="477"/>
        <w:numPr>
          <w:ilvl w:val="0"/>
          <w:numId w:val="4"/>
        </w:numPr>
        <w:spacing w:beforeLines="0" w:afterLines="0" w:line="440" w:lineRule="exact"/>
        <w:ind w:left="0" w:firstLine="480" w:firstLineChars="200"/>
        <w:rPr>
          <w:color w:val="auto"/>
          <w:highlight w:val="none"/>
        </w:rPr>
      </w:pPr>
      <w:r>
        <w:rPr>
          <w:rFonts w:hint="eastAsia"/>
          <w:color w:val="auto"/>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color w:val="auto"/>
          <w:highlight w:val="none"/>
          <w:u w:val="single"/>
        </w:rPr>
        <w:t xml:space="preserve">      </w:t>
      </w:r>
      <w:r>
        <w:rPr>
          <w:rFonts w:hint="eastAsia"/>
          <w:color w:val="auto"/>
          <w:highlight w:val="none"/>
        </w:rPr>
        <w:t>个月。</w:t>
      </w:r>
    </w:p>
    <w:p w14:paraId="37CBA4E7">
      <w:pPr>
        <w:pStyle w:val="477"/>
        <w:numPr>
          <w:ilvl w:val="0"/>
          <w:numId w:val="4"/>
        </w:numPr>
        <w:spacing w:beforeLines="0" w:afterLines="0" w:line="440" w:lineRule="exact"/>
        <w:ind w:left="0" w:firstLine="480" w:firstLineChars="200"/>
        <w:rPr>
          <w:color w:val="auto"/>
          <w:highlight w:val="none"/>
        </w:rPr>
      </w:pPr>
      <w:r>
        <w:rPr>
          <w:rFonts w:hint="eastAsia"/>
          <w:color w:val="auto"/>
          <w:highlight w:val="none"/>
        </w:rPr>
        <w:t>乙方在售后服务期内应对提供的所有货物进行常规检查、调整等。</w:t>
      </w:r>
    </w:p>
    <w:p w14:paraId="0834FBD4">
      <w:pPr>
        <w:pStyle w:val="477"/>
        <w:numPr>
          <w:ilvl w:val="0"/>
          <w:numId w:val="4"/>
        </w:numPr>
        <w:spacing w:beforeLines="0" w:afterLines="0" w:line="440" w:lineRule="exact"/>
        <w:ind w:left="0" w:firstLine="480" w:firstLineChars="200"/>
        <w:rPr>
          <w:color w:val="auto"/>
          <w:highlight w:val="none"/>
        </w:rPr>
      </w:pPr>
      <w:r>
        <w:rPr>
          <w:rFonts w:hint="eastAsia"/>
          <w:color w:val="auto"/>
          <w:highlight w:val="none"/>
        </w:rPr>
        <w:t>乙方负责对甲方人员的全免（含交通食宿）集中技术培训（≥</w:t>
      </w:r>
      <w:r>
        <w:rPr>
          <w:rFonts w:hint="eastAsia"/>
          <w:color w:val="auto"/>
          <w:highlight w:val="none"/>
          <w:u w:val="single"/>
        </w:rPr>
        <w:t xml:space="preserve">    </w:t>
      </w:r>
      <w:r>
        <w:rPr>
          <w:rFonts w:hint="eastAsia"/>
          <w:color w:val="auto"/>
          <w:highlight w:val="none"/>
        </w:rPr>
        <w:t>人），及不少于</w:t>
      </w:r>
      <w:r>
        <w:rPr>
          <w:rFonts w:hint="eastAsia"/>
          <w:color w:val="auto"/>
          <w:highlight w:val="none"/>
          <w:u w:val="single"/>
        </w:rPr>
        <w:t xml:space="preserve">       </w:t>
      </w:r>
      <w:r>
        <w:rPr>
          <w:rFonts w:hint="eastAsia"/>
          <w:color w:val="auto"/>
          <w:highlight w:val="none"/>
        </w:rPr>
        <w:t>年的免费售后现场技术服务。</w:t>
      </w:r>
    </w:p>
    <w:p w14:paraId="5FBDAAC4">
      <w:pPr>
        <w:pStyle w:val="477"/>
        <w:numPr>
          <w:ilvl w:val="0"/>
          <w:numId w:val="4"/>
        </w:numPr>
        <w:spacing w:beforeLines="0" w:afterLines="0" w:line="440" w:lineRule="exact"/>
        <w:ind w:left="0" w:firstLine="480" w:firstLineChars="200"/>
        <w:rPr>
          <w:color w:val="auto"/>
          <w:highlight w:val="none"/>
        </w:rPr>
      </w:pPr>
      <w:r>
        <w:rPr>
          <w:rFonts w:hint="eastAsia"/>
          <w:color w:val="auto"/>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6B08EBAB">
      <w:pPr>
        <w:pStyle w:val="477"/>
        <w:numPr>
          <w:ilvl w:val="0"/>
          <w:numId w:val="4"/>
        </w:numPr>
        <w:spacing w:beforeLines="0" w:afterLines="0" w:line="440" w:lineRule="exact"/>
        <w:ind w:left="0" w:firstLine="480" w:firstLineChars="200"/>
        <w:rPr>
          <w:color w:val="auto"/>
          <w:highlight w:val="none"/>
        </w:rPr>
      </w:pPr>
      <w:r>
        <w:rPr>
          <w:rFonts w:hint="eastAsia"/>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048441BC">
      <w:pPr>
        <w:pStyle w:val="477"/>
        <w:numPr>
          <w:ilvl w:val="0"/>
          <w:numId w:val="4"/>
        </w:numPr>
        <w:spacing w:beforeLines="0" w:afterLines="0" w:line="440" w:lineRule="exact"/>
        <w:ind w:left="0" w:firstLine="480" w:firstLineChars="200"/>
        <w:rPr>
          <w:color w:val="auto"/>
          <w:highlight w:val="none"/>
        </w:rPr>
      </w:pPr>
      <w:r>
        <w:rPr>
          <w:rFonts w:hint="eastAsia"/>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49D53D9B">
      <w:pPr>
        <w:pStyle w:val="477"/>
        <w:numPr>
          <w:ilvl w:val="0"/>
          <w:numId w:val="4"/>
        </w:numPr>
        <w:spacing w:beforeLines="0" w:afterLines="0" w:line="440" w:lineRule="exact"/>
        <w:ind w:left="0" w:firstLine="480" w:firstLineChars="200"/>
        <w:rPr>
          <w:color w:val="auto"/>
          <w:highlight w:val="none"/>
        </w:rPr>
      </w:pPr>
      <w:r>
        <w:rPr>
          <w:rFonts w:hint="eastAsia"/>
          <w:color w:val="auto"/>
          <w:highlight w:val="none"/>
        </w:rPr>
        <w:t>乙方应提供电话、电子邮件、现场服务等方式的7*24小时的技术支持。若设备发生故障，乙方应在接到通知之时起</w:t>
      </w:r>
      <w:r>
        <w:rPr>
          <w:rFonts w:hint="eastAsia"/>
          <w:color w:val="auto"/>
          <w:highlight w:val="none"/>
          <w:u w:val="single"/>
        </w:rPr>
        <w:t xml:space="preserve">   </w:t>
      </w:r>
      <w:r>
        <w:rPr>
          <w:rFonts w:hint="eastAsia"/>
          <w:color w:val="auto"/>
          <w:highlight w:val="none"/>
        </w:rPr>
        <w:t>小时内赶赴现场处理问题。一般故障</w:t>
      </w:r>
      <w:r>
        <w:rPr>
          <w:rFonts w:hint="eastAsia"/>
          <w:color w:val="auto"/>
          <w:highlight w:val="none"/>
          <w:u w:val="single"/>
        </w:rPr>
        <w:t xml:space="preserve">   </w:t>
      </w:r>
      <w:r>
        <w:rPr>
          <w:rFonts w:hint="eastAsia"/>
          <w:color w:val="auto"/>
          <w:highlight w:val="none"/>
        </w:rPr>
        <w:t>小时内解决，重大故障</w:t>
      </w:r>
      <w:r>
        <w:rPr>
          <w:rFonts w:hint="eastAsia"/>
          <w:color w:val="auto"/>
          <w:highlight w:val="none"/>
          <w:u w:val="single"/>
        </w:rPr>
        <w:t xml:space="preserve">   </w:t>
      </w:r>
      <w:r>
        <w:rPr>
          <w:rFonts w:hint="eastAsia"/>
          <w:color w:val="auto"/>
          <w:highlight w:val="none"/>
        </w:rPr>
        <w:t>小时内解决。</w:t>
      </w:r>
    </w:p>
    <w:p w14:paraId="3B73C5DD">
      <w:pPr>
        <w:pStyle w:val="477"/>
        <w:numPr>
          <w:ilvl w:val="0"/>
          <w:numId w:val="4"/>
        </w:numPr>
        <w:spacing w:beforeLines="0" w:afterLines="0" w:line="440" w:lineRule="exact"/>
        <w:ind w:left="0" w:firstLine="480" w:firstLineChars="200"/>
        <w:rPr>
          <w:color w:val="auto"/>
          <w:highlight w:val="none"/>
        </w:rPr>
      </w:pPr>
      <w:r>
        <w:rPr>
          <w:rFonts w:hint="eastAsia"/>
          <w:color w:val="auto"/>
          <w:highlight w:val="none"/>
        </w:rPr>
        <w:t>如投标文件中承诺优于本条规定或其他本条未涉及的承诺，按投标文件中承诺执行。</w:t>
      </w:r>
    </w:p>
    <w:p w14:paraId="51A45770">
      <w:pPr>
        <w:widowControl/>
        <w:wordWrap w:val="0"/>
        <w:topLinePunct/>
        <w:adjustRightInd w:val="0"/>
        <w:spacing w:line="440" w:lineRule="exact"/>
        <w:ind w:firstLine="482" w:firstLineChars="200"/>
        <w:jc w:val="left"/>
        <w:textAlignment w:val="baseline"/>
        <w:rPr>
          <w:b/>
          <w:bCs/>
          <w:color w:val="auto"/>
          <w:kern w:val="0"/>
          <w:highlight w:val="none"/>
        </w:rPr>
      </w:pPr>
      <w:r>
        <w:rPr>
          <w:rFonts w:hint="eastAsia"/>
          <w:b/>
          <w:bCs/>
          <w:color w:val="auto"/>
          <w:kern w:val="0"/>
          <w:highlight w:val="none"/>
        </w:rPr>
        <w:t>第十条：违约责任</w:t>
      </w:r>
    </w:p>
    <w:p w14:paraId="389F004C">
      <w:pPr>
        <w:widowControl/>
        <w:shd w:val="clear" w:color="auto" w:fill="FFFFFF"/>
        <w:wordWrap w:val="0"/>
        <w:topLinePunct/>
        <w:adjustRightInd w:val="0"/>
        <w:spacing w:line="440" w:lineRule="exact"/>
        <w:ind w:firstLine="480" w:firstLineChars="200"/>
        <w:jc w:val="left"/>
        <w:textAlignment w:val="baseline"/>
        <w:rPr>
          <w:rFonts w:hint="eastAsia"/>
          <w:bCs/>
          <w:color w:val="auto"/>
          <w:highlight w:val="none"/>
        </w:rPr>
      </w:pPr>
      <w:r>
        <w:rPr>
          <w:rFonts w:hint="eastAsia"/>
          <w:bCs/>
          <w:color w:val="auto"/>
          <w:highlight w:val="none"/>
          <w:lang w:val="en-US" w:eastAsia="zh-CN"/>
        </w:rPr>
        <w:t>1.</w:t>
      </w:r>
      <w:r>
        <w:rPr>
          <w:rFonts w:hint="eastAsia"/>
          <w:bCs/>
          <w:color w:val="auto"/>
          <w:highlight w:val="none"/>
        </w:rPr>
        <w:t>除不可抗力外，如果乙方没有按照本合同约定的期限、地点和方式交付标的物，那么甲方可要求乙方支付违约金，违约金按每迟延交付标的物一日的应交付而未交付标的物价格的万分之五计算，最高限额为本合同总价的</w:t>
      </w:r>
      <w:r>
        <w:rPr>
          <w:rFonts w:hint="eastAsia"/>
          <w:bCs/>
          <w:color w:val="auto"/>
          <w:highlight w:val="none"/>
          <w:u w:val="single"/>
        </w:rPr>
        <w:t xml:space="preserve">  20  </w:t>
      </w:r>
      <w:r>
        <w:rPr>
          <w:rFonts w:hint="eastAsia"/>
          <w:bCs/>
          <w:color w:val="auto"/>
          <w:highlight w:val="none"/>
        </w:rPr>
        <w:t>%；迟延交付标的物的违约金计算数额达到前述最高限额之日起，甲方有权在要求乙方支付违约金的同时，书面通知乙方解除本合同；</w:t>
      </w:r>
    </w:p>
    <w:p w14:paraId="356A23CD">
      <w:pPr>
        <w:widowControl/>
        <w:shd w:val="clear" w:color="auto" w:fill="FFFFFF"/>
        <w:wordWrap w:val="0"/>
        <w:topLinePunct/>
        <w:adjustRightInd w:val="0"/>
        <w:spacing w:line="440" w:lineRule="exact"/>
        <w:ind w:firstLine="480" w:firstLineChars="200"/>
        <w:jc w:val="left"/>
        <w:textAlignment w:val="baseline"/>
        <w:rPr>
          <w:rFonts w:hint="eastAsia"/>
          <w:bCs/>
          <w:color w:val="auto"/>
          <w:highlight w:val="none"/>
        </w:rPr>
      </w:pPr>
      <w:r>
        <w:rPr>
          <w:rFonts w:hint="eastAsia"/>
          <w:bCs/>
          <w:color w:val="auto"/>
          <w:highlight w:val="none"/>
          <w:lang w:val="en-US" w:eastAsia="zh-CN"/>
        </w:rPr>
        <w:t>2.</w:t>
      </w:r>
      <w:r>
        <w:rPr>
          <w:rFonts w:hint="eastAsia"/>
          <w:bCs/>
          <w:color w:val="auto"/>
          <w:highlight w:val="none"/>
        </w:rPr>
        <w:t>除不可抗力外，如果甲方没有按照本合同约定的付款方式付款，那么乙方可要求甲方支付违约金，违约金按每迟延付款一日的应付而未付款的万分之五计算，最高限额为本合同总价的</w:t>
      </w:r>
      <w:r>
        <w:rPr>
          <w:rFonts w:hint="eastAsia"/>
          <w:bCs/>
          <w:color w:val="auto"/>
          <w:highlight w:val="none"/>
          <w:u w:val="single"/>
        </w:rPr>
        <w:t xml:space="preserve">  20  </w:t>
      </w:r>
      <w:r>
        <w:rPr>
          <w:rFonts w:hint="eastAsia"/>
          <w:bCs/>
          <w:color w:val="auto"/>
          <w:highlight w:val="none"/>
        </w:rPr>
        <w:t>%；迟延付款的违约金计算数额达到前述最高限额之日起，乙方有权在要求甲方支付违约金的同时，书面通知甲方解除本合同；</w:t>
      </w:r>
    </w:p>
    <w:p w14:paraId="0317BE02">
      <w:pPr>
        <w:widowControl/>
        <w:shd w:val="clear" w:color="auto" w:fill="FFFFFF"/>
        <w:wordWrap w:val="0"/>
        <w:topLinePunct/>
        <w:adjustRightInd w:val="0"/>
        <w:spacing w:line="440" w:lineRule="exact"/>
        <w:ind w:firstLine="480" w:firstLineChars="200"/>
        <w:jc w:val="left"/>
        <w:textAlignment w:val="baseline"/>
        <w:rPr>
          <w:rFonts w:hint="eastAsia"/>
          <w:bCs/>
          <w:color w:val="auto"/>
          <w:highlight w:val="none"/>
        </w:rPr>
      </w:pPr>
      <w:r>
        <w:rPr>
          <w:rFonts w:hint="eastAsia"/>
          <w:bCs/>
          <w:color w:val="auto"/>
          <w:highlight w:val="none"/>
          <w:lang w:val="en-US" w:eastAsia="zh-CN"/>
        </w:rPr>
        <w:t>3.</w:t>
      </w:r>
      <w:r>
        <w:rPr>
          <w:rFonts w:hint="eastAsia"/>
          <w:bCs/>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5AEA99">
      <w:pPr>
        <w:widowControl/>
        <w:shd w:val="clear" w:color="auto" w:fill="FFFFFF"/>
        <w:wordWrap w:val="0"/>
        <w:topLinePunct/>
        <w:adjustRightInd w:val="0"/>
        <w:spacing w:line="440" w:lineRule="exact"/>
        <w:ind w:firstLine="480" w:firstLineChars="200"/>
        <w:jc w:val="left"/>
        <w:textAlignment w:val="baseline"/>
        <w:rPr>
          <w:rFonts w:hint="eastAsia"/>
          <w:bCs/>
          <w:color w:val="auto"/>
          <w:highlight w:val="none"/>
        </w:rPr>
      </w:pPr>
      <w:r>
        <w:rPr>
          <w:rFonts w:hint="eastAsia"/>
          <w:bCs/>
          <w:color w:val="auto"/>
          <w:highlight w:val="none"/>
          <w:lang w:val="en-US" w:eastAsia="zh-CN"/>
        </w:rPr>
        <w:t>4.</w:t>
      </w:r>
      <w:r>
        <w:rPr>
          <w:rFonts w:hint="eastAsia"/>
          <w:bCs/>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0222D38">
      <w:pPr>
        <w:widowControl/>
        <w:shd w:val="clear" w:color="auto" w:fill="FFFFFF"/>
        <w:wordWrap w:val="0"/>
        <w:topLinePunct/>
        <w:adjustRightInd w:val="0"/>
        <w:spacing w:line="440" w:lineRule="exact"/>
        <w:ind w:firstLine="480" w:firstLineChars="200"/>
        <w:jc w:val="left"/>
        <w:textAlignment w:val="baseline"/>
        <w:rPr>
          <w:rFonts w:hint="eastAsia"/>
          <w:bCs/>
          <w:color w:val="auto"/>
          <w:highlight w:val="none"/>
        </w:rPr>
      </w:pPr>
      <w:r>
        <w:rPr>
          <w:rFonts w:hint="eastAsia"/>
          <w:bCs/>
          <w:color w:val="auto"/>
          <w:highlight w:val="none"/>
          <w:lang w:val="en-US" w:eastAsia="zh-CN"/>
        </w:rPr>
        <w:t>5.</w:t>
      </w:r>
      <w:r>
        <w:rPr>
          <w:rFonts w:hint="eastAsia"/>
          <w:bCs/>
          <w:color w:val="auto"/>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250996">
      <w:pPr>
        <w:widowControl/>
        <w:shd w:val="clear" w:color="auto" w:fill="FFFFFF"/>
        <w:wordWrap w:val="0"/>
        <w:topLinePunct/>
        <w:adjustRightInd w:val="0"/>
        <w:spacing w:line="440" w:lineRule="exact"/>
        <w:ind w:firstLine="480" w:firstLineChars="200"/>
        <w:jc w:val="left"/>
        <w:textAlignment w:val="baseline"/>
        <w:rPr>
          <w:color w:val="auto"/>
          <w:highlight w:val="none"/>
        </w:rPr>
      </w:pPr>
      <w:r>
        <w:rPr>
          <w:rFonts w:hint="eastAsia"/>
          <w:bCs/>
          <w:color w:val="auto"/>
          <w:highlight w:val="none"/>
          <w:lang w:val="en-US" w:eastAsia="zh-CN"/>
        </w:rPr>
        <w:t>6.</w:t>
      </w:r>
      <w:r>
        <w:rPr>
          <w:rFonts w:hint="eastAsia"/>
          <w:bCs/>
          <w:color w:val="auto"/>
          <w:highlight w:val="none"/>
        </w:rPr>
        <w:t>如果出现政府采购监督管理部门在处理投诉事项期间，书面通知甲方暂停采购活动的情形，或者询问或质疑事项可能影响中标结果的，导致甲方中止履行合同的情</w:t>
      </w:r>
      <w:r>
        <w:rPr>
          <w:rFonts w:hint="eastAsia"/>
          <w:color w:val="auto"/>
          <w:highlight w:val="none"/>
        </w:rPr>
        <w:t>形，均不视为甲方违约。</w:t>
      </w:r>
    </w:p>
    <w:p w14:paraId="14EF25EC">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第十一条：不可抗力事件处理</w:t>
      </w:r>
    </w:p>
    <w:p w14:paraId="1369CDFF">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14:paraId="0214B01B">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14:paraId="6932B930">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14:paraId="7E2CAE6F">
      <w:pPr>
        <w:spacing w:line="440" w:lineRule="exact"/>
        <w:ind w:firstLine="482" w:firstLineChars="200"/>
        <w:rPr>
          <w:b/>
          <w:bCs/>
          <w:color w:val="auto"/>
          <w:highlight w:val="none"/>
        </w:rPr>
      </w:pPr>
      <w:r>
        <w:rPr>
          <w:rFonts w:hint="eastAsia"/>
          <w:b/>
          <w:bCs/>
          <w:color w:val="auto"/>
          <w:highlight w:val="none"/>
        </w:rPr>
        <w:t>第十二条：合同的变更、中止和终止</w:t>
      </w:r>
    </w:p>
    <w:p w14:paraId="0443BF46">
      <w:pPr>
        <w:widowControl/>
        <w:shd w:val="clear" w:color="auto" w:fill="FFFFFF"/>
        <w:wordWrap w:val="0"/>
        <w:topLinePunct/>
        <w:adjustRightInd w:val="0"/>
        <w:spacing w:line="440" w:lineRule="exact"/>
        <w:ind w:firstLine="480" w:firstLineChars="200"/>
        <w:jc w:val="left"/>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A85B545">
      <w:pPr>
        <w:widowControl/>
        <w:shd w:val="clear" w:color="auto" w:fill="FFFFFF"/>
        <w:wordWrap w:val="0"/>
        <w:topLinePunct/>
        <w:adjustRightInd w:val="0"/>
        <w:spacing w:line="440" w:lineRule="exact"/>
        <w:ind w:firstLine="480" w:firstLineChars="200"/>
        <w:jc w:val="left"/>
        <w:textAlignment w:val="baseline"/>
        <w:rPr>
          <w:rFonts w:hint="eastAsia"/>
          <w:color w:val="auto"/>
          <w:highlight w:val="none"/>
        </w:rPr>
      </w:pPr>
      <w:r>
        <w:rPr>
          <w:rFonts w:hint="eastAsia"/>
          <w:color w:val="auto"/>
          <w:highlight w:val="none"/>
          <w:lang w:val="en-US" w:eastAsia="zh-CN"/>
        </w:rPr>
        <w:t>2.</w:t>
      </w:r>
      <w:r>
        <w:rPr>
          <w:rFonts w:hint="eastAsia"/>
          <w:color w:val="auto"/>
          <w:highlight w:val="none"/>
        </w:rPr>
        <w:t>双方当事人不得擅自中止或者终止合同；</w:t>
      </w:r>
    </w:p>
    <w:p w14:paraId="2216737A">
      <w:pPr>
        <w:widowControl/>
        <w:shd w:val="clear" w:color="auto" w:fill="FFFFFF"/>
        <w:wordWrap w:val="0"/>
        <w:topLinePunct/>
        <w:adjustRightInd w:val="0"/>
        <w:spacing w:line="440" w:lineRule="exact"/>
        <w:ind w:firstLine="480" w:firstLineChars="200"/>
        <w:jc w:val="left"/>
        <w:textAlignment w:val="baseline"/>
        <w:rPr>
          <w:rFonts w:hint="eastAsia"/>
          <w:color w:val="auto"/>
          <w:highlight w:val="none"/>
        </w:rPr>
      </w:pPr>
      <w:r>
        <w:rPr>
          <w:rFonts w:hint="eastAsia"/>
          <w:color w:val="auto"/>
          <w:highlight w:val="none"/>
          <w:lang w:val="en-US" w:eastAsia="zh-CN"/>
        </w:rPr>
        <w:t>3.</w:t>
      </w:r>
      <w:r>
        <w:rPr>
          <w:rFonts w:hint="eastAsia"/>
          <w:color w:val="auto"/>
          <w:highlight w:val="none"/>
        </w:rPr>
        <w:t>合同继续履行将损害国家利益和社会公共利益的，双方当事人应当以书面形式变更、中止或者终止合同。有过错的一方应当承担赔偿责任，双方当事人都有过错的，各自承担相应的责任。</w:t>
      </w:r>
    </w:p>
    <w:p w14:paraId="136E1539">
      <w:pPr>
        <w:widowControl/>
        <w:shd w:val="clear" w:color="auto" w:fill="FFFFFF"/>
        <w:wordWrap w:val="0"/>
        <w:topLinePunct/>
        <w:adjustRightInd w:val="0"/>
        <w:spacing w:line="440" w:lineRule="exact"/>
        <w:ind w:firstLine="480" w:firstLineChars="200"/>
        <w:jc w:val="left"/>
        <w:textAlignment w:val="baseline"/>
        <w:rPr>
          <w:b/>
          <w:bCs/>
          <w:color w:val="auto"/>
          <w:highlight w:val="none"/>
        </w:rPr>
      </w:pPr>
      <w:r>
        <w:rPr>
          <w:rFonts w:hint="eastAsia"/>
          <w:color w:val="auto"/>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16758853">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第十三条：争议的解决</w:t>
      </w:r>
    </w:p>
    <w:p w14:paraId="13BD9193">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本合同为政府采购之合同，在发生产品/服务质量问题时，甲方有权直接向乙方索赔，签订必要的书面处理协议。如协商不成，任何一方有权在合同签约地选择仲裁或诉讼的途径解决。</w:t>
      </w:r>
    </w:p>
    <w:p w14:paraId="30E69532">
      <w:pPr>
        <w:widowControl/>
        <w:shd w:val="clear" w:color="auto" w:fill="FFFFFF"/>
        <w:wordWrap w:val="0"/>
        <w:topLinePunct/>
        <w:adjustRightInd w:val="0"/>
        <w:spacing w:line="440" w:lineRule="exact"/>
        <w:ind w:firstLine="482" w:firstLineChars="200"/>
        <w:jc w:val="left"/>
        <w:textAlignment w:val="baseline"/>
        <w:rPr>
          <w:b/>
          <w:color w:val="auto"/>
          <w:kern w:val="0"/>
          <w:highlight w:val="none"/>
        </w:rPr>
      </w:pPr>
      <w:r>
        <w:rPr>
          <w:rFonts w:hint="eastAsia"/>
          <w:b/>
          <w:bCs/>
          <w:color w:val="auto"/>
          <w:highlight w:val="none"/>
        </w:rPr>
        <w:t>第十四条：</w:t>
      </w:r>
      <w:r>
        <w:rPr>
          <w:rFonts w:hint="eastAsia"/>
          <w:b/>
          <w:color w:val="auto"/>
          <w:kern w:val="0"/>
          <w:highlight w:val="none"/>
        </w:rPr>
        <w:t>合同的生效</w:t>
      </w:r>
    </w:p>
    <w:p w14:paraId="58C45A21">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本合同经甲方、乙方法定代表人或其委托人签字并加盖双方公章后生效。</w:t>
      </w:r>
    </w:p>
    <w:p w14:paraId="6C841755">
      <w:pPr>
        <w:widowControl/>
        <w:shd w:val="clear" w:color="auto" w:fill="FFFFFF"/>
        <w:wordWrap w:val="0"/>
        <w:topLinePunct/>
        <w:adjustRightInd w:val="0"/>
        <w:spacing w:line="440" w:lineRule="exact"/>
        <w:ind w:firstLine="480" w:firstLineChars="200"/>
        <w:jc w:val="left"/>
        <w:textAlignment w:val="baseline"/>
        <w:rPr>
          <w:rFonts w:cs="仿宋_GB2312"/>
          <w:color w:val="auto"/>
          <w:kern w:val="0"/>
          <w:highlight w:val="none"/>
        </w:rPr>
      </w:pPr>
      <w:r>
        <w:rPr>
          <w:rFonts w:hint="eastAsia" w:cs="仿宋_GB2312"/>
          <w:color w:val="auto"/>
          <w:kern w:val="0"/>
          <w:highlight w:val="none"/>
        </w:rPr>
        <w:t>本合同壹式肆份，甲乙双方各执贰份。</w:t>
      </w:r>
    </w:p>
    <w:p w14:paraId="0E5DDA06">
      <w:pPr>
        <w:spacing w:line="440" w:lineRule="exact"/>
        <w:ind w:firstLine="482" w:firstLineChars="200"/>
        <w:rPr>
          <w:b/>
          <w:bCs/>
          <w:color w:val="auto"/>
          <w:highlight w:val="none"/>
        </w:rPr>
      </w:pPr>
      <w:r>
        <w:rPr>
          <w:rFonts w:hint="eastAsia"/>
          <w:b/>
          <w:bCs/>
          <w:color w:val="auto"/>
          <w:highlight w:val="none"/>
        </w:rPr>
        <w:t>第十五条：适用法律</w:t>
      </w:r>
    </w:p>
    <w:p w14:paraId="79724C96">
      <w:pPr>
        <w:spacing w:line="440" w:lineRule="exact"/>
        <w:ind w:firstLine="480" w:firstLineChars="200"/>
        <w:rPr>
          <w:color w:val="auto"/>
          <w:highlight w:val="none"/>
        </w:rPr>
      </w:pPr>
      <w:r>
        <w:rPr>
          <w:rFonts w:hint="eastAsia"/>
          <w:color w:val="auto"/>
          <w:highlight w:val="none"/>
        </w:rPr>
        <w:t>本合同按照中华人民共和国现行法律、法规进行解释。</w:t>
      </w:r>
    </w:p>
    <w:p w14:paraId="2B95E09C">
      <w:pPr>
        <w:spacing w:line="440" w:lineRule="exact"/>
        <w:ind w:firstLine="482" w:firstLineChars="200"/>
        <w:rPr>
          <w:b/>
          <w:bCs/>
          <w:color w:val="auto"/>
          <w:highlight w:val="none"/>
        </w:rPr>
      </w:pPr>
      <w:r>
        <w:rPr>
          <w:rFonts w:hint="eastAsia"/>
          <w:b/>
          <w:bCs/>
          <w:color w:val="auto"/>
          <w:highlight w:val="none"/>
        </w:rPr>
        <w:t>第十六条：特别说明</w:t>
      </w:r>
    </w:p>
    <w:p w14:paraId="3E657DED">
      <w:pPr>
        <w:numPr>
          <w:ilvl w:val="0"/>
          <w:numId w:val="5"/>
        </w:numPr>
        <w:spacing w:line="440" w:lineRule="exact"/>
        <w:ind w:left="0" w:firstLine="480" w:firstLineChars="200"/>
        <w:rPr>
          <w:color w:val="auto"/>
          <w:highlight w:val="none"/>
        </w:rPr>
      </w:pPr>
      <w:r>
        <w:rPr>
          <w:rFonts w:hint="eastAsia"/>
          <w:color w:val="auto"/>
          <w:highlight w:val="none"/>
        </w:rPr>
        <w:t>除招标文件规定，并经甲方和相关部门事先书面同意外，乙方不得部分转让和分包或全部转让和分包其应履行的合同义务。</w:t>
      </w:r>
    </w:p>
    <w:p w14:paraId="3CE4BB0F">
      <w:pPr>
        <w:numPr>
          <w:ilvl w:val="0"/>
          <w:numId w:val="5"/>
        </w:numPr>
        <w:spacing w:line="440" w:lineRule="exact"/>
        <w:ind w:left="0" w:firstLine="480" w:firstLineChars="200"/>
        <w:rPr>
          <w:color w:val="auto"/>
          <w:highlight w:val="none"/>
        </w:rPr>
      </w:pPr>
      <w:r>
        <w:rPr>
          <w:rFonts w:hint="eastAsia"/>
          <w:color w:val="auto"/>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3A3E8A48">
      <w:pPr>
        <w:spacing w:line="440" w:lineRule="exact"/>
        <w:ind w:left="480" w:leftChars="200"/>
        <w:rPr>
          <w:color w:val="auto"/>
          <w:highlight w:val="none"/>
        </w:rPr>
      </w:pPr>
      <w:r>
        <w:rPr>
          <w:rFonts w:hint="eastAsia"/>
          <w:color w:val="auto"/>
          <w:highlight w:val="none"/>
        </w:rPr>
        <w:t>3.甲方及乙方在此承诺：</w:t>
      </w:r>
    </w:p>
    <w:p w14:paraId="3658182A">
      <w:pPr>
        <w:spacing w:line="440" w:lineRule="exact"/>
        <w:ind w:firstLine="480" w:firstLineChars="200"/>
        <w:rPr>
          <w:color w:val="auto"/>
          <w:highlight w:val="none"/>
        </w:rPr>
      </w:pPr>
      <w:r>
        <w:rPr>
          <w:rFonts w:hint="eastAsia"/>
          <w:color w:val="auto"/>
          <w:highlight w:val="none"/>
        </w:rPr>
        <w:t>（1）在签署本合同之前详细阅读并理解本合同文本全文，且均在完全自愿与平等的法律地位基础上签署本合同。</w:t>
      </w:r>
    </w:p>
    <w:p w14:paraId="0637F324">
      <w:pPr>
        <w:spacing w:line="440" w:lineRule="exact"/>
        <w:ind w:firstLine="480" w:firstLineChars="200"/>
        <w:rPr>
          <w:color w:val="auto"/>
          <w:highlight w:val="none"/>
        </w:rPr>
      </w:pPr>
      <w:r>
        <w:rPr>
          <w:rFonts w:hint="eastAsia"/>
          <w:color w:val="auto"/>
          <w:highlight w:val="none"/>
        </w:rPr>
        <w:t>（2）承诺放弃以本合同系属于格式合同为由而提出不利于对方的合同条款的解释的相关主张权。</w:t>
      </w:r>
    </w:p>
    <w:p w14:paraId="7FD69ACB">
      <w:pPr>
        <w:spacing w:line="440" w:lineRule="exact"/>
        <w:ind w:firstLine="480" w:firstLineChars="200"/>
        <w:rPr>
          <w:color w:val="auto"/>
          <w:highlight w:val="none"/>
        </w:rPr>
      </w:pPr>
      <w:r>
        <w:rPr>
          <w:rFonts w:hint="eastAsia"/>
          <w:color w:val="auto"/>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684BAEA0">
      <w:pPr>
        <w:widowControl/>
        <w:overflowPunct w:val="0"/>
        <w:autoSpaceDE w:val="0"/>
        <w:autoSpaceDN w:val="0"/>
        <w:adjustRightInd w:val="0"/>
        <w:snapToGrid w:val="0"/>
        <w:spacing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14:paraId="0C98298F">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法定代表人或受委托人（签字或盖章）         法定代表人或受委托人（签字或盖章）</w:t>
      </w:r>
    </w:p>
    <w:p w14:paraId="1A7EC118">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14:paraId="7F61B28F">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color w:val="auto"/>
          <w:kern w:val="0"/>
          <w:highlight w:val="none"/>
        </w:rPr>
      </w:pPr>
      <w:r>
        <w:rPr>
          <w:rFonts w:hint="eastAsia" w:cs="仿宋_GB2312"/>
          <w:color w:val="auto"/>
          <w:kern w:val="0"/>
          <w:highlight w:val="none"/>
        </w:rPr>
        <w:t>电话：                               电话：</w:t>
      </w:r>
    </w:p>
    <w:p w14:paraId="00526952">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color w:val="auto"/>
          <w:kern w:val="0"/>
          <w:highlight w:val="none"/>
        </w:rPr>
      </w:pPr>
    </w:p>
    <w:p w14:paraId="48560F4E">
      <w:pPr>
        <w:pageBreakBefore w:val="0"/>
        <w:widowControl/>
        <w:kinsoku/>
        <w:overflowPunct w:val="0"/>
        <w:autoSpaceDE w:val="0"/>
        <w:autoSpaceDN w:val="0"/>
        <w:bidi w:val="0"/>
        <w:adjustRightInd w:val="0"/>
        <w:snapToGrid w:val="0"/>
        <w:spacing w:beforeAutospacing="0" w:afterAutospacing="0" w:line="440" w:lineRule="exact"/>
        <w:ind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14:paraId="066188F0">
      <w:pPr>
        <w:pageBreakBefore w:val="0"/>
        <w:widowControl/>
        <w:kinsoku/>
        <w:overflowPunct w:val="0"/>
        <w:autoSpaceDE w:val="0"/>
        <w:autoSpaceDN w:val="0"/>
        <w:bidi w:val="0"/>
        <w:adjustRightInd w:val="0"/>
        <w:snapToGrid w:val="0"/>
        <w:spacing w:beforeAutospacing="0" w:afterAutospacing="0" w:line="440" w:lineRule="exact"/>
        <w:ind w:left="-2" w:leftChars="-1" w:firstLine="4320" w:firstLineChars="1800"/>
        <w:jc w:val="left"/>
        <w:textAlignment w:val="baseline"/>
        <w:rPr>
          <w:b/>
          <w:color w:val="auto"/>
          <w:kern w:val="0"/>
          <w:highlight w:val="none"/>
        </w:rPr>
        <w:sectPr>
          <w:pgSz w:w="11906" w:h="16838"/>
          <w:pgMar w:top="1417" w:right="1418" w:bottom="1417" w:left="1588" w:header="851" w:footer="992" w:gutter="0"/>
          <w:cols w:space="0" w:num="1"/>
          <w:docGrid w:type="lines" w:linePitch="312" w:charSpace="0"/>
        </w:sectPr>
      </w:pPr>
      <w:r>
        <w:rPr>
          <w:rFonts w:hint="eastAsia" w:cs="仿宋_GB2312"/>
          <w:color w:val="auto"/>
          <w:kern w:val="0"/>
          <w:highlight w:val="none"/>
        </w:rPr>
        <w:t>签约地点</w:t>
      </w:r>
      <w:r>
        <w:rPr>
          <w:rFonts w:hint="eastAsia" w:cs="仿宋_GB2312"/>
          <w:color w:val="auto"/>
          <w:kern w:val="0"/>
          <w:highlight w:val="none"/>
          <w:lang w:eastAsia="zh-CN"/>
        </w:rPr>
        <w:t>：</w:t>
      </w:r>
    </w:p>
    <w:p w14:paraId="0B83F61B">
      <w:pPr>
        <w:pStyle w:val="4"/>
        <w:pageBreakBefore w:val="0"/>
        <w:kinsoku/>
        <w:bidi w:val="0"/>
        <w:spacing w:beforeAutospacing="0" w:afterAutospacing="0" w:line="440" w:lineRule="exact"/>
        <w:rPr>
          <w:color w:val="auto"/>
          <w:highlight w:val="none"/>
        </w:rPr>
      </w:pPr>
      <w:r>
        <w:rPr>
          <w:rFonts w:hint="eastAsia"/>
          <w:color w:val="auto"/>
          <w:highlight w:val="none"/>
        </w:rPr>
        <w:t>第六章 投标文件格式附件</w:t>
      </w:r>
      <w:bookmarkEnd w:id="4"/>
    </w:p>
    <w:p w14:paraId="62EA374F">
      <w:pPr>
        <w:pageBreakBefore w:val="0"/>
        <w:widowControl/>
        <w:kinsoku/>
        <w:wordWrap w:val="0"/>
        <w:topLinePunct/>
        <w:bidi w:val="0"/>
        <w:snapToGrid w:val="0"/>
        <w:spacing w:beforeAutospacing="0" w:afterAutospacing="0" w:line="440" w:lineRule="exact"/>
        <w:rPr>
          <w:b/>
          <w:color w:val="auto"/>
          <w:kern w:val="0"/>
          <w:sz w:val="28"/>
          <w:highlight w:val="none"/>
        </w:rPr>
      </w:pPr>
    </w:p>
    <w:p w14:paraId="0252D2F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投标人提交投标文件须知：</w:t>
      </w:r>
    </w:p>
    <w:p w14:paraId="5DE0660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359BD25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（二）所附表格中要求回答的全部问题、信息都必须正面回答。</w:t>
      </w:r>
    </w:p>
    <w:p w14:paraId="43D3210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（三）投标函的签字人应保证全部声明和问题的回答是真实的和准确的。</w:t>
      </w:r>
    </w:p>
    <w:p w14:paraId="5F8331B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（四）评标委员会将应用投标人提交的资料作出自己的判断。</w:t>
      </w:r>
    </w:p>
    <w:p w14:paraId="0399F01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（五）投标人提交的材料将在一定期限内被保密保存，但不退还。</w:t>
      </w:r>
    </w:p>
    <w:p w14:paraId="13DD6C03">
      <w:pPr>
        <w:pageBreakBefore w:val="0"/>
        <w:kinsoku/>
        <w:wordWrap w:val="0"/>
        <w:topLinePunct/>
        <w:bidi w:val="0"/>
        <w:spacing w:beforeAutospacing="0" w:afterAutospacing="0" w:line="440" w:lineRule="exact"/>
        <w:ind w:firstLine="480" w:firstLineChars="200"/>
        <w:rPr>
          <w:b w:val="0"/>
          <w:bCs w:val="0"/>
          <w:color w:val="auto"/>
          <w:highlight w:val="none"/>
        </w:rPr>
      </w:pPr>
      <w:r>
        <w:rPr>
          <w:rFonts w:hint="eastAsia"/>
          <w:color w:val="auto"/>
          <w:highlight w:val="none"/>
        </w:rPr>
        <w:t>（六）</w:t>
      </w:r>
      <w:r>
        <w:rPr>
          <w:rFonts w:hint="eastAsia" w:ascii="仿宋" w:hAnsi="仿宋" w:cs="仿宋"/>
          <w:color w:val="auto"/>
          <w:highlight w:val="none"/>
        </w:rPr>
        <w:t>电子投标文件，需按</w:t>
      </w:r>
      <w:r>
        <w:rPr>
          <w:rFonts w:hint="eastAsia" w:cs="仿宋"/>
          <w:color w:val="auto"/>
          <w:highlight w:val="none"/>
          <w:lang w:eastAsia="zh-CN"/>
        </w:rPr>
        <w:t>富小采平台</w:t>
      </w:r>
      <w:r>
        <w:rPr>
          <w:rFonts w:hint="eastAsia" w:ascii="仿宋" w:hAnsi="仿宋" w:cs="仿宋"/>
          <w:color w:val="auto"/>
          <w:highlight w:val="none"/>
        </w:rPr>
        <w:t>项目采购－电子招投标操作指南及本招标文件要求递交。电子投标文件均由资格文件、技术及商务文件、报价文件组成。投标人务必</w:t>
      </w:r>
      <w:r>
        <w:rPr>
          <w:rFonts w:hint="eastAsia" w:ascii="仿宋" w:hAnsi="仿宋" w:cs="仿宋"/>
          <w:b w:val="0"/>
          <w:bCs w:val="0"/>
          <w:color w:val="auto"/>
          <w:highlight w:val="none"/>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71823980">
      <w:pPr>
        <w:pageBreakBefore w:val="0"/>
        <w:kinsoku/>
        <w:bidi w:val="0"/>
        <w:spacing w:beforeAutospacing="0" w:afterAutospacing="0" w:line="440" w:lineRule="exact"/>
        <w:rPr>
          <w:b w:val="0"/>
          <w:bCs w:val="0"/>
          <w:color w:val="auto"/>
          <w:sz w:val="36"/>
          <w:szCs w:val="36"/>
          <w:highlight w:val="none"/>
        </w:rPr>
      </w:pPr>
      <w:r>
        <w:rPr>
          <w:b w:val="0"/>
          <w:bCs w:val="0"/>
          <w:color w:val="auto"/>
          <w:sz w:val="36"/>
          <w:szCs w:val="36"/>
          <w:highlight w:val="none"/>
        </w:rPr>
        <w:br w:type="page"/>
      </w:r>
    </w:p>
    <w:p w14:paraId="1051EE3D">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38ABCA2E">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2920A2D5">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0ECCBB35">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资格文件</w:t>
      </w:r>
    </w:p>
    <w:p w14:paraId="619781D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14:paraId="3A46561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182914B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11C7117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62888BA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highlight w:val="none"/>
        </w:rPr>
      </w:pPr>
    </w:p>
    <w:p w14:paraId="0E3E9A3E">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14:paraId="1B6A641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color w:val="auto"/>
          <w:highlight w:val="none"/>
        </w:rPr>
      </w:pPr>
    </w:p>
    <w:p w14:paraId="186F0D9A">
      <w:pPr>
        <w:pageBreakBefore w:val="0"/>
        <w:kinsoku/>
        <w:bidi w:val="0"/>
        <w:spacing w:beforeAutospacing="0" w:afterAutospacing="0" w:line="440" w:lineRule="exact"/>
        <w:jc w:val="left"/>
        <w:rPr>
          <w:color w:val="auto"/>
          <w:highlight w:val="none"/>
        </w:rPr>
      </w:pPr>
    </w:p>
    <w:p w14:paraId="470FAAD4">
      <w:pPr>
        <w:pageBreakBefore w:val="0"/>
        <w:kinsoku/>
        <w:bidi w:val="0"/>
        <w:snapToGrid w:val="0"/>
        <w:spacing w:beforeAutospacing="0" w:afterAutospacing="0" w:line="440" w:lineRule="exact"/>
        <w:ind w:firstLine="630" w:firstLineChars="196"/>
        <w:rPr>
          <w:rFonts w:hint="eastAsia"/>
          <w:b/>
          <w:color w:val="auto"/>
          <w:sz w:val="32"/>
          <w:highlight w:val="none"/>
        </w:rPr>
      </w:pPr>
      <w:r>
        <w:rPr>
          <w:rFonts w:hint="eastAsia"/>
          <w:b/>
          <w:color w:val="auto"/>
          <w:sz w:val="32"/>
          <w:highlight w:val="none"/>
        </w:rPr>
        <w:br w:type="page"/>
      </w:r>
    </w:p>
    <w:p w14:paraId="49D0F68E">
      <w:pPr>
        <w:pageBreakBefore w:val="0"/>
        <w:kinsoku/>
        <w:bidi w:val="0"/>
        <w:snapToGrid w:val="0"/>
        <w:spacing w:beforeAutospacing="0" w:afterAutospacing="0" w:line="440" w:lineRule="exact"/>
        <w:ind w:firstLine="630" w:firstLineChars="196"/>
        <w:rPr>
          <w:rFonts w:hint="eastAsia"/>
          <w:b/>
          <w:color w:val="auto"/>
          <w:sz w:val="32"/>
          <w:highlight w:val="none"/>
        </w:rPr>
      </w:pPr>
    </w:p>
    <w:p w14:paraId="1D30921D">
      <w:pPr>
        <w:pageBreakBefore w:val="0"/>
        <w:kinsoku/>
        <w:bidi w:val="0"/>
        <w:snapToGrid w:val="0"/>
        <w:spacing w:beforeAutospacing="0" w:afterAutospacing="0" w:line="440" w:lineRule="exact"/>
        <w:ind w:firstLine="630" w:firstLineChars="196"/>
        <w:rPr>
          <w:rFonts w:hint="eastAsia"/>
          <w:b/>
          <w:color w:val="auto"/>
          <w:sz w:val="32"/>
          <w:highlight w:val="none"/>
        </w:rPr>
      </w:pPr>
    </w:p>
    <w:p w14:paraId="36ACDA09">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color w:val="auto"/>
          <w:sz w:val="32"/>
          <w:szCs w:val="32"/>
          <w:highlight w:val="none"/>
        </w:rPr>
      </w:pPr>
    </w:p>
    <w:p w14:paraId="2CD9FECF">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472A3D1">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color w:val="auto"/>
          <w:kern w:val="2"/>
          <w:sz w:val="24"/>
          <w:szCs w:val="24"/>
          <w:highlight w:val="none"/>
          <w:lang w:val="en-US" w:eastAsia="zh-CN" w:bidi="ar-SA"/>
        </w:rPr>
      </w:pPr>
    </w:p>
    <w:p w14:paraId="7A3C5C9F">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rPr>
          <w:color w:val="auto"/>
          <w:highlight w:val="none"/>
        </w:rPr>
      </w:pPr>
    </w:p>
    <w:p w14:paraId="2CADEA75">
      <w:pPr>
        <w:pStyle w:val="5"/>
        <w:rPr>
          <w:color w:val="auto"/>
          <w:highlight w:val="none"/>
        </w:rPr>
      </w:pPr>
    </w:p>
    <w:p w14:paraId="67C3757D">
      <w:pPr>
        <w:rPr>
          <w:color w:val="auto"/>
          <w:highlight w:val="none"/>
        </w:rPr>
      </w:pPr>
    </w:p>
    <w:p w14:paraId="083A7C67">
      <w:pPr>
        <w:rPr>
          <w:color w:val="auto"/>
          <w:highlight w:val="none"/>
        </w:rPr>
      </w:pPr>
    </w:p>
    <w:p w14:paraId="38C6E833">
      <w:pPr>
        <w:pStyle w:val="106"/>
        <w:rPr>
          <w:color w:val="auto"/>
          <w:highlight w:val="none"/>
        </w:rPr>
      </w:pPr>
    </w:p>
    <w:p w14:paraId="51C6256D">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44B92D74">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color w:val="auto"/>
          <w:szCs w:val="24"/>
          <w:highlight w:val="none"/>
        </w:rPr>
      </w:pPr>
    </w:p>
    <w:p w14:paraId="645F4817">
      <w:pPr>
        <w:pStyle w:val="8"/>
        <w:pageBreakBefore w:val="0"/>
        <w:kinsoku/>
        <w:bidi w:val="0"/>
        <w:spacing w:before="0" w:beforeAutospacing="0" w:after="0" w:afterAutospacing="0" w:line="440" w:lineRule="exact"/>
        <w:rPr>
          <w:color w:val="auto"/>
          <w:highlight w:val="none"/>
          <w:u w:val="single"/>
        </w:rPr>
      </w:pPr>
    </w:p>
    <w:p w14:paraId="2FE4A781">
      <w:pPr>
        <w:pageBreakBefore w:val="0"/>
        <w:kinsoku/>
        <w:bidi w:val="0"/>
        <w:spacing w:beforeAutospacing="0" w:afterAutospacing="0" w:line="440" w:lineRule="exact"/>
        <w:rPr>
          <w:color w:val="auto"/>
          <w:highlight w:val="none"/>
          <w:u w:val="single"/>
        </w:rPr>
      </w:pPr>
    </w:p>
    <w:p w14:paraId="4BEE508C">
      <w:pPr>
        <w:pStyle w:val="8"/>
        <w:pageBreakBefore w:val="0"/>
        <w:kinsoku/>
        <w:bidi w:val="0"/>
        <w:spacing w:before="0" w:beforeAutospacing="0" w:after="0" w:afterAutospacing="0" w:line="440" w:lineRule="exact"/>
        <w:ind w:left="0" w:firstLine="0"/>
        <w:rPr>
          <w:color w:val="auto"/>
          <w:highlight w:val="none"/>
        </w:rPr>
      </w:pPr>
    </w:p>
    <w:p w14:paraId="6EFCE345">
      <w:pPr>
        <w:pageBreakBefore w:val="0"/>
        <w:kinsoku/>
        <w:bidi w:val="0"/>
        <w:spacing w:beforeAutospacing="0" w:afterAutospacing="0" w:line="440" w:lineRule="exact"/>
        <w:rPr>
          <w:color w:val="auto"/>
          <w:highlight w:val="none"/>
        </w:rPr>
      </w:pPr>
    </w:p>
    <w:p w14:paraId="13897003">
      <w:pPr>
        <w:pStyle w:val="5"/>
        <w:pageBreakBefore w:val="0"/>
        <w:kinsoku/>
        <w:bidi w:val="0"/>
        <w:spacing w:before="0" w:beforeAutospacing="0" w:after="0" w:afterAutospacing="0" w:line="440" w:lineRule="exact"/>
        <w:rPr>
          <w:color w:val="auto"/>
          <w:highlight w:val="none"/>
        </w:rPr>
      </w:pPr>
    </w:p>
    <w:p w14:paraId="34645E40">
      <w:pPr>
        <w:pageBreakBefore w:val="0"/>
        <w:kinsoku/>
        <w:bidi w:val="0"/>
        <w:spacing w:beforeAutospacing="0" w:afterAutospacing="0" w:line="440" w:lineRule="exact"/>
        <w:rPr>
          <w:color w:val="auto"/>
          <w:highlight w:val="none"/>
        </w:rPr>
      </w:pPr>
    </w:p>
    <w:p w14:paraId="5E5B006C">
      <w:pPr>
        <w:pageBreakBefore w:val="0"/>
        <w:kinsoku/>
        <w:bidi w:val="0"/>
        <w:spacing w:beforeAutospacing="0" w:afterAutospacing="0" w:line="440" w:lineRule="exact"/>
        <w:rPr>
          <w:color w:val="auto"/>
          <w:highlight w:val="none"/>
        </w:rPr>
      </w:pPr>
    </w:p>
    <w:p w14:paraId="300F54D5">
      <w:pPr>
        <w:pageBreakBefore w:val="0"/>
        <w:kinsoku/>
        <w:bidi w:val="0"/>
        <w:snapToGrid w:val="0"/>
        <w:spacing w:beforeAutospacing="0" w:afterAutospacing="0" w:line="440" w:lineRule="exact"/>
        <w:jc w:val="both"/>
        <w:rPr>
          <w:rFonts w:hint="eastAsia"/>
          <w:b/>
          <w:color w:val="auto"/>
          <w:sz w:val="32"/>
          <w:szCs w:val="32"/>
          <w:highlight w:val="none"/>
        </w:rPr>
      </w:pPr>
    </w:p>
    <w:p w14:paraId="50F63DE9">
      <w:pPr>
        <w:pStyle w:val="106"/>
        <w:rPr>
          <w:rFonts w:hint="eastAsia"/>
          <w:b/>
          <w:color w:val="auto"/>
          <w:sz w:val="32"/>
          <w:szCs w:val="32"/>
          <w:highlight w:val="none"/>
        </w:rPr>
      </w:pPr>
    </w:p>
    <w:p w14:paraId="7F460944">
      <w:pPr>
        <w:rPr>
          <w:rFonts w:hint="eastAsia"/>
          <w:b/>
          <w:color w:val="auto"/>
          <w:sz w:val="32"/>
          <w:szCs w:val="32"/>
          <w:highlight w:val="none"/>
        </w:rPr>
      </w:pPr>
    </w:p>
    <w:p w14:paraId="6452AA08">
      <w:pPr>
        <w:pageBreakBefore w:val="0"/>
        <w:kinsoku/>
        <w:bidi w:val="0"/>
        <w:snapToGrid w:val="0"/>
        <w:spacing w:beforeAutospacing="0" w:afterAutospacing="0" w:line="440" w:lineRule="exact"/>
        <w:jc w:val="center"/>
        <w:rPr>
          <w:rFonts w:hint="eastAsia"/>
          <w:b/>
          <w:color w:val="auto"/>
          <w:sz w:val="32"/>
          <w:szCs w:val="32"/>
          <w:highlight w:val="none"/>
        </w:rPr>
      </w:pPr>
    </w:p>
    <w:p w14:paraId="4F6253CD">
      <w:pPr>
        <w:pageBreakBefore w:val="0"/>
        <w:kinsoku/>
        <w:bidi w:val="0"/>
        <w:snapToGrid w:val="0"/>
        <w:spacing w:beforeAutospacing="0" w:afterAutospacing="0" w:line="440" w:lineRule="exact"/>
        <w:jc w:val="center"/>
        <w:rPr>
          <w:rFonts w:hint="eastAsia"/>
          <w:b/>
          <w:color w:val="auto"/>
          <w:sz w:val="32"/>
          <w:szCs w:val="32"/>
          <w:highlight w:val="none"/>
        </w:rPr>
      </w:pPr>
    </w:p>
    <w:p w14:paraId="4A59A6BB">
      <w:pPr>
        <w:snapToGrid w:val="0"/>
        <w:spacing w:line="360" w:lineRule="auto"/>
        <w:ind w:right="480"/>
        <w:jc w:val="center"/>
        <w:rPr>
          <w:rFonts w:hint="eastAsia" w:ascii="仿宋_GB2312" w:hAnsi="宋体" w:eastAsia="仿宋_GB2312" w:cs="Times New Roman"/>
          <w:b/>
          <w:bCs w:val="0"/>
          <w:color w:val="auto"/>
          <w:kern w:val="2"/>
          <w:sz w:val="21"/>
          <w:szCs w:val="21"/>
          <w:highlight w:val="none"/>
          <w:lang w:val="en-US" w:eastAsia="zh-CN" w:bidi="ar-SA"/>
        </w:rPr>
      </w:pPr>
    </w:p>
    <w:p w14:paraId="6001B851">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_GB2312" w:hAnsi="宋体" w:eastAsia="仿宋_GB2312" w:cs="Times New Roman"/>
          <w:b/>
          <w:bCs w:val="0"/>
          <w:color w:val="auto"/>
          <w:kern w:val="2"/>
          <w:sz w:val="32"/>
          <w:szCs w:val="32"/>
          <w:highlight w:val="none"/>
          <w:lang w:val="en-US" w:eastAsia="zh-CN" w:bidi="ar-SA"/>
        </w:rPr>
        <w:t>符合参加采购活动应当具备的一般条件的承诺函</w:t>
      </w:r>
    </w:p>
    <w:p w14:paraId="7AB72BC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auto"/>
          <w:sz w:val="24"/>
          <w:szCs w:val="24"/>
          <w:highlight w:val="none"/>
          <w:u w:val="single"/>
        </w:rPr>
      </w:pPr>
      <w:r>
        <w:rPr>
          <w:rFonts w:hint="eastAsia" w:cs="仿宋"/>
          <w:bCs/>
          <w:color w:val="auto"/>
          <w:sz w:val="24"/>
          <w:szCs w:val="24"/>
          <w:highlight w:val="none"/>
          <w:u w:val="single"/>
          <w:lang w:eastAsia="zh-CN"/>
        </w:rPr>
        <w:t>（采购人）、华诚工程咨询集团有限公司</w:t>
      </w:r>
      <w:r>
        <w:rPr>
          <w:rFonts w:hint="eastAsia" w:ascii="仿宋" w:hAnsi="仿宋" w:eastAsia="仿宋" w:cs="仿宋"/>
          <w:bCs/>
          <w:color w:val="auto"/>
          <w:sz w:val="24"/>
          <w:szCs w:val="24"/>
          <w:highlight w:val="none"/>
          <w:u w:val="single"/>
        </w:rPr>
        <w:t>：</w:t>
      </w:r>
    </w:p>
    <w:p w14:paraId="0EF5BD4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eastAsia="zh-CN"/>
        </w:rPr>
        <w:t>新登镇台诚塔山府（塔山花园）安置房物业服务采购项目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lang w:val="en-US" w:eastAsia="zh-CN"/>
        </w:rPr>
        <w:t xml:space="preserve">   项目</w:t>
      </w:r>
      <w:r>
        <w:rPr>
          <w:rFonts w:hint="eastAsia" w:ascii="仿宋" w:hAnsi="仿宋" w:eastAsia="仿宋" w:cs="仿宋"/>
          <w:color w:val="auto"/>
          <w:sz w:val="24"/>
          <w:szCs w:val="24"/>
          <w:highlight w:val="none"/>
          <w:u w:val="singl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】采购活动，郑重承诺：</w:t>
      </w:r>
    </w:p>
    <w:p w14:paraId="205042B6">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6DB24EC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1E5917B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3FBCB86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47127BC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15C2406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5、参加采购活动前三年内，在经营活动中没有重大违法记录；</w:t>
      </w:r>
    </w:p>
    <w:p w14:paraId="351E7AD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30B0B1C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w:t>
      </w:r>
      <w:r>
        <w:rPr>
          <w:rFonts w:hint="eastAsia"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4D63000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4F5AE4B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1、单位负责人为同一人或者存在直接控股、管理关系的不同供应商参加同一合同项下的采购活动的；</w:t>
      </w:r>
    </w:p>
    <w:p w14:paraId="2E5D759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188F694F">
      <w:pPr>
        <w:pStyle w:val="838"/>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color w:val="auto"/>
          <w:sz w:val="24"/>
          <w:szCs w:val="24"/>
          <w:highlight w:val="none"/>
        </w:rPr>
      </w:pPr>
    </w:p>
    <w:p w14:paraId="17BB1DBD">
      <w:pPr>
        <w:pStyle w:val="838"/>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3A42FE0">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A4722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p>
    <w:p w14:paraId="5827A00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color w:val="auto"/>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注：在经营活动中有重大违法记录，三年内不得参与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sz w:val="24"/>
          <w:szCs w:val="24"/>
          <w:highlight w:val="none"/>
          <w:u w:val="single"/>
          <w:lang w:eastAsia="zh-CN"/>
        </w:rPr>
        <w:t>可不对本承诺函第（一）款第</w:t>
      </w:r>
      <w:r>
        <w:rPr>
          <w:rFonts w:hint="eastAsia" w:ascii="仿宋" w:hAnsi="仿宋" w:eastAsia="仿宋" w:cs="仿宋"/>
          <w:b/>
          <w:bCs/>
          <w:color w:val="auto"/>
          <w:sz w:val="24"/>
          <w:szCs w:val="24"/>
          <w:highlight w:val="none"/>
          <w:u w:val="single"/>
          <w:lang w:val="en-US" w:eastAsia="zh-CN"/>
        </w:rPr>
        <w:t>4点进行承诺</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color w:val="auto"/>
          <w:sz w:val="24"/>
          <w:szCs w:val="24"/>
          <w:highlight w:val="none"/>
          <w:u w:val="none"/>
          <w:lang w:eastAsia="zh-CN"/>
        </w:rPr>
        <w:t>但须详细说明失信记录的情况，否则按无效标处理</w:t>
      </w:r>
      <w:r>
        <w:rPr>
          <w:rFonts w:hint="eastAsia" w:cs="仿宋"/>
          <w:color w:val="auto"/>
          <w:sz w:val="24"/>
          <w:szCs w:val="24"/>
          <w:highlight w:val="none"/>
          <w:u w:val="none"/>
          <w:lang w:eastAsia="zh-CN"/>
        </w:rPr>
        <w:t>。</w:t>
      </w:r>
    </w:p>
    <w:p w14:paraId="3F0F7F7C">
      <w:pPr>
        <w:rPr>
          <w:color w:val="auto"/>
          <w:highlight w:val="none"/>
        </w:rPr>
      </w:pPr>
    </w:p>
    <w:p w14:paraId="7C0D549D">
      <w:pPr>
        <w:spacing w:before="156"/>
        <w:ind w:firstLine="0" w:firstLineChars="0"/>
        <w:jc w:val="center"/>
        <w:rPr>
          <w:rFonts w:hint="eastAsia" w:ascii="仿宋_GB2312" w:hAnsi="宋体" w:eastAsia="仿宋_GB2312"/>
          <w:b/>
          <w:color w:val="auto"/>
          <w:sz w:val="32"/>
          <w:szCs w:val="32"/>
          <w:highlight w:val="none"/>
        </w:rPr>
      </w:pPr>
    </w:p>
    <w:p w14:paraId="47B307BD">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特定资格条件要求的资质文件（若有）（复印件）</w:t>
      </w:r>
    </w:p>
    <w:p w14:paraId="09522A8F">
      <w:pPr>
        <w:snapToGrid w:val="0"/>
        <w:spacing w:before="156" w:line="360" w:lineRule="auto"/>
        <w:ind w:firstLine="480"/>
        <w:rPr>
          <w:rFonts w:hint="eastAsia" w:ascii="仿宋" w:hAnsi="仿宋" w:cs="仿宋"/>
          <w:color w:val="auto"/>
          <w:szCs w:val="22"/>
          <w:highlight w:val="none"/>
        </w:rPr>
      </w:pPr>
    </w:p>
    <w:p w14:paraId="739F53B3">
      <w:pPr>
        <w:pStyle w:val="5"/>
        <w:rPr>
          <w:rFonts w:hint="eastAsia"/>
          <w:color w:val="auto"/>
          <w:highlight w:val="none"/>
        </w:rPr>
      </w:pPr>
    </w:p>
    <w:p w14:paraId="35523470">
      <w:pPr>
        <w:ind w:firstLine="480"/>
        <w:rPr>
          <w:rFonts w:hint="eastAsia"/>
          <w:color w:val="auto"/>
          <w:highlight w:val="none"/>
        </w:rPr>
      </w:pPr>
      <w:r>
        <w:rPr>
          <w:rFonts w:hint="eastAsia"/>
          <w:color w:val="auto"/>
          <w:highlight w:val="none"/>
        </w:rPr>
        <w:t>（由投标人根据招标文件中合格的投标人应具备的特定资格要求编制；如果本项目没有设置特定资格条件，则不需要提供）</w:t>
      </w:r>
    </w:p>
    <w:p w14:paraId="37256665">
      <w:pPr>
        <w:ind w:left="480" w:leftChars="200" w:firstLine="0" w:firstLineChars="0"/>
        <w:rPr>
          <w:rFonts w:hint="eastAsia"/>
          <w:color w:val="auto"/>
          <w:highlight w:val="none"/>
        </w:rPr>
      </w:pPr>
    </w:p>
    <w:p w14:paraId="79DC295E">
      <w:pPr>
        <w:ind w:firstLine="480"/>
        <w:rPr>
          <w:rFonts w:hint="eastAsia"/>
          <w:color w:val="auto"/>
          <w:highlight w:val="none"/>
        </w:rPr>
      </w:pPr>
    </w:p>
    <w:p w14:paraId="67878CB7">
      <w:pPr>
        <w:pStyle w:val="5"/>
        <w:rPr>
          <w:rFonts w:hint="eastAsia"/>
          <w:color w:val="auto"/>
          <w:highlight w:val="none"/>
        </w:rPr>
      </w:pPr>
    </w:p>
    <w:p w14:paraId="322D9C95">
      <w:pPr>
        <w:rPr>
          <w:rFonts w:hint="eastAsia"/>
          <w:color w:val="auto"/>
          <w:highlight w:val="none"/>
        </w:rPr>
      </w:pPr>
    </w:p>
    <w:p w14:paraId="533BFB15">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4BE7D47F">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8C0E062">
      <w:pPr>
        <w:pStyle w:val="5"/>
        <w:rPr>
          <w:rFonts w:hint="eastAsia" w:ascii="仿宋" w:hAnsi="仿宋" w:cs="仿宋"/>
          <w:color w:val="auto"/>
          <w:szCs w:val="24"/>
          <w:highlight w:val="none"/>
          <w:u w:val="single"/>
        </w:rPr>
      </w:pPr>
    </w:p>
    <w:p w14:paraId="0932C8F4">
      <w:pPr>
        <w:rPr>
          <w:rFonts w:hint="eastAsia" w:ascii="仿宋" w:hAnsi="仿宋" w:cs="仿宋"/>
          <w:color w:val="auto"/>
          <w:szCs w:val="24"/>
          <w:highlight w:val="none"/>
          <w:u w:val="single"/>
        </w:rPr>
      </w:pPr>
    </w:p>
    <w:p w14:paraId="25ADBAFE">
      <w:pPr>
        <w:pStyle w:val="5"/>
        <w:rPr>
          <w:rFonts w:hint="eastAsia" w:ascii="仿宋" w:hAnsi="仿宋" w:cs="仿宋"/>
          <w:color w:val="auto"/>
          <w:szCs w:val="24"/>
          <w:highlight w:val="none"/>
          <w:u w:val="single"/>
        </w:rPr>
      </w:pPr>
    </w:p>
    <w:p w14:paraId="7C09FFDF">
      <w:pPr>
        <w:rPr>
          <w:rFonts w:hint="eastAsia" w:ascii="仿宋" w:hAnsi="仿宋" w:cs="仿宋"/>
          <w:color w:val="auto"/>
          <w:szCs w:val="24"/>
          <w:highlight w:val="none"/>
          <w:u w:val="single"/>
        </w:rPr>
      </w:pPr>
    </w:p>
    <w:p w14:paraId="20E86EDA">
      <w:pPr>
        <w:pStyle w:val="5"/>
        <w:rPr>
          <w:rFonts w:hint="eastAsia" w:ascii="仿宋" w:hAnsi="仿宋" w:cs="仿宋"/>
          <w:color w:val="auto"/>
          <w:szCs w:val="24"/>
          <w:highlight w:val="none"/>
          <w:u w:val="single"/>
        </w:rPr>
      </w:pPr>
    </w:p>
    <w:p w14:paraId="621BF82A">
      <w:pPr>
        <w:rPr>
          <w:rFonts w:hint="eastAsia" w:ascii="仿宋" w:hAnsi="仿宋" w:cs="仿宋"/>
          <w:color w:val="auto"/>
          <w:szCs w:val="24"/>
          <w:highlight w:val="none"/>
          <w:u w:val="single"/>
        </w:rPr>
      </w:pPr>
    </w:p>
    <w:p w14:paraId="7C6B3045">
      <w:pPr>
        <w:pStyle w:val="5"/>
        <w:rPr>
          <w:rFonts w:hint="eastAsia"/>
          <w:color w:val="auto"/>
          <w:highlight w:val="none"/>
        </w:rPr>
      </w:pPr>
    </w:p>
    <w:p w14:paraId="7EAC9056">
      <w:pPr>
        <w:pStyle w:val="5"/>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14:paraId="6444BC86">
      <w:pPr>
        <w:rPr>
          <w:rFonts w:hint="eastAsia"/>
          <w:color w:val="auto"/>
          <w:highlight w:val="none"/>
        </w:rPr>
      </w:pPr>
    </w:p>
    <w:p w14:paraId="4F4A4363">
      <w:pPr>
        <w:pStyle w:val="5"/>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495535ED">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采购活动，由单位负责人签署相关文件材料。</w:t>
      </w:r>
    </w:p>
    <w:p w14:paraId="7301DC6C">
      <w:pPr>
        <w:snapToGrid w:val="0"/>
        <w:spacing w:before="156" w:line="360" w:lineRule="auto"/>
        <w:ind w:firstLine="480"/>
        <w:rPr>
          <w:rFonts w:hint="eastAsia" w:ascii="仿宋" w:hAnsi="仿宋" w:cs="仿宋"/>
          <w:color w:val="auto"/>
          <w:szCs w:val="24"/>
          <w:highlight w:val="none"/>
        </w:rPr>
      </w:pPr>
    </w:p>
    <w:p w14:paraId="3F709F07">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D22D060">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68400FEE">
      <w:pPr>
        <w:snapToGrid w:val="0"/>
        <w:spacing w:line="360" w:lineRule="auto"/>
        <w:ind w:right="480" w:firstLine="480"/>
        <w:jc w:val="center"/>
        <w:rPr>
          <w:rFonts w:ascii="仿宋_GB2312" w:hAnsi="仿宋" w:eastAsia="仿宋_GB2312"/>
          <w:color w:val="auto"/>
          <w:szCs w:val="24"/>
          <w:highlight w:val="none"/>
        </w:rPr>
      </w:pPr>
    </w:p>
    <w:p w14:paraId="17D4FB8D">
      <w:pPr>
        <w:pStyle w:val="5"/>
        <w:spacing w:before="156" w:after="156"/>
        <w:ind w:firstLine="482"/>
        <w:rPr>
          <w:rFonts w:hint="eastAsia"/>
          <w:color w:val="auto"/>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7C1C3B68">
      <w:pPr>
        <w:pageBreakBefore w:val="0"/>
        <w:kinsoku/>
        <w:bidi w:val="0"/>
        <w:spacing w:beforeAutospacing="0" w:afterAutospacing="0" w:line="440" w:lineRule="exact"/>
        <w:jc w:val="center"/>
        <w:rPr>
          <w:rFonts w:hint="eastAsia"/>
          <w:b/>
          <w:color w:val="auto"/>
          <w:sz w:val="30"/>
          <w:szCs w:val="30"/>
          <w:highlight w:val="none"/>
        </w:rPr>
      </w:pPr>
    </w:p>
    <w:p w14:paraId="3AEE40B1">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30"/>
          <w:szCs w:val="30"/>
          <w:highlight w:val="none"/>
        </w:rPr>
      </w:pPr>
    </w:p>
    <w:p w14:paraId="5B8732E4">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752959F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color w:val="auto"/>
          <w:sz w:val="52"/>
          <w:szCs w:val="52"/>
          <w:highlight w:val="none"/>
        </w:rPr>
      </w:pPr>
    </w:p>
    <w:p w14:paraId="182014ED">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商务及技术文件</w:t>
      </w:r>
    </w:p>
    <w:p w14:paraId="586C7366">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28"/>
          <w:szCs w:val="28"/>
          <w:highlight w:val="none"/>
        </w:rPr>
      </w:pPr>
    </w:p>
    <w:p w14:paraId="0D8A1AB4">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565D1352">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129F47F1">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1B8BE615">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color w:val="auto"/>
          <w:sz w:val="30"/>
          <w:szCs w:val="30"/>
          <w:highlight w:val="none"/>
        </w:rPr>
      </w:pPr>
    </w:p>
    <w:p w14:paraId="1FFE8285">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color w:val="auto"/>
          <w:sz w:val="30"/>
          <w:szCs w:val="30"/>
          <w:highlight w:val="none"/>
        </w:rPr>
      </w:pPr>
    </w:p>
    <w:p w14:paraId="1FC8F47E">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color w:val="auto"/>
          <w:sz w:val="32"/>
          <w:szCs w:val="32"/>
          <w:highlight w:val="none"/>
        </w:rPr>
      </w:pPr>
      <w:r>
        <w:rPr>
          <w:b/>
          <w:color w:val="auto"/>
          <w:sz w:val="32"/>
          <w:szCs w:val="32"/>
          <w:highlight w:val="none"/>
        </w:rPr>
        <w:br w:type="page"/>
      </w:r>
    </w:p>
    <w:p w14:paraId="6DEFE3D7">
      <w:pPr>
        <w:pageBreakBefore w:val="0"/>
        <w:kinsoku/>
        <w:bidi w:val="0"/>
        <w:spacing w:beforeAutospacing="0" w:afterAutospacing="0" w:line="440" w:lineRule="exact"/>
        <w:jc w:val="center"/>
        <w:rPr>
          <w:rFonts w:hint="eastAsia"/>
          <w:b/>
          <w:bCs/>
          <w:color w:val="auto"/>
          <w:sz w:val="30"/>
          <w:szCs w:val="30"/>
          <w:highlight w:val="none"/>
        </w:rPr>
      </w:pPr>
    </w:p>
    <w:p w14:paraId="6A1496AB">
      <w:pPr>
        <w:pageBreakBefore w:val="0"/>
        <w:kinsoku/>
        <w:bidi w:val="0"/>
        <w:spacing w:beforeAutospacing="0" w:afterAutospacing="0" w:line="440" w:lineRule="exact"/>
        <w:jc w:val="center"/>
        <w:rPr>
          <w:b/>
          <w:bCs/>
          <w:color w:val="auto"/>
          <w:sz w:val="30"/>
          <w:szCs w:val="30"/>
          <w:highlight w:val="none"/>
        </w:rPr>
      </w:pPr>
      <w:r>
        <w:rPr>
          <w:rFonts w:hint="eastAsia"/>
          <w:b/>
          <w:bCs/>
          <w:color w:val="auto"/>
          <w:sz w:val="30"/>
          <w:szCs w:val="30"/>
          <w:highlight w:val="none"/>
        </w:rPr>
        <w:t>商务技术评分索引</w:t>
      </w:r>
    </w:p>
    <w:p w14:paraId="5FCFF78C">
      <w:pPr>
        <w:pageBreakBefore w:val="0"/>
        <w:kinsoku/>
        <w:bidi w:val="0"/>
        <w:spacing w:beforeAutospacing="0" w:afterAutospacing="0" w:line="440" w:lineRule="exact"/>
        <w:jc w:val="center"/>
        <w:rPr>
          <w:color w:val="auto"/>
          <w:highlight w:val="none"/>
        </w:rPr>
      </w:pPr>
      <w:r>
        <w:rPr>
          <w:rFonts w:hint="eastAsia"/>
          <w:color w:val="auto"/>
          <w:highlight w:val="none"/>
        </w:rPr>
        <w:t>（此表请放于商务技术投标文件正文首页）</w:t>
      </w:r>
    </w:p>
    <w:p w14:paraId="2DC20A52">
      <w:pPr>
        <w:pageBreakBefore w:val="0"/>
        <w:kinsoku/>
        <w:bidi w:val="0"/>
        <w:spacing w:beforeAutospacing="0" w:afterAutospacing="0" w:line="440" w:lineRule="exact"/>
        <w:jc w:val="both"/>
        <w:rPr>
          <w:rFonts w:hint="eastAsia" w:eastAsia="仿宋"/>
          <w:color w:val="auto"/>
          <w:highlight w:val="none"/>
          <w:lang w:eastAsia="zh-CN"/>
        </w:rPr>
      </w:pPr>
      <w:r>
        <w:rPr>
          <w:rFonts w:hint="eastAsia"/>
          <w:color w:val="auto"/>
          <w:highlight w:val="none"/>
        </w:rPr>
        <w:t>项目名称：</w:t>
      </w:r>
      <w:r>
        <w:rPr>
          <w:rFonts w:hint="eastAsia"/>
          <w:color w:val="auto"/>
          <w:highlight w:val="none"/>
          <w:lang w:eastAsia="zh-CN"/>
        </w:rPr>
        <w:t>新登镇台诚塔山府（塔山花园）安置房物业服务采购项目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418"/>
        <w:gridCol w:w="1611"/>
      </w:tblGrid>
      <w:tr w14:paraId="5056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487382B0">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5418" w:type="dxa"/>
            <w:vAlign w:val="top"/>
          </w:tcPr>
          <w:p w14:paraId="6B229F2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 xml:space="preserve">投标文件内容 </w:t>
            </w:r>
          </w:p>
        </w:tc>
        <w:tc>
          <w:tcPr>
            <w:tcW w:w="1611" w:type="dxa"/>
            <w:vAlign w:val="top"/>
          </w:tcPr>
          <w:p w14:paraId="62E2A7D7">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对应页码</w:t>
            </w:r>
          </w:p>
        </w:tc>
      </w:tr>
      <w:tr w14:paraId="2D34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762B4DFF">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1</w:t>
            </w:r>
          </w:p>
        </w:tc>
        <w:tc>
          <w:tcPr>
            <w:tcW w:w="5418" w:type="dxa"/>
            <w:vAlign w:val="top"/>
          </w:tcPr>
          <w:p w14:paraId="0BD98B06">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授权委托书（格式见附件）</w:t>
            </w:r>
          </w:p>
        </w:tc>
        <w:tc>
          <w:tcPr>
            <w:tcW w:w="1611" w:type="dxa"/>
            <w:vAlign w:val="top"/>
          </w:tcPr>
          <w:p w14:paraId="3222839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7585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14:paraId="0592AB70">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2</w:t>
            </w:r>
          </w:p>
        </w:tc>
        <w:tc>
          <w:tcPr>
            <w:tcW w:w="5418" w:type="dxa"/>
            <w:vAlign w:val="top"/>
          </w:tcPr>
          <w:p w14:paraId="05C0A357">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lang w:eastAsia="zh-CN"/>
              </w:rPr>
              <w:t>投标函</w:t>
            </w:r>
            <w:r>
              <w:rPr>
                <w:rFonts w:hint="eastAsia"/>
                <w:color w:val="auto"/>
                <w:highlight w:val="none"/>
              </w:rPr>
              <w:t>（格式见附件）；</w:t>
            </w:r>
          </w:p>
        </w:tc>
        <w:tc>
          <w:tcPr>
            <w:tcW w:w="1611" w:type="dxa"/>
            <w:vAlign w:val="top"/>
          </w:tcPr>
          <w:p w14:paraId="301D4404">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7B35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96B720D">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3</w:t>
            </w:r>
          </w:p>
        </w:tc>
        <w:tc>
          <w:tcPr>
            <w:tcW w:w="5418" w:type="dxa"/>
            <w:vAlign w:val="top"/>
          </w:tcPr>
          <w:p w14:paraId="4C28526E">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color w:val="auto"/>
                <w:highlight w:val="none"/>
              </w:rPr>
              <w:t>采购供应商廉洁自律承诺书 （格式见附件）；</w:t>
            </w:r>
          </w:p>
        </w:tc>
        <w:tc>
          <w:tcPr>
            <w:tcW w:w="1611" w:type="dxa"/>
            <w:vAlign w:val="top"/>
          </w:tcPr>
          <w:p w14:paraId="2F8A0BC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5B82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F644644">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4</w:t>
            </w:r>
          </w:p>
        </w:tc>
        <w:tc>
          <w:tcPr>
            <w:tcW w:w="5418" w:type="dxa"/>
            <w:vAlign w:val="top"/>
          </w:tcPr>
          <w:p w14:paraId="5CEE8071">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bCs/>
                <w:color w:val="auto"/>
                <w:highlight w:val="none"/>
              </w:rPr>
              <w:t>廉政承诺书</w:t>
            </w:r>
            <w:r>
              <w:rPr>
                <w:rFonts w:hint="eastAsia"/>
                <w:color w:val="auto"/>
                <w:highlight w:val="none"/>
              </w:rPr>
              <w:t>（格式见附件）；</w:t>
            </w:r>
          </w:p>
        </w:tc>
        <w:tc>
          <w:tcPr>
            <w:tcW w:w="1611" w:type="dxa"/>
            <w:vAlign w:val="top"/>
          </w:tcPr>
          <w:p w14:paraId="77747BA7">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3E1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544C0E4">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5</w:t>
            </w:r>
          </w:p>
        </w:tc>
        <w:tc>
          <w:tcPr>
            <w:tcW w:w="5418" w:type="dxa"/>
            <w:vAlign w:val="top"/>
          </w:tcPr>
          <w:p w14:paraId="33D1E057">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color w:val="auto"/>
                <w:kern w:val="3"/>
                <w:sz w:val="24"/>
                <w:szCs w:val="24"/>
                <w:highlight w:val="none"/>
                <w:lang w:val="en-US" w:eastAsia="zh-CN" w:bidi="ar-SA"/>
              </w:rPr>
              <w:t>投标人情况介绍(格式见附件)；</w:t>
            </w:r>
          </w:p>
        </w:tc>
        <w:tc>
          <w:tcPr>
            <w:tcW w:w="1611" w:type="dxa"/>
            <w:vAlign w:val="top"/>
          </w:tcPr>
          <w:p w14:paraId="25A9AC4E">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45EB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242F0C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6</w:t>
            </w:r>
          </w:p>
        </w:tc>
        <w:tc>
          <w:tcPr>
            <w:tcW w:w="5418" w:type="dxa"/>
            <w:vAlign w:val="top"/>
          </w:tcPr>
          <w:p w14:paraId="10C8AEDF">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11" w:type="dxa"/>
            <w:vAlign w:val="top"/>
          </w:tcPr>
          <w:p w14:paraId="1E080AA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E70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BB4C45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7</w:t>
            </w:r>
          </w:p>
        </w:tc>
        <w:tc>
          <w:tcPr>
            <w:tcW w:w="5418" w:type="dxa"/>
            <w:vAlign w:val="top"/>
          </w:tcPr>
          <w:p w14:paraId="55A1764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11" w:type="dxa"/>
            <w:vAlign w:val="top"/>
          </w:tcPr>
          <w:p w14:paraId="7C2BD82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2EF1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3FDC76BE">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8</w:t>
            </w:r>
          </w:p>
        </w:tc>
        <w:tc>
          <w:tcPr>
            <w:tcW w:w="5418" w:type="dxa"/>
            <w:vAlign w:val="top"/>
          </w:tcPr>
          <w:p w14:paraId="2330DBC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11" w:type="dxa"/>
            <w:vAlign w:val="top"/>
          </w:tcPr>
          <w:p w14:paraId="1E46AEA7">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261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18A65934">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9</w:t>
            </w:r>
          </w:p>
        </w:tc>
        <w:tc>
          <w:tcPr>
            <w:tcW w:w="5418" w:type="dxa"/>
            <w:vAlign w:val="top"/>
          </w:tcPr>
          <w:p w14:paraId="71C0F46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11" w:type="dxa"/>
            <w:vAlign w:val="top"/>
          </w:tcPr>
          <w:p w14:paraId="20C32790">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28951C98">
        <w:tblPrEx>
          <w:tblCellMar>
            <w:top w:w="0" w:type="dxa"/>
            <w:left w:w="108" w:type="dxa"/>
            <w:bottom w:w="0" w:type="dxa"/>
            <w:right w:w="108" w:type="dxa"/>
          </w:tblCellMar>
        </w:tblPrEx>
        <w:tc>
          <w:tcPr>
            <w:tcW w:w="1464" w:type="dxa"/>
            <w:vAlign w:val="top"/>
          </w:tcPr>
          <w:p w14:paraId="60B78FB2">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5418" w:type="dxa"/>
            <w:vAlign w:val="top"/>
          </w:tcPr>
          <w:p w14:paraId="05C952D8">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11" w:type="dxa"/>
            <w:vAlign w:val="top"/>
          </w:tcPr>
          <w:p w14:paraId="74B46854">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4CD2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CCC3616">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5418" w:type="dxa"/>
            <w:vAlign w:val="top"/>
          </w:tcPr>
          <w:p w14:paraId="5FAEF32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c>
          <w:tcPr>
            <w:tcW w:w="1611" w:type="dxa"/>
            <w:vAlign w:val="top"/>
          </w:tcPr>
          <w:p w14:paraId="68B4B2EF">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color w:val="auto"/>
                <w:kern w:val="3"/>
                <w:sz w:val="24"/>
                <w:szCs w:val="24"/>
                <w:highlight w:val="none"/>
                <w:lang w:val="en-US" w:eastAsia="zh-CN" w:bidi="ar-SA"/>
              </w:rPr>
            </w:pPr>
            <w:r>
              <w:rPr>
                <w:rFonts w:hint="eastAsia" w:cs="仿宋"/>
                <w:b w:val="0"/>
                <w:bCs w:val="0"/>
                <w:color w:val="auto"/>
                <w:kern w:val="3"/>
                <w:sz w:val="24"/>
                <w:szCs w:val="24"/>
                <w:highlight w:val="none"/>
                <w:lang w:val="en-US" w:eastAsia="zh-CN" w:bidi="ar-SA"/>
              </w:rPr>
              <w:t>...</w:t>
            </w:r>
          </w:p>
        </w:tc>
      </w:tr>
    </w:tbl>
    <w:p w14:paraId="1671C283">
      <w:pPr>
        <w:pageBreakBefore w:val="0"/>
        <w:kinsoku/>
        <w:bidi w:val="0"/>
        <w:spacing w:beforeAutospacing="0" w:afterAutospacing="0" w:line="440" w:lineRule="exact"/>
        <w:rPr>
          <w:b/>
          <w:color w:val="auto"/>
          <w:sz w:val="32"/>
          <w:szCs w:val="32"/>
          <w:highlight w:val="none"/>
        </w:rPr>
      </w:pPr>
    </w:p>
    <w:p w14:paraId="59B3EC8C">
      <w:pPr>
        <w:pStyle w:val="8"/>
        <w:pageBreakBefore w:val="0"/>
        <w:kinsoku/>
        <w:bidi w:val="0"/>
        <w:spacing w:before="0" w:beforeAutospacing="0" w:after="0" w:afterAutospacing="0" w:line="440" w:lineRule="exact"/>
        <w:rPr>
          <w:b/>
          <w:color w:val="auto"/>
          <w:sz w:val="32"/>
          <w:szCs w:val="32"/>
          <w:highlight w:val="none"/>
        </w:rPr>
      </w:pPr>
    </w:p>
    <w:p w14:paraId="23A92859">
      <w:pPr>
        <w:pageBreakBefore w:val="0"/>
        <w:kinsoku/>
        <w:bidi w:val="0"/>
        <w:spacing w:beforeAutospacing="0" w:afterAutospacing="0" w:line="440" w:lineRule="exact"/>
        <w:rPr>
          <w:b/>
          <w:color w:val="auto"/>
          <w:sz w:val="32"/>
          <w:szCs w:val="32"/>
          <w:highlight w:val="none"/>
        </w:rPr>
      </w:pPr>
    </w:p>
    <w:p w14:paraId="34AB01CF">
      <w:pPr>
        <w:pStyle w:val="106"/>
        <w:rPr>
          <w:color w:val="auto"/>
          <w:highlight w:val="none"/>
        </w:rPr>
      </w:pPr>
    </w:p>
    <w:p w14:paraId="65091A31">
      <w:pPr>
        <w:pageBreakBefore w:val="0"/>
        <w:kinsoku/>
        <w:bidi w:val="0"/>
        <w:spacing w:beforeAutospacing="0" w:afterAutospacing="0" w:line="440" w:lineRule="exact"/>
        <w:rPr>
          <w:color w:val="auto"/>
          <w:highlight w:val="none"/>
        </w:rPr>
      </w:pPr>
    </w:p>
    <w:p w14:paraId="7F632CA1">
      <w:pPr>
        <w:pStyle w:val="48"/>
        <w:rPr>
          <w:color w:val="auto"/>
          <w:highlight w:val="none"/>
        </w:rPr>
      </w:pPr>
    </w:p>
    <w:p w14:paraId="41DEA27A">
      <w:pPr>
        <w:pageBreakBefore w:val="0"/>
        <w:kinsoku/>
        <w:bidi w:val="0"/>
        <w:snapToGrid w:val="0"/>
        <w:spacing w:beforeAutospacing="0" w:afterAutospacing="0" w:line="440" w:lineRule="exact"/>
        <w:jc w:val="center"/>
        <w:rPr>
          <w:rFonts w:hint="eastAsia"/>
          <w:b/>
          <w:color w:val="auto"/>
          <w:sz w:val="32"/>
          <w:szCs w:val="32"/>
          <w:highlight w:val="none"/>
        </w:rPr>
      </w:pPr>
    </w:p>
    <w:p w14:paraId="560DCE84">
      <w:pPr>
        <w:snapToGrid w:val="0"/>
        <w:spacing w:line="360" w:lineRule="auto"/>
        <w:ind w:right="480" w:firstLine="643"/>
        <w:jc w:val="center"/>
        <w:rPr>
          <w:rFonts w:hint="eastAsia" w:ascii="仿宋_GB2312" w:hAnsi="宋体" w:eastAsia="仿宋_GB2312"/>
          <w:b/>
          <w:color w:val="auto"/>
          <w:sz w:val="32"/>
          <w:szCs w:val="32"/>
          <w:highlight w:val="none"/>
        </w:rPr>
      </w:pPr>
    </w:p>
    <w:p w14:paraId="53EB51A9">
      <w:pPr>
        <w:snapToGrid w:val="0"/>
        <w:spacing w:line="360" w:lineRule="auto"/>
        <w:ind w:right="480" w:firstLine="643"/>
        <w:jc w:val="center"/>
        <w:rPr>
          <w:rFonts w:hint="eastAsia" w:ascii="仿宋_GB2312" w:hAnsi="宋体" w:eastAsia="仿宋_GB2312"/>
          <w:b/>
          <w:color w:val="auto"/>
          <w:sz w:val="32"/>
          <w:szCs w:val="32"/>
          <w:highlight w:val="none"/>
        </w:rPr>
      </w:pPr>
    </w:p>
    <w:p w14:paraId="1C9AECCF">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471B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94" w:type="dxa"/>
            <w:noWrap w:val="0"/>
            <w:vAlign w:val="center"/>
          </w:tcPr>
          <w:p w14:paraId="43F2E04C">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noWrap w:val="0"/>
            <w:vAlign w:val="center"/>
          </w:tcPr>
          <w:p w14:paraId="79F0951D">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noWrap w:val="0"/>
            <w:vAlign w:val="center"/>
          </w:tcPr>
          <w:p w14:paraId="25F6C0B2">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noWrap w:val="0"/>
            <w:vAlign w:val="center"/>
          </w:tcPr>
          <w:p w14:paraId="39B54246">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6A96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94" w:type="dxa"/>
            <w:noWrap w:val="0"/>
            <w:vAlign w:val="center"/>
          </w:tcPr>
          <w:p w14:paraId="4FE4C5FE">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noWrap w:val="0"/>
            <w:vAlign w:val="center"/>
          </w:tcPr>
          <w:p w14:paraId="06985D3A">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noWrap w:val="0"/>
            <w:vAlign w:val="center"/>
          </w:tcPr>
          <w:p w14:paraId="5904369B">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noWrap w:val="0"/>
            <w:vAlign w:val="center"/>
          </w:tcPr>
          <w:p w14:paraId="49E374CE">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1D9C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94" w:type="dxa"/>
            <w:noWrap w:val="0"/>
            <w:vAlign w:val="center"/>
          </w:tcPr>
          <w:p w14:paraId="4AEBE930">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noWrap w:val="0"/>
            <w:vAlign w:val="center"/>
          </w:tcPr>
          <w:p w14:paraId="047F5791">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noWrap w:val="0"/>
            <w:vAlign w:val="center"/>
          </w:tcPr>
          <w:p w14:paraId="1CC55A38">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noWrap w:val="0"/>
            <w:vAlign w:val="center"/>
          </w:tcPr>
          <w:p w14:paraId="7BFF3633">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6C06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94" w:type="dxa"/>
            <w:noWrap w:val="0"/>
            <w:vAlign w:val="center"/>
          </w:tcPr>
          <w:p w14:paraId="4E9FCA6E">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noWrap w:val="0"/>
            <w:vAlign w:val="center"/>
          </w:tcPr>
          <w:p w14:paraId="4D15F465">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noWrap w:val="0"/>
            <w:vAlign w:val="center"/>
          </w:tcPr>
          <w:p w14:paraId="26C7CBC2">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noWrap w:val="0"/>
            <w:vAlign w:val="center"/>
          </w:tcPr>
          <w:p w14:paraId="0FCF8FEF">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09790B25">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53C07BAC">
      <w:pPr>
        <w:pStyle w:val="48"/>
        <w:rPr>
          <w:rFonts w:hint="eastAsia"/>
          <w:color w:val="auto"/>
          <w:highlight w:val="none"/>
        </w:rPr>
      </w:pPr>
    </w:p>
    <w:p w14:paraId="7168EE1E">
      <w:pPr>
        <w:pStyle w:val="49"/>
        <w:rPr>
          <w:rFonts w:hint="eastAsia"/>
          <w:color w:val="auto"/>
          <w:highlight w:val="none"/>
        </w:rPr>
      </w:pPr>
    </w:p>
    <w:p w14:paraId="3E130828">
      <w:pPr>
        <w:rPr>
          <w:rFonts w:hint="eastAsia"/>
          <w:color w:val="auto"/>
          <w:highlight w:val="none"/>
        </w:rPr>
      </w:pPr>
    </w:p>
    <w:p w14:paraId="5FAF3E46">
      <w:pPr>
        <w:pStyle w:val="48"/>
        <w:rPr>
          <w:rFonts w:hint="eastAsia"/>
          <w:color w:val="auto"/>
          <w:highlight w:val="none"/>
        </w:rPr>
      </w:pPr>
    </w:p>
    <w:p w14:paraId="51B0C9F0">
      <w:pPr>
        <w:pStyle w:val="49"/>
        <w:rPr>
          <w:rFonts w:hint="eastAsia"/>
          <w:color w:val="auto"/>
          <w:highlight w:val="none"/>
        </w:rPr>
      </w:pPr>
    </w:p>
    <w:p w14:paraId="16F1F751">
      <w:pPr>
        <w:rPr>
          <w:rFonts w:hint="eastAsia"/>
          <w:color w:val="auto"/>
          <w:highlight w:val="none"/>
        </w:rPr>
      </w:pPr>
    </w:p>
    <w:p w14:paraId="3D1B0DF6">
      <w:pPr>
        <w:pStyle w:val="48"/>
        <w:rPr>
          <w:rFonts w:hint="eastAsia"/>
          <w:color w:val="auto"/>
          <w:highlight w:val="none"/>
        </w:rPr>
      </w:pPr>
    </w:p>
    <w:p w14:paraId="26323D3F">
      <w:pPr>
        <w:pStyle w:val="49"/>
        <w:rPr>
          <w:rFonts w:hint="eastAsia"/>
          <w:color w:val="auto"/>
          <w:highlight w:val="none"/>
        </w:rPr>
      </w:pPr>
    </w:p>
    <w:p w14:paraId="4743B65E">
      <w:pPr>
        <w:rPr>
          <w:rFonts w:hint="eastAsia"/>
          <w:color w:val="auto"/>
          <w:highlight w:val="none"/>
        </w:rPr>
      </w:pPr>
    </w:p>
    <w:p w14:paraId="4EE4B50C">
      <w:pPr>
        <w:rPr>
          <w:rFonts w:hint="eastAsia"/>
          <w:color w:val="auto"/>
          <w:highlight w:val="none"/>
        </w:rPr>
      </w:pPr>
    </w:p>
    <w:p w14:paraId="031C5E80">
      <w:pPr>
        <w:rPr>
          <w:rFonts w:hint="eastAsia"/>
          <w:color w:val="auto"/>
          <w:highlight w:val="none"/>
        </w:rPr>
      </w:pPr>
    </w:p>
    <w:p w14:paraId="6531D0AB">
      <w:pPr>
        <w:pStyle w:val="48"/>
        <w:rPr>
          <w:rFonts w:hint="eastAsia"/>
          <w:color w:val="auto"/>
          <w:highlight w:val="none"/>
        </w:rPr>
      </w:pPr>
    </w:p>
    <w:p w14:paraId="129BA342">
      <w:pPr>
        <w:pStyle w:val="49"/>
        <w:rPr>
          <w:rFonts w:hint="eastAsia"/>
          <w:color w:val="auto"/>
          <w:highlight w:val="none"/>
        </w:rPr>
      </w:pPr>
    </w:p>
    <w:p w14:paraId="5CB99EA6">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472F1EC3">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6D652E79">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2273C1E1">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29FB0E19">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6CA07FA2">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22B39A9A">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14:paraId="6825F6D4">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新登镇台诚塔山府（塔山花园）安置房物业服务采购项目</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采购投标的一切事项，其法律后果由我方承担。</w:t>
      </w:r>
    </w:p>
    <w:p w14:paraId="6F3656A3">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194FD0B3">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28E5799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CBD7EC3">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4C6C554C">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298D3C38">
      <w:pPr>
        <w:pStyle w:val="5"/>
        <w:rPr>
          <w:rFonts w:hint="eastAsia" w:ascii="仿宋_GB2312" w:hAnsi="宋体" w:eastAsia="仿宋_GB2312"/>
          <w:b/>
          <w:color w:val="auto"/>
          <w:sz w:val="32"/>
          <w:szCs w:val="32"/>
          <w:highlight w:val="none"/>
          <w:lang w:val="zh-CN"/>
        </w:rPr>
      </w:pPr>
    </w:p>
    <w:p w14:paraId="5C06A8FB">
      <w:pPr>
        <w:rPr>
          <w:rFonts w:hint="eastAsia" w:ascii="仿宋_GB2312" w:hAnsi="宋体" w:eastAsia="仿宋_GB2312"/>
          <w:b/>
          <w:color w:val="auto"/>
          <w:sz w:val="32"/>
          <w:szCs w:val="32"/>
          <w:highlight w:val="none"/>
          <w:lang w:val="zh-CN"/>
        </w:rPr>
      </w:pPr>
    </w:p>
    <w:p w14:paraId="6CF489D8">
      <w:pPr>
        <w:pStyle w:val="5"/>
        <w:rPr>
          <w:rFonts w:hint="eastAsia" w:ascii="仿宋_GB2312" w:hAnsi="宋体" w:eastAsia="仿宋_GB2312"/>
          <w:b/>
          <w:color w:val="auto"/>
          <w:sz w:val="32"/>
          <w:szCs w:val="32"/>
          <w:highlight w:val="none"/>
          <w:lang w:val="zh-CN"/>
        </w:rPr>
      </w:pPr>
    </w:p>
    <w:p w14:paraId="611269F4">
      <w:pPr>
        <w:rPr>
          <w:rFonts w:hint="eastAsia"/>
          <w:color w:val="auto"/>
          <w:highlight w:val="none"/>
          <w:lang w:val="zh-CN"/>
        </w:rPr>
      </w:pPr>
    </w:p>
    <w:p w14:paraId="35DECDD0">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649E0CA6">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127263A8">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0D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19550CE">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AA5D6FC">
            <w:pPr>
              <w:pStyle w:val="1025"/>
              <w:adjustRightInd w:val="0"/>
              <w:spacing w:line="360" w:lineRule="auto"/>
              <w:rPr>
                <w:rFonts w:hint="eastAsia" w:ascii="仿宋" w:hAnsi="仿宋" w:eastAsia="仿宋" w:cs="仿宋"/>
                <w:bCs/>
                <w:color w:val="auto"/>
                <w:sz w:val="24"/>
                <w:highlight w:val="none"/>
              </w:rPr>
            </w:pPr>
          </w:p>
        </w:tc>
      </w:tr>
    </w:tbl>
    <w:p w14:paraId="59CACB38">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47494431">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2C4177F">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6A20FEE1">
      <w:pPr>
        <w:spacing w:line="360" w:lineRule="auto"/>
        <w:ind w:firstLine="480"/>
        <w:jc w:val="center"/>
        <w:rPr>
          <w:rFonts w:ascii="宋体" w:hAnsi="宋体" w:cs="宋体"/>
          <w:color w:val="auto"/>
          <w:kern w:val="0"/>
          <w:highlight w:val="none"/>
          <w:lang w:val="zh-CN"/>
        </w:rPr>
      </w:pPr>
    </w:p>
    <w:p w14:paraId="6E7095BC">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74F56FDC">
      <w:pPr>
        <w:snapToGrid w:val="0"/>
        <w:spacing w:line="360" w:lineRule="auto"/>
        <w:ind w:right="48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096142DF">
      <w:pPr>
        <w:spacing w:before="156" w:beforeLines="50" w:after="156" w:afterLines="50"/>
        <w:ind w:firstLine="480"/>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华诚工程咨询集团有限公司</w:t>
      </w:r>
      <w:r>
        <w:rPr>
          <w:rFonts w:hint="eastAsia"/>
          <w:color w:val="auto"/>
          <w:highlight w:val="none"/>
          <w:u w:val="single"/>
        </w:rPr>
        <w:t>：</w:t>
      </w:r>
    </w:p>
    <w:p w14:paraId="0CE333BB">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rPr>
        <w:t xml:space="preserve">         </w:t>
      </w:r>
      <w:r>
        <w:rPr>
          <w:rFonts w:hint="eastAsia"/>
          <w:color w:val="auto"/>
          <w:highlight w:val="none"/>
          <w:u w:val="single"/>
          <w:lang w:eastAsia="zh-CN"/>
        </w:rPr>
        <w:t>新登镇台诚塔山府（塔山花园）安置房物业服务采购项目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14:paraId="57201736">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3B930BCA">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14:paraId="2EE26A6D">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14:paraId="7A229723">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（1）符合参加采购活动应当具备的一般条件的承诺函（格式见附件）；</w:t>
      </w:r>
    </w:p>
    <w:p w14:paraId="744B9133">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2</w:t>
      </w:r>
      <w:r>
        <w:rPr>
          <w:rFonts w:hint="eastAsia" w:ascii="仿宋" w:hAnsi="仿宋" w:cs="仿宋"/>
          <w:color w:val="auto"/>
          <w:szCs w:val="24"/>
          <w:highlight w:val="none"/>
        </w:rPr>
        <w:t>）特定资格条件要求的资质文件（若有）；</w:t>
      </w:r>
    </w:p>
    <w:p w14:paraId="35DCC905">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eastAsia="zh-CN"/>
        </w:rPr>
        <w:t>（</w:t>
      </w:r>
      <w:r>
        <w:rPr>
          <w:rFonts w:hint="eastAsia" w:cs="仿宋"/>
          <w:color w:val="auto"/>
          <w:szCs w:val="24"/>
          <w:highlight w:val="none"/>
          <w:lang w:val="en-US" w:eastAsia="zh-CN"/>
        </w:rPr>
        <w:t>3</w:t>
      </w:r>
      <w:r>
        <w:rPr>
          <w:rFonts w:hint="eastAsia" w:ascii="仿宋" w:hAnsi="仿宋" w:cs="仿宋"/>
          <w:color w:val="auto"/>
          <w:szCs w:val="24"/>
          <w:highlight w:val="none"/>
          <w:lang w:eastAsia="zh-CN"/>
        </w:rPr>
        <w:t>）</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443204A1">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14:paraId="29C0CEE9">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61F99B41">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0618B1A8">
      <w:pPr>
        <w:ind w:firstLine="480"/>
        <w:rPr>
          <w:rFonts w:hint="eastAsia" w:ascii="仿宋" w:hAnsi="仿宋" w:cs="仿宋"/>
          <w:color w:val="auto"/>
          <w:szCs w:val="24"/>
          <w:highlight w:val="none"/>
        </w:rPr>
      </w:pPr>
      <w:r>
        <w:rPr>
          <w:rFonts w:hint="eastAsia" w:ascii="仿宋" w:hAnsi="仿宋" w:cs="仿宋"/>
          <w:color w:val="auto"/>
          <w:szCs w:val="24"/>
          <w:highlight w:val="none"/>
        </w:rPr>
        <w:t>（3）符合性审查资料（格式见附件）；</w:t>
      </w:r>
    </w:p>
    <w:p w14:paraId="6BAD4413">
      <w:pPr>
        <w:ind w:firstLine="480"/>
        <w:rPr>
          <w:rFonts w:hint="eastAsia" w:ascii="仿宋" w:hAnsi="仿宋" w:cs="仿宋"/>
          <w:color w:val="auto"/>
          <w:szCs w:val="24"/>
          <w:highlight w:val="none"/>
        </w:rPr>
      </w:pPr>
      <w:r>
        <w:rPr>
          <w:rFonts w:hint="eastAsia" w:ascii="仿宋" w:hAnsi="仿宋" w:cs="仿宋"/>
          <w:color w:val="auto"/>
          <w:szCs w:val="24"/>
          <w:highlight w:val="none"/>
        </w:rPr>
        <w:t>（4）评标标准相应的商务技术资料（格式见附件）；</w:t>
      </w:r>
    </w:p>
    <w:p w14:paraId="3248D93C">
      <w:pPr>
        <w:ind w:firstLine="480"/>
        <w:rPr>
          <w:rFonts w:hint="eastAsia" w:ascii="仿宋" w:hAnsi="仿宋" w:cs="仿宋"/>
          <w:color w:val="auto"/>
          <w:szCs w:val="24"/>
          <w:highlight w:val="none"/>
        </w:rPr>
      </w:pPr>
      <w:r>
        <w:rPr>
          <w:rFonts w:hint="eastAsia" w:ascii="仿宋" w:hAnsi="仿宋" w:cs="仿宋"/>
          <w:color w:val="auto"/>
          <w:szCs w:val="24"/>
          <w:highlight w:val="none"/>
        </w:rPr>
        <w:t>（5）投标标的清单（格式见附件）；</w:t>
      </w:r>
    </w:p>
    <w:p w14:paraId="3D9F88AC">
      <w:pPr>
        <w:ind w:firstLine="480"/>
        <w:rPr>
          <w:rFonts w:hint="eastAsia" w:ascii="仿宋" w:hAnsi="仿宋" w:cs="仿宋"/>
          <w:color w:val="auto"/>
          <w:szCs w:val="24"/>
          <w:highlight w:val="none"/>
        </w:rPr>
      </w:pPr>
      <w:r>
        <w:rPr>
          <w:rFonts w:hint="eastAsia" w:ascii="仿宋" w:hAnsi="仿宋" w:cs="仿宋"/>
          <w:color w:val="auto"/>
          <w:szCs w:val="24"/>
          <w:highlight w:val="none"/>
        </w:rPr>
        <w:t>（6）商务技术偏离表（格式见附件）；</w:t>
      </w:r>
    </w:p>
    <w:p w14:paraId="35325593">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rPr>
        <w:t>7</w:t>
      </w:r>
      <w:r>
        <w:rPr>
          <w:rFonts w:hint="eastAsia" w:ascii="仿宋" w:hAnsi="仿宋" w:cs="仿宋"/>
          <w:color w:val="auto"/>
          <w:szCs w:val="24"/>
          <w:highlight w:val="none"/>
          <w:lang w:val="zh-CN"/>
        </w:rPr>
        <w:t>）采购供应商廉洁自律承诺书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3845E921">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14:paraId="712467EA">
      <w:pPr>
        <w:ind w:firstLine="480"/>
        <w:rPr>
          <w:rFonts w:hint="eastAsia" w:ascii="仿宋" w:hAnsi="仿宋" w:cs="仿宋"/>
          <w:color w:val="auto"/>
          <w:szCs w:val="24"/>
          <w:highlight w:val="none"/>
        </w:rPr>
      </w:pPr>
      <w:r>
        <w:rPr>
          <w:rFonts w:hint="eastAsia" w:ascii="仿宋" w:hAnsi="仿宋" w:cs="仿宋"/>
          <w:color w:val="auto"/>
          <w:szCs w:val="24"/>
          <w:highlight w:val="none"/>
        </w:rPr>
        <w:t>（1）开标一览表（报价表）（格式见附件）；</w:t>
      </w:r>
    </w:p>
    <w:p w14:paraId="5DEDD0E9">
      <w:pPr>
        <w:ind w:firstLine="480"/>
        <w:rPr>
          <w:rFonts w:hint="eastAsia" w:ascii="仿宋" w:hAnsi="仿宋" w:cs="仿宋"/>
          <w:color w:val="auto"/>
          <w:szCs w:val="24"/>
          <w:highlight w:val="none"/>
        </w:rPr>
      </w:pPr>
      <w:r>
        <w:rPr>
          <w:rFonts w:hint="eastAsia" w:ascii="仿宋" w:hAnsi="仿宋" w:cs="仿宋"/>
          <w:color w:val="auto"/>
          <w:szCs w:val="24"/>
          <w:highlight w:val="none"/>
        </w:rPr>
        <w:t>（2）投标报价明细表（格式自拟）；</w:t>
      </w:r>
    </w:p>
    <w:p w14:paraId="5807D5F7">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w:t>
      </w:r>
    </w:p>
    <w:p w14:paraId="1D29A75C">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14:paraId="7E11B683">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07BF431E">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5382FC0A">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04870242">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6AFCF486">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670B318">
      <w:pPr>
        <w:spacing w:line="360" w:lineRule="auto"/>
        <w:ind w:firstLine="3600" w:firstLineChars="1500"/>
        <w:rPr>
          <w:rFonts w:hint="eastAsia" w:ascii="宋体" w:hAnsi="宋体" w:cs="宋体"/>
          <w:color w:val="auto"/>
          <w:highlight w:val="none"/>
        </w:rPr>
      </w:pPr>
    </w:p>
    <w:p w14:paraId="37643E1F">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7A5CF4EF">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A2D533C">
      <w:pPr>
        <w:snapToGrid w:val="0"/>
        <w:spacing w:line="360" w:lineRule="auto"/>
        <w:ind w:left="480" w:leftChars="200" w:firstLine="4200" w:firstLineChars="1750"/>
        <w:rPr>
          <w:rFonts w:ascii="宋体" w:hAnsi="宋体" w:cs="宋体"/>
          <w:color w:val="auto"/>
          <w:kern w:val="0"/>
          <w:highlight w:val="none"/>
          <w:u w:val="single"/>
        </w:rPr>
      </w:pPr>
    </w:p>
    <w:p w14:paraId="591DAC90">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18689FAF">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157CBB61">
      <w:pPr>
        <w:pStyle w:val="5"/>
        <w:rPr>
          <w:rFonts w:hint="eastAsia" w:ascii="仿宋_GB2312" w:hAnsi="宋体" w:eastAsia="仿宋_GB2312" w:cs="Times New Roman"/>
          <w:b/>
          <w:color w:val="auto"/>
          <w:kern w:val="2"/>
          <w:sz w:val="32"/>
          <w:szCs w:val="32"/>
          <w:highlight w:val="none"/>
          <w:lang w:val="en-US" w:eastAsia="zh-CN" w:bidi="ar-SA"/>
        </w:rPr>
      </w:pPr>
    </w:p>
    <w:p w14:paraId="6679B31D">
      <w:pPr>
        <w:rPr>
          <w:rFonts w:hint="eastAsia" w:ascii="仿宋_GB2312" w:hAnsi="宋体" w:eastAsia="仿宋_GB2312" w:cs="Times New Roman"/>
          <w:b/>
          <w:color w:val="auto"/>
          <w:kern w:val="2"/>
          <w:sz w:val="32"/>
          <w:szCs w:val="32"/>
          <w:highlight w:val="none"/>
          <w:lang w:val="en-US" w:eastAsia="zh-CN" w:bidi="ar-SA"/>
        </w:rPr>
      </w:pPr>
    </w:p>
    <w:p w14:paraId="10D8D2B8">
      <w:pPr>
        <w:pStyle w:val="48"/>
        <w:rPr>
          <w:rFonts w:hint="eastAsia" w:ascii="仿宋_GB2312" w:hAnsi="宋体" w:eastAsia="仿宋_GB2312" w:cs="Times New Roman"/>
          <w:b/>
          <w:color w:val="auto"/>
          <w:kern w:val="2"/>
          <w:sz w:val="32"/>
          <w:szCs w:val="32"/>
          <w:highlight w:val="none"/>
          <w:lang w:val="en-US" w:eastAsia="zh-CN" w:bidi="ar-SA"/>
        </w:rPr>
      </w:pPr>
    </w:p>
    <w:p w14:paraId="73DD2050">
      <w:pPr>
        <w:pStyle w:val="49"/>
        <w:rPr>
          <w:rFonts w:hint="eastAsia" w:ascii="仿宋_GB2312" w:hAnsi="宋体" w:eastAsia="仿宋_GB2312" w:cs="Times New Roman"/>
          <w:b/>
          <w:color w:val="auto"/>
          <w:kern w:val="2"/>
          <w:sz w:val="32"/>
          <w:szCs w:val="32"/>
          <w:highlight w:val="none"/>
          <w:lang w:val="en-US" w:eastAsia="zh-CN" w:bidi="ar-SA"/>
        </w:rPr>
      </w:pPr>
    </w:p>
    <w:p w14:paraId="345682C5">
      <w:pPr>
        <w:rPr>
          <w:rFonts w:hint="eastAsia" w:ascii="仿宋_GB2312" w:hAnsi="宋体" w:eastAsia="仿宋_GB2312" w:cs="Times New Roman"/>
          <w:b/>
          <w:color w:val="auto"/>
          <w:kern w:val="2"/>
          <w:sz w:val="32"/>
          <w:szCs w:val="32"/>
          <w:highlight w:val="none"/>
          <w:lang w:val="en-US" w:eastAsia="zh-CN" w:bidi="ar-SA"/>
        </w:rPr>
      </w:pPr>
    </w:p>
    <w:p w14:paraId="12686B13">
      <w:pPr>
        <w:pStyle w:val="48"/>
        <w:rPr>
          <w:rFonts w:hint="eastAsia" w:ascii="仿宋_GB2312" w:hAnsi="宋体" w:eastAsia="仿宋_GB2312" w:cs="Times New Roman"/>
          <w:b/>
          <w:color w:val="auto"/>
          <w:kern w:val="2"/>
          <w:sz w:val="32"/>
          <w:szCs w:val="32"/>
          <w:highlight w:val="none"/>
          <w:lang w:val="en-US" w:eastAsia="zh-CN" w:bidi="ar-SA"/>
        </w:rPr>
      </w:pPr>
    </w:p>
    <w:p w14:paraId="4CBBB3F8">
      <w:pPr>
        <w:pStyle w:val="49"/>
        <w:rPr>
          <w:rFonts w:hint="eastAsia"/>
          <w:color w:val="auto"/>
          <w:highlight w:val="none"/>
          <w:lang w:val="en-US" w:eastAsia="zh-CN"/>
        </w:rPr>
      </w:pPr>
    </w:p>
    <w:p w14:paraId="69AAE4F2">
      <w:pPr>
        <w:pStyle w:val="5"/>
        <w:rPr>
          <w:rFonts w:hint="eastAsia" w:ascii="仿宋_GB2312" w:hAnsi="宋体" w:eastAsia="仿宋_GB2312" w:cs="Times New Roman"/>
          <w:b/>
          <w:color w:val="auto"/>
          <w:kern w:val="2"/>
          <w:sz w:val="32"/>
          <w:szCs w:val="32"/>
          <w:highlight w:val="none"/>
          <w:lang w:val="en-US" w:eastAsia="zh-CN" w:bidi="ar-SA"/>
        </w:rPr>
      </w:pPr>
    </w:p>
    <w:p w14:paraId="6CE12FFF">
      <w:pPr>
        <w:rPr>
          <w:rFonts w:hint="eastAsia" w:ascii="仿宋_GB2312" w:hAnsi="宋体" w:eastAsia="仿宋_GB2312" w:cs="Times New Roman"/>
          <w:b/>
          <w:color w:val="auto"/>
          <w:kern w:val="2"/>
          <w:sz w:val="32"/>
          <w:szCs w:val="32"/>
          <w:highlight w:val="none"/>
          <w:lang w:val="en-US" w:eastAsia="zh-CN" w:bidi="ar-SA"/>
        </w:rPr>
      </w:pPr>
    </w:p>
    <w:p w14:paraId="05521D0E">
      <w:pPr>
        <w:pStyle w:val="5"/>
        <w:rPr>
          <w:rFonts w:hint="eastAsia" w:ascii="仿宋_GB2312" w:hAnsi="宋体" w:eastAsia="仿宋_GB2312" w:cs="Times New Roman"/>
          <w:b/>
          <w:color w:val="auto"/>
          <w:kern w:val="2"/>
          <w:sz w:val="32"/>
          <w:szCs w:val="32"/>
          <w:highlight w:val="none"/>
          <w:lang w:val="en-US" w:eastAsia="zh-CN" w:bidi="ar-SA"/>
        </w:rPr>
      </w:pPr>
    </w:p>
    <w:p w14:paraId="0E9CE3A1">
      <w:pPr>
        <w:rPr>
          <w:rFonts w:hint="eastAsia"/>
          <w:color w:val="auto"/>
          <w:highlight w:val="none"/>
          <w:lang w:val="en-US" w:eastAsia="zh-CN"/>
        </w:rPr>
      </w:pPr>
    </w:p>
    <w:p w14:paraId="6F08CC5C">
      <w:pPr>
        <w:rPr>
          <w:rFonts w:hint="eastAsia"/>
          <w:color w:val="auto"/>
          <w:highlight w:val="none"/>
          <w:lang w:val="en-US" w:eastAsia="zh-CN"/>
        </w:rPr>
      </w:pPr>
    </w:p>
    <w:p w14:paraId="4694396F">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3E49D699">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6EBCAEA8">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采购供应商廉洁自律承诺书</w:t>
      </w:r>
      <w:r>
        <w:rPr>
          <w:rFonts w:hint="eastAsia" w:ascii="宋体" w:hAnsi="宋体" w:cs="宋体"/>
          <w:color w:val="auto"/>
          <w:sz w:val="24"/>
          <w:highlight w:val="none"/>
        </w:rPr>
        <w:t> </w:t>
      </w:r>
    </w:p>
    <w:p w14:paraId="44501E80">
      <w:pPr>
        <w:pageBreakBefore w:val="0"/>
        <w:kinsoku/>
        <w:bidi w:val="0"/>
        <w:spacing w:beforeAutospacing="0" w:afterAutospacing="0" w:line="440" w:lineRule="exact"/>
        <w:rPr>
          <w:rFonts w:hint="eastAsia" w:ascii="仿宋_GB2312" w:eastAsia="仿宋_GB2312" w:cs="仿宋_GB2312"/>
          <w:color w:val="auto"/>
          <w:sz w:val="28"/>
          <w:szCs w:val="28"/>
          <w:highlight w:val="none"/>
          <w:lang w:eastAsia="zh-CN"/>
        </w:rPr>
      </w:pPr>
    </w:p>
    <w:p w14:paraId="0B269A5A">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lang w:eastAsia="zh-CN"/>
        </w:rPr>
        <w:t>华诚工程咨询集团有限公司</w:t>
      </w:r>
      <w:r>
        <w:rPr>
          <w:rFonts w:hint="eastAsia" w:ascii="仿宋" w:hAnsi="仿宋" w:eastAsia="仿宋" w:cs="仿宋"/>
          <w:color w:val="auto"/>
          <w:sz w:val="24"/>
          <w:szCs w:val="24"/>
          <w:highlight w:val="none"/>
          <w:u w:val="single"/>
        </w:rPr>
        <w:t>：</w:t>
      </w:r>
    </w:p>
    <w:p w14:paraId="4BECB7EE">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）采购活动，就有关廉洁自律和公平竞争事项郑重声明如下：</w:t>
      </w:r>
    </w:p>
    <w:p w14:paraId="554E777F">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14:paraId="3804210D">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14:paraId="134110A5">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三、本单位清楚知道并严格遵守采购法律法规、政策文件和相关纪律。</w:t>
      </w:r>
    </w:p>
    <w:p w14:paraId="6AB3D36D">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14:paraId="6064B5E5">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71037E1C">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7D351F32">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60817FF4">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135D5CE8">
      <w:pPr>
        <w:pStyle w:val="5"/>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14:paraId="65FB9906">
      <w:pPr>
        <w:pageBreakBefore w:val="0"/>
        <w:kinsoku/>
        <w:bidi w:val="0"/>
        <w:spacing w:beforeAutospacing="0" w:afterAutospacing="0" w:line="440" w:lineRule="exact"/>
        <w:rPr>
          <w:rFonts w:hint="eastAsia" w:ascii="仿宋" w:hAnsi="仿宋" w:eastAsia="仿宋" w:cs="仿宋"/>
          <w:color w:val="auto"/>
          <w:sz w:val="24"/>
          <w:szCs w:val="24"/>
          <w:highlight w:val="none"/>
        </w:rPr>
      </w:pPr>
    </w:p>
    <w:p w14:paraId="7E430019">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▲注：未按照本采购供应商廉洁自律承诺书要求填报的将被视为非实质性响应投标。</w:t>
      </w:r>
    </w:p>
    <w:p w14:paraId="3B99D449">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14:paraId="21F0FBD9">
      <w:pPr>
        <w:pageBreakBefore w:val="0"/>
        <w:kinsoku/>
        <w:bidi w:val="0"/>
        <w:spacing w:beforeAutospacing="0" w:afterAutospacing="0" w:line="440" w:lineRule="exact"/>
        <w:rPr>
          <w:rFonts w:hint="eastAsia" w:ascii="仿宋" w:hAnsi="仿宋" w:eastAsia="仿宋" w:cs="仿宋"/>
          <w:color w:val="auto"/>
          <w:sz w:val="24"/>
          <w:highlight w:val="none"/>
        </w:rPr>
      </w:pPr>
    </w:p>
    <w:p w14:paraId="09703DC6">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lang w:val="zh-CN"/>
        </w:rPr>
        <w:t xml:space="preserve">    </w:t>
      </w:r>
    </w:p>
    <w:p w14:paraId="4C8428C5">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49095E8A">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14:paraId="237281F4">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14:paraId="7973A8C0">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14:paraId="115F4132">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14:paraId="4E7995FB">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14:paraId="0368619B">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FC57815">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14:paraId="54D59A50">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72AE23CB">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69D77536">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1549E65E">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23242235">
      <w:pPr>
        <w:pageBreakBefore w:val="0"/>
        <w:kinsoku/>
        <w:bidi w:val="0"/>
        <w:spacing w:beforeAutospacing="0" w:afterAutospacing="0" w:line="440" w:lineRule="exact"/>
        <w:jc w:val="center"/>
        <w:rPr>
          <w:rFonts w:ascii="仿宋" w:hAnsi="仿宋" w:eastAsia="仿宋" w:cs="仿宋_GB2312"/>
          <w:b/>
          <w:bCs/>
          <w:color w:val="auto"/>
          <w:sz w:val="24"/>
          <w:highlight w:val="none"/>
        </w:rPr>
      </w:pPr>
    </w:p>
    <w:p w14:paraId="40912D75">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1AACF5E7">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p>
    <w:p w14:paraId="53BF091C">
      <w:pPr>
        <w:pStyle w:val="106"/>
        <w:rPr>
          <w:rFonts w:hint="eastAsia" w:ascii="仿宋_GB2312" w:hAnsi="宋体" w:eastAsia="仿宋_GB2312" w:cs="Times New Roman"/>
          <w:b/>
          <w:color w:val="auto"/>
          <w:kern w:val="2"/>
          <w:sz w:val="32"/>
          <w:szCs w:val="32"/>
          <w:highlight w:val="none"/>
          <w:lang w:val="en-US" w:eastAsia="zh-CN" w:bidi="ar-SA"/>
        </w:rPr>
      </w:pPr>
    </w:p>
    <w:p w14:paraId="624DD636">
      <w:pPr>
        <w:rPr>
          <w:rFonts w:hint="eastAsia" w:ascii="仿宋_GB2312" w:hAnsi="宋体" w:eastAsia="仿宋_GB2312" w:cs="Times New Roman"/>
          <w:b/>
          <w:color w:val="auto"/>
          <w:kern w:val="2"/>
          <w:sz w:val="32"/>
          <w:szCs w:val="32"/>
          <w:highlight w:val="none"/>
          <w:lang w:val="en-US" w:eastAsia="zh-CN" w:bidi="ar-SA"/>
        </w:rPr>
      </w:pPr>
    </w:p>
    <w:p w14:paraId="25982154">
      <w:pPr>
        <w:pStyle w:val="106"/>
        <w:rPr>
          <w:rFonts w:hint="eastAsia" w:ascii="仿宋_GB2312" w:hAnsi="宋体" w:eastAsia="仿宋_GB2312" w:cs="Times New Roman"/>
          <w:b/>
          <w:color w:val="auto"/>
          <w:kern w:val="2"/>
          <w:sz w:val="32"/>
          <w:szCs w:val="32"/>
          <w:highlight w:val="none"/>
          <w:lang w:val="en-US" w:eastAsia="zh-CN" w:bidi="ar-SA"/>
        </w:rPr>
      </w:pPr>
    </w:p>
    <w:p w14:paraId="71D8D5AA">
      <w:pPr>
        <w:rPr>
          <w:rFonts w:hint="eastAsia" w:ascii="仿宋_GB2312" w:hAnsi="宋体" w:eastAsia="仿宋_GB2312" w:cs="Times New Roman"/>
          <w:b/>
          <w:color w:val="auto"/>
          <w:kern w:val="2"/>
          <w:sz w:val="32"/>
          <w:szCs w:val="32"/>
          <w:highlight w:val="none"/>
          <w:lang w:val="en-US" w:eastAsia="zh-CN" w:bidi="ar-SA"/>
        </w:rPr>
      </w:pPr>
    </w:p>
    <w:p w14:paraId="0992936D">
      <w:pPr>
        <w:pStyle w:val="106"/>
        <w:rPr>
          <w:rFonts w:hint="eastAsia"/>
          <w:color w:val="auto"/>
          <w:highlight w:val="none"/>
          <w:lang w:val="en-US" w:eastAsia="zh-CN"/>
        </w:rPr>
      </w:pPr>
    </w:p>
    <w:p w14:paraId="22A5DA15">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关于代理服务费的承诺书</w:t>
      </w:r>
    </w:p>
    <w:p w14:paraId="74F70506">
      <w:pPr>
        <w:pageBreakBefore w:val="0"/>
        <w:kinsoku/>
        <w:bidi w:val="0"/>
        <w:spacing w:beforeAutospacing="0" w:afterAutospacing="0" w:line="440" w:lineRule="exact"/>
        <w:rPr>
          <w:rFonts w:hint="eastAsia" w:ascii="仿宋" w:hAnsi="仿宋" w:eastAsia="仿宋" w:cs="仿宋"/>
          <w:color w:val="auto"/>
          <w:sz w:val="24"/>
          <w:highlight w:val="none"/>
        </w:rPr>
      </w:pPr>
    </w:p>
    <w:p w14:paraId="16545EC1">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1D1C1CF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701F60D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6A2D351F">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56AD4932">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2529867">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6A00C533">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2E696612">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655B615C">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14:paraId="4F36FDC1">
      <w:pPr>
        <w:pStyle w:val="5"/>
        <w:rPr>
          <w:rFonts w:hint="eastAsia" w:ascii="仿宋" w:hAnsi="仿宋" w:eastAsia="仿宋" w:cs="仿宋"/>
          <w:b/>
          <w:bCs/>
          <w:color w:val="auto"/>
          <w:sz w:val="24"/>
          <w:szCs w:val="24"/>
          <w:highlight w:val="none"/>
        </w:rPr>
      </w:pPr>
    </w:p>
    <w:p w14:paraId="7FD074FA">
      <w:pPr>
        <w:rPr>
          <w:rFonts w:hint="eastAsia" w:ascii="仿宋" w:hAnsi="仿宋" w:eastAsia="仿宋" w:cs="仿宋"/>
          <w:b/>
          <w:bCs/>
          <w:color w:val="auto"/>
          <w:sz w:val="24"/>
          <w:szCs w:val="24"/>
          <w:highlight w:val="none"/>
        </w:rPr>
      </w:pPr>
    </w:p>
    <w:p w14:paraId="6D53887B">
      <w:pPr>
        <w:pStyle w:val="5"/>
        <w:rPr>
          <w:rFonts w:hint="eastAsia" w:ascii="仿宋" w:hAnsi="仿宋" w:eastAsia="仿宋" w:cs="仿宋"/>
          <w:b/>
          <w:bCs/>
          <w:color w:val="auto"/>
          <w:sz w:val="24"/>
          <w:szCs w:val="24"/>
          <w:highlight w:val="none"/>
        </w:rPr>
      </w:pPr>
    </w:p>
    <w:p w14:paraId="1BA214DD">
      <w:pPr>
        <w:rPr>
          <w:rFonts w:hint="eastAsia" w:ascii="仿宋" w:hAnsi="仿宋" w:eastAsia="仿宋" w:cs="仿宋"/>
          <w:b/>
          <w:bCs/>
          <w:color w:val="auto"/>
          <w:sz w:val="24"/>
          <w:szCs w:val="24"/>
          <w:highlight w:val="none"/>
        </w:rPr>
      </w:pPr>
    </w:p>
    <w:p w14:paraId="12F0AC78">
      <w:pPr>
        <w:pStyle w:val="5"/>
        <w:rPr>
          <w:rFonts w:hint="eastAsia" w:ascii="仿宋" w:hAnsi="仿宋" w:eastAsia="仿宋" w:cs="仿宋"/>
          <w:b/>
          <w:bCs/>
          <w:color w:val="auto"/>
          <w:sz w:val="24"/>
          <w:szCs w:val="24"/>
          <w:highlight w:val="none"/>
        </w:rPr>
      </w:pPr>
    </w:p>
    <w:p w14:paraId="4BDE45CC">
      <w:pPr>
        <w:rPr>
          <w:rFonts w:hint="eastAsia" w:ascii="仿宋" w:hAnsi="仿宋" w:eastAsia="仿宋" w:cs="仿宋"/>
          <w:b/>
          <w:bCs/>
          <w:color w:val="auto"/>
          <w:sz w:val="24"/>
          <w:szCs w:val="24"/>
          <w:highlight w:val="none"/>
        </w:rPr>
      </w:pPr>
    </w:p>
    <w:p w14:paraId="2FD6AB2D">
      <w:pPr>
        <w:rPr>
          <w:rFonts w:hint="eastAsia" w:ascii="仿宋" w:hAnsi="仿宋" w:eastAsia="仿宋" w:cs="仿宋"/>
          <w:b/>
          <w:bCs/>
          <w:color w:val="auto"/>
          <w:sz w:val="24"/>
          <w:szCs w:val="24"/>
          <w:highlight w:val="none"/>
        </w:rPr>
      </w:pPr>
    </w:p>
    <w:p w14:paraId="180F983D">
      <w:pPr>
        <w:spacing w:before="156"/>
        <w:ind w:firstLine="0" w:firstLineChars="0"/>
        <w:jc w:val="center"/>
        <w:rPr>
          <w:rFonts w:hint="eastAsia" w:ascii="仿宋_GB2312" w:hAnsi="宋体" w:eastAsia="仿宋_GB2312"/>
          <w:b/>
          <w:color w:val="auto"/>
          <w:sz w:val="32"/>
          <w:szCs w:val="32"/>
          <w:highlight w:val="none"/>
        </w:rPr>
      </w:pPr>
    </w:p>
    <w:p w14:paraId="50B9A3B2">
      <w:pPr>
        <w:pageBreakBefore w:val="0"/>
        <w:kinsoku/>
        <w:bidi w:val="0"/>
        <w:spacing w:beforeAutospacing="0" w:afterAutospacing="0" w:line="440" w:lineRule="exact"/>
        <w:jc w:val="center"/>
        <w:rPr>
          <w:rFonts w:hint="eastAsia"/>
          <w:b/>
          <w:color w:val="auto"/>
          <w:sz w:val="32"/>
          <w:szCs w:val="32"/>
          <w:highlight w:val="none"/>
        </w:rPr>
      </w:pPr>
    </w:p>
    <w:p w14:paraId="3F0D011A">
      <w:pPr>
        <w:pageBreakBefore w:val="0"/>
        <w:kinsoku/>
        <w:bidi w:val="0"/>
        <w:spacing w:beforeAutospacing="0" w:afterAutospacing="0" w:line="440" w:lineRule="exact"/>
        <w:jc w:val="center"/>
        <w:rPr>
          <w:rFonts w:hint="eastAsia"/>
          <w:b/>
          <w:color w:val="auto"/>
          <w:sz w:val="32"/>
          <w:szCs w:val="32"/>
          <w:highlight w:val="none"/>
        </w:rPr>
      </w:pPr>
    </w:p>
    <w:p w14:paraId="202E12FF">
      <w:pPr>
        <w:pageBreakBefore w:val="0"/>
        <w:kinsoku/>
        <w:bidi w:val="0"/>
        <w:spacing w:beforeAutospacing="0" w:afterAutospacing="0" w:line="440" w:lineRule="exact"/>
        <w:jc w:val="center"/>
        <w:rPr>
          <w:rFonts w:hint="eastAsia"/>
          <w:b/>
          <w:color w:val="auto"/>
          <w:sz w:val="32"/>
          <w:szCs w:val="32"/>
          <w:highlight w:val="none"/>
        </w:rPr>
      </w:pPr>
    </w:p>
    <w:p w14:paraId="2BFC1ADD">
      <w:pPr>
        <w:pageBreakBefore w:val="0"/>
        <w:kinsoku/>
        <w:bidi w:val="0"/>
        <w:spacing w:beforeAutospacing="0" w:afterAutospacing="0" w:line="440" w:lineRule="exact"/>
        <w:jc w:val="center"/>
        <w:rPr>
          <w:b/>
          <w:color w:val="auto"/>
          <w:sz w:val="32"/>
          <w:szCs w:val="32"/>
          <w:highlight w:val="none"/>
        </w:rPr>
      </w:pPr>
      <w:r>
        <w:rPr>
          <w:rFonts w:hint="eastAsia"/>
          <w:b/>
          <w:color w:val="auto"/>
          <w:sz w:val="32"/>
          <w:szCs w:val="32"/>
          <w:highlight w:val="none"/>
        </w:rPr>
        <w:t>投标人情况介绍</w:t>
      </w:r>
    </w:p>
    <w:p w14:paraId="07B9B180">
      <w:pPr>
        <w:pageBreakBefore w:val="0"/>
        <w:kinsoku/>
        <w:bidi w:val="0"/>
        <w:spacing w:beforeAutospacing="0" w:afterAutospacing="0" w:line="440" w:lineRule="exact"/>
        <w:jc w:val="center"/>
        <w:rPr>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06CD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F97E89E">
            <w:pPr>
              <w:pageBreakBefore w:val="0"/>
              <w:kinsoku/>
              <w:bidi w:val="0"/>
              <w:spacing w:beforeAutospacing="0" w:afterAutospacing="0" w:line="440" w:lineRule="exact"/>
              <w:jc w:val="center"/>
              <w:rPr>
                <w:color w:val="auto"/>
                <w:highlight w:val="none"/>
              </w:rPr>
            </w:pPr>
            <w:r>
              <w:rPr>
                <w:rFonts w:hint="eastAsia"/>
                <w:color w:val="auto"/>
                <w:highlight w:val="none"/>
              </w:rPr>
              <w:t>投标人名称</w:t>
            </w:r>
          </w:p>
        </w:tc>
        <w:tc>
          <w:tcPr>
            <w:tcW w:w="6339" w:type="dxa"/>
            <w:gridSpan w:val="5"/>
            <w:vAlign w:val="center"/>
          </w:tcPr>
          <w:p w14:paraId="24C2889C">
            <w:pPr>
              <w:pageBreakBefore w:val="0"/>
              <w:kinsoku/>
              <w:bidi w:val="0"/>
              <w:spacing w:beforeAutospacing="0" w:afterAutospacing="0" w:line="440" w:lineRule="exact"/>
              <w:jc w:val="center"/>
              <w:rPr>
                <w:color w:val="auto"/>
                <w:highlight w:val="none"/>
              </w:rPr>
            </w:pPr>
          </w:p>
        </w:tc>
      </w:tr>
      <w:tr w14:paraId="4B04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08D3C86">
            <w:pPr>
              <w:pageBreakBefore w:val="0"/>
              <w:kinsoku/>
              <w:bidi w:val="0"/>
              <w:spacing w:beforeAutospacing="0" w:afterAutospacing="0" w:line="440" w:lineRule="exact"/>
              <w:jc w:val="center"/>
              <w:rPr>
                <w:color w:val="auto"/>
                <w:highlight w:val="none"/>
              </w:rPr>
            </w:pPr>
            <w:r>
              <w:rPr>
                <w:rFonts w:hint="eastAsia"/>
                <w:color w:val="auto"/>
                <w:highlight w:val="none"/>
              </w:rPr>
              <w:t>地址</w:t>
            </w:r>
          </w:p>
        </w:tc>
        <w:tc>
          <w:tcPr>
            <w:tcW w:w="6339" w:type="dxa"/>
            <w:gridSpan w:val="5"/>
            <w:vAlign w:val="center"/>
          </w:tcPr>
          <w:p w14:paraId="1931CD57">
            <w:pPr>
              <w:pageBreakBefore w:val="0"/>
              <w:kinsoku/>
              <w:bidi w:val="0"/>
              <w:spacing w:beforeAutospacing="0" w:afterAutospacing="0" w:line="440" w:lineRule="exact"/>
              <w:jc w:val="center"/>
              <w:rPr>
                <w:color w:val="auto"/>
                <w:highlight w:val="none"/>
              </w:rPr>
            </w:pPr>
          </w:p>
        </w:tc>
      </w:tr>
      <w:tr w14:paraId="2AE9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AC3E66D">
            <w:pPr>
              <w:pageBreakBefore w:val="0"/>
              <w:kinsoku/>
              <w:bidi w:val="0"/>
              <w:spacing w:beforeAutospacing="0" w:afterAutospacing="0" w:line="440" w:lineRule="exact"/>
              <w:jc w:val="center"/>
              <w:rPr>
                <w:color w:val="auto"/>
                <w:highlight w:val="none"/>
              </w:rPr>
            </w:pPr>
            <w:r>
              <w:rPr>
                <w:rFonts w:hint="eastAsia"/>
                <w:color w:val="auto"/>
                <w:highlight w:val="none"/>
              </w:rPr>
              <w:t>经营范围</w:t>
            </w:r>
          </w:p>
        </w:tc>
        <w:tc>
          <w:tcPr>
            <w:tcW w:w="2118" w:type="dxa"/>
            <w:vAlign w:val="center"/>
          </w:tcPr>
          <w:p w14:paraId="54E6EF4F">
            <w:pPr>
              <w:pageBreakBefore w:val="0"/>
              <w:kinsoku/>
              <w:bidi w:val="0"/>
              <w:spacing w:beforeAutospacing="0" w:afterAutospacing="0" w:line="440" w:lineRule="exact"/>
              <w:jc w:val="center"/>
              <w:rPr>
                <w:color w:val="auto"/>
                <w:highlight w:val="none"/>
              </w:rPr>
            </w:pPr>
          </w:p>
        </w:tc>
        <w:tc>
          <w:tcPr>
            <w:tcW w:w="1980" w:type="dxa"/>
            <w:vAlign w:val="center"/>
          </w:tcPr>
          <w:p w14:paraId="68958A2B">
            <w:pPr>
              <w:pageBreakBefore w:val="0"/>
              <w:kinsoku/>
              <w:bidi w:val="0"/>
              <w:spacing w:beforeAutospacing="0" w:afterAutospacing="0" w:line="440" w:lineRule="exact"/>
              <w:jc w:val="center"/>
              <w:rPr>
                <w:color w:val="auto"/>
                <w:highlight w:val="none"/>
              </w:rPr>
            </w:pPr>
            <w:r>
              <w:rPr>
                <w:rFonts w:hint="eastAsia"/>
                <w:color w:val="auto"/>
                <w:highlight w:val="none"/>
              </w:rPr>
              <w:t>企业类型</w:t>
            </w:r>
          </w:p>
        </w:tc>
        <w:tc>
          <w:tcPr>
            <w:tcW w:w="2241" w:type="dxa"/>
            <w:gridSpan w:val="3"/>
            <w:vAlign w:val="center"/>
          </w:tcPr>
          <w:p w14:paraId="53752F12">
            <w:pPr>
              <w:pageBreakBefore w:val="0"/>
              <w:kinsoku/>
              <w:bidi w:val="0"/>
              <w:spacing w:beforeAutospacing="0" w:afterAutospacing="0" w:line="440" w:lineRule="exact"/>
              <w:jc w:val="center"/>
              <w:rPr>
                <w:color w:val="auto"/>
                <w:highlight w:val="none"/>
              </w:rPr>
            </w:pPr>
            <w:r>
              <w:rPr>
                <w:rFonts w:hint="eastAsia"/>
                <w:color w:val="auto"/>
                <w:highlight w:val="none"/>
              </w:rPr>
              <w:t>（大型、中型、小型、微型）</w:t>
            </w:r>
          </w:p>
        </w:tc>
      </w:tr>
      <w:tr w14:paraId="693D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B7606E">
            <w:pPr>
              <w:pageBreakBefore w:val="0"/>
              <w:kinsoku/>
              <w:bidi w:val="0"/>
              <w:spacing w:beforeAutospacing="0" w:afterAutospacing="0" w:line="440" w:lineRule="exact"/>
              <w:jc w:val="center"/>
              <w:rPr>
                <w:color w:val="auto"/>
                <w:highlight w:val="none"/>
              </w:rPr>
            </w:pPr>
            <w:r>
              <w:rPr>
                <w:rFonts w:hint="eastAsia"/>
                <w:color w:val="auto"/>
                <w:highlight w:val="none"/>
              </w:rPr>
              <w:t>成立时间</w:t>
            </w:r>
          </w:p>
        </w:tc>
        <w:tc>
          <w:tcPr>
            <w:tcW w:w="2118" w:type="dxa"/>
            <w:vAlign w:val="center"/>
          </w:tcPr>
          <w:p w14:paraId="151E89B2">
            <w:pPr>
              <w:pageBreakBefore w:val="0"/>
              <w:kinsoku/>
              <w:bidi w:val="0"/>
              <w:spacing w:beforeAutospacing="0" w:afterAutospacing="0" w:line="440" w:lineRule="exact"/>
              <w:jc w:val="center"/>
              <w:rPr>
                <w:color w:val="auto"/>
                <w:highlight w:val="none"/>
              </w:rPr>
            </w:pPr>
          </w:p>
        </w:tc>
        <w:tc>
          <w:tcPr>
            <w:tcW w:w="1980" w:type="dxa"/>
            <w:vAlign w:val="center"/>
          </w:tcPr>
          <w:p w14:paraId="3DCF5A98">
            <w:pPr>
              <w:pageBreakBefore w:val="0"/>
              <w:kinsoku/>
              <w:bidi w:val="0"/>
              <w:spacing w:beforeAutospacing="0" w:afterAutospacing="0" w:line="440" w:lineRule="exact"/>
              <w:jc w:val="center"/>
              <w:rPr>
                <w:color w:val="auto"/>
                <w:highlight w:val="none"/>
              </w:rPr>
            </w:pPr>
            <w:r>
              <w:rPr>
                <w:rFonts w:hint="eastAsia"/>
                <w:color w:val="auto"/>
                <w:highlight w:val="none"/>
              </w:rPr>
              <w:t>经济性质</w:t>
            </w:r>
          </w:p>
        </w:tc>
        <w:tc>
          <w:tcPr>
            <w:tcW w:w="2241" w:type="dxa"/>
            <w:gridSpan w:val="3"/>
            <w:vAlign w:val="center"/>
          </w:tcPr>
          <w:p w14:paraId="21320CF9">
            <w:pPr>
              <w:pageBreakBefore w:val="0"/>
              <w:kinsoku/>
              <w:bidi w:val="0"/>
              <w:spacing w:beforeAutospacing="0" w:afterAutospacing="0" w:line="440" w:lineRule="exact"/>
              <w:jc w:val="center"/>
              <w:rPr>
                <w:color w:val="auto"/>
                <w:highlight w:val="none"/>
              </w:rPr>
            </w:pPr>
          </w:p>
        </w:tc>
      </w:tr>
      <w:tr w14:paraId="4D67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DF05610">
            <w:pPr>
              <w:pageBreakBefore w:val="0"/>
              <w:kinsoku/>
              <w:bidi w:val="0"/>
              <w:spacing w:beforeAutospacing="0" w:afterAutospacing="0" w:line="440" w:lineRule="exact"/>
              <w:jc w:val="center"/>
              <w:rPr>
                <w:color w:val="auto"/>
                <w:highlight w:val="none"/>
              </w:rPr>
            </w:pPr>
            <w:r>
              <w:rPr>
                <w:rFonts w:hint="eastAsia"/>
                <w:color w:val="auto"/>
                <w:highlight w:val="none"/>
              </w:rPr>
              <w:t>法定代表人</w:t>
            </w:r>
          </w:p>
        </w:tc>
        <w:tc>
          <w:tcPr>
            <w:tcW w:w="2118" w:type="dxa"/>
            <w:vAlign w:val="center"/>
          </w:tcPr>
          <w:p w14:paraId="107B03A3">
            <w:pPr>
              <w:pageBreakBefore w:val="0"/>
              <w:kinsoku/>
              <w:bidi w:val="0"/>
              <w:spacing w:beforeAutospacing="0" w:afterAutospacing="0" w:line="440" w:lineRule="exact"/>
              <w:jc w:val="center"/>
              <w:rPr>
                <w:color w:val="auto"/>
                <w:highlight w:val="none"/>
              </w:rPr>
            </w:pPr>
          </w:p>
        </w:tc>
        <w:tc>
          <w:tcPr>
            <w:tcW w:w="1980" w:type="dxa"/>
            <w:vAlign w:val="center"/>
          </w:tcPr>
          <w:p w14:paraId="52DAFB04">
            <w:pPr>
              <w:pageBreakBefore w:val="0"/>
              <w:kinsoku/>
              <w:bidi w:val="0"/>
              <w:spacing w:beforeAutospacing="0" w:afterAutospacing="0" w:line="440" w:lineRule="exact"/>
              <w:jc w:val="center"/>
              <w:rPr>
                <w:color w:val="auto"/>
                <w:highlight w:val="none"/>
              </w:rPr>
            </w:pPr>
            <w:r>
              <w:rPr>
                <w:rFonts w:hint="eastAsia"/>
                <w:color w:val="auto"/>
                <w:highlight w:val="none"/>
              </w:rPr>
              <w:t>联系电话</w:t>
            </w:r>
          </w:p>
        </w:tc>
        <w:tc>
          <w:tcPr>
            <w:tcW w:w="2241" w:type="dxa"/>
            <w:gridSpan w:val="3"/>
            <w:vAlign w:val="center"/>
          </w:tcPr>
          <w:p w14:paraId="237E0017">
            <w:pPr>
              <w:pageBreakBefore w:val="0"/>
              <w:kinsoku/>
              <w:bidi w:val="0"/>
              <w:spacing w:beforeAutospacing="0" w:afterAutospacing="0" w:line="440" w:lineRule="exact"/>
              <w:jc w:val="center"/>
              <w:rPr>
                <w:color w:val="auto"/>
                <w:highlight w:val="none"/>
              </w:rPr>
            </w:pPr>
          </w:p>
        </w:tc>
      </w:tr>
      <w:tr w14:paraId="1245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1CE4D12E">
            <w:pPr>
              <w:pageBreakBefore w:val="0"/>
              <w:kinsoku/>
              <w:bidi w:val="0"/>
              <w:spacing w:beforeAutospacing="0" w:afterAutospacing="0" w:line="440" w:lineRule="exact"/>
              <w:jc w:val="center"/>
              <w:rPr>
                <w:color w:val="auto"/>
                <w:highlight w:val="none"/>
              </w:rPr>
            </w:pPr>
            <w:r>
              <w:rPr>
                <w:rFonts w:hint="eastAsia"/>
                <w:color w:val="auto"/>
                <w:highlight w:val="none"/>
              </w:rPr>
              <w:t>注册资本</w:t>
            </w:r>
          </w:p>
        </w:tc>
        <w:tc>
          <w:tcPr>
            <w:tcW w:w="2118" w:type="dxa"/>
            <w:vMerge w:val="restart"/>
            <w:vAlign w:val="center"/>
          </w:tcPr>
          <w:p w14:paraId="722B46E1">
            <w:pPr>
              <w:pageBreakBefore w:val="0"/>
              <w:kinsoku/>
              <w:bidi w:val="0"/>
              <w:spacing w:beforeAutospacing="0" w:afterAutospacing="0" w:line="440" w:lineRule="exact"/>
              <w:jc w:val="center"/>
              <w:rPr>
                <w:color w:val="auto"/>
                <w:highlight w:val="none"/>
              </w:rPr>
            </w:pPr>
          </w:p>
        </w:tc>
        <w:tc>
          <w:tcPr>
            <w:tcW w:w="1980" w:type="dxa"/>
            <w:vMerge w:val="restart"/>
            <w:vAlign w:val="center"/>
          </w:tcPr>
          <w:p w14:paraId="50555F3F">
            <w:pPr>
              <w:pageBreakBefore w:val="0"/>
              <w:kinsoku/>
              <w:bidi w:val="0"/>
              <w:spacing w:beforeAutospacing="0" w:afterAutospacing="0" w:line="440" w:lineRule="exact"/>
              <w:jc w:val="center"/>
              <w:rPr>
                <w:color w:val="auto"/>
                <w:highlight w:val="none"/>
              </w:rPr>
            </w:pPr>
            <w:r>
              <w:rPr>
                <w:rFonts w:hint="eastAsia"/>
                <w:color w:val="auto"/>
                <w:highlight w:val="none"/>
              </w:rPr>
              <w:t>技术人员数</w:t>
            </w:r>
          </w:p>
        </w:tc>
        <w:tc>
          <w:tcPr>
            <w:tcW w:w="720" w:type="dxa"/>
            <w:vAlign w:val="center"/>
          </w:tcPr>
          <w:p w14:paraId="75C86584">
            <w:pPr>
              <w:pageBreakBefore w:val="0"/>
              <w:kinsoku/>
              <w:bidi w:val="0"/>
              <w:spacing w:beforeAutospacing="0" w:afterAutospacing="0" w:line="440" w:lineRule="exact"/>
              <w:jc w:val="center"/>
              <w:rPr>
                <w:color w:val="auto"/>
                <w:highlight w:val="none"/>
              </w:rPr>
            </w:pPr>
            <w:r>
              <w:rPr>
                <w:rFonts w:hint="eastAsia"/>
                <w:color w:val="auto"/>
                <w:highlight w:val="none"/>
              </w:rPr>
              <w:t>高级</w:t>
            </w:r>
          </w:p>
        </w:tc>
        <w:tc>
          <w:tcPr>
            <w:tcW w:w="720" w:type="dxa"/>
            <w:vAlign w:val="center"/>
          </w:tcPr>
          <w:p w14:paraId="40BE1E65">
            <w:pPr>
              <w:pageBreakBefore w:val="0"/>
              <w:kinsoku/>
              <w:bidi w:val="0"/>
              <w:spacing w:beforeAutospacing="0" w:afterAutospacing="0" w:line="440" w:lineRule="exact"/>
              <w:jc w:val="center"/>
              <w:rPr>
                <w:color w:val="auto"/>
                <w:highlight w:val="none"/>
              </w:rPr>
            </w:pPr>
            <w:r>
              <w:rPr>
                <w:rFonts w:hint="eastAsia"/>
                <w:color w:val="auto"/>
                <w:highlight w:val="none"/>
              </w:rPr>
              <w:t>中级</w:t>
            </w:r>
          </w:p>
        </w:tc>
        <w:tc>
          <w:tcPr>
            <w:tcW w:w="801" w:type="dxa"/>
            <w:vAlign w:val="center"/>
          </w:tcPr>
          <w:p w14:paraId="7CC79BF3">
            <w:pPr>
              <w:pageBreakBefore w:val="0"/>
              <w:kinsoku/>
              <w:bidi w:val="0"/>
              <w:spacing w:beforeAutospacing="0" w:afterAutospacing="0" w:line="440" w:lineRule="exact"/>
              <w:jc w:val="center"/>
              <w:rPr>
                <w:color w:val="auto"/>
                <w:highlight w:val="none"/>
              </w:rPr>
            </w:pPr>
            <w:r>
              <w:rPr>
                <w:rFonts w:hint="eastAsia"/>
                <w:color w:val="auto"/>
                <w:highlight w:val="none"/>
              </w:rPr>
              <w:t>初级</w:t>
            </w:r>
          </w:p>
        </w:tc>
      </w:tr>
      <w:tr w14:paraId="3C16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629C2436">
            <w:pPr>
              <w:pageBreakBefore w:val="0"/>
              <w:kinsoku/>
              <w:bidi w:val="0"/>
              <w:spacing w:beforeAutospacing="0" w:afterAutospacing="0" w:line="440" w:lineRule="exact"/>
              <w:jc w:val="center"/>
              <w:rPr>
                <w:color w:val="auto"/>
                <w:highlight w:val="none"/>
              </w:rPr>
            </w:pPr>
          </w:p>
        </w:tc>
        <w:tc>
          <w:tcPr>
            <w:tcW w:w="2118" w:type="dxa"/>
            <w:vMerge w:val="continue"/>
            <w:vAlign w:val="center"/>
          </w:tcPr>
          <w:p w14:paraId="1AD79FE4">
            <w:pPr>
              <w:pageBreakBefore w:val="0"/>
              <w:kinsoku/>
              <w:bidi w:val="0"/>
              <w:spacing w:beforeAutospacing="0" w:afterAutospacing="0" w:line="440" w:lineRule="exact"/>
              <w:jc w:val="center"/>
              <w:rPr>
                <w:color w:val="auto"/>
                <w:highlight w:val="none"/>
              </w:rPr>
            </w:pPr>
          </w:p>
        </w:tc>
        <w:tc>
          <w:tcPr>
            <w:tcW w:w="1980" w:type="dxa"/>
            <w:vMerge w:val="continue"/>
            <w:vAlign w:val="center"/>
          </w:tcPr>
          <w:p w14:paraId="246DDD8D">
            <w:pPr>
              <w:pageBreakBefore w:val="0"/>
              <w:kinsoku/>
              <w:bidi w:val="0"/>
              <w:spacing w:beforeAutospacing="0" w:afterAutospacing="0" w:line="440" w:lineRule="exact"/>
              <w:jc w:val="center"/>
              <w:rPr>
                <w:color w:val="auto"/>
                <w:highlight w:val="none"/>
              </w:rPr>
            </w:pPr>
          </w:p>
        </w:tc>
        <w:tc>
          <w:tcPr>
            <w:tcW w:w="720" w:type="dxa"/>
            <w:vAlign w:val="center"/>
          </w:tcPr>
          <w:p w14:paraId="21310B79">
            <w:pPr>
              <w:pageBreakBefore w:val="0"/>
              <w:kinsoku/>
              <w:bidi w:val="0"/>
              <w:spacing w:beforeAutospacing="0" w:afterAutospacing="0" w:line="440" w:lineRule="exact"/>
              <w:jc w:val="center"/>
              <w:rPr>
                <w:color w:val="auto"/>
                <w:highlight w:val="none"/>
              </w:rPr>
            </w:pPr>
          </w:p>
        </w:tc>
        <w:tc>
          <w:tcPr>
            <w:tcW w:w="720" w:type="dxa"/>
            <w:vAlign w:val="center"/>
          </w:tcPr>
          <w:p w14:paraId="103597FB">
            <w:pPr>
              <w:pageBreakBefore w:val="0"/>
              <w:kinsoku/>
              <w:bidi w:val="0"/>
              <w:spacing w:beforeAutospacing="0" w:afterAutospacing="0" w:line="440" w:lineRule="exact"/>
              <w:jc w:val="center"/>
              <w:rPr>
                <w:color w:val="auto"/>
                <w:highlight w:val="none"/>
              </w:rPr>
            </w:pPr>
          </w:p>
        </w:tc>
        <w:tc>
          <w:tcPr>
            <w:tcW w:w="801" w:type="dxa"/>
            <w:vAlign w:val="center"/>
          </w:tcPr>
          <w:p w14:paraId="2E2FDC8D">
            <w:pPr>
              <w:pageBreakBefore w:val="0"/>
              <w:kinsoku/>
              <w:bidi w:val="0"/>
              <w:spacing w:beforeAutospacing="0" w:afterAutospacing="0" w:line="440" w:lineRule="exact"/>
              <w:jc w:val="center"/>
              <w:rPr>
                <w:color w:val="auto"/>
                <w:highlight w:val="none"/>
              </w:rPr>
            </w:pPr>
          </w:p>
        </w:tc>
      </w:tr>
      <w:tr w14:paraId="533A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5B2D937">
            <w:pPr>
              <w:pageBreakBefore w:val="0"/>
              <w:kinsoku/>
              <w:bidi w:val="0"/>
              <w:spacing w:beforeAutospacing="0" w:afterAutospacing="0" w:line="440" w:lineRule="exact"/>
              <w:jc w:val="center"/>
              <w:rPr>
                <w:color w:val="auto"/>
                <w:highlight w:val="none"/>
              </w:rPr>
            </w:pPr>
            <w:r>
              <w:rPr>
                <w:rFonts w:hint="eastAsia"/>
                <w:color w:val="auto"/>
                <w:highlight w:val="none"/>
              </w:rPr>
              <w:t>资产总额</w:t>
            </w:r>
          </w:p>
        </w:tc>
        <w:tc>
          <w:tcPr>
            <w:tcW w:w="2118" w:type="dxa"/>
            <w:vAlign w:val="center"/>
          </w:tcPr>
          <w:p w14:paraId="759E5D00">
            <w:pPr>
              <w:pageBreakBefore w:val="0"/>
              <w:kinsoku/>
              <w:bidi w:val="0"/>
              <w:spacing w:beforeAutospacing="0" w:afterAutospacing="0" w:line="440" w:lineRule="exact"/>
              <w:jc w:val="center"/>
              <w:rPr>
                <w:color w:val="auto"/>
                <w:highlight w:val="none"/>
              </w:rPr>
            </w:pPr>
          </w:p>
        </w:tc>
        <w:tc>
          <w:tcPr>
            <w:tcW w:w="1980" w:type="dxa"/>
            <w:vAlign w:val="center"/>
          </w:tcPr>
          <w:p w14:paraId="244A2BC9">
            <w:pPr>
              <w:pageBreakBefore w:val="0"/>
              <w:kinsoku/>
              <w:bidi w:val="0"/>
              <w:spacing w:beforeAutospacing="0" w:afterAutospacing="0" w:line="440" w:lineRule="exact"/>
              <w:jc w:val="center"/>
              <w:rPr>
                <w:color w:val="auto"/>
                <w:highlight w:val="none"/>
              </w:rPr>
            </w:pPr>
            <w:r>
              <w:rPr>
                <w:rFonts w:hint="eastAsia"/>
                <w:color w:val="auto"/>
                <w:highlight w:val="none"/>
              </w:rPr>
              <w:t>所有者权益</w:t>
            </w:r>
          </w:p>
        </w:tc>
        <w:tc>
          <w:tcPr>
            <w:tcW w:w="2241" w:type="dxa"/>
            <w:gridSpan w:val="3"/>
            <w:vAlign w:val="center"/>
          </w:tcPr>
          <w:p w14:paraId="51670AD0">
            <w:pPr>
              <w:pageBreakBefore w:val="0"/>
              <w:kinsoku/>
              <w:bidi w:val="0"/>
              <w:spacing w:beforeAutospacing="0" w:afterAutospacing="0" w:line="440" w:lineRule="exact"/>
              <w:jc w:val="center"/>
              <w:rPr>
                <w:color w:val="auto"/>
                <w:highlight w:val="none"/>
              </w:rPr>
            </w:pPr>
          </w:p>
        </w:tc>
      </w:tr>
      <w:tr w14:paraId="4AB6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FE527FF">
            <w:pPr>
              <w:pageBreakBefore w:val="0"/>
              <w:kinsoku/>
              <w:bidi w:val="0"/>
              <w:spacing w:beforeAutospacing="0" w:afterAutospacing="0" w:line="440" w:lineRule="exact"/>
              <w:jc w:val="center"/>
              <w:rPr>
                <w:color w:val="auto"/>
                <w:highlight w:val="none"/>
              </w:rPr>
            </w:pPr>
            <w:r>
              <w:rPr>
                <w:rFonts w:hint="eastAsia"/>
                <w:color w:val="auto"/>
                <w:highlight w:val="none"/>
              </w:rPr>
              <w:t>工商登记号</w:t>
            </w:r>
          </w:p>
        </w:tc>
        <w:tc>
          <w:tcPr>
            <w:tcW w:w="2118" w:type="dxa"/>
            <w:vAlign w:val="center"/>
          </w:tcPr>
          <w:p w14:paraId="658E77ED">
            <w:pPr>
              <w:pageBreakBefore w:val="0"/>
              <w:kinsoku/>
              <w:bidi w:val="0"/>
              <w:spacing w:beforeAutospacing="0" w:afterAutospacing="0" w:line="440" w:lineRule="exact"/>
              <w:jc w:val="center"/>
              <w:rPr>
                <w:color w:val="auto"/>
                <w:highlight w:val="none"/>
              </w:rPr>
            </w:pPr>
          </w:p>
        </w:tc>
        <w:tc>
          <w:tcPr>
            <w:tcW w:w="1980" w:type="dxa"/>
            <w:vAlign w:val="center"/>
          </w:tcPr>
          <w:p w14:paraId="139EEA0F">
            <w:pPr>
              <w:pageBreakBefore w:val="0"/>
              <w:kinsoku/>
              <w:bidi w:val="0"/>
              <w:spacing w:beforeAutospacing="0" w:afterAutospacing="0" w:line="440" w:lineRule="exact"/>
              <w:jc w:val="center"/>
              <w:rPr>
                <w:color w:val="auto"/>
                <w:highlight w:val="none"/>
              </w:rPr>
            </w:pPr>
            <w:r>
              <w:rPr>
                <w:rFonts w:hint="eastAsia"/>
                <w:color w:val="auto"/>
                <w:highlight w:val="none"/>
              </w:rPr>
              <w:t>税务登记号</w:t>
            </w:r>
          </w:p>
        </w:tc>
        <w:tc>
          <w:tcPr>
            <w:tcW w:w="2241" w:type="dxa"/>
            <w:gridSpan w:val="3"/>
            <w:vAlign w:val="center"/>
          </w:tcPr>
          <w:p w14:paraId="1B9B98B1">
            <w:pPr>
              <w:pageBreakBefore w:val="0"/>
              <w:kinsoku/>
              <w:bidi w:val="0"/>
              <w:spacing w:beforeAutospacing="0" w:afterAutospacing="0" w:line="440" w:lineRule="exact"/>
              <w:jc w:val="center"/>
              <w:rPr>
                <w:color w:val="auto"/>
                <w:highlight w:val="none"/>
              </w:rPr>
            </w:pPr>
          </w:p>
        </w:tc>
      </w:tr>
      <w:tr w14:paraId="7FBF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2492EFC">
            <w:pPr>
              <w:pageBreakBefore w:val="0"/>
              <w:kinsoku/>
              <w:bidi w:val="0"/>
              <w:spacing w:beforeAutospacing="0" w:afterAutospacing="0" w:line="440" w:lineRule="exact"/>
              <w:jc w:val="center"/>
              <w:rPr>
                <w:color w:val="auto"/>
                <w:highlight w:val="none"/>
              </w:rPr>
            </w:pPr>
            <w:r>
              <w:rPr>
                <w:rFonts w:hint="eastAsia"/>
                <w:color w:val="auto"/>
                <w:highlight w:val="none"/>
              </w:rPr>
              <w:t>是否依法纳税</w:t>
            </w:r>
          </w:p>
        </w:tc>
        <w:tc>
          <w:tcPr>
            <w:tcW w:w="2118" w:type="dxa"/>
            <w:vAlign w:val="center"/>
          </w:tcPr>
          <w:p w14:paraId="25939099">
            <w:pPr>
              <w:pageBreakBefore w:val="0"/>
              <w:kinsoku/>
              <w:bidi w:val="0"/>
              <w:spacing w:beforeAutospacing="0" w:afterAutospacing="0" w:line="440" w:lineRule="exact"/>
              <w:jc w:val="center"/>
              <w:rPr>
                <w:color w:val="auto"/>
                <w:highlight w:val="none"/>
              </w:rPr>
            </w:pPr>
          </w:p>
        </w:tc>
        <w:tc>
          <w:tcPr>
            <w:tcW w:w="1980" w:type="dxa"/>
            <w:vAlign w:val="center"/>
          </w:tcPr>
          <w:p w14:paraId="174E6162">
            <w:pPr>
              <w:pageBreakBefore w:val="0"/>
              <w:kinsoku/>
              <w:bidi w:val="0"/>
              <w:spacing w:beforeAutospacing="0" w:afterAutospacing="0" w:line="440" w:lineRule="exact"/>
              <w:jc w:val="center"/>
              <w:rPr>
                <w:color w:val="auto"/>
                <w:highlight w:val="none"/>
              </w:rPr>
            </w:pPr>
            <w:r>
              <w:rPr>
                <w:rFonts w:hint="eastAsia"/>
                <w:color w:val="auto"/>
                <w:highlight w:val="none"/>
              </w:rPr>
              <w:t>是否参加社保</w:t>
            </w:r>
          </w:p>
        </w:tc>
        <w:tc>
          <w:tcPr>
            <w:tcW w:w="2241" w:type="dxa"/>
            <w:gridSpan w:val="3"/>
            <w:vAlign w:val="center"/>
          </w:tcPr>
          <w:p w14:paraId="4237D45B">
            <w:pPr>
              <w:pageBreakBefore w:val="0"/>
              <w:kinsoku/>
              <w:bidi w:val="0"/>
              <w:spacing w:beforeAutospacing="0" w:afterAutospacing="0" w:line="440" w:lineRule="exact"/>
              <w:jc w:val="center"/>
              <w:rPr>
                <w:color w:val="auto"/>
                <w:highlight w:val="none"/>
              </w:rPr>
            </w:pPr>
          </w:p>
        </w:tc>
      </w:tr>
      <w:tr w14:paraId="5B44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5844E7AA">
            <w:pPr>
              <w:pageBreakBefore w:val="0"/>
              <w:kinsoku/>
              <w:bidi w:val="0"/>
              <w:spacing w:beforeAutospacing="0" w:afterAutospacing="0" w:line="440" w:lineRule="exact"/>
              <w:jc w:val="center"/>
              <w:rPr>
                <w:color w:val="auto"/>
                <w:highlight w:val="none"/>
              </w:rPr>
            </w:pPr>
            <w:r>
              <w:rPr>
                <w:rFonts w:hint="eastAsia"/>
                <w:color w:val="auto"/>
                <w:highlight w:val="none"/>
              </w:rPr>
              <w:t>售后服务机构情况</w:t>
            </w:r>
          </w:p>
        </w:tc>
        <w:tc>
          <w:tcPr>
            <w:tcW w:w="6339" w:type="dxa"/>
            <w:gridSpan w:val="5"/>
            <w:vAlign w:val="center"/>
          </w:tcPr>
          <w:p w14:paraId="36024FB9">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名称：</w:t>
            </w:r>
          </w:p>
          <w:p w14:paraId="5EF91505">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地址：</w:t>
            </w:r>
          </w:p>
          <w:p w14:paraId="4FAFD760">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人员状况：</w:t>
            </w:r>
          </w:p>
          <w:p w14:paraId="0A2F7BAA">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联系方式：</w:t>
            </w:r>
          </w:p>
          <w:p w14:paraId="19E36F8C">
            <w:pPr>
              <w:pageBreakBefore w:val="0"/>
              <w:kinsoku/>
              <w:bidi w:val="0"/>
              <w:spacing w:beforeAutospacing="0" w:afterAutospacing="0" w:line="440" w:lineRule="exact"/>
              <w:ind w:firstLine="60" w:firstLineChars="25"/>
              <w:rPr>
                <w:color w:val="auto"/>
                <w:highlight w:val="none"/>
              </w:rPr>
            </w:pPr>
            <w:r>
              <w:rPr>
                <w:rFonts w:hint="eastAsia"/>
                <w:color w:val="auto"/>
                <w:highlight w:val="none"/>
              </w:rPr>
              <w:t>（可另附纸说明）</w:t>
            </w:r>
          </w:p>
        </w:tc>
      </w:tr>
    </w:tbl>
    <w:p w14:paraId="43EBDF05">
      <w:pPr>
        <w:pageBreakBefore w:val="0"/>
        <w:kinsoku/>
        <w:bidi w:val="0"/>
        <w:spacing w:beforeAutospacing="0" w:afterAutospacing="0" w:line="440" w:lineRule="exact"/>
        <w:ind w:firstLine="480" w:firstLineChars="200"/>
        <w:rPr>
          <w:color w:val="auto"/>
          <w:highlight w:val="none"/>
        </w:rPr>
      </w:pPr>
    </w:p>
    <w:p w14:paraId="5B5E7FA2">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EF6F424">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515F8DD5">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12AD38A4">
      <w:pPr>
        <w:pageBreakBefore w:val="0"/>
        <w:kinsoku/>
        <w:bidi w:val="0"/>
        <w:snapToGrid w:val="0"/>
        <w:spacing w:beforeAutospacing="0" w:afterAutospacing="0" w:line="440" w:lineRule="exact"/>
        <w:ind w:right="600"/>
        <w:rPr>
          <w:color w:val="auto"/>
          <w:highlight w:val="none"/>
          <w:u w:val="single"/>
        </w:rPr>
      </w:pPr>
    </w:p>
    <w:p w14:paraId="2887383B">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2E7458D2">
      <w:pPr>
        <w:rPr>
          <w:color w:val="auto"/>
          <w:highlight w:val="none"/>
        </w:rPr>
      </w:pPr>
    </w:p>
    <w:p w14:paraId="344F1FD6">
      <w:pPr>
        <w:pStyle w:val="5"/>
        <w:pageBreakBefore w:val="0"/>
        <w:kinsoku/>
        <w:bidi w:val="0"/>
        <w:spacing w:before="0" w:beforeAutospacing="0" w:after="0" w:afterAutospacing="0" w:line="440" w:lineRule="exact"/>
        <w:ind w:left="0" w:leftChars="0" w:firstLine="0" w:firstLineChars="0"/>
        <w:jc w:val="both"/>
        <w:rPr>
          <w:color w:val="auto"/>
          <w:highlight w:val="none"/>
        </w:rPr>
      </w:pPr>
    </w:p>
    <w:p w14:paraId="7C17D90B">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p w14:paraId="253DF9C4">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r>
        <w:rPr>
          <w:rFonts w:hint="eastAsia"/>
          <w:b/>
          <w:color w:val="auto"/>
          <w:sz w:val="32"/>
          <w:szCs w:val="32"/>
          <w:highlight w:val="none"/>
          <w:lang w:val="en-US" w:eastAsia="zh-CN"/>
        </w:rPr>
        <w:t>类似项目业绩表</w:t>
      </w:r>
    </w:p>
    <w:p w14:paraId="520CC4FB">
      <w:pPr>
        <w:pStyle w:val="838"/>
        <w:pageBreakBefore w:val="0"/>
        <w:kinsoku/>
        <w:bidi w:val="0"/>
        <w:snapToGrid w:val="0"/>
        <w:spacing w:beforeAutospacing="0" w:afterAutospacing="0" w:line="440" w:lineRule="exact"/>
        <w:jc w:val="center"/>
        <w:rPr>
          <w:rFonts w:hint="eastAsia"/>
          <w:b/>
          <w:color w:val="auto"/>
          <w:sz w:val="32"/>
          <w:szCs w:val="32"/>
          <w:highlight w:val="none"/>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7C09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67A4007">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218" w:type="dxa"/>
          </w:tcPr>
          <w:p w14:paraId="34BF327C">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项目类型</w:t>
            </w:r>
          </w:p>
        </w:tc>
        <w:tc>
          <w:tcPr>
            <w:tcW w:w="1218" w:type="dxa"/>
          </w:tcPr>
          <w:p w14:paraId="1802FE96">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简要描述</w:t>
            </w:r>
          </w:p>
        </w:tc>
        <w:tc>
          <w:tcPr>
            <w:tcW w:w="1218" w:type="dxa"/>
          </w:tcPr>
          <w:p w14:paraId="15C42D67">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项目投资（万元）</w:t>
            </w:r>
          </w:p>
        </w:tc>
        <w:tc>
          <w:tcPr>
            <w:tcW w:w="1218" w:type="dxa"/>
          </w:tcPr>
          <w:p w14:paraId="1E6ABCF7">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起止日期</w:t>
            </w:r>
          </w:p>
        </w:tc>
        <w:tc>
          <w:tcPr>
            <w:tcW w:w="1417" w:type="dxa"/>
          </w:tcPr>
          <w:p w14:paraId="50C7648E">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项目地址与建设单位联系电话</w:t>
            </w:r>
          </w:p>
        </w:tc>
        <w:tc>
          <w:tcPr>
            <w:tcW w:w="1253" w:type="dxa"/>
          </w:tcPr>
          <w:p w14:paraId="65B5F186">
            <w:pPr>
              <w:pStyle w:val="838"/>
              <w:pageBreakBefore w:val="0"/>
              <w:kinsoku/>
              <w:bidi w:val="0"/>
              <w:snapToGrid w:val="0"/>
              <w:spacing w:beforeAutospacing="0" w:afterAutospacing="0"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所在页码</w:t>
            </w:r>
          </w:p>
        </w:tc>
      </w:tr>
      <w:tr w14:paraId="34D0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6DEDBD5">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285D69B9">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0B2950B4">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0FF91A80">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5DF63C70">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78604DA1">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40271929">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1138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876416B">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00B51BA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2E1BF3EE">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61732013">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51890BF1">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70DF21FB">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6142F85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4114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23E1FB5">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5CFE1AE">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A10763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4D85B2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36255880">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4F6353A3">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490EC2B5">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r w14:paraId="0C47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673E15B">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749D24A0">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078DECD">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19D60716">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18" w:type="dxa"/>
          </w:tcPr>
          <w:p w14:paraId="69683E85">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417" w:type="dxa"/>
          </w:tcPr>
          <w:p w14:paraId="1B8A1D28">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c>
          <w:tcPr>
            <w:tcW w:w="1253" w:type="dxa"/>
          </w:tcPr>
          <w:p w14:paraId="6AB632B8">
            <w:pPr>
              <w:pStyle w:val="838"/>
              <w:pageBreakBefore w:val="0"/>
              <w:kinsoku/>
              <w:bidi w:val="0"/>
              <w:snapToGrid w:val="0"/>
              <w:spacing w:beforeAutospacing="0" w:afterAutospacing="0" w:line="440" w:lineRule="exact"/>
              <w:jc w:val="center"/>
              <w:rPr>
                <w:rFonts w:hint="eastAsia"/>
                <w:b/>
                <w:color w:val="auto"/>
                <w:sz w:val="32"/>
                <w:szCs w:val="32"/>
                <w:highlight w:val="none"/>
                <w:vertAlign w:val="baseline"/>
                <w:lang w:val="en-US" w:eastAsia="zh-CN"/>
              </w:rPr>
            </w:pPr>
          </w:p>
        </w:tc>
      </w:tr>
    </w:tbl>
    <w:p w14:paraId="1C0A33BB">
      <w:pPr>
        <w:pStyle w:val="838"/>
        <w:pageBreakBefore w:val="0"/>
        <w:kinsoku/>
        <w:bidi w:val="0"/>
        <w:snapToGrid w:val="0"/>
        <w:spacing w:beforeAutospacing="0" w:afterAutospacing="0" w:line="440" w:lineRule="exact"/>
        <w:rPr>
          <w:rFonts w:hint="default"/>
          <w:b/>
          <w:color w:val="auto"/>
          <w:sz w:val="24"/>
          <w:szCs w:val="24"/>
          <w:highlight w:val="none"/>
          <w:lang w:val="en-US" w:eastAsia="zh-CN"/>
        </w:rPr>
      </w:pPr>
      <w:r>
        <w:rPr>
          <w:rFonts w:hint="eastAsia"/>
          <w:b/>
          <w:color w:val="auto"/>
          <w:sz w:val="24"/>
          <w:szCs w:val="24"/>
          <w:highlight w:val="none"/>
          <w:lang w:val="en-US" w:eastAsia="zh-CN"/>
        </w:rPr>
        <w:t>注：响应人可按上述的格式自行编制，须随表提交相应的证明材料复印件，并加盖投标单位公章。</w:t>
      </w:r>
    </w:p>
    <w:p w14:paraId="5B2ED5E7">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14:paraId="5BD0BEB4">
      <w:pPr>
        <w:pStyle w:val="838"/>
        <w:pageBreakBefore w:val="0"/>
        <w:kinsoku/>
        <w:bidi w:val="0"/>
        <w:snapToGrid w:val="0"/>
        <w:spacing w:beforeAutospacing="0" w:afterAutospacing="0" w:line="440" w:lineRule="exact"/>
        <w:rPr>
          <w:rFonts w:hint="eastAsia"/>
          <w:b/>
          <w:color w:val="auto"/>
          <w:sz w:val="32"/>
          <w:szCs w:val="32"/>
          <w:highlight w:val="none"/>
          <w:lang w:val="en-US" w:eastAsia="zh-CN"/>
        </w:rPr>
      </w:pPr>
    </w:p>
    <w:p w14:paraId="18E12A54">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99763EC">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0C3DD2D2">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15136607">
      <w:pPr>
        <w:pageBreakBefore w:val="0"/>
        <w:kinsoku/>
        <w:bidi w:val="0"/>
        <w:snapToGrid w:val="0"/>
        <w:spacing w:beforeAutospacing="0" w:afterAutospacing="0" w:line="440" w:lineRule="exact"/>
        <w:ind w:right="600"/>
        <w:rPr>
          <w:color w:val="auto"/>
          <w:highlight w:val="none"/>
          <w:u w:val="single"/>
        </w:rPr>
      </w:pPr>
    </w:p>
    <w:p w14:paraId="559A23D9">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3C4AE519">
      <w:pPr>
        <w:rPr>
          <w:rFonts w:ascii="仿宋_GB2312" w:hAnsi="仿宋" w:eastAsia="仿宋_GB2312"/>
          <w:b/>
          <w:color w:val="auto"/>
          <w:sz w:val="32"/>
          <w:highlight w:val="none"/>
        </w:rPr>
      </w:pPr>
    </w:p>
    <w:p w14:paraId="014536FE">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color w:val="auto"/>
          <w:sz w:val="32"/>
          <w:highlight w:val="none"/>
        </w:rPr>
      </w:pPr>
    </w:p>
    <w:p w14:paraId="02142F1E">
      <w:pPr>
        <w:rPr>
          <w:rFonts w:ascii="仿宋_GB2312" w:hAnsi="仿宋" w:eastAsia="仿宋_GB2312"/>
          <w:b/>
          <w:color w:val="auto"/>
          <w:sz w:val="32"/>
          <w:highlight w:val="none"/>
        </w:rPr>
      </w:pPr>
    </w:p>
    <w:p w14:paraId="6A6C1532">
      <w:pPr>
        <w:pStyle w:val="106"/>
        <w:rPr>
          <w:rFonts w:ascii="仿宋_GB2312" w:hAnsi="仿宋" w:eastAsia="仿宋_GB2312"/>
          <w:b/>
          <w:color w:val="auto"/>
          <w:sz w:val="32"/>
          <w:highlight w:val="none"/>
        </w:rPr>
      </w:pPr>
    </w:p>
    <w:p w14:paraId="6A2A68A5">
      <w:pPr>
        <w:rPr>
          <w:rFonts w:ascii="仿宋_GB2312" w:hAnsi="仿宋" w:eastAsia="仿宋_GB2312"/>
          <w:b/>
          <w:color w:val="auto"/>
          <w:sz w:val="32"/>
          <w:highlight w:val="none"/>
        </w:rPr>
      </w:pPr>
    </w:p>
    <w:p w14:paraId="47111FF0">
      <w:pPr>
        <w:pStyle w:val="106"/>
        <w:rPr>
          <w:rFonts w:ascii="仿宋_GB2312" w:hAnsi="仿宋" w:eastAsia="仿宋_GB2312"/>
          <w:b/>
          <w:color w:val="auto"/>
          <w:sz w:val="32"/>
          <w:highlight w:val="none"/>
        </w:rPr>
      </w:pPr>
    </w:p>
    <w:p w14:paraId="6AB0BF10">
      <w:pPr>
        <w:rPr>
          <w:rFonts w:ascii="仿宋_GB2312" w:hAnsi="仿宋" w:eastAsia="仿宋_GB2312"/>
          <w:b/>
          <w:color w:val="auto"/>
          <w:sz w:val="32"/>
          <w:highlight w:val="none"/>
        </w:rPr>
      </w:pPr>
    </w:p>
    <w:p w14:paraId="5BBE4177">
      <w:pPr>
        <w:spacing w:before="120"/>
        <w:jc w:val="center"/>
        <w:rPr>
          <w:rFonts w:hint="eastAsia" w:ascii="仿宋_GB2312" w:eastAsia="仿宋_GB2312"/>
          <w:b/>
          <w:color w:val="auto"/>
          <w:sz w:val="32"/>
          <w:highlight w:val="none"/>
        </w:rPr>
      </w:pPr>
    </w:p>
    <w:p w14:paraId="043911A4">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64C6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EA0E8A1">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184" w:type="dxa"/>
            <w:noWrap w:val="0"/>
            <w:vAlign w:val="center"/>
          </w:tcPr>
          <w:p w14:paraId="7C98BD1B">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16" w:type="dxa"/>
            <w:noWrap w:val="0"/>
            <w:vAlign w:val="center"/>
          </w:tcPr>
          <w:p w14:paraId="072BCE21">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2105" w:type="dxa"/>
            <w:noWrap w:val="0"/>
            <w:vAlign w:val="center"/>
          </w:tcPr>
          <w:p w14:paraId="15749022">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5070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F91996D">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184" w:type="dxa"/>
            <w:noWrap w:val="0"/>
            <w:vAlign w:val="center"/>
          </w:tcPr>
          <w:p w14:paraId="69313A3D">
            <w:pPr>
              <w:ind w:firstLine="643"/>
              <w:jc w:val="center"/>
              <w:rPr>
                <w:rFonts w:ascii="宋体" w:hAnsi="宋体" w:cs="宋体"/>
                <w:b/>
                <w:color w:val="auto"/>
                <w:kern w:val="0"/>
                <w:sz w:val="32"/>
                <w:szCs w:val="32"/>
                <w:highlight w:val="none"/>
              </w:rPr>
            </w:pPr>
          </w:p>
        </w:tc>
        <w:tc>
          <w:tcPr>
            <w:tcW w:w="3216" w:type="dxa"/>
            <w:noWrap w:val="0"/>
            <w:vAlign w:val="center"/>
          </w:tcPr>
          <w:p w14:paraId="139695A4">
            <w:pPr>
              <w:ind w:firstLine="643"/>
              <w:jc w:val="center"/>
              <w:rPr>
                <w:rFonts w:ascii="宋体" w:hAnsi="宋体" w:cs="宋体"/>
                <w:b/>
                <w:color w:val="auto"/>
                <w:kern w:val="0"/>
                <w:sz w:val="32"/>
                <w:szCs w:val="32"/>
                <w:highlight w:val="none"/>
              </w:rPr>
            </w:pPr>
          </w:p>
        </w:tc>
        <w:tc>
          <w:tcPr>
            <w:tcW w:w="2105" w:type="dxa"/>
            <w:noWrap w:val="0"/>
            <w:vAlign w:val="center"/>
          </w:tcPr>
          <w:p w14:paraId="589A5091">
            <w:pPr>
              <w:ind w:firstLine="643"/>
              <w:jc w:val="center"/>
              <w:rPr>
                <w:rFonts w:ascii="宋体" w:hAnsi="宋体" w:cs="宋体"/>
                <w:b/>
                <w:color w:val="auto"/>
                <w:kern w:val="0"/>
                <w:sz w:val="32"/>
                <w:szCs w:val="32"/>
                <w:highlight w:val="none"/>
              </w:rPr>
            </w:pPr>
          </w:p>
        </w:tc>
      </w:tr>
      <w:tr w14:paraId="1E23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center"/>
          </w:tcPr>
          <w:p w14:paraId="5BE853B2">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184" w:type="dxa"/>
            <w:noWrap w:val="0"/>
            <w:vAlign w:val="center"/>
          </w:tcPr>
          <w:p w14:paraId="4C935A37">
            <w:pPr>
              <w:ind w:firstLine="643"/>
              <w:jc w:val="center"/>
              <w:rPr>
                <w:rFonts w:ascii="宋体" w:hAnsi="宋体" w:cs="宋体"/>
                <w:b/>
                <w:color w:val="auto"/>
                <w:kern w:val="0"/>
                <w:sz w:val="32"/>
                <w:szCs w:val="32"/>
                <w:highlight w:val="none"/>
              </w:rPr>
            </w:pPr>
          </w:p>
        </w:tc>
        <w:tc>
          <w:tcPr>
            <w:tcW w:w="3216" w:type="dxa"/>
            <w:noWrap w:val="0"/>
            <w:vAlign w:val="center"/>
          </w:tcPr>
          <w:p w14:paraId="7C00AA94">
            <w:pPr>
              <w:ind w:firstLine="643"/>
              <w:jc w:val="center"/>
              <w:rPr>
                <w:rFonts w:ascii="宋体" w:hAnsi="宋体" w:cs="宋体"/>
                <w:b/>
                <w:color w:val="auto"/>
                <w:kern w:val="0"/>
                <w:sz w:val="32"/>
                <w:szCs w:val="32"/>
                <w:highlight w:val="none"/>
              </w:rPr>
            </w:pPr>
          </w:p>
        </w:tc>
        <w:tc>
          <w:tcPr>
            <w:tcW w:w="2105" w:type="dxa"/>
            <w:noWrap w:val="0"/>
            <w:vAlign w:val="center"/>
          </w:tcPr>
          <w:p w14:paraId="5653E002">
            <w:pPr>
              <w:ind w:firstLine="643"/>
              <w:jc w:val="center"/>
              <w:rPr>
                <w:rFonts w:ascii="宋体" w:hAnsi="宋体" w:cs="宋体"/>
                <w:b/>
                <w:color w:val="auto"/>
                <w:kern w:val="0"/>
                <w:sz w:val="32"/>
                <w:szCs w:val="32"/>
                <w:highlight w:val="none"/>
              </w:rPr>
            </w:pPr>
          </w:p>
        </w:tc>
      </w:tr>
      <w:tr w14:paraId="26C5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0C4124E">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184" w:type="dxa"/>
            <w:noWrap w:val="0"/>
            <w:vAlign w:val="center"/>
          </w:tcPr>
          <w:p w14:paraId="6B9763CC">
            <w:pPr>
              <w:ind w:firstLine="643"/>
              <w:jc w:val="center"/>
              <w:rPr>
                <w:rFonts w:ascii="宋体" w:hAnsi="宋体" w:cs="宋体"/>
                <w:b/>
                <w:color w:val="auto"/>
                <w:kern w:val="0"/>
                <w:sz w:val="32"/>
                <w:szCs w:val="32"/>
                <w:highlight w:val="none"/>
              </w:rPr>
            </w:pPr>
          </w:p>
        </w:tc>
        <w:tc>
          <w:tcPr>
            <w:tcW w:w="3216" w:type="dxa"/>
            <w:noWrap w:val="0"/>
            <w:vAlign w:val="center"/>
          </w:tcPr>
          <w:p w14:paraId="29FA65A0">
            <w:pPr>
              <w:ind w:firstLine="643"/>
              <w:jc w:val="center"/>
              <w:rPr>
                <w:rFonts w:ascii="宋体" w:hAnsi="宋体" w:cs="宋体"/>
                <w:b/>
                <w:color w:val="auto"/>
                <w:kern w:val="0"/>
                <w:sz w:val="32"/>
                <w:szCs w:val="32"/>
                <w:highlight w:val="none"/>
              </w:rPr>
            </w:pPr>
          </w:p>
        </w:tc>
        <w:tc>
          <w:tcPr>
            <w:tcW w:w="2105" w:type="dxa"/>
            <w:noWrap w:val="0"/>
            <w:vAlign w:val="center"/>
          </w:tcPr>
          <w:p w14:paraId="7B300029">
            <w:pPr>
              <w:ind w:firstLine="643"/>
              <w:jc w:val="center"/>
              <w:rPr>
                <w:rFonts w:ascii="宋体" w:hAnsi="宋体" w:cs="宋体"/>
                <w:b/>
                <w:color w:val="auto"/>
                <w:kern w:val="0"/>
                <w:sz w:val="32"/>
                <w:szCs w:val="32"/>
                <w:highlight w:val="none"/>
              </w:rPr>
            </w:pPr>
          </w:p>
        </w:tc>
      </w:tr>
    </w:tbl>
    <w:p w14:paraId="7F871851">
      <w:pPr>
        <w:ind w:firstLine="480"/>
        <w:jc w:val="left"/>
        <w:rPr>
          <w:rFonts w:hint="eastAsia" w:ascii="宋体" w:hAnsi="宋体" w:cs="宋体"/>
          <w:color w:val="auto"/>
          <w:kern w:val="0"/>
          <w:highlight w:val="none"/>
        </w:rPr>
      </w:pPr>
      <w:r>
        <w:rPr>
          <w:rFonts w:hint="eastAsia" w:ascii="宋体" w:hAnsi="宋体" w:cs="宋体"/>
          <w:color w:val="auto"/>
          <w:kern w:val="0"/>
          <w:highlight w:val="none"/>
        </w:rPr>
        <w:t>投标人保证：除商务技术偏离表列出的偏离外，投标人响应招标文件的全部要求。</w:t>
      </w:r>
    </w:p>
    <w:p w14:paraId="1AC957ED">
      <w:pPr>
        <w:ind w:firstLine="643"/>
        <w:jc w:val="center"/>
        <w:rPr>
          <w:rFonts w:ascii="宋体" w:hAnsi="宋体" w:cs="宋体"/>
          <w:b/>
          <w:color w:val="auto"/>
          <w:kern w:val="0"/>
          <w:sz w:val="32"/>
          <w:szCs w:val="32"/>
          <w:highlight w:val="none"/>
        </w:rPr>
      </w:pPr>
    </w:p>
    <w:p w14:paraId="6A1957FE">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353B4019">
      <w:pPr>
        <w:pStyle w:val="88"/>
        <w:spacing w:after="0" w:line="480" w:lineRule="auto"/>
        <w:ind w:left="480"/>
        <w:rPr>
          <w:color w:val="auto"/>
          <w:highlight w:val="none"/>
        </w:rPr>
      </w:pPr>
    </w:p>
    <w:p w14:paraId="13DD29B7">
      <w:pPr>
        <w:rPr>
          <w:color w:val="auto"/>
          <w:highlight w:val="none"/>
        </w:rPr>
      </w:pPr>
    </w:p>
    <w:p w14:paraId="7135457E">
      <w:pPr>
        <w:pStyle w:val="838"/>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6BC8756C">
      <w:pPr>
        <w:snapToGrid w:val="0"/>
        <w:spacing w:line="480" w:lineRule="auto"/>
        <w:rPr>
          <w:b/>
          <w:color w:val="auto"/>
          <w:sz w:val="32"/>
          <w:szCs w:val="32"/>
          <w:highlight w:val="non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年     月     日</w:t>
      </w:r>
    </w:p>
    <w:p w14:paraId="3A92184E">
      <w:pPr>
        <w:pStyle w:val="5"/>
        <w:pageBreakBefore w:val="0"/>
        <w:kinsoku/>
        <w:bidi w:val="0"/>
        <w:spacing w:before="0" w:beforeAutospacing="0" w:after="0" w:afterAutospacing="0" w:line="440" w:lineRule="exact"/>
        <w:ind w:left="0" w:leftChars="0" w:firstLine="0" w:firstLineChars="0"/>
        <w:jc w:val="both"/>
        <w:rPr>
          <w:color w:val="auto"/>
          <w:highlight w:val="none"/>
        </w:rPr>
      </w:pPr>
      <w:r>
        <w:rPr>
          <w:rFonts w:ascii="仿宋_GB2312" w:hAnsi="仿宋" w:eastAsia="仿宋_GB2312"/>
          <w:b/>
          <w:color w:val="auto"/>
          <w:sz w:val="32"/>
          <w:highlight w:val="none"/>
        </w:rPr>
        <w:br w:type="page"/>
      </w:r>
    </w:p>
    <w:p w14:paraId="0F6D3B0B">
      <w:pPr>
        <w:pageBreakBefore w:val="0"/>
        <w:kinsoku/>
        <w:bidi w:val="0"/>
        <w:snapToGrid w:val="0"/>
        <w:spacing w:beforeAutospacing="0" w:afterAutospacing="0" w:line="440" w:lineRule="exact"/>
        <w:ind w:right="600"/>
        <w:jc w:val="center"/>
        <w:rPr>
          <w:rFonts w:hint="eastAsia"/>
          <w:b/>
          <w:color w:val="auto"/>
          <w:sz w:val="30"/>
          <w:szCs w:val="30"/>
          <w:highlight w:val="none"/>
        </w:rPr>
      </w:pPr>
    </w:p>
    <w:p w14:paraId="3FB2CBAC">
      <w:pPr>
        <w:pageBreakBefore w:val="0"/>
        <w:kinsoku/>
        <w:bidi w:val="0"/>
        <w:snapToGrid w:val="0"/>
        <w:spacing w:beforeAutospacing="0" w:afterAutospacing="0" w:line="440" w:lineRule="exact"/>
        <w:ind w:right="600"/>
        <w:jc w:val="center"/>
        <w:rPr>
          <w:rFonts w:hint="eastAsia"/>
          <w:b/>
          <w:color w:val="auto"/>
          <w:sz w:val="30"/>
          <w:szCs w:val="30"/>
          <w:highlight w:val="none"/>
        </w:rPr>
      </w:pPr>
    </w:p>
    <w:p w14:paraId="3A654379">
      <w:pPr>
        <w:pageBreakBefore w:val="0"/>
        <w:kinsoku/>
        <w:bidi w:val="0"/>
        <w:snapToGrid w:val="0"/>
        <w:spacing w:beforeAutospacing="0" w:afterAutospacing="0"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14:paraId="07716551">
      <w:pPr>
        <w:pStyle w:val="25"/>
        <w:pageBreakBefore w:val="0"/>
        <w:kinsoku/>
        <w:bidi w:val="0"/>
        <w:snapToGrid w:val="0"/>
        <w:spacing w:before="0" w:beforeAutospacing="0" w:after="0" w:afterAutospacing="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358E7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AC856B">
            <w:pPr>
              <w:pageBreakBefore w:val="0"/>
              <w:kinsoku/>
              <w:bidi w:val="0"/>
              <w:snapToGrid w:val="0"/>
              <w:spacing w:beforeAutospacing="0" w:afterAutospacing="0"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C3DFD1C">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57EA137">
            <w:pPr>
              <w:pageBreakBefore w:val="0"/>
              <w:kinsoku/>
              <w:bidi w:val="0"/>
              <w:snapToGrid w:val="0"/>
              <w:spacing w:beforeAutospacing="0" w:afterAutospacing="0"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1B073AC">
            <w:pPr>
              <w:pageBreakBefore w:val="0"/>
              <w:kinsoku/>
              <w:bidi w:val="0"/>
              <w:snapToGrid w:val="0"/>
              <w:spacing w:beforeAutospacing="0" w:afterAutospacing="0"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215EFD7D">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参加本单位</w:t>
            </w:r>
          </w:p>
          <w:p w14:paraId="13B8EA54">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3B67522F">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劳动合</w:t>
            </w:r>
          </w:p>
          <w:p w14:paraId="699F623F">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0D72362E">
            <w:pPr>
              <w:pageBreakBefore w:val="0"/>
              <w:kinsoku/>
              <w:bidi w:val="0"/>
              <w:snapToGrid w:val="0"/>
              <w:spacing w:beforeAutospacing="0" w:afterAutospacing="0" w:line="440" w:lineRule="exact"/>
              <w:jc w:val="center"/>
              <w:rPr>
                <w:bCs/>
                <w:color w:val="auto"/>
                <w:highlight w:val="none"/>
              </w:rPr>
            </w:pPr>
            <w:r>
              <w:rPr>
                <w:rFonts w:hint="eastAsia"/>
                <w:bCs/>
                <w:color w:val="auto"/>
                <w:highlight w:val="none"/>
              </w:rPr>
              <w:t>本项目中的职责</w:t>
            </w:r>
          </w:p>
        </w:tc>
      </w:tr>
      <w:tr w14:paraId="5E7F2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8CD8BAC">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999654B">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64E52A2">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3CCECC2">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28D3E7DE">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493C42D">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4D67E25">
            <w:pPr>
              <w:pageBreakBefore w:val="0"/>
              <w:kinsoku/>
              <w:bidi w:val="0"/>
              <w:snapToGrid w:val="0"/>
              <w:spacing w:beforeAutospacing="0" w:afterAutospacing="0" w:line="440" w:lineRule="exact"/>
              <w:rPr>
                <w:color w:val="auto"/>
                <w:highlight w:val="none"/>
              </w:rPr>
            </w:pPr>
          </w:p>
        </w:tc>
      </w:tr>
      <w:tr w14:paraId="1B82B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BEE2FC">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03A837F">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0667D1B">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38897FE">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F2E9AA9">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0D570EB">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DEF5564">
            <w:pPr>
              <w:pageBreakBefore w:val="0"/>
              <w:kinsoku/>
              <w:bidi w:val="0"/>
              <w:snapToGrid w:val="0"/>
              <w:spacing w:beforeAutospacing="0" w:afterAutospacing="0" w:line="440" w:lineRule="exact"/>
              <w:rPr>
                <w:color w:val="auto"/>
                <w:highlight w:val="none"/>
              </w:rPr>
            </w:pPr>
          </w:p>
        </w:tc>
      </w:tr>
      <w:tr w14:paraId="4A308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8618DC8">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9C42157">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3362144">
            <w:pPr>
              <w:pStyle w:val="49"/>
              <w:pageBreakBefore w:val="0"/>
              <w:kinsoku/>
              <w:bidi w:val="0"/>
              <w:snapToGrid w:val="0"/>
              <w:spacing w:beforeAutospacing="0" w:afterAutospacing="0"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40903AB">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38C136C">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52C8B76">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BA9FDFD">
            <w:pPr>
              <w:pageBreakBefore w:val="0"/>
              <w:kinsoku/>
              <w:bidi w:val="0"/>
              <w:snapToGrid w:val="0"/>
              <w:spacing w:beforeAutospacing="0" w:afterAutospacing="0" w:line="440" w:lineRule="exact"/>
              <w:rPr>
                <w:color w:val="auto"/>
                <w:highlight w:val="none"/>
              </w:rPr>
            </w:pPr>
          </w:p>
        </w:tc>
      </w:tr>
      <w:tr w14:paraId="5D087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3DF3E4">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AD2C28D">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40ED4B9">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8DD9FCD">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A58E472">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390A351">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A89DA75">
            <w:pPr>
              <w:pageBreakBefore w:val="0"/>
              <w:kinsoku/>
              <w:bidi w:val="0"/>
              <w:snapToGrid w:val="0"/>
              <w:spacing w:beforeAutospacing="0" w:afterAutospacing="0" w:line="440" w:lineRule="exact"/>
              <w:rPr>
                <w:color w:val="auto"/>
                <w:highlight w:val="none"/>
              </w:rPr>
            </w:pPr>
          </w:p>
        </w:tc>
      </w:tr>
      <w:tr w14:paraId="24E92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0E35E2">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FAC4D23">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075F6C2">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8BCBB46">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BED3649">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479C984">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E78AC84">
            <w:pPr>
              <w:pageBreakBefore w:val="0"/>
              <w:kinsoku/>
              <w:bidi w:val="0"/>
              <w:snapToGrid w:val="0"/>
              <w:spacing w:beforeAutospacing="0" w:afterAutospacing="0" w:line="440" w:lineRule="exact"/>
              <w:rPr>
                <w:color w:val="auto"/>
                <w:highlight w:val="none"/>
              </w:rPr>
            </w:pPr>
          </w:p>
        </w:tc>
      </w:tr>
      <w:tr w14:paraId="3768F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51A595">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E8E3736">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7CE1596">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84944A6">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D6AE2DA">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DB6DE28">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4600C51">
            <w:pPr>
              <w:pageBreakBefore w:val="0"/>
              <w:kinsoku/>
              <w:bidi w:val="0"/>
              <w:snapToGrid w:val="0"/>
              <w:spacing w:beforeAutospacing="0" w:afterAutospacing="0" w:line="440" w:lineRule="exact"/>
              <w:rPr>
                <w:color w:val="auto"/>
                <w:highlight w:val="none"/>
              </w:rPr>
            </w:pPr>
          </w:p>
        </w:tc>
      </w:tr>
      <w:tr w14:paraId="2298B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DB7963">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6B7A3703">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0EFB50FC">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98BF435">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100714A">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B55B5DD">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B56D73E">
            <w:pPr>
              <w:pageBreakBefore w:val="0"/>
              <w:kinsoku/>
              <w:bidi w:val="0"/>
              <w:snapToGrid w:val="0"/>
              <w:spacing w:beforeAutospacing="0" w:afterAutospacing="0" w:line="440" w:lineRule="exact"/>
              <w:rPr>
                <w:color w:val="auto"/>
                <w:highlight w:val="none"/>
              </w:rPr>
            </w:pPr>
          </w:p>
        </w:tc>
      </w:tr>
      <w:tr w14:paraId="6F5A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162931">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2283DF1">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53B21DD8">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47E5CA5">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BBC45CE">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EDE334E">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4DB0822">
            <w:pPr>
              <w:pageBreakBefore w:val="0"/>
              <w:kinsoku/>
              <w:bidi w:val="0"/>
              <w:snapToGrid w:val="0"/>
              <w:spacing w:beforeAutospacing="0" w:afterAutospacing="0" w:line="440" w:lineRule="exact"/>
              <w:rPr>
                <w:color w:val="auto"/>
                <w:highlight w:val="none"/>
              </w:rPr>
            </w:pPr>
          </w:p>
        </w:tc>
      </w:tr>
      <w:tr w14:paraId="71AC7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1A4918">
            <w:pPr>
              <w:pageBreakBefore w:val="0"/>
              <w:kinsoku/>
              <w:bidi w:val="0"/>
              <w:snapToGrid w:val="0"/>
              <w:spacing w:beforeAutospacing="0" w:afterAutospacing="0"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2BAA001D">
            <w:pPr>
              <w:pageBreakBefore w:val="0"/>
              <w:kinsoku/>
              <w:bidi w:val="0"/>
              <w:snapToGrid w:val="0"/>
              <w:spacing w:beforeAutospacing="0" w:afterAutospacing="0"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7E795812">
            <w:pPr>
              <w:pageBreakBefore w:val="0"/>
              <w:kinsoku/>
              <w:bidi w:val="0"/>
              <w:snapToGrid w:val="0"/>
              <w:spacing w:beforeAutospacing="0" w:afterAutospacing="0"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C3A393B">
            <w:pPr>
              <w:pageBreakBefore w:val="0"/>
              <w:kinsoku/>
              <w:bidi w:val="0"/>
              <w:snapToGrid w:val="0"/>
              <w:spacing w:beforeAutospacing="0" w:afterAutospacing="0"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4E5C201A">
            <w:pPr>
              <w:pageBreakBefore w:val="0"/>
              <w:kinsoku/>
              <w:bidi w:val="0"/>
              <w:snapToGrid w:val="0"/>
              <w:spacing w:beforeAutospacing="0" w:afterAutospacing="0"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E50A9FF">
            <w:pPr>
              <w:pageBreakBefore w:val="0"/>
              <w:kinsoku/>
              <w:bidi w:val="0"/>
              <w:snapToGrid w:val="0"/>
              <w:spacing w:beforeAutospacing="0" w:afterAutospacing="0"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18ECACE">
            <w:pPr>
              <w:pageBreakBefore w:val="0"/>
              <w:kinsoku/>
              <w:bidi w:val="0"/>
              <w:snapToGrid w:val="0"/>
              <w:spacing w:beforeAutospacing="0" w:afterAutospacing="0" w:line="440" w:lineRule="exact"/>
              <w:rPr>
                <w:color w:val="auto"/>
                <w:highlight w:val="none"/>
              </w:rPr>
            </w:pPr>
          </w:p>
        </w:tc>
      </w:tr>
    </w:tbl>
    <w:p w14:paraId="4A525375">
      <w:pPr>
        <w:pageBreakBefore w:val="0"/>
        <w:kinsoku/>
        <w:bidi w:val="0"/>
        <w:snapToGrid w:val="0"/>
        <w:spacing w:beforeAutospacing="0" w:afterAutospacing="0" w:line="440" w:lineRule="exact"/>
        <w:jc w:val="left"/>
        <w:rPr>
          <w:color w:val="auto"/>
          <w:highlight w:val="none"/>
        </w:rPr>
      </w:pPr>
      <w:r>
        <w:rPr>
          <w:rFonts w:hint="eastAsia"/>
          <w:color w:val="auto"/>
          <w:highlight w:val="none"/>
        </w:rPr>
        <w:t xml:space="preserve">注：1、在填写时，如本表格不适合投标人的实际情况，可根据本表格式自行划表填写。 </w:t>
      </w:r>
    </w:p>
    <w:p w14:paraId="5994D6E3">
      <w:pPr>
        <w:pageBreakBefore w:val="0"/>
        <w:kinsoku/>
        <w:bidi w:val="0"/>
        <w:snapToGrid w:val="0"/>
        <w:spacing w:beforeAutospacing="0" w:afterAutospacing="0" w:line="440" w:lineRule="exact"/>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14:paraId="6CB9733B">
      <w:pPr>
        <w:pStyle w:val="838"/>
        <w:pageBreakBefore w:val="0"/>
        <w:kinsoku/>
        <w:bidi w:val="0"/>
        <w:snapToGrid w:val="0"/>
        <w:spacing w:beforeAutospacing="0" w:afterAutospacing="0" w:line="440" w:lineRule="exact"/>
        <w:rPr>
          <w:rFonts w:hint="eastAsia" w:ascii="仿宋" w:hAnsi="仿宋"/>
          <w:color w:val="auto"/>
          <w:szCs w:val="24"/>
          <w:highlight w:val="none"/>
        </w:rPr>
      </w:pPr>
    </w:p>
    <w:p w14:paraId="4871C9FE">
      <w:pPr>
        <w:pStyle w:val="838"/>
        <w:pageBreakBefore w:val="0"/>
        <w:kinsoku/>
        <w:bidi w:val="0"/>
        <w:snapToGrid w:val="0"/>
        <w:spacing w:beforeAutospacing="0" w:afterAutospacing="0" w:line="440" w:lineRule="exact"/>
        <w:ind w:firstLine="480" w:firstLineChars="200"/>
        <w:rPr>
          <w:rFonts w:ascii="仿宋" w:hAnsi="仿宋"/>
          <w:color w:val="auto"/>
          <w:szCs w:val="24"/>
          <w:highlight w:val="none"/>
        </w:rPr>
      </w:pPr>
      <w:r>
        <w:rPr>
          <w:rFonts w:hint="eastAsia" w:ascii="仿宋" w:hAnsi="仿宋"/>
          <w:color w:val="auto"/>
          <w:szCs w:val="24"/>
          <w:highlight w:val="none"/>
        </w:rPr>
        <w:t>投标人全称（电子签</w:t>
      </w:r>
      <w:r>
        <w:rPr>
          <w:rFonts w:hint="eastAsia" w:ascii="仿宋" w:hAnsi="仿宋"/>
          <w:color w:val="auto"/>
          <w:szCs w:val="24"/>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4DF950E">
      <w:pPr>
        <w:pageBreakBefore w:val="0"/>
        <w:kinsoku/>
        <w:bidi w:val="0"/>
        <w:snapToGrid w:val="0"/>
        <w:spacing w:beforeAutospacing="0" w:afterAutospacing="0" w:line="440" w:lineRule="exact"/>
        <w:ind w:right="600"/>
        <w:rPr>
          <w:rFonts w:hint="eastAsia"/>
          <w:color w:val="auto"/>
          <w:highlight w:val="none"/>
        </w:rPr>
      </w:pPr>
    </w:p>
    <w:p w14:paraId="3586F3D9">
      <w:pPr>
        <w:pageBreakBefore w:val="0"/>
        <w:kinsoku/>
        <w:bidi w:val="0"/>
        <w:snapToGrid w:val="0"/>
        <w:spacing w:beforeAutospacing="0" w:afterAutospacing="0" w:line="440" w:lineRule="exact"/>
        <w:ind w:right="600" w:firstLine="480" w:firstLineChars="200"/>
        <w:rPr>
          <w:rFonts w:hint="eastAsia"/>
          <w:color w:val="auto"/>
          <w:highlight w:val="none"/>
          <w:u w:val="single"/>
        </w:rPr>
      </w:pPr>
      <w:r>
        <w:rPr>
          <w:rFonts w:hint="eastAsia"/>
          <w:color w:val="auto"/>
          <w:highlight w:val="none"/>
        </w:rPr>
        <w:t>日</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832A127">
      <w:pPr>
        <w:pageBreakBefore w:val="0"/>
        <w:kinsoku/>
        <w:bidi w:val="0"/>
        <w:spacing w:beforeAutospacing="0" w:afterAutospacing="0" w:line="440" w:lineRule="exact"/>
        <w:jc w:val="center"/>
        <w:rPr>
          <w:rFonts w:hint="eastAsia"/>
          <w:b/>
          <w:color w:val="auto"/>
          <w:sz w:val="30"/>
          <w:szCs w:val="30"/>
          <w:highlight w:val="none"/>
        </w:rPr>
      </w:pPr>
    </w:p>
    <w:p w14:paraId="3890FD84">
      <w:pPr>
        <w:pageBreakBefore w:val="0"/>
        <w:kinsoku/>
        <w:bidi w:val="0"/>
        <w:spacing w:beforeAutospacing="0" w:afterAutospacing="0" w:line="440" w:lineRule="exact"/>
        <w:jc w:val="center"/>
        <w:rPr>
          <w:rFonts w:hint="eastAsia"/>
          <w:b/>
          <w:color w:val="auto"/>
          <w:sz w:val="30"/>
          <w:szCs w:val="30"/>
          <w:highlight w:val="none"/>
        </w:rPr>
      </w:pPr>
    </w:p>
    <w:p w14:paraId="37D1A603">
      <w:pPr>
        <w:pageBreakBefore w:val="0"/>
        <w:kinsoku/>
        <w:bidi w:val="0"/>
        <w:spacing w:beforeAutospacing="0" w:afterAutospacing="0" w:line="440" w:lineRule="exact"/>
        <w:jc w:val="center"/>
        <w:rPr>
          <w:rFonts w:hint="eastAsia"/>
          <w:b/>
          <w:color w:val="auto"/>
          <w:sz w:val="30"/>
          <w:szCs w:val="30"/>
          <w:highlight w:val="none"/>
        </w:rPr>
      </w:pPr>
    </w:p>
    <w:p w14:paraId="3596BEE5">
      <w:pPr>
        <w:pageBreakBefore w:val="0"/>
        <w:kinsoku/>
        <w:bidi w:val="0"/>
        <w:spacing w:beforeAutospacing="0" w:afterAutospacing="0" w:line="440" w:lineRule="exact"/>
        <w:jc w:val="center"/>
        <w:rPr>
          <w:rFonts w:hint="eastAsia"/>
          <w:b/>
          <w:color w:val="auto"/>
          <w:sz w:val="30"/>
          <w:szCs w:val="30"/>
          <w:highlight w:val="none"/>
        </w:rPr>
      </w:pPr>
    </w:p>
    <w:p w14:paraId="394F9AFB">
      <w:pPr>
        <w:pageBreakBefore w:val="0"/>
        <w:kinsoku/>
        <w:bidi w:val="0"/>
        <w:spacing w:beforeAutospacing="0" w:afterAutospacing="0" w:line="440" w:lineRule="exact"/>
        <w:jc w:val="center"/>
        <w:rPr>
          <w:rFonts w:hint="eastAsia"/>
          <w:b/>
          <w:color w:val="auto"/>
          <w:sz w:val="30"/>
          <w:szCs w:val="30"/>
          <w:highlight w:val="none"/>
        </w:rPr>
      </w:pPr>
    </w:p>
    <w:p w14:paraId="51129D4C">
      <w:pPr>
        <w:pageBreakBefore w:val="0"/>
        <w:kinsoku/>
        <w:bidi w:val="0"/>
        <w:spacing w:beforeAutospacing="0" w:afterAutospacing="0" w:line="440" w:lineRule="exact"/>
        <w:jc w:val="center"/>
        <w:rPr>
          <w:rFonts w:hint="eastAsia"/>
          <w:b/>
          <w:color w:val="auto"/>
          <w:sz w:val="30"/>
          <w:szCs w:val="30"/>
          <w:highlight w:val="none"/>
        </w:rPr>
      </w:pPr>
    </w:p>
    <w:p w14:paraId="2172DCF9">
      <w:pPr>
        <w:pageBreakBefore w:val="0"/>
        <w:kinsoku/>
        <w:bidi w:val="0"/>
        <w:spacing w:beforeAutospacing="0" w:afterAutospacing="0" w:line="440" w:lineRule="exact"/>
        <w:jc w:val="center"/>
        <w:rPr>
          <w:rFonts w:hint="eastAsia"/>
          <w:b/>
          <w:color w:val="auto"/>
          <w:sz w:val="30"/>
          <w:szCs w:val="30"/>
          <w:highlight w:val="none"/>
        </w:rPr>
      </w:pPr>
    </w:p>
    <w:p w14:paraId="3A6B7786">
      <w:pPr>
        <w:pageBreakBefore w:val="0"/>
        <w:kinsoku/>
        <w:bidi w:val="0"/>
        <w:spacing w:beforeAutospacing="0" w:afterAutospacing="0" w:line="440" w:lineRule="exact"/>
        <w:jc w:val="center"/>
        <w:rPr>
          <w:rFonts w:hint="eastAsia"/>
          <w:b/>
          <w:color w:val="auto"/>
          <w:sz w:val="30"/>
          <w:szCs w:val="30"/>
          <w:highlight w:val="none"/>
        </w:rPr>
      </w:pPr>
    </w:p>
    <w:p w14:paraId="737F2746">
      <w:pPr>
        <w:pageBreakBefore w:val="0"/>
        <w:kinsoku/>
        <w:bidi w:val="0"/>
        <w:spacing w:beforeAutospacing="0" w:afterAutospacing="0" w:line="440" w:lineRule="exact"/>
        <w:jc w:val="center"/>
        <w:rPr>
          <w:rFonts w:hint="eastAsia"/>
          <w:b/>
          <w:color w:val="auto"/>
          <w:sz w:val="30"/>
          <w:szCs w:val="30"/>
          <w:highlight w:val="none"/>
        </w:rPr>
      </w:pPr>
    </w:p>
    <w:p w14:paraId="232D92BB">
      <w:pPr>
        <w:pageBreakBefore w:val="0"/>
        <w:kinsoku/>
        <w:bidi w:val="0"/>
        <w:spacing w:beforeAutospacing="0" w:afterAutospacing="0" w:line="440" w:lineRule="exact"/>
        <w:jc w:val="center"/>
        <w:rPr>
          <w:rFonts w:hint="eastAsia"/>
          <w:b/>
          <w:color w:val="auto"/>
          <w:sz w:val="30"/>
          <w:szCs w:val="30"/>
          <w:highlight w:val="none"/>
        </w:rPr>
      </w:pPr>
    </w:p>
    <w:p w14:paraId="72B5BC64">
      <w:pPr>
        <w:pageBreakBefore w:val="0"/>
        <w:kinsoku/>
        <w:bidi w:val="0"/>
        <w:spacing w:beforeAutospacing="0" w:afterAutospacing="0" w:line="440" w:lineRule="exact"/>
        <w:jc w:val="center"/>
        <w:rPr>
          <w:rFonts w:hint="eastAsia"/>
          <w:b/>
          <w:color w:val="auto"/>
          <w:sz w:val="30"/>
          <w:szCs w:val="30"/>
          <w:highlight w:val="none"/>
        </w:rPr>
      </w:pPr>
    </w:p>
    <w:p w14:paraId="123AFFFE">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color w:val="auto"/>
          <w:sz w:val="32"/>
          <w:highlight w:val="none"/>
        </w:rPr>
      </w:pPr>
      <w:r>
        <w:rPr>
          <w:rFonts w:hint="eastAsia"/>
          <w:b/>
          <w:color w:val="auto"/>
          <w:sz w:val="30"/>
          <w:szCs w:val="30"/>
          <w:highlight w:val="none"/>
        </w:rPr>
        <w:t>投标文件封面</w:t>
      </w:r>
      <w:r>
        <w:rPr>
          <w:rFonts w:hint="eastAsia"/>
          <w:b/>
          <w:color w:val="auto"/>
          <w:sz w:val="32"/>
          <w:highlight w:val="none"/>
        </w:rPr>
        <w:t>（</w:t>
      </w:r>
      <w:r>
        <w:rPr>
          <w:rFonts w:hint="eastAsia"/>
          <w:b/>
          <w:color w:val="auto"/>
          <w:sz w:val="32"/>
          <w:highlight w:val="none"/>
          <w:lang w:val="en-US" w:eastAsia="zh-CN"/>
        </w:rPr>
        <w:t>封面</w:t>
      </w:r>
      <w:r>
        <w:rPr>
          <w:rFonts w:hint="eastAsia"/>
          <w:b/>
          <w:color w:val="auto"/>
          <w:sz w:val="32"/>
          <w:highlight w:val="none"/>
        </w:rPr>
        <w:t>格式供参考）</w:t>
      </w:r>
    </w:p>
    <w:p w14:paraId="54EEB045">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color w:val="auto"/>
          <w:sz w:val="52"/>
          <w:szCs w:val="52"/>
          <w:highlight w:val="none"/>
        </w:rPr>
      </w:pPr>
      <w:r>
        <w:rPr>
          <w:rFonts w:hint="eastAsia"/>
          <w:b/>
          <w:color w:val="auto"/>
          <w:sz w:val="52"/>
          <w:szCs w:val="52"/>
          <w:highlight w:val="none"/>
        </w:rPr>
        <w:t>报价文件</w:t>
      </w:r>
    </w:p>
    <w:p w14:paraId="3A71802B">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color w:val="auto"/>
          <w:sz w:val="28"/>
          <w:szCs w:val="28"/>
          <w:highlight w:val="none"/>
        </w:rPr>
      </w:pPr>
    </w:p>
    <w:p w14:paraId="07A8EC9D">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14:paraId="0EE6097B">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14:paraId="04DBC6A3">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color w:val="auto"/>
          <w:sz w:val="30"/>
          <w:szCs w:val="30"/>
          <w:highlight w:val="none"/>
        </w:rPr>
      </w:pPr>
      <w:r>
        <w:rPr>
          <w:rFonts w:hint="eastAsia"/>
          <w:b/>
          <w:color w:val="auto"/>
          <w:sz w:val="30"/>
          <w:szCs w:val="30"/>
          <w:highlight w:val="none"/>
        </w:rPr>
        <w:t>投标人全称（电子签</w:t>
      </w:r>
      <w:r>
        <w:rPr>
          <w:rFonts w:hint="eastAsia"/>
          <w:b/>
          <w:color w:val="auto"/>
          <w:sz w:val="30"/>
          <w:szCs w:val="30"/>
          <w:highlight w:val="none"/>
          <w:lang w:val="en-US" w:eastAsia="zh-CN"/>
        </w:rPr>
        <w:t>名</w:t>
      </w:r>
      <w:r>
        <w:rPr>
          <w:rFonts w:hint="eastAsia"/>
          <w:b/>
          <w:color w:val="auto"/>
          <w:sz w:val="30"/>
          <w:szCs w:val="30"/>
          <w:highlight w:val="none"/>
        </w:rPr>
        <w:t>）：</w:t>
      </w:r>
      <w:r>
        <w:rPr>
          <w:rFonts w:hint="eastAsia"/>
          <w:b/>
          <w:color w:val="auto"/>
          <w:sz w:val="30"/>
          <w:szCs w:val="30"/>
          <w:highlight w:val="none"/>
          <w:u w:val="single"/>
        </w:rPr>
        <w:t xml:space="preserve">                   </w:t>
      </w:r>
    </w:p>
    <w:p w14:paraId="00D6D2F9">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auto"/>
          <w:highlight w:val="none"/>
        </w:rPr>
      </w:pPr>
    </w:p>
    <w:p w14:paraId="7165053A">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none"/>
        </w:rPr>
      </w:pPr>
      <w:r>
        <w:rPr>
          <w:rFonts w:hint="eastAsia"/>
          <w:color w:val="auto"/>
          <w:highlight w:val="none"/>
          <w:u w:val="single"/>
        </w:rPr>
        <w:br w:type="page"/>
      </w:r>
    </w:p>
    <w:p w14:paraId="6136AC96">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开标一览表（报价表）</w:t>
      </w:r>
    </w:p>
    <w:p w14:paraId="5E35CC2C">
      <w:pPr>
        <w:spacing w:before="156" w:line="360" w:lineRule="auto"/>
        <w:ind w:firstLine="0" w:firstLineChars="0"/>
        <w:jc w:val="left"/>
        <w:rPr>
          <w:rFonts w:hint="eastAsia"/>
          <w:b/>
          <w:bCs/>
          <w:color w:val="auto"/>
          <w:highlight w:val="none"/>
          <w:lang w:val="zh-CN"/>
        </w:rPr>
      </w:pPr>
      <w:r>
        <w:rPr>
          <w:rFonts w:hint="eastAsia" w:ascii="仿宋" w:hAnsi="仿宋" w:cs="仿宋"/>
          <w:color w:val="auto"/>
          <w:szCs w:val="24"/>
          <w:highlight w:val="none"/>
        </w:rPr>
        <w:t>项目名称：</w:t>
      </w:r>
      <w:r>
        <w:rPr>
          <w:rFonts w:hint="eastAsia" w:cs="仿宋"/>
          <w:color w:val="auto"/>
          <w:szCs w:val="24"/>
          <w:highlight w:val="none"/>
          <w:u w:val="single"/>
          <w:lang w:val="en-US" w:eastAsia="zh-CN"/>
        </w:rPr>
        <w:t xml:space="preserve">                 </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项目编号：</w:t>
      </w:r>
      <w:r>
        <w:rPr>
          <w:rFonts w:hint="eastAsia" w:cs="仿宋"/>
          <w:color w:val="auto"/>
          <w:szCs w:val="24"/>
          <w:highlight w:val="none"/>
          <w:u w:val="single"/>
          <w:lang w:val="en-US" w:eastAsia="zh-CN"/>
        </w:rPr>
        <w:t xml:space="preserve">                </w:t>
      </w:r>
      <w:r>
        <w:rPr>
          <w:rFonts w:hint="eastAsia" w:ascii="仿宋" w:hAnsi="仿宋" w:cs="仿宋"/>
          <w:color w:val="auto"/>
          <w:szCs w:val="24"/>
          <w:highlight w:val="none"/>
          <w:u w:val="single"/>
        </w:rPr>
        <w:t xml:space="preserve"> </w:t>
      </w:r>
      <w:r>
        <w:rPr>
          <w:rFonts w:hint="eastAsia" w:ascii="仿宋" w:hAnsi="仿宋" w:cs="仿宋"/>
          <w:color w:val="auto"/>
          <w:highlight w:val="none"/>
        </w:rPr>
        <w:t xml:space="preserve">      </w:t>
      </w:r>
    </w:p>
    <w:tbl>
      <w:tblPr>
        <w:tblStyle w:val="89"/>
        <w:tblW w:w="10235"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721"/>
        <w:gridCol w:w="4721"/>
      </w:tblGrid>
      <w:tr w14:paraId="65FC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93" w:type="dxa"/>
            <w:noWrap w:val="0"/>
            <w:vAlign w:val="center"/>
          </w:tcPr>
          <w:p w14:paraId="3E9DEFB9">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4721" w:type="dxa"/>
            <w:noWrap w:val="0"/>
            <w:vAlign w:val="center"/>
          </w:tcPr>
          <w:p w14:paraId="7DBAD3E7">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lang w:val="en-US" w:eastAsia="zh-CN"/>
              </w:rPr>
              <w:t>项目</w:t>
            </w:r>
            <w:r>
              <w:rPr>
                <w:rFonts w:hint="eastAsia" w:ascii="宋体" w:hAnsi="宋体" w:cs="宋体"/>
                <w:b/>
                <w:color w:val="auto"/>
                <w:highlight w:val="none"/>
              </w:rPr>
              <w:t>名称</w:t>
            </w:r>
          </w:p>
        </w:tc>
        <w:tc>
          <w:tcPr>
            <w:tcW w:w="4721" w:type="dxa"/>
            <w:noWrap w:val="0"/>
            <w:vAlign w:val="center"/>
          </w:tcPr>
          <w:p w14:paraId="26FF3EC1">
            <w:pPr>
              <w:spacing w:line="240" w:lineRule="auto"/>
              <w:ind w:firstLine="0" w:firstLineChars="0"/>
              <w:jc w:val="center"/>
              <w:rPr>
                <w:rFonts w:hint="eastAsia" w:ascii="宋体" w:hAnsi="宋体" w:eastAsia="仿宋" w:cs="宋体"/>
                <w:b/>
                <w:color w:val="auto"/>
                <w:highlight w:val="none"/>
                <w:lang w:val="en-US" w:eastAsia="zh-CN"/>
              </w:rPr>
            </w:pPr>
            <w:r>
              <w:rPr>
                <w:rFonts w:hint="eastAsia" w:ascii="宋体" w:hAnsi="宋体" w:cs="宋体"/>
                <w:b/>
                <w:color w:val="auto"/>
                <w:highlight w:val="none"/>
                <w:lang w:val="en-US" w:eastAsia="zh-CN"/>
              </w:rPr>
              <w:t>投标总价（元）</w:t>
            </w:r>
          </w:p>
        </w:tc>
      </w:tr>
      <w:tr w14:paraId="1F5B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93" w:type="dxa"/>
            <w:noWrap w:val="0"/>
            <w:vAlign w:val="center"/>
          </w:tcPr>
          <w:p w14:paraId="4EA84A7C">
            <w:pPr>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w:t>
            </w:r>
          </w:p>
        </w:tc>
        <w:tc>
          <w:tcPr>
            <w:tcW w:w="4721" w:type="dxa"/>
            <w:noWrap w:val="0"/>
            <w:vAlign w:val="center"/>
          </w:tcPr>
          <w:p w14:paraId="540DAF40">
            <w:pPr>
              <w:ind w:firstLine="0" w:firstLineChars="0"/>
              <w:jc w:val="center"/>
              <w:rPr>
                <w:rFonts w:hint="eastAsia" w:ascii="仿宋" w:hAnsi="仿宋" w:cs="仿宋"/>
                <w:color w:val="auto"/>
                <w:szCs w:val="24"/>
                <w:highlight w:val="none"/>
              </w:rPr>
            </w:pPr>
          </w:p>
        </w:tc>
        <w:tc>
          <w:tcPr>
            <w:tcW w:w="4721" w:type="dxa"/>
            <w:noWrap w:val="0"/>
            <w:vAlign w:val="center"/>
          </w:tcPr>
          <w:p w14:paraId="7BDA3652">
            <w:pPr>
              <w:ind w:firstLine="0" w:firstLineChars="0"/>
              <w:jc w:val="both"/>
              <w:rPr>
                <w:rFonts w:hint="eastAsia" w:cs="仿宋"/>
                <w:color w:val="auto"/>
                <w:szCs w:val="24"/>
                <w:highlight w:val="none"/>
                <w:lang w:val="en-US" w:eastAsia="zh-CN"/>
              </w:rPr>
            </w:pPr>
            <w:r>
              <w:rPr>
                <w:rFonts w:hint="eastAsia" w:cs="仿宋"/>
                <w:color w:val="auto"/>
                <w:szCs w:val="24"/>
                <w:highlight w:val="none"/>
                <w:lang w:val="en-US" w:eastAsia="zh-CN"/>
              </w:rPr>
              <w:t>大写：</w:t>
            </w:r>
          </w:p>
          <w:p w14:paraId="38A6C06F">
            <w:pPr>
              <w:ind w:firstLine="0" w:firstLineChars="0"/>
              <w:jc w:val="both"/>
              <w:rPr>
                <w:rFonts w:hint="default" w:cs="仿宋"/>
                <w:color w:val="auto"/>
                <w:szCs w:val="24"/>
                <w:highlight w:val="none"/>
                <w:lang w:val="en-US" w:eastAsia="zh-CN"/>
              </w:rPr>
            </w:pPr>
            <w:r>
              <w:rPr>
                <w:rFonts w:hint="eastAsia" w:cs="仿宋"/>
                <w:color w:val="auto"/>
                <w:szCs w:val="24"/>
                <w:highlight w:val="none"/>
                <w:lang w:val="en-US" w:eastAsia="zh-CN"/>
              </w:rPr>
              <w:t>小写：</w:t>
            </w:r>
          </w:p>
        </w:tc>
      </w:tr>
    </w:tbl>
    <w:p w14:paraId="68249465">
      <w:pPr>
        <w:keepNext w:val="0"/>
        <w:keepLines w:val="0"/>
        <w:pageBreakBefore w:val="0"/>
        <w:widowControl w:val="0"/>
        <w:kinsoku/>
        <w:wordWrap/>
        <w:overflowPunct/>
        <w:topLinePunct w:val="0"/>
        <w:autoSpaceDE/>
        <w:autoSpaceDN/>
        <w:bidi w:val="0"/>
        <w:adjustRightInd/>
        <w:spacing w:line="440" w:lineRule="exact"/>
        <w:ind w:firstLine="482"/>
        <w:textAlignment w:val="auto"/>
        <w:rPr>
          <w:rFonts w:hint="eastAsia"/>
          <w:b/>
          <w:bCs/>
          <w:color w:val="auto"/>
          <w:highlight w:val="none"/>
          <w:lang w:val="zh-CN"/>
        </w:rPr>
      </w:pPr>
      <w:r>
        <w:rPr>
          <w:rFonts w:hint="eastAsia"/>
          <w:b/>
          <w:bCs/>
          <w:color w:val="auto"/>
          <w:highlight w:val="none"/>
          <w:lang w:val="zh-CN"/>
        </w:rPr>
        <w:t>注：</w:t>
      </w:r>
    </w:p>
    <w:p w14:paraId="7CE57154">
      <w:pPr>
        <w:keepNext w:val="0"/>
        <w:keepLines w:val="0"/>
        <w:pageBreakBefore w:val="0"/>
        <w:widowControl w:val="0"/>
        <w:numPr>
          <w:ilvl w:val="0"/>
          <w:numId w:val="6"/>
        </w:numPr>
        <w:kinsoku/>
        <w:wordWrap/>
        <w:overflowPunct/>
        <w:topLinePunct w:val="0"/>
        <w:autoSpaceDE/>
        <w:autoSpaceDN/>
        <w:bidi w:val="0"/>
        <w:adjustRightInd/>
        <w:spacing w:line="440" w:lineRule="exact"/>
        <w:ind w:firstLine="480"/>
        <w:textAlignment w:val="auto"/>
        <w:rPr>
          <w:rFonts w:hint="eastAsia"/>
          <w:color w:val="auto"/>
          <w:highlight w:val="none"/>
          <w:lang w:val="zh-CN"/>
        </w:rPr>
      </w:pPr>
      <w:r>
        <w:rPr>
          <w:rFonts w:hint="eastAsia"/>
          <w:color w:val="auto"/>
          <w:highlight w:val="none"/>
          <w:lang w:val="zh-CN"/>
        </w:rPr>
        <w:t>投标人需按本表格式填写，不得自行更改，投标报价以人民币元为结算币种。</w:t>
      </w:r>
    </w:p>
    <w:p w14:paraId="1DAFA314">
      <w:pPr>
        <w:keepNext w:val="0"/>
        <w:keepLines w:val="0"/>
        <w:pageBreakBefore w:val="0"/>
        <w:widowControl w:val="0"/>
        <w:numPr>
          <w:ilvl w:val="0"/>
          <w:numId w:val="6"/>
        </w:numPr>
        <w:kinsoku/>
        <w:wordWrap/>
        <w:overflowPunct/>
        <w:topLinePunct w:val="0"/>
        <w:autoSpaceDE/>
        <w:autoSpaceDN/>
        <w:bidi w:val="0"/>
        <w:adjustRightInd/>
        <w:spacing w:line="440" w:lineRule="exact"/>
        <w:ind w:firstLine="480"/>
        <w:textAlignment w:val="auto"/>
        <w:rPr>
          <w:rFonts w:hint="eastAsia"/>
          <w:color w:val="auto"/>
          <w:highlight w:val="none"/>
          <w:lang w:val="zh-CN"/>
        </w:rPr>
      </w:pPr>
      <w:r>
        <w:rPr>
          <w:rFonts w:hint="eastAsia"/>
          <w:color w:val="auto"/>
          <w:highlight w:val="none"/>
          <w:lang w:val="zh-CN"/>
        </w:rPr>
        <w:t>投标报价应包括所需缴纳的所有税费、项目实施所需的一切费用。</w:t>
      </w:r>
    </w:p>
    <w:p w14:paraId="71F40280">
      <w:pPr>
        <w:keepNext w:val="0"/>
        <w:keepLines w:val="0"/>
        <w:pageBreakBefore w:val="0"/>
        <w:widowControl w:val="0"/>
        <w:numPr>
          <w:ilvl w:val="0"/>
          <w:numId w:val="6"/>
        </w:numPr>
        <w:kinsoku/>
        <w:wordWrap/>
        <w:overflowPunct/>
        <w:topLinePunct w:val="0"/>
        <w:autoSpaceDE/>
        <w:autoSpaceDN/>
        <w:bidi w:val="0"/>
        <w:adjustRightInd/>
        <w:spacing w:line="440" w:lineRule="exact"/>
        <w:ind w:firstLine="480"/>
        <w:textAlignment w:val="auto"/>
        <w:rPr>
          <w:rFonts w:hint="eastAsia"/>
          <w:color w:val="auto"/>
          <w:highlight w:val="none"/>
          <w:lang w:val="zh-CN"/>
        </w:rPr>
      </w:pPr>
      <w:r>
        <w:rPr>
          <w:rFonts w:hint="eastAsia"/>
          <w:color w:val="auto"/>
          <w:highlight w:val="none"/>
          <w:lang w:val="zh-CN"/>
        </w:rPr>
        <w:t>以上表格要求细分项目及报价，在“规格型号（或具体服务）”一栏中，货物类项目填写规格型号，服务类项目填写具体服务。</w:t>
      </w:r>
    </w:p>
    <w:p w14:paraId="78D4943E">
      <w:pPr>
        <w:keepNext w:val="0"/>
        <w:keepLines w:val="0"/>
        <w:pageBreakBefore w:val="0"/>
        <w:widowControl w:val="0"/>
        <w:numPr>
          <w:ilvl w:val="0"/>
          <w:numId w:val="6"/>
        </w:numPr>
        <w:kinsoku/>
        <w:wordWrap/>
        <w:overflowPunct/>
        <w:topLinePunct w:val="0"/>
        <w:autoSpaceDE/>
        <w:autoSpaceDN/>
        <w:bidi w:val="0"/>
        <w:adjustRightInd/>
        <w:spacing w:line="440" w:lineRule="exact"/>
        <w:ind w:firstLine="480"/>
        <w:textAlignment w:val="auto"/>
        <w:rPr>
          <w:rFonts w:hint="eastAsia"/>
          <w:color w:val="auto"/>
          <w:highlight w:val="none"/>
          <w:lang w:val="zh-CN"/>
        </w:rPr>
      </w:pPr>
      <w:r>
        <w:rPr>
          <w:rFonts w:hint="eastAsia"/>
          <w:color w:val="auto"/>
          <w:highlight w:val="none"/>
          <w:lang w:val="zh-CN"/>
        </w:rPr>
        <w:t>特别提示：采购代理机构将对项目名称和项目编号，中标人名称、地址和中标金额，主要中标标的的名称、规格型号（或具体服务）、数量、单价、服务要求等予以公示。</w:t>
      </w:r>
    </w:p>
    <w:p w14:paraId="40CCB9F0">
      <w:pPr>
        <w:keepNext w:val="0"/>
        <w:keepLines w:val="0"/>
        <w:pageBreakBefore w:val="0"/>
        <w:widowControl w:val="0"/>
        <w:numPr>
          <w:ilvl w:val="0"/>
          <w:numId w:val="6"/>
        </w:numPr>
        <w:kinsoku/>
        <w:wordWrap/>
        <w:overflowPunct/>
        <w:topLinePunct w:val="0"/>
        <w:autoSpaceDE/>
        <w:autoSpaceDN/>
        <w:bidi w:val="0"/>
        <w:adjustRightInd/>
        <w:spacing w:line="440" w:lineRule="exact"/>
        <w:ind w:left="0" w:leftChars="0" w:firstLine="482" w:firstLineChars="200"/>
        <w:textAlignment w:val="auto"/>
        <w:rPr>
          <w:rFonts w:hint="eastAsia"/>
          <w:b/>
          <w:bCs/>
          <w:color w:val="auto"/>
          <w:highlight w:val="none"/>
          <w:u w:val="single"/>
        </w:rPr>
      </w:pP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b/>
          <w:bCs/>
          <w:color w:val="auto"/>
          <w:highlight w:val="none"/>
          <w:u w:val="single"/>
          <w:lang w:val="zh-CN"/>
        </w:rPr>
        <w:t>▲采购内容未包含在《开标一览表（报价表）》名称栏中，投标人不能作出合理解释的，视为投标文件含有采购人不能接受的附加条件的，投标无效。</w:t>
      </w:r>
    </w:p>
    <w:p w14:paraId="4420C6D1">
      <w:pPr>
        <w:keepNext w:val="0"/>
        <w:keepLines w:val="0"/>
        <w:pageBreakBefore w:val="0"/>
        <w:widowControl w:val="0"/>
        <w:numPr>
          <w:ilvl w:val="0"/>
          <w:numId w:val="6"/>
        </w:numPr>
        <w:kinsoku/>
        <w:wordWrap/>
        <w:overflowPunct/>
        <w:topLinePunct w:val="0"/>
        <w:autoSpaceDE/>
        <w:autoSpaceDN/>
        <w:bidi w:val="0"/>
        <w:adjustRightInd/>
        <w:spacing w:line="440" w:lineRule="exact"/>
        <w:ind w:left="0" w:leftChars="0" w:firstLine="482" w:firstLineChars="200"/>
        <w:textAlignment w:val="auto"/>
        <w:rPr>
          <w:rFonts w:hint="eastAsia"/>
          <w:b/>
          <w:bCs/>
          <w:color w:val="auto"/>
          <w:highlight w:val="none"/>
          <w:u w:val="single"/>
        </w:rPr>
      </w:pPr>
      <w:r>
        <w:rPr>
          <w:rFonts w:hint="eastAsia"/>
          <w:b/>
          <w:bCs/>
          <w:color w:val="auto"/>
          <w:highlight w:val="none"/>
          <w:u w:val="singl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p>
    <w:p w14:paraId="20BF2008">
      <w:pPr>
        <w:keepNext w:val="0"/>
        <w:keepLines w:val="0"/>
        <w:pageBreakBefore w:val="0"/>
        <w:widowControl w:val="0"/>
        <w:numPr>
          <w:ilvl w:val="0"/>
          <w:numId w:val="6"/>
        </w:numPr>
        <w:kinsoku/>
        <w:wordWrap/>
        <w:overflowPunct/>
        <w:topLinePunct w:val="0"/>
        <w:autoSpaceDE/>
        <w:autoSpaceDN/>
        <w:bidi w:val="0"/>
        <w:adjustRightInd/>
        <w:spacing w:line="440" w:lineRule="exact"/>
        <w:ind w:left="0" w:leftChars="0" w:firstLine="482" w:firstLineChars="200"/>
        <w:textAlignment w:val="auto"/>
        <w:rPr>
          <w:rFonts w:hint="eastAsia"/>
          <w:b/>
          <w:bCs/>
          <w:color w:val="auto"/>
          <w:highlight w:val="none"/>
          <w:u w:val="single"/>
        </w:rPr>
      </w:pPr>
      <w:r>
        <w:rPr>
          <w:rFonts w:hint="eastAsia"/>
          <w:b/>
          <w:bCs/>
          <w:color w:val="auto"/>
          <w:highlight w:val="none"/>
          <w:u w:val="single"/>
          <w:lang w:val="zh-CN"/>
        </w:rPr>
        <w:t>▲</w:t>
      </w:r>
      <w:r>
        <w:rPr>
          <w:rFonts w:hint="eastAsia"/>
          <w:b/>
          <w:bCs/>
          <w:color w:val="auto"/>
          <w:highlight w:val="none"/>
          <w:u w:val="single"/>
        </w:rPr>
        <w:t>投标人报价低于项目预算50%的，应当在报价文件中详细阐述不影响产品质量或者诚信履约的具体原因，投标人未提供相应材料的，评标委员会应当将其作为无效投标处理。</w:t>
      </w:r>
    </w:p>
    <w:p w14:paraId="59CF65F0">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 w:hAnsi="仿宋" w:cs="仿宋"/>
          <w:color w:val="auto"/>
          <w:szCs w:val="24"/>
          <w:highlight w:val="none"/>
        </w:rPr>
      </w:pPr>
    </w:p>
    <w:p w14:paraId="56EF4CDD">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43D5FCC">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01E0388">
      <w:pPr>
        <w:snapToGrid w:val="0"/>
        <w:spacing w:before="156" w:after="50" w:line="460" w:lineRule="exact"/>
        <w:ind w:firstLine="480"/>
        <w:jc w:val="center"/>
        <w:rPr>
          <w:rFonts w:hint="eastAsia" w:hAnsi="宋体"/>
          <w:b/>
          <w:color w:val="auto"/>
          <w:spacing w:val="-6"/>
          <w:highlight w:val="none"/>
        </w:rPr>
      </w:pPr>
      <w:r>
        <w:rPr>
          <w:rFonts w:ascii="仿宋_GB2312" w:hAnsi="宋体" w:eastAsia="仿宋_GB2312"/>
          <w:color w:val="auto"/>
          <w:szCs w:val="24"/>
          <w:highlight w:val="none"/>
          <w:u w:val="single"/>
        </w:rPr>
        <w:br w:type="page"/>
      </w:r>
      <w:r>
        <w:rPr>
          <w:rFonts w:hint="eastAsia"/>
          <w:b/>
          <w:bCs/>
          <w:color w:val="auto"/>
          <w:sz w:val="32"/>
          <w:szCs w:val="32"/>
          <w:highlight w:val="none"/>
        </w:rPr>
        <w:t>投标报价明细表</w:t>
      </w:r>
    </w:p>
    <w:p w14:paraId="2730EA70">
      <w:pPr>
        <w:pStyle w:val="48"/>
        <w:spacing w:before="0" w:afterLines="0" w:line="360" w:lineRule="auto"/>
        <w:ind w:right="342" w:firstLine="456"/>
        <w:jc w:val="right"/>
        <w:rPr>
          <w:rFonts w:hint="eastAsia" w:ascii="仿宋" w:hAnsi="仿宋" w:cs="仿宋"/>
          <w:b/>
          <w:color w:val="auto"/>
          <w:spacing w:val="-6"/>
          <w:highlight w:val="none"/>
        </w:rPr>
      </w:pPr>
      <w:r>
        <w:rPr>
          <w:rFonts w:hint="eastAsia" w:ascii="仿宋" w:hAnsi="仿宋" w:cs="仿宋"/>
          <w:color w:val="auto"/>
          <w:spacing w:val="-6"/>
          <w:highlight w:val="none"/>
        </w:rPr>
        <w:t>金额单位：人民币元</w:t>
      </w:r>
    </w:p>
    <w:tbl>
      <w:tblPr>
        <w:tblStyle w:val="89"/>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538"/>
        <w:gridCol w:w="1356"/>
        <w:gridCol w:w="1586"/>
        <w:gridCol w:w="1202"/>
        <w:gridCol w:w="1688"/>
      </w:tblGrid>
      <w:tr w14:paraId="7548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43" w:type="dxa"/>
            <w:noWrap w:val="0"/>
            <w:vAlign w:val="center"/>
          </w:tcPr>
          <w:p w14:paraId="5327B859">
            <w:pPr>
              <w:spacing w:line="400" w:lineRule="exact"/>
              <w:jc w:val="center"/>
              <w:rPr>
                <w:rFonts w:hint="eastAsia"/>
                <w:sz w:val="24"/>
              </w:rPr>
            </w:pPr>
            <w:r>
              <w:rPr>
                <w:rFonts w:hint="eastAsia"/>
                <w:sz w:val="24"/>
              </w:rPr>
              <w:t>序号</w:t>
            </w:r>
          </w:p>
        </w:tc>
        <w:tc>
          <w:tcPr>
            <w:tcW w:w="2538" w:type="dxa"/>
            <w:noWrap w:val="0"/>
            <w:vAlign w:val="center"/>
          </w:tcPr>
          <w:p w14:paraId="68194F5B">
            <w:pPr>
              <w:spacing w:line="400" w:lineRule="exact"/>
              <w:jc w:val="center"/>
              <w:rPr>
                <w:rFonts w:hint="eastAsia"/>
                <w:sz w:val="24"/>
              </w:rPr>
            </w:pPr>
            <w:r>
              <w:rPr>
                <w:rFonts w:hint="eastAsia"/>
                <w:sz w:val="24"/>
              </w:rPr>
              <w:t>内容</w:t>
            </w:r>
          </w:p>
        </w:tc>
        <w:tc>
          <w:tcPr>
            <w:tcW w:w="1356" w:type="dxa"/>
            <w:noWrap w:val="0"/>
            <w:vAlign w:val="center"/>
          </w:tcPr>
          <w:p w14:paraId="1186E10F">
            <w:pPr>
              <w:spacing w:line="400" w:lineRule="exact"/>
              <w:jc w:val="center"/>
              <w:rPr>
                <w:rFonts w:hint="default"/>
                <w:sz w:val="24"/>
                <w:lang w:val="en-US" w:eastAsia="zh-CN"/>
              </w:rPr>
            </w:pPr>
            <w:r>
              <w:rPr>
                <w:rFonts w:hint="eastAsia"/>
                <w:sz w:val="24"/>
                <w:lang w:val="en-US" w:eastAsia="zh-CN"/>
              </w:rPr>
              <w:t>数量</w:t>
            </w:r>
          </w:p>
        </w:tc>
        <w:tc>
          <w:tcPr>
            <w:tcW w:w="1586" w:type="dxa"/>
            <w:noWrap w:val="0"/>
            <w:vAlign w:val="center"/>
          </w:tcPr>
          <w:p w14:paraId="04F6B664">
            <w:pPr>
              <w:spacing w:line="400" w:lineRule="exact"/>
              <w:jc w:val="center"/>
              <w:rPr>
                <w:rFonts w:hint="default"/>
                <w:sz w:val="24"/>
                <w:lang w:val="en-US" w:eastAsia="zh-CN"/>
              </w:rPr>
            </w:pPr>
            <w:r>
              <w:rPr>
                <w:rFonts w:hint="eastAsia"/>
                <w:sz w:val="24"/>
                <w:lang w:val="en-US" w:eastAsia="zh-CN"/>
              </w:rPr>
              <w:t>单价（元/年）</w:t>
            </w:r>
          </w:p>
        </w:tc>
        <w:tc>
          <w:tcPr>
            <w:tcW w:w="1202" w:type="dxa"/>
            <w:noWrap w:val="0"/>
            <w:vAlign w:val="center"/>
          </w:tcPr>
          <w:p w14:paraId="494419F9">
            <w:pPr>
              <w:spacing w:line="400" w:lineRule="exact"/>
              <w:jc w:val="center"/>
              <w:rPr>
                <w:rFonts w:hint="default"/>
                <w:sz w:val="24"/>
                <w:lang w:val="en-US" w:eastAsia="zh-CN"/>
              </w:rPr>
            </w:pPr>
            <w:r>
              <w:rPr>
                <w:rFonts w:hint="eastAsia"/>
                <w:sz w:val="24"/>
                <w:lang w:val="en-US" w:eastAsia="zh-CN"/>
              </w:rPr>
              <w:t>服务期</w:t>
            </w:r>
          </w:p>
        </w:tc>
        <w:tc>
          <w:tcPr>
            <w:tcW w:w="1688" w:type="dxa"/>
            <w:noWrap w:val="0"/>
            <w:vAlign w:val="center"/>
          </w:tcPr>
          <w:p w14:paraId="58DD74C3">
            <w:pPr>
              <w:spacing w:line="400" w:lineRule="exact"/>
              <w:jc w:val="center"/>
              <w:rPr>
                <w:rFonts w:hint="default" w:eastAsia="仿宋"/>
                <w:sz w:val="24"/>
                <w:lang w:val="en-US" w:eastAsia="zh-CN"/>
              </w:rPr>
            </w:pPr>
            <w:r>
              <w:rPr>
                <w:rFonts w:hint="eastAsia"/>
                <w:sz w:val="24"/>
                <w:lang w:val="en-US" w:eastAsia="zh-CN"/>
              </w:rPr>
              <w:t>小计（元）</w:t>
            </w:r>
          </w:p>
        </w:tc>
      </w:tr>
      <w:tr w14:paraId="1C20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137A6AF3">
            <w:pPr>
              <w:spacing w:line="400" w:lineRule="exact"/>
              <w:jc w:val="center"/>
              <w:rPr>
                <w:rFonts w:hint="eastAsia"/>
                <w:sz w:val="24"/>
              </w:rPr>
            </w:pPr>
            <w:r>
              <w:rPr>
                <w:rFonts w:hint="eastAsia"/>
                <w:sz w:val="24"/>
              </w:rPr>
              <w:t>1</w:t>
            </w:r>
          </w:p>
        </w:tc>
        <w:tc>
          <w:tcPr>
            <w:tcW w:w="2538" w:type="dxa"/>
            <w:noWrap w:val="0"/>
            <w:vAlign w:val="center"/>
          </w:tcPr>
          <w:p w14:paraId="2D24B8C2">
            <w:pPr>
              <w:spacing w:line="400" w:lineRule="exact"/>
              <w:jc w:val="center"/>
              <w:rPr>
                <w:rFonts w:hint="eastAsia" w:eastAsia="宋体"/>
                <w:sz w:val="24"/>
                <w:lang w:val="en-US" w:eastAsia="zh-CN"/>
              </w:rPr>
            </w:pPr>
            <w:r>
              <w:rPr>
                <w:rFonts w:hint="eastAsia"/>
                <w:sz w:val="24"/>
              </w:rPr>
              <w:t>保安人员工资</w:t>
            </w:r>
          </w:p>
        </w:tc>
        <w:tc>
          <w:tcPr>
            <w:tcW w:w="1356" w:type="dxa"/>
            <w:noWrap w:val="0"/>
            <w:vAlign w:val="center"/>
          </w:tcPr>
          <w:p w14:paraId="06438D65">
            <w:pPr>
              <w:spacing w:line="400" w:lineRule="exact"/>
              <w:jc w:val="center"/>
              <w:rPr>
                <w:rFonts w:hint="eastAsia"/>
                <w:sz w:val="24"/>
                <w:lang w:val="en-US" w:eastAsia="zh-CN"/>
              </w:rPr>
            </w:pPr>
            <w:r>
              <w:rPr>
                <w:rFonts w:hint="eastAsia"/>
                <w:sz w:val="24"/>
                <w:lang w:val="en-US" w:eastAsia="zh-CN"/>
              </w:rPr>
              <w:t>5</w:t>
            </w:r>
            <w:r>
              <w:rPr>
                <w:rFonts w:hint="eastAsia"/>
                <w:sz w:val="24"/>
              </w:rPr>
              <w:t>人</w:t>
            </w:r>
          </w:p>
        </w:tc>
        <w:tc>
          <w:tcPr>
            <w:tcW w:w="1586" w:type="dxa"/>
            <w:noWrap w:val="0"/>
            <w:vAlign w:val="center"/>
          </w:tcPr>
          <w:p w14:paraId="48D30183">
            <w:pPr>
              <w:spacing w:line="400" w:lineRule="exact"/>
              <w:jc w:val="center"/>
              <w:rPr>
                <w:rFonts w:hint="eastAsia"/>
                <w:sz w:val="24"/>
                <w:lang w:val="en-US" w:eastAsia="zh-CN"/>
              </w:rPr>
            </w:pPr>
          </w:p>
        </w:tc>
        <w:tc>
          <w:tcPr>
            <w:tcW w:w="1202" w:type="dxa"/>
            <w:vMerge w:val="restart"/>
            <w:noWrap w:val="0"/>
            <w:vAlign w:val="center"/>
          </w:tcPr>
          <w:p w14:paraId="516D7B89">
            <w:pPr>
              <w:spacing w:line="400" w:lineRule="exact"/>
              <w:jc w:val="center"/>
              <w:rPr>
                <w:rFonts w:hint="default"/>
                <w:sz w:val="24"/>
                <w:lang w:val="en-US" w:eastAsia="zh-CN"/>
              </w:rPr>
            </w:pPr>
            <w:r>
              <w:rPr>
                <w:rFonts w:hint="eastAsia"/>
                <w:sz w:val="24"/>
                <w:lang w:val="en-US" w:eastAsia="zh-CN"/>
              </w:rPr>
              <w:t>3年</w:t>
            </w:r>
          </w:p>
        </w:tc>
        <w:tc>
          <w:tcPr>
            <w:tcW w:w="1688" w:type="dxa"/>
            <w:noWrap w:val="0"/>
            <w:vAlign w:val="center"/>
          </w:tcPr>
          <w:p w14:paraId="6F8E99F9">
            <w:pPr>
              <w:spacing w:line="400" w:lineRule="exact"/>
              <w:jc w:val="center"/>
              <w:rPr>
                <w:sz w:val="24"/>
              </w:rPr>
            </w:pPr>
          </w:p>
        </w:tc>
      </w:tr>
      <w:tr w14:paraId="3E7C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54B742ED">
            <w:pPr>
              <w:spacing w:line="400" w:lineRule="exact"/>
              <w:jc w:val="center"/>
              <w:rPr>
                <w:rFonts w:hint="eastAsia"/>
                <w:sz w:val="24"/>
              </w:rPr>
            </w:pPr>
            <w:r>
              <w:rPr>
                <w:rFonts w:hint="eastAsia"/>
                <w:sz w:val="24"/>
              </w:rPr>
              <w:t>2</w:t>
            </w:r>
          </w:p>
        </w:tc>
        <w:tc>
          <w:tcPr>
            <w:tcW w:w="2538" w:type="dxa"/>
            <w:noWrap w:val="0"/>
            <w:vAlign w:val="center"/>
          </w:tcPr>
          <w:p w14:paraId="2884A8B4">
            <w:pPr>
              <w:spacing w:line="400" w:lineRule="exact"/>
              <w:jc w:val="center"/>
              <w:rPr>
                <w:rFonts w:hint="eastAsia" w:eastAsia="宋体"/>
                <w:sz w:val="24"/>
                <w:lang w:val="en-US" w:eastAsia="zh-CN"/>
              </w:rPr>
            </w:pPr>
            <w:r>
              <w:rPr>
                <w:rFonts w:hint="eastAsia"/>
                <w:sz w:val="24"/>
              </w:rPr>
              <w:t>保洁人员</w:t>
            </w:r>
          </w:p>
        </w:tc>
        <w:tc>
          <w:tcPr>
            <w:tcW w:w="1356" w:type="dxa"/>
            <w:noWrap w:val="0"/>
            <w:vAlign w:val="center"/>
          </w:tcPr>
          <w:p w14:paraId="1AEEBE1F">
            <w:pPr>
              <w:spacing w:line="400" w:lineRule="exact"/>
              <w:jc w:val="center"/>
              <w:rPr>
                <w:rFonts w:hint="eastAsia"/>
                <w:sz w:val="24"/>
                <w:lang w:val="en-US" w:eastAsia="zh-CN"/>
              </w:rPr>
            </w:pPr>
            <w:r>
              <w:rPr>
                <w:rFonts w:hint="eastAsia"/>
                <w:sz w:val="24"/>
                <w:lang w:val="en-US" w:eastAsia="zh-CN"/>
              </w:rPr>
              <w:t>3</w:t>
            </w:r>
            <w:r>
              <w:rPr>
                <w:rFonts w:hint="eastAsia"/>
                <w:sz w:val="24"/>
              </w:rPr>
              <w:t>人</w:t>
            </w:r>
          </w:p>
        </w:tc>
        <w:tc>
          <w:tcPr>
            <w:tcW w:w="1586" w:type="dxa"/>
            <w:noWrap w:val="0"/>
            <w:vAlign w:val="center"/>
          </w:tcPr>
          <w:p w14:paraId="6EA00630">
            <w:pPr>
              <w:spacing w:line="400" w:lineRule="exact"/>
              <w:jc w:val="center"/>
              <w:rPr>
                <w:rFonts w:hint="eastAsia"/>
                <w:sz w:val="24"/>
                <w:lang w:val="en-US" w:eastAsia="zh-CN"/>
              </w:rPr>
            </w:pPr>
          </w:p>
        </w:tc>
        <w:tc>
          <w:tcPr>
            <w:tcW w:w="1202" w:type="dxa"/>
            <w:vMerge w:val="continue"/>
            <w:noWrap w:val="0"/>
            <w:vAlign w:val="center"/>
          </w:tcPr>
          <w:p w14:paraId="4AAE7448">
            <w:pPr>
              <w:spacing w:line="400" w:lineRule="exact"/>
              <w:jc w:val="center"/>
              <w:rPr>
                <w:rFonts w:hint="eastAsia"/>
                <w:sz w:val="24"/>
                <w:lang w:val="en-US" w:eastAsia="zh-CN"/>
              </w:rPr>
            </w:pPr>
          </w:p>
        </w:tc>
        <w:tc>
          <w:tcPr>
            <w:tcW w:w="1688" w:type="dxa"/>
            <w:noWrap w:val="0"/>
            <w:vAlign w:val="center"/>
          </w:tcPr>
          <w:p w14:paraId="57A82BC6">
            <w:pPr>
              <w:spacing w:line="400" w:lineRule="exact"/>
              <w:jc w:val="center"/>
              <w:rPr>
                <w:sz w:val="24"/>
              </w:rPr>
            </w:pPr>
          </w:p>
        </w:tc>
      </w:tr>
      <w:tr w14:paraId="7F2C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46CE41BD">
            <w:pPr>
              <w:spacing w:line="400" w:lineRule="exact"/>
              <w:jc w:val="center"/>
              <w:rPr>
                <w:rFonts w:hint="eastAsia"/>
                <w:sz w:val="24"/>
              </w:rPr>
            </w:pPr>
            <w:r>
              <w:rPr>
                <w:rFonts w:hint="eastAsia"/>
                <w:sz w:val="24"/>
              </w:rPr>
              <w:t>3</w:t>
            </w:r>
          </w:p>
        </w:tc>
        <w:tc>
          <w:tcPr>
            <w:tcW w:w="2538" w:type="dxa"/>
            <w:noWrap w:val="0"/>
            <w:vAlign w:val="center"/>
          </w:tcPr>
          <w:p w14:paraId="5A0767C7">
            <w:pPr>
              <w:spacing w:line="400" w:lineRule="exact"/>
              <w:jc w:val="center"/>
              <w:rPr>
                <w:rFonts w:hint="eastAsia" w:eastAsia="宋体"/>
                <w:sz w:val="24"/>
                <w:lang w:val="en-US" w:eastAsia="zh-CN"/>
              </w:rPr>
            </w:pPr>
            <w:r>
              <w:rPr>
                <w:rFonts w:hint="eastAsia"/>
                <w:sz w:val="24"/>
              </w:rPr>
              <w:t>消控人员</w:t>
            </w:r>
          </w:p>
        </w:tc>
        <w:tc>
          <w:tcPr>
            <w:tcW w:w="1356" w:type="dxa"/>
            <w:noWrap w:val="0"/>
            <w:vAlign w:val="center"/>
          </w:tcPr>
          <w:p w14:paraId="70E14E02">
            <w:pPr>
              <w:spacing w:line="400" w:lineRule="exact"/>
              <w:jc w:val="center"/>
              <w:rPr>
                <w:rFonts w:hint="eastAsia"/>
                <w:sz w:val="24"/>
                <w:lang w:val="en-US" w:eastAsia="zh-CN"/>
              </w:rPr>
            </w:pPr>
            <w:r>
              <w:rPr>
                <w:rFonts w:hint="eastAsia"/>
                <w:sz w:val="24"/>
              </w:rPr>
              <w:t>2人</w:t>
            </w:r>
          </w:p>
        </w:tc>
        <w:tc>
          <w:tcPr>
            <w:tcW w:w="1586" w:type="dxa"/>
            <w:noWrap w:val="0"/>
            <w:vAlign w:val="center"/>
          </w:tcPr>
          <w:p w14:paraId="013B437E">
            <w:pPr>
              <w:spacing w:line="400" w:lineRule="exact"/>
              <w:jc w:val="center"/>
              <w:rPr>
                <w:rFonts w:hint="eastAsia"/>
                <w:sz w:val="24"/>
                <w:lang w:val="en-US" w:eastAsia="zh-CN"/>
              </w:rPr>
            </w:pPr>
          </w:p>
        </w:tc>
        <w:tc>
          <w:tcPr>
            <w:tcW w:w="1202" w:type="dxa"/>
            <w:vMerge w:val="continue"/>
            <w:noWrap w:val="0"/>
            <w:vAlign w:val="center"/>
          </w:tcPr>
          <w:p w14:paraId="5A5F4FA4">
            <w:pPr>
              <w:spacing w:line="400" w:lineRule="exact"/>
              <w:jc w:val="center"/>
              <w:rPr>
                <w:rFonts w:hint="eastAsia"/>
                <w:sz w:val="24"/>
                <w:lang w:val="en-US" w:eastAsia="zh-CN"/>
              </w:rPr>
            </w:pPr>
          </w:p>
        </w:tc>
        <w:tc>
          <w:tcPr>
            <w:tcW w:w="1688" w:type="dxa"/>
            <w:noWrap w:val="0"/>
            <w:vAlign w:val="center"/>
          </w:tcPr>
          <w:p w14:paraId="251D4C1E">
            <w:pPr>
              <w:spacing w:line="400" w:lineRule="exact"/>
              <w:jc w:val="center"/>
              <w:rPr>
                <w:sz w:val="24"/>
              </w:rPr>
            </w:pPr>
          </w:p>
        </w:tc>
      </w:tr>
      <w:tr w14:paraId="5285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02A83323">
            <w:pPr>
              <w:spacing w:line="400" w:lineRule="exact"/>
              <w:jc w:val="center"/>
              <w:rPr>
                <w:rFonts w:hint="eastAsia"/>
                <w:sz w:val="24"/>
              </w:rPr>
            </w:pPr>
            <w:r>
              <w:rPr>
                <w:rFonts w:hint="eastAsia"/>
                <w:sz w:val="24"/>
              </w:rPr>
              <w:t>4</w:t>
            </w:r>
          </w:p>
        </w:tc>
        <w:tc>
          <w:tcPr>
            <w:tcW w:w="2538" w:type="dxa"/>
            <w:noWrap w:val="0"/>
            <w:vAlign w:val="center"/>
          </w:tcPr>
          <w:p w14:paraId="410D8461">
            <w:pPr>
              <w:spacing w:line="400" w:lineRule="exact"/>
              <w:jc w:val="center"/>
              <w:rPr>
                <w:rFonts w:hint="eastAsia" w:eastAsia="宋体"/>
                <w:sz w:val="24"/>
                <w:lang w:val="en-US" w:eastAsia="zh-CN"/>
              </w:rPr>
            </w:pPr>
            <w:r>
              <w:rPr>
                <w:rFonts w:hint="eastAsia"/>
                <w:sz w:val="24"/>
              </w:rPr>
              <w:t>综合维修人员</w:t>
            </w:r>
          </w:p>
        </w:tc>
        <w:tc>
          <w:tcPr>
            <w:tcW w:w="1356" w:type="dxa"/>
            <w:noWrap w:val="0"/>
            <w:vAlign w:val="center"/>
          </w:tcPr>
          <w:p w14:paraId="3B647B18">
            <w:pPr>
              <w:spacing w:line="400" w:lineRule="exact"/>
              <w:jc w:val="center"/>
              <w:rPr>
                <w:rFonts w:hint="eastAsia"/>
                <w:sz w:val="24"/>
                <w:lang w:val="en-US" w:eastAsia="zh-CN"/>
              </w:rPr>
            </w:pPr>
            <w:r>
              <w:rPr>
                <w:rFonts w:hint="eastAsia"/>
                <w:sz w:val="24"/>
                <w:lang w:val="en-US" w:eastAsia="zh-CN"/>
              </w:rPr>
              <w:t>1</w:t>
            </w:r>
            <w:r>
              <w:rPr>
                <w:rFonts w:hint="eastAsia"/>
                <w:sz w:val="24"/>
              </w:rPr>
              <w:t>人</w:t>
            </w:r>
          </w:p>
        </w:tc>
        <w:tc>
          <w:tcPr>
            <w:tcW w:w="1586" w:type="dxa"/>
            <w:noWrap w:val="0"/>
            <w:vAlign w:val="center"/>
          </w:tcPr>
          <w:p w14:paraId="30B5DE1C">
            <w:pPr>
              <w:spacing w:line="400" w:lineRule="exact"/>
              <w:jc w:val="center"/>
              <w:rPr>
                <w:rFonts w:hint="eastAsia"/>
                <w:sz w:val="24"/>
                <w:lang w:val="en-US" w:eastAsia="zh-CN"/>
              </w:rPr>
            </w:pPr>
          </w:p>
        </w:tc>
        <w:tc>
          <w:tcPr>
            <w:tcW w:w="1202" w:type="dxa"/>
            <w:vMerge w:val="continue"/>
            <w:noWrap w:val="0"/>
            <w:vAlign w:val="center"/>
          </w:tcPr>
          <w:p w14:paraId="51AF8419">
            <w:pPr>
              <w:spacing w:line="400" w:lineRule="exact"/>
              <w:jc w:val="center"/>
              <w:rPr>
                <w:rFonts w:hint="eastAsia"/>
                <w:sz w:val="24"/>
                <w:lang w:val="en-US" w:eastAsia="zh-CN"/>
              </w:rPr>
            </w:pPr>
          </w:p>
        </w:tc>
        <w:tc>
          <w:tcPr>
            <w:tcW w:w="1688" w:type="dxa"/>
            <w:noWrap w:val="0"/>
            <w:vAlign w:val="center"/>
          </w:tcPr>
          <w:p w14:paraId="1CC052A0">
            <w:pPr>
              <w:spacing w:line="400" w:lineRule="exact"/>
              <w:jc w:val="center"/>
              <w:rPr>
                <w:sz w:val="24"/>
              </w:rPr>
            </w:pPr>
          </w:p>
        </w:tc>
      </w:tr>
      <w:tr w14:paraId="26C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412903FA">
            <w:pPr>
              <w:spacing w:line="400" w:lineRule="exact"/>
              <w:jc w:val="center"/>
              <w:rPr>
                <w:rFonts w:hint="eastAsia" w:eastAsia="宋体"/>
                <w:sz w:val="24"/>
                <w:lang w:eastAsia="zh-CN"/>
              </w:rPr>
            </w:pPr>
            <w:r>
              <w:rPr>
                <w:rFonts w:hint="eastAsia"/>
                <w:sz w:val="24"/>
                <w:lang w:val="en-US" w:eastAsia="zh-CN"/>
              </w:rPr>
              <w:t>5</w:t>
            </w:r>
          </w:p>
        </w:tc>
        <w:tc>
          <w:tcPr>
            <w:tcW w:w="2538" w:type="dxa"/>
            <w:noWrap w:val="0"/>
            <w:vAlign w:val="center"/>
          </w:tcPr>
          <w:p w14:paraId="06E19B4A">
            <w:pPr>
              <w:spacing w:line="400" w:lineRule="exact"/>
              <w:jc w:val="center"/>
              <w:rPr>
                <w:rFonts w:hint="eastAsia" w:eastAsia="宋体"/>
                <w:sz w:val="24"/>
                <w:lang w:val="en-US" w:eastAsia="zh-CN"/>
              </w:rPr>
            </w:pPr>
            <w:r>
              <w:rPr>
                <w:rFonts w:hint="eastAsia"/>
                <w:sz w:val="24"/>
              </w:rPr>
              <w:t>客服</w:t>
            </w:r>
          </w:p>
        </w:tc>
        <w:tc>
          <w:tcPr>
            <w:tcW w:w="1356" w:type="dxa"/>
            <w:noWrap w:val="0"/>
            <w:vAlign w:val="center"/>
          </w:tcPr>
          <w:p w14:paraId="52F72F48">
            <w:pPr>
              <w:spacing w:line="400" w:lineRule="exact"/>
              <w:jc w:val="center"/>
              <w:rPr>
                <w:rFonts w:hint="eastAsia"/>
                <w:sz w:val="24"/>
                <w:lang w:val="en-US" w:eastAsia="zh-CN"/>
              </w:rPr>
            </w:pPr>
            <w:r>
              <w:rPr>
                <w:rFonts w:hint="eastAsia"/>
                <w:sz w:val="24"/>
              </w:rPr>
              <w:t>1人</w:t>
            </w:r>
          </w:p>
        </w:tc>
        <w:tc>
          <w:tcPr>
            <w:tcW w:w="1586" w:type="dxa"/>
            <w:noWrap w:val="0"/>
            <w:vAlign w:val="center"/>
          </w:tcPr>
          <w:p w14:paraId="05AE92B7">
            <w:pPr>
              <w:spacing w:line="400" w:lineRule="exact"/>
              <w:jc w:val="center"/>
              <w:rPr>
                <w:rFonts w:hint="eastAsia"/>
                <w:sz w:val="24"/>
                <w:lang w:val="en-US" w:eastAsia="zh-CN"/>
              </w:rPr>
            </w:pPr>
          </w:p>
        </w:tc>
        <w:tc>
          <w:tcPr>
            <w:tcW w:w="1202" w:type="dxa"/>
            <w:vMerge w:val="continue"/>
            <w:noWrap w:val="0"/>
            <w:vAlign w:val="center"/>
          </w:tcPr>
          <w:p w14:paraId="2DD6023B">
            <w:pPr>
              <w:spacing w:line="400" w:lineRule="exact"/>
              <w:jc w:val="center"/>
              <w:rPr>
                <w:rFonts w:hint="eastAsia"/>
                <w:sz w:val="24"/>
                <w:lang w:val="en-US" w:eastAsia="zh-CN"/>
              </w:rPr>
            </w:pPr>
          </w:p>
        </w:tc>
        <w:tc>
          <w:tcPr>
            <w:tcW w:w="1688" w:type="dxa"/>
            <w:noWrap w:val="0"/>
            <w:vAlign w:val="center"/>
          </w:tcPr>
          <w:p w14:paraId="7BDFBB3A">
            <w:pPr>
              <w:spacing w:line="400" w:lineRule="exact"/>
              <w:jc w:val="center"/>
              <w:rPr>
                <w:sz w:val="24"/>
              </w:rPr>
            </w:pPr>
          </w:p>
        </w:tc>
      </w:tr>
      <w:tr w14:paraId="344C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01B9D331">
            <w:pPr>
              <w:spacing w:line="400" w:lineRule="exact"/>
              <w:jc w:val="center"/>
              <w:rPr>
                <w:rFonts w:hint="eastAsia" w:eastAsia="宋体"/>
                <w:sz w:val="24"/>
                <w:lang w:val="en-US" w:eastAsia="zh-CN"/>
              </w:rPr>
            </w:pPr>
            <w:r>
              <w:rPr>
                <w:rFonts w:hint="eastAsia"/>
                <w:sz w:val="24"/>
                <w:lang w:val="en-US" w:eastAsia="zh-CN"/>
              </w:rPr>
              <w:t>6</w:t>
            </w:r>
          </w:p>
        </w:tc>
        <w:tc>
          <w:tcPr>
            <w:tcW w:w="2538" w:type="dxa"/>
            <w:noWrap w:val="0"/>
            <w:vAlign w:val="center"/>
          </w:tcPr>
          <w:p w14:paraId="56FA256B">
            <w:pPr>
              <w:spacing w:line="400" w:lineRule="exact"/>
              <w:jc w:val="center"/>
              <w:rPr>
                <w:rFonts w:hint="eastAsia" w:eastAsia="宋体"/>
                <w:sz w:val="24"/>
                <w:lang w:val="en-US" w:eastAsia="zh-CN"/>
              </w:rPr>
            </w:pPr>
            <w:r>
              <w:rPr>
                <w:rFonts w:hint="eastAsia"/>
                <w:sz w:val="24"/>
              </w:rPr>
              <w:t>项目经理</w:t>
            </w:r>
          </w:p>
        </w:tc>
        <w:tc>
          <w:tcPr>
            <w:tcW w:w="1356" w:type="dxa"/>
            <w:noWrap w:val="0"/>
            <w:vAlign w:val="center"/>
          </w:tcPr>
          <w:p w14:paraId="46C05340">
            <w:pPr>
              <w:spacing w:line="400" w:lineRule="exact"/>
              <w:jc w:val="center"/>
              <w:rPr>
                <w:rFonts w:hint="eastAsia"/>
                <w:sz w:val="24"/>
                <w:lang w:val="en-US" w:eastAsia="zh-CN"/>
              </w:rPr>
            </w:pPr>
            <w:r>
              <w:rPr>
                <w:rFonts w:hint="eastAsia"/>
                <w:sz w:val="24"/>
              </w:rPr>
              <w:t>1人</w:t>
            </w:r>
          </w:p>
        </w:tc>
        <w:tc>
          <w:tcPr>
            <w:tcW w:w="1586" w:type="dxa"/>
            <w:noWrap w:val="0"/>
            <w:vAlign w:val="center"/>
          </w:tcPr>
          <w:p w14:paraId="65072FCD">
            <w:pPr>
              <w:spacing w:line="400" w:lineRule="exact"/>
              <w:jc w:val="center"/>
              <w:rPr>
                <w:rFonts w:hint="eastAsia"/>
                <w:sz w:val="24"/>
                <w:lang w:val="en-US" w:eastAsia="zh-CN"/>
              </w:rPr>
            </w:pPr>
          </w:p>
        </w:tc>
        <w:tc>
          <w:tcPr>
            <w:tcW w:w="1202" w:type="dxa"/>
            <w:vMerge w:val="continue"/>
            <w:noWrap w:val="0"/>
            <w:vAlign w:val="center"/>
          </w:tcPr>
          <w:p w14:paraId="09410F62">
            <w:pPr>
              <w:spacing w:line="400" w:lineRule="exact"/>
              <w:jc w:val="center"/>
              <w:rPr>
                <w:rFonts w:hint="eastAsia"/>
                <w:sz w:val="24"/>
                <w:lang w:val="en-US" w:eastAsia="zh-CN"/>
              </w:rPr>
            </w:pPr>
          </w:p>
        </w:tc>
        <w:tc>
          <w:tcPr>
            <w:tcW w:w="1688" w:type="dxa"/>
            <w:noWrap w:val="0"/>
            <w:vAlign w:val="center"/>
          </w:tcPr>
          <w:p w14:paraId="5ADE4DC2">
            <w:pPr>
              <w:spacing w:line="400" w:lineRule="exact"/>
              <w:jc w:val="center"/>
              <w:rPr>
                <w:sz w:val="24"/>
              </w:rPr>
            </w:pPr>
          </w:p>
        </w:tc>
      </w:tr>
      <w:tr w14:paraId="01AA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3" w:type="dxa"/>
            <w:noWrap w:val="0"/>
            <w:vAlign w:val="center"/>
          </w:tcPr>
          <w:p w14:paraId="78C35824">
            <w:pPr>
              <w:spacing w:line="400" w:lineRule="exact"/>
              <w:jc w:val="center"/>
              <w:rPr>
                <w:rFonts w:hint="default" w:eastAsia="宋体"/>
                <w:sz w:val="24"/>
                <w:highlight w:val="none"/>
                <w:lang w:val="en-US" w:eastAsia="zh-CN"/>
              </w:rPr>
            </w:pPr>
            <w:r>
              <w:rPr>
                <w:rFonts w:hint="eastAsia"/>
                <w:sz w:val="24"/>
                <w:highlight w:val="none"/>
                <w:lang w:val="en-US" w:eastAsia="zh-CN"/>
              </w:rPr>
              <w:t>7</w:t>
            </w:r>
          </w:p>
        </w:tc>
        <w:tc>
          <w:tcPr>
            <w:tcW w:w="2538" w:type="dxa"/>
            <w:noWrap w:val="0"/>
            <w:vAlign w:val="center"/>
          </w:tcPr>
          <w:p w14:paraId="086E8C78">
            <w:pPr>
              <w:spacing w:line="400" w:lineRule="exact"/>
              <w:jc w:val="center"/>
              <w:rPr>
                <w:rFonts w:hint="default" w:eastAsia="宋体"/>
                <w:sz w:val="24"/>
                <w:highlight w:val="none"/>
                <w:lang w:val="en-US" w:eastAsia="zh-CN"/>
              </w:rPr>
            </w:pPr>
            <w:r>
              <w:rPr>
                <w:rFonts w:hint="eastAsia"/>
                <w:sz w:val="24"/>
                <w:highlight w:val="none"/>
                <w:lang w:val="en-US" w:eastAsia="zh-CN"/>
              </w:rPr>
              <w:t>垃圾清运</w:t>
            </w:r>
          </w:p>
        </w:tc>
        <w:tc>
          <w:tcPr>
            <w:tcW w:w="1356" w:type="dxa"/>
            <w:noWrap w:val="0"/>
            <w:vAlign w:val="center"/>
          </w:tcPr>
          <w:p w14:paraId="2CD78DE0">
            <w:pPr>
              <w:spacing w:line="400" w:lineRule="exact"/>
              <w:jc w:val="center"/>
              <w:rPr>
                <w:rFonts w:hint="default"/>
                <w:sz w:val="24"/>
                <w:highlight w:val="none"/>
                <w:lang w:val="en-US" w:eastAsia="zh-CN"/>
              </w:rPr>
            </w:pPr>
            <w:r>
              <w:rPr>
                <w:rFonts w:hint="eastAsia"/>
                <w:sz w:val="24"/>
                <w:highlight w:val="none"/>
                <w:lang w:val="en-US" w:eastAsia="zh-CN"/>
              </w:rPr>
              <w:t>638户</w:t>
            </w:r>
          </w:p>
        </w:tc>
        <w:tc>
          <w:tcPr>
            <w:tcW w:w="1586" w:type="dxa"/>
            <w:noWrap w:val="0"/>
            <w:vAlign w:val="center"/>
          </w:tcPr>
          <w:p w14:paraId="42CE6B3E">
            <w:pPr>
              <w:spacing w:line="400" w:lineRule="exact"/>
              <w:jc w:val="center"/>
              <w:rPr>
                <w:rFonts w:hint="default"/>
                <w:sz w:val="24"/>
                <w:highlight w:val="none"/>
                <w:lang w:val="en-US" w:eastAsia="zh-CN"/>
              </w:rPr>
            </w:pPr>
            <w:r>
              <w:rPr>
                <w:rFonts w:hint="eastAsia"/>
                <w:sz w:val="24"/>
                <w:highlight w:val="none"/>
                <w:lang w:val="en-US" w:eastAsia="zh-CN"/>
              </w:rPr>
              <w:t>24元/户/年</w:t>
            </w:r>
          </w:p>
        </w:tc>
        <w:tc>
          <w:tcPr>
            <w:tcW w:w="1202" w:type="dxa"/>
            <w:vMerge w:val="continue"/>
            <w:noWrap w:val="0"/>
            <w:vAlign w:val="center"/>
          </w:tcPr>
          <w:p w14:paraId="6FFC41B5">
            <w:pPr>
              <w:spacing w:line="400" w:lineRule="exact"/>
              <w:jc w:val="center"/>
              <w:rPr>
                <w:rFonts w:hint="eastAsia"/>
                <w:sz w:val="24"/>
                <w:highlight w:val="none"/>
                <w:lang w:val="en-US" w:eastAsia="zh-CN"/>
              </w:rPr>
            </w:pPr>
          </w:p>
        </w:tc>
        <w:tc>
          <w:tcPr>
            <w:tcW w:w="1688" w:type="dxa"/>
            <w:noWrap w:val="0"/>
            <w:vAlign w:val="center"/>
          </w:tcPr>
          <w:p w14:paraId="4DA97101">
            <w:pPr>
              <w:spacing w:line="400" w:lineRule="exact"/>
              <w:jc w:val="center"/>
              <w:rPr>
                <w:rFonts w:hint="default" w:eastAsia="宋体"/>
                <w:sz w:val="24"/>
                <w:highlight w:val="none"/>
                <w:lang w:val="en-US" w:eastAsia="zh-CN"/>
              </w:rPr>
            </w:pPr>
            <w:r>
              <w:rPr>
                <w:rFonts w:hint="eastAsia" w:eastAsia="宋体"/>
                <w:sz w:val="24"/>
                <w:highlight w:val="none"/>
                <w:lang w:val="en-US" w:eastAsia="zh-CN"/>
              </w:rPr>
              <w:t>45936</w:t>
            </w:r>
          </w:p>
        </w:tc>
      </w:tr>
      <w:tr w14:paraId="7CD1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top"/>
          </w:tcPr>
          <w:p w14:paraId="4685CE4B">
            <w:pPr>
              <w:spacing w:line="400" w:lineRule="exact"/>
              <w:jc w:val="center"/>
              <w:rPr>
                <w:rFonts w:hint="default" w:eastAsia="仿宋"/>
                <w:sz w:val="24"/>
                <w:lang w:val="en-US" w:eastAsia="zh-CN"/>
              </w:rPr>
            </w:pPr>
            <w:r>
              <w:rPr>
                <w:rFonts w:hint="eastAsia"/>
                <w:sz w:val="24"/>
                <w:lang w:val="en-US" w:eastAsia="zh-CN"/>
              </w:rPr>
              <w:t>8</w:t>
            </w:r>
          </w:p>
        </w:tc>
        <w:tc>
          <w:tcPr>
            <w:tcW w:w="2538" w:type="dxa"/>
            <w:noWrap w:val="0"/>
            <w:vAlign w:val="top"/>
          </w:tcPr>
          <w:p w14:paraId="43252719">
            <w:pPr>
              <w:spacing w:line="400" w:lineRule="exact"/>
              <w:jc w:val="center"/>
              <w:rPr>
                <w:rFonts w:hint="eastAsia"/>
                <w:sz w:val="24"/>
                <w:lang w:val="en-US" w:eastAsia="zh-CN"/>
              </w:rPr>
            </w:pPr>
            <w:r>
              <w:rPr>
                <w:rFonts w:hint="eastAsia"/>
                <w:sz w:val="24"/>
                <w:lang w:val="en-US" w:eastAsia="zh-CN"/>
              </w:rPr>
              <w:t>……</w:t>
            </w:r>
          </w:p>
          <w:p w14:paraId="7E9C8A1E">
            <w:pPr>
              <w:spacing w:line="400" w:lineRule="exact"/>
              <w:jc w:val="center"/>
              <w:rPr>
                <w:rFonts w:hint="default" w:eastAsia="仿宋"/>
                <w:sz w:val="24"/>
                <w:lang w:val="en-US" w:eastAsia="zh-CN"/>
              </w:rPr>
            </w:pPr>
            <w:r>
              <w:rPr>
                <w:rFonts w:hint="eastAsia"/>
                <w:sz w:val="24"/>
                <w:lang w:val="en-US" w:eastAsia="zh-CN"/>
              </w:rPr>
              <w:t>（其他投标人认为需单列的报价）</w:t>
            </w:r>
          </w:p>
        </w:tc>
        <w:tc>
          <w:tcPr>
            <w:tcW w:w="5832" w:type="dxa"/>
            <w:gridSpan w:val="4"/>
            <w:noWrap w:val="0"/>
            <w:vAlign w:val="center"/>
          </w:tcPr>
          <w:p w14:paraId="0111A2AF">
            <w:pPr>
              <w:spacing w:line="400" w:lineRule="exact"/>
              <w:jc w:val="center"/>
              <w:rPr>
                <w:rFonts w:hint="eastAsia"/>
                <w:sz w:val="24"/>
                <w:lang w:val="en-US" w:eastAsia="zh-CN"/>
              </w:rPr>
            </w:pPr>
            <w:r>
              <w:rPr>
                <w:rFonts w:hint="eastAsia"/>
                <w:sz w:val="24"/>
                <w:lang w:val="en-US" w:eastAsia="zh-CN"/>
              </w:rPr>
              <w:t>（如有其他费用，投标人另行增加）</w:t>
            </w:r>
          </w:p>
        </w:tc>
      </w:tr>
      <w:tr w14:paraId="3D2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top"/>
          </w:tcPr>
          <w:p w14:paraId="5E613A04">
            <w:pPr>
              <w:spacing w:line="400" w:lineRule="exact"/>
              <w:jc w:val="center"/>
              <w:rPr>
                <w:rFonts w:hint="eastAsia" w:eastAsia="仿宋"/>
                <w:sz w:val="24"/>
                <w:lang w:val="en-US" w:eastAsia="zh-CN"/>
              </w:rPr>
            </w:pPr>
            <w:r>
              <w:rPr>
                <w:rFonts w:hint="eastAsia"/>
                <w:sz w:val="24"/>
                <w:lang w:val="en-US" w:eastAsia="zh-CN"/>
              </w:rPr>
              <w:t>9</w:t>
            </w:r>
          </w:p>
        </w:tc>
        <w:tc>
          <w:tcPr>
            <w:tcW w:w="2538" w:type="dxa"/>
            <w:noWrap w:val="0"/>
            <w:vAlign w:val="top"/>
          </w:tcPr>
          <w:p w14:paraId="0A9232F2">
            <w:pPr>
              <w:spacing w:line="400" w:lineRule="exact"/>
              <w:rPr>
                <w:rFonts w:hint="eastAsia" w:eastAsia="仿宋"/>
                <w:sz w:val="24"/>
                <w:lang w:eastAsia="zh-CN"/>
              </w:rPr>
            </w:pPr>
            <w:r>
              <w:rPr>
                <w:rFonts w:hint="eastAsia"/>
                <w:sz w:val="24"/>
              </w:rPr>
              <w:t>合计</w:t>
            </w:r>
            <w:r>
              <w:rPr>
                <w:rFonts w:hint="eastAsia"/>
                <w:sz w:val="24"/>
                <w:lang w:eastAsia="zh-CN"/>
              </w:rPr>
              <w:t>（</w:t>
            </w:r>
            <w:r>
              <w:rPr>
                <w:rFonts w:hint="eastAsia"/>
                <w:sz w:val="24"/>
                <w:lang w:val="en-US" w:eastAsia="zh-CN"/>
              </w:rPr>
              <w:t>投标总价</w:t>
            </w:r>
            <w:r>
              <w:rPr>
                <w:rFonts w:hint="eastAsia"/>
                <w:sz w:val="24"/>
                <w:lang w:eastAsia="zh-CN"/>
              </w:rPr>
              <w:t>）</w:t>
            </w:r>
          </w:p>
        </w:tc>
        <w:tc>
          <w:tcPr>
            <w:tcW w:w="5832" w:type="dxa"/>
            <w:gridSpan w:val="4"/>
            <w:noWrap w:val="0"/>
            <w:vAlign w:val="center"/>
          </w:tcPr>
          <w:p w14:paraId="2EE51443">
            <w:pPr>
              <w:spacing w:line="400" w:lineRule="exact"/>
              <w:jc w:val="center"/>
              <w:rPr>
                <w:rFonts w:hint="eastAsia" w:eastAsia="仿宋"/>
                <w:sz w:val="24"/>
                <w:lang w:val="en-US" w:eastAsia="zh-CN"/>
              </w:rPr>
            </w:pPr>
            <w:r>
              <w:rPr>
                <w:rFonts w:hint="eastAsia"/>
                <w:sz w:val="24"/>
                <w:lang w:val="en-US" w:eastAsia="zh-CN"/>
              </w:rPr>
              <w:t xml:space="preserve">  元</w:t>
            </w:r>
          </w:p>
        </w:tc>
      </w:tr>
    </w:tbl>
    <w:p w14:paraId="6DC09785">
      <w:pPr>
        <w:spacing w:before="156" w:line="360" w:lineRule="auto"/>
        <w:ind w:right="-934" w:rightChars="-389"/>
        <w:rPr>
          <w:rFonts w:hint="eastAsia" w:ascii="仿宋" w:hAnsi="仿宋" w:cs="仿宋"/>
          <w:color w:val="auto"/>
          <w:spacing w:val="-6"/>
          <w:szCs w:val="22"/>
          <w:highlight w:val="none"/>
        </w:rPr>
      </w:pPr>
      <w:r>
        <w:rPr>
          <w:rFonts w:hint="eastAsia" w:cs="仿宋"/>
          <w:color w:val="auto"/>
          <w:spacing w:val="-6"/>
          <w:szCs w:val="22"/>
          <w:highlight w:val="none"/>
          <w:lang w:val="en-US" w:eastAsia="zh-CN"/>
        </w:rPr>
        <w:t>注：</w:t>
      </w:r>
      <w:r>
        <w:rPr>
          <w:rFonts w:hint="eastAsia" w:ascii="仿宋" w:hAnsi="仿宋" w:cs="仿宋"/>
          <w:color w:val="auto"/>
          <w:spacing w:val="-6"/>
          <w:szCs w:val="22"/>
          <w:highlight w:val="none"/>
        </w:rPr>
        <w:t>▲垃圾清运费用单项明细为固定报价，投标人有其他报价的视为无效响应。。</w:t>
      </w:r>
    </w:p>
    <w:p w14:paraId="196E0A3B">
      <w:pPr>
        <w:snapToGrid w:val="0"/>
        <w:spacing w:before="156"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CA8110E">
      <w:pPr>
        <w:snapToGrid w:val="0"/>
        <w:spacing w:before="156" w:line="360" w:lineRule="auto"/>
        <w:ind w:firstLine="480"/>
        <w:rPr>
          <w:rFonts w:hint="eastAsia" w:ascii="仿宋_GB2312" w:hAnsi="宋体" w:eastAsia="仿宋_GB2312"/>
          <w:b/>
          <w:color w:val="auto"/>
          <w:sz w:val="30"/>
          <w:szCs w:val="30"/>
          <w:highlight w:val="none"/>
        </w:rPr>
        <w:sectPr>
          <w:headerReference r:id="rId17" w:type="default"/>
          <w:footerReference r:id="rId18" w:type="default"/>
          <w:pgSz w:w="11905" w:h="16838"/>
          <w:pgMar w:top="1247" w:right="1417" w:bottom="1247" w:left="1587" w:header="851" w:footer="992" w:gutter="0"/>
          <w:pgBorders w:offsetFrom="page">
            <w:top w:val="none" w:sz="0" w:space="0"/>
            <w:left w:val="none" w:sz="0" w:space="0"/>
            <w:bottom w:val="none" w:sz="0" w:space="0"/>
            <w:right w:val="none" w:sz="0" w:space="0"/>
          </w:pgBorders>
          <w:cols w:space="720" w:num="1"/>
          <w:rtlGutter w:val="0"/>
          <w:docGrid w:type="lines" w:linePitch="329" w:charSpace="0"/>
        </w:sect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807DF18">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附件</w:t>
      </w:r>
      <w:r>
        <w:rPr>
          <w:rFonts w:hint="eastAsia"/>
          <w:b/>
          <w:color w:val="auto"/>
          <w:sz w:val="32"/>
          <w:szCs w:val="32"/>
          <w:highlight w:val="none"/>
          <w:lang w:val="en-US" w:eastAsia="zh-CN"/>
        </w:rPr>
        <w:t>1</w:t>
      </w:r>
    </w:p>
    <w:p w14:paraId="612D9B20">
      <w:pPr>
        <w:pStyle w:val="38"/>
        <w:pageBreakBefore w:val="0"/>
        <w:kinsoku/>
        <w:bidi w:val="0"/>
        <w:spacing w:beforeAutospacing="0" w:afterAutospacing="0" w:line="440" w:lineRule="exact"/>
        <w:ind w:firstLine="0"/>
        <w:rPr>
          <w:rFonts w:hint="eastAsia" w:ascii="仿宋_GB2312" w:hAnsi="仿宋" w:eastAsia="仿宋_GB2312"/>
          <w:b/>
          <w:color w:val="auto"/>
          <w:spacing w:val="0"/>
          <w:sz w:val="32"/>
          <w:szCs w:val="32"/>
          <w:highlight w:val="none"/>
        </w:rPr>
      </w:pPr>
    </w:p>
    <w:p w14:paraId="19271D9B">
      <w:pPr>
        <w:pStyle w:val="38"/>
        <w:pageBreakBefore w:val="0"/>
        <w:kinsoku/>
        <w:bidi w:val="0"/>
        <w:spacing w:beforeAutospacing="0" w:afterAutospacing="0"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14:paraId="59486D55">
      <w:pPr>
        <w:pageBreakBefore w:val="0"/>
        <w:kinsoku/>
        <w:bidi w:val="0"/>
        <w:spacing w:beforeAutospacing="0" w:afterAutospacing="0" w:line="440" w:lineRule="exact"/>
        <w:rPr>
          <w:color w:val="auto"/>
          <w:highlight w:val="none"/>
        </w:rPr>
      </w:pPr>
    </w:p>
    <w:p w14:paraId="4ED0D6C0">
      <w:pPr>
        <w:pStyle w:val="107"/>
        <w:pageBreakBefore w:val="0"/>
        <w:kinsoku/>
        <w:bidi w:val="0"/>
        <w:spacing w:before="0" w:beforeAutospacing="0" w:after="0" w:afterAutospacing="0" w:line="440" w:lineRule="exact"/>
        <w:rPr>
          <w:color w:val="auto"/>
          <w:highlight w:val="none"/>
        </w:rPr>
      </w:pPr>
    </w:p>
    <w:p w14:paraId="2ABB778E">
      <w:pPr>
        <w:pageBreakBefore w:val="0"/>
        <w:kinsoku/>
        <w:bidi w:val="0"/>
        <w:spacing w:beforeAutospacing="0" w:afterAutospacing="0" w:line="440" w:lineRule="exact"/>
        <w:jc w:val="center"/>
        <w:rPr>
          <w:color w:val="auto"/>
          <w:highlight w:val="none"/>
        </w:rPr>
      </w:pPr>
      <w:r>
        <w:rPr>
          <w:rFonts w:hint="eastAsia"/>
          <w:color w:val="auto"/>
          <w:highlight w:val="none"/>
        </w:rPr>
        <w:t>关于XXX项目公开招标的询问函</w:t>
      </w:r>
    </w:p>
    <w:p w14:paraId="2FCA0F1E">
      <w:pPr>
        <w:pageBreakBefore w:val="0"/>
        <w:kinsoku/>
        <w:bidi w:val="0"/>
        <w:snapToGrid w:val="0"/>
        <w:spacing w:beforeAutospacing="0" w:afterAutospacing="0" w:line="440" w:lineRule="exact"/>
        <w:ind w:firstLine="480" w:firstLineChars="200"/>
        <w:rPr>
          <w:color w:val="auto"/>
          <w:highlight w:val="none"/>
        </w:rPr>
      </w:pPr>
    </w:p>
    <w:p w14:paraId="7CA11CB2">
      <w:pPr>
        <w:pageBreakBefore w:val="0"/>
        <w:kinsoku/>
        <w:bidi w:val="0"/>
        <w:snapToGrid w:val="0"/>
        <w:spacing w:beforeAutospacing="0" w:afterAutospacing="0" w:line="440" w:lineRule="exact"/>
        <w:ind w:firstLine="480" w:firstLineChars="200"/>
        <w:rPr>
          <w:rFonts w:hint="eastAsia"/>
          <w:color w:val="auto"/>
          <w:highlight w:val="none"/>
        </w:rPr>
      </w:pPr>
    </w:p>
    <w:p w14:paraId="1362334D">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关于</w:t>
      </w:r>
      <w:r>
        <w:rPr>
          <w:rFonts w:hint="eastAsia"/>
          <w:color w:val="auto"/>
          <w:highlight w:val="none"/>
          <w:lang w:eastAsia="zh-CN"/>
        </w:rPr>
        <w:t>新登镇台诚塔山府（塔山花园）安置房物业服务采购项目</w:t>
      </w:r>
      <w:r>
        <w:rPr>
          <w:rFonts w:hint="eastAsia"/>
          <w:color w:val="auto"/>
          <w:highlight w:val="none"/>
        </w:rPr>
        <w:t>（项目编号）（项目标项）我公司有以下几点疑问：</w:t>
      </w:r>
    </w:p>
    <w:p w14:paraId="66158726">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14:paraId="05262E49">
      <w:pPr>
        <w:pageBreakBefore w:val="0"/>
        <w:kinsoku/>
        <w:bidi w:val="0"/>
        <w:snapToGrid w:val="0"/>
        <w:spacing w:beforeAutospacing="0" w:afterAutospacing="0" w:line="440" w:lineRule="exact"/>
        <w:ind w:firstLine="480" w:firstLineChars="200"/>
        <w:rPr>
          <w:color w:val="auto"/>
          <w:highlight w:val="none"/>
        </w:rPr>
      </w:pPr>
      <w:r>
        <w:rPr>
          <w:rFonts w:hint="eastAsia"/>
          <w:color w:val="auto"/>
          <w:highlight w:val="none"/>
        </w:rPr>
        <w:t>询问事项二：  ...</w:t>
      </w:r>
    </w:p>
    <w:p w14:paraId="5DCA061F">
      <w:pPr>
        <w:pageBreakBefore w:val="0"/>
        <w:kinsoku/>
        <w:bidi w:val="0"/>
        <w:spacing w:beforeAutospacing="0" w:afterAutospacing="0" w:line="440" w:lineRule="exact"/>
        <w:rPr>
          <w:color w:val="auto"/>
          <w:highlight w:val="none"/>
        </w:rPr>
      </w:pPr>
    </w:p>
    <w:p w14:paraId="3CAE7270">
      <w:pPr>
        <w:pStyle w:val="5"/>
        <w:pageBreakBefore w:val="0"/>
        <w:kinsoku/>
        <w:bidi w:val="0"/>
        <w:spacing w:before="0" w:beforeAutospacing="0" w:after="0" w:afterAutospacing="0" w:line="440" w:lineRule="exact"/>
        <w:rPr>
          <w:color w:val="auto"/>
          <w:highlight w:val="none"/>
        </w:rPr>
      </w:pPr>
    </w:p>
    <w:p w14:paraId="4C1CEA93">
      <w:pPr>
        <w:pStyle w:val="38"/>
        <w:pageBreakBefore w:val="0"/>
        <w:kinsoku/>
        <w:bidi w:val="0"/>
        <w:spacing w:beforeAutospacing="0" w:afterAutospacing="0" w:line="440" w:lineRule="exact"/>
        <w:rPr>
          <w:rFonts w:ascii="仿宋" w:hAnsi="仿宋"/>
          <w:color w:val="auto"/>
          <w:sz w:val="24"/>
          <w:highlight w:val="none"/>
        </w:rPr>
      </w:pPr>
    </w:p>
    <w:p w14:paraId="401D25FB">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供应商全称（盖章）：              </w:t>
      </w:r>
    </w:p>
    <w:p w14:paraId="4BAF9452">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法定代表人（签名或签章）：                                                </w:t>
      </w:r>
    </w:p>
    <w:p w14:paraId="61FE2CA0">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授权代表（签名）：                                           </w:t>
      </w:r>
    </w:p>
    <w:p w14:paraId="6BA45B69">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联系电话（手机）：                  </w:t>
      </w:r>
    </w:p>
    <w:p w14:paraId="3415F010">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电子邮箱：                        </w:t>
      </w:r>
    </w:p>
    <w:p w14:paraId="04CF3CE5">
      <w:pPr>
        <w:pageBreakBefore w:val="0"/>
        <w:kinsoku/>
        <w:bidi w:val="0"/>
        <w:spacing w:beforeAutospacing="0" w:afterAutospacing="0" w:line="440" w:lineRule="exact"/>
        <w:ind w:firstLine="4535"/>
        <w:rPr>
          <w:color w:val="auto"/>
          <w:highlight w:val="none"/>
        </w:rPr>
      </w:pPr>
      <w:r>
        <w:rPr>
          <w:rFonts w:hint="eastAsia"/>
          <w:color w:val="auto"/>
          <w:highlight w:val="none"/>
        </w:rPr>
        <w:t xml:space="preserve">询问日期：                        </w:t>
      </w:r>
    </w:p>
    <w:p w14:paraId="0BE50DED">
      <w:pPr>
        <w:pageBreakBefore w:val="0"/>
        <w:kinsoku/>
        <w:bidi w:val="0"/>
        <w:spacing w:beforeAutospacing="0" w:afterAutospacing="0" w:line="440" w:lineRule="exact"/>
        <w:rPr>
          <w:color w:val="auto"/>
          <w:highlight w:val="none"/>
        </w:rPr>
      </w:pPr>
      <w:r>
        <w:rPr>
          <w:rFonts w:hint="eastAsia"/>
          <w:color w:val="auto"/>
          <w:highlight w:val="none"/>
        </w:rPr>
        <w:t xml:space="preserve"> </w:t>
      </w:r>
    </w:p>
    <w:p w14:paraId="5A400B0A">
      <w:pPr>
        <w:pageBreakBefore w:val="0"/>
        <w:kinsoku/>
        <w:bidi w:val="0"/>
        <w:spacing w:beforeAutospacing="0" w:afterAutospacing="0" w:line="440" w:lineRule="exact"/>
        <w:rPr>
          <w:color w:val="auto"/>
          <w:highlight w:val="none"/>
        </w:rPr>
      </w:pPr>
    </w:p>
    <w:p w14:paraId="016B3870">
      <w:pPr>
        <w:pageBreakBefore w:val="0"/>
        <w:kinsoku/>
        <w:bidi w:val="0"/>
        <w:adjustRightInd w:val="0"/>
        <w:snapToGrid w:val="0"/>
        <w:spacing w:beforeAutospacing="0" w:afterAutospacing="0" w:line="440" w:lineRule="exact"/>
        <w:jc w:val="center"/>
        <w:rPr>
          <w:color w:val="auto"/>
          <w:highlight w:val="none"/>
        </w:rPr>
      </w:pPr>
    </w:p>
    <w:p w14:paraId="022C3641">
      <w:pPr>
        <w:pStyle w:val="107"/>
        <w:pageBreakBefore w:val="0"/>
        <w:kinsoku/>
        <w:bidi w:val="0"/>
        <w:spacing w:before="0" w:beforeAutospacing="0" w:after="0" w:afterAutospacing="0" w:line="440" w:lineRule="exact"/>
        <w:rPr>
          <w:rFonts w:ascii="仿宋" w:hAnsi="仿宋"/>
          <w:color w:val="auto"/>
          <w:highlight w:val="none"/>
        </w:rPr>
      </w:pPr>
    </w:p>
    <w:p w14:paraId="5FEE612C">
      <w:pPr>
        <w:pageBreakBefore w:val="0"/>
        <w:kinsoku/>
        <w:bidi w:val="0"/>
        <w:spacing w:beforeAutospacing="0" w:afterAutospacing="0" w:line="440" w:lineRule="exact"/>
        <w:rPr>
          <w:color w:val="auto"/>
          <w:highlight w:val="none"/>
        </w:rPr>
      </w:pPr>
    </w:p>
    <w:p w14:paraId="6E1C0DA5">
      <w:pPr>
        <w:pStyle w:val="106"/>
        <w:rPr>
          <w:color w:val="auto"/>
          <w:highlight w:val="none"/>
        </w:rPr>
      </w:pPr>
    </w:p>
    <w:p w14:paraId="2C704638">
      <w:pPr>
        <w:rPr>
          <w:color w:val="auto"/>
          <w:highlight w:val="none"/>
        </w:rPr>
      </w:pPr>
    </w:p>
    <w:p w14:paraId="7D386C97">
      <w:pPr>
        <w:pStyle w:val="106"/>
        <w:rPr>
          <w:color w:val="auto"/>
          <w:highlight w:val="none"/>
        </w:rPr>
      </w:pPr>
    </w:p>
    <w:p w14:paraId="53BF06C1">
      <w:pPr>
        <w:rPr>
          <w:color w:val="auto"/>
          <w:highlight w:val="none"/>
        </w:rPr>
      </w:pPr>
    </w:p>
    <w:p w14:paraId="51E0A3F9">
      <w:pPr>
        <w:pageBreakBefore w:val="0"/>
        <w:kinsoku/>
        <w:bidi w:val="0"/>
        <w:spacing w:beforeAutospacing="0" w:afterAutospacing="0" w:line="440" w:lineRule="exact"/>
        <w:rPr>
          <w:color w:val="auto"/>
          <w:highlight w:val="none"/>
        </w:rPr>
      </w:pPr>
    </w:p>
    <w:p w14:paraId="24670BCC">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件2</w:t>
      </w:r>
    </w:p>
    <w:p w14:paraId="252ABB5D">
      <w:pPr>
        <w:pStyle w:val="88"/>
        <w:pageBreakBefore w:val="0"/>
        <w:kinsoku/>
        <w:bidi w:val="0"/>
        <w:spacing w:beforeAutospacing="0" w:after="0" w:afterAutospacing="0" w:line="440" w:lineRule="exact"/>
        <w:ind w:left="480"/>
        <w:rPr>
          <w:color w:val="auto"/>
          <w:highlight w:val="none"/>
        </w:rPr>
      </w:pPr>
    </w:p>
    <w:p w14:paraId="16DA44C4">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质疑函范本及制作说明</w:t>
      </w:r>
    </w:p>
    <w:p w14:paraId="7B8B698A">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质疑函范本</w:t>
      </w:r>
    </w:p>
    <w:p w14:paraId="50AB049C">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一、质疑供应商基本信息</w:t>
      </w:r>
    </w:p>
    <w:p w14:paraId="2048A635">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质疑供应商：</w:t>
      </w:r>
      <w:r>
        <w:rPr>
          <w:rFonts w:hint="eastAsia" w:ascii="仿宋_GB2312" w:hAnsi="仿宋" w:eastAsia="仿宋_GB2312" w:cs="仿宋"/>
          <w:color w:val="auto"/>
          <w:sz w:val="24"/>
          <w:szCs w:val="24"/>
          <w:highlight w:val="none"/>
          <w:u w:val="dotted"/>
        </w:rPr>
        <w:t xml:space="preserve">                                        </w:t>
      </w:r>
    </w:p>
    <w:p w14:paraId="40DFEE69">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地址：</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14:paraId="62A541DD">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联系人：</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p>
    <w:p w14:paraId="69132298">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授权代表：</w:t>
      </w:r>
      <w:r>
        <w:rPr>
          <w:rFonts w:hint="eastAsia" w:ascii="仿宋_GB2312" w:hAnsi="仿宋" w:eastAsia="仿宋_GB2312" w:cs="仿宋"/>
          <w:color w:val="auto"/>
          <w:sz w:val="24"/>
          <w:szCs w:val="24"/>
          <w:highlight w:val="none"/>
          <w:u w:val="dotted"/>
        </w:rPr>
        <w:t xml:space="preserve">                                          </w:t>
      </w:r>
    </w:p>
    <w:p w14:paraId="22E33BAF">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联系电话：</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 xml:space="preserve"> </w:t>
      </w:r>
    </w:p>
    <w:p w14:paraId="513741CE">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地址： </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邮编：</w:t>
      </w:r>
      <w:r>
        <w:rPr>
          <w:rFonts w:hint="eastAsia" w:ascii="仿宋_GB2312" w:hAnsi="仿宋" w:eastAsia="仿宋_GB2312" w:cs="仿宋"/>
          <w:color w:val="auto"/>
          <w:sz w:val="24"/>
          <w:szCs w:val="24"/>
          <w:highlight w:val="none"/>
          <w:u w:val="dotted"/>
        </w:rPr>
        <w:t xml:space="preserve">                                                </w:t>
      </w:r>
    </w:p>
    <w:p w14:paraId="18E4606D">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二、质疑项目基本情况</w:t>
      </w:r>
    </w:p>
    <w:p w14:paraId="303C4C96">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质疑项目的名称：</w:t>
      </w:r>
      <w:r>
        <w:rPr>
          <w:rFonts w:hint="eastAsia" w:ascii="仿宋_GB2312" w:hAnsi="仿宋" w:eastAsia="仿宋_GB2312" w:cs="仿宋"/>
          <w:color w:val="auto"/>
          <w:sz w:val="24"/>
          <w:szCs w:val="24"/>
          <w:highlight w:val="none"/>
          <w:u w:val="dotted"/>
        </w:rPr>
        <w:t xml:space="preserve">                                      </w:t>
      </w:r>
    </w:p>
    <w:p w14:paraId="2B6EBD3D">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质疑项目的编号：</w:t>
      </w:r>
      <w:r>
        <w:rPr>
          <w:rFonts w:hint="eastAsia"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包号：</w:t>
      </w:r>
      <w:r>
        <w:rPr>
          <w:rFonts w:hint="eastAsia" w:ascii="仿宋_GB2312" w:hAnsi="仿宋" w:eastAsia="仿宋_GB2312" w:cs="仿宋"/>
          <w:color w:val="auto"/>
          <w:sz w:val="24"/>
          <w:szCs w:val="24"/>
          <w:highlight w:val="none"/>
          <w:u w:val="dotted"/>
        </w:rPr>
        <w:t xml:space="preserve">                 </w:t>
      </w:r>
    </w:p>
    <w:p w14:paraId="109A93BA">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采购人名称：</w:t>
      </w:r>
      <w:r>
        <w:rPr>
          <w:rFonts w:hint="eastAsia" w:ascii="仿宋_GB2312" w:hAnsi="仿宋" w:eastAsia="仿宋_GB2312" w:cs="仿宋"/>
          <w:color w:val="auto"/>
          <w:sz w:val="24"/>
          <w:szCs w:val="24"/>
          <w:highlight w:val="none"/>
          <w:u w:val="dotted"/>
        </w:rPr>
        <w:t xml:space="preserve">                                         </w:t>
      </w:r>
    </w:p>
    <w:p w14:paraId="4498976D">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采购文件获取日期：</w:t>
      </w:r>
      <w:r>
        <w:rPr>
          <w:rFonts w:hint="eastAsia" w:ascii="仿宋_GB2312" w:hAnsi="仿宋" w:eastAsia="仿宋_GB2312" w:cs="仿宋"/>
          <w:color w:val="auto"/>
          <w:sz w:val="24"/>
          <w:szCs w:val="24"/>
          <w:highlight w:val="none"/>
          <w:u w:val="dotted"/>
        </w:rPr>
        <w:t xml:space="preserve">                                           </w:t>
      </w:r>
    </w:p>
    <w:p w14:paraId="48597551">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三、质疑事项具体内容</w:t>
      </w:r>
    </w:p>
    <w:p w14:paraId="4BA97319">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质疑事项1：</w:t>
      </w:r>
      <w:r>
        <w:rPr>
          <w:rFonts w:hint="eastAsia" w:ascii="仿宋_GB2312" w:hAnsi="仿宋" w:eastAsia="仿宋_GB2312" w:cs="仿宋"/>
          <w:color w:val="auto"/>
          <w:sz w:val="24"/>
          <w:szCs w:val="24"/>
          <w:highlight w:val="none"/>
          <w:u w:val="dotted"/>
        </w:rPr>
        <w:t xml:space="preserve">                                         </w:t>
      </w:r>
    </w:p>
    <w:p w14:paraId="6AFDAF97">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事实依据：</w:t>
      </w:r>
      <w:r>
        <w:rPr>
          <w:rFonts w:hint="eastAsia" w:ascii="仿宋_GB2312" w:hAnsi="仿宋" w:eastAsia="仿宋_GB2312" w:cs="仿宋"/>
          <w:color w:val="auto"/>
          <w:sz w:val="24"/>
          <w:szCs w:val="24"/>
          <w:highlight w:val="none"/>
          <w:u w:val="dotted"/>
        </w:rPr>
        <w:t xml:space="preserve">                                          </w:t>
      </w:r>
    </w:p>
    <w:p w14:paraId="439C995C">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u w:val="dotted"/>
        </w:rPr>
        <w:t xml:space="preserve">                                                       </w:t>
      </w:r>
    </w:p>
    <w:p w14:paraId="05E27F3A">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法律依据：</w:t>
      </w:r>
      <w:r>
        <w:rPr>
          <w:rFonts w:hint="eastAsia" w:ascii="仿宋_GB2312" w:hAnsi="仿宋" w:eastAsia="仿宋_GB2312" w:cs="仿宋"/>
          <w:color w:val="auto"/>
          <w:sz w:val="24"/>
          <w:szCs w:val="24"/>
          <w:highlight w:val="none"/>
          <w:u w:val="dotted"/>
        </w:rPr>
        <w:t xml:space="preserve">                                          </w:t>
      </w:r>
    </w:p>
    <w:p w14:paraId="2C283594">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u w:val="dotted"/>
        </w:rPr>
        <w:t xml:space="preserve">                                                     </w:t>
      </w:r>
    </w:p>
    <w:p w14:paraId="7DFDD0B0">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质疑事项2</w:t>
      </w:r>
    </w:p>
    <w:p w14:paraId="2852CE62">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p>
    <w:p w14:paraId="0CAF4635">
      <w:pPr>
        <w:pageBreakBefore w:val="0"/>
        <w:kinsoku/>
        <w:bidi w:val="0"/>
        <w:adjustRightInd w:val="0"/>
        <w:snapToGrid w:val="0"/>
        <w:spacing w:beforeAutospacing="0" w:afterAutospacing="0" w:line="440" w:lineRule="exact"/>
        <w:rPr>
          <w:rFonts w:ascii="仿宋_GB2312" w:hAnsi="仿宋" w:eastAsia="仿宋_GB2312" w:cs="仿宋"/>
          <w:bCs/>
          <w:color w:val="auto"/>
          <w:sz w:val="24"/>
          <w:szCs w:val="24"/>
          <w:highlight w:val="none"/>
        </w:rPr>
      </w:pPr>
      <w:r>
        <w:rPr>
          <w:rFonts w:hint="eastAsia" w:ascii="仿宋_GB2312" w:hAnsi="仿宋" w:eastAsia="仿宋_GB2312" w:cs="仿宋"/>
          <w:bCs/>
          <w:color w:val="auto"/>
          <w:sz w:val="24"/>
          <w:szCs w:val="24"/>
          <w:highlight w:val="none"/>
        </w:rPr>
        <w:t>四、与质疑事项相关的质疑请求</w:t>
      </w:r>
    </w:p>
    <w:p w14:paraId="7E2F5415">
      <w:pPr>
        <w:pageBreakBefore w:val="0"/>
        <w:kinsoku/>
        <w:bidi w:val="0"/>
        <w:adjustRightInd w:val="0"/>
        <w:snapToGrid w:val="0"/>
        <w:spacing w:beforeAutospacing="0" w:afterAutospacing="0" w:line="440" w:lineRule="exact"/>
        <w:rPr>
          <w:rFonts w:ascii="仿宋_GB2312" w:hAnsi="仿宋" w:eastAsia="仿宋_GB2312" w:cs="仿宋"/>
          <w:color w:val="auto"/>
          <w:sz w:val="24"/>
          <w:szCs w:val="24"/>
          <w:highlight w:val="none"/>
          <w:u w:val="dotted"/>
        </w:rPr>
      </w:pPr>
      <w:r>
        <w:rPr>
          <w:rFonts w:hint="eastAsia" w:ascii="仿宋_GB2312" w:hAnsi="仿宋" w:eastAsia="仿宋_GB2312" w:cs="仿宋"/>
          <w:color w:val="auto"/>
          <w:sz w:val="24"/>
          <w:szCs w:val="24"/>
          <w:highlight w:val="none"/>
        </w:rPr>
        <w:t>请求：</w:t>
      </w:r>
      <w:r>
        <w:rPr>
          <w:rFonts w:hint="eastAsia" w:ascii="仿宋_GB2312" w:hAnsi="仿宋" w:eastAsia="仿宋_GB2312" w:cs="仿宋"/>
          <w:color w:val="auto"/>
          <w:sz w:val="24"/>
          <w:szCs w:val="24"/>
          <w:highlight w:val="none"/>
          <w:u w:val="dotted"/>
        </w:rPr>
        <w:t xml:space="preserve">                                               </w:t>
      </w:r>
    </w:p>
    <w:p w14:paraId="4B0EA076">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14:paraId="6E010602">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14:paraId="10162F1F">
      <w:pPr>
        <w:pageBreakBefore w:val="0"/>
        <w:widowControl/>
        <w:kinsoku/>
        <w:bidi w:val="0"/>
        <w:spacing w:beforeAutospacing="0" w:afterAutospacing="0" w:line="440" w:lineRule="exact"/>
        <w:jc w:val="left"/>
        <w:rPr>
          <w:rFonts w:ascii="仿宋_GB2312" w:hAnsi="仿宋" w:eastAsia="仿宋_GB2312" w:cs="Times New Roman"/>
          <w:b/>
          <w:color w:val="auto"/>
          <w:sz w:val="24"/>
          <w:szCs w:val="24"/>
          <w:highlight w:val="none"/>
        </w:rPr>
      </w:pPr>
      <w:r>
        <w:rPr>
          <w:rFonts w:ascii="仿宋_GB2312" w:hAnsi="仿宋" w:eastAsia="仿宋_GB2312" w:cs="Times New Roman"/>
          <w:b/>
          <w:color w:val="auto"/>
          <w:sz w:val="24"/>
          <w:szCs w:val="24"/>
          <w:highlight w:val="none"/>
        </w:rPr>
        <w:br w:type="page"/>
      </w:r>
    </w:p>
    <w:p w14:paraId="0ABCE1F6">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质疑函制作说明：</w:t>
      </w:r>
    </w:p>
    <w:p w14:paraId="7BA3E9D0">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1.供应商提出质疑时，应提交质疑函和必要的证明材料。</w:t>
      </w:r>
    </w:p>
    <w:p w14:paraId="5D94B604">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szCs w:val="24"/>
          <w:highlight w:val="none"/>
        </w:rPr>
        <w:t>供应商签署的授权委托书。授权委托书应载明代理人的姓名或者名称、代理事项、具体权限、期限和相关事项。</w:t>
      </w:r>
    </w:p>
    <w:p w14:paraId="5945884D">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3.质疑供应商若对项目的某一分包进行质疑，质疑函中应列明具体分包号。</w:t>
      </w:r>
    </w:p>
    <w:p w14:paraId="2EF12811">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4.质疑函的质疑事项应具体、明确，并有必要的事实依据和法律依据。</w:t>
      </w:r>
    </w:p>
    <w:p w14:paraId="465E4F64">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5.质疑函的质疑请求应与质疑事项相关。</w:t>
      </w:r>
    </w:p>
    <w:p w14:paraId="324DB78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043CDE36">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color w:val="auto"/>
          <w:sz w:val="30"/>
          <w:szCs w:val="30"/>
          <w:highlight w:val="none"/>
        </w:rPr>
      </w:pPr>
    </w:p>
    <w:p w14:paraId="2A8EDE30">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226DC526">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226DBADD">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27915983">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47B8B372">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729CC6E9">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18B38F69">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4BE7ADFF">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5B292C6E">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675B33FF">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74B5B7FD">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p>
    <w:p w14:paraId="00A59F9A">
      <w:pPr>
        <w:pageBreakBefore w:val="0"/>
        <w:widowControl/>
        <w:kinsoku/>
        <w:bidi w:val="0"/>
        <w:spacing w:beforeAutospacing="0" w:afterAutospacing="0" w:line="440" w:lineRule="exact"/>
        <w:jc w:val="left"/>
        <w:rPr>
          <w:rFonts w:ascii="仿宋_GB2312" w:hAnsi="仿宋" w:eastAsia="仿宋_GB2312" w:cs="Times New Roman"/>
          <w:b/>
          <w:color w:val="auto"/>
          <w:spacing w:val="6"/>
          <w:sz w:val="32"/>
          <w:szCs w:val="32"/>
          <w:highlight w:val="none"/>
        </w:rPr>
      </w:pPr>
      <w:r>
        <w:rPr>
          <w:rFonts w:ascii="仿宋_GB2312" w:hAnsi="仿宋" w:eastAsia="仿宋_GB2312" w:cs="Times New Roman"/>
          <w:b/>
          <w:color w:val="auto"/>
          <w:spacing w:val="6"/>
          <w:sz w:val="32"/>
          <w:szCs w:val="32"/>
          <w:highlight w:val="none"/>
        </w:rPr>
        <w:br w:type="page"/>
      </w:r>
    </w:p>
    <w:p w14:paraId="4B3AABB5">
      <w:pPr>
        <w:pageBreakBefore w:val="0"/>
        <w:kinsoku/>
        <w:bidi w:val="0"/>
        <w:adjustRightInd w:val="0"/>
        <w:snapToGrid w:val="0"/>
        <w:spacing w:beforeAutospacing="0" w:afterAutospacing="0" w:line="440" w:lineRule="exact"/>
        <w:jc w:val="both"/>
        <w:rPr>
          <w:rFonts w:hint="default"/>
          <w:b/>
          <w:color w:val="auto"/>
          <w:sz w:val="32"/>
          <w:szCs w:val="32"/>
          <w:highlight w:val="none"/>
          <w:lang w:val="en-US" w:eastAsia="zh-CN"/>
        </w:rPr>
      </w:pPr>
      <w:r>
        <w:rPr>
          <w:rFonts w:hint="eastAsia"/>
          <w:b/>
          <w:color w:val="auto"/>
          <w:sz w:val="32"/>
          <w:szCs w:val="32"/>
          <w:highlight w:val="none"/>
          <w:lang w:eastAsia="zh-CN"/>
        </w:rPr>
        <w:t>附</w:t>
      </w:r>
      <w:r>
        <w:rPr>
          <w:rFonts w:hint="eastAsia"/>
          <w:b/>
          <w:color w:val="auto"/>
          <w:sz w:val="32"/>
          <w:szCs w:val="32"/>
          <w:highlight w:val="none"/>
          <w:lang w:val="en-US" w:eastAsia="zh-CN"/>
        </w:rPr>
        <w:t>件3</w:t>
      </w:r>
    </w:p>
    <w:p w14:paraId="1C8C3912">
      <w:pPr>
        <w:pageBreakBefore w:val="0"/>
        <w:kinsoku/>
        <w:bidi w:val="0"/>
        <w:adjustRightInd w:val="0"/>
        <w:spacing w:beforeAutospacing="0" w:afterAutospacing="0" w:line="440" w:lineRule="exact"/>
        <w:jc w:val="center"/>
        <w:rPr>
          <w:rFonts w:hint="eastAsia" w:ascii="仿宋_GB2312" w:hAnsi="仿宋" w:eastAsia="仿宋_GB2312" w:cs="Times New Roman"/>
          <w:b/>
          <w:color w:val="auto"/>
          <w:spacing w:val="6"/>
          <w:sz w:val="32"/>
          <w:szCs w:val="32"/>
          <w:highlight w:val="none"/>
        </w:rPr>
      </w:pPr>
    </w:p>
    <w:p w14:paraId="0C0E406D">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投诉书范本及制作说明</w:t>
      </w:r>
    </w:p>
    <w:p w14:paraId="47B7AED7">
      <w:pPr>
        <w:pageBreakBefore w:val="0"/>
        <w:kinsoku/>
        <w:bidi w:val="0"/>
        <w:adjustRightInd w:val="0"/>
        <w:spacing w:beforeAutospacing="0" w:afterAutospacing="0" w:line="440" w:lineRule="exact"/>
        <w:jc w:val="center"/>
        <w:rPr>
          <w:rFonts w:ascii="仿宋_GB2312" w:hAnsi="仿宋" w:eastAsia="仿宋_GB2312" w:cs="Times New Roman"/>
          <w:b/>
          <w:color w:val="auto"/>
          <w:sz w:val="24"/>
          <w:szCs w:val="24"/>
          <w:highlight w:val="none"/>
        </w:rPr>
      </w:pPr>
    </w:p>
    <w:p w14:paraId="0F5EB48D">
      <w:pPr>
        <w:pageBreakBefore w:val="0"/>
        <w:kinsoku/>
        <w:bidi w:val="0"/>
        <w:adjustRightInd w:val="0"/>
        <w:spacing w:beforeAutospacing="0" w:afterAutospacing="0" w:line="440" w:lineRule="exact"/>
        <w:jc w:val="center"/>
        <w:rPr>
          <w:rFonts w:ascii="仿宋_GB2312" w:hAnsi="仿宋" w:eastAsia="仿宋_GB2312" w:cs="Times New Roman"/>
          <w:b/>
          <w:color w:val="auto"/>
          <w:spacing w:val="6"/>
          <w:sz w:val="32"/>
          <w:szCs w:val="32"/>
          <w:highlight w:val="none"/>
        </w:rPr>
      </w:pPr>
      <w:r>
        <w:rPr>
          <w:rFonts w:hint="eastAsia" w:ascii="仿宋_GB2312" w:hAnsi="仿宋" w:eastAsia="仿宋_GB2312" w:cs="Times New Roman"/>
          <w:b/>
          <w:color w:val="auto"/>
          <w:spacing w:val="6"/>
          <w:sz w:val="32"/>
          <w:szCs w:val="32"/>
          <w:highlight w:val="none"/>
        </w:rPr>
        <w:t>投诉书范本</w:t>
      </w:r>
    </w:p>
    <w:p w14:paraId="47122F9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一、投诉相关主体基本情况</w:t>
      </w:r>
    </w:p>
    <w:p w14:paraId="4093E041">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w:t>
      </w:r>
      <w:r>
        <w:rPr>
          <w:rFonts w:hint="eastAsia" w:ascii="仿宋_GB2312" w:hAnsi="仿宋" w:eastAsia="仿宋_GB2312" w:cs="Times New Roman"/>
          <w:color w:val="auto"/>
          <w:sz w:val="24"/>
          <w:szCs w:val="24"/>
          <w:highlight w:val="none"/>
          <w:u w:val="dotted"/>
        </w:rPr>
        <w:t xml:space="preserve">                                               </w:t>
      </w:r>
    </w:p>
    <w:p w14:paraId="2511C1B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546A4BB6">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法定代表人/主要负责人：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40F5EFD8">
      <w:pPr>
        <w:pageBreakBefore w:val="0"/>
        <w:tabs>
          <w:tab w:val="left" w:pos="6510"/>
        </w:tabs>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57D2666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授权代表：</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260DF15B">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11DABCF9">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被投诉人1：</w:t>
      </w:r>
      <w:r>
        <w:rPr>
          <w:rFonts w:hint="eastAsia" w:ascii="仿宋_GB2312" w:hAnsi="仿宋" w:eastAsia="仿宋_GB2312" w:cs="Times New Roman"/>
          <w:color w:val="auto"/>
          <w:sz w:val="24"/>
          <w:szCs w:val="24"/>
          <w:highlight w:val="none"/>
          <w:u w:val="dotted"/>
        </w:rPr>
        <w:t xml:space="preserve">                                           </w:t>
      </w:r>
    </w:p>
    <w:p w14:paraId="4589D39C">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6ACAA8CA">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542C4D2B">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被投诉人2</w:t>
      </w:r>
    </w:p>
    <w:p w14:paraId="5AFC955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14:paraId="01E4EF82">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相关供应商：</w:t>
      </w:r>
      <w:r>
        <w:rPr>
          <w:rFonts w:hint="eastAsia" w:ascii="仿宋_GB2312" w:hAnsi="仿宋" w:eastAsia="仿宋_GB2312" w:cs="Times New Roman"/>
          <w:color w:val="auto"/>
          <w:sz w:val="24"/>
          <w:szCs w:val="24"/>
          <w:highlight w:val="none"/>
          <w:u w:val="dotted"/>
        </w:rPr>
        <w:t xml:space="preserve">                                           </w:t>
      </w:r>
    </w:p>
    <w:p w14:paraId="75FD33BC">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地     址：</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邮编：</w:t>
      </w:r>
      <w:r>
        <w:rPr>
          <w:rFonts w:hint="eastAsia" w:ascii="仿宋_GB2312" w:hAnsi="仿宋" w:eastAsia="仿宋_GB2312" w:cs="Times New Roman"/>
          <w:color w:val="auto"/>
          <w:sz w:val="24"/>
          <w:szCs w:val="24"/>
          <w:highlight w:val="none"/>
          <w:u w:val="dotted"/>
        </w:rPr>
        <w:t xml:space="preserve">          </w:t>
      </w:r>
    </w:p>
    <w:p w14:paraId="2E598C3B">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联系人：</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联系电话：</w:t>
      </w:r>
      <w:r>
        <w:rPr>
          <w:rFonts w:hint="eastAsia" w:ascii="仿宋_GB2312" w:hAnsi="仿宋" w:eastAsia="仿宋_GB2312" w:cs="Times New Roman"/>
          <w:color w:val="auto"/>
          <w:sz w:val="24"/>
          <w:szCs w:val="24"/>
          <w:highlight w:val="none"/>
          <w:u w:val="dotted"/>
        </w:rPr>
        <w:t xml:space="preserve">                      </w:t>
      </w:r>
    </w:p>
    <w:p w14:paraId="7919FABC">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二、投诉项目基本情况</w:t>
      </w:r>
    </w:p>
    <w:p w14:paraId="249F74C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采购项目名称：</w:t>
      </w:r>
      <w:r>
        <w:rPr>
          <w:rFonts w:hint="eastAsia" w:ascii="仿宋_GB2312" w:hAnsi="仿宋" w:eastAsia="仿宋_GB2312" w:cs="Times New Roman"/>
          <w:color w:val="auto"/>
          <w:sz w:val="24"/>
          <w:szCs w:val="24"/>
          <w:highlight w:val="none"/>
          <w:u w:val="dotted"/>
        </w:rPr>
        <w:t xml:space="preserve">                                        </w:t>
      </w:r>
    </w:p>
    <w:p w14:paraId="1ADE9DA9">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采购项目编号：</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包号：</w:t>
      </w:r>
      <w:r>
        <w:rPr>
          <w:rFonts w:hint="eastAsia" w:ascii="仿宋_GB2312" w:hAnsi="仿宋" w:eastAsia="仿宋_GB2312" w:cs="Times New Roman"/>
          <w:color w:val="auto"/>
          <w:sz w:val="24"/>
          <w:szCs w:val="24"/>
          <w:highlight w:val="none"/>
          <w:u w:val="dotted"/>
        </w:rPr>
        <w:t xml:space="preserve">              </w:t>
      </w:r>
    </w:p>
    <w:p w14:paraId="5062444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采购人名称：</w:t>
      </w:r>
      <w:r>
        <w:rPr>
          <w:rFonts w:hint="eastAsia" w:ascii="仿宋_GB2312" w:hAnsi="仿宋" w:eastAsia="仿宋_GB2312" w:cs="Times New Roman"/>
          <w:color w:val="auto"/>
          <w:sz w:val="24"/>
          <w:szCs w:val="24"/>
          <w:highlight w:val="none"/>
          <w:u w:val="dotted"/>
        </w:rPr>
        <w:t xml:space="preserve">                                           </w:t>
      </w:r>
    </w:p>
    <w:p w14:paraId="09F9D70A">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代理机构名称：</w:t>
      </w:r>
      <w:r>
        <w:rPr>
          <w:rFonts w:hint="eastAsia" w:ascii="仿宋_GB2312" w:hAnsi="仿宋" w:eastAsia="仿宋_GB2312" w:cs="Times New Roman"/>
          <w:color w:val="auto"/>
          <w:sz w:val="24"/>
          <w:szCs w:val="24"/>
          <w:highlight w:val="none"/>
          <w:u w:val="dotted"/>
        </w:rPr>
        <w:t xml:space="preserve">                                         </w:t>
      </w:r>
    </w:p>
    <w:p w14:paraId="0AA6BE4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采购文件公告: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14:paraId="2EF1A728">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采购结果公告:</w:t>
      </w:r>
      <w:r>
        <w:rPr>
          <w:rFonts w:hint="eastAsia" w:ascii="仿宋_GB2312" w:hAnsi="仿宋" w:eastAsia="仿宋_GB2312" w:cs="Times New Roman"/>
          <w:color w:val="auto"/>
          <w:sz w:val="24"/>
          <w:szCs w:val="24"/>
          <w:highlight w:val="none"/>
          <w:u w:val="dotted"/>
        </w:rPr>
        <w:t xml:space="preserve">是/否 </w:t>
      </w:r>
      <w:r>
        <w:rPr>
          <w:rFonts w:hint="eastAsia" w:ascii="仿宋_GB2312" w:hAnsi="仿宋" w:eastAsia="仿宋_GB2312" w:cs="Times New Roman"/>
          <w:color w:val="auto"/>
          <w:sz w:val="24"/>
          <w:szCs w:val="24"/>
          <w:highlight w:val="none"/>
        </w:rPr>
        <w:t>公告期限：</w:t>
      </w:r>
      <w:r>
        <w:rPr>
          <w:rFonts w:hint="eastAsia" w:ascii="仿宋_GB2312" w:hAnsi="仿宋" w:eastAsia="仿宋_GB2312" w:cs="Times New Roman"/>
          <w:color w:val="auto"/>
          <w:sz w:val="24"/>
          <w:szCs w:val="24"/>
          <w:highlight w:val="none"/>
          <w:u w:val="dotted"/>
        </w:rPr>
        <w:t xml:space="preserve">                        </w:t>
      </w:r>
    </w:p>
    <w:p w14:paraId="66C6E18D">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三、质疑基本情况</w:t>
      </w:r>
    </w:p>
    <w:p w14:paraId="0EBD2FDB">
      <w:pPr>
        <w:pageBreakBefore w:val="0"/>
        <w:kinsoku/>
        <w:bidi w:val="0"/>
        <w:adjustRightInd w:val="0"/>
        <w:spacing w:beforeAutospacing="0" w:afterAutospacing="0" w:line="440" w:lineRule="exact"/>
        <w:ind w:firstLine="480" w:firstLineChars="200"/>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投诉人于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日,向</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提出质疑，质疑事项为：</w:t>
      </w:r>
      <w:r>
        <w:rPr>
          <w:rFonts w:hint="eastAsia" w:ascii="仿宋_GB2312" w:hAnsi="仿宋" w:eastAsia="仿宋_GB2312" w:cs="Times New Roman"/>
          <w:color w:val="auto"/>
          <w:sz w:val="24"/>
          <w:szCs w:val="24"/>
          <w:highlight w:val="none"/>
          <w:u w:val="dotted"/>
        </w:rPr>
        <w:t xml:space="preserve">                                </w:t>
      </w:r>
    </w:p>
    <w:p w14:paraId="1D08E03C">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1D5B6C32">
      <w:pPr>
        <w:pageBreakBefore w:val="0"/>
        <w:kinsoku/>
        <w:bidi w:val="0"/>
        <w:adjustRightInd w:val="0"/>
        <w:spacing w:beforeAutospacing="0" w:afterAutospacing="0" w:line="440" w:lineRule="exact"/>
        <w:ind w:firstLine="360" w:firstLineChars="15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u w:val="dotted"/>
        </w:rPr>
        <w:t>采购人/代理机构</w:t>
      </w:r>
      <w:r>
        <w:rPr>
          <w:rFonts w:hint="eastAsia" w:ascii="仿宋_GB2312" w:hAnsi="仿宋" w:eastAsia="仿宋_GB2312" w:cs="Times New Roman"/>
          <w:color w:val="auto"/>
          <w:sz w:val="24"/>
          <w:szCs w:val="24"/>
          <w:highlight w:val="none"/>
        </w:rPr>
        <w:t>于</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年</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月</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日,就质疑事项作出了答复/没有在法定期限内作出答复。</w:t>
      </w:r>
    </w:p>
    <w:p w14:paraId="4F3954F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四、投诉事项具体内容</w:t>
      </w:r>
    </w:p>
    <w:p w14:paraId="2EE77880">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投诉事项 1：</w:t>
      </w:r>
      <w:r>
        <w:rPr>
          <w:rFonts w:hint="eastAsia" w:ascii="仿宋_GB2312" w:hAnsi="仿宋" w:eastAsia="仿宋_GB2312" w:cs="Times New Roman"/>
          <w:color w:val="auto"/>
          <w:sz w:val="24"/>
          <w:szCs w:val="24"/>
          <w:highlight w:val="none"/>
          <w:u w:val="dotted"/>
        </w:rPr>
        <w:t xml:space="preserve">                                       </w:t>
      </w:r>
    </w:p>
    <w:p w14:paraId="4D32B74A">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事实依据：</w:t>
      </w:r>
      <w:r>
        <w:rPr>
          <w:rFonts w:hint="eastAsia" w:ascii="仿宋_GB2312" w:hAnsi="仿宋" w:eastAsia="仿宋_GB2312" w:cs="Times New Roman"/>
          <w:color w:val="auto"/>
          <w:sz w:val="24"/>
          <w:szCs w:val="24"/>
          <w:highlight w:val="none"/>
          <w:u w:val="dotted"/>
        </w:rPr>
        <w:t xml:space="preserve">                                         </w:t>
      </w:r>
    </w:p>
    <w:p w14:paraId="2260B641">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14:paraId="4D3851A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法律依据：</w:t>
      </w:r>
      <w:r>
        <w:rPr>
          <w:rFonts w:hint="eastAsia" w:ascii="仿宋_GB2312" w:hAnsi="仿宋" w:eastAsia="仿宋_GB2312" w:cs="Times New Roman"/>
          <w:color w:val="auto"/>
          <w:sz w:val="24"/>
          <w:szCs w:val="24"/>
          <w:highlight w:val="none"/>
          <w:u w:val="dotted"/>
        </w:rPr>
        <w:t xml:space="preserve">                                          </w:t>
      </w:r>
    </w:p>
    <w:p w14:paraId="33B4920C">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u w:val="dotted"/>
        </w:rPr>
        <w:t xml:space="preserve">                                                     </w:t>
      </w:r>
    </w:p>
    <w:p w14:paraId="73D7715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投诉事项2</w:t>
      </w:r>
    </w:p>
    <w:p w14:paraId="6CDB4B75">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dotted"/>
        </w:rPr>
      </w:pPr>
      <w:r>
        <w:rPr>
          <w:rFonts w:hint="eastAsia" w:ascii="仿宋_GB2312" w:hAnsi="仿宋" w:eastAsia="仿宋_GB2312" w:cs="Times New Roman"/>
          <w:color w:val="auto"/>
          <w:sz w:val="24"/>
          <w:szCs w:val="24"/>
          <w:highlight w:val="none"/>
        </w:rPr>
        <w:t>……</w:t>
      </w:r>
    </w:p>
    <w:p w14:paraId="4956C637">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五、与投诉事项相关的投诉请求</w:t>
      </w:r>
    </w:p>
    <w:p w14:paraId="41C560E4">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请求：</w:t>
      </w:r>
      <w:r>
        <w:rPr>
          <w:rFonts w:hint="eastAsia" w:ascii="仿宋_GB2312" w:hAnsi="仿宋" w:eastAsia="仿宋_GB2312" w:cs="Times New Roman"/>
          <w:color w:val="auto"/>
          <w:sz w:val="24"/>
          <w:szCs w:val="24"/>
          <w:highlight w:val="none"/>
          <w:u w:val="dotted"/>
        </w:rPr>
        <w:t xml:space="preserve">                                              </w:t>
      </w:r>
      <w:r>
        <w:rPr>
          <w:rFonts w:hint="eastAsia" w:ascii="仿宋_GB2312" w:hAnsi="仿宋" w:eastAsia="仿宋_GB2312" w:cs="Times New Roman"/>
          <w:color w:val="auto"/>
          <w:sz w:val="24"/>
          <w:szCs w:val="24"/>
          <w:highlight w:val="none"/>
        </w:rPr>
        <w:t xml:space="preserve"> </w:t>
      </w:r>
    </w:p>
    <w:p w14:paraId="5C278B81">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rPr>
        <w:t xml:space="preserve">                                                                                                    </w:t>
      </w:r>
    </w:p>
    <w:p w14:paraId="79FB853F">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签字(签章)：                   公章：                      </w:t>
      </w:r>
    </w:p>
    <w:p w14:paraId="17CD4B0B">
      <w:pPr>
        <w:pageBreakBefore w:val="0"/>
        <w:kinsoku/>
        <w:bidi w:val="0"/>
        <w:adjustRightInd w:val="0"/>
        <w:spacing w:beforeAutospacing="0" w:afterAutospacing="0" w:line="440" w:lineRule="exac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 xml:space="preserve">日期：    </w:t>
      </w:r>
    </w:p>
    <w:p w14:paraId="118D955C">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14:paraId="4F445294">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p>
    <w:p w14:paraId="054D7C61">
      <w:pPr>
        <w:pageBreakBefore w:val="0"/>
        <w:kinsoku/>
        <w:bidi w:val="0"/>
        <w:adjustRightInd w:val="0"/>
        <w:spacing w:beforeAutospacing="0" w:afterAutospacing="0" w:line="440" w:lineRule="exact"/>
        <w:rPr>
          <w:rFonts w:ascii="仿宋_GB2312" w:hAnsi="仿宋" w:eastAsia="仿宋_GB2312" w:cs="Times New Roman"/>
          <w:b/>
          <w:color w:val="auto"/>
          <w:sz w:val="24"/>
          <w:szCs w:val="24"/>
          <w:highlight w:val="none"/>
        </w:rPr>
      </w:pPr>
      <w:r>
        <w:rPr>
          <w:rFonts w:hint="eastAsia" w:ascii="仿宋_GB2312" w:hAnsi="仿宋" w:eastAsia="仿宋_GB2312" w:cs="Times New Roman"/>
          <w:b/>
          <w:color w:val="auto"/>
          <w:sz w:val="24"/>
          <w:szCs w:val="24"/>
          <w:highlight w:val="none"/>
        </w:rPr>
        <w:t>投诉书制作说明：</w:t>
      </w:r>
    </w:p>
    <w:p w14:paraId="47F87829">
      <w:pPr>
        <w:pageBreakBefore w:val="0"/>
        <w:widowControl/>
        <w:kinsoku/>
        <w:bidi w:val="0"/>
        <w:adjustRightInd w:val="0"/>
        <w:spacing w:beforeAutospacing="0" w:afterAutospacing="0" w:line="440" w:lineRule="exact"/>
        <w:ind w:firstLine="480" w:firstLineChars="200"/>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1.投诉人提起投诉时，应当提交投诉书和必要的证明材料，并按照被投诉人和与投诉事项有关的供应商数量提供投诉书副本。</w:t>
      </w:r>
    </w:p>
    <w:p w14:paraId="66DB65A1">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color w:val="auto"/>
          <w:kern w:val="0"/>
          <w:sz w:val="24"/>
          <w:szCs w:val="24"/>
          <w:highlight w:val="none"/>
        </w:rPr>
      </w:pPr>
      <w:r>
        <w:rPr>
          <w:rFonts w:hint="eastAsia" w:ascii="仿宋_GB2312" w:hAnsi="仿宋" w:eastAsia="仿宋_GB2312" w:cs="Times New Roman"/>
          <w:color w:val="auto"/>
          <w:sz w:val="24"/>
          <w:szCs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szCs w:val="24"/>
          <w:highlight w:val="none"/>
        </w:rPr>
        <w:t>投诉人签署的授权委托书。授权委托书应当载明代理人的姓名或者名称、代理事项、具体权限、期限和相关事项。</w:t>
      </w:r>
    </w:p>
    <w:p w14:paraId="5ED58D07">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3.投诉人若对项目的某一分包进行投诉，投诉书应列明具体分包号。</w:t>
      </w:r>
    </w:p>
    <w:p w14:paraId="09C42723">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4.投诉书应简要列明质疑事项，质疑函、质疑答复等作为附件材料提供。</w:t>
      </w:r>
    </w:p>
    <w:p w14:paraId="186FD08A">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5.投诉书的投诉事项应具体、明确，并有必要的事实依据和法律依据。</w:t>
      </w:r>
    </w:p>
    <w:p w14:paraId="2CF4CB65">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6.投诉书的投诉请求应与投诉事项相关。</w:t>
      </w:r>
    </w:p>
    <w:p w14:paraId="04114C6D">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Century"/>
    <w:panose1 w:val="02040604050505020304"/>
    <w:charset w:val="00"/>
    <w:family w:val="roman"/>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4AAEB">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7ADF">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762C">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0CB1">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B07E">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E9F2">
    <w:pPr>
      <w:pStyle w:val="56"/>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35EC8D">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E35EC8D">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9378">
    <w:pPr>
      <w:pStyle w:val="56"/>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98D7D">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5CF98D7D">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40E37">
    <w:pPr>
      <w:pStyle w:val="56"/>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A6CD9">
                          <w:pPr>
                            <w:pStyle w:val="56"/>
                            <w:spacing w:before="120"/>
                            <w:ind w:right="720" w:firstLine="180" w:firstLineChars="100"/>
                            <w:jc w:val="center"/>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240A6CD9">
                    <w:pPr>
                      <w:pStyle w:val="56"/>
                      <w:spacing w:before="120"/>
                      <w:ind w:right="720" w:firstLine="180" w:firstLineChars="100"/>
                      <w:jc w:val="center"/>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B83F4">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E15C">
    <w:pPr>
      <w:pStyle w:val="56"/>
      <w:framePr w:wrap="around" w:vAnchor="text" w:hAnchor="margin" w:xAlign="outside" w:y="1"/>
      <w:rPr>
        <w:rStyle w:val="97"/>
      </w:rPr>
    </w:pPr>
    <w:r>
      <w:fldChar w:fldCharType="begin"/>
    </w:r>
    <w:r>
      <w:rPr>
        <w:rStyle w:val="97"/>
      </w:rPr>
      <w:instrText xml:space="preserve">PAGE  </w:instrText>
    </w:r>
    <w:r>
      <w:fldChar w:fldCharType="end"/>
    </w:r>
  </w:p>
  <w:p w14:paraId="26B01E53">
    <w:pPr>
      <w:pStyle w:val="5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4DB9">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EEC4">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F49ED">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E170">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FF27">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73CE">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5722">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D1EA">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1">
    <w:nsid w:val="B4D2F55C"/>
    <w:multiLevelType w:val="singleLevel"/>
    <w:tmpl w:val="B4D2F55C"/>
    <w:lvl w:ilvl="0" w:tentative="0">
      <w:start w:val="1"/>
      <w:numFmt w:val="decimal"/>
      <w:suff w:val="nothing"/>
      <w:lvlText w:val="%1、"/>
      <w:lvlJc w:val="left"/>
    </w:lvl>
  </w:abstractNum>
  <w:abstractNum w:abstractNumId="2">
    <w:nsid w:val="D052218D"/>
    <w:multiLevelType w:val="singleLevel"/>
    <w:tmpl w:val="D052218D"/>
    <w:lvl w:ilvl="0" w:tentative="0">
      <w:start w:val="1"/>
      <w:numFmt w:val="decimal"/>
      <w:lvlText w:val="%1."/>
      <w:lvlJc w:val="left"/>
      <w:pPr>
        <w:ind w:left="425" w:hanging="425"/>
      </w:pPr>
      <w:rPr>
        <w:rFonts w:hint="default"/>
      </w:rPr>
    </w:lvl>
  </w:abstractNum>
  <w:abstractNum w:abstractNumId="3">
    <w:nsid w:val="DA749441"/>
    <w:multiLevelType w:val="singleLevel"/>
    <w:tmpl w:val="DA749441"/>
    <w:lvl w:ilvl="0" w:tentative="0">
      <w:start w:val="1"/>
      <w:numFmt w:val="decimal"/>
      <w:lvlText w:val="%1."/>
      <w:lvlJc w:val="left"/>
      <w:pPr>
        <w:ind w:left="425" w:hanging="425"/>
      </w:pPr>
      <w:rPr>
        <w:rFonts w:hint="default"/>
      </w:rPr>
    </w:lvl>
  </w:abstractNum>
  <w:abstractNum w:abstractNumId="4">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5">
    <w:nsid w:val="33ECF4CF"/>
    <w:multiLevelType w:val="singleLevel"/>
    <w:tmpl w:val="33ECF4CF"/>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TU1ODJkODBlOGI3NjM4NGQwZGEyMWI4MGQwZDcifQ=="/>
    <w:docVar w:name="KSO_WPS_MARK_KEY" w:val="5249216c-b228-4a50-ac23-f1f5c1413014"/>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1DB7ED5"/>
    <w:rsid w:val="022D1BC3"/>
    <w:rsid w:val="0236353C"/>
    <w:rsid w:val="024A09EC"/>
    <w:rsid w:val="026D739D"/>
    <w:rsid w:val="0282299F"/>
    <w:rsid w:val="02B56978"/>
    <w:rsid w:val="02BC38D2"/>
    <w:rsid w:val="02C37AC6"/>
    <w:rsid w:val="02C86BF7"/>
    <w:rsid w:val="02E77227"/>
    <w:rsid w:val="02EB08BF"/>
    <w:rsid w:val="02ED2E83"/>
    <w:rsid w:val="02ED6112"/>
    <w:rsid w:val="03316FCB"/>
    <w:rsid w:val="03373980"/>
    <w:rsid w:val="036E19E4"/>
    <w:rsid w:val="038A6195"/>
    <w:rsid w:val="03925809"/>
    <w:rsid w:val="03C25CCE"/>
    <w:rsid w:val="04075304"/>
    <w:rsid w:val="0413618A"/>
    <w:rsid w:val="04280D0C"/>
    <w:rsid w:val="043F21B0"/>
    <w:rsid w:val="04453EE1"/>
    <w:rsid w:val="044A4D37"/>
    <w:rsid w:val="045955B0"/>
    <w:rsid w:val="04644DB3"/>
    <w:rsid w:val="0468245D"/>
    <w:rsid w:val="04910807"/>
    <w:rsid w:val="04925926"/>
    <w:rsid w:val="049306BE"/>
    <w:rsid w:val="04966335"/>
    <w:rsid w:val="04C335CE"/>
    <w:rsid w:val="04EF19AA"/>
    <w:rsid w:val="050034C0"/>
    <w:rsid w:val="050859C5"/>
    <w:rsid w:val="050866B0"/>
    <w:rsid w:val="050E0405"/>
    <w:rsid w:val="053A4FF9"/>
    <w:rsid w:val="054A5317"/>
    <w:rsid w:val="054C5424"/>
    <w:rsid w:val="05537BA4"/>
    <w:rsid w:val="05767156"/>
    <w:rsid w:val="0578283B"/>
    <w:rsid w:val="057857F0"/>
    <w:rsid w:val="05867A5F"/>
    <w:rsid w:val="05AA75F9"/>
    <w:rsid w:val="05BF1195"/>
    <w:rsid w:val="0609156B"/>
    <w:rsid w:val="061925D7"/>
    <w:rsid w:val="06256E72"/>
    <w:rsid w:val="06347CE1"/>
    <w:rsid w:val="063E7FBE"/>
    <w:rsid w:val="06454049"/>
    <w:rsid w:val="064A63CD"/>
    <w:rsid w:val="064E1E01"/>
    <w:rsid w:val="064F2DC7"/>
    <w:rsid w:val="065065CB"/>
    <w:rsid w:val="066111B0"/>
    <w:rsid w:val="0668445E"/>
    <w:rsid w:val="067030A9"/>
    <w:rsid w:val="067F09B5"/>
    <w:rsid w:val="06837E0B"/>
    <w:rsid w:val="06927340"/>
    <w:rsid w:val="06994A84"/>
    <w:rsid w:val="069B2375"/>
    <w:rsid w:val="06AA16C7"/>
    <w:rsid w:val="06BF699E"/>
    <w:rsid w:val="070729D4"/>
    <w:rsid w:val="07184CB5"/>
    <w:rsid w:val="072534C6"/>
    <w:rsid w:val="07386C6B"/>
    <w:rsid w:val="076C6F78"/>
    <w:rsid w:val="07A969DE"/>
    <w:rsid w:val="07DF3928"/>
    <w:rsid w:val="07F77F32"/>
    <w:rsid w:val="07FC3B26"/>
    <w:rsid w:val="082203F7"/>
    <w:rsid w:val="08225BFA"/>
    <w:rsid w:val="082A6DEC"/>
    <w:rsid w:val="086026F5"/>
    <w:rsid w:val="08977063"/>
    <w:rsid w:val="08AB2FDA"/>
    <w:rsid w:val="08C51D33"/>
    <w:rsid w:val="08F540F1"/>
    <w:rsid w:val="0903770C"/>
    <w:rsid w:val="0920642C"/>
    <w:rsid w:val="092B4E76"/>
    <w:rsid w:val="09380C46"/>
    <w:rsid w:val="094D790A"/>
    <w:rsid w:val="09A20E16"/>
    <w:rsid w:val="09B23D32"/>
    <w:rsid w:val="09B30424"/>
    <w:rsid w:val="09B951D7"/>
    <w:rsid w:val="09F07FF9"/>
    <w:rsid w:val="09F4422A"/>
    <w:rsid w:val="0A092218"/>
    <w:rsid w:val="0A0F2E11"/>
    <w:rsid w:val="0AB61297"/>
    <w:rsid w:val="0AF72FE3"/>
    <w:rsid w:val="0B4D3B6E"/>
    <w:rsid w:val="0B650CF4"/>
    <w:rsid w:val="0B6940EA"/>
    <w:rsid w:val="0B9547CC"/>
    <w:rsid w:val="0BC62CE6"/>
    <w:rsid w:val="0C216DFD"/>
    <w:rsid w:val="0C587987"/>
    <w:rsid w:val="0C7E214D"/>
    <w:rsid w:val="0C865E84"/>
    <w:rsid w:val="0C8C32F3"/>
    <w:rsid w:val="0CAE3F07"/>
    <w:rsid w:val="0CB6050B"/>
    <w:rsid w:val="0CC61495"/>
    <w:rsid w:val="0CDA7707"/>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820056"/>
    <w:rsid w:val="0EAE2707"/>
    <w:rsid w:val="0EB45CE0"/>
    <w:rsid w:val="0EC40D83"/>
    <w:rsid w:val="0EDC3095"/>
    <w:rsid w:val="0EF95FD9"/>
    <w:rsid w:val="0F237467"/>
    <w:rsid w:val="0F3E37B4"/>
    <w:rsid w:val="0F424644"/>
    <w:rsid w:val="0F5F63AE"/>
    <w:rsid w:val="0F952D09"/>
    <w:rsid w:val="0FA936AF"/>
    <w:rsid w:val="0FBF1235"/>
    <w:rsid w:val="0FC47870"/>
    <w:rsid w:val="0FC86C70"/>
    <w:rsid w:val="0FD032B4"/>
    <w:rsid w:val="102E586E"/>
    <w:rsid w:val="103055A6"/>
    <w:rsid w:val="103703E5"/>
    <w:rsid w:val="105453B4"/>
    <w:rsid w:val="10591833"/>
    <w:rsid w:val="10863CAA"/>
    <w:rsid w:val="1092654A"/>
    <w:rsid w:val="10926863"/>
    <w:rsid w:val="10B15F38"/>
    <w:rsid w:val="10BE3CD6"/>
    <w:rsid w:val="10DB1C21"/>
    <w:rsid w:val="10F35875"/>
    <w:rsid w:val="111666F6"/>
    <w:rsid w:val="111C017B"/>
    <w:rsid w:val="114F2E95"/>
    <w:rsid w:val="11525130"/>
    <w:rsid w:val="11561F57"/>
    <w:rsid w:val="116A40D1"/>
    <w:rsid w:val="116F4AFA"/>
    <w:rsid w:val="117071F7"/>
    <w:rsid w:val="118A59F2"/>
    <w:rsid w:val="11984A56"/>
    <w:rsid w:val="11A7392F"/>
    <w:rsid w:val="11CB5870"/>
    <w:rsid w:val="11CD69F4"/>
    <w:rsid w:val="11DB20C7"/>
    <w:rsid w:val="12000975"/>
    <w:rsid w:val="122114BC"/>
    <w:rsid w:val="122E093D"/>
    <w:rsid w:val="125E6BD9"/>
    <w:rsid w:val="12834A7D"/>
    <w:rsid w:val="12B86A79"/>
    <w:rsid w:val="12D559C7"/>
    <w:rsid w:val="12D80A40"/>
    <w:rsid w:val="12DB66FD"/>
    <w:rsid w:val="12DE0A65"/>
    <w:rsid w:val="12E3504E"/>
    <w:rsid w:val="12E52961"/>
    <w:rsid w:val="13021765"/>
    <w:rsid w:val="13023655"/>
    <w:rsid w:val="13213D92"/>
    <w:rsid w:val="13397FAD"/>
    <w:rsid w:val="135703C9"/>
    <w:rsid w:val="13631A10"/>
    <w:rsid w:val="13652F65"/>
    <w:rsid w:val="139C2569"/>
    <w:rsid w:val="139D0602"/>
    <w:rsid w:val="13A26F86"/>
    <w:rsid w:val="13A30D27"/>
    <w:rsid w:val="13BB36C2"/>
    <w:rsid w:val="13D608C4"/>
    <w:rsid w:val="13E1642A"/>
    <w:rsid w:val="13E37517"/>
    <w:rsid w:val="13ED7281"/>
    <w:rsid w:val="13EE1CEA"/>
    <w:rsid w:val="14301D37"/>
    <w:rsid w:val="14393AD1"/>
    <w:rsid w:val="143C1D1B"/>
    <w:rsid w:val="14642C47"/>
    <w:rsid w:val="14813A64"/>
    <w:rsid w:val="14B54B01"/>
    <w:rsid w:val="14C52FE6"/>
    <w:rsid w:val="14F77BF1"/>
    <w:rsid w:val="14FF642C"/>
    <w:rsid w:val="15603573"/>
    <w:rsid w:val="15734D76"/>
    <w:rsid w:val="15AB2FE6"/>
    <w:rsid w:val="15EA028F"/>
    <w:rsid w:val="15F03EF5"/>
    <w:rsid w:val="15FD5B99"/>
    <w:rsid w:val="15FE54DC"/>
    <w:rsid w:val="160D3D2F"/>
    <w:rsid w:val="16207125"/>
    <w:rsid w:val="16281D9C"/>
    <w:rsid w:val="166164F5"/>
    <w:rsid w:val="16650B45"/>
    <w:rsid w:val="168144CE"/>
    <w:rsid w:val="16971E47"/>
    <w:rsid w:val="16A1400D"/>
    <w:rsid w:val="16B667DA"/>
    <w:rsid w:val="16BA0E4A"/>
    <w:rsid w:val="16BC5498"/>
    <w:rsid w:val="16C371C2"/>
    <w:rsid w:val="170D40E3"/>
    <w:rsid w:val="170D6B63"/>
    <w:rsid w:val="172261EF"/>
    <w:rsid w:val="17235C59"/>
    <w:rsid w:val="1727550D"/>
    <w:rsid w:val="17801A73"/>
    <w:rsid w:val="179B2E17"/>
    <w:rsid w:val="17D55010"/>
    <w:rsid w:val="18027B12"/>
    <w:rsid w:val="181152FA"/>
    <w:rsid w:val="18323011"/>
    <w:rsid w:val="186D4557"/>
    <w:rsid w:val="18C1645F"/>
    <w:rsid w:val="18DE19FF"/>
    <w:rsid w:val="18E17B6B"/>
    <w:rsid w:val="18FF04F5"/>
    <w:rsid w:val="1900084C"/>
    <w:rsid w:val="19492DFC"/>
    <w:rsid w:val="194E3A44"/>
    <w:rsid w:val="195403E0"/>
    <w:rsid w:val="1957007D"/>
    <w:rsid w:val="195E269E"/>
    <w:rsid w:val="19680820"/>
    <w:rsid w:val="19765E94"/>
    <w:rsid w:val="197919D7"/>
    <w:rsid w:val="19873627"/>
    <w:rsid w:val="199155F1"/>
    <w:rsid w:val="199B4DE8"/>
    <w:rsid w:val="19A21112"/>
    <w:rsid w:val="19AA0086"/>
    <w:rsid w:val="19AF5431"/>
    <w:rsid w:val="19C7547D"/>
    <w:rsid w:val="19F31E08"/>
    <w:rsid w:val="1A082948"/>
    <w:rsid w:val="1A0E305F"/>
    <w:rsid w:val="1A4F0F77"/>
    <w:rsid w:val="1A82331E"/>
    <w:rsid w:val="1A8847B8"/>
    <w:rsid w:val="1A9026A6"/>
    <w:rsid w:val="1A941212"/>
    <w:rsid w:val="1AC32548"/>
    <w:rsid w:val="1ACB51FD"/>
    <w:rsid w:val="1ACC0364"/>
    <w:rsid w:val="1AE03B14"/>
    <w:rsid w:val="1AE46980"/>
    <w:rsid w:val="1AFB0015"/>
    <w:rsid w:val="1B0B6BC0"/>
    <w:rsid w:val="1B125895"/>
    <w:rsid w:val="1B1474C5"/>
    <w:rsid w:val="1B17268B"/>
    <w:rsid w:val="1B4C1F6E"/>
    <w:rsid w:val="1B4D356B"/>
    <w:rsid w:val="1B643160"/>
    <w:rsid w:val="1B6B3C20"/>
    <w:rsid w:val="1B760734"/>
    <w:rsid w:val="1B7B678F"/>
    <w:rsid w:val="1BC44F86"/>
    <w:rsid w:val="1BD75A4D"/>
    <w:rsid w:val="1BD80238"/>
    <w:rsid w:val="1BD97FC2"/>
    <w:rsid w:val="1BEB47F2"/>
    <w:rsid w:val="1C015D55"/>
    <w:rsid w:val="1C1C2E82"/>
    <w:rsid w:val="1C3D7633"/>
    <w:rsid w:val="1C49396E"/>
    <w:rsid w:val="1C5C77AB"/>
    <w:rsid w:val="1C677676"/>
    <w:rsid w:val="1C695AE3"/>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1F645984"/>
    <w:rsid w:val="1FCE3F40"/>
    <w:rsid w:val="202B3AD6"/>
    <w:rsid w:val="20467B64"/>
    <w:rsid w:val="204834A0"/>
    <w:rsid w:val="2084510F"/>
    <w:rsid w:val="20AB3475"/>
    <w:rsid w:val="20BB10DA"/>
    <w:rsid w:val="20C95670"/>
    <w:rsid w:val="20F00F7A"/>
    <w:rsid w:val="210B1133"/>
    <w:rsid w:val="21203C37"/>
    <w:rsid w:val="21233350"/>
    <w:rsid w:val="21461074"/>
    <w:rsid w:val="21480C86"/>
    <w:rsid w:val="21677BAA"/>
    <w:rsid w:val="219D2323"/>
    <w:rsid w:val="21A01638"/>
    <w:rsid w:val="21A91391"/>
    <w:rsid w:val="21C37930"/>
    <w:rsid w:val="220014EE"/>
    <w:rsid w:val="22043EB8"/>
    <w:rsid w:val="228F7F35"/>
    <w:rsid w:val="22984F2B"/>
    <w:rsid w:val="229A4D72"/>
    <w:rsid w:val="22BA6D16"/>
    <w:rsid w:val="22CA1B74"/>
    <w:rsid w:val="22D731FA"/>
    <w:rsid w:val="22EF2871"/>
    <w:rsid w:val="22F31289"/>
    <w:rsid w:val="22F37347"/>
    <w:rsid w:val="232708E7"/>
    <w:rsid w:val="235B1AEC"/>
    <w:rsid w:val="236C2F23"/>
    <w:rsid w:val="23786F7A"/>
    <w:rsid w:val="23A228E2"/>
    <w:rsid w:val="23A3699F"/>
    <w:rsid w:val="23D16E12"/>
    <w:rsid w:val="23E01126"/>
    <w:rsid w:val="23E01397"/>
    <w:rsid w:val="241C1F5B"/>
    <w:rsid w:val="241C4982"/>
    <w:rsid w:val="242C2446"/>
    <w:rsid w:val="243A5A22"/>
    <w:rsid w:val="24570100"/>
    <w:rsid w:val="248912CB"/>
    <w:rsid w:val="24A42751"/>
    <w:rsid w:val="24D12E80"/>
    <w:rsid w:val="24D3778F"/>
    <w:rsid w:val="24DD7BD6"/>
    <w:rsid w:val="25024973"/>
    <w:rsid w:val="25066ECE"/>
    <w:rsid w:val="250714C1"/>
    <w:rsid w:val="25145328"/>
    <w:rsid w:val="251B63F4"/>
    <w:rsid w:val="251E4616"/>
    <w:rsid w:val="25440B25"/>
    <w:rsid w:val="2556466D"/>
    <w:rsid w:val="25713C7F"/>
    <w:rsid w:val="259B31B3"/>
    <w:rsid w:val="25A05850"/>
    <w:rsid w:val="25C873AC"/>
    <w:rsid w:val="25CD0E58"/>
    <w:rsid w:val="25CE64B1"/>
    <w:rsid w:val="25D56614"/>
    <w:rsid w:val="26057CCD"/>
    <w:rsid w:val="2649167A"/>
    <w:rsid w:val="265E166E"/>
    <w:rsid w:val="26810DF2"/>
    <w:rsid w:val="26866302"/>
    <w:rsid w:val="26924F43"/>
    <w:rsid w:val="26B554D9"/>
    <w:rsid w:val="26BA68FB"/>
    <w:rsid w:val="26C027E4"/>
    <w:rsid w:val="26D93C9C"/>
    <w:rsid w:val="27151DCB"/>
    <w:rsid w:val="2716695B"/>
    <w:rsid w:val="27174C5C"/>
    <w:rsid w:val="271A5747"/>
    <w:rsid w:val="271D439F"/>
    <w:rsid w:val="271F29A7"/>
    <w:rsid w:val="272730F1"/>
    <w:rsid w:val="272B62E8"/>
    <w:rsid w:val="272E1AD7"/>
    <w:rsid w:val="27385564"/>
    <w:rsid w:val="273A5FED"/>
    <w:rsid w:val="273C5AE9"/>
    <w:rsid w:val="274E0517"/>
    <w:rsid w:val="27617DF2"/>
    <w:rsid w:val="276E7FC0"/>
    <w:rsid w:val="27A34676"/>
    <w:rsid w:val="27AC5366"/>
    <w:rsid w:val="27C34E9E"/>
    <w:rsid w:val="2818512F"/>
    <w:rsid w:val="283117E3"/>
    <w:rsid w:val="283B31B5"/>
    <w:rsid w:val="28743B4B"/>
    <w:rsid w:val="28A92821"/>
    <w:rsid w:val="28B23351"/>
    <w:rsid w:val="28C82DEE"/>
    <w:rsid w:val="28CA7DEE"/>
    <w:rsid w:val="28D1580C"/>
    <w:rsid w:val="290C0606"/>
    <w:rsid w:val="29235AE3"/>
    <w:rsid w:val="293807E2"/>
    <w:rsid w:val="29AB42A1"/>
    <w:rsid w:val="29B61E26"/>
    <w:rsid w:val="29D03F99"/>
    <w:rsid w:val="29D64E5A"/>
    <w:rsid w:val="29EC35DB"/>
    <w:rsid w:val="29ED1DB9"/>
    <w:rsid w:val="29FB0865"/>
    <w:rsid w:val="2A003335"/>
    <w:rsid w:val="2A257F5A"/>
    <w:rsid w:val="2A273408"/>
    <w:rsid w:val="2A28357D"/>
    <w:rsid w:val="2A2C5EF9"/>
    <w:rsid w:val="2A3B4D38"/>
    <w:rsid w:val="2A6E78B8"/>
    <w:rsid w:val="2A731D21"/>
    <w:rsid w:val="2A78362C"/>
    <w:rsid w:val="2A8225E0"/>
    <w:rsid w:val="2AA43158"/>
    <w:rsid w:val="2ABA4F2F"/>
    <w:rsid w:val="2AFC7F9D"/>
    <w:rsid w:val="2B143C44"/>
    <w:rsid w:val="2B151618"/>
    <w:rsid w:val="2B22254D"/>
    <w:rsid w:val="2B240ED4"/>
    <w:rsid w:val="2B2C58D7"/>
    <w:rsid w:val="2B5740BA"/>
    <w:rsid w:val="2B7A2BBA"/>
    <w:rsid w:val="2B880A1B"/>
    <w:rsid w:val="2C1E6A63"/>
    <w:rsid w:val="2C210716"/>
    <w:rsid w:val="2C224084"/>
    <w:rsid w:val="2C9104A3"/>
    <w:rsid w:val="2CAE6752"/>
    <w:rsid w:val="2CC81ADA"/>
    <w:rsid w:val="2CC84C6C"/>
    <w:rsid w:val="2CD91BE2"/>
    <w:rsid w:val="2D01620B"/>
    <w:rsid w:val="2D102879"/>
    <w:rsid w:val="2D16195F"/>
    <w:rsid w:val="2D1C187D"/>
    <w:rsid w:val="2D1E4344"/>
    <w:rsid w:val="2D4E142C"/>
    <w:rsid w:val="2D636E9F"/>
    <w:rsid w:val="2D8E0752"/>
    <w:rsid w:val="2DAF37A4"/>
    <w:rsid w:val="2DC62F01"/>
    <w:rsid w:val="2DDA27E5"/>
    <w:rsid w:val="2DE52237"/>
    <w:rsid w:val="2DE846A1"/>
    <w:rsid w:val="2E097E07"/>
    <w:rsid w:val="2E421BC1"/>
    <w:rsid w:val="2E6D1303"/>
    <w:rsid w:val="2E87783F"/>
    <w:rsid w:val="2E9A7AE7"/>
    <w:rsid w:val="2EB02FB3"/>
    <w:rsid w:val="2EBF49DB"/>
    <w:rsid w:val="2EE463B9"/>
    <w:rsid w:val="2EF04EC3"/>
    <w:rsid w:val="2F104DB2"/>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456726"/>
    <w:rsid w:val="31530A21"/>
    <w:rsid w:val="31653F38"/>
    <w:rsid w:val="31897174"/>
    <w:rsid w:val="31A00580"/>
    <w:rsid w:val="31B91281"/>
    <w:rsid w:val="31C4532A"/>
    <w:rsid w:val="32074121"/>
    <w:rsid w:val="321766AE"/>
    <w:rsid w:val="322D17D7"/>
    <w:rsid w:val="324B3775"/>
    <w:rsid w:val="3257790D"/>
    <w:rsid w:val="32653D88"/>
    <w:rsid w:val="327F26A5"/>
    <w:rsid w:val="32850A3A"/>
    <w:rsid w:val="328829CA"/>
    <w:rsid w:val="3295140A"/>
    <w:rsid w:val="32B141B6"/>
    <w:rsid w:val="32C215B3"/>
    <w:rsid w:val="330C52A8"/>
    <w:rsid w:val="33184147"/>
    <w:rsid w:val="33395897"/>
    <w:rsid w:val="335E7861"/>
    <w:rsid w:val="337367C1"/>
    <w:rsid w:val="339A198B"/>
    <w:rsid w:val="339A3D17"/>
    <w:rsid w:val="33A7521A"/>
    <w:rsid w:val="33B56090"/>
    <w:rsid w:val="34023DD2"/>
    <w:rsid w:val="34346E4D"/>
    <w:rsid w:val="345C7BA2"/>
    <w:rsid w:val="345E0C5E"/>
    <w:rsid w:val="3473401C"/>
    <w:rsid w:val="34B24A2F"/>
    <w:rsid w:val="34CC7BFB"/>
    <w:rsid w:val="34CD0C0B"/>
    <w:rsid w:val="34D75BDD"/>
    <w:rsid w:val="34E50629"/>
    <w:rsid w:val="34F138B2"/>
    <w:rsid w:val="35026F4B"/>
    <w:rsid w:val="3511718E"/>
    <w:rsid w:val="351C3AC1"/>
    <w:rsid w:val="351E4524"/>
    <w:rsid w:val="351F3A34"/>
    <w:rsid w:val="35353D4F"/>
    <w:rsid w:val="35366152"/>
    <w:rsid w:val="35617E33"/>
    <w:rsid w:val="35815059"/>
    <w:rsid w:val="35A60906"/>
    <w:rsid w:val="35BC0844"/>
    <w:rsid w:val="35C90051"/>
    <w:rsid w:val="35D179D8"/>
    <w:rsid w:val="35D457D9"/>
    <w:rsid w:val="35E533FD"/>
    <w:rsid w:val="361615D0"/>
    <w:rsid w:val="36387B7A"/>
    <w:rsid w:val="36584736"/>
    <w:rsid w:val="36673764"/>
    <w:rsid w:val="36924A46"/>
    <w:rsid w:val="36A60D74"/>
    <w:rsid w:val="36AF6640"/>
    <w:rsid w:val="36B16D54"/>
    <w:rsid w:val="36D24873"/>
    <w:rsid w:val="36DE18DC"/>
    <w:rsid w:val="36EF1205"/>
    <w:rsid w:val="36F95F9A"/>
    <w:rsid w:val="36FF3C2B"/>
    <w:rsid w:val="370228E9"/>
    <w:rsid w:val="37533C5A"/>
    <w:rsid w:val="3755686B"/>
    <w:rsid w:val="37557BBE"/>
    <w:rsid w:val="37860E6B"/>
    <w:rsid w:val="37861808"/>
    <w:rsid w:val="37983666"/>
    <w:rsid w:val="37B3316C"/>
    <w:rsid w:val="37D13BBF"/>
    <w:rsid w:val="38002855"/>
    <w:rsid w:val="380556BC"/>
    <w:rsid w:val="380D6A28"/>
    <w:rsid w:val="38107BD1"/>
    <w:rsid w:val="3814652D"/>
    <w:rsid w:val="38291A7F"/>
    <w:rsid w:val="38546316"/>
    <w:rsid w:val="3860038E"/>
    <w:rsid w:val="38634F5B"/>
    <w:rsid w:val="38773A6B"/>
    <w:rsid w:val="388C1B7E"/>
    <w:rsid w:val="38B80E59"/>
    <w:rsid w:val="38BC39AE"/>
    <w:rsid w:val="38D343A6"/>
    <w:rsid w:val="38ED601D"/>
    <w:rsid w:val="38FC52CA"/>
    <w:rsid w:val="39210769"/>
    <w:rsid w:val="392B0449"/>
    <w:rsid w:val="39316051"/>
    <w:rsid w:val="39380D2F"/>
    <w:rsid w:val="393C7183"/>
    <w:rsid w:val="39521B20"/>
    <w:rsid w:val="3953748C"/>
    <w:rsid w:val="39566218"/>
    <w:rsid w:val="39773E35"/>
    <w:rsid w:val="39A2115A"/>
    <w:rsid w:val="39B07817"/>
    <w:rsid w:val="39B2168C"/>
    <w:rsid w:val="39DF73EC"/>
    <w:rsid w:val="39E52624"/>
    <w:rsid w:val="3A026AFB"/>
    <w:rsid w:val="3A1408AF"/>
    <w:rsid w:val="3A140FF4"/>
    <w:rsid w:val="3A15072E"/>
    <w:rsid w:val="3A285E70"/>
    <w:rsid w:val="3A2D246A"/>
    <w:rsid w:val="3A376124"/>
    <w:rsid w:val="3A500759"/>
    <w:rsid w:val="3A641E70"/>
    <w:rsid w:val="3A647D60"/>
    <w:rsid w:val="3A863661"/>
    <w:rsid w:val="3A8A5A19"/>
    <w:rsid w:val="3AAA4C5C"/>
    <w:rsid w:val="3ACD1791"/>
    <w:rsid w:val="3AEB0F20"/>
    <w:rsid w:val="3AF15A98"/>
    <w:rsid w:val="3B08311F"/>
    <w:rsid w:val="3B0E6055"/>
    <w:rsid w:val="3B7E03CD"/>
    <w:rsid w:val="3B8E6CFB"/>
    <w:rsid w:val="3B9C7F8B"/>
    <w:rsid w:val="3B9E66EB"/>
    <w:rsid w:val="3BDB2700"/>
    <w:rsid w:val="3BE523F6"/>
    <w:rsid w:val="3BF54015"/>
    <w:rsid w:val="3C415BC1"/>
    <w:rsid w:val="3C4F1540"/>
    <w:rsid w:val="3C7C0284"/>
    <w:rsid w:val="3C8B75CB"/>
    <w:rsid w:val="3C8E44DC"/>
    <w:rsid w:val="3CE94CFE"/>
    <w:rsid w:val="3CF70042"/>
    <w:rsid w:val="3CFE4428"/>
    <w:rsid w:val="3CFE624A"/>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894239"/>
    <w:rsid w:val="3EB4528A"/>
    <w:rsid w:val="3EB83E8C"/>
    <w:rsid w:val="3EE65813"/>
    <w:rsid w:val="3F2521B4"/>
    <w:rsid w:val="3F281C8B"/>
    <w:rsid w:val="3F490E2C"/>
    <w:rsid w:val="3F8A11C4"/>
    <w:rsid w:val="3F8C5D8F"/>
    <w:rsid w:val="3FA21E68"/>
    <w:rsid w:val="3FA51E2D"/>
    <w:rsid w:val="3FC21B60"/>
    <w:rsid w:val="3FE21E53"/>
    <w:rsid w:val="3FEC7045"/>
    <w:rsid w:val="40176E56"/>
    <w:rsid w:val="402B24D9"/>
    <w:rsid w:val="40583AA7"/>
    <w:rsid w:val="4063752F"/>
    <w:rsid w:val="40791B32"/>
    <w:rsid w:val="408E6128"/>
    <w:rsid w:val="40B7580A"/>
    <w:rsid w:val="40E8658C"/>
    <w:rsid w:val="40EA0A47"/>
    <w:rsid w:val="41120914"/>
    <w:rsid w:val="41122359"/>
    <w:rsid w:val="412D5886"/>
    <w:rsid w:val="41583781"/>
    <w:rsid w:val="41590F18"/>
    <w:rsid w:val="41B75F56"/>
    <w:rsid w:val="41C3405E"/>
    <w:rsid w:val="41DD0677"/>
    <w:rsid w:val="41EA1107"/>
    <w:rsid w:val="420D0BFB"/>
    <w:rsid w:val="42135081"/>
    <w:rsid w:val="42325536"/>
    <w:rsid w:val="424107B6"/>
    <w:rsid w:val="424C0DDC"/>
    <w:rsid w:val="425965CC"/>
    <w:rsid w:val="42745CCA"/>
    <w:rsid w:val="4284024B"/>
    <w:rsid w:val="42981E02"/>
    <w:rsid w:val="42B77A4D"/>
    <w:rsid w:val="4345501C"/>
    <w:rsid w:val="435D0552"/>
    <w:rsid w:val="43AC149A"/>
    <w:rsid w:val="43B43389"/>
    <w:rsid w:val="43CE758C"/>
    <w:rsid w:val="43ED2A01"/>
    <w:rsid w:val="43ED41F8"/>
    <w:rsid w:val="4415186B"/>
    <w:rsid w:val="44205379"/>
    <w:rsid w:val="442B21C2"/>
    <w:rsid w:val="44472BCC"/>
    <w:rsid w:val="4487082B"/>
    <w:rsid w:val="44D644A6"/>
    <w:rsid w:val="44FA6FBA"/>
    <w:rsid w:val="45251A0E"/>
    <w:rsid w:val="457D0EE3"/>
    <w:rsid w:val="4588349D"/>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14E56"/>
    <w:rsid w:val="47633B87"/>
    <w:rsid w:val="47810CC8"/>
    <w:rsid w:val="479A729D"/>
    <w:rsid w:val="47CC3A50"/>
    <w:rsid w:val="480B64F6"/>
    <w:rsid w:val="481D43A9"/>
    <w:rsid w:val="48341101"/>
    <w:rsid w:val="48450FFC"/>
    <w:rsid w:val="48527770"/>
    <w:rsid w:val="486B4979"/>
    <w:rsid w:val="4880599F"/>
    <w:rsid w:val="48B747B8"/>
    <w:rsid w:val="48C0308B"/>
    <w:rsid w:val="48FC68D1"/>
    <w:rsid w:val="48FE2934"/>
    <w:rsid w:val="490F4A1B"/>
    <w:rsid w:val="49166B02"/>
    <w:rsid w:val="49234B7F"/>
    <w:rsid w:val="493A060A"/>
    <w:rsid w:val="49507E2D"/>
    <w:rsid w:val="49813938"/>
    <w:rsid w:val="49877E1D"/>
    <w:rsid w:val="499C4B63"/>
    <w:rsid w:val="49BD1E5B"/>
    <w:rsid w:val="49CD3F23"/>
    <w:rsid w:val="49D2778F"/>
    <w:rsid w:val="4A4A3B86"/>
    <w:rsid w:val="4A564B5D"/>
    <w:rsid w:val="4A871534"/>
    <w:rsid w:val="4A9C1E58"/>
    <w:rsid w:val="4ADE0BBB"/>
    <w:rsid w:val="4AE43967"/>
    <w:rsid w:val="4AE629AF"/>
    <w:rsid w:val="4B0F2A62"/>
    <w:rsid w:val="4B1F7CF7"/>
    <w:rsid w:val="4B20778C"/>
    <w:rsid w:val="4B734FCB"/>
    <w:rsid w:val="4B772DE6"/>
    <w:rsid w:val="4B7F5330"/>
    <w:rsid w:val="4B9261F2"/>
    <w:rsid w:val="4BA95F1B"/>
    <w:rsid w:val="4BBA3F83"/>
    <w:rsid w:val="4BBE1D9B"/>
    <w:rsid w:val="4BDE56B2"/>
    <w:rsid w:val="4C691265"/>
    <w:rsid w:val="4C6B6F86"/>
    <w:rsid w:val="4C82218F"/>
    <w:rsid w:val="4CBD27F7"/>
    <w:rsid w:val="4CC8576A"/>
    <w:rsid w:val="4CE731CB"/>
    <w:rsid w:val="4D140AFF"/>
    <w:rsid w:val="4D4F4080"/>
    <w:rsid w:val="4D524A2E"/>
    <w:rsid w:val="4D550108"/>
    <w:rsid w:val="4D565C2E"/>
    <w:rsid w:val="4D7C6465"/>
    <w:rsid w:val="4D8B4016"/>
    <w:rsid w:val="4D8C11B6"/>
    <w:rsid w:val="4D9878E4"/>
    <w:rsid w:val="4DC95FEB"/>
    <w:rsid w:val="4DCA6648"/>
    <w:rsid w:val="4E1E674C"/>
    <w:rsid w:val="4E2D4B0B"/>
    <w:rsid w:val="4E30647F"/>
    <w:rsid w:val="4E5F48B6"/>
    <w:rsid w:val="4E8D197D"/>
    <w:rsid w:val="4EA414EC"/>
    <w:rsid w:val="4EA54FF4"/>
    <w:rsid w:val="4EAD70C9"/>
    <w:rsid w:val="4EF0521B"/>
    <w:rsid w:val="4F0C7728"/>
    <w:rsid w:val="4F32649A"/>
    <w:rsid w:val="4F3460FE"/>
    <w:rsid w:val="4F534DF8"/>
    <w:rsid w:val="4F756840"/>
    <w:rsid w:val="4F776F22"/>
    <w:rsid w:val="4F8922EB"/>
    <w:rsid w:val="4FFC5272"/>
    <w:rsid w:val="501E4A7F"/>
    <w:rsid w:val="5020585D"/>
    <w:rsid w:val="50275690"/>
    <w:rsid w:val="50373AF5"/>
    <w:rsid w:val="50574197"/>
    <w:rsid w:val="506802DF"/>
    <w:rsid w:val="5080057E"/>
    <w:rsid w:val="509D67B6"/>
    <w:rsid w:val="50A73956"/>
    <w:rsid w:val="50AE73B1"/>
    <w:rsid w:val="50C418BE"/>
    <w:rsid w:val="51095DCA"/>
    <w:rsid w:val="51332C9A"/>
    <w:rsid w:val="515D42F8"/>
    <w:rsid w:val="51800E1F"/>
    <w:rsid w:val="518A3749"/>
    <w:rsid w:val="518B234A"/>
    <w:rsid w:val="518C4FEB"/>
    <w:rsid w:val="519A7B89"/>
    <w:rsid w:val="519B6306"/>
    <w:rsid w:val="51A97CBF"/>
    <w:rsid w:val="51B7614C"/>
    <w:rsid w:val="51D94D95"/>
    <w:rsid w:val="51F25B66"/>
    <w:rsid w:val="51F31543"/>
    <w:rsid w:val="52127A77"/>
    <w:rsid w:val="52192AB0"/>
    <w:rsid w:val="521C0E43"/>
    <w:rsid w:val="522349CD"/>
    <w:rsid w:val="52546BE0"/>
    <w:rsid w:val="5265735D"/>
    <w:rsid w:val="5269105C"/>
    <w:rsid w:val="52707792"/>
    <w:rsid w:val="5276494B"/>
    <w:rsid w:val="52A83907"/>
    <w:rsid w:val="52C67A35"/>
    <w:rsid w:val="52D61478"/>
    <w:rsid w:val="530A3C63"/>
    <w:rsid w:val="530E2DF9"/>
    <w:rsid w:val="53203FDF"/>
    <w:rsid w:val="532F31A9"/>
    <w:rsid w:val="53413510"/>
    <w:rsid w:val="537961D3"/>
    <w:rsid w:val="539B1968"/>
    <w:rsid w:val="53B97671"/>
    <w:rsid w:val="53E25011"/>
    <w:rsid w:val="54033236"/>
    <w:rsid w:val="542F18EE"/>
    <w:rsid w:val="544832CE"/>
    <w:rsid w:val="54516A3D"/>
    <w:rsid w:val="54531EE2"/>
    <w:rsid w:val="546834BD"/>
    <w:rsid w:val="54A11E85"/>
    <w:rsid w:val="54A56347"/>
    <w:rsid w:val="54A87CBF"/>
    <w:rsid w:val="54E13A1D"/>
    <w:rsid w:val="54ED5120"/>
    <w:rsid w:val="55002C50"/>
    <w:rsid w:val="55460217"/>
    <w:rsid w:val="55541FE5"/>
    <w:rsid w:val="55553DFF"/>
    <w:rsid w:val="556E7AEA"/>
    <w:rsid w:val="5573623D"/>
    <w:rsid w:val="55B76E8B"/>
    <w:rsid w:val="55B95F2F"/>
    <w:rsid w:val="55BF667B"/>
    <w:rsid w:val="55F53646"/>
    <w:rsid w:val="56040FDB"/>
    <w:rsid w:val="560F57AD"/>
    <w:rsid w:val="565159BE"/>
    <w:rsid w:val="56843F56"/>
    <w:rsid w:val="56A24FEE"/>
    <w:rsid w:val="56B72191"/>
    <w:rsid w:val="56DF6711"/>
    <w:rsid w:val="571476B3"/>
    <w:rsid w:val="573503FB"/>
    <w:rsid w:val="57760FF6"/>
    <w:rsid w:val="577A40F1"/>
    <w:rsid w:val="57825340"/>
    <w:rsid w:val="578265ED"/>
    <w:rsid w:val="578831DF"/>
    <w:rsid w:val="57BD6FD6"/>
    <w:rsid w:val="58044C05"/>
    <w:rsid w:val="581E2FD0"/>
    <w:rsid w:val="58391459"/>
    <w:rsid w:val="5842443E"/>
    <w:rsid w:val="5846633A"/>
    <w:rsid w:val="58786777"/>
    <w:rsid w:val="58913AF7"/>
    <w:rsid w:val="58983F2C"/>
    <w:rsid w:val="58997962"/>
    <w:rsid w:val="58BF0B2C"/>
    <w:rsid w:val="58EB36CF"/>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84604"/>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62018"/>
    <w:rsid w:val="5B9F15AA"/>
    <w:rsid w:val="5BA945B6"/>
    <w:rsid w:val="5BAC4388"/>
    <w:rsid w:val="5BB4249E"/>
    <w:rsid w:val="5BC12BCC"/>
    <w:rsid w:val="5BD00ECD"/>
    <w:rsid w:val="5BDE15B3"/>
    <w:rsid w:val="5C0640D6"/>
    <w:rsid w:val="5C1B3D9C"/>
    <w:rsid w:val="5C2C386A"/>
    <w:rsid w:val="5C7C3D16"/>
    <w:rsid w:val="5C7D6D34"/>
    <w:rsid w:val="5C8747C8"/>
    <w:rsid w:val="5CE01400"/>
    <w:rsid w:val="5D064BB6"/>
    <w:rsid w:val="5D1D28C1"/>
    <w:rsid w:val="5D201D45"/>
    <w:rsid w:val="5D230805"/>
    <w:rsid w:val="5D243F74"/>
    <w:rsid w:val="5D2C556F"/>
    <w:rsid w:val="5D465377"/>
    <w:rsid w:val="5D6210FF"/>
    <w:rsid w:val="5D6736A1"/>
    <w:rsid w:val="5D6C57C7"/>
    <w:rsid w:val="5D972AB6"/>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96725C"/>
    <w:rsid w:val="5FA144ED"/>
    <w:rsid w:val="5FA27817"/>
    <w:rsid w:val="5FC03B6F"/>
    <w:rsid w:val="5FE445EE"/>
    <w:rsid w:val="603806E6"/>
    <w:rsid w:val="604A14D9"/>
    <w:rsid w:val="6089214B"/>
    <w:rsid w:val="608B44BF"/>
    <w:rsid w:val="608F5FC8"/>
    <w:rsid w:val="60BA591C"/>
    <w:rsid w:val="60BC283F"/>
    <w:rsid w:val="60BD5516"/>
    <w:rsid w:val="60C25F34"/>
    <w:rsid w:val="60D513B9"/>
    <w:rsid w:val="60F35B17"/>
    <w:rsid w:val="612D0B66"/>
    <w:rsid w:val="6138591F"/>
    <w:rsid w:val="613D2F35"/>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85BBF"/>
    <w:rsid w:val="62B9686D"/>
    <w:rsid w:val="62D326E3"/>
    <w:rsid w:val="62DB0B1C"/>
    <w:rsid w:val="62E0626E"/>
    <w:rsid w:val="63021D41"/>
    <w:rsid w:val="63052873"/>
    <w:rsid w:val="632C4010"/>
    <w:rsid w:val="63363C32"/>
    <w:rsid w:val="63365FD2"/>
    <w:rsid w:val="6353075B"/>
    <w:rsid w:val="63594A26"/>
    <w:rsid w:val="63827325"/>
    <w:rsid w:val="6392012A"/>
    <w:rsid w:val="63A90BE4"/>
    <w:rsid w:val="63AE5BC7"/>
    <w:rsid w:val="63C14E26"/>
    <w:rsid w:val="63F23619"/>
    <w:rsid w:val="63F905F2"/>
    <w:rsid w:val="64026B3F"/>
    <w:rsid w:val="640351D3"/>
    <w:rsid w:val="640E6D7E"/>
    <w:rsid w:val="64371836"/>
    <w:rsid w:val="64455230"/>
    <w:rsid w:val="6460157C"/>
    <w:rsid w:val="6471535D"/>
    <w:rsid w:val="64846585"/>
    <w:rsid w:val="648773C0"/>
    <w:rsid w:val="648C2213"/>
    <w:rsid w:val="6492134F"/>
    <w:rsid w:val="64A40329"/>
    <w:rsid w:val="64A51FF2"/>
    <w:rsid w:val="64A946EF"/>
    <w:rsid w:val="64AC230D"/>
    <w:rsid w:val="64C01D89"/>
    <w:rsid w:val="64C86ACD"/>
    <w:rsid w:val="651D1DC2"/>
    <w:rsid w:val="65531F20"/>
    <w:rsid w:val="655B70F7"/>
    <w:rsid w:val="65A11CE5"/>
    <w:rsid w:val="65C94588"/>
    <w:rsid w:val="65D56535"/>
    <w:rsid w:val="65EC449B"/>
    <w:rsid w:val="65F22540"/>
    <w:rsid w:val="66892DBC"/>
    <w:rsid w:val="66B37C22"/>
    <w:rsid w:val="66C22275"/>
    <w:rsid w:val="66D07C4E"/>
    <w:rsid w:val="66D63366"/>
    <w:rsid w:val="66E07A35"/>
    <w:rsid w:val="670C7BD0"/>
    <w:rsid w:val="6714656D"/>
    <w:rsid w:val="6729107E"/>
    <w:rsid w:val="67310C06"/>
    <w:rsid w:val="674D53C6"/>
    <w:rsid w:val="677550E9"/>
    <w:rsid w:val="67A80BB7"/>
    <w:rsid w:val="67BA095D"/>
    <w:rsid w:val="67F359BF"/>
    <w:rsid w:val="68120FE3"/>
    <w:rsid w:val="68127402"/>
    <w:rsid w:val="68320C29"/>
    <w:rsid w:val="683E06EB"/>
    <w:rsid w:val="684F4F95"/>
    <w:rsid w:val="685C1EF3"/>
    <w:rsid w:val="685D060D"/>
    <w:rsid w:val="68630615"/>
    <w:rsid w:val="689F3A7C"/>
    <w:rsid w:val="68A14604"/>
    <w:rsid w:val="68BA2FC6"/>
    <w:rsid w:val="68C117F4"/>
    <w:rsid w:val="68C469F7"/>
    <w:rsid w:val="68D05A8B"/>
    <w:rsid w:val="68DA686A"/>
    <w:rsid w:val="68DB5BCE"/>
    <w:rsid w:val="690802CD"/>
    <w:rsid w:val="69163C3C"/>
    <w:rsid w:val="6976722C"/>
    <w:rsid w:val="698A3C4F"/>
    <w:rsid w:val="69AA597C"/>
    <w:rsid w:val="69D74A2D"/>
    <w:rsid w:val="69E172AC"/>
    <w:rsid w:val="69E57583"/>
    <w:rsid w:val="69EA3D78"/>
    <w:rsid w:val="6A1567FD"/>
    <w:rsid w:val="6A192B41"/>
    <w:rsid w:val="6A1C5274"/>
    <w:rsid w:val="6A31794F"/>
    <w:rsid w:val="6A412E9B"/>
    <w:rsid w:val="6A593A14"/>
    <w:rsid w:val="6A5F7488"/>
    <w:rsid w:val="6A624042"/>
    <w:rsid w:val="6AA00FFB"/>
    <w:rsid w:val="6AA6262A"/>
    <w:rsid w:val="6AC56663"/>
    <w:rsid w:val="6AD06124"/>
    <w:rsid w:val="6AE9375D"/>
    <w:rsid w:val="6AFA20DD"/>
    <w:rsid w:val="6B2660F3"/>
    <w:rsid w:val="6B415C47"/>
    <w:rsid w:val="6B4C6148"/>
    <w:rsid w:val="6B600D2D"/>
    <w:rsid w:val="6B7D0E3F"/>
    <w:rsid w:val="6B820818"/>
    <w:rsid w:val="6B9C632D"/>
    <w:rsid w:val="6BA666A4"/>
    <w:rsid w:val="6BAD1029"/>
    <w:rsid w:val="6C0905E4"/>
    <w:rsid w:val="6C2458E5"/>
    <w:rsid w:val="6C3A2120"/>
    <w:rsid w:val="6C6527EF"/>
    <w:rsid w:val="6C786FF5"/>
    <w:rsid w:val="6C85541D"/>
    <w:rsid w:val="6C8A6FA0"/>
    <w:rsid w:val="6C8C14EE"/>
    <w:rsid w:val="6CB01BBD"/>
    <w:rsid w:val="6CE401DB"/>
    <w:rsid w:val="6CEB6BE5"/>
    <w:rsid w:val="6CEE18BF"/>
    <w:rsid w:val="6D1F5636"/>
    <w:rsid w:val="6D2706B7"/>
    <w:rsid w:val="6D2E2B6D"/>
    <w:rsid w:val="6D4056B0"/>
    <w:rsid w:val="6D4D4500"/>
    <w:rsid w:val="6D527D69"/>
    <w:rsid w:val="6D536C7D"/>
    <w:rsid w:val="6D7E1A57"/>
    <w:rsid w:val="6D900B54"/>
    <w:rsid w:val="6DA1076F"/>
    <w:rsid w:val="6DE6009E"/>
    <w:rsid w:val="6E080427"/>
    <w:rsid w:val="6E302EF0"/>
    <w:rsid w:val="6E334775"/>
    <w:rsid w:val="6E363B46"/>
    <w:rsid w:val="6E4539AB"/>
    <w:rsid w:val="6E5B2C4D"/>
    <w:rsid w:val="6ECA14A5"/>
    <w:rsid w:val="6EE66650"/>
    <w:rsid w:val="6EE844E0"/>
    <w:rsid w:val="6EF84EB7"/>
    <w:rsid w:val="6EFA159E"/>
    <w:rsid w:val="6F053BD8"/>
    <w:rsid w:val="6F40631D"/>
    <w:rsid w:val="6F48373C"/>
    <w:rsid w:val="6F575C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F36FF5"/>
    <w:rsid w:val="71003DE3"/>
    <w:rsid w:val="71351762"/>
    <w:rsid w:val="71552D10"/>
    <w:rsid w:val="716442E9"/>
    <w:rsid w:val="71B318F8"/>
    <w:rsid w:val="71B74DFA"/>
    <w:rsid w:val="71BD2ACE"/>
    <w:rsid w:val="71C9237C"/>
    <w:rsid w:val="71E34B28"/>
    <w:rsid w:val="71F56214"/>
    <w:rsid w:val="71FD64F5"/>
    <w:rsid w:val="72076A30"/>
    <w:rsid w:val="722241AD"/>
    <w:rsid w:val="723C0660"/>
    <w:rsid w:val="72543AEC"/>
    <w:rsid w:val="72785B7B"/>
    <w:rsid w:val="72AE77EF"/>
    <w:rsid w:val="72AF7142"/>
    <w:rsid w:val="72D22FDD"/>
    <w:rsid w:val="72E0464A"/>
    <w:rsid w:val="73060B04"/>
    <w:rsid w:val="730944EC"/>
    <w:rsid w:val="73095DD8"/>
    <w:rsid w:val="730A35E7"/>
    <w:rsid w:val="731E7C07"/>
    <w:rsid w:val="731F2ADD"/>
    <w:rsid w:val="73371579"/>
    <w:rsid w:val="733A4126"/>
    <w:rsid w:val="739444AA"/>
    <w:rsid w:val="739A56F4"/>
    <w:rsid w:val="73CB1EA3"/>
    <w:rsid w:val="73EE3133"/>
    <w:rsid w:val="73FB2F08"/>
    <w:rsid w:val="73FC31D8"/>
    <w:rsid w:val="73FC5DA2"/>
    <w:rsid w:val="74542522"/>
    <w:rsid w:val="74597D1C"/>
    <w:rsid w:val="74BE21E6"/>
    <w:rsid w:val="74CD114F"/>
    <w:rsid w:val="75132CB2"/>
    <w:rsid w:val="755C6749"/>
    <w:rsid w:val="757B534A"/>
    <w:rsid w:val="758A423F"/>
    <w:rsid w:val="75B96BD7"/>
    <w:rsid w:val="75C4089A"/>
    <w:rsid w:val="75D43E4C"/>
    <w:rsid w:val="75EE584D"/>
    <w:rsid w:val="75FC051E"/>
    <w:rsid w:val="760E4653"/>
    <w:rsid w:val="76745657"/>
    <w:rsid w:val="769374F5"/>
    <w:rsid w:val="76BA24AC"/>
    <w:rsid w:val="76D66A0B"/>
    <w:rsid w:val="76E17369"/>
    <w:rsid w:val="76F43195"/>
    <w:rsid w:val="770D6993"/>
    <w:rsid w:val="770E2FDD"/>
    <w:rsid w:val="774615E8"/>
    <w:rsid w:val="774F05B4"/>
    <w:rsid w:val="77795FC5"/>
    <w:rsid w:val="778C339B"/>
    <w:rsid w:val="77B0693E"/>
    <w:rsid w:val="77DB4976"/>
    <w:rsid w:val="77E01900"/>
    <w:rsid w:val="77EB042B"/>
    <w:rsid w:val="77F66378"/>
    <w:rsid w:val="78105FE1"/>
    <w:rsid w:val="781D1021"/>
    <w:rsid w:val="78296451"/>
    <w:rsid w:val="78540E39"/>
    <w:rsid w:val="7895695A"/>
    <w:rsid w:val="78A35FA6"/>
    <w:rsid w:val="78BB4A14"/>
    <w:rsid w:val="78C814F1"/>
    <w:rsid w:val="78DD3C0F"/>
    <w:rsid w:val="78DE69C8"/>
    <w:rsid w:val="78EF64EA"/>
    <w:rsid w:val="78F61612"/>
    <w:rsid w:val="78F746CD"/>
    <w:rsid w:val="790B7602"/>
    <w:rsid w:val="79525DD0"/>
    <w:rsid w:val="79684030"/>
    <w:rsid w:val="79B77FBE"/>
    <w:rsid w:val="79D14731"/>
    <w:rsid w:val="79ED0FE1"/>
    <w:rsid w:val="7A006755"/>
    <w:rsid w:val="7A067AFF"/>
    <w:rsid w:val="7A28236F"/>
    <w:rsid w:val="7A2940B6"/>
    <w:rsid w:val="7A455228"/>
    <w:rsid w:val="7A7A6DE0"/>
    <w:rsid w:val="7A925C48"/>
    <w:rsid w:val="7AAD58D6"/>
    <w:rsid w:val="7AEA5035"/>
    <w:rsid w:val="7AF20636"/>
    <w:rsid w:val="7B033E9B"/>
    <w:rsid w:val="7B0B7EA2"/>
    <w:rsid w:val="7B14382D"/>
    <w:rsid w:val="7B183D1A"/>
    <w:rsid w:val="7B430CF1"/>
    <w:rsid w:val="7B4B4151"/>
    <w:rsid w:val="7B4D0CE7"/>
    <w:rsid w:val="7B5E08D0"/>
    <w:rsid w:val="7BAD1045"/>
    <w:rsid w:val="7BB5399C"/>
    <w:rsid w:val="7BC77B4C"/>
    <w:rsid w:val="7BF36259"/>
    <w:rsid w:val="7BF92AE3"/>
    <w:rsid w:val="7C022754"/>
    <w:rsid w:val="7C452FFC"/>
    <w:rsid w:val="7C5C650E"/>
    <w:rsid w:val="7C79211D"/>
    <w:rsid w:val="7C7D7793"/>
    <w:rsid w:val="7C9F79C8"/>
    <w:rsid w:val="7CA20363"/>
    <w:rsid w:val="7CA95B7D"/>
    <w:rsid w:val="7CB225D2"/>
    <w:rsid w:val="7CB66269"/>
    <w:rsid w:val="7CBC13FC"/>
    <w:rsid w:val="7CBC3B1C"/>
    <w:rsid w:val="7CBF58F7"/>
    <w:rsid w:val="7CE427EA"/>
    <w:rsid w:val="7D1144BC"/>
    <w:rsid w:val="7D4A1795"/>
    <w:rsid w:val="7D5E5908"/>
    <w:rsid w:val="7D636E1C"/>
    <w:rsid w:val="7D6A0D4C"/>
    <w:rsid w:val="7D6F58E0"/>
    <w:rsid w:val="7D7B6AC6"/>
    <w:rsid w:val="7D80192E"/>
    <w:rsid w:val="7DC16EFC"/>
    <w:rsid w:val="7DD11A81"/>
    <w:rsid w:val="7DDA2E72"/>
    <w:rsid w:val="7DDE256E"/>
    <w:rsid w:val="7DE41CF5"/>
    <w:rsid w:val="7DE5778C"/>
    <w:rsid w:val="7DE73D20"/>
    <w:rsid w:val="7DF30880"/>
    <w:rsid w:val="7DFD5DC0"/>
    <w:rsid w:val="7E0D4703"/>
    <w:rsid w:val="7E1D2446"/>
    <w:rsid w:val="7E1EF14A"/>
    <w:rsid w:val="7E3D61A6"/>
    <w:rsid w:val="7E5E6CA7"/>
    <w:rsid w:val="7E665422"/>
    <w:rsid w:val="7E705B4A"/>
    <w:rsid w:val="7E7F57D1"/>
    <w:rsid w:val="7E8C0B61"/>
    <w:rsid w:val="7E8E1840"/>
    <w:rsid w:val="7EA34E4A"/>
    <w:rsid w:val="7EA773F9"/>
    <w:rsid w:val="7EC873B0"/>
    <w:rsid w:val="7ED32079"/>
    <w:rsid w:val="7F082BC8"/>
    <w:rsid w:val="7F1B1B92"/>
    <w:rsid w:val="7F2039B1"/>
    <w:rsid w:val="7F295DA0"/>
    <w:rsid w:val="7F3E5B3F"/>
    <w:rsid w:val="7F47036D"/>
    <w:rsid w:val="7F7431CA"/>
    <w:rsid w:val="7F930548"/>
    <w:rsid w:val="7FA06127"/>
    <w:rsid w:val="7FA906E9"/>
    <w:rsid w:val="7FAB79E7"/>
    <w:rsid w:val="7FC44AF6"/>
    <w:rsid w:val="7FD7317A"/>
    <w:rsid w:val="7FD8246A"/>
    <w:rsid w:val="7FDE68D3"/>
    <w:rsid w:val="7FE067CF"/>
    <w:rsid w:val="7FF25651"/>
    <w:rsid w:val="B3C746E2"/>
    <w:rsid w:val="BF49459A"/>
    <w:rsid w:val="DF39652E"/>
    <w:rsid w:val="EEEFC3BA"/>
    <w:rsid w:val="F1EF00FB"/>
    <w:rsid w:val="F5FFF4FB"/>
    <w:rsid w:val="F7BFAAD6"/>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3"/>
    <w:qFormat/>
    <w:uiPriority w:val="0"/>
    <w:pPr>
      <w:keepNext/>
      <w:keepLines/>
      <w:tabs>
        <w:tab w:val="left" w:pos="864"/>
      </w:tabs>
      <w:ind w:left="862" w:hanging="862"/>
      <w:outlineLvl w:val="3"/>
    </w:pPr>
    <w:rPr>
      <w:b/>
      <w:bCs/>
      <w:sz w:val="28"/>
      <w:szCs w:val="28"/>
    </w:rPr>
  </w:style>
  <w:style w:type="paragraph" w:styleId="8">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7"/>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4"/>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7"/>
    <w:qFormat/>
    <w:uiPriority w:val="0"/>
    <w:pPr>
      <w:ind w:firstLine="420"/>
    </w:pPr>
    <w:rPr>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0"/>
    <w:qFormat/>
    <w:uiPriority w:val="0"/>
    <w:pPr>
      <w:spacing w:after="120"/>
    </w:pPr>
    <w:rPr>
      <w:sz w:val="28"/>
    </w:rPr>
  </w:style>
  <w:style w:type="paragraph" w:styleId="38">
    <w:name w:val="Body Text Indent"/>
    <w:basedOn w:val="1"/>
    <w:next w:val="21"/>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next w:val="49"/>
    <w:link w:val="329"/>
    <w:qFormat/>
    <w:uiPriority w:val="0"/>
    <w:pPr>
      <w:spacing w:beforeLines="50" w:afterLines="50" w:line="400" w:lineRule="exact"/>
    </w:pPr>
    <w:rPr>
      <w:rFonts w:ascii="宋体" w:hAnsi="Courier New"/>
    </w:rPr>
  </w:style>
  <w:style w:type="paragraph" w:styleId="49">
    <w:name w:val="Date"/>
    <w:basedOn w:val="1"/>
    <w:next w:val="1"/>
    <w:link w:val="228"/>
    <w:qFormat/>
    <w:uiPriority w:val="0"/>
    <w:pPr>
      <w:ind w:left="2500" w:leftChars="2500"/>
    </w:pPr>
    <w:rPr>
      <w:rFonts w:eastAsia="楷体_GB2312"/>
      <w:sz w:val="32"/>
      <w:szCs w:val="20"/>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4"/>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1"/>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4"/>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0"/>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8"/>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Char2"/>
    <w:link w:val="24"/>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5"/>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49"/>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6"/>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5"/>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3"/>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2"/>
    <w:qFormat/>
    <w:uiPriority w:val="0"/>
    <w:rPr>
      <w:rFonts w:ascii="Arial" w:hAnsi="Arial" w:eastAsia="黑体"/>
      <w:sz w:val="28"/>
    </w:rPr>
  </w:style>
  <w:style w:type="character" w:customStyle="1" w:styleId="273">
    <w:name w:val="标题 4 Char"/>
    <w:link w:val="7"/>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Char"/>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2"/>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9"/>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4"/>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4"/>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6"/>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8"/>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5"/>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6"/>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5"/>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6"/>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9"/>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6"/>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5"/>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6"/>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4"/>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4"/>
    <w:qFormat/>
    <w:uiPriority w:val="0"/>
    <w:pPr>
      <w:tabs>
        <w:tab w:val="left" w:pos="1440"/>
      </w:tabs>
      <w:spacing w:afterLines="50"/>
    </w:pPr>
    <w:rPr>
      <w:b/>
    </w:rPr>
  </w:style>
  <w:style w:type="paragraph" w:customStyle="1" w:styleId="721">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7"/>
    <w:next w:val="51"/>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6"/>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5"/>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8"/>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5"/>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4"/>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7"/>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8"/>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7"/>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6"/>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3"/>
    <w:qFormat/>
    <w:uiPriority w:val="0"/>
    <w:rPr>
      <w:kern w:val="2"/>
      <w:sz w:val="24"/>
      <w:szCs w:val="24"/>
    </w:rPr>
  </w:style>
  <w:style w:type="character" w:customStyle="1" w:styleId="1017">
    <w:name w:val="标题 5 Char"/>
    <w:basedOn w:val="95"/>
    <w:link w:val="8"/>
    <w:qFormat/>
    <w:uiPriority w:val="9"/>
    <w:rPr>
      <w:b/>
      <w:bCs/>
      <w:kern w:val="2"/>
      <w:sz w:val="28"/>
      <w:szCs w:val="28"/>
    </w:rPr>
  </w:style>
  <w:style w:type="character" w:customStyle="1" w:styleId="1018">
    <w:name w:val="普通(网站) Char"/>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font41"/>
    <w:basedOn w:val="95"/>
    <w:qFormat/>
    <w:uiPriority w:val="0"/>
    <w:rPr>
      <w:rFonts w:hint="eastAsia" w:ascii="仿宋" w:hAnsi="仿宋" w:eastAsia="仿宋" w:cs="仿宋"/>
      <w:color w:val="000000"/>
      <w:sz w:val="24"/>
      <w:szCs w:val="24"/>
      <w:u w:val="none"/>
    </w:rPr>
  </w:style>
  <w:style w:type="character" w:customStyle="1" w:styleId="1034">
    <w:name w:val="font51"/>
    <w:basedOn w:val="95"/>
    <w:qFormat/>
    <w:uiPriority w:val="0"/>
    <w:rPr>
      <w:rFonts w:hint="eastAsia" w:ascii="仿宋" w:hAnsi="仿宋" w:eastAsia="仿宋" w:cs="仿宋"/>
      <w:color w:val="FF0000"/>
      <w:sz w:val="24"/>
      <w:szCs w:val="24"/>
      <w:u w:val="none"/>
    </w:rPr>
  </w:style>
  <w:style w:type="paragraph" w:customStyle="1" w:styleId="1035">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88</Pages>
  <Words>4402</Words>
  <Characters>5254</Characters>
  <Lines>280</Lines>
  <Paragraphs>78</Paragraphs>
  <TotalTime>2</TotalTime>
  <ScaleCrop>false</ScaleCrop>
  <LinksUpToDate>false</LinksUpToDate>
  <CharactersWithSpaces>7208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2021-05-12T10:07:00Z</dcterms:created>
  <dc:creator>Administrator</dc:creator>
  <cp:lastModifiedBy>C</cp:lastModifiedBy>
  <cp:lastPrinted>2025-05-26T00:58:00Z</cp:lastPrinted>
  <dcterms:modified xsi:type="dcterms:W3CDTF">2025-06-03T08:09:10Z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21AEFB1EA7744002BE7D2F2224084DB9_13</vt:lpwstr>
  </property>
  <property fmtid="{D5CDD505-2E9C-101B-9397-08002B2CF9AE}" pid="4" name="commondata">
    <vt:lpwstr>eyJoZGlkIjoiOWJiOGJlZmQ4Y2I5Mzg4ZmQ1MDU4OWVlOGY5Y2E4MTcifQ==</vt:lpwstr>
  </property>
  <property fmtid="{D5CDD505-2E9C-101B-9397-08002B2CF9AE}" pid="5" name="KSOTemplateDocerSaveRecord">
    <vt:lpwstr>eyJoZGlkIjoiZjFmZWIzNDg2MmIzZjExOTIzMmViNTBmYTMwYTk0ZWYiLCJ1c2VySWQiOiI2NzYxMTQ2MzcifQ==</vt:lpwstr>
  </property>
</Properties>
</file>